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6427" w:rsidRPr="001F65B9" w:rsidRDefault="00C065AC" w:rsidP="000B6427">
      <w:pPr>
        <w:rPr>
          <w:rFonts w:ascii="Arial" w:hAnsi="Arial" w:cs="Arial"/>
          <w:sz w:val="52"/>
          <w:szCs w:val="52"/>
        </w:rPr>
      </w:pPr>
      <w:r>
        <w:rPr>
          <w:rFonts w:ascii="Arial" w:hAnsi="Arial" w:cs="Arial"/>
          <w:sz w:val="52"/>
          <w:szCs w:val="52"/>
        </w:rPr>
        <w:t>Broken Hill Managed Aquifer Recharge (</w:t>
      </w:r>
      <w:r w:rsidR="00E846EB">
        <w:rPr>
          <w:rFonts w:ascii="Arial" w:hAnsi="Arial" w:cs="Arial"/>
          <w:sz w:val="52"/>
          <w:szCs w:val="52"/>
        </w:rPr>
        <w:t>BHMAR</w:t>
      </w:r>
      <w:r>
        <w:rPr>
          <w:rFonts w:ascii="Arial" w:hAnsi="Arial" w:cs="Arial"/>
          <w:sz w:val="52"/>
          <w:szCs w:val="52"/>
        </w:rPr>
        <w:t>)</w:t>
      </w:r>
      <w:r w:rsidR="00E846EB">
        <w:rPr>
          <w:rFonts w:ascii="Arial" w:hAnsi="Arial" w:cs="Arial"/>
          <w:sz w:val="52"/>
          <w:szCs w:val="52"/>
        </w:rPr>
        <w:t xml:space="preserve"> </w:t>
      </w:r>
      <w:r w:rsidR="000B6427" w:rsidRPr="001F65B9">
        <w:rPr>
          <w:rFonts w:ascii="Arial" w:hAnsi="Arial" w:cs="Arial"/>
          <w:sz w:val="52"/>
          <w:szCs w:val="52"/>
        </w:rPr>
        <w:t>Project</w:t>
      </w:r>
    </w:p>
    <w:p w:rsidR="000B6427" w:rsidRDefault="000B6427" w:rsidP="000B6427"/>
    <w:p w:rsidR="00B770B6" w:rsidRDefault="00B770B6" w:rsidP="000B6427"/>
    <w:p w:rsidR="00B770B6" w:rsidRPr="00B770B6" w:rsidRDefault="00B770B6" w:rsidP="000B6427"/>
    <w:p w:rsidR="000B6427" w:rsidRPr="00B770B6" w:rsidRDefault="000B6427" w:rsidP="000B6427"/>
    <w:p w:rsidR="00CF7613" w:rsidRDefault="002A34F0" w:rsidP="000B6427">
      <w:pPr>
        <w:rPr>
          <w:rStyle w:val="StyleArial14ptAqua"/>
          <w:b/>
          <w:color w:val="000000"/>
          <w:sz w:val="40"/>
          <w:szCs w:val="40"/>
        </w:rPr>
      </w:pPr>
      <w:r>
        <w:rPr>
          <w:rStyle w:val="StyleArial14ptAqua"/>
          <w:b/>
          <w:color w:val="000000"/>
          <w:sz w:val="40"/>
          <w:szCs w:val="40"/>
        </w:rPr>
        <w:t xml:space="preserve">assessment of </w:t>
      </w:r>
      <w:r w:rsidR="00AB056C" w:rsidRPr="00AE1171">
        <w:rPr>
          <w:rStyle w:val="StyleArial14ptAqua"/>
          <w:b/>
          <w:color w:val="000000"/>
          <w:sz w:val="40"/>
          <w:szCs w:val="40"/>
        </w:rPr>
        <w:t xml:space="preserve">CONJUNCTIVE WATER supply options </w:t>
      </w:r>
      <w:r>
        <w:rPr>
          <w:rStyle w:val="StyleArial14ptAqua"/>
          <w:b/>
          <w:color w:val="000000"/>
          <w:sz w:val="40"/>
          <w:szCs w:val="40"/>
        </w:rPr>
        <w:t>to enhance the drought security of broken hill, regional communities and industries</w:t>
      </w:r>
    </w:p>
    <w:p w:rsidR="00CF7613" w:rsidRPr="00825856" w:rsidRDefault="00CF7613" w:rsidP="00CF7613">
      <w:pPr>
        <w:spacing w:before="360"/>
        <w:rPr>
          <w:rFonts w:ascii="Arial" w:hAnsi="Arial"/>
          <w:caps/>
          <w:color w:val="000000"/>
          <w:sz w:val="40"/>
          <w:szCs w:val="40"/>
        </w:rPr>
      </w:pPr>
      <w:r w:rsidRPr="00825856">
        <w:rPr>
          <w:rStyle w:val="StyleArial14ptAqua"/>
          <w:color w:val="000000"/>
          <w:sz w:val="40"/>
          <w:szCs w:val="40"/>
        </w:rPr>
        <w:t>summary report</w:t>
      </w:r>
    </w:p>
    <w:p w:rsidR="000B6427" w:rsidRPr="00B770B6" w:rsidRDefault="000B6427" w:rsidP="000B6427"/>
    <w:p w:rsidR="000B6427" w:rsidRPr="00B770B6" w:rsidRDefault="000B6427" w:rsidP="000B6427"/>
    <w:p w:rsidR="00B65645" w:rsidRDefault="00B65645" w:rsidP="000B6427"/>
    <w:p w:rsidR="002A6779" w:rsidRPr="00B770B6" w:rsidRDefault="002A6779" w:rsidP="000B6427"/>
    <w:p w:rsidR="00CF7613" w:rsidRPr="00825856" w:rsidRDefault="00CF7613" w:rsidP="00CF7613">
      <w:pPr>
        <w:pStyle w:val="Record"/>
      </w:pPr>
      <w:bookmarkStart w:id="0" w:name="_Toc282167693"/>
      <w:bookmarkStart w:id="1" w:name="_Toc282168648"/>
      <w:bookmarkStart w:id="2" w:name="_Toc356371911"/>
      <w:r w:rsidRPr="00825856">
        <w:t>Geoscience Australia</w:t>
      </w:r>
      <w:bookmarkEnd w:id="0"/>
      <w:bookmarkEnd w:id="1"/>
      <w:bookmarkEnd w:id="2"/>
    </w:p>
    <w:p w:rsidR="00CF7613" w:rsidRPr="00825856" w:rsidRDefault="00CF7613" w:rsidP="00CF7613">
      <w:pPr>
        <w:pStyle w:val="Record"/>
      </w:pPr>
      <w:bookmarkStart w:id="3" w:name="_Toc356371912"/>
      <w:r w:rsidRPr="00825856">
        <w:t>RECORD 2012/15</w:t>
      </w:r>
      <w:bookmarkEnd w:id="3"/>
    </w:p>
    <w:p w:rsidR="000B6427" w:rsidRPr="00B770B6" w:rsidRDefault="000B6427" w:rsidP="000B6427"/>
    <w:p w:rsidR="000B6427" w:rsidRPr="00B770B6" w:rsidRDefault="000B6427" w:rsidP="000B6427"/>
    <w:p w:rsidR="000B6427" w:rsidRDefault="00F9160A" w:rsidP="000B6427">
      <w:r>
        <w:t xml:space="preserve">by </w:t>
      </w:r>
    </w:p>
    <w:p w:rsidR="00F9160A" w:rsidRDefault="00F9160A" w:rsidP="000B6427"/>
    <w:p w:rsidR="00F9160A" w:rsidRDefault="00F9160A" w:rsidP="000B6427">
      <w:r w:rsidRPr="00F70518">
        <w:rPr>
          <w:szCs w:val="22"/>
        </w:rPr>
        <w:t>Lawrie, K.C.</w:t>
      </w:r>
      <w:r w:rsidRPr="00F70518">
        <w:rPr>
          <w:szCs w:val="22"/>
          <w:vertAlign w:val="superscript"/>
        </w:rPr>
        <w:t>1</w:t>
      </w:r>
      <w:r w:rsidRPr="00F70518">
        <w:rPr>
          <w:szCs w:val="22"/>
        </w:rPr>
        <w:t>, Brodie</w:t>
      </w:r>
      <w:r w:rsidR="00F019EE">
        <w:rPr>
          <w:szCs w:val="22"/>
        </w:rPr>
        <w:t>,</w:t>
      </w:r>
      <w:r w:rsidRPr="00F70518">
        <w:rPr>
          <w:szCs w:val="22"/>
        </w:rPr>
        <w:t xml:space="preserve"> R.S.</w:t>
      </w:r>
      <w:r w:rsidRPr="00F70518">
        <w:rPr>
          <w:szCs w:val="22"/>
          <w:vertAlign w:val="superscript"/>
        </w:rPr>
        <w:t>1</w:t>
      </w:r>
      <w:r w:rsidRPr="00F70518">
        <w:rPr>
          <w:szCs w:val="22"/>
        </w:rPr>
        <w:t>, Dillon, P.</w:t>
      </w:r>
      <w:r w:rsidRPr="00F70518">
        <w:rPr>
          <w:szCs w:val="22"/>
          <w:vertAlign w:val="superscript"/>
        </w:rPr>
        <w:t>2</w:t>
      </w:r>
      <w:r w:rsidRPr="00F70518">
        <w:rPr>
          <w:szCs w:val="22"/>
        </w:rPr>
        <w:t>, Tan, K.P.</w:t>
      </w:r>
      <w:r w:rsidRPr="00F70518">
        <w:rPr>
          <w:szCs w:val="22"/>
          <w:vertAlign w:val="superscript"/>
        </w:rPr>
        <w:t>1</w:t>
      </w:r>
      <w:r w:rsidRPr="00F70518">
        <w:rPr>
          <w:szCs w:val="22"/>
        </w:rPr>
        <w:t>, Gibson, D.</w:t>
      </w:r>
      <w:r w:rsidRPr="00F70518">
        <w:rPr>
          <w:szCs w:val="22"/>
          <w:vertAlign w:val="superscript"/>
        </w:rPr>
        <w:t>1</w:t>
      </w:r>
      <w:r w:rsidRPr="00F70518">
        <w:rPr>
          <w:szCs w:val="22"/>
        </w:rPr>
        <w:t>, Magee, J.</w:t>
      </w:r>
      <w:r w:rsidRPr="00F70518">
        <w:rPr>
          <w:szCs w:val="22"/>
          <w:vertAlign w:val="superscript"/>
        </w:rPr>
        <w:t>1</w:t>
      </w:r>
      <w:r w:rsidRPr="00F70518">
        <w:rPr>
          <w:szCs w:val="22"/>
        </w:rPr>
        <w:t>, Clarke, J.D.A.</w:t>
      </w:r>
      <w:r w:rsidRPr="00F70518">
        <w:rPr>
          <w:szCs w:val="22"/>
          <w:vertAlign w:val="superscript"/>
        </w:rPr>
        <w:t>1</w:t>
      </w:r>
      <w:r w:rsidRPr="00F70518">
        <w:rPr>
          <w:szCs w:val="22"/>
        </w:rPr>
        <w:t>, Somerville, P.</w:t>
      </w:r>
      <w:r w:rsidRPr="00F70518">
        <w:rPr>
          <w:szCs w:val="22"/>
          <w:vertAlign w:val="superscript"/>
        </w:rPr>
        <w:t>1</w:t>
      </w:r>
      <w:r w:rsidRPr="00F70518">
        <w:rPr>
          <w:szCs w:val="22"/>
        </w:rPr>
        <w:t>, Gow, L</w:t>
      </w:r>
      <w:r w:rsidRPr="00F70518">
        <w:rPr>
          <w:szCs w:val="22"/>
          <w:vertAlign w:val="superscript"/>
        </w:rPr>
        <w:t>1</w:t>
      </w:r>
      <w:r w:rsidRPr="00F70518">
        <w:rPr>
          <w:szCs w:val="22"/>
        </w:rPr>
        <w:t>., Halas, L.</w:t>
      </w:r>
      <w:r w:rsidRPr="00F70518">
        <w:rPr>
          <w:szCs w:val="22"/>
          <w:vertAlign w:val="superscript"/>
        </w:rPr>
        <w:t>1</w:t>
      </w:r>
      <w:r w:rsidRPr="00F70518">
        <w:rPr>
          <w:szCs w:val="22"/>
        </w:rPr>
        <w:t>, Apps, H.E.</w:t>
      </w:r>
      <w:r w:rsidRPr="00F70518">
        <w:rPr>
          <w:szCs w:val="22"/>
          <w:vertAlign w:val="superscript"/>
        </w:rPr>
        <w:t>1</w:t>
      </w:r>
      <w:r w:rsidRPr="00F70518">
        <w:rPr>
          <w:szCs w:val="22"/>
        </w:rPr>
        <w:t>, Page, D.</w:t>
      </w:r>
      <w:r w:rsidRPr="00F70518">
        <w:rPr>
          <w:szCs w:val="22"/>
          <w:vertAlign w:val="superscript"/>
        </w:rPr>
        <w:t>2</w:t>
      </w:r>
      <w:r w:rsidRPr="00F70518">
        <w:rPr>
          <w:szCs w:val="22"/>
        </w:rPr>
        <w:t>, Vanderzalm, J.</w:t>
      </w:r>
      <w:r w:rsidRPr="00F70518">
        <w:rPr>
          <w:szCs w:val="22"/>
          <w:vertAlign w:val="superscript"/>
        </w:rPr>
        <w:t>2</w:t>
      </w:r>
      <w:r w:rsidRPr="00F70518">
        <w:rPr>
          <w:szCs w:val="22"/>
        </w:rPr>
        <w:t>, Abraham, J.</w:t>
      </w:r>
      <w:r w:rsidRPr="00F70518">
        <w:rPr>
          <w:szCs w:val="22"/>
          <w:vertAlign w:val="superscript"/>
        </w:rPr>
        <w:t>3</w:t>
      </w:r>
      <w:r w:rsidRPr="00F70518">
        <w:rPr>
          <w:szCs w:val="22"/>
        </w:rPr>
        <w:t>, Hostetler, S.</w:t>
      </w:r>
      <w:r w:rsidRPr="00F70518">
        <w:rPr>
          <w:szCs w:val="22"/>
          <w:vertAlign w:val="superscript"/>
        </w:rPr>
        <w:t>4</w:t>
      </w:r>
      <w:r w:rsidRPr="00F70518">
        <w:rPr>
          <w:szCs w:val="22"/>
        </w:rPr>
        <w:t>, Christensen, N.B.</w:t>
      </w:r>
      <w:r w:rsidRPr="00F70518">
        <w:rPr>
          <w:szCs w:val="22"/>
          <w:vertAlign w:val="superscript"/>
        </w:rPr>
        <w:t>5</w:t>
      </w:r>
      <w:r w:rsidRPr="00F70518">
        <w:rPr>
          <w:szCs w:val="22"/>
        </w:rPr>
        <w:t>, Miotlinski, K.</w:t>
      </w:r>
      <w:r w:rsidRPr="00F70518">
        <w:rPr>
          <w:szCs w:val="22"/>
          <w:vertAlign w:val="superscript"/>
        </w:rPr>
        <w:t>2</w:t>
      </w:r>
      <w:r w:rsidRPr="00F70518">
        <w:rPr>
          <w:szCs w:val="22"/>
        </w:rPr>
        <w:t>, Brodie, R.C.</w:t>
      </w:r>
      <w:r w:rsidRPr="00F70518">
        <w:rPr>
          <w:szCs w:val="22"/>
          <w:vertAlign w:val="superscript"/>
        </w:rPr>
        <w:t>6</w:t>
      </w:r>
      <w:r w:rsidRPr="00F70518">
        <w:rPr>
          <w:szCs w:val="22"/>
        </w:rPr>
        <w:t>, Smith, M</w:t>
      </w:r>
      <w:r w:rsidR="00F019EE">
        <w:rPr>
          <w:szCs w:val="22"/>
        </w:rPr>
        <w:t>.</w:t>
      </w:r>
      <w:r w:rsidRPr="00F70518">
        <w:rPr>
          <w:szCs w:val="22"/>
          <w:vertAlign w:val="superscript"/>
        </w:rPr>
        <w:t>1</w:t>
      </w:r>
      <w:r>
        <w:rPr>
          <w:szCs w:val="22"/>
        </w:rPr>
        <w:t xml:space="preserve"> </w:t>
      </w:r>
      <w:r w:rsidR="00CE0CC3">
        <w:rPr>
          <w:szCs w:val="22"/>
        </w:rPr>
        <w:t>and</w:t>
      </w:r>
      <w:r>
        <w:rPr>
          <w:szCs w:val="22"/>
        </w:rPr>
        <w:t xml:space="preserve"> </w:t>
      </w:r>
      <w:r w:rsidRPr="00750FC4">
        <w:rPr>
          <w:szCs w:val="22"/>
        </w:rPr>
        <w:t>Schoning, G.</w:t>
      </w:r>
      <w:r w:rsidRPr="00750FC4">
        <w:rPr>
          <w:szCs w:val="22"/>
          <w:vertAlign w:val="superscript"/>
        </w:rPr>
        <w:t>1</w:t>
      </w:r>
    </w:p>
    <w:p w:rsidR="00F725DB" w:rsidRDefault="00F725DB" w:rsidP="000B6427"/>
    <w:p w:rsidR="00F725DB" w:rsidRDefault="00F725DB" w:rsidP="000B6427"/>
    <w:p w:rsidR="00CD40E3" w:rsidRPr="00B770B6" w:rsidRDefault="00CD40E3" w:rsidP="000B6427"/>
    <w:p w:rsidR="000B6427" w:rsidRPr="00B770B6" w:rsidRDefault="000B6427" w:rsidP="000B6427"/>
    <w:p w:rsidR="000B6427" w:rsidRPr="00B770B6" w:rsidRDefault="000B6427" w:rsidP="000B6427"/>
    <w:p w:rsidR="000B6427" w:rsidRDefault="000B6427" w:rsidP="000B6427"/>
    <w:p w:rsidR="00F9160A" w:rsidRDefault="00F9160A" w:rsidP="000B6427"/>
    <w:p w:rsidR="00CF7613" w:rsidRDefault="00CF7613" w:rsidP="000B6427"/>
    <w:p w:rsidR="00CF7613" w:rsidRDefault="00CF7613" w:rsidP="000B6427"/>
    <w:p w:rsidR="00CF7613" w:rsidRDefault="00CF7613" w:rsidP="000B6427"/>
    <w:p w:rsidR="00CF7613" w:rsidRDefault="00CF7613" w:rsidP="000B6427"/>
    <w:p w:rsidR="00F9160A" w:rsidRDefault="00F9160A" w:rsidP="000B6427"/>
    <w:p w:rsidR="00F9160A" w:rsidRPr="00B770B6" w:rsidRDefault="00F9160A" w:rsidP="000B6427"/>
    <w:p w:rsidR="00B61D66" w:rsidRPr="00B61D66" w:rsidRDefault="00706A3B" w:rsidP="00CF7613">
      <w:r>
        <w:rPr>
          <w:noProof/>
        </w:rPr>
        <w:drawing>
          <wp:inline distT="0" distB="0" distL="0" distR="0">
            <wp:extent cx="2626360" cy="755015"/>
            <wp:effectExtent l="0" t="0" r="0" b="0"/>
            <wp:docPr id="6" name="Picture 4" descr="geoscience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oscience_inli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6360" cy="755015"/>
                    </a:xfrm>
                    <a:prstGeom prst="rect">
                      <a:avLst/>
                    </a:prstGeom>
                    <a:noFill/>
                    <a:ln>
                      <a:noFill/>
                    </a:ln>
                  </pic:spPr>
                </pic:pic>
              </a:graphicData>
            </a:graphic>
          </wp:inline>
        </w:drawing>
      </w:r>
      <w:r w:rsidR="00465915">
        <w:t xml:space="preserve"> </w:t>
      </w:r>
      <w:r>
        <w:rPr>
          <w:noProof/>
        </w:rPr>
        <w:drawing>
          <wp:inline distT="0" distB="0" distL="0" distR="0">
            <wp:extent cx="723265" cy="723265"/>
            <wp:effectExtent l="0" t="0" r="0" b="0"/>
            <wp:docPr id="5" name="Picture 5" descr="CSIRO_Grad_CMYK_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IRO_Grad_CMYK_h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3265" cy="723265"/>
                    </a:xfrm>
                    <a:prstGeom prst="rect">
                      <a:avLst/>
                    </a:prstGeom>
                    <a:noFill/>
                    <a:ln>
                      <a:noFill/>
                    </a:ln>
                  </pic:spPr>
                </pic:pic>
              </a:graphicData>
            </a:graphic>
          </wp:inline>
        </w:drawing>
      </w:r>
    </w:p>
    <w:p w:rsidR="00F9160A" w:rsidRDefault="00F9160A" w:rsidP="00F9160A">
      <w:pPr>
        <w:spacing w:line="120" w:lineRule="atLeast"/>
      </w:pPr>
    </w:p>
    <w:p w:rsidR="00CF7613" w:rsidRDefault="00CF7613" w:rsidP="00CF7613">
      <w:pPr>
        <w:pStyle w:val="Notes"/>
      </w:pPr>
      <w:r w:rsidRPr="00461C34">
        <w:t xml:space="preserve">Groundwater Group, </w:t>
      </w:r>
      <w:r>
        <w:t xml:space="preserve">Environmental Geoscience Division, </w:t>
      </w:r>
      <w:r w:rsidRPr="00461C34">
        <w:t>Geoscience Australia, Canberra ACT Australia</w:t>
      </w:r>
      <w:r>
        <w:t>.</w:t>
      </w:r>
    </w:p>
    <w:p w:rsidR="00CF7613" w:rsidRDefault="00CF7613" w:rsidP="00CF7613">
      <w:pPr>
        <w:pStyle w:val="Notes"/>
      </w:pPr>
      <w:r w:rsidRPr="00461C34">
        <w:t>CSIRO Water for a Healthy Country Flagship, Adelaide, SA</w:t>
      </w:r>
      <w:r>
        <w:t>.</w:t>
      </w:r>
    </w:p>
    <w:p w:rsidR="00CF7613" w:rsidRDefault="00CF7613" w:rsidP="00CF7613">
      <w:pPr>
        <w:pStyle w:val="Notes"/>
      </w:pPr>
      <w:r>
        <w:t xml:space="preserve">Present affiliation XRI Geophysics, Denver, Colorado, U.S.A.; Formerly </w:t>
      </w:r>
      <w:r w:rsidRPr="00461C34">
        <w:t>U.S. Geological Survey, Crustal Geophysics and Geochemistry Science Center, Denver, Colorado, USA</w:t>
      </w:r>
      <w:r>
        <w:t>.</w:t>
      </w:r>
    </w:p>
    <w:p w:rsidR="00CF7613" w:rsidRDefault="00CF7613" w:rsidP="00CF7613">
      <w:pPr>
        <w:pStyle w:val="Notes"/>
      </w:pPr>
      <w:r w:rsidRPr="00CA5348">
        <w:rPr>
          <w:rStyle w:val="StyleSuperscript"/>
        </w:rPr>
        <w:t xml:space="preserve"> </w:t>
      </w:r>
      <w:r w:rsidRPr="00461C34">
        <w:t>FrOG Tech, Canberra ACT Australia</w:t>
      </w:r>
      <w:r>
        <w:t xml:space="preserve">. </w:t>
      </w:r>
    </w:p>
    <w:p w:rsidR="00CF7613" w:rsidRDefault="00CF7613" w:rsidP="00CF7613">
      <w:pPr>
        <w:pStyle w:val="Notes"/>
      </w:pPr>
      <w:r w:rsidRPr="00A9594F">
        <w:t>Department of Earth Sciences, Aarhus</w:t>
      </w:r>
      <w:r w:rsidRPr="00461C34">
        <w:t xml:space="preserve"> University, Aarhus, Denmark</w:t>
      </w:r>
      <w:r>
        <w:t>.</w:t>
      </w:r>
    </w:p>
    <w:p w:rsidR="00CF7613" w:rsidRPr="00F9160A" w:rsidRDefault="00CF7613" w:rsidP="00CF7613">
      <w:pPr>
        <w:pStyle w:val="Notes"/>
      </w:pPr>
      <w:r w:rsidRPr="00461C34">
        <w:t xml:space="preserve">Minerals and </w:t>
      </w:r>
      <w:r w:rsidR="007D5510">
        <w:t>Natural Hazards</w:t>
      </w:r>
      <w:r w:rsidRPr="00461C34">
        <w:t xml:space="preserve"> Division, Geoscience Australia, Canberra ACT Australia</w:t>
      </w:r>
      <w:r>
        <w:t>.</w:t>
      </w:r>
    </w:p>
    <w:p w:rsidR="003C2E87" w:rsidRPr="003C2E87" w:rsidRDefault="003C2E87" w:rsidP="003C2E87">
      <w:pPr>
        <w:spacing w:after="240" w:line="260" w:lineRule="atLeast"/>
        <w:rPr>
          <w:b/>
          <w:bCs/>
        </w:rPr>
      </w:pPr>
      <w:r w:rsidRPr="003C2E87">
        <w:rPr>
          <w:b/>
          <w:bCs/>
        </w:rPr>
        <w:lastRenderedPageBreak/>
        <w:t>Department of Industry</w:t>
      </w:r>
    </w:p>
    <w:p w:rsidR="003C2E87" w:rsidRPr="003C2E87" w:rsidRDefault="003C2E87" w:rsidP="003C2E87">
      <w:pPr>
        <w:rPr>
          <w:szCs w:val="22"/>
        </w:rPr>
      </w:pPr>
      <w:r w:rsidRPr="003C2E87">
        <w:rPr>
          <w:szCs w:val="22"/>
        </w:rPr>
        <w:t>Minister for Industry: The Hon Ian Macfarlane MP</w:t>
      </w:r>
    </w:p>
    <w:p w:rsidR="003C2E87" w:rsidRPr="003C2E87" w:rsidRDefault="003C2E87" w:rsidP="003C2E87">
      <w:pPr>
        <w:rPr>
          <w:szCs w:val="22"/>
        </w:rPr>
      </w:pPr>
      <w:r w:rsidRPr="003C2E87">
        <w:rPr>
          <w:szCs w:val="22"/>
        </w:rPr>
        <w:t>Parliamentary Secretary: The Hon Bob Baldwin MP</w:t>
      </w:r>
    </w:p>
    <w:p w:rsidR="003C2E87" w:rsidRPr="003C2E87" w:rsidRDefault="003C2E87" w:rsidP="003C2E87">
      <w:pPr>
        <w:rPr>
          <w:szCs w:val="22"/>
        </w:rPr>
      </w:pPr>
      <w:r w:rsidRPr="003C2E87">
        <w:rPr>
          <w:szCs w:val="22"/>
        </w:rPr>
        <w:t>Secretary: Ms Glenys Beauchamp PSM</w:t>
      </w:r>
    </w:p>
    <w:p w:rsidR="00CF7613" w:rsidRPr="00846771" w:rsidRDefault="00CF7613" w:rsidP="00CF7613">
      <w:pPr>
        <w:pStyle w:val="VersoBold"/>
      </w:pPr>
      <w:r w:rsidRPr="00846771">
        <w:t>Geoscience Australia</w:t>
      </w:r>
    </w:p>
    <w:p w:rsidR="00CF7613" w:rsidRPr="00846771" w:rsidRDefault="00CF7613" w:rsidP="00CF7613">
      <w:pPr>
        <w:pStyle w:val="Versopageinfo"/>
        <w:rPr>
          <w:szCs w:val="22"/>
        </w:rPr>
      </w:pPr>
      <w:r w:rsidRPr="00846771">
        <w:rPr>
          <w:szCs w:val="22"/>
        </w:rPr>
        <w:t>Chief Executive Officer: Dr Chris Pigram</w:t>
      </w:r>
      <w:r w:rsidRPr="00846771">
        <w:rPr>
          <w:szCs w:val="22"/>
        </w:rPr>
        <w:br/>
        <w:t>This paper is published with the permission of the CEO, Geoscience Australia</w:t>
      </w:r>
    </w:p>
    <w:p w:rsidR="00CF7613" w:rsidRPr="00846771" w:rsidRDefault="00706A3B" w:rsidP="00CF7613">
      <w:pPr>
        <w:pStyle w:val="Figuresandimagesleft"/>
        <w:rPr>
          <w:szCs w:val="22"/>
        </w:rPr>
      </w:pPr>
      <w:r>
        <w:rPr>
          <w:noProof/>
          <w:szCs w:val="22"/>
        </w:rPr>
        <w:drawing>
          <wp:inline distT="0" distB="0" distL="0" distR="0">
            <wp:extent cx="999490" cy="361315"/>
            <wp:effectExtent l="0" t="0" r="0" b="0"/>
            <wp:docPr id="368" name="Picture 1570"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99490" cy="361315"/>
                    </a:xfrm>
                    <a:prstGeom prst="rect">
                      <a:avLst/>
                    </a:prstGeom>
                    <a:noFill/>
                    <a:ln>
                      <a:noFill/>
                    </a:ln>
                  </pic:spPr>
                </pic:pic>
              </a:graphicData>
            </a:graphic>
          </wp:inline>
        </w:drawing>
      </w:r>
    </w:p>
    <w:p w:rsidR="00CF7613" w:rsidRPr="00846771" w:rsidRDefault="00CF7613" w:rsidP="00CF7613">
      <w:pPr>
        <w:pStyle w:val="Versopageinfo"/>
        <w:rPr>
          <w:szCs w:val="22"/>
        </w:rPr>
      </w:pPr>
      <w:r w:rsidRPr="00846771">
        <w:rPr>
          <w:szCs w:val="22"/>
        </w:rPr>
        <w:t>© Commonwealth of Australia (Geoscience Australia) 201</w:t>
      </w:r>
      <w:r>
        <w:rPr>
          <w:szCs w:val="22"/>
        </w:rPr>
        <w:t>3</w:t>
      </w:r>
    </w:p>
    <w:p w:rsidR="00CF7613" w:rsidRPr="00846771" w:rsidRDefault="00CF7613" w:rsidP="00CF7613">
      <w:pPr>
        <w:pStyle w:val="Versopageinfo"/>
        <w:rPr>
          <w:szCs w:val="22"/>
        </w:rPr>
      </w:pPr>
      <w:r w:rsidRPr="00846771">
        <w:rPr>
          <w:szCs w:val="22"/>
        </w:rPr>
        <w:t>With the exception of the Commonwealth Coat of Arms and where otherwise noted, all material in this publication is provided under a Creative Commons Attribution 3.0 Australia Licence. (</w:t>
      </w:r>
      <w:hyperlink r:id="rId12" w:history="1">
        <w:r w:rsidRPr="00F035E2">
          <w:rPr>
            <w:rStyle w:val="Hyperlink"/>
            <w:szCs w:val="22"/>
          </w:rPr>
          <w:t>http://www.creativecommons.org/licenses/by/3.0/au/deed.en</w:t>
        </w:r>
      </w:hyperlink>
      <w:r w:rsidRPr="00846771">
        <w:rPr>
          <w:szCs w:val="22"/>
        </w:rPr>
        <w:t>)</w:t>
      </w:r>
    </w:p>
    <w:p w:rsidR="00CF7613" w:rsidRPr="00846771" w:rsidRDefault="00CF7613" w:rsidP="00CF7613">
      <w:pPr>
        <w:pStyle w:val="Versopageinfo"/>
        <w:rPr>
          <w:szCs w:val="22"/>
        </w:rPr>
      </w:pPr>
      <w:r w:rsidRPr="00846771">
        <w:rPr>
          <w:szCs w:val="22"/>
        </w:rP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CF7613" w:rsidRPr="00846771" w:rsidRDefault="00CF7613" w:rsidP="00CF7613">
      <w:pPr>
        <w:pStyle w:val="Versopageinfo"/>
        <w:rPr>
          <w:szCs w:val="22"/>
        </w:rPr>
      </w:pPr>
      <w:r w:rsidRPr="00846771">
        <w:rPr>
          <w:szCs w:val="22"/>
        </w:rPr>
        <w:t xml:space="preserve">Geoscience Australia is committed to providing web accessible content wherever possible. If you are having difficulties with accessing this </w:t>
      </w:r>
      <w:bookmarkStart w:id="4" w:name="_GoBack"/>
      <w:bookmarkEnd w:id="4"/>
      <w:r w:rsidRPr="00846771">
        <w:rPr>
          <w:szCs w:val="22"/>
        </w:rPr>
        <w:t xml:space="preserve">document please contact </w:t>
      </w:r>
      <w:hyperlink r:id="rId13" w:history="1">
        <w:r w:rsidRPr="00F035E2">
          <w:rPr>
            <w:rStyle w:val="Hyperlink"/>
            <w:szCs w:val="22"/>
          </w:rPr>
          <w:t>feedback@ga.gov.au</w:t>
        </w:r>
      </w:hyperlink>
      <w:r w:rsidRPr="00846771">
        <w:rPr>
          <w:szCs w:val="22"/>
        </w:rPr>
        <w:t>.</w:t>
      </w:r>
    </w:p>
    <w:p w:rsidR="00CF7613" w:rsidRPr="00846771" w:rsidRDefault="00CF7613" w:rsidP="00CF7613">
      <w:pPr>
        <w:pStyle w:val="VersoBold"/>
      </w:pPr>
      <w:r w:rsidRPr="00846771">
        <w:t>ISSN 1448-2177 (Print)</w:t>
      </w:r>
      <w:r w:rsidRPr="00846771">
        <w:br/>
        <w:t>ISSN 2201-702X (PDF)</w:t>
      </w:r>
    </w:p>
    <w:p w:rsidR="00CF7613" w:rsidRPr="00825856" w:rsidRDefault="00CF7613" w:rsidP="00CF7613">
      <w:pPr>
        <w:pStyle w:val="VersoBold"/>
      </w:pPr>
      <w:r w:rsidRPr="00825856">
        <w:t>ISBN 978-1-922103-37-6 (Print)</w:t>
      </w:r>
      <w:r w:rsidRPr="00825856">
        <w:br/>
        <w:t>ISBN 978-1-921954-91-7 (PDF)</w:t>
      </w:r>
    </w:p>
    <w:p w:rsidR="00CF7613" w:rsidRDefault="00CF7613" w:rsidP="00CF7613">
      <w:pPr>
        <w:pStyle w:val="VersoBold"/>
      </w:pPr>
      <w:r w:rsidRPr="00825856">
        <w:t>GeoCat 73823</w:t>
      </w:r>
    </w:p>
    <w:p w:rsidR="00CF7613" w:rsidRPr="00825856" w:rsidRDefault="00CF7613" w:rsidP="00CF7613"/>
    <w:p w:rsidR="00A538B6" w:rsidRDefault="00CF7613" w:rsidP="00CF7613">
      <w:pPr>
        <w:pStyle w:val="Versopageinfo"/>
      </w:pPr>
      <w:r w:rsidRPr="00825856">
        <w:t>Geoscience Australia acknowledges funding of this project by the Australian Government Department o</w:t>
      </w:r>
      <w:r w:rsidR="00A538B6">
        <w:t>f the Environment</w:t>
      </w:r>
    </w:p>
    <w:p w:rsidR="00CF7613" w:rsidRPr="00825856" w:rsidRDefault="00CF7613" w:rsidP="00CF7613">
      <w:pPr>
        <w:pStyle w:val="Versopageinfo"/>
      </w:pPr>
      <w:r w:rsidRPr="00825856">
        <w:t>.</w:t>
      </w:r>
    </w:p>
    <w:p w:rsidR="00CF7613" w:rsidRPr="00846771" w:rsidRDefault="00CF7613" w:rsidP="00CF7613">
      <w:pPr>
        <w:pStyle w:val="Biblography"/>
        <w:rPr>
          <w:szCs w:val="22"/>
        </w:rPr>
      </w:pPr>
      <w:r>
        <w:rPr>
          <w:b/>
        </w:rPr>
        <w:t>Bibliographic reference:</w:t>
      </w:r>
      <w:r w:rsidRPr="00846771">
        <w:t xml:space="preserve"> Lawrie, K.C., Brodie</w:t>
      </w:r>
      <w:r w:rsidR="009A77C1">
        <w:t>,</w:t>
      </w:r>
      <w:r w:rsidRPr="00846771">
        <w:t xml:space="preserve"> R.S., Dillon, P., Tan, K.P., Gibson, D., Magee, J., Clarke, J.D.A., Somerville, P., Gow, L., Halas, L., Apps, H.E., Page, D., Vanderzalm, J., Abraham, J., Hostetler, S., Christensen, N.B., Miotlinski, K., Brodie, R.</w:t>
      </w:r>
      <w:r w:rsidR="00104868">
        <w:t xml:space="preserve">C., Smith, M. and Schoning, G. 2012. </w:t>
      </w:r>
      <w:r w:rsidRPr="00CF7613">
        <w:rPr>
          <w:rFonts w:eastAsia="Times"/>
          <w:bCs w:val="0"/>
          <w:i/>
          <w:iCs/>
        </w:rPr>
        <w:t>Broken Hill Managed Aqu</w:t>
      </w:r>
      <w:r w:rsidR="00123AF5">
        <w:rPr>
          <w:rFonts w:eastAsia="Times"/>
          <w:bCs w:val="0"/>
          <w:i/>
          <w:iCs/>
        </w:rPr>
        <w:t xml:space="preserve">ifer Recharge (BHMAR) Project: </w:t>
      </w:r>
      <w:r w:rsidRPr="00CF7613">
        <w:rPr>
          <w:rFonts w:eastAsia="Times"/>
          <w:bCs w:val="0"/>
          <w:i/>
          <w:iCs/>
        </w:rPr>
        <w:t>Assessment of conjunctive water supply options to enhance the drought security of Broken Hill, regional communities and industries - Summary report.</w:t>
      </w:r>
      <w:r w:rsidR="00104868">
        <w:rPr>
          <w:rFonts w:eastAsia="Times"/>
        </w:rPr>
        <w:t xml:space="preserve"> Record 2012/15. Geoscience Australia,</w:t>
      </w:r>
      <w:r w:rsidRPr="00846771">
        <w:rPr>
          <w:rFonts w:eastAsia="Times"/>
        </w:rPr>
        <w:t xml:space="preserve"> Canberra.</w:t>
      </w:r>
      <w:r w:rsidR="000B6B85">
        <w:rPr>
          <w:rFonts w:eastAsia="Times"/>
        </w:rPr>
        <w:t xml:space="preserve"> 271</w:t>
      </w:r>
      <w:r w:rsidR="00123AF5">
        <w:rPr>
          <w:rFonts w:eastAsia="Times"/>
        </w:rPr>
        <w:t xml:space="preserve"> p.</w:t>
      </w:r>
    </w:p>
    <w:p w:rsidR="00827C9C" w:rsidRDefault="00827C9C" w:rsidP="000B6427">
      <w:pPr>
        <w:rPr>
          <w:szCs w:val="22"/>
        </w:rPr>
      </w:pPr>
    </w:p>
    <w:p w:rsidR="00827C9C" w:rsidRDefault="00827C9C" w:rsidP="000B6427">
      <w:pPr>
        <w:rPr>
          <w:szCs w:val="22"/>
        </w:rPr>
        <w:sectPr w:rsidR="00827C9C" w:rsidSect="00C6706D">
          <w:footerReference w:type="even" r:id="rId14"/>
          <w:pgSz w:w="11906" w:h="16838" w:code="9"/>
          <w:pgMar w:top="1134" w:right="1134" w:bottom="1134" w:left="1134" w:header="709" w:footer="709" w:gutter="0"/>
          <w:pgNumType w:fmt="lowerRoman" w:start="1"/>
          <w:cols w:space="708"/>
          <w:docGrid w:linePitch="360"/>
        </w:sectPr>
      </w:pPr>
    </w:p>
    <w:p w:rsidR="0083013D" w:rsidRPr="00BE08AB" w:rsidRDefault="00BE08AB" w:rsidP="001D5ABC">
      <w:pPr>
        <w:pStyle w:val="Heading1"/>
        <w:numPr>
          <w:ilvl w:val="0"/>
          <w:numId w:val="0"/>
        </w:numPr>
        <w:spacing w:after="120"/>
        <w:rPr>
          <w:rFonts w:ascii="Arial Bold" w:hAnsi="Arial Bold"/>
          <w:caps/>
        </w:rPr>
      </w:pPr>
      <w:bookmarkStart w:id="5" w:name="_Toc317423784"/>
      <w:bookmarkStart w:id="6" w:name="_Toc325700064"/>
      <w:bookmarkStart w:id="7" w:name="_Toc325700407"/>
      <w:bookmarkStart w:id="8" w:name="_Toc325975088"/>
      <w:bookmarkStart w:id="9" w:name="_Ref326844185"/>
      <w:bookmarkStart w:id="10" w:name="_Toc390690077"/>
      <w:bookmarkStart w:id="11" w:name="_Toc279005452"/>
      <w:r w:rsidRPr="00BE08AB">
        <w:rPr>
          <w:rFonts w:ascii="Arial Bold" w:hAnsi="Arial Bold"/>
          <w:caps/>
        </w:rPr>
        <w:lastRenderedPageBreak/>
        <w:t>Summary</w:t>
      </w:r>
      <w:bookmarkEnd w:id="5"/>
      <w:bookmarkEnd w:id="6"/>
      <w:bookmarkEnd w:id="7"/>
      <w:bookmarkEnd w:id="8"/>
      <w:bookmarkEnd w:id="9"/>
      <w:bookmarkEnd w:id="10"/>
    </w:p>
    <w:p w:rsidR="00F91116" w:rsidRPr="00DD1E35" w:rsidRDefault="00DD1E35" w:rsidP="00592641">
      <w:pPr>
        <w:spacing w:after="120"/>
        <w:rPr>
          <w:b/>
          <w:color w:val="3366FF"/>
          <w:sz w:val="32"/>
          <w:szCs w:val="32"/>
          <w:lang w:eastAsia="en-US"/>
        </w:rPr>
      </w:pPr>
      <w:r w:rsidRPr="00DD1E35">
        <w:rPr>
          <w:b/>
          <w:color w:val="3366FF"/>
          <w:sz w:val="32"/>
          <w:szCs w:val="32"/>
          <w:lang w:eastAsia="en-US"/>
        </w:rPr>
        <w:t>PROJECT BACKGROUND</w:t>
      </w:r>
    </w:p>
    <w:p w:rsidR="00F03DF2" w:rsidRPr="008452FA" w:rsidRDefault="00F03DF2" w:rsidP="00F03DF2">
      <w:pPr>
        <w:pStyle w:val="Level11"/>
        <w:numPr>
          <w:ilvl w:val="0"/>
          <w:numId w:val="0"/>
        </w:numPr>
        <w:spacing w:before="60" w:after="120"/>
        <w:rPr>
          <w:rFonts w:ascii="Times New Roman" w:hAnsi="Times New Roman"/>
          <w:sz w:val="22"/>
          <w:szCs w:val="22"/>
          <w:lang w:eastAsia="en-AU"/>
        </w:rPr>
      </w:pPr>
      <w:r w:rsidRPr="008452FA">
        <w:rPr>
          <w:rFonts w:ascii="Times New Roman" w:hAnsi="Times New Roman"/>
          <w:sz w:val="22"/>
          <w:szCs w:val="22"/>
        </w:rPr>
        <w:t xml:space="preserve">In the southern half of </w:t>
      </w:r>
      <w:smartTag w:uri="urn:schemas-microsoft-com:office:smarttags" w:element="place">
        <w:smartTag w:uri="urn:schemas-microsoft-com:office:smarttags" w:element="country-region">
          <w:r w:rsidRPr="008452FA">
            <w:rPr>
              <w:rFonts w:ascii="Times New Roman" w:hAnsi="Times New Roman"/>
              <w:sz w:val="22"/>
              <w:szCs w:val="22"/>
            </w:rPr>
            <w:t>Australia</w:t>
          </w:r>
        </w:smartTag>
      </w:smartTag>
      <w:r w:rsidRPr="008452FA">
        <w:rPr>
          <w:rFonts w:ascii="Times New Roman" w:hAnsi="Times New Roman"/>
          <w:sz w:val="22"/>
          <w:szCs w:val="22"/>
        </w:rPr>
        <w:t xml:space="preserve">, recent droughts and predictions of a drier future under a number of climate change scenarios </w:t>
      </w:r>
      <w:r w:rsidRPr="008452FA">
        <w:rPr>
          <w:rFonts w:ascii="Times New Roman" w:hAnsi="Times New Roman"/>
          <w:sz w:val="22"/>
          <w:szCs w:val="22"/>
          <w:lang w:eastAsia="en-AU"/>
        </w:rPr>
        <w:t xml:space="preserve">have led to the search for innovative strategies to identify more secure water supplies for regional communities and industries, while also delivering environmental benefits to threatened river systems. These issues are of particular concern in the </w:t>
      </w:r>
      <w:smartTag w:uri="urn:schemas-microsoft-com:office:smarttags" w:element="place">
        <w:smartTag w:uri="urn:schemas-microsoft-com:office:smarttags" w:element="PlaceName">
          <w:r w:rsidRPr="008452FA">
            <w:rPr>
              <w:rFonts w:ascii="Times New Roman" w:hAnsi="Times New Roman"/>
              <w:sz w:val="22"/>
              <w:szCs w:val="22"/>
              <w:lang w:eastAsia="en-AU"/>
            </w:rPr>
            <w:t>Murray-Darling</w:t>
          </w:r>
        </w:smartTag>
        <w:r w:rsidRPr="008452FA">
          <w:rPr>
            <w:rFonts w:ascii="Times New Roman" w:hAnsi="Times New Roman"/>
            <w:sz w:val="22"/>
            <w:szCs w:val="22"/>
            <w:lang w:eastAsia="en-AU"/>
          </w:rPr>
          <w:t xml:space="preserve"> </w:t>
        </w:r>
        <w:smartTag w:uri="urn:schemas-microsoft-com:office:smarttags" w:element="PlaceType">
          <w:r w:rsidRPr="008452FA">
            <w:rPr>
              <w:rFonts w:ascii="Times New Roman" w:hAnsi="Times New Roman"/>
              <w:sz w:val="22"/>
              <w:szCs w:val="22"/>
              <w:lang w:eastAsia="en-AU"/>
            </w:rPr>
            <w:t>Basin</w:t>
          </w:r>
        </w:smartTag>
      </w:smartTag>
      <w:r w:rsidRPr="008452FA">
        <w:rPr>
          <w:rFonts w:ascii="Times New Roman" w:hAnsi="Times New Roman"/>
          <w:sz w:val="22"/>
          <w:szCs w:val="22"/>
          <w:lang w:eastAsia="en-AU"/>
        </w:rPr>
        <w:t xml:space="preserve"> (the Basin), where the recent Millennium Drought (late 1990’s - 2010) adversely affected many communities, industries and the environment. While subsequent heavy rains and flooding associated with La Niña cycles broke the drought in late 2010-2012, there is general acknowledgement that longer-term strategic solutions are needed to protect communities against future droughts and to achieve a healthier working Basin.</w:t>
      </w:r>
    </w:p>
    <w:p w:rsidR="00F03DF2" w:rsidRPr="008452FA" w:rsidRDefault="00F03DF2" w:rsidP="00F03DF2">
      <w:pPr>
        <w:pStyle w:val="Level11"/>
        <w:numPr>
          <w:ilvl w:val="0"/>
          <w:numId w:val="0"/>
        </w:numPr>
        <w:spacing w:before="120" w:after="120"/>
        <w:rPr>
          <w:rFonts w:ascii="Times New Roman" w:hAnsi="Times New Roman"/>
          <w:sz w:val="22"/>
          <w:szCs w:val="22"/>
          <w:lang w:eastAsia="en-AU"/>
        </w:rPr>
      </w:pPr>
      <w:r w:rsidRPr="008452FA">
        <w:rPr>
          <w:rFonts w:ascii="Times New Roman" w:hAnsi="Times New Roman"/>
          <w:sz w:val="22"/>
          <w:szCs w:val="22"/>
          <w:lang w:eastAsia="en-AU"/>
        </w:rPr>
        <w:t xml:space="preserve">It has long been recognised that one of the areas with the greatest potential to contribute water savings in the Basin is at the Menindee Lakes Storages (MLS), located on the lower section of the Darling River in far western </w:t>
      </w:r>
      <w:smartTag w:uri="urn:schemas-microsoft-com:office:smarttags" w:element="place">
        <w:smartTag w:uri="urn:schemas-microsoft-com:office:smarttags" w:element="State">
          <w:r w:rsidRPr="008452FA">
            <w:rPr>
              <w:rFonts w:ascii="Times New Roman" w:hAnsi="Times New Roman"/>
              <w:sz w:val="22"/>
              <w:szCs w:val="22"/>
              <w:lang w:eastAsia="en-AU"/>
            </w:rPr>
            <w:t>New South Wales</w:t>
          </w:r>
        </w:smartTag>
      </w:smartTag>
      <w:r w:rsidRPr="008452FA">
        <w:rPr>
          <w:rFonts w:ascii="Times New Roman" w:hAnsi="Times New Roman"/>
          <w:sz w:val="22"/>
          <w:szCs w:val="22"/>
          <w:lang w:eastAsia="en-AU"/>
        </w:rPr>
        <w:t xml:space="preserve">. The MLS provide the main (up to 2,050 gigalitres, (GL)) water supply storage in the lower </w:t>
      </w:r>
      <w:smartTag w:uri="urn:schemas-microsoft-com:office:smarttags" w:element="PlaceName">
        <w:r w:rsidRPr="008452FA">
          <w:rPr>
            <w:rFonts w:ascii="Times New Roman" w:hAnsi="Times New Roman"/>
            <w:sz w:val="22"/>
            <w:szCs w:val="22"/>
            <w:lang w:eastAsia="en-AU"/>
          </w:rPr>
          <w:t>Murray-Darling</w:t>
        </w:r>
      </w:smartTag>
      <w:r w:rsidRPr="008452FA">
        <w:rPr>
          <w:rFonts w:ascii="Times New Roman" w:hAnsi="Times New Roman"/>
          <w:sz w:val="22"/>
          <w:szCs w:val="22"/>
          <w:lang w:eastAsia="en-AU"/>
        </w:rPr>
        <w:t xml:space="preserve"> </w:t>
      </w:r>
      <w:smartTag w:uri="urn:schemas-microsoft-com:office:smarttags" w:element="PlaceType">
        <w:r w:rsidRPr="008452FA">
          <w:rPr>
            <w:rFonts w:ascii="Times New Roman" w:hAnsi="Times New Roman"/>
            <w:sz w:val="22"/>
            <w:szCs w:val="22"/>
            <w:lang w:eastAsia="en-AU"/>
          </w:rPr>
          <w:t>River</w:t>
        </w:r>
      </w:smartTag>
      <w:r w:rsidRPr="008452FA">
        <w:rPr>
          <w:rFonts w:ascii="Times New Roman" w:hAnsi="Times New Roman"/>
          <w:sz w:val="22"/>
          <w:szCs w:val="22"/>
          <w:lang w:eastAsia="en-AU"/>
        </w:rPr>
        <w:t xml:space="preserve"> system, and play a significant role in meeting </w:t>
      </w:r>
      <w:smartTag w:uri="urn:schemas-microsoft-com:office:smarttags" w:element="place">
        <w:smartTag w:uri="urn:schemas-microsoft-com:office:smarttags" w:element="State">
          <w:r w:rsidRPr="008452FA">
            <w:rPr>
              <w:rFonts w:ascii="Times New Roman" w:hAnsi="Times New Roman"/>
              <w:sz w:val="22"/>
              <w:szCs w:val="22"/>
              <w:lang w:eastAsia="en-AU"/>
            </w:rPr>
            <w:t>South Australia</w:t>
          </w:r>
        </w:smartTag>
      </w:smartTag>
      <w:r w:rsidRPr="008452FA">
        <w:rPr>
          <w:rFonts w:ascii="Times New Roman" w:hAnsi="Times New Roman"/>
          <w:sz w:val="22"/>
          <w:szCs w:val="22"/>
          <w:lang w:eastAsia="en-AU"/>
        </w:rPr>
        <w:t>’s water requirements. The MLS are also the principal water supply storage for the City of Broken Hill, which is supplied via a 110</w:t>
      </w:r>
      <w:r>
        <w:rPr>
          <w:rFonts w:ascii="Times New Roman" w:hAnsi="Times New Roman"/>
          <w:sz w:val="22"/>
          <w:szCs w:val="22"/>
          <w:lang w:eastAsia="en-AU"/>
        </w:rPr>
        <w:t xml:space="preserve"> </w:t>
      </w:r>
      <w:r w:rsidRPr="008452FA">
        <w:rPr>
          <w:rFonts w:ascii="Times New Roman" w:hAnsi="Times New Roman"/>
          <w:sz w:val="22"/>
          <w:szCs w:val="22"/>
          <w:lang w:eastAsia="en-AU"/>
        </w:rPr>
        <w:t>km pipeline. The shallow nature of the Lakes, which are located in a hot, windy, semi-arid environment, results in the evaporation of up to 700</w:t>
      </w:r>
      <w:r w:rsidR="00DB488F">
        <w:rPr>
          <w:rFonts w:ascii="Times New Roman" w:hAnsi="Times New Roman"/>
          <w:sz w:val="22"/>
          <w:szCs w:val="22"/>
          <w:lang w:eastAsia="en-AU"/>
        </w:rPr>
        <w:t xml:space="preserve"> </w:t>
      </w:r>
      <w:r w:rsidRPr="008452FA">
        <w:rPr>
          <w:rFonts w:ascii="Times New Roman" w:hAnsi="Times New Roman"/>
          <w:sz w:val="22"/>
          <w:szCs w:val="22"/>
          <w:lang w:eastAsia="en-AU"/>
        </w:rPr>
        <w:t xml:space="preserve">GL </w:t>
      </w:r>
      <w:r>
        <w:rPr>
          <w:rFonts w:ascii="Times New Roman" w:hAnsi="Times New Roman"/>
          <w:sz w:val="22"/>
          <w:szCs w:val="22"/>
          <w:lang w:eastAsia="en-AU"/>
        </w:rPr>
        <w:t xml:space="preserve">of water </w:t>
      </w:r>
      <w:r w:rsidRPr="008452FA">
        <w:rPr>
          <w:rFonts w:ascii="Times New Roman" w:hAnsi="Times New Roman"/>
          <w:sz w:val="22"/>
          <w:szCs w:val="22"/>
          <w:lang w:eastAsia="en-AU"/>
        </w:rPr>
        <w:t xml:space="preserve">per </w:t>
      </w:r>
      <w:bookmarkStart w:id="12" w:name="OLE_LINK9"/>
      <w:bookmarkStart w:id="13" w:name="OLE_LINK10"/>
      <w:r>
        <w:rPr>
          <w:rFonts w:ascii="Times New Roman" w:hAnsi="Times New Roman"/>
          <w:sz w:val="22"/>
          <w:szCs w:val="22"/>
          <w:lang w:eastAsia="en-AU"/>
        </w:rPr>
        <w:t>annum (p.a.)</w:t>
      </w:r>
      <w:r w:rsidRPr="008452FA">
        <w:rPr>
          <w:rFonts w:ascii="Times New Roman" w:hAnsi="Times New Roman"/>
          <w:sz w:val="22"/>
          <w:szCs w:val="22"/>
          <w:lang w:eastAsia="en-AU"/>
        </w:rPr>
        <w:t xml:space="preserve">, with an average loss across the MLS </w:t>
      </w:r>
      <w:r>
        <w:rPr>
          <w:rFonts w:ascii="Times New Roman" w:hAnsi="Times New Roman"/>
          <w:sz w:val="22"/>
          <w:szCs w:val="22"/>
          <w:lang w:eastAsia="en-AU"/>
        </w:rPr>
        <w:t>of 420 GL p.a.</w:t>
      </w:r>
      <w:r w:rsidRPr="008452FA">
        <w:rPr>
          <w:rFonts w:ascii="Times New Roman" w:hAnsi="Times New Roman"/>
          <w:sz w:val="22"/>
          <w:szCs w:val="22"/>
          <w:lang w:eastAsia="en-AU"/>
        </w:rPr>
        <w:t xml:space="preserve"> The opportunity cost </w:t>
      </w:r>
      <w:r>
        <w:rPr>
          <w:rFonts w:ascii="Times New Roman" w:hAnsi="Times New Roman"/>
          <w:sz w:val="22"/>
          <w:szCs w:val="22"/>
          <w:lang w:eastAsia="en-AU"/>
        </w:rPr>
        <w:t xml:space="preserve">(~$420m p.a.) </w:t>
      </w:r>
      <w:r w:rsidRPr="008452FA">
        <w:rPr>
          <w:rFonts w:ascii="Times New Roman" w:hAnsi="Times New Roman"/>
          <w:sz w:val="22"/>
          <w:szCs w:val="22"/>
          <w:lang w:eastAsia="en-AU"/>
        </w:rPr>
        <w:t>of this water evaporating each year</w:t>
      </w:r>
      <w:r>
        <w:rPr>
          <w:rFonts w:ascii="Times New Roman" w:hAnsi="Times New Roman"/>
          <w:sz w:val="22"/>
          <w:szCs w:val="22"/>
          <w:lang w:eastAsia="en-AU"/>
        </w:rPr>
        <w:t xml:space="preserve">, </w:t>
      </w:r>
      <w:r w:rsidRPr="008452FA">
        <w:rPr>
          <w:rFonts w:ascii="Times New Roman" w:hAnsi="Times New Roman"/>
          <w:sz w:val="22"/>
          <w:szCs w:val="22"/>
          <w:lang w:eastAsia="en-AU"/>
        </w:rPr>
        <w:t>is realised by downstream irrigators, communities and ecosystems. Furthermore, to provide drought security, substantial volumes (~300 GL) of water are retained in the MLS in order to secure Broken Hill’s water requirements (&lt;10 GL/yr). As shown in the Millennium Drought, this strategy proved inadequate, with water supplied to Broken Hill at times exceeding the Australian Drinking Water Guidelines (ADWG 2011).</w:t>
      </w:r>
    </w:p>
    <w:bookmarkEnd w:id="12"/>
    <w:bookmarkEnd w:id="13"/>
    <w:p w:rsidR="00F03DF2" w:rsidRPr="008452FA" w:rsidRDefault="00F03DF2" w:rsidP="00F03DF2">
      <w:pPr>
        <w:pStyle w:val="Level11"/>
        <w:numPr>
          <w:ilvl w:val="0"/>
          <w:numId w:val="0"/>
        </w:numPr>
        <w:spacing w:before="0"/>
        <w:rPr>
          <w:rFonts w:ascii="Times New Roman" w:hAnsi="Times New Roman"/>
          <w:sz w:val="22"/>
          <w:szCs w:val="22"/>
          <w:lang w:eastAsia="en-AU"/>
        </w:rPr>
      </w:pPr>
      <w:r w:rsidRPr="008452FA">
        <w:rPr>
          <w:rFonts w:ascii="Times New Roman" w:hAnsi="Times New Roman"/>
          <w:sz w:val="22"/>
          <w:szCs w:val="22"/>
          <w:lang w:eastAsia="en-AU"/>
        </w:rPr>
        <w:t xml:space="preserve">Changing the management of the MLS to provide enhanced water security for Broken Hill and reduce these evaporative losses is possible, but Broken Hill’s water supply would first need to become less reliant on the </w:t>
      </w:r>
      <w:smartTag w:uri="urn:schemas-microsoft-com:office:smarttags" w:element="stockticker">
        <w:r w:rsidRPr="008452FA">
          <w:rPr>
            <w:rFonts w:ascii="Times New Roman" w:hAnsi="Times New Roman"/>
            <w:sz w:val="22"/>
            <w:szCs w:val="22"/>
            <w:lang w:eastAsia="en-AU"/>
          </w:rPr>
          <w:t>MLS</w:t>
        </w:r>
      </w:smartTag>
      <w:r w:rsidRPr="008452FA">
        <w:rPr>
          <w:rFonts w:ascii="Times New Roman" w:hAnsi="Times New Roman"/>
          <w:sz w:val="22"/>
          <w:szCs w:val="22"/>
          <w:lang w:eastAsia="en-AU"/>
        </w:rPr>
        <w:t>. To address these issues, in 2008 the Australian Government confirmed its 2007 election policy commitment to invest up to $400 million to reduce evaporation and improve water efficiency at the MLS, secure Broken Hill’s water supply, protect the local environment and heritage, and return up to 200 GL to the Basin. As part of a broader suite of scientific and technical investigations, the Broken Hill Managed Aquifer Recharge (BHMAR) project was tasked with assessing the viability of Managed Aquifer Recharge (MAR) and/or groundwater extraction options to provide improved drought security for Broken Hill. An initial scoping study assessed options within a 150</w:t>
      </w:r>
      <w:r w:rsidR="006748C2">
        <w:rPr>
          <w:rFonts w:ascii="Times New Roman" w:hAnsi="Times New Roman"/>
          <w:sz w:val="22"/>
          <w:szCs w:val="22"/>
          <w:lang w:eastAsia="en-AU"/>
        </w:rPr>
        <w:t xml:space="preserve"> </w:t>
      </w:r>
      <w:r w:rsidRPr="008452FA">
        <w:rPr>
          <w:rFonts w:ascii="Times New Roman" w:hAnsi="Times New Roman"/>
          <w:sz w:val="22"/>
          <w:szCs w:val="22"/>
          <w:lang w:eastAsia="en-AU"/>
        </w:rPr>
        <w:t>km radius of Broken Hill, while Phase 1 of the BHMAR project narrowed the search to an area of the Darling Floodplain near Menindee. Based on the findings of these scoping studies, the BHMAR project was subsequently tasked with identifying and assessing:</w:t>
      </w:r>
    </w:p>
    <w:p w:rsidR="00F03DF2" w:rsidRPr="008452FA" w:rsidRDefault="00F03DF2" w:rsidP="00F03DF2">
      <w:pPr>
        <w:pStyle w:val="Level11"/>
        <w:numPr>
          <w:ilvl w:val="0"/>
          <w:numId w:val="36"/>
        </w:numPr>
        <w:tabs>
          <w:tab w:val="clear" w:pos="1133"/>
          <w:tab w:val="num" w:pos="720"/>
        </w:tabs>
        <w:spacing w:before="60"/>
        <w:ind w:left="714" w:hanging="357"/>
        <w:rPr>
          <w:rFonts w:ascii="Times New Roman" w:hAnsi="Times New Roman"/>
          <w:sz w:val="22"/>
          <w:szCs w:val="22"/>
          <w:lang w:eastAsia="en-AU"/>
        </w:rPr>
      </w:pPr>
      <w:r w:rsidRPr="008452FA">
        <w:rPr>
          <w:rFonts w:ascii="Times New Roman" w:hAnsi="Times New Roman"/>
          <w:sz w:val="22"/>
          <w:szCs w:val="22"/>
          <w:lang w:eastAsia="en-AU"/>
        </w:rPr>
        <w:t>Alternative groundwater-related water supply options for Broken Hill that could provide enhanced drought security for periods up to 3 years (~30 GL), within 20</w:t>
      </w:r>
      <w:r w:rsidR="006748C2">
        <w:rPr>
          <w:rFonts w:ascii="Times New Roman" w:hAnsi="Times New Roman"/>
          <w:sz w:val="22"/>
          <w:szCs w:val="22"/>
          <w:lang w:eastAsia="en-AU"/>
        </w:rPr>
        <w:t xml:space="preserve"> </w:t>
      </w:r>
      <w:r w:rsidRPr="008452FA">
        <w:rPr>
          <w:rFonts w:ascii="Times New Roman" w:hAnsi="Times New Roman"/>
          <w:sz w:val="22"/>
          <w:szCs w:val="22"/>
          <w:lang w:eastAsia="en-AU"/>
        </w:rPr>
        <w:t xml:space="preserve">km of existing water and energy infrastructure at Menindee. </w:t>
      </w:r>
    </w:p>
    <w:p w:rsidR="00F03DF2" w:rsidRPr="008452FA" w:rsidRDefault="00653737" w:rsidP="00F03DF2">
      <w:pPr>
        <w:pStyle w:val="Level11"/>
        <w:numPr>
          <w:ilvl w:val="0"/>
          <w:numId w:val="36"/>
        </w:numPr>
        <w:tabs>
          <w:tab w:val="clear" w:pos="1133"/>
          <w:tab w:val="num" w:pos="720"/>
        </w:tabs>
        <w:spacing w:before="0" w:after="60"/>
        <w:ind w:left="714" w:hanging="357"/>
        <w:rPr>
          <w:rFonts w:ascii="Times New Roman" w:hAnsi="Times New Roman"/>
          <w:sz w:val="22"/>
          <w:szCs w:val="22"/>
          <w:lang w:eastAsia="en-AU"/>
        </w:rPr>
      </w:pPr>
      <w:r>
        <w:rPr>
          <w:rFonts w:ascii="Times New Roman" w:hAnsi="Times New Roman"/>
          <w:sz w:val="22"/>
          <w:szCs w:val="22"/>
          <w:lang w:eastAsia="en-AU"/>
        </w:rPr>
        <w:t>P</w:t>
      </w:r>
      <w:r w:rsidR="00F03DF2" w:rsidRPr="008452FA">
        <w:rPr>
          <w:rFonts w:ascii="Times New Roman" w:hAnsi="Times New Roman"/>
          <w:sz w:val="22"/>
          <w:szCs w:val="22"/>
          <w:lang w:eastAsia="en-AU"/>
        </w:rPr>
        <w:t xml:space="preserve">otential MAR opportunities </w:t>
      </w:r>
      <w:r>
        <w:rPr>
          <w:rFonts w:ascii="Times New Roman" w:hAnsi="Times New Roman"/>
          <w:sz w:val="22"/>
          <w:szCs w:val="22"/>
          <w:lang w:eastAsia="en-AU"/>
        </w:rPr>
        <w:t>and g</w:t>
      </w:r>
      <w:r w:rsidRPr="008452FA">
        <w:rPr>
          <w:rFonts w:ascii="Times New Roman" w:hAnsi="Times New Roman"/>
          <w:sz w:val="22"/>
          <w:szCs w:val="22"/>
          <w:lang w:eastAsia="en-AU"/>
        </w:rPr>
        <w:t xml:space="preserve">roundwater resources </w:t>
      </w:r>
      <w:r w:rsidR="00F03DF2" w:rsidRPr="008452FA">
        <w:rPr>
          <w:rFonts w:ascii="Times New Roman" w:hAnsi="Times New Roman"/>
          <w:sz w:val="22"/>
          <w:szCs w:val="22"/>
          <w:lang w:eastAsia="en-AU"/>
        </w:rPr>
        <w:t xml:space="preserve">that could provide enhanced drought security </w:t>
      </w:r>
      <w:r>
        <w:rPr>
          <w:rFonts w:ascii="Times New Roman" w:hAnsi="Times New Roman"/>
          <w:sz w:val="22"/>
          <w:szCs w:val="22"/>
          <w:lang w:eastAsia="en-AU"/>
        </w:rPr>
        <w:t xml:space="preserve">and promote regional development </w:t>
      </w:r>
      <w:r w:rsidR="00F03DF2" w:rsidRPr="008452FA">
        <w:rPr>
          <w:rFonts w:ascii="Times New Roman" w:hAnsi="Times New Roman"/>
          <w:sz w:val="22"/>
          <w:szCs w:val="22"/>
          <w:lang w:eastAsia="en-AU"/>
        </w:rPr>
        <w:t>for communities and industries</w:t>
      </w:r>
      <w:r>
        <w:rPr>
          <w:rFonts w:ascii="Times New Roman" w:hAnsi="Times New Roman"/>
          <w:sz w:val="22"/>
          <w:szCs w:val="22"/>
          <w:lang w:eastAsia="en-AU"/>
        </w:rPr>
        <w:t xml:space="preserve"> (e.g. agriculture and mining) across a </w:t>
      </w:r>
      <w:r w:rsidR="00F03DF2" w:rsidRPr="008452FA">
        <w:rPr>
          <w:rFonts w:ascii="Times New Roman" w:hAnsi="Times New Roman"/>
          <w:sz w:val="22"/>
          <w:szCs w:val="22"/>
          <w:lang w:eastAsia="en-AU"/>
        </w:rPr>
        <w:t>larger area (~7,500 km</w:t>
      </w:r>
      <w:r w:rsidR="00F03DF2" w:rsidRPr="008452FA">
        <w:rPr>
          <w:rFonts w:ascii="Times New Roman" w:hAnsi="Times New Roman"/>
          <w:sz w:val="22"/>
          <w:szCs w:val="22"/>
          <w:vertAlign w:val="superscript"/>
          <w:lang w:eastAsia="en-AU"/>
        </w:rPr>
        <w:t>2</w:t>
      </w:r>
      <w:r w:rsidR="00F03DF2" w:rsidRPr="008452FA">
        <w:rPr>
          <w:rFonts w:ascii="Times New Roman" w:hAnsi="Times New Roman"/>
          <w:sz w:val="22"/>
          <w:szCs w:val="22"/>
          <w:lang w:eastAsia="en-AU"/>
        </w:rPr>
        <w:t xml:space="preserve">) of the Darling Floodplain. </w:t>
      </w:r>
    </w:p>
    <w:p w:rsidR="00F03DF2" w:rsidRDefault="00F03DF2" w:rsidP="003C2E87">
      <w:pPr>
        <w:pStyle w:val="Level11"/>
        <w:numPr>
          <w:ilvl w:val="0"/>
          <w:numId w:val="0"/>
        </w:numPr>
        <w:spacing w:before="120" w:after="120"/>
        <w:rPr>
          <w:rFonts w:ascii="Times New Roman" w:hAnsi="Times New Roman"/>
          <w:sz w:val="22"/>
          <w:szCs w:val="22"/>
        </w:rPr>
      </w:pPr>
      <w:r w:rsidRPr="008452FA">
        <w:rPr>
          <w:rFonts w:ascii="Times New Roman" w:hAnsi="Times New Roman"/>
          <w:sz w:val="22"/>
          <w:szCs w:val="22"/>
          <w:lang w:eastAsia="en-AU"/>
        </w:rPr>
        <w:t xml:space="preserve">This report summarises the scientific findings of the BHMAR study (Phases 1-3) and provides a synopsis of the revised geological and hydrogeological framework, hydrogeological conceptual model, potential groundwater </w:t>
      </w:r>
      <w:r w:rsidR="00564741">
        <w:rPr>
          <w:rFonts w:ascii="Times New Roman" w:hAnsi="Times New Roman"/>
          <w:sz w:val="22"/>
          <w:szCs w:val="22"/>
          <w:lang w:eastAsia="en-AU"/>
        </w:rPr>
        <w:t>resources across the study area</w:t>
      </w:r>
      <w:r w:rsidRPr="008452FA">
        <w:rPr>
          <w:rFonts w:ascii="Times New Roman" w:hAnsi="Times New Roman"/>
          <w:sz w:val="22"/>
          <w:szCs w:val="22"/>
          <w:lang w:eastAsia="en-AU"/>
        </w:rPr>
        <w:t xml:space="preserve"> and possible alternative water supply options for Broken Hill. </w:t>
      </w:r>
      <w:r w:rsidRPr="008452FA">
        <w:rPr>
          <w:rFonts w:ascii="Times New Roman" w:hAnsi="Times New Roman"/>
          <w:sz w:val="22"/>
          <w:szCs w:val="22"/>
        </w:rPr>
        <w:t xml:space="preserve">This report is supported by four accompanying scientific and technical reports (Lawrie </w:t>
      </w:r>
      <w:r w:rsidRPr="008452FA">
        <w:rPr>
          <w:rFonts w:ascii="Times New Roman" w:hAnsi="Times New Roman"/>
          <w:i/>
          <w:sz w:val="22"/>
          <w:szCs w:val="22"/>
        </w:rPr>
        <w:t>et al.,</w:t>
      </w:r>
      <w:r w:rsidRPr="008452FA">
        <w:rPr>
          <w:rFonts w:ascii="Times New Roman" w:hAnsi="Times New Roman"/>
          <w:sz w:val="22"/>
          <w:szCs w:val="22"/>
        </w:rPr>
        <w:t xml:space="preserve"> 2012a, b, c, d). Additional data and sub-contractor reports are included in fifteen accompanying appendix volumes (see Chapter 4), and in the BHMAR project GIS (</w:t>
      </w:r>
      <w:r>
        <w:rPr>
          <w:rFonts w:ascii="Times New Roman" w:hAnsi="Times New Roman"/>
          <w:sz w:val="22"/>
          <w:szCs w:val="22"/>
        </w:rPr>
        <w:t>Gow</w:t>
      </w:r>
      <w:r w:rsidRPr="008452FA">
        <w:rPr>
          <w:rFonts w:ascii="Times New Roman" w:hAnsi="Times New Roman"/>
          <w:sz w:val="22"/>
          <w:szCs w:val="22"/>
        </w:rPr>
        <w:t xml:space="preserve"> </w:t>
      </w:r>
      <w:r w:rsidRPr="008452FA">
        <w:rPr>
          <w:rFonts w:ascii="Times New Roman" w:hAnsi="Times New Roman"/>
          <w:i/>
          <w:sz w:val="22"/>
          <w:szCs w:val="22"/>
        </w:rPr>
        <w:t>et al</w:t>
      </w:r>
      <w:r w:rsidRPr="008452FA">
        <w:rPr>
          <w:rFonts w:ascii="Times New Roman" w:hAnsi="Times New Roman"/>
          <w:sz w:val="22"/>
          <w:szCs w:val="22"/>
        </w:rPr>
        <w:t xml:space="preserve">., 2012a). 3D models of the data are also contained in the project GIS. The data and interpretations in these final reports supersede all previous interpretations contained in earlier interim reports (Lawrie </w:t>
      </w:r>
      <w:r w:rsidRPr="008452FA">
        <w:rPr>
          <w:rFonts w:ascii="Times New Roman" w:hAnsi="Times New Roman"/>
          <w:i/>
          <w:sz w:val="22"/>
          <w:szCs w:val="22"/>
        </w:rPr>
        <w:t>et al.,</w:t>
      </w:r>
      <w:r w:rsidRPr="008452FA">
        <w:rPr>
          <w:rFonts w:ascii="Times New Roman" w:hAnsi="Times New Roman"/>
          <w:sz w:val="22"/>
          <w:szCs w:val="22"/>
        </w:rPr>
        <w:t xml:space="preserve"> 2008a; 2009a</w:t>
      </w:r>
      <w:r w:rsidR="003C2E87">
        <w:rPr>
          <w:rFonts w:ascii="Times New Roman" w:hAnsi="Times New Roman"/>
          <w:sz w:val="22"/>
          <w:szCs w:val="22"/>
        </w:rPr>
        <w:t xml:space="preserve">; 2010a, b, 2011). </w:t>
      </w:r>
      <w:r w:rsidRPr="008452FA">
        <w:rPr>
          <w:rFonts w:ascii="Times New Roman" w:hAnsi="Times New Roman"/>
          <w:sz w:val="22"/>
          <w:szCs w:val="22"/>
        </w:rPr>
        <w:t xml:space="preserve">The final project reports have been reviewed internally by scientific experts within </w:t>
      </w:r>
      <w:r w:rsidR="00736DF8">
        <w:rPr>
          <w:rFonts w:ascii="Times New Roman" w:hAnsi="Times New Roman"/>
          <w:sz w:val="22"/>
          <w:szCs w:val="22"/>
        </w:rPr>
        <w:t>Geoscience Australia (GA) and CSIRO</w:t>
      </w:r>
      <w:r w:rsidRPr="008452FA">
        <w:rPr>
          <w:rFonts w:ascii="Times New Roman" w:hAnsi="Times New Roman"/>
          <w:sz w:val="22"/>
          <w:szCs w:val="22"/>
        </w:rPr>
        <w:t xml:space="preserve">; externally reviewed by independent consultants within Australia, as well as by an expert panel from the United States Geological Survey (USGS). The project was guided by a Steering Committee with representatives from the Australian and </w:t>
      </w:r>
      <w:smartTag w:uri="urn:schemas-microsoft-com:office:smarttags" w:element="place">
        <w:smartTag w:uri="urn:schemas-microsoft-com:office:smarttags" w:element="State">
          <w:r w:rsidRPr="008452FA">
            <w:rPr>
              <w:rFonts w:ascii="Times New Roman" w:hAnsi="Times New Roman"/>
              <w:sz w:val="22"/>
              <w:szCs w:val="22"/>
            </w:rPr>
            <w:t>New South Wales</w:t>
          </w:r>
        </w:smartTag>
      </w:smartTag>
      <w:r w:rsidRPr="008452FA">
        <w:rPr>
          <w:rFonts w:ascii="Times New Roman" w:hAnsi="Times New Roman"/>
          <w:sz w:val="22"/>
          <w:szCs w:val="22"/>
        </w:rPr>
        <w:t xml:space="preserve"> governments. The project is managed by the Australian Government Department of </w:t>
      </w:r>
      <w:r w:rsidR="003C2E87">
        <w:rPr>
          <w:rFonts w:ascii="Times New Roman" w:hAnsi="Times New Roman"/>
          <w:sz w:val="22"/>
          <w:szCs w:val="22"/>
        </w:rPr>
        <w:t xml:space="preserve">the Environment, previously the Department of </w:t>
      </w:r>
      <w:r w:rsidRPr="008452FA">
        <w:rPr>
          <w:rFonts w:ascii="Times New Roman" w:hAnsi="Times New Roman"/>
          <w:sz w:val="22"/>
          <w:szCs w:val="22"/>
        </w:rPr>
        <w:t>Sustainability, Environment, Water, Population and Communities (SEWPaC).</w:t>
      </w:r>
    </w:p>
    <w:p w:rsidR="00470015" w:rsidRPr="00DD1E35" w:rsidRDefault="00470015" w:rsidP="00592641">
      <w:pPr>
        <w:spacing w:before="120"/>
        <w:rPr>
          <w:b/>
          <w:color w:val="3366FF"/>
          <w:sz w:val="32"/>
          <w:szCs w:val="32"/>
          <w:lang w:eastAsia="en-US"/>
        </w:rPr>
      </w:pPr>
      <w:r w:rsidRPr="00DD1E35">
        <w:rPr>
          <w:b/>
          <w:color w:val="3366FF"/>
          <w:sz w:val="32"/>
          <w:szCs w:val="32"/>
          <w:lang w:eastAsia="en-US"/>
        </w:rPr>
        <w:lastRenderedPageBreak/>
        <w:t>KEY FINDINGS</w:t>
      </w:r>
    </w:p>
    <w:p w:rsidR="00032603" w:rsidRPr="00032603" w:rsidRDefault="00E9008C" w:rsidP="00592641">
      <w:pPr>
        <w:tabs>
          <w:tab w:val="num" w:pos="2517"/>
        </w:tabs>
        <w:spacing w:before="120" w:after="120"/>
        <w:rPr>
          <w:b/>
          <w:szCs w:val="22"/>
        </w:rPr>
      </w:pPr>
      <w:r>
        <w:rPr>
          <w:b/>
          <w:szCs w:val="22"/>
        </w:rPr>
        <w:t>Securing Broken Hill’s Water Supply</w:t>
      </w:r>
    </w:p>
    <w:p w:rsidR="00F32C95" w:rsidRPr="008452FA" w:rsidRDefault="00B750E4" w:rsidP="00381FA9">
      <w:pPr>
        <w:numPr>
          <w:ilvl w:val="1"/>
          <w:numId w:val="35"/>
        </w:numPr>
        <w:tabs>
          <w:tab w:val="clear" w:pos="1080"/>
          <w:tab w:val="num" w:pos="540"/>
          <w:tab w:val="num" w:pos="2517"/>
        </w:tabs>
        <w:spacing w:before="60"/>
        <w:ind w:left="540" w:hanging="540"/>
        <w:rPr>
          <w:szCs w:val="22"/>
        </w:rPr>
      </w:pPr>
      <w:bookmarkStart w:id="14" w:name="OLE_LINK5"/>
      <w:bookmarkStart w:id="15" w:name="OLE_LINK6"/>
      <w:r w:rsidRPr="008452FA">
        <w:rPr>
          <w:szCs w:val="22"/>
        </w:rPr>
        <w:t xml:space="preserve">Investigations to secure Broken Hill’s water supply have identified </w:t>
      </w:r>
      <w:r w:rsidR="00F32C95" w:rsidRPr="008452FA">
        <w:rPr>
          <w:szCs w:val="22"/>
        </w:rPr>
        <w:t>a priority site that could provide enhanced drought security for Broken Hill. There are a number of groundwater-related options at this site, all of which</w:t>
      </w:r>
      <w:r w:rsidRPr="008452FA">
        <w:rPr>
          <w:szCs w:val="22"/>
        </w:rPr>
        <w:t xml:space="preserve"> take a conjunctive approach </w:t>
      </w:r>
      <w:r w:rsidR="00F32C95" w:rsidRPr="008452FA">
        <w:rPr>
          <w:szCs w:val="22"/>
        </w:rPr>
        <w:t xml:space="preserve">to water management </w:t>
      </w:r>
      <w:r w:rsidRPr="008452FA">
        <w:rPr>
          <w:szCs w:val="22"/>
        </w:rPr>
        <w:t xml:space="preserve">by combining the continued use of river water </w:t>
      </w:r>
      <w:r w:rsidR="00E655C7" w:rsidRPr="008452FA">
        <w:rPr>
          <w:szCs w:val="22"/>
        </w:rPr>
        <w:t>when surface water is abundant</w:t>
      </w:r>
      <w:r w:rsidRPr="008452FA">
        <w:rPr>
          <w:szCs w:val="22"/>
        </w:rPr>
        <w:t xml:space="preserve">, with groundwater extraction during drought conditions. </w:t>
      </w:r>
    </w:p>
    <w:p w:rsidR="00F32C95" w:rsidRPr="008452FA" w:rsidRDefault="00B750E4" w:rsidP="00F32C95">
      <w:pPr>
        <w:numPr>
          <w:ilvl w:val="1"/>
          <w:numId w:val="35"/>
        </w:numPr>
        <w:tabs>
          <w:tab w:val="clear" w:pos="1080"/>
          <w:tab w:val="num" w:pos="540"/>
          <w:tab w:val="num" w:pos="2517"/>
        </w:tabs>
        <w:spacing w:before="60"/>
        <w:ind w:left="540" w:hanging="540"/>
        <w:rPr>
          <w:szCs w:val="22"/>
        </w:rPr>
      </w:pPr>
      <w:r w:rsidRPr="008452FA">
        <w:rPr>
          <w:szCs w:val="22"/>
        </w:rPr>
        <w:t xml:space="preserve">The </w:t>
      </w:r>
      <w:r w:rsidR="00F32C95" w:rsidRPr="008452FA">
        <w:rPr>
          <w:szCs w:val="22"/>
        </w:rPr>
        <w:t>Jimargil priority site is</w:t>
      </w:r>
      <w:r w:rsidRPr="008452FA">
        <w:rPr>
          <w:szCs w:val="22"/>
        </w:rPr>
        <w:t xml:space="preserve"> l</w:t>
      </w:r>
      <w:r w:rsidR="00F32C95" w:rsidRPr="008452FA">
        <w:rPr>
          <w:szCs w:val="22"/>
        </w:rPr>
        <w:t>ocated 10-15</w:t>
      </w:r>
      <w:r w:rsidR="00AF0556">
        <w:rPr>
          <w:szCs w:val="22"/>
        </w:rPr>
        <w:t xml:space="preserve"> </w:t>
      </w:r>
      <w:r w:rsidR="00F32C95" w:rsidRPr="008452FA">
        <w:rPr>
          <w:szCs w:val="22"/>
        </w:rPr>
        <w:t xml:space="preserve">km SSW of </w:t>
      </w:r>
      <w:r w:rsidR="00C217F0" w:rsidRPr="008452FA">
        <w:rPr>
          <w:szCs w:val="22"/>
        </w:rPr>
        <w:t xml:space="preserve">Menindee </w:t>
      </w:r>
      <w:r w:rsidR="0061356C" w:rsidRPr="008452FA">
        <w:rPr>
          <w:szCs w:val="22"/>
        </w:rPr>
        <w:t>(Figure A)</w:t>
      </w:r>
      <w:r w:rsidR="00F32C95" w:rsidRPr="008452FA">
        <w:rPr>
          <w:szCs w:val="22"/>
        </w:rPr>
        <w:t xml:space="preserve">. </w:t>
      </w:r>
      <w:r w:rsidRPr="008452FA">
        <w:rPr>
          <w:szCs w:val="22"/>
        </w:rPr>
        <w:t xml:space="preserve">The </w:t>
      </w:r>
      <w:r w:rsidR="0038584A" w:rsidRPr="008452FA">
        <w:rPr>
          <w:szCs w:val="22"/>
        </w:rPr>
        <w:t>three</w:t>
      </w:r>
      <w:r w:rsidR="00BD7241" w:rsidRPr="008452FA">
        <w:rPr>
          <w:szCs w:val="22"/>
        </w:rPr>
        <w:t xml:space="preserve"> </w:t>
      </w:r>
      <w:r w:rsidR="004F3EF9" w:rsidRPr="008452FA">
        <w:rPr>
          <w:szCs w:val="22"/>
        </w:rPr>
        <w:t xml:space="preserve">groundwater-related </w:t>
      </w:r>
      <w:r w:rsidRPr="008452FA">
        <w:rPr>
          <w:szCs w:val="22"/>
        </w:rPr>
        <w:t xml:space="preserve">options </w:t>
      </w:r>
      <w:r w:rsidR="00F32C95" w:rsidRPr="008452FA">
        <w:rPr>
          <w:szCs w:val="22"/>
        </w:rPr>
        <w:t>at this</w:t>
      </w:r>
      <w:r w:rsidRPr="008452FA">
        <w:rPr>
          <w:szCs w:val="22"/>
        </w:rPr>
        <w:t xml:space="preserve"> site </w:t>
      </w:r>
      <w:r w:rsidR="00BD7241" w:rsidRPr="008452FA">
        <w:rPr>
          <w:szCs w:val="22"/>
        </w:rPr>
        <w:t>are</w:t>
      </w:r>
      <w:r w:rsidRPr="008452FA">
        <w:rPr>
          <w:szCs w:val="22"/>
        </w:rPr>
        <w:t xml:space="preserve"> </w:t>
      </w:r>
      <w:r w:rsidR="0038584A" w:rsidRPr="008452FA">
        <w:rPr>
          <w:szCs w:val="22"/>
        </w:rPr>
        <w:t xml:space="preserve">(1) </w:t>
      </w:r>
      <w:r w:rsidRPr="008452FA">
        <w:rPr>
          <w:szCs w:val="22"/>
        </w:rPr>
        <w:t>Aquifer Storage and Recovery (ASR)</w:t>
      </w:r>
      <w:r w:rsidR="0038584A" w:rsidRPr="008452FA">
        <w:rPr>
          <w:szCs w:val="22"/>
        </w:rPr>
        <w:t xml:space="preserve"> involving injection of treated surface water, via bores, to be later recovered from the aquifer during droughts (2) a combination of ASR and </w:t>
      </w:r>
      <w:r w:rsidRPr="008452FA">
        <w:rPr>
          <w:szCs w:val="22"/>
        </w:rPr>
        <w:t>bank filtration, and</w:t>
      </w:r>
      <w:r w:rsidR="0038584A" w:rsidRPr="008452FA">
        <w:rPr>
          <w:szCs w:val="22"/>
        </w:rPr>
        <w:t xml:space="preserve"> (3)</w:t>
      </w:r>
      <w:r w:rsidRPr="008452FA">
        <w:rPr>
          <w:szCs w:val="22"/>
        </w:rPr>
        <w:t xml:space="preserve"> groundwater extraction. </w:t>
      </w:r>
      <w:r w:rsidR="00F32C95" w:rsidRPr="008452FA">
        <w:rPr>
          <w:szCs w:val="22"/>
        </w:rPr>
        <w:t xml:space="preserve">All options utilise the </w:t>
      </w:r>
      <w:r w:rsidR="00C217F0" w:rsidRPr="008452FA">
        <w:rPr>
          <w:szCs w:val="22"/>
        </w:rPr>
        <w:t>Calivil Formation</w:t>
      </w:r>
      <w:r w:rsidR="00F32C95" w:rsidRPr="008452FA">
        <w:rPr>
          <w:szCs w:val="22"/>
        </w:rPr>
        <w:t xml:space="preserve"> aquifer.</w:t>
      </w:r>
    </w:p>
    <w:p w:rsidR="00F32C95" w:rsidRPr="008452FA" w:rsidRDefault="00B750E4" w:rsidP="00F32C95">
      <w:pPr>
        <w:numPr>
          <w:ilvl w:val="2"/>
          <w:numId w:val="35"/>
        </w:numPr>
        <w:tabs>
          <w:tab w:val="clear" w:pos="1800"/>
          <w:tab w:val="num" w:pos="1080"/>
          <w:tab w:val="num" w:pos="2517"/>
        </w:tabs>
        <w:spacing w:before="60"/>
        <w:ind w:left="1080" w:hanging="360"/>
        <w:rPr>
          <w:szCs w:val="22"/>
        </w:rPr>
      </w:pPr>
      <w:r w:rsidRPr="008452FA">
        <w:rPr>
          <w:szCs w:val="22"/>
        </w:rPr>
        <w:t xml:space="preserve">Cost-benefit and technical feasibility studies are required to </w:t>
      </w:r>
      <w:r w:rsidR="00F32C95" w:rsidRPr="008452FA">
        <w:rPr>
          <w:szCs w:val="22"/>
        </w:rPr>
        <w:t>confirm</w:t>
      </w:r>
      <w:r w:rsidRPr="008452FA">
        <w:rPr>
          <w:szCs w:val="22"/>
        </w:rPr>
        <w:t xml:space="preserve"> which options would be the most appropriate</w:t>
      </w:r>
      <w:r w:rsidR="00F32C95" w:rsidRPr="008452FA">
        <w:rPr>
          <w:szCs w:val="22"/>
        </w:rPr>
        <w:t xml:space="preserve"> at this site. However, risk assessments using national MAR and drinking water quality guidelines have found that ASR would provide sign</w:t>
      </w:r>
      <w:r w:rsidR="004F3EF9" w:rsidRPr="008452FA">
        <w:rPr>
          <w:szCs w:val="22"/>
        </w:rPr>
        <w:t>i</w:t>
      </w:r>
      <w:r w:rsidR="00F32C95" w:rsidRPr="008452FA">
        <w:rPr>
          <w:szCs w:val="22"/>
        </w:rPr>
        <w:t xml:space="preserve">ficant long-term drought security (&gt; 3 years), with high recovery efficiencies (&gt;90%) achieved. The main risks associated with ASR are biological, physical and chemical clogging related to the mixing of oxygenated river source water with more reduced ambient groundwater. </w:t>
      </w:r>
      <w:r w:rsidR="00BB32D8" w:rsidRPr="008452FA">
        <w:rPr>
          <w:szCs w:val="22"/>
        </w:rPr>
        <w:t>While A</w:t>
      </w:r>
      <w:r w:rsidR="00F32C95" w:rsidRPr="008452FA">
        <w:rPr>
          <w:szCs w:val="22"/>
        </w:rPr>
        <w:t>SR at this site has a moderate to high technical risk due to the pioneering nature of the project</w:t>
      </w:r>
      <w:r w:rsidR="00BB32D8" w:rsidRPr="008452FA">
        <w:rPr>
          <w:szCs w:val="22"/>
        </w:rPr>
        <w:t>,</w:t>
      </w:r>
      <w:r w:rsidR="00F32C95" w:rsidRPr="008452FA">
        <w:rPr>
          <w:szCs w:val="22"/>
        </w:rPr>
        <w:t xml:space="preserve"> </w:t>
      </w:r>
      <w:r w:rsidR="00F32C95" w:rsidRPr="008452FA">
        <w:rPr>
          <w:b/>
          <w:i/>
          <w:szCs w:val="22"/>
        </w:rPr>
        <w:t>residual risks have been assessed as low</w:t>
      </w:r>
      <w:r w:rsidR="00F32C95" w:rsidRPr="008452FA">
        <w:rPr>
          <w:szCs w:val="22"/>
        </w:rPr>
        <w:t xml:space="preserve"> for human health and the environment if the supplementary treatment trains are included.</w:t>
      </w:r>
    </w:p>
    <w:p w:rsidR="00F32C95" w:rsidRPr="008452FA" w:rsidRDefault="001C7AC4" w:rsidP="00F32C95">
      <w:pPr>
        <w:numPr>
          <w:ilvl w:val="2"/>
          <w:numId w:val="35"/>
        </w:numPr>
        <w:tabs>
          <w:tab w:val="clear" w:pos="1800"/>
          <w:tab w:val="num" w:pos="1080"/>
          <w:tab w:val="num" w:pos="2517"/>
        </w:tabs>
        <w:spacing w:before="60"/>
        <w:ind w:left="1080" w:hanging="360"/>
        <w:rPr>
          <w:szCs w:val="22"/>
        </w:rPr>
      </w:pPr>
      <w:r w:rsidRPr="008452FA">
        <w:rPr>
          <w:szCs w:val="22"/>
        </w:rPr>
        <w:t>One</w:t>
      </w:r>
      <w:r w:rsidR="0038584A" w:rsidRPr="008452FA">
        <w:rPr>
          <w:szCs w:val="22"/>
        </w:rPr>
        <w:t xml:space="preserve"> option is to combine ASR with</w:t>
      </w:r>
      <w:r w:rsidR="00343466" w:rsidRPr="008452FA">
        <w:rPr>
          <w:szCs w:val="22"/>
        </w:rPr>
        <w:t xml:space="preserve"> </w:t>
      </w:r>
      <w:r w:rsidR="0038584A" w:rsidRPr="008452FA">
        <w:rPr>
          <w:szCs w:val="22"/>
        </w:rPr>
        <w:t>bank filtration, involving pumping from near-river shallow bores during high flows.</w:t>
      </w:r>
      <w:r w:rsidR="00F32C95" w:rsidRPr="008452FA">
        <w:rPr>
          <w:szCs w:val="22"/>
        </w:rPr>
        <w:t xml:space="preserve"> Costs associated with this option </w:t>
      </w:r>
      <w:r w:rsidR="0038584A" w:rsidRPr="008452FA">
        <w:rPr>
          <w:szCs w:val="22"/>
        </w:rPr>
        <w:t>c</w:t>
      </w:r>
      <w:r w:rsidR="00F32C95" w:rsidRPr="008452FA">
        <w:rPr>
          <w:szCs w:val="22"/>
        </w:rPr>
        <w:t xml:space="preserve">ould be lower than </w:t>
      </w:r>
      <w:r w:rsidR="0038584A" w:rsidRPr="008452FA">
        <w:rPr>
          <w:szCs w:val="22"/>
        </w:rPr>
        <w:t xml:space="preserve">the </w:t>
      </w:r>
      <w:r w:rsidR="00F32C95" w:rsidRPr="008452FA">
        <w:rPr>
          <w:szCs w:val="22"/>
        </w:rPr>
        <w:t>ASR</w:t>
      </w:r>
      <w:r w:rsidR="0038584A" w:rsidRPr="008452FA">
        <w:rPr>
          <w:szCs w:val="22"/>
        </w:rPr>
        <w:t>-only option</w:t>
      </w:r>
      <w:r w:rsidR="00F32C95" w:rsidRPr="008452FA">
        <w:rPr>
          <w:szCs w:val="22"/>
        </w:rPr>
        <w:t xml:space="preserve"> due to the </w:t>
      </w:r>
      <w:r w:rsidR="0038584A" w:rsidRPr="008452FA">
        <w:rPr>
          <w:szCs w:val="22"/>
        </w:rPr>
        <w:t>opportunity to use</w:t>
      </w:r>
      <w:r w:rsidR="00F32C95" w:rsidRPr="008452FA">
        <w:rPr>
          <w:szCs w:val="22"/>
        </w:rPr>
        <w:t xml:space="preserve"> natural filtration to treat the </w:t>
      </w:r>
      <w:r w:rsidR="001E1E35" w:rsidRPr="008452FA">
        <w:rPr>
          <w:szCs w:val="22"/>
        </w:rPr>
        <w:t>water</w:t>
      </w:r>
      <w:r w:rsidR="0038584A" w:rsidRPr="008452FA">
        <w:rPr>
          <w:szCs w:val="22"/>
        </w:rPr>
        <w:t xml:space="preserve"> prior to injection into the </w:t>
      </w:r>
      <w:r w:rsidR="00C217F0" w:rsidRPr="008452FA">
        <w:rPr>
          <w:szCs w:val="22"/>
        </w:rPr>
        <w:t>Calivil Formation</w:t>
      </w:r>
      <w:r w:rsidR="00F65D51" w:rsidRPr="008452FA">
        <w:rPr>
          <w:szCs w:val="22"/>
        </w:rPr>
        <w:t xml:space="preserve"> </w:t>
      </w:r>
      <w:r w:rsidR="0038584A" w:rsidRPr="008452FA">
        <w:rPr>
          <w:szCs w:val="22"/>
        </w:rPr>
        <w:t>aquifer. H</w:t>
      </w:r>
      <w:r w:rsidR="00F32C95" w:rsidRPr="008452FA">
        <w:rPr>
          <w:szCs w:val="22"/>
        </w:rPr>
        <w:t xml:space="preserve">owever, risks of negative environmental consequences are higher due to potential impacts on the unconfined aquifer and </w:t>
      </w:r>
      <w:r w:rsidR="00817B2C" w:rsidRPr="008452FA">
        <w:rPr>
          <w:szCs w:val="22"/>
        </w:rPr>
        <w:t xml:space="preserve">any </w:t>
      </w:r>
      <w:r w:rsidR="00F32C95" w:rsidRPr="008452FA">
        <w:rPr>
          <w:szCs w:val="22"/>
        </w:rPr>
        <w:t xml:space="preserve">groundwater dependent vegetation. Further aquifer testing and numerical groundwater modelling are required to evaluate this option fully. </w:t>
      </w:r>
    </w:p>
    <w:p w:rsidR="00F32C95" w:rsidRPr="008452FA" w:rsidRDefault="0079274C" w:rsidP="00F32C95">
      <w:pPr>
        <w:numPr>
          <w:ilvl w:val="2"/>
          <w:numId w:val="35"/>
        </w:numPr>
        <w:tabs>
          <w:tab w:val="clear" w:pos="1800"/>
          <w:tab w:val="num" w:pos="1080"/>
          <w:tab w:val="num" w:pos="2517"/>
        </w:tabs>
        <w:spacing w:before="60"/>
        <w:ind w:left="1080" w:hanging="360"/>
        <w:rPr>
          <w:szCs w:val="22"/>
        </w:rPr>
      </w:pPr>
      <w:smartTag w:uri="urn:schemas-microsoft-com:office:smarttags" w:element="PersonName">
        <w:r w:rsidRPr="008452FA">
          <w:rPr>
            <w:szCs w:val="22"/>
          </w:rPr>
          <w:t>Groundwater</w:t>
        </w:r>
      </w:smartTag>
      <w:r w:rsidRPr="008452FA">
        <w:rPr>
          <w:szCs w:val="22"/>
        </w:rPr>
        <w:t xml:space="preserve"> extraction would deliver a measure of drought security, and may have lower capital and initial treatment costs than ASR</w:t>
      </w:r>
      <w:r w:rsidR="00F32C95" w:rsidRPr="008452FA">
        <w:rPr>
          <w:szCs w:val="22"/>
        </w:rPr>
        <w:t xml:space="preserve"> or bank filtration</w:t>
      </w:r>
      <w:r w:rsidRPr="008452FA">
        <w:rPr>
          <w:szCs w:val="22"/>
        </w:rPr>
        <w:t>. However, numerical groundwater modelling is required to determine the duration and rates of supply possible from this site, and to assess potential environmental impacts from prolonged extraction during drought conditions</w:t>
      </w:r>
      <w:r w:rsidR="001A629E" w:rsidRPr="008452FA">
        <w:rPr>
          <w:szCs w:val="22"/>
        </w:rPr>
        <w:t xml:space="preserve"> when recharge is minimal</w:t>
      </w:r>
      <w:r w:rsidRPr="008452FA">
        <w:rPr>
          <w:szCs w:val="22"/>
        </w:rPr>
        <w:t>. Borefield design and operation would need to be optimised in order to delay the onset of salinity ingress and up-coning, with groundwater</w:t>
      </w:r>
      <w:r w:rsidR="001C1EE8" w:rsidRPr="008452FA">
        <w:rPr>
          <w:szCs w:val="22"/>
        </w:rPr>
        <w:t xml:space="preserve"> flow and solute transport</w:t>
      </w:r>
      <w:r w:rsidRPr="008452FA">
        <w:rPr>
          <w:szCs w:val="22"/>
        </w:rPr>
        <w:t xml:space="preserve"> modelling required to predict </w:t>
      </w:r>
      <w:r w:rsidR="00BD7241" w:rsidRPr="008452FA">
        <w:rPr>
          <w:szCs w:val="22"/>
        </w:rPr>
        <w:t xml:space="preserve">salinisation and </w:t>
      </w:r>
      <w:r w:rsidRPr="008452FA">
        <w:rPr>
          <w:szCs w:val="22"/>
        </w:rPr>
        <w:t>exceed</w:t>
      </w:r>
      <w:r w:rsidR="001E1E35" w:rsidRPr="008452FA">
        <w:rPr>
          <w:szCs w:val="22"/>
        </w:rPr>
        <w:t>a</w:t>
      </w:r>
      <w:r w:rsidRPr="008452FA">
        <w:rPr>
          <w:szCs w:val="22"/>
        </w:rPr>
        <w:t xml:space="preserve">nces </w:t>
      </w:r>
      <w:r w:rsidR="00BD7241" w:rsidRPr="008452FA">
        <w:rPr>
          <w:szCs w:val="22"/>
        </w:rPr>
        <w:t xml:space="preserve">of metals and metalloids </w:t>
      </w:r>
      <w:r w:rsidRPr="008452FA">
        <w:rPr>
          <w:szCs w:val="22"/>
        </w:rPr>
        <w:t>with respect to ADWG</w:t>
      </w:r>
      <w:r w:rsidR="00B81A6B" w:rsidRPr="008452FA">
        <w:rPr>
          <w:szCs w:val="22"/>
        </w:rPr>
        <w:t>2011</w:t>
      </w:r>
      <w:r w:rsidRPr="008452FA">
        <w:rPr>
          <w:szCs w:val="22"/>
        </w:rPr>
        <w:t xml:space="preserve"> thresholds.</w:t>
      </w:r>
    </w:p>
    <w:p w:rsidR="00F32C95" w:rsidRPr="008452FA" w:rsidRDefault="0079274C" w:rsidP="00F32C95">
      <w:pPr>
        <w:numPr>
          <w:ilvl w:val="1"/>
          <w:numId w:val="35"/>
        </w:numPr>
        <w:tabs>
          <w:tab w:val="clear" w:pos="1080"/>
          <w:tab w:val="num" w:pos="540"/>
          <w:tab w:val="num" w:pos="2517"/>
        </w:tabs>
        <w:spacing w:before="60"/>
        <w:ind w:left="540" w:hanging="540"/>
        <w:rPr>
          <w:szCs w:val="22"/>
        </w:rPr>
      </w:pPr>
      <w:r w:rsidRPr="008452FA">
        <w:rPr>
          <w:szCs w:val="22"/>
        </w:rPr>
        <w:t xml:space="preserve">Overall, the conjunctive management of surface and groundwater involving MAR options at the Jimargil site would provide the greatest drought security for Broken Hill. MAR options are far superior to existing surface storage </w:t>
      </w:r>
      <w:r w:rsidR="00B97232" w:rsidRPr="008452FA">
        <w:rPr>
          <w:szCs w:val="22"/>
        </w:rPr>
        <w:t>arrangements for a drought reserve</w:t>
      </w:r>
      <w:r w:rsidRPr="008452FA">
        <w:rPr>
          <w:szCs w:val="22"/>
        </w:rPr>
        <w:t xml:space="preserve">, with security of supply </w:t>
      </w:r>
      <w:r w:rsidR="00B97232" w:rsidRPr="008452FA">
        <w:rPr>
          <w:szCs w:val="22"/>
        </w:rPr>
        <w:t>from</w:t>
      </w:r>
      <w:r w:rsidRPr="008452FA">
        <w:rPr>
          <w:szCs w:val="22"/>
        </w:rPr>
        <w:t xml:space="preserve"> a known quanti</w:t>
      </w:r>
      <w:r w:rsidR="004F3EF9" w:rsidRPr="008452FA">
        <w:rPr>
          <w:szCs w:val="22"/>
        </w:rPr>
        <w:t>t</w:t>
      </w:r>
      <w:r w:rsidRPr="008452FA">
        <w:rPr>
          <w:szCs w:val="22"/>
        </w:rPr>
        <w:t xml:space="preserve">y of high and consistent water quality from underground storage. High recovery efficiencies will be obtained by injecting </w:t>
      </w:r>
      <w:r w:rsidR="006E407E">
        <w:rPr>
          <w:szCs w:val="22"/>
        </w:rPr>
        <w:t xml:space="preserve">treated </w:t>
      </w:r>
      <w:r w:rsidRPr="008452FA">
        <w:rPr>
          <w:szCs w:val="22"/>
        </w:rPr>
        <w:t xml:space="preserve">fresh surface water into areas of the </w:t>
      </w:r>
      <w:r w:rsidR="00C217F0" w:rsidRPr="008452FA">
        <w:rPr>
          <w:szCs w:val="22"/>
        </w:rPr>
        <w:t>Calivil Formation</w:t>
      </w:r>
      <w:r w:rsidRPr="008452FA">
        <w:rPr>
          <w:szCs w:val="22"/>
        </w:rPr>
        <w:t xml:space="preserve"> containing low salinity groundwater. The ASR option would provide a significant buffer against future climate variability and change, deliver significant water savings, have minimal environmental impact, preserve some local water amenities for community use, and enable key elements of the engineered </w:t>
      </w:r>
      <w:smartTag w:uri="urn:schemas-microsoft-com:office:smarttags" w:element="stockticker">
        <w:r w:rsidRPr="008452FA">
          <w:rPr>
            <w:szCs w:val="22"/>
          </w:rPr>
          <w:t>MLS</w:t>
        </w:r>
      </w:smartTag>
      <w:r w:rsidRPr="008452FA">
        <w:rPr>
          <w:szCs w:val="22"/>
        </w:rPr>
        <w:t xml:space="preserve"> to be returned to a more natural condition.</w:t>
      </w:r>
    </w:p>
    <w:p w:rsidR="00F32C95" w:rsidRPr="008452FA" w:rsidRDefault="00CF7D6B" w:rsidP="00592641">
      <w:pPr>
        <w:numPr>
          <w:ilvl w:val="1"/>
          <w:numId w:val="35"/>
        </w:numPr>
        <w:tabs>
          <w:tab w:val="clear" w:pos="1080"/>
          <w:tab w:val="num" w:pos="540"/>
          <w:tab w:val="num" w:pos="2517"/>
        </w:tabs>
        <w:spacing w:before="60"/>
        <w:ind w:left="540" w:hanging="540"/>
        <w:rPr>
          <w:szCs w:val="22"/>
        </w:rPr>
      </w:pPr>
      <w:r w:rsidRPr="008452FA">
        <w:rPr>
          <w:szCs w:val="22"/>
        </w:rPr>
        <w:t>Potential b</w:t>
      </w:r>
      <w:r w:rsidR="00F32C95" w:rsidRPr="008452FA">
        <w:rPr>
          <w:szCs w:val="22"/>
        </w:rPr>
        <w:t xml:space="preserve">ack-up sites </w:t>
      </w:r>
      <w:r w:rsidR="0061356C" w:rsidRPr="008452FA">
        <w:rPr>
          <w:szCs w:val="22"/>
        </w:rPr>
        <w:t xml:space="preserve">(Figure A), </w:t>
      </w:r>
      <w:r w:rsidR="00F32C95" w:rsidRPr="008452FA">
        <w:rPr>
          <w:szCs w:val="22"/>
        </w:rPr>
        <w:t xml:space="preserve">which </w:t>
      </w:r>
      <w:r w:rsidR="0061356C" w:rsidRPr="008452FA">
        <w:rPr>
          <w:szCs w:val="22"/>
        </w:rPr>
        <w:t xml:space="preserve">also </w:t>
      </w:r>
      <w:r w:rsidR="00F32C95" w:rsidRPr="008452FA">
        <w:rPr>
          <w:szCs w:val="22"/>
        </w:rPr>
        <w:t>rely on utilisation o</w:t>
      </w:r>
      <w:r w:rsidR="0061356C" w:rsidRPr="008452FA">
        <w:rPr>
          <w:szCs w:val="22"/>
        </w:rPr>
        <w:t xml:space="preserve">f the </w:t>
      </w:r>
      <w:r w:rsidR="00C217F0" w:rsidRPr="008452FA">
        <w:rPr>
          <w:szCs w:val="22"/>
        </w:rPr>
        <w:t>Calivil Formation</w:t>
      </w:r>
      <w:r w:rsidR="0061356C" w:rsidRPr="008452FA">
        <w:rPr>
          <w:szCs w:val="22"/>
        </w:rPr>
        <w:t xml:space="preserve"> aquifer, </w:t>
      </w:r>
      <w:r w:rsidR="00F32C95" w:rsidRPr="008452FA">
        <w:rPr>
          <w:szCs w:val="22"/>
        </w:rPr>
        <w:t xml:space="preserve">have been identified beneath </w:t>
      </w:r>
      <w:smartTag w:uri="urn:schemas-microsoft-com:office:smarttags" w:element="place">
        <w:smartTag w:uri="urn:schemas-microsoft-com:office:smarttags" w:element="PlaceType">
          <w:r w:rsidR="00C217F0" w:rsidRPr="008452FA">
            <w:rPr>
              <w:szCs w:val="22"/>
            </w:rPr>
            <w:t>Lake</w:t>
          </w:r>
        </w:smartTag>
        <w:r w:rsidR="00C217F0" w:rsidRPr="008452FA">
          <w:rPr>
            <w:szCs w:val="22"/>
          </w:rPr>
          <w:t xml:space="preserve"> </w:t>
        </w:r>
        <w:smartTag w:uri="urn:schemas-microsoft-com:office:smarttags" w:element="PlaceName">
          <w:r w:rsidR="00C217F0" w:rsidRPr="008452FA">
            <w:rPr>
              <w:szCs w:val="22"/>
            </w:rPr>
            <w:t>Menindee</w:t>
          </w:r>
        </w:smartTag>
      </w:smartTag>
      <w:r w:rsidR="00F32C95" w:rsidRPr="008452FA">
        <w:rPr>
          <w:szCs w:val="22"/>
        </w:rPr>
        <w:t xml:space="preserve"> (infiltration basin, ASR or groundwater extraction), at Larloona Station (groundwater extraction) and at Kinchega National Park (ASR).</w:t>
      </w:r>
      <w:r w:rsidR="00592641" w:rsidRPr="008452FA">
        <w:rPr>
          <w:szCs w:val="22"/>
        </w:rPr>
        <w:t xml:space="preserve"> Various factors across these sites, such as reduced aquifer storage potential, groundwater-dependent vegetation, restricted site access or minimal natural recharge, makes the Jimargil site the highest priority.</w:t>
      </w:r>
    </w:p>
    <w:p w:rsidR="00170734" w:rsidRPr="008452FA" w:rsidRDefault="00E9008C" w:rsidP="00F32C95">
      <w:pPr>
        <w:numPr>
          <w:ilvl w:val="1"/>
          <w:numId w:val="35"/>
        </w:numPr>
        <w:tabs>
          <w:tab w:val="clear" w:pos="1080"/>
          <w:tab w:val="num" w:pos="540"/>
          <w:tab w:val="num" w:pos="2517"/>
        </w:tabs>
        <w:spacing w:before="60"/>
        <w:ind w:left="540" w:hanging="540"/>
        <w:rPr>
          <w:szCs w:val="22"/>
        </w:rPr>
      </w:pPr>
      <w:r w:rsidRPr="008452FA">
        <w:rPr>
          <w:szCs w:val="22"/>
        </w:rPr>
        <w:t>A</w:t>
      </w:r>
      <w:r w:rsidR="00170734" w:rsidRPr="008452FA">
        <w:rPr>
          <w:szCs w:val="22"/>
        </w:rPr>
        <w:t xml:space="preserve"> shift to </w:t>
      </w:r>
      <w:r w:rsidRPr="008452FA">
        <w:rPr>
          <w:szCs w:val="22"/>
        </w:rPr>
        <w:t xml:space="preserve">a reliance on </w:t>
      </w:r>
      <w:r w:rsidR="00170734" w:rsidRPr="008452FA">
        <w:rPr>
          <w:szCs w:val="22"/>
        </w:rPr>
        <w:t>groundwater</w:t>
      </w:r>
      <w:r w:rsidR="004F3EF9" w:rsidRPr="008452FA">
        <w:rPr>
          <w:szCs w:val="22"/>
        </w:rPr>
        <w:t>-related</w:t>
      </w:r>
      <w:r w:rsidR="00170734" w:rsidRPr="008452FA">
        <w:rPr>
          <w:szCs w:val="22"/>
        </w:rPr>
        <w:t xml:space="preserve"> options during </w:t>
      </w:r>
      <w:r w:rsidRPr="008452FA">
        <w:rPr>
          <w:szCs w:val="22"/>
        </w:rPr>
        <w:t>drought</w:t>
      </w:r>
      <w:r w:rsidR="00170734" w:rsidRPr="008452FA">
        <w:rPr>
          <w:szCs w:val="22"/>
        </w:rPr>
        <w:t xml:space="preserve"> would provide significant water quality benefits for the </w:t>
      </w:r>
      <w:smartTag w:uri="urn:schemas-microsoft-com:office:smarttags" w:element="place">
        <w:r w:rsidR="00170734" w:rsidRPr="008452FA">
          <w:rPr>
            <w:szCs w:val="22"/>
          </w:rPr>
          <w:t>Darling River</w:t>
        </w:r>
      </w:smartTag>
      <w:r w:rsidRPr="008452FA">
        <w:rPr>
          <w:szCs w:val="22"/>
        </w:rPr>
        <w:t xml:space="preserve"> system</w:t>
      </w:r>
      <w:r w:rsidR="00170734" w:rsidRPr="008452FA">
        <w:rPr>
          <w:szCs w:val="22"/>
        </w:rPr>
        <w:t xml:space="preserve"> and water supplies </w:t>
      </w:r>
      <w:r w:rsidR="004F3EF9" w:rsidRPr="008452FA">
        <w:rPr>
          <w:szCs w:val="22"/>
        </w:rPr>
        <w:t xml:space="preserve">for Broken Hill and </w:t>
      </w:r>
      <w:r w:rsidR="00C217F0" w:rsidRPr="008452FA">
        <w:rPr>
          <w:szCs w:val="22"/>
        </w:rPr>
        <w:t xml:space="preserve">Menindee </w:t>
      </w:r>
      <w:r w:rsidR="00170734" w:rsidRPr="008452FA">
        <w:rPr>
          <w:szCs w:val="22"/>
        </w:rPr>
        <w:t>during drought periods</w:t>
      </w:r>
      <w:r w:rsidRPr="008452FA">
        <w:rPr>
          <w:szCs w:val="22"/>
        </w:rPr>
        <w:t xml:space="preserve">, </w:t>
      </w:r>
      <w:r w:rsidR="004F3EF9" w:rsidRPr="008452FA">
        <w:rPr>
          <w:szCs w:val="22"/>
        </w:rPr>
        <w:t xml:space="preserve">while enabling </w:t>
      </w:r>
      <w:r w:rsidRPr="008452FA">
        <w:rPr>
          <w:szCs w:val="22"/>
        </w:rPr>
        <w:t xml:space="preserve">changes to the MLS that would provide </w:t>
      </w:r>
      <w:r w:rsidR="009D7C03">
        <w:rPr>
          <w:szCs w:val="22"/>
        </w:rPr>
        <w:t xml:space="preserve">substantial </w:t>
      </w:r>
      <w:r w:rsidRPr="008452FA">
        <w:rPr>
          <w:szCs w:val="22"/>
        </w:rPr>
        <w:t xml:space="preserve">water </w:t>
      </w:r>
      <w:r w:rsidR="009D7C03">
        <w:rPr>
          <w:szCs w:val="22"/>
        </w:rPr>
        <w:t>savings</w:t>
      </w:r>
      <w:r w:rsidRPr="008452FA">
        <w:rPr>
          <w:szCs w:val="22"/>
        </w:rPr>
        <w:t>.</w:t>
      </w:r>
      <w:r w:rsidR="004F3EF9" w:rsidRPr="008452FA">
        <w:rPr>
          <w:szCs w:val="22"/>
        </w:rPr>
        <w:t xml:space="preserve"> This would have significant downstream benefits in dry years.</w:t>
      </w:r>
    </w:p>
    <w:p w:rsidR="00454D46" w:rsidRDefault="00454D46" w:rsidP="00592641">
      <w:pPr>
        <w:tabs>
          <w:tab w:val="num" w:pos="2517"/>
        </w:tabs>
        <w:spacing w:before="120" w:after="120"/>
        <w:rPr>
          <w:b/>
          <w:szCs w:val="22"/>
        </w:rPr>
      </w:pPr>
    </w:p>
    <w:p w:rsidR="00E9008C" w:rsidRPr="008452FA" w:rsidRDefault="00C658B3" w:rsidP="00592641">
      <w:pPr>
        <w:tabs>
          <w:tab w:val="num" w:pos="2517"/>
        </w:tabs>
        <w:spacing w:before="120" w:after="120"/>
        <w:rPr>
          <w:b/>
          <w:szCs w:val="22"/>
        </w:rPr>
      </w:pPr>
      <w:r w:rsidRPr="008452FA">
        <w:rPr>
          <w:b/>
          <w:szCs w:val="22"/>
        </w:rPr>
        <w:lastRenderedPageBreak/>
        <w:t xml:space="preserve">Regional </w:t>
      </w:r>
      <w:smartTag w:uri="urn:schemas-microsoft-com:office:smarttags" w:element="PersonName">
        <w:r w:rsidRPr="008452FA">
          <w:rPr>
            <w:b/>
            <w:szCs w:val="22"/>
          </w:rPr>
          <w:t>Groundwater</w:t>
        </w:r>
      </w:smartTag>
      <w:r w:rsidRPr="008452FA">
        <w:rPr>
          <w:b/>
          <w:szCs w:val="22"/>
        </w:rPr>
        <w:t xml:space="preserve"> R</w:t>
      </w:r>
      <w:r w:rsidR="00E9008C" w:rsidRPr="008452FA">
        <w:rPr>
          <w:b/>
          <w:szCs w:val="22"/>
        </w:rPr>
        <w:t>esources and MAR Opportunities</w:t>
      </w:r>
    </w:p>
    <w:p w:rsidR="00AB056C" w:rsidRPr="008452FA" w:rsidRDefault="00AB056C" w:rsidP="00A75725">
      <w:pPr>
        <w:numPr>
          <w:ilvl w:val="0"/>
          <w:numId w:val="41"/>
        </w:numPr>
        <w:tabs>
          <w:tab w:val="clear" w:pos="1080"/>
          <w:tab w:val="num" w:pos="540"/>
        </w:tabs>
        <w:spacing w:before="60"/>
        <w:ind w:left="540" w:hanging="540"/>
        <w:rPr>
          <w:szCs w:val="22"/>
        </w:rPr>
      </w:pPr>
      <w:r w:rsidRPr="008452FA">
        <w:rPr>
          <w:szCs w:val="22"/>
        </w:rPr>
        <w:t xml:space="preserve">Investigations </w:t>
      </w:r>
      <w:r w:rsidR="0079274C" w:rsidRPr="008452FA">
        <w:rPr>
          <w:szCs w:val="22"/>
        </w:rPr>
        <w:t xml:space="preserve">more broadly within the BHMAR </w:t>
      </w:r>
      <w:r w:rsidR="00A56C85">
        <w:rPr>
          <w:szCs w:val="22"/>
        </w:rPr>
        <w:t>project</w:t>
      </w:r>
      <w:r w:rsidR="0079274C" w:rsidRPr="008452FA">
        <w:rPr>
          <w:szCs w:val="22"/>
        </w:rPr>
        <w:t xml:space="preserve"> area </w:t>
      </w:r>
      <w:r w:rsidRPr="008452FA">
        <w:rPr>
          <w:szCs w:val="22"/>
        </w:rPr>
        <w:t>have revealed there are substantial quantities (~2</w:t>
      </w:r>
      <w:r w:rsidR="001A629E" w:rsidRPr="008452FA">
        <w:rPr>
          <w:szCs w:val="22"/>
        </w:rPr>
        <w:t>100</w:t>
      </w:r>
      <w:r w:rsidRPr="008452FA">
        <w:rPr>
          <w:szCs w:val="22"/>
        </w:rPr>
        <w:t>-</w:t>
      </w:r>
      <w:r w:rsidR="001A629E" w:rsidRPr="008452FA">
        <w:rPr>
          <w:szCs w:val="22"/>
        </w:rPr>
        <w:t>44</w:t>
      </w:r>
      <w:r w:rsidRPr="008452FA">
        <w:rPr>
          <w:szCs w:val="22"/>
        </w:rPr>
        <w:t>00</w:t>
      </w:r>
      <w:r w:rsidR="00AF0556">
        <w:rPr>
          <w:szCs w:val="22"/>
        </w:rPr>
        <w:t xml:space="preserve"> </w:t>
      </w:r>
      <w:r w:rsidRPr="008452FA">
        <w:rPr>
          <w:szCs w:val="22"/>
        </w:rPr>
        <w:t xml:space="preserve">GL) of fresh to acceptable </w:t>
      </w:r>
      <w:r w:rsidR="00B750E4" w:rsidRPr="008452FA">
        <w:rPr>
          <w:szCs w:val="22"/>
        </w:rPr>
        <w:t xml:space="preserve">quality </w:t>
      </w:r>
      <w:r w:rsidRPr="008452FA">
        <w:rPr>
          <w:szCs w:val="22"/>
        </w:rPr>
        <w:t>groundwater, as well as significant quantities (</w:t>
      </w:r>
      <w:r w:rsidR="001A629E" w:rsidRPr="008452FA">
        <w:rPr>
          <w:szCs w:val="22"/>
        </w:rPr>
        <w:t>9</w:t>
      </w:r>
      <w:r w:rsidRPr="008452FA">
        <w:rPr>
          <w:szCs w:val="22"/>
        </w:rPr>
        <w:t>00-</w:t>
      </w:r>
      <w:r w:rsidR="001A629E" w:rsidRPr="008452FA">
        <w:rPr>
          <w:szCs w:val="22"/>
        </w:rPr>
        <w:t>20</w:t>
      </w:r>
      <w:r w:rsidRPr="008452FA">
        <w:rPr>
          <w:szCs w:val="22"/>
        </w:rPr>
        <w:t>00</w:t>
      </w:r>
      <w:r w:rsidR="00AF0556">
        <w:rPr>
          <w:szCs w:val="22"/>
        </w:rPr>
        <w:t xml:space="preserve"> </w:t>
      </w:r>
      <w:r w:rsidRPr="008452FA">
        <w:rPr>
          <w:szCs w:val="22"/>
        </w:rPr>
        <w:t>GL) of brackish groundwater, stored in 14 discrete targets within semi-confined Pliocene aquifers (</w:t>
      </w:r>
      <w:r w:rsidR="00C217F0" w:rsidRPr="008452FA">
        <w:rPr>
          <w:szCs w:val="22"/>
        </w:rPr>
        <w:t>Calivil Formation</w:t>
      </w:r>
      <w:r w:rsidRPr="008452FA">
        <w:rPr>
          <w:szCs w:val="22"/>
        </w:rPr>
        <w:t xml:space="preserve"> and Loxton-Parilla Sands) at depths of 25-100</w:t>
      </w:r>
      <w:r w:rsidR="00AF0556">
        <w:rPr>
          <w:szCs w:val="22"/>
        </w:rPr>
        <w:t xml:space="preserve"> </w:t>
      </w:r>
      <w:r w:rsidRPr="008452FA">
        <w:rPr>
          <w:szCs w:val="22"/>
        </w:rPr>
        <w:t>m beneath the Darling Floodplain study area</w:t>
      </w:r>
      <w:r w:rsidR="002A5B04" w:rsidRPr="008452FA">
        <w:rPr>
          <w:szCs w:val="22"/>
        </w:rPr>
        <w:t xml:space="preserve"> (Figure B; Table A)</w:t>
      </w:r>
      <w:r w:rsidRPr="008452FA">
        <w:rPr>
          <w:szCs w:val="22"/>
        </w:rPr>
        <w:t xml:space="preserve">. </w:t>
      </w:r>
      <w:r w:rsidR="00505281" w:rsidRPr="008452FA">
        <w:rPr>
          <w:b/>
          <w:i/>
          <w:szCs w:val="22"/>
        </w:rPr>
        <w:t>The groun</w:t>
      </w:r>
      <w:r w:rsidR="00184FF9" w:rsidRPr="008452FA">
        <w:rPr>
          <w:b/>
          <w:i/>
          <w:szCs w:val="22"/>
        </w:rPr>
        <w:t>dwater storage volume estimates for</w:t>
      </w:r>
      <w:r w:rsidR="00505281" w:rsidRPr="008452FA">
        <w:rPr>
          <w:b/>
          <w:i/>
          <w:szCs w:val="22"/>
        </w:rPr>
        <w:t xml:space="preserve"> these targets are only indicative and are not equivalent to the extractable groundwater volumes, which will be significantly smaller.</w:t>
      </w:r>
    </w:p>
    <w:p w:rsidR="00B750E4" w:rsidRPr="008452FA" w:rsidRDefault="00BD7241" w:rsidP="00381FA9">
      <w:pPr>
        <w:numPr>
          <w:ilvl w:val="2"/>
          <w:numId w:val="35"/>
        </w:numPr>
        <w:tabs>
          <w:tab w:val="clear" w:pos="1800"/>
          <w:tab w:val="num" w:pos="1080"/>
          <w:tab w:val="num" w:pos="2517"/>
        </w:tabs>
        <w:spacing w:before="60"/>
        <w:ind w:left="1080" w:hanging="360"/>
        <w:rPr>
          <w:szCs w:val="22"/>
        </w:rPr>
      </w:pPr>
      <w:r w:rsidRPr="008452FA">
        <w:rPr>
          <w:szCs w:val="22"/>
        </w:rPr>
        <w:t>Apart from the Jimargil site, many of the targets have only been tested with one borehole, while some targets have yet to be drilled. For most of the targets, s</w:t>
      </w:r>
      <w:r w:rsidR="00B750E4" w:rsidRPr="008452FA">
        <w:rPr>
          <w:szCs w:val="22"/>
        </w:rPr>
        <w:t>everal factors require further investigation, including quantifying natural recharge and discharge processes, identifying the negative impacts associated with groundwater pumping, delineating the more tran</w:t>
      </w:r>
      <w:r w:rsidRPr="008452FA">
        <w:rPr>
          <w:szCs w:val="22"/>
        </w:rPr>
        <w:t xml:space="preserve">smissive parts of the formation, </w:t>
      </w:r>
      <w:r w:rsidR="00B750E4" w:rsidRPr="008452FA">
        <w:rPr>
          <w:szCs w:val="22"/>
        </w:rPr>
        <w:t>and assessing the economics and logistics of borefield and water supply design. Calibrated, transient numerical groundwater models are needed to determine the appropriate groundwater extraction rates</w:t>
      </w:r>
      <w:r w:rsidR="00D7741C" w:rsidRPr="008452FA">
        <w:rPr>
          <w:szCs w:val="22"/>
        </w:rPr>
        <w:t xml:space="preserve"> or MAR</w:t>
      </w:r>
      <w:r w:rsidR="008452FA">
        <w:rPr>
          <w:szCs w:val="22"/>
        </w:rPr>
        <w:t xml:space="preserve"> strategies</w:t>
      </w:r>
      <w:r w:rsidR="00B750E4" w:rsidRPr="008452FA">
        <w:rPr>
          <w:szCs w:val="22"/>
        </w:rPr>
        <w:t xml:space="preserve">. These resources, </w:t>
      </w:r>
      <w:r w:rsidRPr="008452FA">
        <w:rPr>
          <w:szCs w:val="22"/>
        </w:rPr>
        <w:t xml:space="preserve">which were </w:t>
      </w:r>
      <w:r w:rsidR="00B750E4" w:rsidRPr="008452FA">
        <w:rPr>
          <w:szCs w:val="22"/>
        </w:rPr>
        <w:t xml:space="preserve">largely unknown </w:t>
      </w:r>
      <w:r w:rsidRPr="008452FA">
        <w:rPr>
          <w:szCs w:val="22"/>
        </w:rPr>
        <w:t xml:space="preserve">prior to this study, </w:t>
      </w:r>
      <w:r w:rsidR="00B750E4" w:rsidRPr="008452FA">
        <w:rPr>
          <w:szCs w:val="22"/>
        </w:rPr>
        <w:t xml:space="preserve">and </w:t>
      </w:r>
      <w:r w:rsidRPr="008452FA">
        <w:rPr>
          <w:szCs w:val="22"/>
        </w:rPr>
        <w:t xml:space="preserve">are </w:t>
      </w:r>
      <w:r w:rsidR="00B750E4" w:rsidRPr="008452FA">
        <w:rPr>
          <w:szCs w:val="22"/>
        </w:rPr>
        <w:t>currently un</w:t>
      </w:r>
      <w:r w:rsidR="008452FA">
        <w:rPr>
          <w:szCs w:val="22"/>
        </w:rPr>
        <w:t>derutilised</w:t>
      </w:r>
      <w:r w:rsidR="00B750E4" w:rsidRPr="008452FA">
        <w:rPr>
          <w:szCs w:val="22"/>
        </w:rPr>
        <w:t xml:space="preserve">, have the potential to </w:t>
      </w:r>
      <w:r w:rsidRPr="008452FA">
        <w:rPr>
          <w:szCs w:val="22"/>
        </w:rPr>
        <w:t xml:space="preserve">provide drought security for regional communities and industries, and </w:t>
      </w:r>
      <w:r w:rsidR="00B750E4" w:rsidRPr="008452FA">
        <w:rPr>
          <w:szCs w:val="22"/>
        </w:rPr>
        <w:t xml:space="preserve">assist regional development. </w:t>
      </w:r>
    </w:p>
    <w:p w:rsidR="008452FA" w:rsidRPr="00BD7241" w:rsidRDefault="00BD7241" w:rsidP="008452FA">
      <w:pPr>
        <w:numPr>
          <w:ilvl w:val="2"/>
          <w:numId w:val="35"/>
        </w:numPr>
        <w:tabs>
          <w:tab w:val="clear" w:pos="1800"/>
          <w:tab w:val="num" w:pos="1080"/>
          <w:tab w:val="num" w:pos="2517"/>
        </w:tabs>
        <w:spacing w:before="60"/>
        <w:ind w:left="1080" w:hanging="360"/>
        <w:rPr>
          <w:sz w:val="21"/>
          <w:szCs w:val="21"/>
        </w:rPr>
      </w:pPr>
      <w:r w:rsidRPr="008452FA">
        <w:rPr>
          <w:szCs w:val="22"/>
        </w:rPr>
        <w:t>Drilling and testing of</w:t>
      </w:r>
      <w:r w:rsidR="00AB056C" w:rsidRPr="008452FA">
        <w:rPr>
          <w:szCs w:val="22"/>
        </w:rPr>
        <w:t xml:space="preserve"> the Pliocene aquifers </w:t>
      </w:r>
      <w:r w:rsidR="00B750E4" w:rsidRPr="008452FA">
        <w:rPr>
          <w:szCs w:val="22"/>
        </w:rPr>
        <w:t>in these target</w:t>
      </w:r>
      <w:r w:rsidRPr="008452FA">
        <w:rPr>
          <w:szCs w:val="22"/>
        </w:rPr>
        <w:t>s</w:t>
      </w:r>
      <w:r w:rsidR="00B750E4" w:rsidRPr="008452FA">
        <w:rPr>
          <w:szCs w:val="22"/>
        </w:rPr>
        <w:t xml:space="preserve"> </w:t>
      </w:r>
      <w:r w:rsidRPr="008452FA">
        <w:rPr>
          <w:szCs w:val="22"/>
        </w:rPr>
        <w:t xml:space="preserve">show </w:t>
      </w:r>
      <w:r w:rsidR="00CF7D6B" w:rsidRPr="008452FA">
        <w:rPr>
          <w:szCs w:val="22"/>
        </w:rPr>
        <w:t>variability in hydraulic properties</w:t>
      </w:r>
      <w:r w:rsidR="00704599" w:rsidRPr="008452FA">
        <w:rPr>
          <w:szCs w:val="22"/>
        </w:rPr>
        <w:t>.</w:t>
      </w:r>
      <w:r w:rsidR="00CF7D6B" w:rsidRPr="008452FA">
        <w:rPr>
          <w:szCs w:val="22"/>
        </w:rPr>
        <w:t xml:space="preserve"> However, sites have been identified where t</w:t>
      </w:r>
      <w:r w:rsidRPr="008452FA">
        <w:rPr>
          <w:szCs w:val="22"/>
        </w:rPr>
        <w:t>he</w:t>
      </w:r>
      <w:r w:rsidR="00AB056C" w:rsidRPr="008452FA">
        <w:rPr>
          <w:szCs w:val="22"/>
        </w:rPr>
        <w:t xml:space="preserve"> aquifers</w:t>
      </w:r>
      <w:r w:rsidR="00B750E4" w:rsidRPr="008452FA">
        <w:rPr>
          <w:szCs w:val="22"/>
        </w:rPr>
        <w:t xml:space="preserve"> have </w:t>
      </w:r>
      <w:r w:rsidR="00AB056C" w:rsidRPr="008452FA">
        <w:rPr>
          <w:szCs w:val="22"/>
        </w:rPr>
        <w:t xml:space="preserve">high storage capacity, moderate to very high transmissivities, and are sandwiched between </w:t>
      </w:r>
      <w:r w:rsidR="001E3931" w:rsidRPr="008452FA">
        <w:rPr>
          <w:szCs w:val="22"/>
        </w:rPr>
        <w:t>mud</w:t>
      </w:r>
      <w:r w:rsidR="00AB056C" w:rsidRPr="008452FA">
        <w:rPr>
          <w:szCs w:val="22"/>
        </w:rPr>
        <w:t xml:space="preserve"> aquitards</w:t>
      </w:r>
      <w:r w:rsidR="00260648" w:rsidRPr="008452FA">
        <w:rPr>
          <w:szCs w:val="22"/>
        </w:rPr>
        <w:t xml:space="preserve">. Limited pump tests confirm </w:t>
      </w:r>
      <w:r w:rsidR="003A76AD" w:rsidRPr="008452FA">
        <w:rPr>
          <w:szCs w:val="22"/>
        </w:rPr>
        <w:t xml:space="preserve">sites with </w:t>
      </w:r>
      <w:r w:rsidR="00260648" w:rsidRPr="008452FA">
        <w:rPr>
          <w:szCs w:val="22"/>
        </w:rPr>
        <w:t>high bore yields su</w:t>
      </w:r>
      <w:r w:rsidR="001A05D8" w:rsidRPr="008452FA">
        <w:rPr>
          <w:szCs w:val="22"/>
        </w:rPr>
        <w:t>f</w:t>
      </w:r>
      <w:r w:rsidR="00260648" w:rsidRPr="008452FA">
        <w:rPr>
          <w:szCs w:val="22"/>
        </w:rPr>
        <w:t xml:space="preserve">ficient for large-scale production and injection of suitably treated water. Overall, </w:t>
      </w:r>
      <w:r w:rsidR="001A05D8" w:rsidRPr="008452FA">
        <w:rPr>
          <w:szCs w:val="22"/>
        </w:rPr>
        <w:t xml:space="preserve">there are sites where </w:t>
      </w:r>
      <w:r w:rsidR="00260648" w:rsidRPr="008452FA">
        <w:rPr>
          <w:szCs w:val="22"/>
        </w:rPr>
        <w:t xml:space="preserve">aquifer </w:t>
      </w:r>
      <w:r w:rsidR="00704599" w:rsidRPr="008452FA">
        <w:rPr>
          <w:szCs w:val="22"/>
        </w:rPr>
        <w:t xml:space="preserve">characteristics </w:t>
      </w:r>
      <w:r w:rsidR="00260648" w:rsidRPr="008452FA">
        <w:rPr>
          <w:szCs w:val="22"/>
        </w:rPr>
        <w:t xml:space="preserve">are positive </w:t>
      </w:r>
      <w:r w:rsidR="00CF7D6B" w:rsidRPr="008452FA">
        <w:rPr>
          <w:szCs w:val="22"/>
        </w:rPr>
        <w:t>for groundwater extraction and/or MAR</w:t>
      </w:r>
      <w:r w:rsidR="00704599" w:rsidRPr="008452FA">
        <w:rPr>
          <w:szCs w:val="22"/>
        </w:rPr>
        <w:t>.</w:t>
      </w:r>
      <w:r w:rsidRPr="008452FA">
        <w:rPr>
          <w:szCs w:val="22"/>
        </w:rPr>
        <w:t xml:space="preserve"> </w:t>
      </w:r>
      <w:r w:rsidR="008452FA" w:rsidRPr="008452FA">
        <w:rPr>
          <w:szCs w:val="22"/>
        </w:rPr>
        <w:t>Groundwater quality with respect to the ADWG2011 guidelines varies across the targets, however the more common elements found in exceedance (e.g. manganese, iron and ammonia) are treatable using standard processes.</w:t>
      </w:r>
    </w:p>
    <w:p w:rsidR="00BD7241" w:rsidRPr="008452FA" w:rsidRDefault="00BD7241" w:rsidP="00F749D3">
      <w:pPr>
        <w:numPr>
          <w:ilvl w:val="2"/>
          <w:numId w:val="35"/>
        </w:numPr>
        <w:tabs>
          <w:tab w:val="clear" w:pos="1800"/>
          <w:tab w:val="num" w:pos="1080"/>
          <w:tab w:val="num" w:pos="2517"/>
        </w:tabs>
        <w:spacing w:before="60"/>
        <w:ind w:left="1080" w:hanging="360"/>
        <w:rPr>
          <w:szCs w:val="22"/>
        </w:rPr>
      </w:pPr>
      <w:r w:rsidRPr="008452FA">
        <w:rPr>
          <w:szCs w:val="22"/>
        </w:rPr>
        <w:t xml:space="preserve">At least </w:t>
      </w:r>
      <w:r w:rsidR="00C4624A">
        <w:rPr>
          <w:szCs w:val="22"/>
        </w:rPr>
        <w:t>four</w:t>
      </w:r>
      <w:r w:rsidRPr="008452FA">
        <w:rPr>
          <w:szCs w:val="22"/>
        </w:rPr>
        <w:t xml:space="preserve"> of the 14 groundwater targets would be considered </w:t>
      </w:r>
      <w:r w:rsidR="00625945">
        <w:rPr>
          <w:szCs w:val="22"/>
        </w:rPr>
        <w:t xml:space="preserve">as </w:t>
      </w:r>
      <w:r w:rsidRPr="008452FA">
        <w:rPr>
          <w:szCs w:val="22"/>
        </w:rPr>
        <w:t>fossil resource</w:t>
      </w:r>
      <w:r w:rsidR="00625945">
        <w:rPr>
          <w:szCs w:val="22"/>
        </w:rPr>
        <w:t>s</w:t>
      </w:r>
      <w:r w:rsidRPr="008452FA">
        <w:rPr>
          <w:szCs w:val="22"/>
        </w:rPr>
        <w:t xml:space="preserve"> as </w:t>
      </w:r>
      <w:r w:rsidR="001107E4">
        <w:rPr>
          <w:szCs w:val="22"/>
        </w:rPr>
        <w:t xml:space="preserve">they are </w:t>
      </w:r>
      <w:r w:rsidRPr="008452FA">
        <w:rPr>
          <w:szCs w:val="22"/>
        </w:rPr>
        <w:t xml:space="preserve">not being actively recharged by modern river leakage or rainfall. Higher recharge rates probably occurred during earlier wetter climatic phases in the </w:t>
      </w:r>
      <w:r w:rsidR="00F03DF2">
        <w:rPr>
          <w:szCs w:val="22"/>
        </w:rPr>
        <w:t>Quaternary</w:t>
      </w:r>
      <w:r w:rsidRPr="008452FA">
        <w:rPr>
          <w:szCs w:val="22"/>
        </w:rPr>
        <w:t>.</w:t>
      </w:r>
    </w:p>
    <w:p w:rsidR="00EA28D1" w:rsidRDefault="00E10C4C" w:rsidP="00EA28D1">
      <w:pPr>
        <w:numPr>
          <w:ilvl w:val="0"/>
          <w:numId w:val="41"/>
        </w:numPr>
        <w:tabs>
          <w:tab w:val="clear" w:pos="1080"/>
          <w:tab w:val="num" w:pos="540"/>
        </w:tabs>
        <w:spacing w:before="60"/>
        <w:ind w:left="540" w:hanging="540"/>
        <w:rPr>
          <w:szCs w:val="22"/>
        </w:rPr>
      </w:pPr>
      <w:r w:rsidRPr="008452FA">
        <w:rPr>
          <w:szCs w:val="22"/>
        </w:rPr>
        <w:t>Additional fresh groundwater also occur</w:t>
      </w:r>
      <w:r w:rsidR="00AB056C" w:rsidRPr="008452FA">
        <w:rPr>
          <w:szCs w:val="22"/>
        </w:rPr>
        <w:t xml:space="preserve"> within shallow (&lt;30</w:t>
      </w:r>
      <w:r w:rsidR="00AF0556">
        <w:rPr>
          <w:szCs w:val="22"/>
        </w:rPr>
        <w:t xml:space="preserve"> </w:t>
      </w:r>
      <w:r w:rsidR="00AB056C" w:rsidRPr="008452FA">
        <w:rPr>
          <w:szCs w:val="22"/>
        </w:rPr>
        <w:t>m) unconfined Holocene-Pleistocene (</w:t>
      </w:r>
      <w:r w:rsidR="00C217F0" w:rsidRPr="008452FA">
        <w:rPr>
          <w:szCs w:val="22"/>
        </w:rPr>
        <w:t>Coonambidgal Formation</w:t>
      </w:r>
      <w:r w:rsidR="00AB056C" w:rsidRPr="008452FA">
        <w:rPr>
          <w:szCs w:val="22"/>
        </w:rPr>
        <w:t xml:space="preserve"> and </w:t>
      </w:r>
      <w:r w:rsidR="00C217F0" w:rsidRPr="008452FA">
        <w:rPr>
          <w:szCs w:val="22"/>
        </w:rPr>
        <w:t>Menindee Formation</w:t>
      </w:r>
      <w:r w:rsidR="00AB056C" w:rsidRPr="008452FA">
        <w:rPr>
          <w:szCs w:val="22"/>
        </w:rPr>
        <w:t>) aquifers</w:t>
      </w:r>
      <w:r w:rsidR="00593B52">
        <w:rPr>
          <w:szCs w:val="22"/>
        </w:rPr>
        <w:t>, associated with former deposition by the currently active river system</w:t>
      </w:r>
      <w:r w:rsidR="00AB056C" w:rsidRPr="008452FA">
        <w:rPr>
          <w:szCs w:val="22"/>
        </w:rPr>
        <w:t>.</w:t>
      </w:r>
      <w:bookmarkEnd w:id="14"/>
      <w:bookmarkEnd w:id="15"/>
    </w:p>
    <w:p w:rsidR="0047787D" w:rsidRPr="000F22AE" w:rsidRDefault="00255970" w:rsidP="0047787D">
      <w:pPr>
        <w:numPr>
          <w:ilvl w:val="0"/>
          <w:numId w:val="41"/>
        </w:numPr>
        <w:tabs>
          <w:tab w:val="clear" w:pos="1080"/>
          <w:tab w:val="num" w:pos="540"/>
        </w:tabs>
        <w:spacing w:before="60"/>
        <w:ind w:left="540" w:hanging="540"/>
        <w:rPr>
          <w:szCs w:val="22"/>
        </w:rPr>
      </w:pPr>
      <w:r>
        <w:rPr>
          <w:szCs w:val="22"/>
        </w:rPr>
        <w:t>The projec</w:t>
      </w:r>
      <w:r w:rsidR="00CD140A">
        <w:rPr>
          <w:szCs w:val="22"/>
        </w:rPr>
        <w:t xml:space="preserve">t outputs </w:t>
      </w:r>
      <w:r>
        <w:rPr>
          <w:szCs w:val="22"/>
        </w:rPr>
        <w:t xml:space="preserve">provide an improved science framework to support regional groundwater management. This includes improved mapping of aquifers (and overlying aquitards) and groundwater quality. </w:t>
      </w:r>
      <w:r w:rsidR="00CD140A">
        <w:rPr>
          <w:szCs w:val="22"/>
        </w:rPr>
        <w:t>The project concluded that episodic leakage from the river (and lakes) is the dominant recharge mechanism. This is in con</w:t>
      </w:r>
      <w:r w:rsidR="008C22A9">
        <w:rPr>
          <w:szCs w:val="22"/>
        </w:rPr>
        <w:t>trast with the current estimation</w:t>
      </w:r>
      <w:r w:rsidR="00725341">
        <w:rPr>
          <w:szCs w:val="22"/>
        </w:rPr>
        <w:t>s</w:t>
      </w:r>
      <w:r w:rsidR="00CD140A">
        <w:rPr>
          <w:szCs w:val="22"/>
        </w:rPr>
        <w:t xml:space="preserve"> of diversion limits, such as for the Western Porous Rock Groundwater Source</w:t>
      </w:r>
      <w:r w:rsidR="000C2EBC">
        <w:rPr>
          <w:szCs w:val="22"/>
        </w:rPr>
        <w:t xml:space="preserve">, </w:t>
      </w:r>
      <w:r w:rsidR="008C22A9">
        <w:rPr>
          <w:szCs w:val="22"/>
        </w:rPr>
        <w:t>which are</w:t>
      </w:r>
      <w:r w:rsidR="000C2EBC">
        <w:rPr>
          <w:szCs w:val="22"/>
        </w:rPr>
        <w:t xml:space="preserve"> </w:t>
      </w:r>
      <w:r w:rsidR="00CD140A">
        <w:rPr>
          <w:szCs w:val="22"/>
        </w:rPr>
        <w:t>based on the assumption that diffuse recharge from rainfall is dominant.</w:t>
      </w:r>
      <w:r w:rsidR="0047787D">
        <w:rPr>
          <w:szCs w:val="22"/>
        </w:rPr>
        <w:t xml:space="preserve"> </w:t>
      </w:r>
    </w:p>
    <w:p w:rsidR="00566024" w:rsidRPr="00635791" w:rsidRDefault="00566024" w:rsidP="00566024">
      <w:pPr>
        <w:tabs>
          <w:tab w:val="num" w:pos="2517"/>
        </w:tabs>
        <w:spacing w:before="120" w:after="120"/>
        <w:rPr>
          <w:b/>
          <w:szCs w:val="22"/>
        </w:rPr>
      </w:pPr>
      <w:r w:rsidRPr="00635791">
        <w:rPr>
          <w:b/>
          <w:szCs w:val="22"/>
        </w:rPr>
        <w:t>Broader Findings</w:t>
      </w:r>
    </w:p>
    <w:p w:rsidR="00566024" w:rsidRPr="00635791" w:rsidRDefault="00566024" w:rsidP="00566024">
      <w:pPr>
        <w:numPr>
          <w:ilvl w:val="0"/>
          <w:numId w:val="69"/>
        </w:numPr>
        <w:tabs>
          <w:tab w:val="clear" w:pos="1080"/>
          <w:tab w:val="num" w:pos="540"/>
        </w:tabs>
        <w:spacing w:before="60"/>
        <w:ind w:left="540" w:hanging="540"/>
        <w:rPr>
          <w:szCs w:val="22"/>
        </w:rPr>
      </w:pPr>
      <w:r>
        <w:rPr>
          <w:szCs w:val="22"/>
        </w:rPr>
        <w:t>T</w:t>
      </w:r>
      <w:r>
        <w:rPr>
          <w:rFonts w:cs="Arial"/>
          <w:szCs w:val="18"/>
        </w:rPr>
        <w:t>he science expertise, capacity, wor</w:t>
      </w:r>
      <w:r w:rsidR="00971C9D">
        <w:rPr>
          <w:rFonts w:cs="Arial"/>
          <w:szCs w:val="18"/>
        </w:rPr>
        <w:t>k</w:t>
      </w:r>
      <w:r>
        <w:rPr>
          <w:rFonts w:cs="Arial"/>
          <w:szCs w:val="18"/>
        </w:rPr>
        <w:t xml:space="preserve">flows and methodologies developed in this project have the potential to inform the re-imagining and re-design of water storages in </w:t>
      </w:r>
      <w:smartTag w:uri="urn:schemas-microsoft-com:office:smarttags" w:element="place">
        <w:smartTag w:uri="urn:schemas-microsoft-com:office:smarttags" w:element="country-region">
          <w:r>
            <w:rPr>
              <w:rFonts w:cs="Arial"/>
              <w:szCs w:val="18"/>
            </w:rPr>
            <w:t>Australia</w:t>
          </w:r>
        </w:smartTag>
      </w:smartTag>
      <w:r>
        <w:rPr>
          <w:rFonts w:cs="Arial"/>
          <w:szCs w:val="18"/>
        </w:rPr>
        <w:t>. Conjunctive water supply schemes that incorporate managed aquifer recharge have the potential to provide greater drought security for regional communities and industries, facilitate regional development, and deliver significant environmental benefits for the long term.</w:t>
      </w:r>
    </w:p>
    <w:p w:rsidR="00566024" w:rsidRPr="00635791" w:rsidRDefault="00566024" w:rsidP="00566024">
      <w:pPr>
        <w:numPr>
          <w:ilvl w:val="0"/>
          <w:numId w:val="69"/>
        </w:numPr>
        <w:tabs>
          <w:tab w:val="clear" w:pos="1080"/>
          <w:tab w:val="num" w:pos="540"/>
        </w:tabs>
        <w:spacing w:before="60"/>
        <w:ind w:left="540" w:hanging="540"/>
        <w:rPr>
          <w:szCs w:val="22"/>
        </w:rPr>
      </w:pPr>
      <w:r>
        <w:rPr>
          <w:rFonts w:cs="Arial"/>
          <w:szCs w:val="18"/>
        </w:rPr>
        <w:t xml:space="preserve">However, this study has shown there are significant scientific, technical, economic and social challenges will need to be overcome to realise this vision, and to develop MAR options in groundwater data-poor areas of inland </w:t>
      </w:r>
      <w:smartTag w:uri="urn:schemas-microsoft-com:office:smarttags" w:element="place">
        <w:smartTag w:uri="urn:schemas-microsoft-com:office:smarttags" w:element="country-region">
          <w:r>
            <w:rPr>
              <w:rFonts w:cs="Arial"/>
              <w:szCs w:val="18"/>
            </w:rPr>
            <w:t>Australia</w:t>
          </w:r>
        </w:smartTag>
      </w:smartTag>
      <w:r>
        <w:rPr>
          <w:rFonts w:cs="Arial"/>
          <w:szCs w:val="18"/>
        </w:rPr>
        <w:t xml:space="preserve"> in particular. </w:t>
      </w:r>
    </w:p>
    <w:p w:rsidR="00566024" w:rsidRPr="00635791" w:rsidRDefault="00566024" w:rsidP="00566024">
      <w:pPr>
        <w:numPr>
          <w:ilvl w:val="0"/>
          <w:numId w:val="69"/>
        </w:numPr>
        <w:tabs>
          <w:tab w:val="clear" w:pos="1080"/>
          <w:tab w:val="num" w:pos="540"/>
        </w:tabs>
        <w:spacing w:before="60"/>
        <w:ind w:left="540" w:hanging="540"/>
        <w:rPr>
          <w:szCs w:val="22"/>
        </w:rPr>
      </w:pPr>
      <w:r>
        <w:rPr>
          <w:rFonts w:cs="Arial"/>
          <w:szCs w:val="18"/>
        </w:rPr>
        <w:t>A number of lessons learned from this study have the potential to significantly reduce scientific investigative costs for both MAR and groundwater resource identification and assessment, even in data-poor areas.</w:t>
      </w:r>
    </w:p>
    <w:p w:rsidR="00566024" w:rsidRPr="00635791" w:rsidRDefault="00566024" w:rsidP="00566024">
      <w:pPr>
        <w:numPr>
          <w:ilvl w:val="0"/>
          <w:numId w:val="69"/>
        </w:numPr>
        <w:tabs>
          <w:tab w:val="clear" w:pos="1080"/>
          <w:tab w:val="num" w:pos="540"/>
        </w:tabs>
        <w:spacing w:before="60"/>
        <w:ind w:left="540" w:hanging="540"/>
        <w:rPr>
          <w:szCs w:val="22"/>
        </w:rPr>
      </w:pPr>
      <w:r>
        <w:rPr>
          <w:rFonts w:cs="Arial"/>
          <w:szCs w:val="18"/>
        </w:rPr>
        <w:t>A</w:t>
      </w:r>
      <w:r w:rsidRPr="00FD310D">
        <w:rPr>
          <w:rFonts w:cs="Arial"/>
          <w:szCs w:val="18"/>
        </w:rPr>
        <w:t xml:space="preserve"> stringent </w:t>
      </w:r>
      <w:r>
        <w:rPr>
          <w:rFonts w:cs="Arial"/>
          <w:szCs w:val="18"/>
        </w:rPr>
        <w:t xml:space="preserve">national </w:t>
      </w:r>
      <w:r w:rsidRPr="00FD310D">
        <w:rPr>
          <w:rFonts w:cs="Arial"/>
          <w:szCs w:val="18"/>
        </w:rPr>
        <w:t xml:space="preserve">risk assessment framework </w:t>
      </w:r>
      <w:r>
        <w:rPr>
          <w:rFonts w:cs="Arial"/>
          <w:szCs w:val="18"/>
        </w:rPr>
        <w:t>greatly assists with guiding the</w:t>
      </w:r>
      <w:r w:rsidRPr="00FD310D">
        <w:rPr>
          <w:rFonts w:cs="Arial"/>
          <w:szCs w:val="18"/>
        </w:rPr>
        <w:t xml:space="preserve"> investigative effort </w:t>
      </w:r>
      <w:r>
        <w:rPr>
          <w:rFonts w:cs="Arial"/>
          <w:szCs w:val="18"/>
        </w:rPr>
        <w:t>required</w:t>
      </w:r>
      <w:r w:rsidRPr="00FD310D">
        <w:rPr>
          <w:rFonts w:cs="Arial"/>
          <w:szCs w:val="18"/>
        </w:rPr>
        <w:t xml:space="preserve"> to assess proposed schemes.</w:t>
      </w:r>
    </w:p>
    <w:p w:rsidR="00566024" w:rsidRPr="00454D46" w:rsidRDefault="00566024" w:rsidP="00454D46">
      <w:pPr>
        <w:numPr>
          <w:ilvl w:val="0"/>
          <w:numId w:val="69"/>
        </w:numPr>
        <w:tabs>
          <w:tab w:val="clear" w:pos="1080"/>
          <w:tab w:val="num" w:pos="540"/>
        </w:tabs>
        <w:spacing w:before="60"/>
        <w:ind w:left="540" w:hanging="540"/>
        <w:rPr>
          <w:szCs w:val="22"/>
        </w:rPr>
      </w:pPr>
      <w:r>
        <w:rPr>
          <w:rFonts w:cs="Arial"/>
          <w:szCs w:val="18"/>
        </w:rPr>
        <w:t xml:space="preserve">There are several high-level science findings of regional and national significance that may lead to the modification of hydrological conceptual models for surface-groundwater interaction and the management of this joint resource in several of </w:t>
      </w:r>
      <w:smartTag w:uri="urn:schemas-microsoft-com:office:smarttags" w:element="place">
        <w:smartTag w:uri="urn:schemas-microsoft-com:office:smarttags" w:element="country-region">
          <w:r>
            <w:rPr>
              <w:rFonts w:cs="Arial"/>
              <w:szCs w:val="18"/>
            </w:rPr>
            <w:t>Australia</w:t>
          </w:r>
        </w:smartTag>
      </w:smartTag>
      <w:r>
        <w:rPr>
          <w:rFonts w:cs="Arial"/>
          <w:szCs w:val="18"/>
        </w:rPr>
        <w:t>’s river basins.</w:t>
      </w:r>
    </w:p>
    <w:p w:rsidR="00032603" w:rsidRPr="008452FA" w:rsidRDefault="00454D46" w:rsidP="00592641">
      <w:pPr>
        <w:tabs>
          <w:tab w:val="num" w:pos="2517"/>
        </w:tabs>
        <w:spacing w:before="120" w:after="120"/>
        <w:rPr>
          <w:b/>
          <w:szCs w:val="22"/>
        </w:rPr>
      </w:pPr>
      <w:r>
        <w:rPr>
          <w:b/>
          <w:szCs w:val="22"/>
        </w:rPr>
        <w:br w:type="page"/>
      </w:r>
      <w:r w:rsidR="00032603" w:rsidRPr="008452FA">
        <w:rPr>
          <w:b/>
          <w:szCs w:val="22"/>
        </w:rPr>
        <w:lastRenderedPageBreak/>
        <w:t xml:space="preserve">Key </w:t>
      </w:r>
      <w:r w:rsidR="001440A3" w:rsidRPr="008452FA">
        <w:rPr>
          <w:b/>
          <w:szCs w:val="22"/>
        </w:rPr>
        <w:t>S</w:t>
      </w:r>
      <w:r w:rsidR="00032603" w:rsidRPr="008452FA">
        <w:rPr>
          <w:b/>
          <w:szCs w:val="22"/>
        </w:rPr>
        <w:t xml:space="preserve">cientific </w:t>
      </w:r>
      <w:r w:rsidR="001440A3" w:rsidRPr="008452FA">
        <w:rPr>
          <w:b/>
          <w:szCs w:val="22"/>
        </w:rPr>
        <w:t>I</w:t>
      </w:r>
      <w:r w:rsidR="00DE77FE" w:rsidRPr="008452FA">
        <w:rPr>
          <w:b/>
          <w:szCs w:val="22"/>
        </w:rPr>
        <w:t xml:space="preserve">nnovations and </w:t>
      </w:r>
      <w:r w:rsidR="001440A3" w:rsidRPr="008452FA">
        <w:rPr>
          <w:b/>
          <w:szCs w:val="22"/>
        </w:rPr>
        <w:t>F</w:t>
      </w:r>
      <w:r w:rsidR="00032603" w:rsidRPr="008452FA">
        <w:rPr>
          <w:b/>
          <w:szCs w:val="22"/>
        </w:rPr>
        <w:t>indings</w:t>
      </w:r>
    </w:p>
    <w:p w:rsidR="002028F3" w:rsidRPr="008452FA" w:rsidRDefault="002028F3" w:rsidP="00A75725">
      <w:pPr>
        <w:numPr>
          <w:ilvl w:val="0"/>
          <w:numId w:val="42"/>
        </w:numPr>
        <w:tabs>
          <w:tab w:val="num" w:pos="540"/>
        </w:tabs>
        <w:spacing w:before="60"/>
        <w:ind w:left="540" w:hanging="540"/>
        <w:rPr>
          <w:szCs w:val="22"/>
        </w:rPr>
      </w:pPr>
      <w:r w:rsidRPr="008452FA">
        <w:rPr>
          <w:szCs w:val="22"/>
        </w:rPr>
        <w:t>Investigations have completely revised our understanding of the age, stratigraphy</w:t>
      </w:r>
      <w:r w:rsidR="00503169" w:rsidRPr="008452FA">
        <w:rPr>
          <w:szCs w:val="22"/>
        </w:rPr>
        <w:t xml:space="preserve">, </w:t>
      </w:r>
      <w:r w:rsidRPr="008452FA">
        <w:rPr>
          <w:szCs w:val="22"/>
        </w:rPr>
        <w:t xml:space="preserve">mode of deposition </w:t>
      </w:r>
      <w:r w:rsidR="00503169" w:rsidRPr="008452FA">
        <w:rPr>
          <w:szCs w:val="22"/>
        </w:rPr>
        <w:t xml:space="preserve">and tectonic history </w:t>
      </w:r>
      <w:r w:rsidRPr="008452FA">
        <w:rPr>
          <w:szCs w:val="22"/>
        </w:rPr>
        <w:t xml:space="preserve">of the </w:t>
      </w:r>
      <w:smartTag w:uri="urn:schemas-microsoft-com:office:smarttags" w:element="place">
        <w:smartTag w:uri="urn:schemas-microsoft-com:office:smarttags" w:element="PlaceName">
          <w:r w:rsidR="004B338F" w:rsidRPr="008452FA">
            <w:rPr>
              <w:szCs w:val="22"/>
            </w:rPr>
            <w:t>Lower</w:t>
          </w:r>
        </w:smartTag>
        <w:r w:rsidR="004B338F" w:rsidRPr="008452FA">
          <w:rPr>
            <w:szCs w:val="22"/>
          </w:rPr>
          <w:t xml:space="preserve"> </w:t>
        </w:r>
        <w:smartTag w:uri="urn:schemas-microsoft-com:office:smarttags" w:element="PlaceName">
          <w:r w:rsidRPr="008452FA">
            <w:rPr>
              <w:szCs w:val="22"/>
            </w:rPr>
            <w:t>Darling</w:t>
          </w:r>
        </w:smartTag>
        <w:r w:rsidRPr="008452FA">
          <w:rPr>
            <w:szCs w:val="22"/>
          </w:rPr>
          <w:t xml:space="preserve"> </w:t>
        </w:r>
        <w:smartTag w:uri="urn:schemas-microsoft-com:office:smarttags" w:element="PlaceType">
          <w:r w:rsidR="004B338F" w:rsidRPr="008452FA">
            <w:rPr>
              <w:szCs w:val="22"/>
            </w:rPr>
            <w:t>Valley</w:t>
          </w:r>
        </w:smartTag>
      </w:smartTag>
      <w:r w:rsidR="004B338F" w:rsidRPr="008452FA">
        <w:rPr>
          <w:szCs w:val="22"/>
        </w:rPr>
        <w:t xml:space="preserve"> </w:t>
      </w:r>
      <w:r w:rsidRPr="008452FA">
        <w:rPr>
          <w:szCs w:val="22"/>
        </w:rPr>
        <w:t>floodplain sediments, le</w:t>
      </w:r>
      <w:r w:rsidR="001A05D8" w:rsidRPr="008452FA">
        <w:rPr>
          <w:szCs w:val="22"/>
        </w:rPr>
        <w:t>ading</w:t>
      </w:r>
      <w:r w:rsidRPr="008452FA">
        <w:rPr>
          <w:szCs w:val="22"/>
        </w:rPr>
        <w:t xml:space="preserve"> to a substantive revision of the hydrostratigraphy, hydrogeology, and history of </w:t>
      </w:r>
      <w:r w:rsidR="00503169" w:rsidRPr="008452FA">
        <w:rPr>
          <w:szCs w:val="22"/>
        </w:rPr>
        <w:t xml:space="preserve">geological and </w:t>
      </w:r>
      <w:r w:rsidRPr="008452FA">
        <w:rPr>
          <w:szCs w:val="22"/>
        </w:rPr>
        <w:t xml:space="preserve">landscape evolution of the </w:t>
      </w:r>
      <w:r w:rsidR="00503169" w:rsidRPr="008452FA">
        <w:rPr>
          <w:szCs w:val="22"/>
        </w:rPr>
        <w:t>region</w:t>
      </w:r>
      <w:r w:rsidRPr="008452FA">
        <w:rPr>
          <w:szCs w:val="22"/>
        </w:rPr>
        <w:t>. This new knowledge has practical implications for assessing groundwater resources and MAR options</w:t>
      </w:r>
      <w:r w:rsidR="00503169" w:rsidRPr="008452FA">
        <w:rPr>
          <w:szCs w:val="22"/>
        </w:rPr>
        <w:t xml:space="preserve"> in the BHMAR </w:t>
      </w:r>
      <w:r w:rsidR="00A56C85">
        <w:rPr>
          <w:szCs w:val="22"/>
        </w:rPr>
        <w:t>project</w:t>
      </w:r>
      <w:r w:rsidR="00503169" w:rsidRPr="008452FA">
        <w:rPr>
          <w:szCs w:val="22"/>
        </w:rPr>
        <w:t xml:space="preserve"> area, and regionally</w:t>
      </w:r>
      <w:r w:rsidRPr="008452FA">
        <w:rPr>
          <w:szCs w:val="22"/>
        </w:rPr>
        <w:t>.</w:t>
      </w:r>
    </w:p>
    <w:p w:rsidR="001559CE" w:rsidRPr="008452FA" w:rsidRDefault="00FE4220" w:rsidP="008D52AF">
      <w:pPr>
        <w:numPr>
          <w:ilvl w:val="0"/>
          <w:numId w:val="42"/>
        </w:numPr>
        <w:tabs>
          <w:tab w:val="num" w:pos="540"/>
        </w:tabs>
        <w:spacing w:before="60"/>
        <w:ind w:left="540" w:hanging="540"/>
        <w:rPr>
          <w:szCs w:val="22"/>
        </w:rPr>
      </w:pPr>
      <w:r w:rsidRPr="008452FA">
        <w:rPr>
          <w:szCs w:val="22"/>
        </w:rPr>
        <w:t>A</w:t>
      </w:r>
      <w:r w:rsidR="008D52AF" w:rsidRPr="008452FA">
        <w:rPr>
          <w:szCs w:val="22"/>
        </w:rPr>
        <w:t xml:space="preserve">irborne electromagnetics (AEM) and remote sensing data (LiDAR and Landsat), validated by ground and borehole geophysics, and laboratory data from a drilling program, have </w:t>
      </w:r>
      <w:r w:rsidR="00503169" w:rsidRPr="008452FA">
        <w:rPr>
          <w:szCs w:val="22"/>
        </w:rPr>
        <w:t xml:space="preserve">been used to </w:t>
      </w:r>
      <w:r w:rsidR="004B338F" w:rsidRPr="008452FA">
        <w:rPr>
          <w:szCs w:val="22"/>
        </w:rPr>
        <w:t xml:space="preserve">map key functional elements of the hydrological system </w:t>
      </w:r>
    </w:p>
    <w:p w:rsidR="004B338F" w:rsidRPr="008452FA" w:rsidRDefault="001C0090" w:rsidP="00A75725">
      <w:pPr>
        <w:numPr>
          <w:ilvl w:val="0"/>
          <w:numId w:val="52"/>
        </w:numPr>
        <w:tabs>
          <w:tab w:val="clear" w:pos="1800"/>
          <w:tab w:val="num" w:pos="1080"/>
          <w:tab w:val="num" w:pos="2517"/>
        </w:tabs>
        <w:spacing w:before="60" w:after="60"/>
        <w:ind w:left="1077" w:hanging="357"/>
        <w:rPr>
          <w:szCs w:val="22"/>
        </w:rPr>
      </w:pPr>
      <w:r>
        <w:rPr>
          <w:szCs w:val="22"/>
        </w:rPr>
        <w:t>S</w:t>
      </w:r>
      <w:r w:rsidR="008D52AF" w:rsidRPr="008452FA">
        <w:rPr>
          <w:szCs w:val="22"/>
        </w:rPr>
        <w:t xml:space="preserve">urface geomorphology, and </w:t>
      </w:r>
      <w:r>
        <w:rPr>
          <w:szCs w:val="22"/>
        </w:rPr>
        <w:t>the</w:t>
      </w:r>
      <w:r w:rsidR="004B338F" w:rsidRPr="008452FA">
        <w:rPr>
          <w:szCs w:val="22"/>
        </w:rPr>
        <w:t xml:space="preserve"> </w:t>
      </w:r>
      <w:r w:rsidR="002028F3" w:rsidRPr="008452FA">
        <w:rPr>
          <w:szCs w:val="22"/>
        </w:rPr>
        <w:t>multi-layered sequence of aquitards and aquifers ha</w:t>
      </w:r>
      <w:r w:rsidR="00971C9D">
        <w:rPr>
          <w:szCs w:val="22"/>
        </w:rPr>
        <w:t>ve</w:t>
      </w:r>
      <w:r w:rsidR="002028F3" w:rsidRPr="008452FA">
        <w:rPr>
          <w:szCs w:val="22"/>
        </w:rPr>
        <w:t xml:space="preserve"> been mapped </w:t>
      </w:r>
      <w:r w:rsidR="004B338F" w:rsidRPr="008452FA">
        <w:rPr>
          <w:szCs w:val="22"/>
        </w:rPr>
        <w:t xml:space="preserve">at high-resolution </w:t>
      </w:r>
      <w:r w:rsidR="008D52AF" w:rsidRPr="008452FA">
        <w:rPr>
          <w:szCs w:val="22"/>
        </w:rPr>
        <w:t>to produce a new 3D map of the hydrostratigraphy in the</w:t>
      </w:r>
      <w:r w:rsidR="002028F3" w:rsidRPr="008452FA">
        <w:rPr>
          <w:szCs w:val="22"/>
        </w:rPr>
        <w:t xml:space="preserve"> top 100</w:t>
      </w:r>
      <w:r w:rsidR="00030542">
        <w:rPr>
          <w:szCs w:val="22"/>
        </w:rPr>
        <w:t xml:space="preserve"> </w:t>
      </w:r>
      <w:r w:rsidR="002028F3" w:rsidRPr="008452FA">
        <w:rPr>
          <w:szCs w:val="22"/>
        </w:rPr>
        <w:t xml:space="preserve">m </w:t>
      </w:r>
      <w:r w:rsidR="008D52AF" w:rsidRPr="008452FA">
        <w:rPr>
          <w:szCs w:val="22"/>
        </w:rPr>
        <w:t xml:space="preserve">of </w:t>
      </w:r>
      <w:r w:rsidR="002028F3" w:rsidRPr="008452FA">
        <w:rPr>
          <w:szCs w:val="22"/>
        </w:rPr>
        <w:t xml:space="preserve">the </w:t>
      </w:r>
      <w:r w:rsidR="008D52AF" w:rsidRPr="008452FA">
        <w:rPr>
          <w:szCs w:val="22"/>
        </w:rPr>
        <w:t xml:space="preserve">Lower </w:t>
      </w:r>
      <w:r w:rsidR="002028F3" w:rsidRPr="008452FA">
        <w:rPr>
          <w:szCs w:val="22"/>
        </w:rPr>
        <w:t xml:space="preserve">Darling Floodplain. </w:t>
      </w:r>
    </w:p>
    <w:p w:rsidR="001559CE" w:rsidRPr="008452FA" w:rsidRDefault="002028F3" w:rsidP="00A75725">
      <w:pPr>
        <w:numPr>
          <w:ilvl w:val="0"/>
          <w:numId w:val="52"/>
        </w:numPr>
        <w:tabs>
          <w:tab w:val="clear" w:pos="1800"/>
          <w:tab w:val="num" w:pos="1080"/>
          <w:tab w:val="num" w:pos="2517"/>
        </w:tabs>
        <w:spacing w:before="60" w:after="60"/>
        <w:ind w:left="1077" w:hanging="357"/>
        <w:rPr>
          <w:szCs w:val="22"/>
        </w:rPr>
      </w:pPr>
      <w:r w:rsidRPr="008452FA">
        <w:rPr>
          <w:szCs w:val="22"/>
        </w:rPr>
        <w:t xml:space="preserve">The Blanchetown Clay </w:t>
      </w:r>
      <w:r w:rsidR="00503169" w:rsidRPr="008452FA">
        <w:rPr>
          <w:szCs w:val="22"/>
        </w:rPr>
        <w:t>occurs</w:t>
      </w:r>
      <w:r w:rsidRPr="008452FA">
        <w:rPr>
          <w:szCs w:val="22"/>
        </w:rPr>
        <w:t xml:space="preserve"> throughout </w:t>
      </w:r>
      <w:r w:rsidR="00503169" w:rsidRPr="008452FA">
        <w:rPr>
          <w:szCs w:val="22"/>
        </w:rPr>
        <w:t xml:space="preserve">most of </w:t>
      </w:r>
      <w:r w:rsidRPr="008452FA">
        <w:rPr>
          <w:szCs w:val="22"/>
        </w:rPr>
        <w:t>the study area, providing an upper confining aquitard to key Plio</w:t>
      </w:r>
      <w:r w:rsidR="004B338F" w:rsidRPr="008452FA">
        <w:rPr>
          <w:szCs w:val="22"/>
        </w:rPr>
        <w:t>cene</w:t>
      </w:r>
      <w:r w:rsidRPr="008452FA">
        <w:rPr>
          <w:szCs w:val="22"/>
        </w:rPr>
        <w:t xml:space="preserve"> aquifers</w:t>
      </w:r>
      <w:r w:rsidR="004B338F" w:rsidRPr="008452FA">
        <w:rPr>
          <w:szCs w:val="22"/>
        </w:rPr>
        <w:t xml:space="preserve"> (Calivil Formation and Loxton-Parilla Sands)</w:t>
      </w:r>
      <w:r w:rsidRPr="008452FA">
        <w:rPr>
          <w:szCs w:val="22"/>
        </w:rPr>
        <w:t>, and potential MAR options. Mapped ‘holes’ in the Blanchetown Clay</w:t>
      </w:r>
      <w:r w:rsidR="00503169" w:rsidRPr="008452FA">
        <w:rPr>
          <w:szCs w:val="22"/>
        </w:rPr>
        <w:t xml:space="preserve"> </w:t>
      </w:r>
      <w:r w:rsidRPr="008452FA">
        <w:rPr>
          <w:szCs w:val="22"/>
        </w:rPr>
        <w:t>pro</w:t>
      </w:r>
      <w:r w:rsidR="00703410" w:rsidRPr="008452FA">
        <w:rPr>
          <w:szCs w:val="22"/>
        </w:rPr>
        <w:t xml:space="preserve">vide potential recharge windows to the </w:t>
      </w:r>
      <w:r w:rsidR="004B338F" w:rsidRPr="008452FA">
        <w:rPr>
          <w:szCs w:val="22"/>
        </w:rPr>
        <w:t xml:space="preserve">priority </w:t>
      </w:r>
      <w:r w:rsidR="00C217F0" w:rsidRPr="008452FA">
        <w:rPr>
          <w:szCs w:val="22"/>
        </w:rPr>
        <w:t>Calivil Formation</w:t>
      </w:r>
      <w:r w:rsidR="00703410" w:rsidRPr="008452FA">
        <w:rPr>
          <w:szCs w:val="22"/>
        </w:rPr>
        <w:t xml:space="preserve"> aquifer.</w:t>
      </w:r>
      <w:r w:rsidR="00503169" w:rsidRPr="008452FA">
        <w:rPr>
          <w:szCs w:val="22"/>
        </w:rPr>
        <w:t xml:space="preserve"> </w:t>
      </w:r>
    </w:p>
    <w:p w:rsidR="002028F3" w:rsidRPr="008452FA" w:rsidRDefault="002028F3" w:rsidP="00D7599C">
      <w:pPr>
        <w:numPr>
          <w:ilvl w:val="0"/>
          <w:numId w:val="52"/>
        </w:numPr>
        <w:tabs>
          <w:tab w:val="clear" w:pos="1800"/>
          <w:tab w:val="num" w:pos="1080"/>
          <w:tab w:val="num" w:pos="2517"/>
        </w:tabs>
        <w:spacing w:before="60" w:after="60"/>
        <w:ind w:left="1077" w:hanging="357"/>
        <w:rPr>
          <w:szCs w:val="22"/>
        </w:rPr>
      </w:pPr>
      <w:r w:rsidRPr="008452FA">
        <w:rPr>
          <w:szCs w:val="22"/>
        </w:rPr>
        <w:t>The thickness</w:t>
      </w:r>
      <w:r w:rsidR="008D52AF" w:rsidRPr="008452FA">
        <w:rPr>
          <w:szCs w:val="22"/>
        </w:rPr>
        <w:t>, e</w:t>
      </w:r>
      <w:r w:rsidRPr="008452FA">
        <w:rPr>
          <w:szCs w:val="22"/>
        </w:rPr>
        <w:t>xtent</w:t>
      </w:r>
      <w:r w:rsidR="008D52AF" w:rsidRPr="008452FA">
        <w:rPr>
          <w:szCs w:val="22"/>
        </w:rPr>
        <w:t xml:space="preserve"> and salinity distribution of the Pliocene aquifers has been mapped</w:t>
      </w:r>
      <w:r w:rsidRPr="008452FA">
        <w:rPr>
          <w:szCs w:val="22"/>
        </w:rPr>
        <w:t xml:space="preserve"> </w:t>
      </w:r>
      <w:r w:rsidR="008D52AF" w:rsidRPr="008452FA">
        <w:rPr>
          <w:szCs w:val="22"/>
        </w:rPr>
        <w:t xml:space="preserve">in 3D. </w:t>
      </w:r>
      <w:r w:rsidRPr="008452FA">
        <w:rPr>
          <w:szCs w:val="22"/>
        </w:rPr>
        <w:t xml:space="preserve">Multi-scale surveys </w:t>
      </w:r>
      <w:r w:rsidR="004B338F" w:rsidRPr="008452FA">
        <w:rPr>
          <w:szCs w:val="22"/>
        </w:rPr>
        <w:t xml:space="preserve">combined with drilling data </w:t>
      </w:r>
      <w:r w:rsidRPr="008452FA">
        <w:rPr>
          <w:szCs w:val="22"/>
        </w:rPr>
        <w:t>have revealed significant aquifer heterogeneity at regional and borefield scales</w:t>
      </w:r>
      <w:r w:rsidR="004B338F" w:rsidRPr="008452FA">
        <w:rPr>
          <w:szCs w:val="22"/>
        </w:rPr>
        <w:t xml:space="preserve">. These data </w:t>
      </w:r>
      <w:r w:rsidR="008D52AF" w:rsidRPr="008452FA">
        <w:rPr>
          <w:szCs w:val="22"/>
        </w:rPr>
        <w:t>e</w:t>
      </w:r>
      <w:r w:rsidR="004B338F" w:rsidRPr="008452FA">
        <w:rPr>
          <w:szCs w:val="22"/>
        </w:rPr>
        <w:t xml:space="preserve">nabled </w:t>
      </w:r>
      <w:r w:rsidR="00593B52">
        <w:rPr>
          <w:szCs w:val="22"/>
        </w:rPr>
        <w:t xml:space="preserve">identification of </w:t>
      </w:r>
      <w:r w:rsidR="004B338F" w:rsidRPr="008452FA">
        <w:rPr>
          <w:szCs w:val="22"/>
        </w:rPr>
        <w:t xml:space="preserve">palaeochannels with favourable hydraulic properties </w:t>
      </w:r>
      <w:r w:rsidR="008D52AF" w:rsidRPr="008452FA">
        <w:rPr>
          <w:szCs w:val="22"/>
        </w:rPr>
        <w:t xml:space="preserve">and </w:t>
      </w:r>
      <w:r w:rsidR="00350183" w:rsidRPr="008452FA">
        <w:rPr>
          <w:szCs w:val="22"/>
        </w:rPr>
        <w:t xml:space="preserve">low </w:t>
      </w:r>
      <w:r w:rsidR="008D52AF" w:rsidRPr="008452FA">
        <w:rPr>
          <w:szCs w:val="22"/>
        </w:rPr>
        <w:t xml:space="preserve">salinities </w:t>
      </w:r>
      <w:r w:rsidR="004B338F" w:rsidRPr="008452FA">
        <w:rPr>
          <w:szCs w:val="22"/>
        </w:rPr>
        <w:t xml:space="preserve">in the </w:t>
      </w:r>
      <w:r w:rsidR="008D52AF" w:rsidRPr="008452FA">
        <w:rPr>
          <w:szCs w:val="22"/>
        </w:rPr>
        <w:t xml:space="preserve">Calivil Formation aquifer, </w:t>
      </w:r>
      <w:r w:rsidR="00703410" w:rsidRPr="008452FA">
        <w:rPr>
          <w:szCs w:val="22"/>
        </w:rPr>
        <w:t>greatly assisting with the identification</w:t>
      </w:r>
      <w:r w:rsidR="004B338F" w:rsidRPr="008452FA">
        <w:rPr>
          <w:szCs w:val="22"/>
        </w:rPr>
        <w:t xml:space="preserve"> </w:t>
      </w:r>
      <w:r w:rsidR="00703410" w:rsidRPr="008452FA">
        <w:rPr>
          <w:szCs w:val="22"/>
        </w:rPr>
        <w:t xml:space="preserve">and prioritisation of </w:t>
      </w:r>
      <w:r w:rsidRPr="008452FA">
        <w:rPr>
          <w:szCs w:val="22"/>
        </w:rPr>
        <w:t>groundwater resource</w:t>
      </w:r>
      <w:r w:rsidR="00703410" w:rsidRPr="008452FA">
        <w:rPr>
          <w:szCs w:val="22"/>
        </w:rPr>
        <w:t>s</w:t>
      </w:r>
      <w:r w:rsidRPr="008452FA">
        <w:rPr>
          <w:szCs w:val="22"/>
        </w:rPr>
        <w:t xml:space="preserve"> and MAR </w:t>
      </w:r>
      <w:r w:rsidR="00703410" w:rsidRPr="008452FA">
        <w:rPr>
          <w:szCs w:val="22"/>
        </w:rPr>
        <w:t>targets.</w:t>
      </w:r>
    </w:p>
    <w:p w:rsidR="002C7E21" w:rsidRPr="008452FA" w:rsidRDefault="00D7599C" w:rsidP="00D7599C">
      <w:pPr>
        <w:numPr>
          <w:ilvl w:val="0"/>
          <w:numId w:val="52"/>
        </w:numPr>
        <w:tabs>
          <w:tab w:val="clear" w:pos="1800"/>
          <w:tab w:val="num" w:pos="1080"/>
          <w:tab w:val="num" w:pos="2517"/>
        </w:tabs>
        <w:spacing w:before="60" w:after="60"/>
        <w:ind w:left="1077" w:hanging="357"/>
        <w:rPr>
          <w:szCs w:val="22"/>
        </w:rPr>
      </w:pPr>
      <w:r w:rsidRPr="008452FA">
        <w:rPr>
          <w:szCs w:val="22"/>
        </w:rPr>
        <w:t xml:space="preserve">There is significant evidence of neotectonics in the </w:t>
      </w:r>
      <w:r w:rsidR="002C7E21" w:rsidRPr="008452FA">
        <w:rPr>
          <w:szCs w:val="22"/>
        </w:rPr>
        <w:t>study area.</w:t>
      </w:r>
    </w:p>
    <w:p w:rsidR="002C7E21" w:rsidRPr="008452FA" w:rsidRDefault="002C7E21" w:rsidP="002C7E21">
      <w:pPr>
        <w:numPr>
          <w:ilvl w:val="1"/>
          <w:numId w:val="52"/>
        </w:numPr>
        <w:tabs>
          <w:tab w:val="num" w:pos="2517"/>
        </w:tabs>
        <w:spacing w:before="60" w:after="60"/>
        <w:rPr>
          <w:szCs w:val="22"/>
        </w:rPr>
      </w:pPr>
      <w:r w:rsidRPr="008452FA">
        <w:rPr>
          <w:szCs w:val="22"/>
        </w:rPr>
        <w:t>The</w:t>
      </w:r>
      <w:r w:rsidR="00D7599C" w:rsidRPr="008452FA">
        <w:rPr>
          <w:szCs w:val="22"/>
        </w:rPr>
        <w:t xml:space="preserve"> </w:t>
      </w:r>
      <w:r w:rsidRPr="008452FA">
        <w:rPr>
          <w:szCs w:val="22"/>
        </w:rPr>
        <w:t xml:space="preserve">present-day courses of </w:t>
      </w:r>
      <w:r w:rsidR="00D7599C" w:rsidRPr="008452FA">
        <w:rPr>
          <w:szCs w:val="22"/>
        </w:rPr>
        <w:t xml:space="preserve">Talyawalka </w:t>
      </w:r>
      <w:r w:rsidR="00593B52">
        <w:rPr>
          <w:szCs w:val="22"/>
        </w:rPr>
        <w:t xml:space="preserve">Creek </w:t>
      </w:r>
      <w:r w:rsidR="00D7599C" w:rsidRPr="008452FA">
        <w:rPr>
          <w:szCs w:val="22"/>
        </w:rPr>
        <w:t xml:space="preserve">and </w:t>
      </w:r>
      <w:r w:rsidR="001C0090">
        <w:rPr>
          <w:szCs w:val="22"/>
        </w:rPr>
        <w:t xml:space="preserve">the </w:t>
      </w:r>
      <w:smartTag w:uri="urn:schemas-microsoft-com:office:smarttags" w:element="place">
        <w:r w:rsidR="00D7599C" w:rsidRPr="008452FA">
          <w:rPr>
            <w:szCs w:val="22"/>
          </w:rPr>
          <w:t>Darling River</w:t>
        </w:r>
      </w:smartTag>
      <w:r w:rsidRPr="008452FA">
        <w:rPr>
          <w:szCs w:val="22"/>
        </w:rPr>
        <w:t xml:space="preserve"> are largely </w:t>
      </w:r>
      <w:r w:rsidR="002248EF" w:rsidRPr="008452FA">
        <w:rPr>
          <w:szCs w:val="22"/>
        </w:rPr>
        <w:t>structurally controlled</w:t>
      </w:r>
      <w:r w:rsidRPr="008452FA">
        <w:rPr>
          <w:szCs w:val="22"/>
        </w:rPr>
        <w:t>, with straight-line segments and box-like drainage patterns controlled by intersecting faults mapped in LiDAR, AEM, airborne magnetic and regi</w:t>
      </w:r>
      <w:r w:rsidR="00593B52">
        <w:rPr>
          <w:szCs w:val="22"/>
        </w:rPr>
        <w:t>o</w:t>
      </w:r>
      <w:r w:rsidRPr="008452FA">
        <w:rPr>
          <w:szCs w:val="22"/>
        </w:rPr>
        <w:t>nal gravity datasets</w:t>
      </w:r>
      <w:r w:rsidR="00D7599C" w:rsidRPr="008452FA">
        <w:rPr>
          <w:szCs w:val="22"/>
        </w:rPr>
        <w:t xml:space="preserve">. </w:t>
      </w:r>
      <w:r w:rsidR="00994BB2" w:rsidRPr="008452FA">
        <w:rPr>
          <w:szCs w:val="22"/>
        </w:rPr>
        <w:t>These faults provide important recharge pathways to underlying aquifers where they intersect the river and adjacent flush zones.</w:t>
      </w:r>
      <w:r w:rsidR="00850217" w:rsidRPr="008452FA">
        <w:rPr>
          <w:szCs w:val="22"/>
        </w:rPr>
        <w:t xml:space="preserve"> Other evidence for neotectonics includes lake tilting (crossing shorelines)</w:t>
      </w:r>
      <w:r w:rsidR="001C0090" w:rsidRPr="008452FA">
        <w:rPr>
          <w:szCs w:val="22"/>
        </w:rPr>
        <w:t>;</w:t>
      </w:r>
      <w:r w:rsidR="00850217" w:rsidRPr="008452FA">
        <w:rPr>
          <w:szCs w:val="22"/>
        </w:rPr>
        <w:t xml:space="preserve"> while a number of surface scarps and linear topographic highs are coincident with faults and horst blocks mapped in the underlying geology. </w:t>
      </w:r>
    </w:p>
    <w:p w:rsidR="002C7E21" w:rsidRPr="008452FA" w:rsidRDefault="00D7599C" w:rsidP="002C7E21">
      <w:pPr>
        <w:numPr>
          <w:ilvl w:val="1"/>
          <w:numId w:val="52"/>
        </w:numPr>
        <w:spacing w:before="60" w:after="60"/>
        <w:rPr>
          <w:szCs w:val="22"/>
        </w:rPr>
      </w:pPr>
      <w:r w:rsidRPr="008452FA">
        <w:rPr>
          <w:szCs w:val="22"/>
        </w:rPr>
        <w:t xml:space="preserve">The Blanchetown Clay </w:t>
      </w:r>
      <w:r w:rsidR="002248EF">
        <w:rPr>
          <w:szCs w:val="22"/>
        </w:rPr>
        <w:t>is warped and tilted at a range of scales, and</w:t>
      </w:r>
      <w:r w:rsidRPr="008452FA">
        <w:rPr>
          <w:szCs w:val="22"/>
        </w:rPr>
        <w:t xml:space="preserve"> is locally sharply offset by faults with up to 20</w:t>
      </w:r>
      <w:r w:rsidR="00AF0556">
        <w:rPr>
          <w:szCs w:val="22"/>
        </w:rPr>
        <w:t xml:space="preserve"> </w:t>
      </w:r>
      <w:r w:rsidRPr="008452FA">
        <w:rPr>
          <w:szCs w:val="22"/>
        </w:rPr>
        <w:t>m vertical offset. Overall, the Blanchetown Clay top surface varies in elevation by 60</w:t>
      </w:r>
      <w:r w:rsidR="00AF0556">
        <w:rPr>
          <w:szCs w:val="22"/>
        </w:rPr>
        <w:t xml:space="preserve"> </w:t>
      </w:r>
      <w:r w:rsidRPr="008452FA">
        <w:rPr>
          <w:szCs w:val="22"/>
        </w:rPr>
        <w:t>m across the study area</w:t>
      </w:r>
      <w:r w:rsidR="002028F3" w:rsidRPr="008452FA">
        <w:rPr>
          <w:szCs w:val="22"/>
        </w:rPr>
        <w:t xml:space="preserve">. </w:t>
      </w:r>
      <w:r w:rsidR="002C7E21" w:rsidRPr="008452FA">
        <w:rPr>
          <w:szCs w:val="22"/>
        </w:rPr>
        <w:t>Many</w:t>
      </w:r>
      <w:r w:rsidR="00350183" w:rsidRPr="008452FA">
        <w:rPr>
          <w:szCs w:val="22"/>
        </w:rPr>
        <w:t xml:space="preserve"> of the faults controlling this deformation are reactivated basement faults</w:t>
      </w:r>
      <w:r w:rsidR="002248EF">
        <w:rPr>
          <w:szCs w:val="22"/>
        </w:rPr>
        <w:t xml:space="preserve"> mapped in magnetic, gravity and seismic datasets</w:t>
      </w:r>
      <w:r w:rsidR="00350183" w:rsidRPr="008452FA">
        <w:rPr>
          <w:szCs w:val="22"/>
        </w:rPr>
        <w:t xml:space="preserve">. </w:t>
      </w:r>
    </w:p>
    <w:p w:rsidR="002C7E21" w:rsidRPr="008452FA" w:rsidRDefault="002C7E21" w:rsidP="002C7E21">
      <w:pPr>
        <w:numPr>
          <w:ilvl w:val="1"/>
          <w:numId w:val="52"/>
        </w:numPr>
        <w:spacing w:before="60" w:after="60"/>
        <w:rPr>
          <w:szCs w:val="22"/>
        </w:rPr>
      </w:pPr>
      <w:r w:rsidRPr="008452FA">
        <w:rPr>
          <w:szCs w:val="22"/>
        </w:rPr>
        <w:t xml:space="preserve">The </w:t>
      </w:r>
      <w:r w:rsidR="00DB37CF">
        <w:rPr>
          <w:szCs w:val="22"/>
        </w:rPr>
        <w:t xml:space="preserve">shallow </w:t>
      </w:r>
      <w:r w:rsidRPr="008452FA">
        <w:rPr>
          <w:szCs w:val="22"/>
        </w:rPr>
        <w:t xml:space="preserve">Coonambidgal and Menindee Formation aquifers are also largely structurally controlled with </w:t>
      </w:r>
      <w:r w:rsidR="00593B52">
        <w:rPr>
          <w:szCs w:val="22"/>
        </w:rPr>
        <w:t xml:space="preserve">deeper </w:t>
      </w:r>
      <w:r w:rsidRPr="008452FA">
        <w:rPr>
          <w:szCs w:val="22"/>
        </w:rPr>
        <w:t xml:space="preserve">deposition localised in small </w:t>
      </w:r>
      <w:r w:rsidR="00994BB2" w:rsidRPr="008452FA">
        <w:rPr>
          <w:szCs w:val="22"/>
        </w:rPr>
        <w:t xml:space="preserve">fault-controlled </w:t>
      </w:r>
      <w:r w:rsidRPr="008452FA">
        <w:rPr>
          <w:szCs w:val="22"/>
        </w:rPr>
        <w:t>trans</w:t>
      </w:r>
      <w:r w:rsidR="00994BB2" w:rsidRPr="008452FA">
        <w:rPr>
          <w:szCs w:val="22"/>
        </w:rPr>
        <w:t>-</w:t>
      </w:r>
      <w:r w:rsidRPr="008452FA">
        <w:rPr>
          <w:szCs w:val="22"/>
        </w:rPr>
        <w:t>tension</w:t>
      </w:r>
      <w:r w:rsidR="00994BB2" w:rsidRPr="008452FA">
        <w:rPr>
          <w:szCs w:val="22"/>
        </w:rPr>
        <w:t xml:space="preserve">al basins. </w:t>
      </w:r>
      <w:r w:rsidR="002248EF">
        <w:rPr>
          <w:szCs w:val="22"/>
        </w:rPr>
        <w:t>Neogene faults</w:t>
      </w:r>
      <w:r w:rsidR="00994BB2" w:rsidRPr="008452FA">
        <w:rPr>
          <w:szCs w:val="22"/>
        </w:rPr>
        <w:t xml:space="preserve"> </w:t>
      </w:r>
      <w:r w:rsidR="002248EF">
        <w:rPr>
          <w:szCs w:val="22"/>
        </w:rPr>
        <w:t>that offset the</w:t>
      </w:r>
      <w:r w:rsidR="00FD32E9">
        <w:rPr>
          <w:szCs w:val="22"/>
        </w:rPr>
        <w:t xml:space="preserve"> Blanchetown Clay</w:t>
      </w:r>
      <w:r w:rsidR="00994BB2" w:rsidRPr="008452FA">
        <w:rPr>
          <w:szCs w:val="22"/>
        </w:rPr>
        <w:t xml:space="preserve"> horizon </w:t>
      </w:r>
      <w:r w:rsidR="002248EF">
        <w:rPr>
          <w:szCs w:val="22"/>
        </w:rPr>
        <w:t xml:space="preserve">and localise inter-aquifer leakage </w:t>
      </w:r>
      <w:r w:rsidR="00994BB2" w:rsidRPr="008452FA">
        <w:rPr>
          <w:szCs w:val="22"/>
        </w:rPr>
        <w:t xml:space="preserve">are more numerous than </w:t>
      </w:r>
      <w:r w:rsidR="002248EF">
        <w:rPr>
          <w:szCs w:val="22"/>
        </w:rPr>
        <w:t>surficial Neotectonic structures</w:t>
      </w:r>
      <w:r w:rsidRPr="008452FA">
        <w:rPr>
          <w:szCs w:val="22"/>
        </w:rPr>
        <w:t>.</w:t>
      </w:r>
    </w:p>
    <w:p w:rsidR="002C7E21" w:rsidRPr="008452FA" w:rsidRDefault="00350183" w:rsidP="002C7E21">
      <w:pPr>
        <w:numPr>
          <w:ilvl w:val="1"/>
          <w:numId w:val="52"/>
        </w:numPr>
        <w:spacing w:before="60" w:after="60"/>
        <w:rPr>
          <w:szCs w:val="22"/>
        </w:rPr>
      </w:pPr>
      <w:r w:rsidRPr="008452FA">
        <w:rPr>
          <w:szCs w:val="22"/>
        </w:rPr>
        <w:t xml:space="preserve">The </w:t>
      </w:r>
      <w:r w:rsidR="00DB37CF">
        <w:rPr>
          <w:szCs w:val="22"/>
        </w:rPr>
        <w:t xml:space="preserve">target </w:t>
      </w:r>
      <w:r w:rsidR="00C217F0" w:rsidRPr="008452FA">
        <w:rPr>
          <w:szCs w:val="22"/>
        </w:rPr>
        <w:t>Calivil</w:t>
      </w:r>
      <w:r w:rsidR="008452FA">
        <w:rPr>
          <w:szCs w:val="22"/>
        </w:rPr>
        <w:t xml:space="preserve"> Formation</w:t>
      </w:r>
      <w:r w:rsidR="00343466" w:rsidRPr="008452FA">
        <w:rPr>
          <w:szCs w:val="22"/>
        </w:rPr>
        <w:t xml:space="preserve"> </w:t>
      </w:r>
      <w:r w:rsidR="002028F3" w:rsidRPr="008452FA">
        <w:rPr>
          <w:szCs w:val="22"/>
        </w:rPr>
        <w:t>aquifer</w:t>
      </w:r>
      <w:r w:rsidR="002C7E21" w:rsidRPr="008452FA">
        <w:rPr>
          <w:szCs w:val="22"/>
        </w:rPr>
        <w:t xml:space="preserve"> is deposited in broad, structurally-controlled palaeovalleys. </w:t>
      </w:r>
    </w:p>
    <w:p w:rsidR="00D7599C" w:rsidRPr="008452FA" w:rsidRDefault="00D7599C" w:rsidP="00D7599C">
      <w:pPr>
        <w:numPr>
          <w:ilvl w:val="0"/>
          <w:numId w:val="42"/>
        </w:numPr>
        <w:tabs>
          <w:tab w:val="num" w:pos="540"/>
        </w:tabs>
        <w:spacing w:before="60"/>
        <w:ind w:left="540" w:hanging="540"/>
        <w:rPr>
          <w:szCs w:val="22"/>
        </w:rPr>
      </w:pPr>
      <w:r w:rsidRPr="008452FA">
        <w:rPr>
          <w:szCs w:val="22"/>
        </w:rPr>
        <w:t xml:space="preserve">A completely new conceptual model for the Darling Floodplain hydrological system </w:t>
      </w:r>
      <w:r w:rsidR="0047787D">
        <w:rPr>
          <w:szCs w:val="22"/>
        </w:rPr>
        <w:t xml:space="preserve">(including the Lower Darling Alluvium and Western Murray Porous Rock Groundwater Management Units) </w:t>
      </w:r>
      <w:r w:rsidRPr="008452FA">
        <w:rPr>
          <w:szCs w:val="22"/>
        </w:rPr>
        <w:t xml:space="preserve">has been developed. </w:t>
      </w:r>
    </w:p>
    <w:p w:rsidR="00D7599C" w:rsidRPr="008452FA" w:rsidRDefault="00D7599C" w:rsidP="00256855">
      <w:pPr>
        <w:numPr>
          <w:ilvl w:val="0"/>
          <w:numId w:val="59"/>
        </w:numPr>
        <w:tabs>
          <w:tab w:val="clear" w:pos="1800"/>
          <w:tab w:val="num" w:pos="1080"/>
        </w:tabs>
        <w:spacing w:before="60" w:after="60"/>
        <w:ind w:left="1080" w:hanging="360"/>
        <w:rPr>
          <w:szCs w:val="22"/>
        </w:rPr>
      </w:pPr>
      <w:r w:rsidRPr="008452FA">
        <w:rPr>
          <w:szCs w:val="22"/>
        </w:rPr>
        <w:t>The mounding of groundwater levels near the river indicates the regional significance of losing river conditions. Groundwater chemistry and stable isotope data show that recharge is episodic and linked to high-flow flood events rather than river leakage being continuous. Critically, rapid and significant groundwater level responses were measured during flood events. Continuation of rising trends after the flood peak receded suggests that this is an actual recharge response rather than hydraulic loading, with rapid recharge through a network of mapped faults.</w:t>
      </w:r>
    </w:p>
    <w:p w:rsidR="00D7599C" w:rsidRPr="008452FA" w:rsidRDefault="00D7599C" w:rsidP="00256855">
      <w:pPr>
        <w:numPr>
          <w:ilvl w:val="0"/>
          <w:numId w:val="59"/>
        </w:numPr>
        <w:tabs>
          <w:tab w:val="clear" w:pos="1800"/>
          <w:tab w:val="num" w:pos="1080"/>
        </w:tabs>
        <w:spacing w:before="60" w:after="60"/>
        <w:ind w:left="1080" w:hanging="360"/>
        <w:rPr>
          <w:szCs w:val="22"/>
        </w:rPr>
      </w:pPr>
      <w:r w:rsidRPr="008452FA">
        <w:rPr>
          <w:szCs w:val="22"/>
        </w:rPr>
        <w:t xml:space="preserve">Mud veneers and mineral precipitates are evident along </w:t>
      </w:r>
      <w:r w:rsidR="00593B52">
        <w:rPr>
          <w:szCs w:val="22"/>
        </w:rPr>
        <w:t xml:space="preserve">much of </w:t>
      </w:r>
      <w:r w:rsidRPr="008452FA">
        <w:rPr>
          <w:szCs w:val="22"/>
        </w:rPr>
        <w:t xml:space="preserve">the </w:t>
      </w:r>
      <w:smartTag w:uri="urn:schemas-microsoft-com:office:smarttags" w:element="place">
        <w:r w:rsidRPr="008452FA">
          <w:rPr>
            <w:szCs w:val="22"/>
          </w:rPr>
          <w:t>Darling River</w:t>
        </w:r>
      </w:smartTag>
      <w:r w:rsidRPr="008452FA">
        <w:rPr>
          <w:szCs w:val="22"/>
        </w:rPr>
        <w:t xml:space="preserve"> channel bank when river flows are low. During low flow conditions these act as impediments to river leakage. During floods, </w:t>
      </w:r>
      <w:r w:rsidR="00593B52" w:rsidRPr="008452FA">
        <w:rPr>
          <w:szCs w:val="22"/>
        </w:rPr>
        <w:t>high</w:t>
      </w:r>
      <w:r w:rsidR="00593B52">
        <w:rPr>
          <w:szCs w:val="22"/>
        </w:rPr>
        <w:t>-</w:t>
      </w:r>
      <w:r w:rsidRPr="008452FA">
        <w:rPr>
          <w:szCs w:val="22"/>
        </w:rPr>
        <w:t xml:space="preserve">flow velocities scour these deposits, revealing lateral-accretion surfaces in the shallow scroll plain sediments. This scouring allows lateral bank recharge to the shallow aquifer. </w:t>
      </w:r>
    </w:p>
    <w:p w:rsidR="00D7599C" w:rsidRPr="008452FA" w:rsidRDefault="00D7599C" w:rsidP="00256855">
      <w:pPr>
        <w:numPr>
          <w:ilvl w:val="0"/>
          <w:numId w:val="59"/>
        </w:numPr>
        <w:tabs>
          <w:tab w:val="clear" w:pos="1800"/>
          <w:tab w:val="num" w:pos="1080"/>
        </w:tabs>
        <w:spacing w:before="60" w:after="60"/>
        <w:ind w:left="1080" w:hanging="360"/>
        <w:rPr>
          <w:szCs w:val="22"/>
        </w:rPr>
      </w:pPr>
      <w:r w:rsidRPr="008452FA">
        <w:rPr>
          <w:szCs w:val="22"/>
        </w:rPr>
        <w:lastRenderedPageBreak/>
        <w:t xml:space="preserve">Recharge to the underlying Pliocene aquifer occurs </w:t>
      </w:r>
      <w:r w:rsidR="002248EF">
        <w:rPr>
          <w:szCs w:val="22"/>
        </w:rPr>
        <w:t>across</w:t>
      </w:r>
      <w:r w:rsidR="002248EF" w:rsidRPr="008452FA">
        <w:rPr>
          <w:szCs w:val="22"/>
        </w:rPr>
        <w:t xml:space="preserve"> </w:t>
      </w:r>
      <w:r w:rsidRPr="008452FA">
        <w:rPr>
          <w:szCs w:val="22"/>
        </w:rPr>
        <w:t>mapped faults and via erosional ‘holes’ in the confining aquitard. Mapped depressions in the river bed (‘cod holes’), are floored by indurated clays, and do not provide preferential connectivity to the underlying aquifer</w:t>
      </w:r>
      <w:r w:rsidR="00994BB2" w:rsidRPr="008452FA">
        <w:rPr>
          <w:szCs w:val="22"/>
        </w:rPr>
        <w:t>.</w:t>
      </w:r>
    </w:p>
    <w:p w:rsidR="00D7599C" w:rsidRDefault="00D7599C" w:rsidP="00256855">
      <w:pPr>
        <w:numPr>
          <w:ilvl w:val="0"/>
          <w:numId w:val="59"/>
        </w:numPr>
        <w:tabs>
          <w:tab w:val="clear" w:pos="1800"/>
          <w:tab w:val="num" w:pos="1080"/>
        </w:tabs>
        <w:spacing w:before="60" w:after="60"/>
        <w:ind w:left="1080" w:hanging="360"/>
        <w:rPr>
          <w:szCs w:val="22"/>
        </w:rPr>
      </w:pPr>
      <w:r w:rsidRPr="008452FA">
        <w:rPr>
          <w:szCs w:val="22"/>
        </w:rPr>
        <w:t>Such flow-dependent recharge has implications for groundwater assessment and management. For example, an analysis of historic river flows suggests that active recharge to the groundwater system would only occur for about 17% of the time when flow exceeds about 9,000 ML/d. Recharge would be negligible with groundwater extraction during low-flow conditions.</w:t>
      </w:r>
    </w:p>
    <w:p w:rsidR="00F019EE" w:rsidRDefault="00F019EE" w:rsidP="00F019EE">
      <w:pPr>
        <w:numPr>
          <w:ilvl w:val="0"/>
          <w:numId w:val="59"/>
        </w:numPr>
        <w:tabs>
          <w:tab w:val="clear" w:pos="1800"/>
          <w:tab w:val="num" w:pos="1080"/>
        </w:tabs>
        <w:spacing w:before="60" w:after="60"/>
        <w:ind w:left="1080" w:hanging="360"/>
        <w:rPr>
          <w:szCs w:val="22"/>
        </w:rPr>
      </w:pPr>
      <w:r>
        <w:rPr>
          <w:szCs w:val="22"/>
        </w:rPr>
        <w:t xml:space="preserve">Diffuse recharge from rainfall to the Pliocene aquifers is interpreted to be insignificant, due to the combination of low </w:t>
      </w:r>
      <w:r w:rsidR="003B75DC">
        <w:rPr>
          <w:szCs w:val="22"/>
        </w:rPr>
        <w:t xml:space="preserve">average </w:t>
      </w:r>
      <w:r>
        <w:rPr>
          <w:szCs w:val="22"/>
        </w:rPr>
        <w:t>rainfall, high evaporation, minor irrigation and the presence of thick, extensive aquitards over most of the study area. This conclusion is supported by recharge e</w:t>
      </w:r>
      <w:r w:rsidR="002248EF">
        <w:rPr>
          <w:szCs w:val="22"/>
        </w:rPr>
        <w:t>stimates using the chloride mass balance approach</w:t>
      </w:r>
      <w:r>
        <w:rPr>
          <w:szCs w:val="22"/>
        </w:rPr>
        <w:t>.</w:t>
      </w:r>
      <w:r w:rsidR="002248EF">
        <w:rPr>
          <w:szCs w:val="22"/>
        </w:rPr>
        <w:t xml:space="preserve"> </w:t>
      </w:r>
    </w:p>
    <w:p w:rsidR="006201D2" w:rsidRPr="008452FA" w:rsidRDefault="00850217" w:rsidP="00CF7613">
      <w:pPr>
        <w:numPr>
          <w:ilvl w:val="0"/>
          <w:numId w:val="42"/>
        </w:numPr>
        <w:tabs>
          <w:tab w:val="num" w:pos="540"/>
        </w:tabs>
        <w:spacing w:before="60"/>
        <w:ind w:left="540" w:hanging="540"/>
        <w:rPr>
          <w:szCs w:val="22"/>
        </w:rPr>
      </w:pPr>
      <w:r w:rsidRPr="008452FA">
        <w:rPr>
          <w:szCs w:val="22"/>
        </w:rPr>
        <w:t xml:space="preserve">A new, multi-scale methodology was developed to estimate </w:t>
      </w:r>
      <w:r w:rsidR="008452FA">
        <w:rPr>
          <w:szCs w:val="22"/>
        </w:rPr>
        <w:t>ground</w:t>
      </w:r>
      <w:r w:rsidRPr="008452FA">
        <w:rPr>
          <w:szCs w:val="22"/>
        </w:rPr>
        <w:t xml:space="preserve">water quality </w:t>
      </w:r>
      <w:r w:rsidR="008452FA">
        <w:rPr>
          <w:szCs w:val="22"/>
        </w:rPr>
        <w:t xml:space="preserve">and storage </w:t>
      </w:r>
      <w:r w:rsidRPr="008452FA">
        <w:rPr>
          <w:szCs w:val="22"/>
        </w:rPr>
        <w:t>volumes</w:t>
      </w:r>
      <w:r w:rsidR="00985BBF" w:rsidRPr="008452FA">
        <w:rPr>
          <w:szCs w:val="22"/>
        </w:rPr>
        <w:t xml:space="preserve">, </w:t>
      </w:r>
      <w:r w:rsidR="006201D2" w:rsidRPr="008452FA">
        <w:rPr>
          <w:szCs w:val="22"/>
        </w:rPr>
        <w:t xml:space="preserve">and applied to </w:t>
      </w:r>
      <w:r w:rsidRPr="008452FA">
        <w:rPr>
          <w:szCs w:val="22"/>
        </w:rPr>
        <w:t>the Pliocene aquifers</w:t>
      </w:r>
      <w:r w:rsidR="006201D2" w:rsidRPr="008452FA">
        <w:rPr>
          <w:szCs w:val="22"/>
        </w:rPr>
        <w:t xml:space="preserve">. This methodology is a significant improvement on previous </w:t>
      </w:r>
      <w:r w:rsidR="00985BBF" w:rsidRPr="008452FA">
        <w:rPr>
          <w:szCs w:val="22"/>
        </w:rPr>
        <w:t>approaches that rely</w:t>
      </w:r>
      <w:r w:rsidR="006201D2" w:rsidRPr="008452FA">
        <w:rPr>
          <w:szCs w:val="22"/>
        </w:rPr>
        <w:t xml:space="preserve"> upon extrapolation </w:t>
      </w:r>
      <w:r w:rsidR="00985BBF" w:rsidRPr="008452FA">
        <w:rPr>
          <w:szCs w:val="22"/>
        </w:rPr>
        <w:t>from</w:t>
      </w:r>
      <w:r w:rsidR="006201D2" w:rsidRPr="008452FA">
        <w:rPr>
          <w:szCs w:val="22"/>
        </w:rPr>
        <w:t xml:space="preserve"> limited borehole data.</w:t>
      </w:r>
    </w:p>
    <w:p w:rsidR="006201D2" w:rsidRPr="008452FA" w:rsidRDefault="006201D2" w:rsidP="00256855">
      <w:pPr>
        <w:numPr>
          <w:ilvl w:val="0"/>
          <w:numId w:val="61"/>
        </w:numPr>
        <w:tabs>
          <w:tab w:val="clear" w:pos="1800"/>
          <w:tab w:val="num" w:pos="1080"/>
        </w:tabs>
        <w:spacing w:before="60" w:after="60"/>
        <w:ind w:left="1080" w:hanging="360"/>
        <w:rPr>
          <w:szCs w:val="22"/>
        </w:rPr>
      </w:pPr>
      <w:r w:rsidRPr="008452FA">
        <w:rPr>
          <w:szCs w:val="22"/>
        </w:rPr>
        <w:t>Sa</w:t>
      </w:r>
      <w:r w:rsidR="00850217" w:rsidRPr="008452FA">
        <w:rPr>
          <w:szCs w:val="22"/>
        </w:rPr>
        <w:t xml:space="preserve">linity class thresholds were estimated by comparing the </w:t>
      </w:r>
      <w:r w:rsidR="008452FA">
        <w:rPr>
          <w:szCs w:val="22"/>
        </w:rPr>
        <w:t xml:space="preserve">downhole </w:t>
      </w:r>
      <w:r w:rsidR="00850217" w:rsidRPr="008452FA">
        <w:rPr>
          <w:szCs w:val="22"/>
        </w:rPr>
        <w:t xml:space="preserve">pore fluid data with the AEM response at a borehole scale. Bulk volumes for each water quality class in a target were then calculated using these thresholds on an AEM depth slice basis, which had been mapped into textural classes. </w:t>
      </w:r>
      <w:r w:rsidRPr="008452FA">
        <w:rPr>
          <w:szCs w:val="22"/>
        </w:rPr>
        <w:t xml:space="preserve">An effective porosity range for each textural class was developed by integrating </w:t>
      </w:r>
      <w:r w:rsidR="00850217" w:rsidRPr="008452FA">
        <w:rPr>
          <w:szCs w:val="22"/>
        </w:rPr>
        <w:t xml:space="preserve">borehole </w:t>
      </w:r>
      <w:r w:rsidR="008452FA">
        <w:rPr>
          <w:szCs w:val="22"/>
        </w:rPr>
        <w:t xml:space="preserve">nuclear magnetic resonance (NMR) </w:t>
      </w:r>
      <w:r w:rsidR="00850217" w:rsidRPr="008452FA">
        <w:rPr>
          <w:szCs w:val="22"/>
        </w:rPr>
        <w:t>data and</w:t>
      </w:r>
      <w:r w:rsidR="00DB37CF">
        <w:rPr>
          <w:szCs w:val="22"/>
        </w:rPr>
        <w:t xml:space="preserve"> laboratory </w:t>
      </w:r>
      <w:r w:rsidRPr="008452FA">
        <w:rPr>
          <w:szCs w:val="22"/>
        </w:rPr>
        <w:t>porosity data</w:t>
      </w:r>
      <w:r w:rsidR="00850217" w:rsidRPr="008452FA">
        <w:rPr>
          <w:szCs w:val="22"/>
        </w:rPr>
        <w:t xml:space="preserve"> (from Lexan-encapsulated core</w:t>
      </w:r>
      <w:r w:rsidR="00DB37CF">
        <w:rPr>
          <w:szCs w:val="22"/>
        </w:rPr>
        <w:t xml:space="preserve"> samples</w:t>
      </w:r>
      <w:r w:rsidR="00850217" w:rsidRPr="008452FA">
        <w:rPr>
          <w:szCs w:val="22"/>
        </w:rPr>
        <w:t xml:space="preserve">). These </w:t>
      </w:r>
      <w:r w:rsidR="008452FA">
        <w:rPr>
          <w:szCs w:val="22"/>
        </w:rPr>
        <w:t xml:space="preserve">effective porosity ranges </w:t>
      </w:r>
      <w:r w:rsidR="00850217" w:rsidRPr="008452FA">
        <w:rPr>
          <w:szCs w:val="22"/>
        </w:rPr>
        <w:t xml:space="preserve">were used to convert the depth-slice bulk volume estimates to stored groundwater volumes. </w:t>
      </w:r>
    </w:p>
    <w:p w:rsidR="007C32C2" w:rsidRPr="007C32C2" w:rsidRDefault="006201D2" w:rsidP="00256855">
      <w:pPr>
        <w:numPr>
          <w:ilvl w:val="0"/>
          <w:numId w:val="61"/>
        </w:numPr>
        <w:tabs>
          <w:tab w:val="clear" w:pos="1800"/>
          <w:tab w:val="num" w:pos="1080"/>
        </w:tabs>
        <w:spacing w:before="60" w:after="60"/>
        <w:ind w:left="1080" w:hanging="360"/>
        <w:rPr>
          <w:szCs w:val="22"/>
        </w:rPr>
      </w:pPr>
      <w:r w:rsidRPr="008452FA">
        <w:rPr>
          <w:szCs w:val="22"/>
        </w:rPr>
        <w:t>Sensitivity analysis revealed that there are still significant uncertainties in volume estimates using this approach. There can be order</w:t>
      </w:r>
      <w:r w:rsidR="008452FA">
        <w:rPr>
          <w:szCs w:val="22"/>
        </w:rPr>
        <w:t>-</w:t>
      </w:r>
      <w:r w:rsidRPr="008452FA">
        <w:rPr>
          <w:szCs w:val="22"/>
        </w:rPr>
        <w:t>of</w:t>
      </w:r>
      <w:r w:rsidR="008452FA">
        <w:rPr>
          <w:szCs w:val="22"/>
        </w:rPr>
        <w:t>-</w:t>
      </w:r>
      <w:r w:rsidRPr="008452FA">
        <w:rPr>
          <w:szCs w:val="22"/>
        </w:rPr>
        <w:t xml:space="preserve">magnitude differences in </w:t>
      </w:r>
      <w:r w:rsidR="00DB37CF">
        <w:rPr>
          <w:szCs w:val="22"/>
        </w:rPr>
        <w:t xml:space="preserve">the </w:t>
      </w:r>
      <w:r w:rsidRPr="008452FA">
        <w:rPr>
          <w:szCs w:val="22"/>
        </w:rPr>
        <w:t>volume calculation</w:t>
      </w:r>
      <w:r w:rsidR="00DB37CF">
        <w:rPr>
          <w:szCs w:val="22"/>
        </w:rPr>
        <w:t>s</w:t>
      </w:r>
      <w:r w:rsidRPr="008452FA">
        <w:rPr>
          <w:szCs w:val="22"/>
        </w:rPr>
        <w:t xml:space="preserve"> depending on the AEM techno</w:t>
      </w:r>
      <w:r w:rsidR="00DB37CF">
        <w:rPr>
          <w:szCs w:val="22"/>
        </w:rPr>
        <w:t>log</w:t>
      </w:r>
      <w:r w:rsidR="00266723">
        <w:rPr>
          <w:szCs w:val="22"/>
        </w:rPr>
        <w:t xml:space="preserve">y, </w:t>
      </w:r>
      <w:r w:rsidR="00DB37CF">
        <w:rPr>
          <w:szCs w:val="22"/>
        </w:rPr>
        <w:t xml:space="preserve">inversions </w:t>
      </w:r>
      <w:r w:rsidR="00266723">
        <w:rPr>
          <w:szCs w:val="22"/>
        </w:rPr>
        <w:t xml:space="preserve">and constraints </w:t>
      </w:r>
      <w:r w:rsidR="00DB37CF">
        <w:rPr>
          <w:szCs w:val="22"/>
        </w:rPr>
        <w:t>used. S</w:t>
      </w:r>
      <w:r w:rsidR="00266723">
        <w:rPr>
          <w:szCs w:val="22"/>
        </w:rPr>
        <w:t xml:space="preserve">ignificant variations were also found </w:t>
      </w:r>
      <w:r w:rsidR="00913878">
        <w:rPr>
          <w:szCs w:val="22"/>
        </w:rPr>
        <w:t xml:space="preserve">when different AEM conductivity </w:t>
      </w:r>
      <w:r w:rsidRPr="008452FA">
        <w:rPr>
          <w:szCs w:val="22"/>
        </w:rPr>
        <w:t>thresholds</w:t>
      </w:r>
      <w:r w:rsidR="00913878">
        <w:rPr>
          <w:szCs w:val="22"/>
        </w:rPr>
        <w:t xml:space="preserve"> were used to </w:t>
      </w:r>
      <w:r w:rsidR="007C32C2">
        <w:rPr>
          <w:szCs w:val="22"/>
        </w:rPr>
        <w:t xml:space="preserve">map groundwater salinity. </w:t>
      </w:r>
      <w:r w:rsidR="00C2765B">
        <w:rPr>
          <w:szCs w:val="22"/>
        </w:rPr>
        <w:t xml:space="preserve">Various </w:t>
      </w:r>
      <w:r w:rsidR="007C32C2">
        <w:rPr>
          <w:szCs w:val="22"/>
        </w:rPr>
        <w:t xml:space="preserve">estimates of effective porosity were </w:t>
      </w:r>
      <w:r w:rsidR="00C2765B">
        <w:rPr>
          <w:szCs w:val="22"/>
        </w:rPr>
        <w:t>used</w:t>
      </w:r>
      <w:r w:rsidR="007C32C2">
        <w:rPr>
          <w:szCs w:val="22"/>
        </w:rPr>
        <w:t xml:space="preserve"> to represent the geological heterogeneity</w:t>
      </w:r>
      <w:r w:rsidRPr="008452FA">
        <w:rPr>
          <w:szCs w:val="22"/>
        </w:rPr>
        <w:t>.</w:t>
      </w:r>
      <w:r w:rsidR="007C32C2" w:rsidRPr="007C32C2">
        <w:t xml:space="preserve"> </w:t>
      </w:r>
    </w:p>
    <w:p w:rsidR="00850217" w:rsidRPr="008452FA" w:rsidRDefault="007C32C2" w:rsidP="00256855">
      <w:pPr>
        <w:numPr>
          <w:ilvl w:val="0"/>
          <w:numId w:val="61"/>
        </w:numPr>
        <w:tabs>
          <w:tab w:val="clear" w:pos="1800"/>
          <w:tab w:val="num" w:pos="1080"/>
        </w:tabs>
        <w:spacing w:before="60" w:after="60"/>
        <w:ind w:left="1080" w:hanging="360"/>
        <w:rPr>
          <w:szCs w:val="22"/>
        </w:rPr>
      </w:pPr>
      <w:r>
        <w:t>Due to this uncertainty</w:t>
      </w:r>
      <w:r w:rsidR="00CE506B">
        <w:t xml:space="preserve">, the groundwater storage volumes </w:t>
      </w:r>
      <w:r w:rsidRPr="00AE0B05">
        <w:t>should only be considered as indicati</w:t>
      </w:r>
      <w:r>
        <w:t xml:space="preserve">ve estimates. The </w:t>
      </w:r>
      <w:r w:rsidR="00CE506B">
        <w:t>estimates</w:t>
      </w:r>
      <w:r>
        <w:t xml:space="preserve"> are still useful in a relative sense, as a tool to prioritise the groundwater targets and to scope the potential aquifer storage capacity for MAR options</w:t>
      </w:r>
      <w:r w:rsidR="00CE506B">
        <w:t>.</w:t>
      </w:r>
    </w:p>
    <w:p w:rsidR="00850217" w:rsidRPr="008452FA" w:rsidRDefault="00136115" w:rsidP="00850217">
      <w:pPr>
        <w:numPr>
          <w:ilvl w:val="0"/>
          <w:numId w:val="42"/>
        </w:numPr>
        <w:tabs>
          <w:tab w:val="num" w:pos="540"/>
        </w:tabs>
        <w:spacing w:before="60"/>
        <w:ind w:left="540" w:hanging="540"/>
        <w:rPr>
          <w:szCs w:val="22"/>
        </w:rPr>
      </w:pPr>
      <w:r w:rsidRPr="008452FA">
        <w:rPr>
          <w:szCs w:val="22"/>
        </w:rPr>
        <w:t>This study has demonstrated the importance of selecting the most appropriate AEM system and optimizing the AEM inversions for generating a wide range of customized interpretation products.</w:t>
      </w:r>
      <w:r w:rsidR="00850217" w:rsidRPr="008452FA">
        <w:rPr>
          <w:szCs w:val="22"/>
        </w:rPr>
        <w:t xml:space="preserve"> </w:t>
      </w:r>
    </w:p>
    <w:p w:rsidR="00850217" w:rsidRPr="008452FA" w:rsidRDefault="00850217" w:rsidP="00256855">
      <w:pPr>
        <w:numPr>
          <w:ilvl w:val="0"/>
          <w:numId w:val="60"/>
        </w:numPr>
        <w:tabs>
          <w:tab w:val="clear" w:pos="1800"/>
          <w:tab w:val="num" w:pos="1080"/>
        </w:tabs>
        <w:spacing w:before="60" w:after="60"/>
        <w:ind w:left="1080"/>
        <w:rPr>
          <w:szCs w:val="22"/>
        </w:rPr>
      </w:pPr>
      <w:r w:rsidRPr="008452FA">
        <w:rPr>
          <w:szCs w:val="22"/>
        </w:rPr>
        <w:t xml:space="preserve">New inversion code </w:t>
      </w:r>
      <w:r w:rsidR="00136115" w:rsidRPr="008452FA">
        <w:rPr>
          <w:szCs w:val="22"/>
        </w:rPr>
        <w:t xml:space="preserve">(WANDA) </w:t>
      </w:r>
      <w:r w:rsidRPr="008452FA">
        <w:rPr>
          <w:szCs w:val="22"/>
        </w:rPr>
        <w:t>has been developed for rapid inversion of the AEM data.</w:t>
      </w:r>
    </w:p>
    <w:p w:rsidR="00136115" w:rsidRPr="008452FA" w:rsidRDefault="00136115" w:rsidP="00256855">
      <w:pPr>
        <w:numPr>
          <w:ilvl w:val="0"/>
          <w:numId w:val="60"/>
        </w:numPr>
        <w:tabs>
          <w:tab w:val="clear" w:pos="1800"/>
          <w:tab w:val="num" w:pos="1080"/>
        </w:tabs>
        <w:spacing w:before="60" w:after="60"/>
        <w:ind w:left="1080"/>
        <w:rPr>
          <w:szCs w:val="22"/>
        </w:rPr>
      </w:pPr>
      <w:r w:rsidRPr="008452FA">
        <w:rPr>
          <w:szCs w:val="22"/>
        </w:rPr>
        <w:t>A lateral correlation procedure was developed to correlate AEM data strictly horizontally.</w:t>
      </w:r>
    </w:p>
    <w:p w:rsidR="00136115" w:rsidRPr="008452FA" w:rsidRDefault="00985BBF" w:rsidP="00256855">
      <w:pPr>
        <w:numPr>
          <w:ilvl w:val="0"/>
          <w:numId w:val="60"/>
        </w:numPr>
        <w:tabs>
          <w:tab w:val="clear" w:pos="1800"/>
          <w:tab w:val="num" w:pos="1080"/>
        </w:tabs>
        <w:spacing w:before="60" w:after="60"/>
        <w:ind w:left="1080"/>
        <w:rPr>
          <w:szCs w:val="22"/>
        </w:rPr>
      </w:pPr>
      <w:r w:rsidRPr="008452FA">
        <w:rPr>
          <w:szCs w:val="22"/>
        </w:rPr>
        <w:t>N</w:t>
      </w:r>
      <w:r w:rsidR="00136115" w:rsidRPr="008452FA">
        <w:rPr>
          <w:szCs w:val="22"/>
        </w:rPr>
        <w:t xml:space="preserve">ew </w:t>
      </w:r>
      <w:r w:rsidR="00FD32E9">
        <w:rPr>
          <w:szCs w:val="22"/>
        </w:rPr>
        <w:t>Fiduciary (FID)-</w:t>
      </w:r>
      <w:r w:rsidR="00136115" w:rsidRPr="008452FA">
        <w:rPr>
          <w:szCs w:val="22"/>
        </w:rPr>
        <w:t>point</w:t>
      </w:r>
      <w:r w:rsidR="00FD32E9">
        <w:rPr>
          <w:szCs w:val="22"/>
        </w:rPr>
        <w:t xml:space="preserve"> </w:t>
      </w:r>
      <w:r w:rsidR="00136115" w:rsidRPr="008452FA">
        <w:rPr>
          <w:szCs w:val="22"/>
        </w:rPr>
        <w:t>borehole correlation procedures w</w:t>
      </w:r>
      <w:r w:rsidRPr="008452FA">
        <w:rPr>
          <w:szCs w:val="22"/>
        </w:rPr>
        <w:t>ere</w:t>
      </w:r>
      <w:r w:rsidR="00136115" w:rsidRPr="008452FA">
        <w:rPr>
          <w:szCs w:val="22"/>
        </w:rPr>
        <w:t xml:space="preserve"> developed</w:t>
      </w:r>
      <w:r w:rsidRPr="008452FA">
        <w:rPr>
          <w:szCs w:val="22"/>
        </w:rPr>
        <w:t xml:space="preserve"> to assess AEM inversions</w:t>
      </w:r>
      <w:r w:rsidR="00136115" w:rsidRPr="008452FA">
        <w:rPr>
          <w:szCs w:val="22"/>
        </w:rPr>
        <w:t xml:space="preserve">. </w:t>
      </w:r>
    </w:p>
    <w:p w:rsidR="00136115" w:rsidRPr="008452FA" w:rsidRDefault="00136115" w:rsidP="00256855">
      <w:pPr>
        <w:numPr>
          <w:ilvl w:val="0"/>
          <w:numId w:val="60"/>
        </w:numPr>
        <w:tabs>
          <w:tab w:val="clear" w:pos="1800"/>
          <w:tab w:val="num" w:pos="1080"/>
        </w:tabs>
        <w:spacing w:before="60" w:after="60"/>
        <w:ind w:left="1080"/>
        <w:rPr>
          <w:szCs w:val="22"/>
        </w:rPr>
      </w:pPr>
      <w:r w:rsidRPr="008452FA">
        <w:rPr>
          <w:szCs w:val="22"/>
        </w:rPr>
        <w:t>Bayesian inference via a reversible jump Markov Chain Monte Carlo (RJ-McMC) inversion for selected AEM data sets provided useful (quantitative) assessment of the final inversion models.</w:t>
      </w:r>
    </w:p>
    <w:p w:rsidR="00985BBF" w:rsidRPr="008452FA" w:rsidRDefault="003F1D46" w:rsidP="00A75725">
      <w:pPr>
        <w:numPr>
          <w:ilvl w:val="0"/>
          <w:numId w:val="42"/>
        </w:numPr>
        <w:tabs>
          <w:tab w:val="num" w:pos="540"/>
        </w:tabs>
        <w:spacing w:before="60"/>
        <w:ind w:left="540" w:hanging="540"/>
        <w:rPr>
          <w:szCs w:val="22"/>
        </w:rPr>
      </w:pPr>
      <w:r w:rsidRPr="008452FA">
        <w:rPr>
          <w:szCs w:val="22"/>
        </w:rPr>
        <w:t>A new methodology, integrating fuzzy-k means (FCM) cluster analysis with conventional hydrochemical and hydrodynamic analysis provides invaluable new insights into groundwater processes.</w:t>
      </w:r>
    </w:p>
    <w:p w:rsidR="008452FA" w:rsidRDefault="007312EC" w:rsidP="00D7599C">
      <w:pPr>
        <w:numPr>
          <w:ilvl w:val="0"/>
          <w:numId w:val="42"/>
        </w:numPr>
        <w:tabs>
          <w:tab w:val="num" w:pos="540"/>
        </w:tabs>
        <w:spacing w:before="60"/>
        <w:ind w:left="540" w:hanging="540"/>
        <w:rPr>
          <w:szCs w:val="22"/>
        </w:rPr>
      </w:pPr>
      <w:r>
        <w:rPr>
          <w:szCs w:val="22"/>
        </w:rPr>
        <w:t>Fundamental v</w:t>
      </w:r>
      <w:r w:rsidR="00985BBF" w:rsidRPr="008452FA">
        <w:rPr>
          <w:szCs w:val="22"/>
        </w:rPr>
        <w:t>ertical accurac</w:t>
      </w:r>
      <w:r>
        <w:rPr>
          <w:szCs w:val="22"/>
        </w:rPr>
        <w:t xml:space="preserve">y (at 95% confidence level) </w:t>
      </w:r>
      <w:r w:rsidR="00985BBF" w:rsidRPr="008452FA">
        <w:rPr>
          <w:szCs w:val="22"/>
        </w:rPr>
        <w:t xml:space="preserve">of the LiDAR </w:t>
      </w:r>
      <w:r>
        <w:rPr>
          <w:szCs w:val="22"/>
        </w:rPr>
        <w:t xml:space="preserve">5 m DEM </w:t>
      </w:r>
      <w:r w:rsidR="00985BBF" w:rsidRPr="008452FA">
        <w:rPr>
          <w:szCs w:val="22"/>
        </w:rPr>
        <w:t>dataset w</w:t>
      </w:r>
      <w:r>
        <w:rPr>
          <w:szCs w:val="22"/>
        </w:rPr>
        <w:t>as</w:t>
      </w:r>
      <w:r w:rsidR="00985BBF" w:rsidRPr="008452FA">
        <w:rPr>
          <w:szCs w:val="22"/>
        </w:rPr>
        <w:t xml:space="preserve"> found to be 0.5</w:t>
      </w:r>
      <w:r>
        <w:rPr>
          <w:szCs w:val="22"/>
        </w:rPr>
        <w:t xml:space="preserve">2 </w:t>
      </w:r>
      <w:r w:rsidR="00985BBF" w:rsidRPr="008452FA">
        <w:rPr>
          <w:szCs w:val="22"/>
        </w:rPr>
        <w:t>m, due to inherent inaccuracies of the methodology, insufficient ground control points and cumulative errors including the ellipsoid-geoid transformations</w:t>
      </w:r>
      <w:r>
        <w:rPr>
          <w:szCs w:val="22"/>
        </w:rPr>
        <w:t xml:space="preserve"> and resampling procedures</w:t>
      </w:r>
      <w:r w:rsidR="00985BBF" w:rsidRPr="008452FA">
        <w:rPr>
          <w:szCs w:val="22"/>
        </w:rPr>
        <w:t>. These vertical inaccuracies need to be factored in to flood modelling, and in utilisation of LiDAR datasets as an absolute height datum.</w:t>
      </w:r>
      <w:r>
        <w:rPr>
          <w:szCs w:val="22"/>
        </w:rPr>
        <w:t xml:space="preserve"> Even considering this factor, f</w:t>
      </w:r>
      <w:r w:rsidR="008452FA">
        <w:rPr>
          <w:szCs w:val="22"/>
        </w:rPr>
        <w:t>lood inundation</w:t>
      </w:r>
      <w:r>
        <w:rPr>
          <w:szCs w:val="22"/>
        </w:rPr>
        <w:t xml:space="preserve"> extent</w:t>
      </w:r>
      <w:r w:rsidR="008452FA">
        <w:rPr>
          <w:szCs w:val="22"/>
        </w:rPr>
        <w:t xml:space="preserve"> mapping of the central project area </w:t>
      </w:r>
      <w:r>
        <w:rPr>
          <w:szCs w:val="22"/>
        </w:rPr>
        <w:t xml:space="preserve">has a 93% </w:t>
      </w:r>
      <w:r w:rsidR="001C0090">
        <w:rPr>
          <w:szCs w:val="22"/>
        </w:rPr>
        <w:t>compatibility</w:t>
      </w:r>
      <w:r>
        <w:rPr>
          <w:szCs w:val="22"/>
        </w:rPr>
        <w:t xml:space="preserve"> with corr</w:t>
      </w:r>
      <w:r w:rsidR="001E492E">
        <w:rPr>
          <w:szCs w:val="22"/>
        </w:rPr>
        <w:t>esponding Landsat TM 5 imagery.</w:t>
      </w:r>
    </w:p>
    <w:p w:rsidR="00D7599C" w:rsidRPr="008452FA" w:rsidRDefault="00D7599C" w:rsidP="0047787D">
      <w:pPr>
        <w:numPr>
          <w:ilvl w:val="0"/>
          <w:numId w:val="42"/>
        </w:numPr>
        <w:tabs>
          <w:tab w:val="num" w:pos="540"/>
        </w:tabs>
        <w:spacing w:before="60"/>
        <w:ind w:left="540" w:hanging="540"/>
        <w:rPr>
          <w:szCs w:val="22"/>
        </w:rPr>
      </w:pPr>
      <w:r w:rsidRPr="008452FA">
        <w:rPr>
          <w:szCs w:val="22"/>
        </w:rPr>
        <w:t xml:space="preserve">Critical to successful completion of the study was development of a trans-disciplinary research methodology. This approach enabled the team to recognise fundamental problems in discipline approaches, helped identify critical data gaps, </w:t>
      </w:r>
      <w:r w:rsidR="00985BBF" w:rsidRPr="008452FA">
        <w:rPr>
          <w:szCs w:val="22"/>
        </w:rPr>
        <w:t xml:space="preserve">and </w:t>
      </w:r>
      <w:r w:rsidRPr="008452FA">
        <w:rPr>
          <w:szCs w:val="22"/>
        </w:rPr>
        <w:t>led to significant innovatio</w:t>
      </w:r>
      <w:r w:rsidR="00985BBF" w:rsidRPr="008452FA">
        <w:rPr>
          <w:szCs w:val="22"/>
        </w:rPr>
        <w:t>n across discipline boundaries. This research methodology was vital</w:t>
      </w:r>
      <w:r w:rsidRPr="008452FA">
        <w:rPr>
          <w:szCs w:val="22"/>
        </w:rPr>
        <w:t xml:space="preserve"> in the development of </w:t>
      </w:r>
      <w:r w:rsidR="00850217" w:rsidRPr="008452FA">
        <w:rPr>
          <w:szCs w:val="22"/>
        </w:rPr>
        <w:t>the</w:t>
      </w:r>
      <w:r w:rsidRPr="008452FA">
        <w:rPr>
          <w:szCs w:val="22"/>
        </w:rPr>
        <w:t xml:space="preserve"> hydrogeological conceptual model that underpinned MAR assessment.</w:t>
      </w:r>
      <w:r w:rsidR="00D039C6">
        <w:rPr>
          <w:szCs w:val="22"/>
        </w:rPr>
        <w:t xml:space="preserve"> </w:t>
      </w:r>
    </w:p>
    <w:p w:rsidR="003F1D46" w:rsidRPr="008452FA" w:rsidRDefault="0012409C" w:rsidP="00A75725">
      <w:pPr>
        <w:numPr>
          <w:ilvl w:val="0"/>
          <w:numId w:val="42"/>
        </w:numPr>
        <w:tabs>
          <w:tab w:val="num" w:pos="540"/>
        </w:tabs>
        <w:spacing w:before="60"/>
        <w:ind w:left="540" w:hanging="540"/>
        <w:rPr>
          <w:szCs w:val="22"/>
        </w:rPr>
      </w:pPr>
      <w:r w:rsidRPr="008452FA">
        <w:rPr>
          <w:szCs w:val="22"/>
        </w:rPr>
        <w:t xml:space="preserve">It is our understanding that this is the first use of AEM for MAR identification and assessment. </w:t>
      </w:r>
      <w:r w:rsidR="003F1D46" w:rsidRPr="008452FA">
        <w:rPr>
          <w:szCs w:val="22"/>
        </w:rPr>
        <w:t xml:space="preserve">The project has developed </w:t>
      </w:r>
      <w:r w:rsidR="00985BBF" w:rsidRPr="008452FA">
        <w:rPr>
          <w:szCs w:val="22"/>
        </w:rPr>
        <w:t>trans</w:t>
      </w:r>
      <w:r w:rsidR="003F1D46" w:rsidRPr="008452FA">
        <w:rPr>
          <w:szCs w:val="22"/>
        </w:rPr>
        <w:t>-disciplinary methodologies and workflows that provide a template for future hydrogeological investigations and MAR assessments.</w:t>
      </w:r>
      <w:r w:rsidR="00E823BA" w:rsidRPr="008452FA">
        <w:rPr>
          <w:szCs w:val="22"/>
        </w:rPr>
        <w:t xml:space="preserve"> </w:t>
      </w:r>
    </w:p>
    <w:p w:rsidR="00470015" w:rsidRPr="00DD1E35" w:rsidRDefault="001559CE" w:rsidP="00592641">
      <w:pPr>
        <w:spacing w:after="120"/>
        <w:rPr>
          <w:b/>
          <w:color w:val="3366FF"/>
          <w:sz w:val="32"/>
          <w:szCs w:val="32"/>
          <w:lang w:eastAsia="en-US"/>
        </w:rPr>
      </w:pPr>
      <w:r>
        <w:rPr>
          <w:b/>
          <w:color w:val="3366FF"/>
          <w:sz w:val="32"/>
          <w:szCs w:val="32"/>
          <w:lang w:eastAsia="en-US"/>
        </w:rPr>
        <w:br w:type="page"/>
      </w:r>
      <w:r w:rsidR="00470015" w:rsidRPr="00DD1E35">
        <w:rPr>
          <w:b/>
          <w:color w:val="3366FF"/>
          <w:sz w:val="32"/>
          <w:szCs w:val="32"/>
          <w:lang w:eastAsia="en-US"/>
        </w:rPr>
        <w:lastRenderedPageBreak/>
        <w:t>PRINCIPAL RECOMMENDATIONS</w:t>
      </w:r>
    </w:p>
    <w:p w:rsidR="00B7606B" w:rsidRPr="001440A3" w:rsidRDefault="00B7606B" w:rsidP="00592641">
      <w:pPr>
        <w:tabs>
          <w:tab w:val="num" w:pos="2517"/>
        </w:tabs>
        <w:spacing w:before="120" w:after="120"/>
        <w:rPr>
          <w:b/>
          <w:sz w:val="24"/>
        </w:rPr>
      </w:pPr>
      <w:r w:rsidRPr="001440A3">
        <w:rPr>
          <w:b/>
          <w:sz w:val="24"/>
        </w:rPr>
        <w:t>Project Specific Recommendations</w:t>
      </w:r>
    </w:p>
    <w:p w:rsidR="00C34025" w:rsidRPr="006F626A" w:rsidRDefault="00BD5092" w:rsidP="00A75725">
      <w:pPr>
        <w:numPr>
          <w:ilvl w:val="0"/>
          <w:numId w:val="43"/>
        </w:numPr>
        <w:tabs>
          <w:tab w:val="clear" w:pos="1080"/>
          <w:tab w:val="num" w:pos="540"/>
        </w:tabs>
        <w:spacing w:before="60"/>
        <w:ind w:left="540" w:hanging="540"/>
        <w:rPr>
          <w:szCs w:val="22"/>
        </w:rPr>
      </w:pPr>
      <w:r w:rsidRPr="006F626A">
        <w:rPr>
          <w:szCs w:val="22"/>
        </w:rPr>
        <w:t>If an alternative water supply option for Broken Hill involving groundwater extraction or MAR</w:t>
      </w:r>
      <w:r w:rsidR="002934DD" w:rsidRPr="006F626A">
        <w:rPr>
          <w:szCs w:val="22"/>
        </w:rPr>
        <w:t xml:space="preserve"> is pursued</w:t>
      </w:r>
      <w:r w:rsidRPr="006F626A">
        <w:rPr>
          <w:szCs w:val="22"/>
        </w:rPr>
        <w:t xml:space="preserve">, then </w:t>
      </w:r>
      <w:r w:rsidR="00470015" w:rsidRPr="006F626A">
        <w:rPr>
          <w:szCs w:val="22"/>
        </w:rPr>
        <w:t xml:space="preserve">it is recommended that </w:t>
      </w:r>
      <w:r w:rsidRPr="006F626A">
        <w:rPr>
          <w:szCs w:val="22"/>
        </w:rPr>
        <w:t xml:space="preserve">planning </w:t>
      </w:r>
      <w:r w:rsidR="00470015" w:rsidRPr="006F626A">
        <w:rPr>
          <w:szCs w:val="22"/>
        </w:rPr>
        <w:t xml:space="preserve">should proceed to </w:t>
      </w:r>
      <w:r w:rsidRPr="006F626A">
        <w:rPr>
          <w:szCs w:val="22"/>
        </w:rPr>
        <w:t>develop</w:t>
      </w:r>
      <w:r w:rsidR="00470015" w:rsidRPr="006F626A">
        <w:rPr>
          <w:szCs w:val="22"/>
        </w:rPr>
        <w:t xml:space="preserve"> the </w:t>
      </w:r>
      <w:r w:rsidRPr="006F626A">
        <w:rPr>
          <w:szCs w:val="22"/>
        </w:rPr>
        <w:t>Jimargil</w:t>
      </w:r>
      <w:r w:rsidR="00470015" w:rsidRPr="006F626A">
        <w:rPr>
          <w:szCs w:val="22"/>
        </w:rPr>
        <w:t xml:space="preserve"> </w:t>
      </w:r>
      <w:r w:rsidR="0037531B" w:rsidRPr="006F626A">
        <w:rPr>
          <w:szCs w:val="22"/>
        </w:rPr>
        <w:t>site</w:t>
      </w:r>
      <w:r w:rsidR="00470015" w:rsidRPr="006F626A">
        <w:rPr>
          <w:szCs w:val="22"/>
        </w:rPr>
        <w:t xml:space="preserve"> as the most suitable </w:t>
      </w:r>
      <w:r w:rsidR="0037531B" w:rsidRPr="006F626A">
        <w:rPr>
          <w:szCs w:val="22"/>
        </w:rPr>
        <w:t>borefield</w:t>
      </w:r>
      <w:r w:rsidR="00470015" w:rsidRPr="006F626A">
        <w:rPr>
          <w:szCs w:val="22"/>
        </w:rPr>
        <w:t>. Specifically</w:t>
      </w:r>
      <w:r w:rsidR="00A1733F" w:rsidRPr="006F626A">
        <w:rPr>
          <w:szCs w:val="22"/>
        </w:rPr>
        <w:t>,</w:t>
      </w:r>
      <w:r w:rsidR="00470015" w:rsidRPr="006F626A">
        <w:rPr>
          <w:szCs w:val="22"/>
        </w:rPr>
        <w:t xml:space="preserve"> </w:t>
      </w:r>
      <w:r w:rsidR="009B7BF7" w:rsidRPr="006F626A">
        <w:rPr>
          <w:szCs w:val="22"/>
        </w:rPr>
        <w:t xml:space="preserve">the </w:t>
      </w:r>
      <w:r w:rsidR="00470015" w:rsidRPr="006F626A">
        <w:rPr>
          <w:szCs w:val="22"/>
        </w:rPr>
        <w:t xml:space="preserve">next steps </w:t>
      </w:r>
      <w:r w:rsidR="009061F8" w:rsidRPr="006F626A">
        <w:rPr>
          <w:szCs w:val="22"/>
        </w:rPr>
        <w:t xml:space="preserve">to develop </w:t>
      </w:r>
      <w:r w:rsidR="009B7BF7" w:rsidRPr="006F626A">
        <w:rPr>
          <w:szCs w:val="22"/>
        </w:rPr>
        <w:t>this</w:t>
      </w:r>
      <w:r w:rsidR="009061F8" w:rsidRPr="006F626A">
        <w:rPr>
          <w:szCs w:val="22"/>
        </w:rPr>
        <w:t xml:space="preserve"> site </w:t>
      </w:r>
      <w:r w:rsidR="00C34025" w:rsidRPr="006F626A">
        <w:rPr>
          <w:szCs w:val="22"/>
        </w:rPr>
        <w:t>include:</w:t>
      </w:r>
    </w:p>
    <w:p w:rsidR="00C34025" w:rsidRDefault="00C34025" w:rsidP="005E36C9">
      <w:pPr>
        <w:numPr>
          <w:ilvl w:val="2"/>
          <w:numId w:val="42"/>
        </w:numPr>
        <w:tabs>
          <w:tab w:val="num" w:pos="1260"/>
        </w:tabs>
        <w:spacing w:before="60"/>
        <w:ind w:left="1260" w:hanging="360"/>
        <w:rPr>
          <w:szCs w:val="22"/>
        </w:rPr>
      </w:pPr>
      <w:r w:rsidRPr="006F626A">
        <w:rPr>
          <w:szCs w:val="22"/>
        </w:rPr>
        <w:t>C</w:t>
      </w:r>
      <w:r w:rsidR="002934DD" w:rsidRPr="006F626A">
        <w:rPr>
          <w:szCs w:val="22"/>
        </w:rPr>
        <w:t xml:space="preserve">osting of all options, as well as </w:t>
      </w:r>
      <w:r w:rsidR="00205CD3" w:rsidRPr="006F626A">
        <w:rPr>
          <w:szCs w:val="22"/>
        </w:rPr>
        <w:t>t</w:t>
      </w:r>
      <w:r w:rsidR="00BD5092" w:rsidRPr="006F626A">
        <w:rPr>
          <w:szCs w:val="22"/>
        </w:rPr>
        <w:t>echnical feasibility, geotechnic</w:t>
      </w:r>
      <w:r w:rsidR="00205CD3" w:rsidRPr="006F626A">
        <w:rPr>
          <w:szCs w:val="22"/>
        </w:rPr>
        <w:t>al</w:t>
      </w:r>
      <w:r w:rsidR="002850DB" w:rsidRPr="006F626A">
        <w:rPr>
          <w:szCs w:val="22"/>
        </w:rPr>
        <w:t>,</w:t>
      </w:r>
      <w:r w:rsidR="00205CD3" w:rsidRPr="006F626A">
        <w:rPr>
          <w:szCs w:val="22"/>
        </w:rPr>
        <w:t xml:space="preserve"> and engineering assessments </w:t>
      </w:r>
      <w:r w:rsidR="00BD5092" w:rsidRPr="006F626A">
        <w:rPr>
          <w:szCs w:val="22"/>
        </w:rPr>
        <w:t>to determine the most appropriate option to enhance Broken Hill’s drought security. This should include assessment and costing of relevant infrastructure and treatment options</w:t>
      </w:r>
      <w:r w:rsidR="00205CD3" w:rsidRPr="006F626A">
        <w:rPr>
          <w:szCs w:val="22"/>
        </w:rPr>
        <w:t>, and the planning of borefields and pipeline routes</w:t>
      </w:r>
      <w:r w:rsidR="00BD5092" w:rsidRPr="006F626A">
        <w:rPr>
          <w:szCs w:val="22"/>
        </w:rPr>
        <w:t xml:space="preserve">. </w:t>
      </w:r>
      <w:r w:rsidR="00470015" w:rsidRPr="006F626A">
        <w:rPr>
          <w:szCs w:val="22"/>
        </w:rPr>
        <w:t xml:space="preserve">Options to minimise capital and operating costs and greenhouse gas emissions, should be considered. </w:t>
      </w:r>
    </w:p>
    <w:p w:rsidR="00BC44F1" w:rsidRDefault="00BC44F1" w:rsidP="005E36C9">
      <w:pPr>
        <w:numPr>
          <w:ilvl w:val="2"/>
          <w:numId w:val="42"/>
        </w:numPr>
        <w:tabs>
          <w:tab w:val="num" w:pos="1260"/>
        </w:tabs>
        <w:spacing w:before="60"/>
        <w:ind w:left="1260" w:hanging="360"/>
        <w:rPr>
          <w:szCs w:val="22"/>
        </w:rPr>
      </w:pPr>
      <w:r>
        <w:rPr>
          <w:szCs w:val="22"/>
        </w:rPr>
        <w:t>Additional</w:t>
      </w:r>
      <w:r w:rsidR="00505281">
        <w:rPr>
          <w:szCs w:val="22"/>
        </w:rPr>
        <w:t xml:space="preserve"> drilling, </w:t>
      </w:r>
      <w:r>
        <w:rPr>
          <w:szCs w:val="22"/>
        </w:rPr>
        <w:t xml:space="preserve">sampling </w:t>
      </w:r>
      <w:r w:rsidR="00505281">
        <w:rPr>
          <w:szCs w:val="22"/>
        </w:rPr>
        <w:t xml:space="preserve">and ground geophysics </w:t>
      </w:r>
      <w:r>
        <w:rPr>
          <w:szCs w:val="22"/>
        </w:rPr>
        <w:t>to validate the interpretation of aquifer properties and groundwater quality, particularly in the central part of the borefield target area where existing data is limited.</w:t>
      </w:r>
      <w:r w:rsidR="00505281" w:rsidRPr="00505281">
        <w:rPr>
          <w:szCs w:val="22"/>
        </w:rPr>
        <w:t xml:space="preserve"> </w:t>
      </w:r>
      <w:r w:rsidR="00505281">
        <w:rPr>
          <w:szCs w:val="22"/>
        </w:rPr>
        <w:t xml:space="preserve">Understanding </w:t>
      </w:r>
      <w:r w:rsidR="00505281" w:rsidRPr="00834708">
        <w:rPr>
          <w:szCs w:val="22"/>
        </w:rPr>
        <w:t>the heterogeneity of</w:t>
      </w:r>
      <w:r w:rsidR="00505281">
        <w:rPr>
          <w:szCs w:val="22"/>
        </w:rPr>
        <w:t xml:space="preserve"> the hydrogeological system at the borefield scale </w:t>
      </w:r>
      <w:r w:rsidR="00505281" w:rsidRPr="00834708">
        <w:rPr>
          <w:szCs w:val="22"/>
        </w:rPr>
        <w:t>is essential for optimising borefield design</w:t>
      </w:r>
      <w:r w:rsidR="00505281">
        <w:rPr>
          <w:szCs w:val="22"/>
        </w:rPr>
        <w:t>.</w:t>
      </w:r>
    </w:p>
    <w:p w:rsidR="00BC44F1" w:rsidRPr="006F626A" w:rsidRDefault="00BC44F1" w:rsidP="005E36C9">
      <w:pPr>
        <w:numPr>
          <w:ilvl w:val="2"/>
          <w:numId w:val="42"/>
        </w:numPr>
        <w:tabs>
          <w:tab w:val="num" w:pos="1260"/>
        </w:tabs>
        <w:spacing w:before="60"/>
        <w:ind w:left="1260" w:hanging="360"/>
        <w:rPr>
          <w:szCs w:val="22"/>
        </w:rPr>
      </w:pPr>
      <w:r>
        <w:rPr>
          <w:szCs w:val="22"/>
        </w:rPr>
        <w:t xml:space="preserve">Long-term aquifer pump tests to </w:t>
      </w:r>
      <w:r w:rsidR="004157AD">
        <w:rPr>
          <w:szCs w:val="22"/>
        </w:rPr>
        <w:t xml:space="preserve">(1) </w:t>
      </w:r>
      <w:r>
        <w:rPr>
          <w:szCs w:val="22"/>
        </w:rPr>
        <w:t>derive key aquifer hydraulic parameters for the target Calivil Formation</w:t>
      </w:r>
      <w:r w:rsidR="004157AD">
        <w:rPr>
          <w:szCs w:val="22"/>
        </w:rPr>
        <w:t xml:space="preserve">, (2) </w:t>
      </w:r>
      <w:r>
        <w:rPr>
          <w:szCs w:val="22"/>
        </w:rPr>
        <w:t>assess leakage between the Calivil Formation aquifer and the overlying Quaternary aquifers</w:t>
      </w:r>
      <w:r w:rsidR="004157AD">
        <w:rPr>
          <w:szCs w:val="22"/>
        </w:rPr>
        <w:t>, including the potential impact on the shallow watertable and (3) assess the potential for ingress of more saline or lower quality groundwater into the pumped aquifer, either laterally from within the Calivil Formation or vertically, particularly from the underlying Renmark Formation.</w:t>
      </w:r>
    </w:p>
    <w:p w:rsidR="002850DB" w:rsidRPr="006F626A" w:rsidRDefault="00470015" w:rsidP="005E36C9">
      <w:pPr>
        <w:numPr>
          <w:ilvl w:val="2"/>
          <w:numId w:val="42"/>
        </w:numPr>
        <w:tabs>
          <w:tab w:val="num" w:pos="1260"/>
        </w:tabs>
        <w:spacing w:before="60"/>
        <w:ind w:left="1260" w:hanging="360"/>
        <w:rPr>
          <w:szCs w:val="22"/>
        </w:rPr>
      </w:pPr>
      <w:r w:rsidRPr="006F626A">
        <w:rPr>
          <w:szCs w:val="22"/>
        </w:rPr>
        <w:t>A calibrated</w:t>
      </w:r>
      <w:r w:rsidR="002934DD" w:rsidRPr="006F626A">
        <w:rPr>
          <w:szCs w:val="22"/>
        </w:rPr>
        <w:t>, transient</w:t>
      </w:r>
      <w:r w:rsidRPr="006F626A">
        <w:rPr>
          <w:szCs w:val="22"/>
        </w:rPr>
        <w:t xml:space="preserve"> </w:t>
      </w:r>
      <w:r w:rsidR="002850DB" w:rsidRPr="006F626A">
        <w:rPr>
          <w:szCs w:val="22"/>
        </w:rPr>
        <w:t xml:space="preserve">numerical </w:t>
      </w:r>
      <w:r w:rsidRPr="006F626A">
        <w:rPr>
          <w:szCs w:val="22"/>
        </w:rPr>
        <w:t xml:space="preserve">groundwater </w:t>
      </w:r>
      <w:r w:rsidR="004157AD">
        <w:rPr>
          <w:szCs w:val="22"/>
        </w:rPr>
        <w:t xml:space="preserve">flow and solute transport </w:t>
      </w:r>
      <w:r w:rsidRPr="006F626A">
        <w:rPr>
          <w:szCs w:val="22"/>
        </w:rPr>
        <w:t>model</w:t>
      </w:r>
      <w:r w:rsidR="00C34025" w:rsidRPr="006F626A">
        <w:rPr>
          <w:szCs w:val="22"/>
        </w:rPr>
        <w:t xml:space="preserve"> to optimise borefield design and assess potential negative impacts, </w:t>
      </w:r>
      <w:r w:rsidR="002934DD" w:rsidRPr="006F626A">
        <w:rPr>
          <w:szCs w:val="22"/>
        </w:rPr>
        <w:t>regardless of the option selected</w:t>
      </w:r>
      <w:r w:rsidR="00C34025" w:rsidRPr="006F626A">
        <w:rPr>
          <w:szCs w:val="22"/>
        </w:rPr>
        <w:t xml:space="preserve"> at the Jimargil site</w:t>
      </w:r>
      <w:r w:rsidR="001E7C56" w:rsidRPr="006F626A">
        <w:rPr>
          <w:szCs w:val="22"/>
        </w:rPr>
        <w:t>.</w:t>
      </w:r>
      <w:r w:rsidR="00DC3635" w:rsidRPr="006F626A">
        <w:rPr>
          <w:szCs w:val="22"/>
        </w:rPr>
        <w:t xml:space="preserve"> </w:t>
      </w:r>
    </w:p>
    <w:p w:rsidR="00741E38" w:rsidRPr="006F626A" w:rsidRDefault="00741E38" w:rsidP="00A75725">
      <w:pPr>
        <w:numPr>
          <w:ilvl w:val="0"/>
          <w:numId w:val="43"/>
        </w:numPr>
        <w:tabs>
          <w:tab w:val="clear" w:pos="1080"/>
          <w:tab w:val="num" w:pos="540"/>
        </w:tabs>
        <w:spacing w:before="60"/>
        <w:ind w:left="540" w:hanging="540"/>
        <w:rPr>
          <w:szCs w:val="22"/>
        </w:rPr>
      </w:pPr>
      <w:r w:rsidRPr="006F626A">
        <w:rPr>
          <w:szCs w:val="22"/>
        </w:rPr>
        <w:t xml:space="preserve">At the Jimargil site, assessment of the ASR option is most advanced, with </w:t>
      </w:r>
      <w:r w:rsidR="009B7BF7" w:rsidRPr="006F626A">
        <w:rPr>
          <w:szCs w:val="22"/>
        </w:rPr>
        <w:t xml:space="preserve">additional </w:t>
      </w:r>
      <w:r w:rsidRPr="006F626A">
        <w:rPr>
          <w:szCs w:val="22"/>
        </w:rPr>
        <w:t xml:space="preserve">groundwater modelling required to assess the viability of bank filtration and groundwater extraction options. </w:t>
      </w:r>
    </w:p>
    <w:p w:rsidR="00C13255" w:rsidRPr="006F626A" w:rsidRDefault="00C13255" w:rsidP="005E36C9">
      <w:pPr>
        <w:numPr>
          <w:ilvl w:val="5"/>
          <w:numId w:val="42"/>
        </w:numPr>
        <w:tabs>
          <w:tab w:val="num" w:pos="1260"/>
        </w:tabs>
        <w:spacing w:before="60"/>
        <w:ind w:left="1260" w:hanging="360"/>
        <w:rPr>
          <w:szCs w:val="22"/>
        </w:rPr>
      </w:pPr>
      <w:r w:rsidRPr="006F626A">
        <w:rPr>
          <w:szCs w:val="22"/>
        </w:rPr>
        <w:t xml:space="preserve">If an ASR option is selected, work could begin to operationalise the site quickly, with the residual operational risk assessment conducted in pilot testing mode. This would entail initial operation in a smaller capacity mode, with cycle-testing to ensure that all the treatment barriers are appropriate. </w:t>
      </w:r>
    </w:p>
    <w:p w:rsidR="00741E38" w:rsidRPr="006F626A" w:rsidRDefault="00741E38" w:rsidP="005E36C9">
      <w:pPr>
        <w:numPr>
          <w:ilvl w:val="5"/>
          <w:numId w:val="42"/>
        </w:numPr>
        <w:tabs>
          <w:tab w:val="num" w:pos="1260"/>
          <w:tab w:val="num" w:pos="3960"/>
        </w:tabs>
        <w:spacing w:before="60"/>
        <w:ind w:left="1260" w:hanging="360"/>
        <w:rPr>
          <w:szCs w:val="22"/>
        </w:rPr>
      </w:pPr>
      <w:r w:rsidRPr="006F626A">
        <w:rPr>
          <w:szCs w:val="22"/>
        </w:rPr>
        <w:t xml:space="preserve">The bank filtration option requires maximal and pre-commissioning risk assessments to assess scheme viability. Particular attention would need to be paid to assessing the effectiveness of pumping to enhance river leakage during high flow events, with numerical groundwater modelling required to assess the potential negative impacts of bank filtration on riparian and floodplain vegetation health, and </w:t>
      </w:r>
      <w:r w:rsidR="007312EC">
        <w:rPr>
          <w:szCs w:val="22"/>
        </w:rPr>
        <w:t xml:space="preserve">on </w:t>
      </w:r>
      <w:r w:rsidRPr="006F626A">
        <w:rPr>
          <w:szCs w:val="22"/>
        </w:rPr>
        <w:t>other users of groundwater in the unconfined aquifers.</w:t>
      </w:r>
    </w:p>
    <w:p w:rsidR="00741E38" w:rsidRPr="006F626A" w:rsidRDefault="00741E38" w:rsidP="005E36C9">
      <w:pPr>
        <w:numPr>
          <w:ilvl w:val="5"/>
          <w:numId w:val="42"/>
        </w:numPr>
        <w:tabs>
          <w:tab w:val="num" w:pos="1260"/>
          <w:tab w:val="num" w:pos="3960"/>
        </w:tabs>
        <w:spacing w:before="60"/>
        <w:ind w:left="1260" w:hanging="360"/>
        <w:rPr>
          <w:szCs w:val="22"/>
        </w:rPr>
      </w:pPr>
      <w:r w:rsidRPr="006F626A">
        <w:rPr>
          <w:szCs w:val="22"/>
        </w:rPr>
        <w:t xml:space="preserve">The groundwater extraction option requires a calibrated, transient numerical groundwater </w:t>
      </w:r>
      <w:r w:rsidR="00D42944">
        <w:rPr>
          <w:szCs w:val="22"/>
        </w:rPr>
        <w:t xml:space="preserve">flow </w:t>
      </w:r>
      <w:r w:rsidRPr="006F626A">
        <w:rPr>
          <w:szCs w:val="22"/>
        </w:rPr>
        <w:t>model to assess the duration and rates of supply possible from the Jimargil site, and to assess potential environmental impacts. Solute trans</w:t>
      </w:r>
      <w:r w:rsidR="0037531B" w:rsidRPr="006F626A">
        <w:rPr>
          <w:szCs w:val="22"/>
        </w:rPr>
        <w:t>port</w:t>
      </w:r>
      <w:r w:rsidRPr="006F626A">
        <w:rPr>
          <w:szCs w:val="22"/>
        </w:rPr>
        <w:t xml:space="preserve"> modelling is also required to assess the potential for borefield salinisation as a consequence of extraction during drought conditions</w:t>
      </w:r>
      <w:r w:rsidR="00D42944">
        <w:rPr>
          <w:szCs w:val="22"/>
        </w:rPr>
        <w:t xml:space="preserve"> when recharge is minimal</w:t>
      </w:r>
      <w:r w:rsidRPr="006F626A">
        <w:rPr>
          <w:szCs w:val="22"/>
        </w:rPr>
        <w:t>, and to predict associated exceed</w:t>
      </w:r>
      <w:r w:rsidR="001E1E35" w:rsidRPr="006F626A">
        <w:rPr>
          <w:szCs w:val="22"/>
        </w:rPr>
        <w:t>a</w:t>
      </w:r>
      <w:r w:rsidRPr="006F626A">
        <w:rPr>
          <w:szCs w:val="22"/>
        </w:rPr>
        <w:t>nces with respect to ADWG</w:t>
      </w:r>
      <w:r w:rsidR="00B81A6B">
        <w:rPr>
          <w:szCs w:val="22"/>
        </w:rPr>
        <w:t>2011</w:t>
      </w:r>
      <w:r w:rsidRPr="006F626A">
        <w:rPr>
          <w:szCs w:val="22"/>
        </w:rPr>
        <w:t xml:space="preserve"> </w:t>
      </w:r>
      <w:r w:rsidR="009B7BF7" w:rsidRPr="006F626A">
        <w:rPr>
          <w:szCs w:val="22"/>
        </w:rPr>
        <w:t>water quality thresholds.</w:t>
      </w:r>
    </w:p>
    <w:p w:rsidR="00470015" w:rsidRPr="006F626A" w:rsidRDefault="002850DB" w:rsidP="00A75725">
      <w:pPr>
        <w:numPr>
          <w:ilvl w:val="0"/>
          <w:numId w:val="43"/>
        </w:numPr>
        <w:tabs>
          <w:tab w:val="clear" w:pos="1080"/>
          <w:tab w:val="num" w:pos="540"/>
        </w:tabs>
        <w:spacing w:before="60"/>
        <w:ind w:left="540" w:hanging="540"/>
        <w:rPr>
          <w:szCs w:val="22"/>
        </w:rPr>
      </w:pPr>
      <w:r w:rsidRPr="006F626A">
        <w:rPr>
          <w:szCs w:val="22"/>
        </w:rPr>
        <w:t>Similar assessments</w:t>
      </w:r>
      <w:r w:rsidR="006516DA" w:rsidRPr="006F626A">
        <w:rPr>
          <w:szCs w:val="22"/>
        </w:rPr>
        <w:t xml:space="preserve">, including drilling </w:t>
      </w:r>
      <w:r w:rsidRPr="006F626A">
        <w:rPr>
          <w:szCs w:val="22"/>
        </w:rPr>
        <w:t xml:space="preserve">and </w:t>
      </w:r>
      <w:r w:rsidR="00C34025" w:rsidRPr="006F626A">
        <w:rPr>
          <w:szCs w:val="22"/>
        </w:rPr>
        <w:t xml:space="preserve">calibrated transient </w:t>
      </w:r>
      <w:r w:rsidRPr="006F626A">
        <w:rPr>
          <w:szCs w:val="22"/>
        </w:rPr>
        <w:t>numerical models are required if</w:t>
      </w:r>
      <w:r w:rsidR="00A1733F" w:rsidRPr="006F626A">
        <w:rPr>
          <w:szCs w:val="22"/>
        </w:rPr>
        <w:t xml:space="preserve"> </w:t>
      </w:r>
      <w:r w:rsidR="000120DD" w:rsidRPr="006F626A">
        <w:rPr>
          <w:szCs w:val="22"/>
        </w:rPr>
        <w:t xml:space="preserve">development of </w:t>
      </w:r>
      <w:r w:rsidR="009B7BF7" w:rsidRPr="006F626A">
        <w:rPr>
          <w:szCs w:val="22"/>
        </w:rPr>
        <w:t>any</w:t>
      </w:r>
      <w:r w:rsidR="000120DD" w:rsidRPr="006F626A">
        <w:rPr>
          <w:szCs w:val="22"/>
        </w:rPr>
        <w:t xml:space="preserve"> </w:t>
      </w:r>
      <w:r w:rsidR="00C34025" w:rsidRPr="006F626A">
        <w:rPr>
          <w:szCs w:val="22"/>
        </w:rPr>
        <w:t xml:space="preserve">newly identified </w:t>
      </w:r>
      <w:r w:rsidR="000120DD" w:rsidRPr="006F626A">
        <w:rPr>
          <w:szCs w:val="22"/>
        </w:rPr>
        <w:t>groundwater r</w:t>
      </w:r>
      <w:r w:rsidR="00A1733F" w:rsidRPr="006F626A">
        <w:rPr>
          <w:szCs w:val="22"/>
        </w:rPr>
        <w:t xml:space="preserve">esource targets </w:t>
      </w:r>
      <w:r w:rsidRPr="006F626A">
        <w:rPr>
          <w:szCs w:val="22"/>
        </w:rPr>
        <w:t>is pursued.</w:t>
      </w:r>
      <w:r w:rsidR="00A1733F" w:rsidRPr="006F626A">
        <w:rPr>
          <w:szCs w:val="22"/>
        </w:rPr>
        <w:t xml:space="preserve"> </w:t>
      </w:r>
      <w:r w:rsidR="00C34025" w:rsidRPr="006F626A">
        <w:rPr>
          <w:szCs w:val="22"/>
        </w:rPr>
        <w:t>The models are required</w:t>
      </w:r>
      <w:r w:rsidR="000120DD" w:rsidRPr="006F626A">
        <w:rPr>
          <w:szCs w:val="22"/>
        </w:rPr>
        <w:t xml:space="preserve"> to determine the </w:t>
      </w:r>
      <w:r w:rsidR="0037531B" w:rsidRPr="006F626A">
        <w:rPr>
          <w:szCs w:val="22"/>
        </w:rPr>
        <w:t>acceptable</w:t>
      </w:r>
      <w:r w:rsidR="000120DD" w:rsidRPr="006F626A">
        <w:rPr>
          <w:szCs w:val="22"/>
        </w:rPr>
        <w:t xml:space="preserve"> groundwater extraction limits for the individual groundwater targets</w:t>
      </w:r>
      <w:r w:rsidR="00470015" w:rsidRPr="006F626A">
        <w:rPr>
          <w:szCs w:val="22"/>
        </w:rPr>
        <w:t>.</w:t>
      </w:r>
    </w:p>
    <w:p w:rsidR="00C34025" w:rsidRPr="00BD7241" w:rsidRDefault="00592641" w:rsidP="005E36C9">
      <w:pPr>
        <w:numPr>
          <w:ilvl w:val="0"/>
          <w:numId w:val="43"/>
        </w:numPr>
        <w:tabs>
          <w:tab w:val="clear" w:pos="1080"/>
          <w:tab w:val="num" w:pos="540"/>
        </w:tabs>
        <w:spacing w:before="60"/>
        <w:ind w:left="539" w:hanging="539"/>
        <w:rPr>
          <w:sz w:val="21"/>
          <w:szCs w:val="21"/>
        </w:rPr>
      </w:pPr>
      <w:r>
        <w:t xml:space="preserve">In addition to the Jimargil site, other identified groundwater targets could be further assessed as potential MAR schemes to underpin regional development. For example, the target beneath </w:t>
      </w:r>
      <w:smartTag w:uri="urn:schemas-microsoft-com:office:smarttags" w:element="place">
        <w:smartTag w:uri="urn:schemas-microsoft-com:office:smarttags" w:element="PlaceType">
          <w:r w:rsidR="00C217F0">
            <w:t>Lake</w:t>
          </w:r>
        </w:smartTag>
        <w:r w:rsidR="00C217F0">
          <w:t xml:space="preserve"> </w:t>
        </w:r>
        <w:smartTag w:uri="urn:schemas-microsoft-com:office:smarttags" w:element="PlaceName">
          <w:r w:rsidR="00C217F0">
            <w:t>Menindee</w:t>
          </w:r>
        </w:smartTag>
      </w:smartTag>
      <w:r>
        <w:t xml:space="preserve"> may not necessarily have the aquifer storage potential to deliver drought security for Broken Hill, but could be investigated for local agriculture or potable supply. For groundwater resource targets at distances &gt;20</w:t>
      </w:r>
      <w:r w:rsidR="00AF0556">
        <w:t xml:space="preserve"> </w:t>
      </w:r>
      <w:r>
        <w:t xml:space="preserve">km from </w:t>
      </w:r>
      <w:r w:rsidR="00C217F0">
        <w:t>Menindee</w:t>
      </w:r>
      <w:r>
        <w:t>, the cost of providing infrastructure would be prohibitive for connection to the pipeline to Broken Hill. However, in these more remote locations, MAR schemes could provide enhanced drought security for local agriculture and/or potable supplies for smaller regional communities. Potential MAR options identified include infiltration basins, ASR and bank filtration</w:t>
      </w:r>
      <w:r w:rsidR="009B7BF7" w:rsidRPr="00BD7241">
        <w:rPr>
          <w:sz w:val="21"/>
          <w:szCs w:val="21"/>
        </w:rPr>
        <w:t>.</w:t>
      </w:r>
    </w:p>
    <w:p w:rsidR="00985BBF" w:rsidRDefault="00985BBF" w:rsidP="00592641">
      <w:pPr>
        <w:tabs>
          <w:tab w:val="num" w:pos="2517"/>
        </w:tabs>
        <w:spacing w:before="120" w:after="120"/>
        <w:rPr>
          <w:b/>
          <w:sz w:val="24"/>
        </w:rPr>
      </w:pPr>
    </w:p>
    <w:p w:rsidR="00B7606B" w:rsidRPr="001440A3" w:rsidRDefault="00B7606B" w:rsidP="00592641">
      <w:pPr>
        <w:tabs>
          <w:tab w:val="num" w:pos="2517"/>
        </w:tabs>
        <w:spacing w:before="120" w:after="120"/>
        <w:rPr>
          <w:b/>
          <w:sz w:val="24"/>
        </w:rPr>
      </w:pPr>
      <w:r w:rsidRPr="001440A3">
        <w:rPr>
          <w:b/>
          <w:sz w:val="24"/>
        </w:rPr>
        <w:lastRenderedPageBreak/>
        <w:t>Broader Recommendations</w:t>
      </w:r>
    </w:p>
    <w:p w:rsidR="00985BBF" w:rsidRDefault="00B7606B" w:rsidP="005E36C9">
      <w:pPr>
        <w:numPr>
          <w:ilvl w:val="0"/>
          <w:numId w:val="44"/>
        </w:numPr>
        <w:tabs>
          <w:tab w:val="num" w:pos="540"/>
        </w:tabs>
        <w:spacing w:before="60"/>
        <w:ind w:left="540" w:hanging="540"/>
        <w:rPr>
          <w:szCs w:val="22"/>
        </w:rPr>
      </w:pPr>
      <w:r w:rsidRPr="006F626A">
        <w:rPr>
          <w:szCs w:val="22"/>
        </w:rPr>
        <w:t xml:space="preserve">Future assessments and models of surface-groundwater interaction in similar environments in the </w:t>
      </w:r>
      <w:smartTag w:uri="urn:schemas-microsoft-com:office:smarttags" w:element="place">
        <w:smartTag w:uri="urn:schemas-microsoft-com:office:smarttags" w:element="PlaceName">
          <w:r w:rsidRPr="006F626A">
            <w:rPr>
              <w:szCs w:val="22"/>
            </w:rPr>
            <w:t>Murray-Darling</w:t>
          </w:r>
        </w:smartTag>
        <w:r w:rsidRPr="006F626A">
          <w:rPr>
            <w:szCs w:val="22"/>
          </w:rPr>
          <w:t xml:space="preserve"> </w:t>
        </w:r>
        <w:smartTag w:uri="urn:schemas-microsoft-com:office:smarttags" w:element="PlaceType">
          <w:r w:rsidRPr="006F626A">
            <w:rPr>
              <w:szCs w:val="22"/>
            </w:rPr>
            <w:t>Basin</w:t>
          </w:r>
        </w:smartTag>
      </w:smartTag>
      <w:r w:rsidRPr="006F626A">
        <w:rPr>
          <w:szCs w:val="22"/>
        </w:rPr>
        <w:t xml:space="preserve"> </w:t>
      </w:r>
      <w:r w:rsidR="00985BBF">
        <w:rPr>
          <w:szCs w:val="22"/>
        </w:rPr>
        <w:t xml:space="preserve">and more broadly, </w:t>
      </w:r>
      <w:r w:rsidRPr="006F626A">
        <w:rPr>
          <w:szCs w:val="22"/>
        </w:rPr>
        <w:t>need to take into account</w:t>
      </w:r>
      <w:r w:rsidR="00985BBF">
        <w:rPr>
          <w:szCs w:val="22"/>
        </w:rPr>
        <w:t>:</w:t>
      </w:r>
    </w:p>
    <w:p w:rsidR="005E36C9" w:rsidRDefault="005E36C9" w:rsidP="00256855">
      <w:pPr>
        <w:numPr>
          <w:ilvl w:val="0"/>
          <w:numId w:val="62"/>
        </w:numPr>
        <w:tabs>
          <w:tab w:val="clear" w:pos="1980"/>
          <w:tab w:val="num" w:pos="1260"/>
        </w:tabs>
        <w:spacing w:before="60"/>
        <w:ind w:left="1260" w:hanging="360"/>
        <w:rPr>
          <w:szCs w:val="22"/>
        </w:rPr>
      </w:pPr>
      <w:r>
        <w:rPr>
          <w:szCs w:val="22"/>
        </w:rPr>
        <w:t>L</w:t>
      </w:r>
      <w:r w:rsidRPr="006F626A">
        <w:rPr>
          <w:szCs w:val="22"/>
        </w:rPr>
        <w:t xml:space="preserve">inkages between </w:t>
      </w:r>
      <w:r w:rsidR="00593B52" w:rsidRPr="006F626A">
        <w:rPr>
          <w:szCs w:val="22"/>
        </w:rPr>
        <w:t>high</w:t>
      </w:r>
      <w:r w:rsidR="00593B52">
        <w:rPr>
          <w:szCs w:val="22"/>
        </w:rPr>
        <w:t>-</w:t>
      </w:r>
      <w:r w:rsidRPr="006F626A">
        <w:rPr>
          <w:szCs w:val="22"/>
        </w:rPr>
        <w:t>volume floods and episodic recharge events</w:t>
      </w:r>
      <w:r>
        <w:rPr>
          <w:szCs w:val="22"/>
        </w:rPr>
        <w:t>;</w:t>
      </w:r>
    </w:p>
    <w:p w:rsidR="005E36C9" w:rsidRDefault="005E36C9" w:rsidP="00256855">
      <w:pPr>
        <w:numPr>
          <w:ilvl w:val="0"/>
          <w:numId w:val="62"/>
        </w:numPr>
        <w:tabs>
          <w:tab w:val="clear" w:pos="1980"/>
          <w:tab w:val="num" w:pos="1260"/>
        </w:tabs>
        <w:spacing w:before="60"/>
        <w:ind w:left="1260" w:hanging="360"/>
        <w:rPr>
          <w:szCs w:val="22"/>
        </w:rPr>
      </w:pPr>
      <w:r>
        <w:rPr>
          <w:szCs w:val="22"/>
        </w:rPr>
        <w:t>The potential for neotectonics to provide important recharge and inter-aquifer leakage pathways.</w:t>
      </w:r>
    </w:p>
    <w:p w:rsidR="00B7606B" w:rsidRDefault="009B7BF7" w:rsidP="005E36C9">
      <w:pPr>
        <w:numPr>
          <w:ilvl w:val="0"/>
          <w:numId w:val="44"/>
        </w:numPr>
        <w:tabs>
          <w:tab w:val="num" w:pos="540"/>
        </w:tabs>
        <w:spacing w:before="60"/>
        <w:ind w:left="540" w:hanging="540"/>
        <w:rPr>
          <w:szCs w:val="22"/>
        </w:rPr>
      </w:pPr>
      <w:r w:rsidRPr="006F626A">
        <w:rPr>
          <w:szCs w:val="22"/>
        </w:rPr>
        <w:t>Based on the conceptual understanding of key groundwater processes from this study, i</w:t>
      </w:r>
      <w:r w:rsidR="00B7606B" w:rsidRPr="006F626A">
        <w:rPr>
          <w:szCs w:val="22"/>
        </w:rPr>
        <w:t xml:space="preserve">t is recommended that a broader assessment be carried out in </w:t>
      </w:r>
      <w:r w:rsidR="00AB056C" w:rsidRPr="006F626A">
        <w:rPr>
          <w:szCs w:val="22"/>
        </w:rPr>
        <w:t>the Basin</w:t>
      </w:r>
      <w:r w:rsidR="00AD0D61">
        <w:rPr>
          <w:szCs w:val="22"/>
        </w:rPr>
        <w:t xml:space="preserve">, and nationally, </w:t>
      </w:r>
      <w:r w:rsidR="00B7606B" w:rsidRPr="006F626A">
        <w:rPr>
          <w:szCs w:val="22"/>
        </w:rPr>
        <w:t>to identify other river reaches where additional groundwater resources may exist, and/or MAR options may provide enhanced drought security and regional development opportunities.</w:t>
      </w:r>
    </w:p>
    <w:p w:rsidR="00AB056C" w:rsidRPr="006F626A" w:rsidRDefault="00AB056C" w:rsidP="005E36C9">
      <w:pPr>
        <w:numPr>
          <w:ilvl w:val="0"/>
          <w:numId w:val="44"/>
        </w:numPr>
        <w:tabs>
          <w:tab w:val="num" w:pos="540"/>
        </w:tabs>
        <w:spacing w:before="60"/>
        <w:ind w:left="540" w:hanging="540"/>
        <w:rPr>
          <w:szCs w:val="22"/>
        </w:rPr>
      </w:pPr>
      <w:r w:rsidRPr="006F626A">
        <w:rPr>
          <w:szCs w:val="22"/>
        </w:rPr>
        <w:t xml:space="preserve">The </w:t>
      </w:r>
      <w:r w:rsidR="00985BBF">
        <w:rPr>
          <w:szCs w:val="22"/>
        </w:rPr>
        <w:t>trans</w:t>
      </w:r>
      <w:r w:rsidRPr="006F626A">
        <w:rPr>
          <w:szCs w:val="22"/>
        </w:rPr>
        <w:t xml:space="preserve">-disciplinary systems approach </w:t>
      </w:r>
      <w:r w:rsidR="009B7BF7" w:rsidRPr="006F626A">
        <w:rPr>
          <w:szCs w:val="22"/>
        </w:rPr>
        <w:t xml:space="preserve">and integrated workflows </w:t>
      </w:r>
      <w:r w:rsidRPr="006F626A">
        <w:rPr>
          <w:szCs w:val="22"/>
        </w:rPr>
        <w:t>developed in the BHMAR Project should be applied to future hydrogeological investigations and the assessment of MAR options in alluvial sedimentary systems.</w:t>
      </w:r>
      <w:r w:rsidR="00AD0D61">
        <w:rPr>
          <w:szCs w:val="22"/>
        </w:rPr>
        <w:t xml:space="preserve"> </w:t>
      </w:r>
    </w:p>
    <w:p w:rsidR="00985BBF" w:rsidRPr="00FC1053" w:rsidRDefault="00B7606B" w:rsidP="005E36C9">
      <w:pPr>
        <w:numPr>
          <w:ilvl w:val="0"/>
          <w:numId w:val="44"/>
        </w:numPr>
        <w:tabs>
          <w:tab w:val="num" w:pos="540"/>
        </w:tabs>
        <w:spacing w:before="60"/>
        <w:ind w:left="540" w:hanging="540"/>
        <w:rPr>
          <w:szCs w:val="22"/>
        </w:rPr>
      </w:pPr>
      <w:r w:rsidRPr="006F626A">
        <w:rPr>
          <w:szCs w:val="22"/>
        </w:rPr>
        <w:t xml:space="preserve">The National MAR Guidelines have provided a useful guide to assessments during this project, however some modifications are recommended, based on the experiences in this project of applying </w:t>
      </w:r>
      <w:r w:rsidRPr="00FC1053">
        <w:rPr>
          <w:szCs w:val="22"/>
        </w:rPr>
        <w:t>the guidelines in a relatively remote, data-poor, but geologically complex area. Details of proposed amendments are contained in accompanying technical reports.</w:t>
      </w:r>
    </w:p>
    <w:p w:rsidR="00AD0D61" w:rsidRDefault="00AD0D61" w:rsidP="005E36C9">
      <w:pPr>
        <w:numPr>
          <w:ilvl w:val="0"/>
          <w:numId w:val="44"/>
        </w:numPr>
        <w:tabs>
          <w:tab w:val="num" w:pos="540"/>
        </w:tabs>
        <w:spacing w:before="60"/>
        <w:ind w:left="540" w:hanging="540"/>
        <w:rPr>
          <w:szCs w:val="22"/>
        </w:rPr>
      </w:pPr>
      <w:r>
        <w:rPr>
          <w:szCs w:val="22"/>
        </w:rPr>
        <w:t>A number of recommendations are made about the use of AEM technology for the high resolution mapping of near-surface hydrogeological systems and the identification and assessment of groundwater resources and MAR targets:</w:t>
      </w:r>
    </w:p>
    <w:p w:rsidR="00985BBF" w:rsidRDefault="00985BBF" w:rsidP="00256855">
      <w:pPr>
        <w:numPr>
          <w:ilvl w:val="0"/>
          <w:numId w:val="64"/>
        </w:numPr>
        <w:tabs>
          <w:tab w:val="clear" w:pos="1980"/>
          <w:tab w:val="num" w:pos="1260"/>
        </w:tabs>
        <w:spacing w:before="60"/>
        <w:ind w:left="1260" w:hanging="360"/>
        <w:rPr>
          <w:szCs w:val="22"/>
        </w:rPr>
      </w:pPr>
      <w:r w:rsidRPr="00985BBF">
        <w:rPr>
          <w:szCs w:val="22"/>
        </w:rPr>
        <w:t xml:space="preserve">Selection of an appropriate AEM system for hydrogeological investigations in the near-surface </w:t>
      </w:r>
      <w:r w:rsidR="00AD0D61">
        <w:rPr>
          <w:szCs w:val="22"/>
        </w:rPr>
        <w:t xml:space="preserve">environment </w:t>
      </w:r>
      <w:r w:rsidRPr="00985BBF">
        <w:rPr>
          <w:szCs w:val="22"/>
        </w:rPr>
        <w:t>(top 200</w:t>
      </w:r>
      <w:r w:rsidR="0088363D">
        <w:rPr>
          <w:szCs w:val="22"/>
        </w:rPr>
        <w:t xml:space="preserve"> </w:t>
      </w:r>
      <w:r w:rsidRPr="00985BBF">
        <w:rPr>
          <w:szCs w:val="22"/>
        </w:rPr>
        <w:t>m) should be based on a comparative analysis of candidate systems, consisting of both theoretical considerations and field studies including test lines over representative hydrostratigraphic targets.</w:t>
      </w:r>
    </w:p>
    <w:p w:rsidR="00AD0D61" w:rsidRDefault="00AD0D61" w:rsidP="00256855">
      <w:pPr>
        <w:numPr>
          <w:ilvl w:val="0"/>
          <w:numId w:val="64"/>
        </w:numPr>
        <w:tabs>
          <w:tab w:val="clear" w:pos="1980"/>
          <w:tab w:val="num" w:pos="1260"/>
        </w:tabs>
        <w:spacing w:before="60"/>
        <w:ind w:left="1260" w:hanging="360"/>
        <w:rPr>
          <w:szCs w:val="22"/>
        </w:rPr>
      </w:pPr>
      <w:r w:rsidRPr="00AD0D61">
        <w:rPr>
          <w:szCs w:val="22"/>
        </w:rPr>
        <w:t>Optimisation of AEM data for hydrogeological investigations should involve careful consideration of AEM system suitability, acquisition strategy, AEM system calibration, validation and inversion methods.</w:t>
      </w:r>
    </w:p>
    <w:p w:rsidR="00AD0D61" w:rsidRDefault="00AD0D61" w:rsidP="00256855">
      <w:pPr>
        <w:numPr>
          <w:ilvl w:val="0"/>
          <w:numId w:val="64"/>
        </w:numPr>
        <w:tabs>
          <w:tab w:val="clear" w:pos="1980"/>
          <w:tab w:val="num" w:pos="1260"/>
        </w:tabs>
        <w:spacing w:before="60"/>
        <w:ind w:left="1260" w:hanging="360"/>
        <w:rPr>
          <w:szCs w:val="22"/>
        </w:rPr>
      </w:pPr>
      <w:r>
        <w:rPr>
          <w:szCs w:val="22"/>
        </w:rPr>
        <w:t>Reconnaissance swath mapping at broad line-</w:t>
      </w:r>
      <w:r w:rsidR="001C0090">
        <w:rPr>
          <w:szCs w:val="22"/>
        </w:rPr>
        <w:t>spacing</w:t>
      </w:r>
      <w:r>
        <w:rPr>
          <w:szCs w:val="22"/>
        </w:rPr>
        <w:t xml:space="preserve"> (&gt;1</w:t>
      </w:r>
      <w:r w:rsidR="0088363D">
        <w:rPr>
          <w:szCs w:val="22"/>
        </w:rPr>
        <w:t xml:space="preserve"> </w:t>
      </w:r>
      <w:r>
        <w:rPr>
          <w:szCs w:val="22"/>
        </w:rPr>
        <w:t xml:space="preserve">km) could provide significant cost-savings for identification of potential groundwater resources in </w:t>
      </w:r>
      <w:smartTag w:uri="urn:schemas-microsoft-com:office:smarttags" w:element="place">
        <w:smartTag w:uri="urn:schemas-microsoft-com:office:smarttags" w:element="country-region">
          <w:r>
            <w:rPr>
              <w:szCs w:val="22"/>
            </w:rPr>
            <w:t>Australia</w:t>
          </w:r>
        </w:smartTag>
      </w:smartTag>
      <w:r>
        <w:rPr>
          <w:szCs w:val="22"/>
        </w:rPr>
        <w:t>’s major river basins. More detailed hydrogeological investigations and numerical modelling would be required to</w:t>
      </w:r>
      <w:r w:rsidR="00BD4BBC">
        <w:rPr>
          <w:szCs w:val="22"/>
        </w:rPr>
        <w:t xml:space="preserve"> </w:t>
      </w:r>
      <w:r w:rsidR="007312EC">
        <w:rPr>
          <w:szCs w:val="22"/>
        </w:rPr>
        <w:t>support groundwater development and management in these areas.</w:t>
      </w:r>
      <w:r>
        <w:rPr>
          <w:szCs w:val="22"/>
        </w:rPr>
        <w:t xml:space="preserve"> </w:t>
      </w:r>
    </w:p>
    <w:p w:rsidR="00BD4BBC" w:rsidRDefault="00AD0D61" w:rsidP="00256855">
      <w:pPr>
        <w:numPr>
          <w:ilvl w:val="0"/>
          <w:numId w:val="64"/>
        </w:numPr>
        <w:tabs>
          <w:tab w:val="clear" w:pos="1980"/>
          <w:tab w:val="num" w:pos="1260"/>
        </w:tabs>
        <w:spacing w:before="60"/>
        <w:ind w:left="1260" w:hanging="360"/>
        <w:rPr>
          <w:szCs w:val="22"/>
        </w:rPr>
      </w:pPr>
      <w:r>
        <w:rPr>
          <w:szCs w:val="22"/>
        </w:rPr>
        <w:t>AEM acquisition for MAR identification could benefit from a phased acquisition strategy</w:t>
      </w:r>
      <w:r w:rsidR="00BD4BBC">
        <w:rPr>
          <w:szCs w:val="22"/>
        </w:rPr>
        <w:t>:</w:t>
      </w:r>
    </w:p>
    <w:p w:rsidR="00BD4BBC" w:rsidRDefault="00BD4BBC" w:rsidP="00256855">
      <w:pPr>
        <w:numPr>
          <w:ilvl w:val="1"/>
          <w:numId w:val="64"/>
        </w:numPr>
        <w:tabs>
          <w:tab w:val="clear" w:pos="1620"/>
          <w:tab w:val="num" w:pos="1800"/>
        </w:tabs>
        <w:spacing w:before="60"/>
        <w:ind w:left="1800"/>
        <w:rPr>
          <w:szCs w:val="22"/>
        </w:rPr>
      </w:pPr>
      <w:r>
        <w:rPr>
          <w:szCs w:val="22"/>
        </w:rPr>
        <w:t>Data acquisition should be considered within the framework of the national MAR guidelines, following an assessment of the economic factors that would assist with constraining the areas (and depths) of investigation;</w:t>
      </w:r>
    </w:p>
    <w:p w:rsidR="00AD0D61" w:rsidRDefault="00BD4BBC" w:rsidP="00256855">
      <w:pPr>
        <w:numPr>
          <w:ilvl w:val="1"/>
          <w:numId w:val="64"/>
        </w:numPr>
        <w:tabs>
          <w:tab w:val="clear" w:pos="1620"/>
          <w:tab w:val="num" w:pos="1800"/>
        </w:tabs>
        <w:spacing w:before="60"/>
        <w:ind w:left="1800"/>
        <w:rPr>
          <w:szCs w:val="22"/>
        </w:rPr>
      </w:pPr>
      <w:r>
        <w:rPr>
          <w:szCs w:val="22"/>
        </w:rPr>
        <w:t>Depending on the nature of the target and the size of the area of investigation, broad line-spacing</w:t>
      </w:r>
      <w:r w:rsidR="00AD0D61">
        <w:rPr>
          <w:szCs w:val="22"/>
        </w:rPr>
        <w:t xml:space="preserve"> </w:t>
      </w:r>
      <w:r>
        <w:rPr>
          <w:szCs w:val="22"/>
        </w:rPr>
        <w:t xml:space="preserve">(&gt;1 km) could be used initially </w:t>
      </w:r>
      <w:r w:rsidR="00AD0D61">
        <w:rPr>
          <w:szCs w:val="22"/>
        </w:rPr>
        <w:t xml:space="preserve">to identify potential MAR targets. </w:t>
      </w:r>
      <w:r>
        <w:rPr>
          <w:szCs w:val="22"/>
        </w:rPr>
        <w:t>The area surveyed should be sufficient to allow for assessment of multiple targets, given the likelihood of failure of some targets on hydrogeological, economic, environmental or social factors. Depending on the hydrogeological system, it is most likely that infill acquisition of high-resolution (closer line-spaced) data will be required</w:t>
      </w:r>
      <w:r w:rsidR="00AD0D61">
        <w:rPr>
          <w:szCs w:val="22"/>
        </w:rPr>
        <w:t xml:space="preserve"> to map key elements of the hydrogeological system </w:t>
      </w:r>
      <w:r>
        <w:rPr>
          <w:szCs w:val="22"/>
        </w:rPr>
        <w:t>and permit completion of MAR assessment.</w:t>
      </w:r>
    </w:p>
    <w:p w:rsidR="006233A8" w:rsidRDefault="006233A8" w:rsidP="00BD4BBC">
      <w:pPr>
        <w:numPr>
          <w:ilvl w:val="0"/>
          <w:numId w:val="44"/>
        </w:numPr>
        <w:tabs>
          <w:tab w:val="num" w:pos="540"/>
        </w:tabs>
        <w:spacing w:before="60"/>
        <w:ind w:left="540" w:hanging="540"/>
        <w:rPr>
          <w:szCs w:val="22"/>
        </w:rPr>
      </w:pPr>
      <w:r>
        <w:rPr>
          <w:szCs w:val="22"/>
        </w:rPr>
        <w:t>It is recommended that sonic coring, augmented by Lexan</w:t>
      </w:r>
      <w:r w:rsidR="007312EC">
        <w:rPr>
          <w:szCs w:val="22"/>
        </w:rPr>
        <w:t>-encapsulated</w:t>
      </w:r>
      <w:r>
        <w:rPr>
          <w:szCs w:val="22"/>
        </w:rPr>
        <w:t xml:space="preserve"> </w:t>
      </w:r>
      <w:r w:rsidR="000A1323">
        <w:rPr>
          <w:szCs w:val="22"/>
        </w:rPr>
        <w:t xml:space="preserve">core </w:t>
      </w:r>
      <w:r>
        <w:rPr>
          <w:szCs w:val="22"/>
        </w:rPr>
        <w:t xml:space="preserve">sampling, be used for </w:t>
      </w:r>
      <w:r w:rsidR="007312EC">
        <w:rPr>
          <w:szCs w:val="22"/>
        </w:rPr>
        <w:t xml:space="preserve">textural, mineralogical, </w:t>
      </w:r>
      <w:r>
        <w:rPr>
          <w:szCs w:val="22"/>
        </w:rPr>
        <w:t xml:space="preserve">hydrogeochemical </w:t>
      </w:r>
      <w:r w:rsidR="007312EC">
        <w:rPr>
          <w:szCs w:val="22"/>
        </w:rPr>
        <w:t xml:space="preserve">and hydraulic </w:t>
      </w:r>
      <w:r>
        <w:rPr>
          <w:szCs w:val="22"/>
        </w:rPr>
        <w:t xml:space="preserve">studies of unconsolidated clastic sediments. </w:t>
      </w:r>
    </w:p>
    <w:p w:rsidR="006233A8" w:rsidRDefault="006233A8" w:rsidP="00BD4BBC">
      <w:pPr>
        <w:numPr>
          <w:ilvl w:val="0"/>
          <w:numId w:val="44"/>
        </w:numPr>
        <w:tabs>
          <w:tab w:val="num" w:pos="540"/>
        </w:tabs>
        <w:spacing w:before="60"/>
        <w:ind w:left="540" w:hanging="540"/>
        <w:rPr>
          <w:szCs w:val="22"/>
        </w:rPr>
      </w:pPr>
      <w:r>
        <w:rPr>
          <w:szCs w:val="22"/>
        </w:rPr>
        <w:t xml:space="preserve">It is recommended that further research be carried out into the potential effects of iron cements on Nuclear Magnetic Resonance </w:t>
      </w:r>
      <w:r w:rsidR="007312EC">
        <w:rPr>
          <w:szCs w:val="22"/>
        </w:rPr>
        <w:t xml:space="preserve">(NMR) </w:t>
      </w:r>
      <w:r>
        <w:rPr>
          <w:szCs w:val="22"/>
        </w:rPr>
        <w:t xml:space="preserve">borehole tools. </w:t>
      </w:r>
    </w:p>
    <w:p w:rsidR="00985BBF" w:rsidRDefault="0088363D" w:rsidP="00BD4BBC">
      <w:pPr>
        <w:numPr>
          <w:ilvl w:val="0"/>
          <w:numId w:val="44"/>
        </w:numPr>
        <w:tabs>
          <w:tab w:val="num" w:pos="540"/>
        </w:tabs>
        <w:spacing w:before="60"/>
        <w:ind w:left="540" w:hanging="540"/>
        <w:rPr>
          <w:szCs w:val="22"/>
        </w:rPr>
      </w:pPr>
      <w:r>
        <w:rPr>
          <w:szCs w:val="22"/>
        </w:rPr>
        <w:t>Recommendations to</w:t>
      </w:r>
      <w:r w:rsidR="00BD4BBC">
        <w:rPr>
          <w:szCs w:val="22"/>
        </w:rPr>
        <w:t xml:space="preserve"> </w:t>
      </w:r>
      <w:r w:rsidR="00985BBF">
        <w:rPr>
          <w:szCs w:val="22"/>
        </w:rPr>
        <w:t xml:space="preserve">improve the </w:t>
      </w:r>
      <w:r w:rsidR="00BD4BBC">
        <w:rPr>
          <w:szCs w:val="22"/>
        </w:rPr>
        <w:t>vertical accuracies obtained from LiDAR datasets</w:t>
      </w:r>
      <w:r>
        <w:rPr>
          <w:szCs w:val="22"/>
        </w:rPr>
        <w:t xml:space="preserve"> i</w:t>
      </w:r>
      <w:r w:rsidR="00BD4BBC">
        <w:rPr>
          <w:szCs w:val="22"/>
        </w:rPr>
        <w:t>nclude</w:t>
      </w:r>
      <w:r>
        <w:rPr>
          <w:szCs w:val="22"/>
        </w:rPr>
        <w:t>:</w:t>
      </w:r>
      <w:r w:rsidR="00BD4BBC">
        <w:rPr>
          <w:szCs w:val="22"/>
        </w:rPr>
        <w:t xml:space="preserve"> the acquisition of a wider spread of ground control points, greater rigour in the application of geoid-ellipsoid transformations, a higher standard applied to classification of landscape and vegetation elements, and re-sampling from high-resolution data when creating lower resolution</w:t>
      </w:r>
      <w:r>
        <w:rPr>
          <w:szCs w:val="22"/>
        </w:rPr>
        <w:t xml:space="preserve"> datasets</w:t>
      </w:r>
      <w:r w:rsidR="00BD4BBC">
        <w:rPr>
          <w:szCs w:val="22"/>
        </w:rPr>
        <w:t>.</w:t>
      </w:r>
    </w:p>
    <w:p w:rsidR="0088363D" w:rsidRPr="00834708" w:rsidRDefault="0088363D" w:rsidP="00CF7613">
      <w:pPr>
        <w:numPr>
          <w:ilvl w:val="0"/>
          <w:numId w:val="44"/>
        </w:numPr>
        <w:tabs>
          <w:tab w:val="num" w:pos="540"/>
        </w:tabs>
        <w:spacing w:before="60"/>
        <w:ind w:left="540" w:hanging="540"/>
        <w:rPr>
          <w:szCs w:val="22"/>
        </w:rPr>
      </w:pPr>
      <w:r>
        <w:rPr>
          <w:szCs w:val="22"/>
        </w:rPr>
        <w:t>Studies of Neogene-to-Recent intraplate deformation are recommended to identify and characterise key structures that might play an important role in recharge and inter-aquifer leakage processes, and to refine models of present-day and neotectonic palaeostress trends and partitioning.</w:t>
      </w:r>
    </w:p>
    <w:p w:rsidR="006233A8" w:rsidRDefault="006233A8" w:rsidP="006233A8">
      <w:pPr>
        <w:spacing w:before="60"/>
        <w:rPr>
          <w:szCs w:val="22"/>
        </w:rPr>
      </w:pPr>
    </w:p>
    <w:p w:rsidR="001D5ABC" w:rsidRPr="006F626A" w:rsidRDefault="00706A3B" w:rsidP="007D5510">
      <w:pPr>
        <w:spacing w:before="60" w:after="60"/>
        <w:jc w:val="center"/>
        <w:rPr>
          <w:szCs w:val="22"/>
        </w:rPr>
      </w:pPr>
      <w:r>
        <w:rPr>
          <w:noProof/>
          <w:szCs w:val="22"/>
        </w:rPr>
        <w:drawing>
          <wp:inline distT="0" distB="0" distL="0" distR="0" wp14:anchorId="7114B8D6" wp14:editId="4303E573">
            <wp:extent cx="5996940" cy="7432040"/>
            <wp:effectExtent l="19050" t="19050" r="3810" b="0"/>
            <wp:docPr id="7" name="Picture 7" descr="Fig0A_BHMAR_location_GWR_topo_20km_circle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0A_BHMAR_location_GWR_topo_20km_circle_v2"/>
                    <pic:cNvPicPr>
                      <a:picLocks noChangeAspect="1" noChangeArrowheads="1"/>
                    </pic:cNvPicPr>
                  </pic:nvPicPr>
                  <pic:blipFill>
                    <a:blip r:embed="rId15" cstate="print">
                      <a:extLst>
                        <a:ext uri="{28A0092B-C50C-407E-A947-70E740481C1C}">
                          <a14:useLocalDpi xmlns:a14="http://schemas.microsoft.com/office/drawing/2010/main" val="0"/>
                        </a:ext>
                      </a:extLst>
                    </a:blip>
                    <a:srcRect l="8972" t="6564" r="9415" b="22081"/>
                    <a:stretch>
                      <a:fillRect/>
                    </a:stretch>
                  </pic:blipFill>
                  <pic:spPr bwMode="auto">
                    <a:xfrm>
                      <a:off x="0" y="0"/>
                      <a:ext cx="5996940" cy="7432040"/>
                    </a:xfrm>
                    <a:prstGeom prst="rect">
                      <a:avLst/>
                    </a:prstGeom>
                    <a:noFill/>
                    <a:ln w="12700" cmpd="sng">
                      <a:solidFill>
                        <a:srgbClr val="000000"/>
                      </a:solidFill>
                      <a:miter lim="800000"/>
                      <a:headEnd/>
                      <a:tailEnd/>
                    </a:ln>
                    <a:effectLst/>
                  </pic:spPr>
                </pic:pic>
              </a:graphicData>
            </a:graphic>
          </wp:inline>
        </w:drawing>
      </w:r>
    </w:p>
    <w:p w:rsidR="0061356C" w:rsidRPr="001E3931" w:rsidRDefault="001C0090" w:rsidP="0061356C">
      <w:pPr>
        <w:pStyle w:val="Caption"/>
        <w:rPr>
          <w:szCs w:val="22"/>
        </w:rPr>
      </w:pPr>
      <w:bookmarkStart w:id="16" w:name="_Ref325640329"/>
      <w:r w:rsidRPr="00666EC0">
        <w:rPr>
          <w:b/>
        </w:rPr>
        <w:t xml:space="preserve">Figure </w:t>
      </w:r>
      <w:bookmarkEnd w:id="16"/>
      <w:r>
        <w:rPr>
          <w:b/>
        </w:rPr>
        <w:t>A</w:t>
      </w:r>
      <w:r w:rsidRPr="00666EC0">
        <w:rPr>
          <w:b/>
        </w:rPr>
        <w:t>.</w:t>
      </w:r>
      <w:r w:rsidRPr="00666EC0">
        <w:t xml:space="preserve"> </w:t>
      </w:r>
      <w:r w:rsidRPr="001E3931">
        <w:rPr>
          <w:szCs w:val="20"/>
        </w:rPr>
        <w:t>Map of the groundwater resource and MAR targets in Pliocene (</w:t>
      </w:r>
      <w:r>
        <w:rPr>
          <w:szCs w:val="20"/>
        </w:rPr>
        <w:t>Calivil Formation</w:t>
      </w:r>
      <w:r w:rsidRPr="001E3931">
        <w:rPr>
          <w:szCs w:val="20"/>
        </w:rPr>
        <w:t xml:space="preserve"> and Loxton-Parilla Sand</w:t>
      </w:r>
      <w:r>
        <w:rPr>
          <w:szCs w:val="20"/>
        </w:rPr>
        <w:t>s</w:t>
      </w:r>
      <w:r w:rsidRPr="001E3931">
        <w:rPr>
          <w:szCs w:val="20"/>
        </w:rPr>
        <w:t>) aquifers within 20</w:t>
      </w:r>
      <w:r>
        <w:rPr>
          <w:szCs w:val="20"/>
        </w:rPr>
        <w:t xml:space="preserve"> </w:t>
      </w:r>
      <w:r w:rsidRPr="001E3931">
        <w:rPr>
          <w:szCs w:val="20"/>
        </w:rPr>
        <w:t xml:space="preserve">km of </w:t>
      </w:r>
      <w:r>
        <w:rPr>
          <w:szCs w:val="20"/>
        </w:rPr>
        <w:t>Menindee township</w:t>
      </w:r>
      <w:r w:rsidRPr="001E3931">
        <w:rPr>
          <w:szCs w:val="20"/>
        </w:rPr>
        <w:t xml:space="preserve">. </w:t>
      </w:r>
      <w:r w:rsidR="0061356C">
        <w:rPr>
          <w:szCs w:val="20"/>
        </w:rPr>
        <w:t xml:space="preserve">The priority site is </w:t>
      </w:r>
      <w:r w:rsidR="0061356C" w:rsidRPr="001E3931">
        <w:rPr>
          <w:szCs w:val="20"/>
        </w:rPr>
        <w:t xml:space="preserve">at Jimargil (EB-J-W), </w:t>
      </w:r>
      <w:r w:rsidR="0061356C">
        <w:rPr>
          <w:szCs w:val="20"/>
        </w:rPr>
        <w:t xml:space="preserve">with back-up sites at </w:t>
      </w:r>
      <w:r w:rsidR="0061356C" w:rsidRPr="001E3931">
        <w:rPr>
          <w:szCs w:val="20"/>
        </w:rPr>
        <w:t>the nort</w:t>
      </w:r>
      <w:r w:rsidR="0061356C">
        <w:rPr>
          <w:szCs w:val="20"/>
        </w:rPr>
        <w:t xml:space="preserve">hern end of </w:t>
      </w:r>
      <w:smartTag w:uri="urn:schemas-microsoft-com:office:smarttags" w:element="PlaceType">
        <w:r w:rsidR="00C217F0">
          <w:rPr>
            <w:szCs w:val="20"/>
          </w:rPr>
          <w:t>Lake</w:t>
        </w:r>
      </w:smartTag>
      <w:r w:rsidR="00C217F0">
        <w:rPr>
          <w:szCs w:val="20"/>
        </w:rPr>
        <w:t xml:space="preserve"> </w:t>
      </w:r>
      <w:smartTag w:uri="urn:schemas-microsoft-com:office:smarttags" w:element="PlaceName">
        <w:r w:rsidR="00C217F0">
          <w:rPr>
            <w:szCs w:val="20"/>
          </w:rPr>
          <w:t>Menindee</w:t>
        </w:r>
      </w:smartTag>
      <w:r w:rsidR="0061356C">
        <w:rPr>
          <w:szCs w:val="20"/>
        </w:rPr>
        <w:t xml:space="preserve"> (LM), Larloona (L1) and </w:t>
      </w:r>
      <w:smartTag w:uri="urn:schemas-microsoft-com:office:smarttags" w:element="place">
        <w:smartTag w:uri="urn:schemas-microsoft-com:office:smarttags" w:element="PlaceName">
          <w:r w:rsidR="0061356C" w:rsidRPr="001E3931">
            <w:rPr>
              <w:szCs w:val="20"/>
            </w:rPr>
            <w:t>Kinchega</w:t>
          </w:r>
        </w:smartTag>
        <w:r w:rsidR="0061356C" w:rsidRPr="001E3931">
          <w:rPr>
            <w:szCs w:val="20"/>
          </w:rPr>
          <w:t xml:space="preserve"> </w:t>
        </w:r>
        <w:smartTag w:uri="urn:schemas-microsoft-com:office:smarttags" w:element="PlaceType">
          <w:r w:rsidR="0061356C" w:rsidRPr="001E3931">
            <w:rPr>
              <w:szCs w:val="20"/>
            </w:rPr>
            <w:t>National Park</w:t>
          </w:r>
        </w:smartTag>
      </w:smartTag>
      <w:r w:rsidR="0061356C" w:rsidRPr="001E3931">
        <w:rPr>
          <w:szCs w:val="20"/>
        </w:rPr>
        <w:t xml:space="preserve"> (KNP 1a, 1b, 2a and 2b). </w:t>
      </w:r>
      <w:r w:rsidR="0061356C" w:rsidRPr="005706E3">
        <w:rPr>
          <w:bCs w:val="0"/>
          <w:i w:val="0"/>
        </w:rPr>
        <w:fldChar w:fldCharType="begin"/>
      </w:r>
      <w:r w:rsidR="0061356C">
        <w:rPr>
          <w:bCs w:val="0"/>
          <w:i w:val="0"/>
        </w:rPr>
        <w:instrText xml:space="preserve"> TC "</w:instrText>
      </w:r>
      <w:bookmarkStart w:id="17" w:name="_Toc325975185"/>
      <w:bookmarkStart w:id="18" w:name="_Toc390690190"/>
      <w:r w:rsidR="0061356C" w:rsidRPr="00666EC0">
        <w:rPr>
          <w:bCs w:val="0"/>
          <w:i w:val="0"/>
        </w:rPr>
        <w:instrText xml:space="preserve">Figure </w:instrText>
      </w:r>
      <w:r w:rsidR="0069045C">
        <w:rPr>
          <w:bCs w:val="0"/>
          <w:i w:val="0"/>
        </w:rPr>
        <w:instrText>A</w:instrText>
      </w:r>
      <w:r w:rsidR="00497AD3">
        <w:rPr>
          <w:bCs w:val="0"/>
          <w:i w:val="0"/>
        </w:rPr>
        <w:instrText>.</w:instrText>
      </w:r>
      <w:r w:rsidR="0061356C" w:rsidRPr="00666EC0">
        <w:rPr>
          <w:bCs w:val="0"/>
          <w:i w:val="0"/>
        </w:rPr>
        <w:instrText xml:space="preserve"> </w:instrText>
      </w:r>
      <w:r w:rsidR="0061356C" w:rsidRPr="00666EC0">
        <w:rPr>
          <w:i w:val="0"/>
          <w:szCs w:val="20"/>
        </w:rPr>
        <w:instrText>Map of the groundwater resource and MAR targets in Pliocene aquifers</w:instrText>
      </w:r>
      <w:r w:rsidR="0061356C">
        <w:rPr>
          <w:i w:val="0"/>
          <w:szCs w:val="20"/>
        </w:rPr>
        <w:instrText xml:space="preserve"> within 20km of </w:instrText>
      </w:r>
      <w:r w:rsidR="00C217F0">
        <w:rPr>
          <w:i w:val="0"/>
          <w:szCs w:val="20"/>
        </w:rPr>
        <w:instrText>Menindee</w:instrText>
      </w:r>
      <w:r w:rsidR="0061356C">
        <w:rPr>
          <w:i w:val="0"/>
          <w:szCs w:val="20"/>
        </w:rPr>
        <w:instrText>.</w:instrText>
      </w:r>
      <w:bookmarkEnd w:id="17"/>
      <w:bookmarkEnd w:id="18"/>
      <w:r w:rsidR="0061356C" w:rsidRPr="00666EC0">
        <w:rPr>
          <w:bCs w:val="0"/>
          <w:i w:val="0"/>
        </w:rPr>
        <w:instrText>" \f A \l “4”</w:instrText>
      </w:r>
      <w:r w:rsidR="0061356C" w:rsidRPr="005706E3">
        <w:rPr>
          <w:bCs w:val="0"/>
          <w:i w:val="0"/>
        </w:rPr>
        <w:instrText xml:space="preserve"> </w:instrText>
      </w:r>
      <w:r w:rsidR="0061356C" w:rsidRPr="005706E3">
        <w:rPr>
          <w:bCs w:val="0"/>
          <w:i w:val="0"/>
        </w:rPr>
        <w:fldChar w:fldCharType="end"/>
      </w:r>
    </w:p>
    <w:p w:rsidR="009D09ED" w:rsidRPr="00CC570E" w:rsidRDefault="00706A3B" w:rsidP="007D5510">
      <w:pPr>
        <w:spacing w:before="240" w:after="60"/>
        <w:jc w:val="center"/>
        <w:rPr>
          <w:szCs w:val="22"/>
        </w:rPr>
      </w:pPr>
      <w:r>
        <w:rPr>
          <w:noProof/>
        </w:rPr>
        <w:lastRenderedPageBreak/>
        <w:drawing>
          <wp:inline distT="0" distB="0" distL="0" distR="0" wp14:anchorId="0786426D" wp14:editId="44AEF450">
            <wp:extent cx="5954395" cy="7772400"/>
            <wp:effectExtent l="19050" t="19050" r="8255" b="0"/>
            <wp:docPr id="8" name="Picture 8" descr="Fig0B_23_63_Regional_Calivil_gw_salinity_GWR_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0B_23_63_Regional_Calivil_gw_salinity_GWR_targets"/>
                    <pic:cNvPicPr>
                      <a:picLocks noChangeAspect="1" noChangeArrowheads="1"/>
                    </pic:cNvPicPr>
                  </pic:nvPicPr>
                  <pic:blipFill>
                    <a:blip r:embed="rId16" cstate="print">
                      <a:extLst>
                        <a:ext uri="{28A0092B-C50C-407E-A947-70E740481C1C}">
                          <a14:useLocalDpi xmlns:a14="http://schemas.microsoft.com/office/drawing/2010/main" val="0"/>
                        </a:ext>
                      </a:extLst>
                    </a:blip>
                    <a:srcRect l="8972" t="6564" r="10973" b="19656"/>
                    <a:stretch>
                      <a:fillRect/>
                    </a:stretch>
                  </pic:blipFill>
                  <pic:spPr bwMode="auto">
                    <a:xfrm>
                      <a:off x="0" y="0"/>
                      <a:ext cx="5954395" cy="7772400"/>
                    </a:xfrm>
                    <a:prstGeom prst="rect">
                      <a:avLst/>
                    </a:prstGeom>
                    <a:noFill/>
                    <a:ln w="12700" cmpd="sng">
                      <a:solidFill>
                        <a:srgbClr val="000000"/>
                      </a:solidFill>
                      <a:miter lim="800000"/>
                      <a:headEnd/>
                      <a:tailEnd/>
                    </a:ln>
                    <a:effectLst/>
                  </pic:spPr>
                </pic:pic>
              </a:graphicData>
            </a:graphic>
          </wp:inline>
        </w:drawing>
      </w:r>
    </w:p>
    <w:p w:rsidR="002A5B04" w:rsidRPr="00666EC0" w:rsidRDefault="002A5B04" w:rsidP="002A5B04">
      <w:pPr>
        <w:pStyle w:val="Caption"/>
        <w:rPr>
          <w:i w:val="0"/>
          <w:szCs w:val="22"/>
        </w:rPr>
      </w:pPr>
      <w:r w:rsidRPr="00666EC0">
        <w:rPr>
          <w:b/>
        </w:rPr>
        <w:t xml:space="preserve">Figure </w:t>
      </w:r>
      <w:r w:rsidR="0069045C">
        <w:rPr>
          <w:b/>
        </w:rPr>
        <w:t>B</w:t>
      </w:r>
      <w:r w:rsidRPr="00666EC0">
        <w:rPr>
          <w:b/>
          <w:szCs w:val="22"/>
        </w:rPr>
        <w:t>.</w:t>
      </w:r>
      <w:r w:rsidRPr="007808E4">
        <w:rPr>
          <w:i w:val="0"/>
          <w:szCs w:val="22"/>
        </w:rPr>
        <w:t xml:space="preserve"> </w:t>
      </w:r>
      <w:r w:rsidRPr="0009420D">
        <w:rPr>
          <w:szCs w:val="22"/>
        </w:rPr>
        <w:t>Map of the BHMAR project area showing the distribution of groundwater resource (GWR) targets in Pliocene (</w:t>
      </w:r>
      <w:r w:rsidR="00C217F0">
        <w:rPr>
          <w:szCs w:val="22"/>
        </w:rPr>
        <w:t>Calivil Formation</w:t>
      </w:r>
      <w:r w:rsidRPr="0009420D">
        <w:rPr>
          <w:szCs w:val="22"/>
        </w:rPr>
        <w:t xml:space="preserve"> and Loxton-Parilla Sand</w:t>
      </w:r>
      <w:r w:rsidR="00343466">
        <w:rPr>
          <w:szCs w:val="22"/>
        </w:rPr>
        <w:t>s</w:t>
      </w:r>
      <w:r w:rsidRPr="0009420D">
        <w:rPr>
          <w:szCs w:val="22"/>
        </w:rPr>
        <w:t>) aquifers. The boundaries marked are the maximum spatial extent of the aquifer with</w:t>
      </w:r>
      <w:r w:rsidR="001D5ABC">
        <w:rPr>
          <w:szCs w:val="22"/>
        </w:rPr>
        <w:t xml:space="preserve"> predicted salinities &lt;3000 mg/L</w:t>
      </w:r>
      <w:r w:rsidRPr="0009420D">
        <w:rPr>
          <w:szCs w:val="22"/>
        </w:rPr>
        <w:t>.</w:t>
      </w:r>
      <w:r w:rsidRPr="00BE08AB">
        <w:rPr>
          <w:bCs w:val="0"/>
          <w:i w:val="0"/>
        </w:rPr>
        <w:t xml:space="preserve"> </w:t>
      </w:r>
      <w:r w:rsidR="00401704" w:rsidRPr="003F6C96">
        <w:rPr>
          <w:bCs w:val="0"/>
        </w:rPr>
        <w:t>This maximum spatial extent</w:t>
      </w:r>
      <w:r w:rsidR="00401704">
        <w:rPr>
          <w:bCs w:val="0"/>
        </w:rPr>
        <w:t xml:space="preserve"> o</w:t>
      </w:r>
      <w:r w:rsidR="007312EC">
        <w:rPr>
          <w:bCs w:val="0"/>
        </w:rPr>
        <w:t>f fresh to brackish groundwater</w:t>
      </w:r>
      <w:r w:rsidR="00401704" w:rsidRPr="003F6C96">
        <w:rPr>
          <w:bCs w:val="0"/>
        </w:rPr>
        <w:t xml:space="preserve"> is defined by the combined plotting of all the </w:t>
      </w:r>
      <w:r w:rsidR="00401704">
        <w:rPr>
          <w:bCs w:val="0"/>
        </w:rPr>
        <w:t xml:space="preserve">AEM </w:t>
      </w:r>
      <w:r w:rsidR="00401704" w:rsidRPr="003F6C96">
        <w:rPr>
          <w:bCs w:val="0"/>
        </w:rPr>
        <w:t>depth slices most relevant to the Calivil Formation (22-61</w:t>
      </w:r>
      <w:r w:rsidR="007312EC">
        <w:rPr>
          <w:bCs w:val="0"/>
        </w:rPr>
        <w:t xml:space="preserve"> </w:t>
      </w:r>
      <w:r w:rsidR="00401704" w:rsidRPr="003F6C96">
        <w:rPr>
          <w:bCs w:val="0"/>
        </w:rPr>
        <w:t>m).</w:t>
      </w:r>
      <w:r w:rsidR="00401704" w:rsidRPr="003F6C96">
        <w:rPr>
          <w:bCs w:val="0"/>
          <w:i w:val="0"/>
        </w:rPr>
        <w:t xml:space="preserve"> </w:t>
      </w:r>
      <w:r w:rsidRPr="00666EC0">
        <w:rPr>
          <w:bCs w:val="0"/>
          <w:i w:val="0"/>
        </w:rPr>
        <w:fldChar w:fldCharType="begin"/>
      </w:r>
      <w:r w:rsidRPr="00666EC0">
        <w:rPr>
          <w:bCs w:val="0"/>
          <w:i w:val="0"/>
        </w:rPr>
        <w:instrText xml:space="preserve"> TC "</w:instrText>
      </w:r>
      <w:bookmarkStart w:id="19" w:name="_Toc325975186"/>
      <w:bookmarkStart w:id="20" w:name="_Toc390690191"/>
      <w:r w:rsidRPr="00666EC0">
        <w:rPr>
          <w:bCs w:val="0"/>
          <w:i w:val="0"/>
        </w:rPr>
        <w:instrText xml:space="preserve">Figure </w:instrText>
      </w:r>
      <w:r w:rsidR="0069045C">
        <w:rPr>
          <w:bCs w:val="0"/>
          <w:i w:val="0"/>
        </w:rPr>
        <w:instrText>B</w:instrText>
      </w:r>
      <w:r w:rsidR="00497AD3">
        <w:rPr>
          <w:bCs w:val="0"/>
          <w:i w:val="0"/>
        </w:rPr>
        <w:instrText>.</w:instrText>
      </w:r>
      <w:r w:rsidRPr="00666EC0">
        <w:rPr>
          <w:bCs w:val="0"/>
          <w:i w:val="0"/>
        </w:rPr>
        <w:instrText xml:space="preserve"> </w:instrText>
      </w:r>
      <w:r w:rsidRPr="00666EC0">
        <w:rPr>
          <w:i w:val="0"/>
          <w:szCs w:val="22"/>
        </w:rPr>
        <w:instrText>Map of the BHMAR project area showing the distribution of groundwater resource (</w:instrText>
      </w:r>
      <w:r w:rsidR="001C0090" w:rsidRPr="00666EC0">
        <w:rPr>
          <w:i w:val="0"/>
          <w:szCs w:val="22"/>
        </w:rPr>
        <w:instrText>GWR</w:instrText>
      </w:r>
      <w:r w:rsidRPr="00666EC0">
        <w:rPr>
          <w:i w:val="0"/>
          <w:szCs w:val="22"/>
        </w:rPr>
        <w:instrText>) targets</w:instrText>
      </w:r>
      <w:bookmarkEnd w:id="19"/>
      <w:bookmarkEnd w:id="20"/>
      <w:r w:rsidRPr="00666EC0">
        <w:rPr>
          <w:bCs w:val="0"/>
          <w:i w:val="0"/>
        </w:rPr>
        <w:instrText xml:space="preserve">" \f A \l “4” </w:instrText>
      </w:r>
      <w:r w:rsidRPr="00666EC0">
        <w:rPr>
          <w:bCs w:val="0"/>
          <w:i w:val="0"/>
        </w:rPr>
        <w:fldChar w:fldCharType="end"/>
      </w:r>
    </w:p>
    <w:p w:rsidR="00D67CA4" w:rsidRDefault="00D67CA4" w:rsidP="002A5B04">
      <w:pPr>
        <w:pStyle w:val="Caption"/>
        <w:rPr>
          <w:b/>
        </w:rPr>
      </w:pPr>
    </w:p>
    <w:p w:rsidR="002A5B04" w:rsidRPr="00666EC0" w:rsidRDefault="002A5B04" w:rsidP="002A5B04">
      <w:pPr>
        <w:pStyle w:val="Caption"/>
        <w:rPr>
          <w:i w:val="0"/>
          <w:szCs w:val="22"/>
        </w:rPr>
      </w:pPr>
      <w:r w:rsidRPr="00666EC0">
        <w:rPr>
          <w:b/>
        </w:rPr>
        <w:lastRenderedPageBreak/>
        <w:t xml:space="preserve">Table </w:t>
      </w:r>
      <w:r>
        <w:rPr>
          <w:b/>
        </w:rPr>
        <w:t>A</w:t>
      </w:r>
      <w:r w:rsidRPr="00666EC0">
        <w:rPr>
          <w:b/>
        </w:rPr>
        <w:t>.</w:t>
      </w:r>
      <w:r w:rsidRPr="00666EC0">
        <w:t xml:space="preserve"> </w:t>
      </w:r>
      <w:r w:rsidRPr="00666EC0">
        <w:rPr>
          <w:szCs w:val="22"/>
        </w:rPr>
        <w:t>Indicative</w:t>
      </w:r>
      <w:r w:rsidRPr="0009420D">
        <w:rPr>
          <w:szCs w:val="22"/>
        </w:rPr>
        <w:t xml:space="preserve"> groundwater volume estimates for regional targets in the BHMAR </w:t>
      </w:r>
      <w:r w:rsidR="00A56C85">
        <w:rPr>
          <w:szCs w:val="22"/>
        </w:rPr>
        <w:t>project</w:t>
      </w:r>
      <w:r w:rsidRPr="0009420D">
        <w:rPr>
          <w:szCs w:val="22"/>
        </w:rPr>
        <w:t xml:space="preserve"> area. Estimates are rounded to the nearest 10</w:t>
      </w:r>
      <w:r w:rsidR="007312EC">
        <w:rPr>
          <w:szCs w:val="22"/>
        </w:rPr>
        <w:t xml:space="preserve">0 </w:t>
      </w:r>
      <w:r w:rsidRPr="0009420D">
        <w:rPr>
          <w:szCs w:val="22"/>
        </w:rPr>
        <w:t>GL.</w:t>
      </w:r>
      <w:r w:rsidRPr="00395AD1">
        <w:t xml:space="preserve"> </w:t>
      </w:r>
      <w:r w:rsidRPr="00666EC0">
        <w:rPr>
          <w:i w:val="0"/>
        </w:rPr>
        <w:fldChar w:fldCharType="begin"/>
      </w:r>
      <w:r w:rsidRPr="00666EC0">
        <w:rPr>
          <w:i w:val="0"/>
        </w:rPr>
        <w:instrText xml:space="preserve"> TC "</w:instrText>
      </w:r>
      <w:bookmarkStart w:id="21" w:name="_Toc325975291"/>
      <w:bookmarkStart w:id="22" w:name="_Toc390690279"/>
      <w:r w:rsidR="00497AD3">
        <w:rPr>
          <w:i w:val="0"/>
        </w:rPr>
        <w:instrText>Table A.</w:instrText>
      </w:r>
      <w:r w:rsidRPr="00666EC0">
        <w:rPr>
          <w:i w:val="0"/>
        </w:rPr>
        <w:instrText xml:space="preserve"> </w:instrText>
      </w:r>
      <w:r w:rsidRPr="00666EC0">
        <w:rPr>
          <w:i w:val="0"/>
          <w:szCs w:val="22"/>
        </w:rPr>
        <w:instrText xml:space="preserve">Indicative groundwater volume estimates for regional targets in the BHMAR </w:instrText>
      </w:r>
      <w:r w:rsidR="00A56C85">
        <w:rPr>
          <w:i w:val="0"/>
          <w:szCs w:val="22"/>
        </w:rPr>
        <w:instrText>project</w:instrText>
      </w:r>
      <w:r w:rsidRPr="00666EC0">
        <w:rPr>
          <w:i w:val="0"/>
          <w:szCs w:val="22"/>
        </w:rPr>
        <w:instrText xml:space="preserve"> area</w:instrText>
      </w:r>
      <w:bookmarkEnd w:id="21"/>
      <w:bookmarkEnd w:id="22"/>
      <w:r w:rsidRPr="00666EC0">
        <w:rPr>
          <w:i w:val="0"/>
        </w:rPr>
        <w:instrText xml:space="preserve">" \f B \l "4" </w:instrText>
      </w:r>
      <w:r w:rsidRPr="00666EC0">
        <w:rPr>
          <w:i w:val="0"/>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239"/>
        <w:gridCol w:w="1719"/>
        <w:gridCol w:w="1860"/>
        <w:gridCol w:w="1639"/>
        <w:gridCol w:w="1933"/>
      </w:tblGrid>
      <w:tr w:rsidR="002A5B04" w:rsidRPr="0045217F" w:rsidTr="003E7DC1">
        <w:trPr>
          <w:trHeight w:val="247"/>
        </w:trPr>
        <w:tc>
          <w:tcPr>
            <w:tcW w:w="2239" w:type="dxa"/>
            <w:shd w:val="clear" w:color="auto" w:fill="999999"/>
            <w:vAlign w:val="center"/>
          </w:tcPr>
          <w:p w:rsidR="002A5B04" w:rsidRPr="009A77C1" w:rsidRDefault="002A5B04" w:rsidP="003E7DC1">
            <w:pPr>
              <w:autoSpaceDE w:val="0"/>
              <w:autoSpaceDN w:val="0"/>
              <w:adjustRightInd w:val="0"/>
              <w:spacing w:before="60" w:after="120"/>
              <w:jc w:val="center"/>
              <w:rPr>
                <w:b/>
                <w:bCs/>
                <w:color w:val="000000"/>
                <w:sz w:val="20"/>
                <w:szCs w:val="20"/>
              </w:rPr>
            </w:pPr>
            <w:r w:rsidRPr="009A77C1">
              <w:rPr>
                <w:b/>
                <w:bCs/>
                <w:color w:val="000000"/>
                <w:sz w:val="20"/>
                <w:szCs w:val="20"/>
              </w:rPr>
              <w:t>All GWR Targets</w:t>
            </w:r>
          </w:p>
          <w:p w:rsidR="002A5B04" w:rsidRPr="009A77C1" w:rsidRDefault="002A5B04" w:rsidP="003E7DC1">
            <w:pPr>
              <w:autoSpaceDE w:val="0"/>
              <w:autoSpaceDN w:val="0"/>
              <w:adjustRightInd w:val="0"/>
              <w:spacing w:before="60" w:after="120"/>
              <w:jc w:val="center"/>
              <w:rPr>
                <w:b/>
                <w:bCs/>
                <w:color w:val="000000"/>
                <w:sz w:val="20"/>
                <w:szCs w:val="20"/>
              </w:rPr>
            </w:pPr>
          </w:p>
        </w:tc>
        <w:tc>
          <w:tcPr>
            <w:tcW w:w="1719" w:type="dxa"/>
            <w:shd w:val="clear" w:color="auto" w:fill="999999"/>
            <w:vAlign w:val="center"/>
          </w:tcPr>
          <w:p w:rsidR="002A5B04" w:rsidRPr="009A77C1" w:rsidRDefault="002A5B04" w:rsidP="003E7DC1">
            <w:pPr>
              <w:autoSpaceDE w:val="0"/>
              <w:autoSpaceDN w:val="0"/>
              <w:adjustRightInd w:val="0"/>
              <w:spacing w:before="60" w:after="120"/>
              <w:jc w:val="center"/>
              <w:rPr>
                <w:b/>
                <w:bCs/>
                <w:color w:val="000000"/>
                <w:sz w:val="20"/>
                <w:szCs w:val="20"/>
              </w:rPr>
            </w:pPr>
            <w:r w:rsidRPr="009A77C1">
              <w:rPr>
                <w:b/>
                <w:bCs/>
                <w:color w:val="000000"/>
                <w:sz w:val="20"/>
                <w:szCs w:val="20"/>
              </w:rPr>
              <w:t xml:space="preserve">Predicted </w:t>
            </w:r>
            <w:smartTag w:uri="urn:schemas-microsoft-com:office:smarttags" w:element="PersonName">
              <w:r w:rsidRPr="009A77C1">
                <w:rPr>
                  <w:b/>
                  <w:bCs/>
                  <w:color w:val="000000"/>
                  <w:sz w:val="20"/>
                  <w:szCs w:val="20"/>
                </w:rPr>
                <w:t>Groundwater</w:t>
              </w:r>
            </w:smartTag>
            <w:r w:rsidRPr="009A77C1">
              <w:rPr>
                <w:b/>
                <w:bCs/>
                <w:color w:val="000000"/>
                <w:sz w:val="20"/>
                <w:szCs w:val="20"/>
              </w:rPr>
              <w:t xml:space="preserve"> Salinity</w:t>
            </w:r>
          </w:p>
        </w:tc>
        <w:tc>
          <w:tcPr>
            <w:tcW w:w="1860" w:type="dxa"/>
            <w:shd w:val="clear" w:color="auto" w:fill="999999"/>
            <w:vAlign w:val="center"/>
          </w:tcPr>
          <w:p w:rsidR="002A5B04" w:rsidRPr="009A77C1" w:rsidRDefault="007312EC" w:rsidP="003E7DC1">
            <w:pPr>
              <w:autoSpaceDE w:val="0"/>
              <w:autoSpaceDN w:val="0"/>
              <w:adjustRightInd w:val="0"/>
              <w:spacing w:before="60" w:after="120"/>
              <w:jc w:val="center"/>
              <w:rPr>
                <w:b/>
                <w:bCs/>
                <w:color w:val="000000"/>
                <w:sz w:val="20"/>
                <w:szCs w:val="20"/>
              </w:rPr>
            </w:pPr>
            <w:r w:rsidRPr="009A77C1">
              <w:rPr>
                <w:b/>
                <w:bCs/>
                <w:color w:val="000000"/>
                <w:sz w:val="20"/>
                <w:szCs w:val="20"/>
              </w:rPr>
              <w:t>Lower Quartile</w:t>
            </w:r>
            <w:r w:rsidR="002A5B04" w:rsidRPr="009A77C1">
              <w:rPr>
                <w:b/>
                <w:bCs/>
                <w:color w:val="000000"/>
                <w:sz w:val="20"/>
                <w:szCs w:val="20"/>
              </w:rPr>
              <w:t xml:space="preserve"> </w:t>
            </w:r>
            <w:smartTag w:uri="urn:schemas-microsoft-com:office:smarttags" w:element="PersonName">
              <w:r w:rsidR="002A5B04" w:rsidRPr="009A77C1">
                <w:rPr>
                  <w:b/>
                  <w:bCs/>
                  <w:color w:val="000000"/>
                  <w:sz w:val="20"/>
                  <w:szCs w:val="20"/>
                </w:rPr>
                <w:t>Groundwater</w:t>
              </w:r>
            </w:smartTag>
            <w:r w:rsidR="002A5B04" w:rsidRPr="009A77C1">
              <w:rPr>
                <w:b/>
                <w:bCs/>
                <w:color w:val="000000"/>
                <w:sz w:val="20"/>
                <w:szCs w:val="20"/>
              </w:rPr>
              <w:t xml:space="preserve"> Volume (</w:t>
            </w:r>
            <w:r w:rsidRPr="009A77C1">
              <w:rPr>
                <w:b/>
                <w:bCs/>
                <w:color w:val="000000"/>
                <w:sz w:val="20"/>
                <w:szCs w:val="20"/>
              </w:rPr>
              <w:t>GL</w:t>
            </w:r>
            <w:r w:rsidR="002A5B04" w:rsidRPr="009A77C1">
              <w:rPr>
                <w:b/>
                <w:bCs/>
                <w:color w:val="000000"/>
                <w:sz w:val="20"/>
                <w:szCs w:val="20"/>
              </w:rPr>
              <w:t>)</w:t>
            </w:r>
          </w:p>
        </w:tc>
        <w:tc>
          <w:tcPr>
            <w:tcW w:w="1639" w:type="dxa"/>
            <w:shd w:val="clear" w:color="auto" w:fill="999999"/>
            <w:vAlign w:val="center"/>
          </w:tcPr>
          <w:p w:rsidR="002A5B04" w:rsidRPr="009A77C1" w:rsidRDefault="007312EC" w:rsidP="003E7DC1">
            <w:pPr>
              <w:autoSpaceDE w:val="0"/>
              <w:autoSpaceDN w:val="0"/>
              <w:adjustRightInd w:val="0"/>
              <w:spacing w:before="60" w:after="120"/>
              <w:jc w:val="center"/>
              <w:rPr>
                <w:b/>
                <w:bCs/>
                <w:color w:val="000000"/>
                <w:sz w:val="20"/>
                <w:szCs w:val="20"/>
              </w:rPr>
            </w:pPr>
            <w:r w:rsidRPr="009A77C1">
              <w:rPr>
                <w:b/>
                <w:bCs/>
                <w:color w:val="000000"/>
                <w:sz w:val="20"/>
                <w:szCs w:val="20"/>
              </w:rPr>
              <w:t>Median</w:t>
            </w:r>
            <w:r w:rsidR="002A5B04" w:rsidRPr="009A77C1">
              <w:rPr>
                <w:b/>
                <w:bCs/>
                <w:color w:val="000000"/>
                <w:sz w:val="20"/>
                <w:szCs w:val="20"/>
              </w:rPr>
              <w:t xml:space="preserve"> </w:t>
            </w:r>
            <w:smartTag w:uri="urn:schemas-microsoft-com:office:smarttags" w:element="PersonName">
              <w:r w:rsidR="002A5B04" w:rsidRPr="009A77C1">
                <w:rPr>
                  <w:b/>
                  <w:bCs/>
                  <w:color w:val="000000"/>
                  <w:sz w:val="20"/>
                  <w:szCs w:val="20"/>
                </w:rPr>
                <w:t>Groundwater</w:t>
              </w:r>
            </w:smartTag>
            <w:r w:rsidRPr="009A77C1">
              <w:rPr>
                <w:b/>
                <w:bCs/>
                <w:color w:val="000000"/>
                <w:sz w:val="20"/>
                <w:szCs w:val="20"/>
              </w:rPr>
              <w:t xml:space="preserve"> Volume (GL</w:t>
            </w:r>
            <w:r w:rsidR="002A5B04" w:rsidRPr="009A77C1">
              <w:rPr>
                <w:b/>
                <w:bCs/>
                <w:color w:val="000000"/>
                <w:sz w:val="20"/>
                <w:szCs w:val="20"/>
              </w:rPr>
              <w:t>)</w:t>
            </w:r>
          </w:p>
        </w:tc>
        <w:tc>
          <w:tcPr>
            <w:tcW w:w="1933" w:type="dxa"/>
            <w:shd w:val="clear" w:color="auto" w:fill="999999"/>
            <w:vAlign w:val="center"/>
          </w:tcPr>
          <w:p w:rsidR="002A5B04" w:rsidRPr="009A77C1" w:rsidRDefault="007312EC" w:rsidP="003E7DC1">
            <w:pPr>
              <w:autoSpaceDE w:val="0"/>
              <w:autoSpaceDN w:val="0"/>
              <w:adjustRightInd w:val="0"/>
              <w:spacing w:before="60" w:after="120"/>
              <w:jc w:val="center"/>
              <w:rPr>
                <w:b/>
                <w:bCs/>
                <w:color w:val="000000"/>
                <w:sz w:val="20"/>
                <w:szCs w:val="20"/>
              </w:rPr>
            </w:pPr>
            <w:r w:rsidRPr="009A77C1">
              <w:rPr>
                <w:b/>
                <w:bCs/>
                <w:color w:val="000000"/>
                <w:sz w:val="20"/>
                <w:szCs w:val="20"/>
              </w:rPr>
              <w:t>Upper Quartile</w:t>
            </w:r>
            <w:r w:rsidR="002A5B04" w:rsidRPr="009A77C1">
              <w:rPr>
                <w:b/>
                <w:bCs/>
                <w:color w:val="000000"/>
                <w:sz w:val="20"/>
                <w:szCs w:val="20"/>
              </w:rPr>
              <w:t xml:space="preserve"> </w:t>
            </w:r>
            <w:smartTag w:uri="urn:schemas-microsoft-com:office:smarttags" w:element="PersonName">
              <w:r w:rsidR="002A5B04" w:rsidRPr="009A77C1">
                <w:rPr>
                  <w:b/>
                  <w:bCs/>
                  <w:color w:val="000000"/>
                  <w:sz w:val="20"/>
                  <w:szCs w:val="20"/>
                </w:rPr>
                <w:t>Groundwater</w:t>
              </w:r>
            </w:smartTag>
            <w:r w:rsidRPr="009A77C1">
              <w:rPr>
                <w:b/>
                <w:bCs/>
                <w:color w:val="000000"/>
                <w:sz w:val="20"/>
                <w:szCs w:val="20"/>
              </w:rPr>
              <w:t xml:space="preserve"> Volume (GL</w:t>
            </w:r>
            <w:r w:rsidR="002A5B04" w:rsidRPr="009A77C1">
              <w:rPr>
                <w:b/>
                <w:bCs/>
                <w:color w:val="000000"/>
                <w:sz w:val="20"/>
                <w:szCs w:val="20"/>
              </w:rPr>
              <w:t>)</w:t>
            </w:r>
          </w:p>
        </w:tc>
      </w:tr>
      <w:tr w:rsidR="002A5B04" w:rsidRPr="0045217F" w:rsidTr="003E7DC1">
        <w:trPr>
          <w:trHeight w:val="247"/>
        </w:trPr>
        <w:tc>
          <w:tcPr>
            <w:tcW w:w="2239" w:type="dxa"/>
            <w:shd w:val="clear" w:color="auto" w:fill="F3F3F3"/>
            <w:vAlign w:val="center"/>
          </w:tcPr>
          <w:p w:rsidR="002A5B04" w:rsidRPr="009A77C1" w:rsidRDefault="007312EC" w:rsidP="003E7DC1">
            <w:pPr>
              <w:autoSpaceDE w:val="0"/>
              <w:autoSpaceDN w:val="0"/>
              <w:adjustRightInd w:val="0"/>
              <w:spacing w:before="60" w:after="60"/>
              <w:ind w:right="121"/>
              <w:jc w:val="right"/>
              <w:rPr>
                <w:b/>
                <w:color w:val="000000"/>
                <w:sz w:val="20"/>
                <w:szCs w:val="20"/>
              </w:rPr>
            </w:pPr>
            <w:r w:rsidRPr="009A77C1">
              <w:rPr>
                <w:b/>
                <w:color w:val="000000"/>
                <w:sz w:val="20"/>
                <w:szCs w:val="20"/>
              </w:rPr>
              <w:t xml:space="preserve">All Targets </w:t>
            </w:r>
            <w:r w:rsidR="002A5B04" w:rsidRPr="009A77C1">
              <w:rPr>
                <w:b/>
                <w:color w:val="000000"/>
                <w:sz w:val="20"/>
                <w:szCs w:val="20"/>
              </w:rPr>
              <w:t>Sub-total</w:t>
            </w:r>
          </w:p>
        </w:tc>
        <w:tc>
          <w:tcPr>
            <w:tcW w:w="1719" w:type="dxa"/>
            <w:shd w:val="clear" w:color="auto" w:fill="F3F3F3"/>
            <w:vAlign w:val="center"/>
          </w:tcPr>
          <w:p w:rsidR="002A5B04" w:rsidRPr="009A77C1" w:rsidRDefault="002A5B04" w:rsidP="003E7DC1">
            <w:pPr>
              <w:autoSpaceDE w:val="0"/>
              <w:autoSpaceDN w:val="0"/>
              <w:adjustRightInd w:val="0"/>
              <w:spacing w:before="60" w:after="60"/>
              <w:jc w:val="center"/>
              <w:rPr>
                <w:color w:val="000000"/>
                <w:sz w:val="20"/>
                <w:szCs w:val="20"/>
              </w:rPr>
            </w:pPr>
            <w:r w:rsidRPr="009A77C1">
              <w:rPr>
                <w:color w:val="000000"/>
                <w:sz w:val="20"/>
                <w:szCs w:val="20"/>
              </w:rPr>
              <w:t>&lt;600 mg/L</w:t>
            </w:r>
          </w:p>
        </w:tc>
        <w:tc>
          <w:tcPr>
            <w:tcW w:w="1860" w:type="dxa"/>
            <w:shd w:val="clear" w:color="auto" w:fill="F3F3F3"/>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900</w:t>
            </w:r>
          </w:p>
        </w:tc>
        <w:tc>
          <w:tcPr>
            <w:tcW w:w="1639" w:type="dxa"/>
            <w:shd w:val="clear" w:color="auto" w:fill="F3F3F3"/>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1400</w:t>
            </w:r>
          </w:p>
        </w:tc>
        <w:tc>
          <w:tcPr>
            <w:tcW w:w="1933" w:type="dxa"/>
            <w:shd w:val="clear" w:color="auto" w:fill="F3F3F3"/>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1900</w:t>
            </w:r>
          </w:p>
        </w:tc>
      </w:tr>
      <w:tr w:rsidR="002A5B04" w:rsidRPr="0045217F" w:rsidTr="003E7DC1">
        <w:trPr>
          <w:trHeight w:val="247"/>
        </w:trPr>
        <w:tc>
          <w:tcPr>
            <w:tcW w:w="2239" w:type="dxa"/>
            <w:shd w:val="clear" w:color="auto" w:fill="E0E0E0"/>
            <w:vAlign w:val="center"/>
          </w:tcPr>
          <w:p w:rsidR="002A5B04" w:rsidRPr="009A77C1" w:rsidRDefault="007312EC" w:rsidP="003E7DC1">
            <w:pPr>
              <w:autoSpaceDE w:val="0"/>
              <w:autoSpaceDN w:val="0"/>
              <w:adjustRightInd w:val="0"/>
              <w:spacing w:before="60" w:after="60"/>
              <w:ind w:right="121"/>
              <w:jc w:val="right"/>
              <w:rPr>
                <w:b/>
                <w:color w:val="000000"/>
                <w:sz w:val="20"/>
                <w:szCs w:val="20"/>
              </w:rPr>
            </w:pPr>
            <w:r w:rsidRPr="009A77C1">
              <w:rPr>
                <w:b/>
                <w:color w:val="000000"/>
                <w:sz w:val="20"/>
                <w:szCs w:val="20"/>
              </w:rPr>
              <w:t xml:space="preserve">All Targets </w:t>
            </w:r>
            <w:r w:rsidR="002A5B04" w:rsidRPr="009A77C1">
              <w:rPr>
                <w:b/>
                <w:color w:val="000000"/>
                <w:sz w:val="20"/>
                <w:szCs w:val="20"/>
              </w:rPr>
              <w:t>Sub-total</w:t>
            </w:r>
          </w:p>
        </w:tc>
        <w:tc>
          <w:tcPr>
            <w:tcW w:w="1719" w:type="dxa"/>
            <w:shd w:val="clear" w:color="auto" w:fill="E0E0E0"/>
            <w:vAlign w:val="center"/>
          </w:tcPr>
          <w:p w:rsidR="002A5B04" w:rsidRPr="009A77C1" w:rsidRDefault="002A5B04" w:rsidP="003E7DC1">
            <w:pPr>
              <w:autoSpaceDE w:val="0"/>
              <w:autoSpaceDN w:val="0"/>
              <w:adjustRightInd w:val="0"/>
              <w:spacing w:before="60" w:after="60"/>
              <w:jc w:val="center"/>
              <w:rPr>
                <w:color w:val="000000"/>
                <w:sz w:val="20"/>
                <w:szCs w:val="20"/>
              </w:rPr>
            </w:pPr>
            <w:r w:rsidRPr="009A77C1">
              <w:rPr>
                <w:color w:val="000000"/>
                <w:sz w:val="20"/>
                <w:szCs w:val="20"/>
              </w:rPr>
              <w:t>600-1200 mg/L</w:t>
            </w:r>
          </w:p>
        </w:tc>
        <w:tc>
          <w:tcPr>
            <w:tcW w:w="1860" w:type="dxa"/>
            <w:shd w:val="clear" w:color="auto" w:fill="E0E0E0"/>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1200</w:t>
            </w:r>
          </w:p>
        </w:tc>
        <w:tc>
          <w:tcPr>
            <w:tcW w:w="1639" w:type="dxa"/>
            <w:shd w:val="clear" w:color="auto" w:fill="E0E0E0"/>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1900</w:t>
            </w:r>
          </w:p>
        </w:tc>
        <w:tc>
          <w:tcPr>
            <w:tcW w:w="1933" w:type="dxa"/>
            <w:shd w:val="clear" w:color="auto" w:fill="E0E0E0"/>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2500</w:t>
            </w:r>
          </w:p>
        </w:tc>
      </w:tr>
      <w:tr w:rsidR="002A5B04" w:rsidRPr="0045217F" w:rsidTr="003E7DC1">
        <w:trPr>
          <w:trHeight w:val="247"/>
        </w:trPr>
        <w:tc>
          <w:tcPr>
            <w:tcW w:w="2239" w:type="dxa"/>
            <w:shd w:val="clear" w:color="auto" w:fill="CCCCCC"/>
            <w:vAlign w:val="center"/>
          </w:tcPr>
          <w:p w:rsidR="002A5B04" w:rsidRPr="009A77C1" w:rsidRDefault="007312EC" w:rsidP="003E7DC1">
            <w:pPr>
              <w:autoSpaceDE w:val="0"/>
              <w:autoSpaceDN w:val="0"/>
              <w:adjustRightInd w:val="0"/>
              <w:spacing w:before="60" w:after="60"/>
              <w:ind w:right="121"/>
              <w:jc w:val="right"/>
              <w:rPr>
                <w:b/>
                <w:color w:val="000000"/>
                <w:sz w:val="20"/>
                <w:szCs w:val="20"/>
              </w:rPr>
            </w:pPr>
            <w:r w:rsidRPr="009A77C1">
              <w:rPr>
                <w:b/>
                <w:color w:val="000000"/>
                <w:sz w:val="20"/>
                <w:szCs w:val="20"/>
              </w:rPr>
              <w:t xml:space="preserve">All Targets </w:t>
            </w:r>
            <w:r w:rsidR="002A5B04" w:rsidRPr="009A77C1">
              <w:rPr>
                <w:b/>
                <w:color w:val="000000"/>
                <w:sz w:val="20"/>
                <w:szCs w:val="20"/>
              </w:rPr>
              <w:t>Sub-total</w:t>
            </w:r>
          </w:p>
        </w:tc>
        <w:tc>
          <w:tcPr>
            <w:tcW w:w="1719" w:type="dxa"/>
            <w:shd w:val="clear" w:color="auto" w:fill="CCCCCC"/>
            <w:vAlign w:val="center"/>
          </w:tcPr>
          <w:p w:rsidR="002A5B04" w:rsidRPr="009A77C1" w:rsidRDefault="002A5B04" w:rsidP="003E7DC1">
            <w:pPr>
              <w:autoSpaceDE w:val="0"/>
              <w:autoSpaceDN w:val="0"/>
              <w:adjustRightInd w:val="0"/>
              <w:spacing w:before="60" w:after="60"/>
              <w:jc w:val="center"/>
              <w:rPr>
                <w:color w:val="000000"/>
                <w:sz w:val="20"/>
                <w:szCs w:val="20"/>
              </w:rPr>
            </w:pPr>
            <w:r w:rsidRPr="009A77C1">
              <w:rPr>
                <w:color w:val="000000"/>
                <w:sz w:val="20"/>
                <w:szCs w:val="20"/>
              </w:rPr>
              <w:t>1200 - 3000 mg/L</w:t>
            </w:r>
          </w:p>
        </w:tc>
        <w:tc>
          <w:tcPr>
            <w:tcW w:w="1860" w:type="dxa"/>
            <w:shd w:val="clear" w:color="auto" w:fill="CCCCCC"/>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900</w:t>
            </w:r>
          </w:p>
        </w:tc>
        <w:tc>
          <w:tcPr>
            <w:tcW w:w="1639" w:type="dxa"/>
            <w:shd w:val="clear" w:color="auto" w:fill="CCCCCC"/>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1500</w:t>
            </w:r>
          </w:p>
        </w:tc>
        <w:tc>
          <w:tcPr>
            <w:tcW w:w="1933" w:type="dxa"/>
            <w:shd w:val="clear" w:color="auto" w:fill="CCCCCC"/>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2000</w:t>
            </w:r>
          </w:p>
        </w:tc>
      </w:tr>
      <w:tr w:rsidR="002A5B04" w:rsidRPr="0045217F" w:rsidTr="003E7DC1">
        <w:trPr>
          <w:trHeight w:val="303"/>
        </w:trPr>
        <w:tc>
          <w:tcPr>
            <w:tcW w:w="2239" w:type="dxa"/>
            <w:shd w:val="clear" w:color="auto" w:fill="A6A6A6"/>
            <w:vAlign w:val="center"/>
          </w:tcPr>
          <w:p w:rsidR="002A5B04" w:rsidRPr="009A77C1" w:rsidRDefault="002A5B04" w:rsidP="003E7DC1">
            <w:pPr>
              <w:autoSpaceDE w:val="0"/>
              <w:autoSpaceDN w:val="0"/>
              <w:adjustRightInd w:val="0"/>
              <w:spacing w:before="60" w:after="60"/>
              <w:ind w:right="121"/>
              <w:jc w:val="right"/>
              <w:rPr>
                <w:b/>
                <w:color w:val="000000"/>
                <w:sz w:val="20"/>
                <w:szCs w:val="20"/>
              </w:rPr>
            </w:pPr>
            <w:r w:rsidRPr="009A77C1">
              <w:rPr>
                <w:b/>
                <w:color w:val="000000"/>
                <w:sz w:val="20"/>
                <w:szCs w:val="20"/>
              </w:rPr>
              <w:t xml:space="preserve">Grand Total </w:t>
            </w:r>
          </w:p>
        </w:tc>
        <w:tc>
          <w:tcPr>
            <w:tcW w:w="1719" w:type="dxa"/>
            <w:shd w:val="clear" w:color="auto" w:fill="A6A6A6"/>
            <w:vAlign w:val="center"/>
          </w:tcPr>
          <w:p w:rsidR="002A5B04" w:rsidRPr="009A77C1" w:rsidRDefault="002A5B04" w:rsidP="003E7DC1">
            <w:pPr>
              <w:autoSpaceDE w:val="0"/>
              <w:autoSpaceDN w:val="0"/>
              <w:adjustRightInd w:val="0"/>
              <w:spacing w:before="60" w:after="60"/>
              <w:jc w:val="center"/>
              <w:rPr>
                <w:b/>
                <w:color w:val="000000"/>
                <w:sz w:val="20"/>
                <w:szCs w:val="20"/>
              </w:rPr>
            </w:pPr>
            <w:r w:rsidRPr="009A77C1">
              <w:rPr>
                <w:b/>
                <w:color w:val="000000"/>
                <w:sz w:val="20"/>
                <w:szCs w:val="20"/>
              </w:rPr>
              <w:t>&lt;600-3000 mg/L</w:t>
            </w:r>
          </w:p>
        </w:tc>
        <w:tc>
          <w:tcPr>
            <w:tcW w:w="1860" w:type="dxa"/>
            <w:shd w:val="clear" w:color="auto" w:fill="A6A6A6"/>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3000</w:t>
            </w:r>
          </w:p>
        </w:tc>
        <w:tc>
          <w:tcPr>
            <w:tcW w:w="1639" w:type="dxa"/>
            <w:shd w:val="clear" w:color="auto" w:fill="A6A6A6"/>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4700</w:t>
            </w:r>
          </w:p>
        </w:tc>
        <w:tc>
          <w:tcPr>
            <w:tcW w:w="1933" w:type="dxa"/>
            <w:shd w:val="clear" w:color="auto" w:fill="A6A6A6"/>
            <w:vAlign w:val="center"/>
          </w:tcPr>
          <w:p w:rsidR="002A5B04" w:rsidRPr="009A77C1" w:rsidRDefault="007312EC" w:rsidP="003E7DC1">
            <w:pPr>
              <w:autoSpaceDE w:val="0"/>
              <w:autoSpaceDN w:val="0"/>
              <w:adjustRightInd w:val="0"/>
              <w:spacing w:before="60" w:after="60"/>
              <w:jc w:val="center"/>
              <w:rPr>
                <w:b/>
                <w:color w:val="000000"/>
                <w:sz w:val="20"/>
                <w:szCs w:val="20"/>
              </w:rPr>
            </w:pPr>
            <w:r w:rsidRPr="009A77C1">
              <w:rPr>
                <w:b/>
                <w:color w:val="000000"/>
                <w:sz w:val="20"/>
                <w:szCs w:val="20"/>
              </w:rPr>
              <w:t>6400</w:t>
            </w:r>
          </w:p>
        </w:tc>
      </w:tr>
    </w:tbl>
    <w:p w:rsidR="009D7C03" w:rsidRPr="007F343E" w:rsidRDefault="009D7C03" w:rsidP="009D7C03">
      <w:pPr>
        <w:spacing w:before="120" w:after="120"/>
        <w:rPr>
          <w:sz w:val="20"/>
          <w:szCs w:val="20"/>
        </w:rPr>
      </w:pPr>
      <w:r w:rsidRPr="007F343E">
        <w:rPr>
          <w:sz w:val="20"/>
          <w:szCs w:val="20"/>
        </w:rPr>
        <w:t xml:space="preserve">Notes: </w:t>
      </w:r>
      <w:r>
        <w:rPr>
          <w:sz w:val="20"/>
          <w:szCs w:val="20"/>
        </w:rPr>
        <w:t xml:space="preserve">These groundwater volumes are indicative estimates only. </w:t>
      </w:r>
      <w:r w:rsidRPr="007F343E">
        <w:rPr>
          <w:sz w:val="20"/>
          <w:szCs w:val="20"/>
        </w:rPr>
        <w:t>Groundwater storage volumes do not equate to extractable</w:t>
      </w:r>
      <w:r>
        <w:rPr>
          <w:sz w:val="20"/>
          <w:szCs w:val="20"/>
        </w:rPr>
        <w:t xml:space="preserve"> groundwater volumes, which would</w:t>
      </w:r>
      <w:r w:rsidRPr="007F343E">
        <w:rPr>
          <w:sz w:val="20"/>
          <w:szCs w:val="20"/>
        </w:rPr>
        <w:t xml:space="preserve"> be smaller </w:t>
      </w:r>
      <w:r w:rsidR="00E33C41">
        <w:rPr>
          <w:sz w:val="20"/>
          <w:szCs w:val="20"/>
        </w:rPr>
        <w:t>than</w:t>
      </w:r>
      <w:r w:rsidRPr="007F343E">
        <w:rPr>
          <w:sz w:val="20"/>
          <w:szCs w:val="20"/>
        </w:rPr>
        <w:t xml:space="preserve"> these estimates</w:t>
      </w:r>
      <w:r>
        <w:rPr>
          <w:sz w:val="20"/>
          <w:szCs w:val="20"/>
        </w:rPr>
        <w:t>.</w:t>
      </w:r>
    </w:p>
    <w:p w:rsidR="00BD4BBC" w:rsidRPr="00BD4BBC" w:rsidRDefault="00BD4BBC" w:rsidP="00513FE6">
      <w:pPr>
        <w:spacing w:before="120" w:after="120"/>
        <w:rPr>
          <w:szCs w:val="22"/>
        </w:rPr>
      </w:pPr>
    </w:p>
    <w:p w:rsidR="00F91116" w:rsidRPr="00DD1E35" w:rsidRDefault="00C21204" w:rsidP="00513FE6">
      <w:pPr>
        <w:spacing w:before="120" w:after="120"/>
        <w:rPr>
          <w:b/>
          <w:color w:val="3366FF"/>
          <w:sz w:val="32"/>
          <w:szCs w:val="32"/>
          <w:lang w:eastAsia="en-US"/>
        </w:rPr>
      </w:pPr>
      <w:r>
        <w:rPr>
          <w:b/>
          <w:color w:val="3366FF"/>
          <w:sz w:val="32"/>
          <w:szCs w:val="32"/>
          <w:lang w:eastAsia="en-US"/>
        </w:rPr>
        <w:t xml:space="preserve">OVERVIEW OF </w:t>
      </w:r>
      <w:r w:rsidR="002F7F6A" w:rsidRPr="00DD1E35">
        <w:rPr>
          <w:b/>
          <w:color w:val="3366FF"/>
          <w:sz w:val="32"/>
          <w:szCs w:val="32"/>
          <w:lang w:eastAsia="en-US"/>
        </w:rPr>
        <w:t>THE DARLING FLOODPLAIN STUDY</w:t>
      </w:r>
      <w:r w:rsidR="00F91116" w:rsidRPr="00DD1E35">
        <w:rPr>
          <w:b/>
          <w:color w:val="3366FF"/>
          <w:sz w:val="32"/>
          <w:szCs w:val="32"/>
          <w:lang w:eastAsia="en-US"/>
        </w:rPr>
        <w:t xml:space="preserve"> AREA</w:t>
      </w:r>
    </w:p>
    <w:p w:rsidR="00BD7241" w:rsidRDefault="00BD7241" w:rsidP="006E52D4">
      <w:pPr>
        <w:rPr>
          <w:szCs w:val="22"/>
        </w:rPr>
      </w:pPr>
      <w:r w:rsidRPr="00501DEC">
        <w:rPr>
          <w:szCs w:val="22"/>
        </w:rPr>
        <w:t xml:space="preserve">The BHMAR </w:t>
      </w:r>
      <w:r w:rsidR="00A56C85">
        <w:rPr>
          <w:szCs w:val="22"/>
        </w:rPr>
        <w:t>project</w:t>
      </w:r>
      <w:r w:rsidRPr="00501DEC">
        <w:rPr>
          <w:szCs w:val="22"/>
        </w:rPr>
        <w:t xml:space="preserve"> area </w:t>
      </w:r>
      <w:r>
        <w:rPr>
          <w:szCs w:val="22"/>
        </w:rPr>
        <w:t>is located approximately 100</w:t>
      </w:r>
      <w:r w:rsidR="00BE5777">
        <w:rPr>
          <w:szCs w:val="22"/>
        </w:rPr>
        <w:t xml:space="preserve"> </w:t>
      </w:r>
      <w:r>
        <w:rPr>
          <w:szCs w:val="22"/>
        </w:rPr>
        <w:t xml:space="preserve">km south-east of Broken Hill, NSW, in the Murray-Darling Drainage Basin and Murray Geological </w:t>
      </w:r>
      <w:r w:rsidRPr="000B4790">
        <w:rPr>
          <w:szCs w:val="22"/>
        </w:rPr>
        <w:t>Basin (</w:t>
      </w:r>
      <w:r w:rsidR="003346A4" w:rsidRPr="000B4790">
        <w:rPr>
          <w:szCs w:val="22"/>
        </w:rPr>
        <w:t xml:space="preserve">Figure </w:t>
      </w:r>
      <w:r w:rsidR="00B40359" w:rsidRPr="000B4790">
        <w:rPr>
          <w:szCs w:val="22"/>
        </w:rPr>
        <w:t>C</w:t>
      </w:r>
      <w:r w:rsidRPr="000B4790">
        <w:rPr>
          <w:szCs w:val="22"/>
        </w:rPr>
        <w:t>) and</w:t>
      </w:r>
      <w:r>
        <w:rPr>
          <w:szCs w:val="22"/>
        </w:rPr>
        <w:t xml:space="preserve"> covers approximately 7,500 </w:t>
      </w:r>
      <w:r w:rsidR="001C1EE8">
        <w:rPr>
          <w:szCs w:val="22"/>
        </w:rPr>
        <w:t>km</w:t>
      </w:r>
      <w:r w:rsidR="001C1EE8" w:rsidRPr="001C1EE8">
        <w:rPr>
          <w:szCs w:val="22"/>
          <w:vertAlign w:val="superscript"/>
        </w:rPr>
        <w:t>2</w:t>
      </w:r>
      <w:r w:rsidRPr="00D869F2">
        <w:rPr>
          <w:szCs w:val="22"/>
        </w:rPr>
        <w:t xml:space="preserve">. </w:t>
      </w:r>
      <w:r>
        <w:rPr>
          <w:szCs w:val="22"/>
        </w:rPr>
        <w:t xml:space="preserve">The </w:t>
      </w:r>
      <w:r w:rsidR="001C1EE8">
        <w:rPr>
          <w:szCs w:val="22"/>
        </w:rPr>
        <w:t xml:space="preserve">study area is part of the </w:t>
      </w:r>
      <w:smartTag w:uri="urn:schemas-microsoft-com:office:smarttags" w:element="place">
        <w:smartTag w:uri="urn:schemas-microsoft-com:office:smarttags" w:element="PlaceName">
          <w:r w:rsidRPr="00FE02B0">
            <w:rPr>
              <w:szCs w:val="22"/>
            </w:rPr>
            <w:t>Lower</w:t>
          </w:r>
        </w:smartTag>
        <w:r w:rsidRPr="00FE02B0">
          <w:rPr>
            <w:szCs w:val="22"/>
          </w:rPr>
          <w:t xml:space="preserve"> </w:t>
        </w:r>
        <w:smartTag w:uri="urn:schemas-microsoft-com:office:smarttags" w:element="PlaceName">
          <w:r w:rsidRPr="00FE02B0">
            <w:rPr>
              <w:szCs w:val="22"/>
            </w:rPr>
            <w:t>Darling</w:t>
          </w:r>
        </w:smartTag>
        <w:r w:rsidRPr="00FE02B0">
          <w:rPr>
            <w:szCs w:val="22"/>
          </w:rPr>
          <w:t xml:space="preserve"> </w:t>
        </w:r>
        <w:smartTag w:uri="urn:schemas-microsoft-com:office:smarttags" w:element="PlaceType">
          <w:r w:rsidRPr="00FE02B0">
            <w:rPr>
              <w:szCs w:val="22"/>
            </w:rPr>
            <w:t>Valley</w:t>
          </w:r>
        </w:smartTag>
      </w:smartTag>
      <w:r w:rsidRPr="00FE02B0">
        <w:rPr>
          <w:szCs w:val="22"/>
        </w:rPr>
        <w:t xml:space="preserve"> </w:t>
      </w:r>
      <w:r w:rsidR="001C1EE8">
        <w:rPr>
          <w:szCs w:val="22"/>
        </w:rPr>
        <w:t xml:space="preserve">which </w:t>
      </w:r>
      <w:r w:rsidRPr="00FE02B0">
        <w:rPr>
          <w:szCs w:val="22"/>
        </w:rPr>
        <w:t xml:space="preserve">extends from Wilcannia to the </w:t>
      </w:r>
      <w:r w:rsidR="001C1EE8">
        <w:rPr>
          <w:szCs w:val="22"/>
        </w:rPr>
        <w:t xml:space="preserve">River </w:t>
      </w:r>
      <w:r w:rsidRPr="00FE02B0">
        <w:rPr>
          <w:szCs w:val="22"/>
        </w:rPr>
        <w:t xml:space="preserve">Murray </w:t>
      </w:r>
      <w:r w:rsidR="001C1EE8">
        <w:rPr>
          <w:szCs w:val="22"/>
        </w:rPr>
        <w:t xml:space="preserve">confluence </w:t>
      </w:r>
      <w:r w:rsidRPr="00FE02B0">
        <w:rPr>
          <w:szCs w:val="22"/>
        </w:rPr>
        <w:t xml:space="preserve">and </w:t>
      </w:r>
      <w:r w:rsidR="004F3EF9">
        <w:rPr>
          <w:szCs w:val="22"/>
        </w:rPr>
        <w:t xml:space="preserve">comprises </w:t>
      </w:r>
      <w:r w:rsidRPr="00FE02B0">
        <w:rPr>
          <w:szCs w:val="22"/>
        </w:rPr>
        <w:t>a complex mixture of fluvial, aeolian and lacustrine landforms</w:t>
      </w:r>
      <w:r w:rsidR="004F3EF9">
        <w:rPr>
          <w:szCs w:val="22"/>
        </w:rPr>
        <w:t xml:space="preserve">, deposited in a </w:t>
      </w:r>
      <w:r w:rsidR="004F3EF9" w:rsidRPr="00FE02B0">
        <w:rPr>
          <w:szCs w:val="22"/>
        </w:rPr>
        <w:t xml:space="preserve">relatively wide floodplain </w:t>
      </w:r>
      <w:r w:rsidR="004F3EF9">
        <w:rPr>
          <w:szCs w:val="22"/>
        </w:rPr>
        <w:t>that narrows considerably to the south</w:t>
      </w:r>
      <w:r w:rsidRPr="00FE02B0">
        <w:rPr>
          <w:szCs w:val="22"/>
        </w:rPr>
        <w:t xml:space="preserve">. </w:t>
      </w:r>
      <w:r w:rsidR="001C1EE8">
        <w:rPr>
          <w:szCs w:val="22"/>
        </w:rPr>
        <w:t>The study area</w:t>
      </w:r>
      <w:r w:rsidR="001C1EE8" w:rsidRPr="001C1EE8">
        <w:rPr>
          <w:szCs w:val="22"/>
        </w:rPr>
        <w:t xml:space="preserve"> </w:t>
      </w:r>
      <w:r w:rsidR="001C1EE8">
        <w:rPr>
          <w:szCs w:val="22"/>
        </w:rPr>
        <w:t xml:space="preserve">is centred around the </w:t>
      </w:r>
      <w:r w:rsidR="007D1583">
        <w:rPr>
          <w:szCs w:val="22"/>
        </w:rPr>
        <w:t>Menindee Lakes</w:t>
      </w:r>
      <w:r w:rsidR="001C1EE8">
        <w:rPr>
          <w:szCs w:val="22"/>
        </w:rPr>
        <w:t xml:space="preserve"> Storages (MLS) and the town of </w:t>
      </w:r>
      <w:smartTag w:uri="urn:schemas-microsoft-com:office:smarttags" w:element="City">
        <w:r w:rsidR="00C217F0">
          <w:rPr>
            <w:szCs w:val="22"/>
          </w:rPr>
          <w:t>Menindee</w:t>
        </w:r>
      </w:smartTag>
      <w:r w:rsidR="00C217F0">
        <w:rPr>
          <w:szCs w:val="22"/>
        </w:rPr>
        <w:t xml:space="preserve"> </w:t>
      </w:r>
      <w:r w:rsidR="001C1EE8">
        <w:rPr>
          <w:szCs w:val="22"/>
        </w:rPr>
        <w:t xml:space="preserve">on the </w:t>
      </w:r>
      <w:smartTag w:uri="urn:schemas-microsoft-com:office:smarttags" w:element="place">
        <w:r w:rsidR="001C1EE8">
          <w:rPr>
            <w:szCs w:val="22"/>
          </w:rPr>
          <w:t>Darling River</w:t>
        </w:r>
      </w:smartTag>
      <w:r w:rsidR="001C1EE8">
        <w:rPr>
          <w:szCs w:val="22"/>
        </w:rPr>
        <w:t xml:space="preserve">. </w:t>
      </w:r>
    </w:p>
    <w:p w:rsidR="009D7C03" w:rsidRDefault="009D7C03" w:rsidP="006E52D4">
      <w:pPr>
        <w:rPr>
          <w:szCs w:val="22"/>
        </w:rPr>
      </w:pPr>
    </w:p>
    <w:p w:rsidR="00577F09" w:rsidRDefault="00706A3B" w:rsidP="007D5510">
      <w:pPr>
        <w:spacing w:before="60" w:after="60"/>
        <w:jc w:val="center"/>
        <w:rPr>
          <w:i/>
        </w:rPr>
      </w:pPr>
      <w:r>
        <w:rPr>
          <w:i/>
          <w:noProof/>
        </w:rPr>
        <w:drawing>
          <wp:inline distT="0" distB="0" distL="0" distR="0" wp14:anchorId="06DF7B0E" wp14:editId="46808155">
            <wp:extent cx="5932805" cy="4455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2805" cy="4455160"/>
                    </a:xfrm>
                    <a:prstGeom prst="rect">
                      <a:avLst/>
                    </a:prstGeom>
                    <a:noFill/>
                    <a:ln>
                      <a:noFill/>
                    </a:ln>
                  </pic:spPr>
                </pic:pic>
              </a:graphicData>
            </a:graphic>
          </wp:inline>
        </w:drawing>
      </w:r>
    </w:p>
    <w:p w:rsidR="00BD7241" w:rsidRPr="006E52D4" w:rsidRDefault="009D7B6E" w:rsidP="009D7B6E">
      <w:pPr>
        <w:pStyle w:val="Caption"/>
        <w:rPr>
          <w:i w:val="0"/>
          <w:szCs w:val="20"/>
        </w:rPr>
      </w:pPr>
      <w:bookmarkStart w:id="23" w:name="_Ref325638079"/>
      <w:r w:rsidRPr="009D7B6E">
        <w:rPr>
          <w:b/>
        </w:rPr>
        <w:t xml:space="preserve">Figure </w:t>
      </w:r>
      <w:bookmarkEnd w:id="23"/>
      <w:r w:rsidR="0069045C">
        <w:rPr>
          <w:b/>
        </w:rPr>
        <w:t>C</w:t>
      </w:r>
      <w:r w:rsidR="00BD7241" w:rsidRPr="009D7B6E">
        <w:rPr>
          <w:b/>
          <w:szCs w:val="20"/>
        </w:rPr>
        <w:t>.</w:t>
      </w:r>
      <w:r w:rsidR="00BD7241" w:rsidRPr="006E52D4">
        <w:rPr>
          <w:i w:val="0"/>
          <w:szCs w:val="20"/>
        </w:rPr>
        <w:t xml:space="preserve"> </w:t>
      </w:r>
      <w:r w:rsidR="00BD7241" w:rsidRPr="009D7B6E">
        <w:rPr>
          <w:szCs w:val="20"/>
        </w:rPr>
        <w:t xml:space="preserve">Location of the BHMAR </w:t>
      </w:r>
      <w:r w:rsidR="0067778F">
        <w:rPr>
          <w:szCs w:val="20"/>
        </w:rPr>
        <w:t>p</w:t>
      </w:r>
      <w:r w:rsidR="00BD7241" w:rsidRPr="009D7B6E">
        <w:rPr>
          <w:szCs w:val="20"/>
        </w:rPr>
        <w:t xml:space="preserve">roject area (purple line) spanning a portion of the Lower Darling valley within the </w:t>
      </w:r>
      <w:smartTag w:uri="urn:schemas-microsoft-com:office:smarttags" w:element="place">
        <w:smartTag w:uri="urn:schemas-microsoft-com:office:smarttags" w:element="PlaceName">
          <w:r w:rsidR="00BD7241" w:rsidRPr="009D7B6E">
            <w:rPr>
              <w:szCs w:val="20"/>
            </w:rPr>
            <w:t>Murray</w:t>
          </w:r>
        </w:smartTag>
        <w:r w:rsidR="00BD7241" w:rsidRPr="009D7B6E">
          <w:rPr>
            <w:szCs w:val="20"/>
          </w:rPr>
          <w:t xml:space="preserve"> </w:t>
        </w:r>
        <w:smartTag w:uri="urn:schemas-microsoft-com:office:smarttags" w:element="PlaceName">
          <w:r w:rsidR="00BD7241" w:rsidRPr="009D7B6E">
            <w:rPr>
              <w:szCs w:val="20"/>
            </w:rPr>
            <w:t>Geological</w:t>
          </w:r>
        </w:smartTag>
        <w:r w:rsidR="00BD7241" w:rsidRPr="009D7B6E">
          <w:rPr>
            <w:szCs w:val="20"/>
          </w:rPr>
          <w:t xml:space="preserve"> </w:t>
        </w:r>
        <w:smartTag w:uri="urn:schemas-microsoft-com:office:smarttags" w:element="PlaceType">
          <w:r w:rsidR="00BD7241" w:rsidRPr="009D7B6E">
            <w:rPr>
              <w:szCs w:val="20"/>
            </w:rPr>
            <w:t>Basin</w:t>
          </w:r>
        </w:smartTag>
      </w:smartTag>
      <w:r w:rsidR="00BD7241" w:rsidRPr="009D7B6E">
        <w:rPr>
          <w:szCs w:val="20"/>
        </w:rPr>
        <w:t xml:space="preserve"> (green line) and the Murray-Darling river catchment area (white line).</w:t>
      </w:r>
      <w:r w:rsidR="00BE08AB" w:rsidRPr="00BE08AB">
        <w:rPr>
          <w:bCs w:val="0"/>
          <w:i w:val="0"/>
        </w:rPr>
        <w:t xml:space="preserve"> </w:t>
      </w:r>
      <w:r w:rsidR="00BE08AB" w:rsidRPr="005706E3">
        <w:rPr>
          <w:bCs w:val="0"/>
          <w:i w:val="0"/>
        </w:rPr>
        <w:fldChar w:fldCharType="begin"/>
      </w:r>
      <w:r w:rsidR="00BE08AB" w:rsidRPr="005706E3">
        <w:rPr>
          <w:bCs w:val="0"/>
          <w:i w:val="0"/>
        </w:rPr>
        <w:instrText xml:space="preserve"> TC "</w:instrText>
      </w:r>
      <w:bookmarkStart w:id="24" w:name="_Toc325975187"/>
      <w:bookmarkStart w:id="25" w:name="_Toc390690192"/>
      <w:r w:rsidR="00BE08AB">
        <w:rPr>
          <w:bCs w:val="0"/>
          <w:i w:val="0"/>
        </w:rPr>
        <w:instrText xml:space="preserve">Figure </w:instrText>
      </w:r>
      <w:r w:rsidR="0069045C">
        <w:rPr>
          <w:bCs w:val="0"/>
          <w:i w:val="0"/>
        </w:rPr>
        <w:instrText>C</w:instrText>
      </w:r>
      <w:r w:rsidR="00497AD3">
        <w:rPr>
          <w:bCs w:val="0"/>
          <w:i w:val="0"/>
        </w:rPr>
        <w:instrText>.</w:instrText>
      </w:r>
      <w:r w:rsidR="00BE08AB" w:rsidRPr="005706E3">
        <w:rPr>
          <w:bCs w:val="0"/>
          <w:i w:val="0"/>
        </w:rPr>
        <w:instrText xml:space="preserve"> </w:instrText>
      </w:r>
      <w:r w:rsidR="00666EC0" w:rsidRPr="00666EC0">
        <w:rPr>
          <w:i w:val="0"/>
          <w:szCs w:val="20"/>
        </w:rPr>
        <w:instrText xml:space="preserve">Location of the BHMAR </w:instrText>
      </w:r>
      <w:r w:rsidR="0067778F">
        <w:rPr>
          <w:i w:val="0"/>
          <w:szCs w:val="20"/>
        </w:rPr>
        <w:instrText>p</w:instrText>
      </w:r>
      <w:r w:rsidR="00666EC0" w:rsidRPr="00666EC0">
        <w:rPr>
          <w:i w:val="0"/>
          <w:szCs w:val="20"/>
        </w:rPr>
        <w:instrText>roject area</w:instrText>
      </w:r>
      <w:bookmarkEnd w:id="24"/>
      <w:bookmarkEnd w:id="25"/>
      <w:r w:rsidR="00BE08AB" w:rsidRPr="00666EC0">
        <w:rPr>
          <w:bCs w:val="0"/>
          <w:i w:val="0"/>
        </w:rPr>
        <w:instrText>" \f A</w:instrText>
      </w:r>
      <w:r w:rsidR="00BE08AB" w:rsidRPr="005706E3">
        <w:rPr>
          <w:bCs w:val="0"/>
          <w:i w:val="0"/>
        </w:rPr>
        <w:instrText xml:space="preserve"> \l “4” </w:instrText>
      </w:r>
      <w:r w:rsidR="00BE08AB" w:rsidRPr="005706E3">
        <w:rPr>
          <w:bCs w:val="0"/>
          <w:i w:val="0"/>
        </w:rPr>
        <w:fldChar w:fldCharType="end"/>
      </w:r>
    </w:p>
    <w:p w:rsidR="00BD7241" w:rsidRPr="007B6304" w:rsidRDefault="00BD7241" w:rsidP="006E52D4">
      <w:pPr>
        <w:rPr>
          <w:szCs w:val="22"/>
        </w:rPr>
      </w:pPr>
      <w:r w:rsidRPr="00513FE6">
        <w:rPr>
          <w:szCs w:val="22"/>
        </w:rPr>
        <w:lastRenderedPageBreak/>
        <w:t xml:space="preserve">The climate is semi-arid and the study area lies within a zone of uniform seasonal distribution of precipitation. Overall, annual rainfall is low with an average of between 200-250 mm/year, with high rates of evaporation exceeding 2400 mm/year. The mean daily maximum temperature at </w:t>
      </w:r>
      <w:r w:rsidR="00C217F0">
        <w:rPr>
          <w:szCs w:val="22"/>
        </w:rPr>
        <w:t xml:space="preserve">Menindee </w:t>
      </w:r>
      <w:r w:rsidRPr="00513FE6">
        <w:rPr>
          <w:szCs w:val="22"/>
        </w:rPr>
        <w:t>is 2</w:t>
      </w:r>
      <w:r w:rsidR="00590AC1">
        <w:rPr>
          <w:szCs w:val="22"/>
        </w:rPr>
        <w:t>6</w:t>
      </w:r>
      <w:r w:rsidRPr="00513FE6">
        <w:rPr>
          <w:szCs w:val="22"/>
        </w:rPr>
        <w:t>°C and the mean daily minimum is 1</w:t>
      </w:r>
      <w:r w:rsidR="00590AC1">
        <w:rPr>
          <w:szCs w:val="22"/>
        </w:rPr>
        <w:t>1</w:t>
      </w:r>
      <w:r w:rsidRPr="00513FE6">
        <w:rPr>
          <w:szCs w:val="22"/>
        </w:rPr>
        <w:t xml:space="preserve">°C. Summer maxima are commonly in excess of 35°C and temperatures may drop below zero during winter. The Darling catchment is summer-rainfall dominated </w:t>
      </w:r>
      <w:r w:rsidRPr="000B4790">
        <w:rPr>
          <w:szCs w:val="22"/>
        </w:rPr>
        <w:t>though winter-westerly</w:t>
      </w:r>
      <w:r w:rsidRPr="00513FE6">
        <w:rPr>
          <w:szCs w:val="22"/>
        </w:rPr>
        <w:t xml:space="preserve"> rainfall events can be significant and east-coast lows can occasionally deliver significant precipitation to the headwater catchments. While recent good rains have led to significant floods, these events are episodic and prolonged droughts occur. Rainfall-runoff modelling with climate-change projections from global climate models also indicate that future runoff in the region is more likely to decrease than increase. </w:t>
      </w:r>
    </w:p>
    <w:p w:rsidR="00BD7241" w:rsidRDefault="00BD7241" w:rsidP="006E52D4">
      <w:pPr>
        <w:rPr>
          <w:szCs w:val="22"/>
        </w:rPr>
      </w:pPr>
    </w:p>
    <w:p w:rsidR="00BD7241" w:rsidRDefault="00BD7241" w:rsidP="006E52D4">
      <w:pPr>
        <w:rPr>
          <w:szCs w:val="22"/>
        </w:rPr>
      </w:pPr>
      <w:r w:rsidRPr="00D869F2">
        <w:rPr>
          <w:szCs w:val="22"/>
        </w:rPr>
        <w:t xml:space="preserve">The principal </w:t>
      </w:r>
      <w:r w:rsidR="00593B52">
        <w:rPr>
          <w:szCs w:val="22"/>
        </w:rPr>
        <w:t>distributaries</w:t>
      </w:r>
      <w:r w:rsidR="00593B52" w:rsidRPr="00D869F2">
        <w:rPr>
          <w:szCs w:val="22"/>
        </w:rPr>
        <w:t xml:space="preserve"> </w:t>
      </w:r>
      <w:r w:rsidRPr="00D869F2">
        <w:rPr>
          <w:szCs w:val="22"/>
        </w:rPr>
        <w:t xml:space="preserve">in the </w:t>
      </w:r>
      <w:r w:rsidR="00593B52">
        <w:rPr>
          <w:szCs w:val="22"/>
        </w:rPr>
        <w:t xml:space="preserve">Lower Darling </w:t>
      </w:r>
      <w:r w:rsidRPr="00D869F2">
        <w:rPr>
          <w:szCs w:val="22"/>
        </w:rPr>
        <w:t xml:space="preserve">floodplain </w:t>
      </w:r>
      <w:r>
        <w:rPr>
          <w:szCs w:val="22"/>
        </w:rPr>
        <w:t xml:space="preserve">study area </w:t>
      </w:r>
      <w:r w:rsidRPr="00D869F2">
        <w:rPr>
          <w:szCs w:val="22"/>
        </w:rPr>
        <w:t xml:space="preserve">are the </w:t>
      </w:r>
      <w:smartTag w:uri="urn:schemas-microsoft-com:office:smarttags" w:element="place">
        <w:r w:rsidRPr="00D869F2">
          <w:rPr>
            <w:szCs w:val="22"/>
          </w:rPr>
          <w:t>Darling River</w:t>
        </w:r>
      </w:smartTag>
      <w:r w:rsidRPr="00D869F2">
        <w:rPr>
          <w:szCs w:val="22"/>
        </w:rPr>
        <w:t>, Talyawalka</w:t>
      </w:r>
      <w:r>
        <w:rPr>
          <w:szCs w:val="22"/>
        </w:rPr>
        <w:t xml:space="preserve"> Creek</w:t>
      </w:r>
      <w:r w:rsidRPr="00D869F2">
        <w:rPr>
          <w:szCs w:val="22"/>
        </w:rPr>
        <w:t xml:space="preserve"> and </w:t>
      </w:r>
      <w:r>
        <w:rPr>
          <w:szCs w:val="22"/>
        </w:rPr>
        <w:t>t</w:t>
      </w:r>
      <w:r w:rsidRPr="00D869F2">
        <w:rPr>
          <w:szCs w:val="22"/>
        </w:rPr>
        <w:t xml:space="preserve">he </w:t>
      </w:r>
      <w:r>
        <w:rPr>
          <w:szCs w:val="22"/>
        </w:rPr>
        <w:t xml:space="preserve">Great </w:t>
      </w:r>
      <w:r w:rsidRPr="00D869F2">
        <w:rPr>
          <w:szCs w:val="22"/>
        </w:rPr>
        <w:t xml:space="preserve">Darling Anabranch. </w:t>
      </w:r>
      <w:r w:rsidRPr="00BA586E">
        <w:rPr>
          <w:szCs w:val="22"/>
        </w:rPr>
        <w:t xml:space="preserve">The </w:t>
      </w:r>
      <w:smartTag w:uri="urn:schemas-microsoft-com:office:smarttags" w:element="place">
        <w:r w:rsidRPr="00BA586E">
          <w:rPr>
            <w:szCs w:val="22"/>
          </w:rPr>
          <w:t>Darling River</w:t>
        </w:r>
      </w:smartTag>
      <w:r w:rsidRPr="00501DEC">
        <w:rPr>
          <w:szCs w:val="22"/>
        </w:rPr>
        <w:t xml:space="preserve"> is typical of rivers in semi-arid regions, displaying a high degree of hydrological variability linked to the extremes of climate cycles expressed as episodic floods and drought. </w:t>
      </w:r>
      <w:r w:rsidRPr="00752DBB">
        <w:rPr>
          <w:szCs w:val="22"/>
        </w:rPr>
        <w:t xml:space="preserve">The </w:t>
      </w:r>
      <w:smartTag w:uri="urn:schemas-microsoft-com:office:smarttags" w:element="place">
        <w:r w:rsidRPr="00752DBB">
          <w:rPr>
            <w:szCs w:val="22"/>
          </w:rPr>
          <w:t>Darling</w:t>
        </w:r>
        <w:r w:rsidR="007312EC">
          <w:rPr>
            <w:szCs w:val="22"/>
          </w:rPr>
          <w:t xml:space="preserve"> River</w:t>
        </w:r>
      </w:smartTag>
      <w:r w:rsidRPr="00752DBB">
        <w:rPr>
          <w:szCs w:val="22"/>
        </w:rPr>
        <w:t xml:space="preserve"> has been substantially modified by regulation and diversions for irri</w:t>
      </w:r>
      <w:smartTag w:uri="urn:schemas-microsoft-com:office:smarttags" w:element="PersonName">
        <w:r w:rsidRPr="00752DBB">
          <w:rPr>
            <w:szCs w:val="22"/>
          </w:rPr>
          <w:t>ga</w:t>
        </w:r>
      </w:smartTag>
      <w:r w:rsidRPr="00752DBB">
        <w:rPr>
          <w:szCs w:val="22"/>
        </w:rPr>
        <w:t>tion and urban water supplies, with substantive reductions in river flow over the past 100 years</w:t>
      </w:r>
      <w:r>
        <w:rPr>
          <w:szCs w:val="22"/>
        </w:rPr>
        <w:t xml:space="preserve">. </w:t>
      </w:r>
      <w:r w:rsidRPr="00752DBB">
        <w:rPr>
          <w:szCs w:val="22"/>
        </w:rPr>
        <w:t>Overall, w</w:t>
      </w:r>
      <w:r w:rsidRPr="00513FE6">
        <w:rPr>
          <w:szCs w:val="22"/>
        </w:rPr>
        <w:t xml:space="preserve">ater resource development has contributed to more than trebling the average period between flooding of the Lower Darling River and the </w:t>
      </w:r>
      <w:smartTag w:uri="urn:schemas-microsoft-com:office:smarttags" w:element="place">
        <w:smartTag w:uri="urn:schemas-microsoft-com:office:smarttags" w:element="PlaceName">
          <w:r w:rsidRPr="00513FE6">
            <w:rPr>
              <w:szCs w:val="22"/>
            </w:rPr>
            <w:t>Darling</w:t>
          </w:r>
        </w:smartTag>
        <w:r w:rsidRPr="00513FE6">
          <w:rPr>
            <w:szCs w:val="22"/>
          </w:rPr>
          <w:t xml:space="preserve"> </w:t>
        </w:r>
        <w:smartTag w:uri="urn:schemas-microsoft-com:office:smarttags" w:element="PlaceName">
          <w:r w:rsidRPr="00513FE6">
            <w:rPr>
              <w:szCs w:val="22"/>
            </w:rPr>
            <w:t>Anabranch</w:t>
          </w:r>
        </w:smartTag>
        <w:r w:rsidRPr="00513FE6">
          <w:rPr>
            <w:szCs w:val="22"/>
          </w:rPr>
          <w:t xml:space="preserve"> </w:t>
        </w:r>
        <w:smartTag w:uri="urn:schemas-microsoft-com:office:smarttags" w:element="PlaceType">
          <w:r w:rsidRPr="00513FE6">
            <w:rPr>
              <w:szCs w:val="22"/>
            </w:rPr>
            <w:t>Lakes</w:t>
          </w:r>
        </w:smartTag>
      </w:smartTag>
      <w:r w:rsidR="004944C5">
        <w:rPr>
          <w:szCs w:val="22"/>
        </w:rPr>
        <w:t xml:space="preserve">. </w:t>
      </w:r>
      <w:r w:rsidRPr="00501DEC">
        <w:rPr>
          <w:szCs w:val="22"/>
        </w:rPr>
        <w:t>These changes in hydrologic regime are likely to have impacted significantly on the river and its associated floodplain, wetlands and lakes, with implications also for recharge dynamics.</w:t>
      </w:r>
      <w:r w:rsidRPr="0030328B">
        <w:rPr>
          <w:szCs w:val="22"/>
        </w:rPr>
        <w:t xml:space="preserve"> </w:t>
      </w:r>
    </w:p>
    <w:p w:rsidR="00F9160A" w:rsidRDefault="00F9160A" w:rsidP="00513FE6">
      <w:pPr>
        <w:rPr>
          <w:szCs w:val="22"/>
        </w:rPr>
      </w:pPr>
    </w:p>
    <w:p w:rsidR="002A34F0" w:rsidRDefault="00BD7241" w:rsidP="00513FE6">
      <w:pPr>
        <w:rPr>
          <w:szCs w:val="22"/>
        </w:rPr>
      </w:pPr>
      <w:r w:rsidRPr="00513FE6">
        <w:rPr>
          <w:szCs w:val="22"/>
        </w:rPr>
        <w:t xml:space="preserve">Within the study area, the </w:t>
      </w:r>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r w:rsidRPr="00513FE6">
        <w:rPr>
          <w:szCs w:val="22"/>
        </w:rPr>
        <w:t xml:space="preserve"> are the most prominent surface water bodies, consisting of a complex series of natural ephemeral flood-out lakes and wetlands along the </w:t>
      </w:r>
      <w:smartTag w:uri="urn:schemas-microsoft-com:office:smarttags" w:element="place">
        <w:r w:rsidRPr="00513FE6">
          <w:rPr>
            <w:szCs w:val="22"/>
          </w:rPr>
          <w:t>Darling River</w:t>
        </w:r>
      </w:smartTag>
      <w:r w:rsidRPr="00513FE6">
        <w:rPr>
          <w:szCs w:val="22"/>
        </w:rPr>
        <w:t xml:space="preserve">. The lake system includes three large lakes (Pamamaroo, </w:t>
      </w:r>
      <w:r w:rsidR="0092647E">
        <w:rPr>
          <w:szCs w:val="22"/>
        </w:rPr>
        <w:t>Menindee</w:t>
      </w:r>
      <w:r w:rsidRPr="00513FE6">
        <w:rPr>
          <w:szCs w:val="22"/>
        </w:rPr>
        <w:t>, and Caw</w:t>
      </w:r>
      <w:r w:rsidR="00513FE6">
        <w:rPr>
          <w:szCs w:val="22"/>
        </w:rPr>
        <w:t>ndilla) and seven small lakes (</w:t>
      </w:r>
      <w:smartTag w:uri="urn:schemas-microsoft-com:office:smarttags" w:element="place">
        <w:smartTag w:uri="urn:schemas-microsoft-com:office:smarttags" w:element="country-region">
          <w:r w:rsidRPr="00513FE6">
            <w:rPr>
              <w:szCs w:val="22"/>
            </w:rPr>
            <w:t>Malta</w:t>
          </w:r>
        </w:smartTag>
      </w:smartTag>
      <w:r w:rsidR="00971C9D">
        <w:rPr>
          <w:szCs w:val="22"/>
        </w:rPr>
        <w:t>, Balaka, Bijiji</w:t>
      </w:r>
      <w:r w:rsidRPr="00513FE6">
        <w:rPr>
          <w:szCs w:val="22"/>
        </w:rPr>
        <w:t>, Tandure, Specu</w:t>
      </w:r>
      <w:r w:rsidR="004944C5">
        <w:rPr>
          <w:szCs w:val="22"/>
        </w:rPr>
        <w:t>lation, Eurobili, and Spectacle</w:t>
      </w:r>
      <w:r w:rsidRPr="00513FE6">
        <w:rPr>
          <w:szCs w:val="22"/>
        </w:rPr>
        <w:t xml:space="preserve">). In 1949, the NSW Government initiated construction of the </w:t>
      </w:r>
      <w:r w:rsidR="007D1583">
        <w:rPr>
          <w:szCs w:val="22"/>
        </w:rPr>
        <w:t>Menindee Lakes</w:t>
      </w:r>
      <w:r w:rsidRPr="00513FE6">
        <w:rPr>
          <w:szCs w:val="22"/>
        </w:rPr>
        <w:t xml:space="preserve"> Storage (MLS) by regulating the natural ephemeral lakes and the </w:t>
      </w:r>
      <w:smartTag w:uri="urn:schemas-microsoft-com:office:smarttags" w:element="place">
        <w:r w:rsidRPr="00513FE6">
          <w:rPr>
            <w:szCs w:val="22"/>
          </w:rPr>
          <w:t>Darling River</w:t>
        </w:r>
      </w:smartTag>
      <w:r w:rsidRPr="00513FE6">
        <w:rPr>
          <w:szCs w:val="22"/>
        </w:rPr>
        <w:t xml:space="preserve"> by a series of weirs, regulators, channels and levees. Construction was completed by 1960 with some upgrades occurring in 1968. </w:t>
      </w:r>
      <w:r w:rsidRPr="00BA586E">
        <w:rPr>
          <w:szCs w:val="22"/>
        </w:rPr>
        <w:t>The MLS have a combined surface area of 463 km</w:t>
      </w:r>
      <w:r w:rsidRPr="00B33329">
        <w:rPr>
          <w:szCs w:val="22"/>
          <w:vertAlign w:val="superscript"/>
        </w:rPr>
        <w:t>2</w:t>
      </w:r>
      <w:r w:rsidRPr="00BA586E">
        <w:rPr>
          <w:szCs w:val="22"/>
        </w:rPr>
        <w:t xml:space="preserve"> and a total storage capacity of 1750 GL</w:t>
      </w:r>
      <w:r w:rsidR="00070183">
        <w:rPr>
          <w:rStyle w:val="FootnoteReference"/>
          <w:szCs w:val="22"/>
        </w:rPr>
        <w:footnoteReference w:id="1"/>
      </w:r>
      <w:r w:rsidRPr="00BA586E">
        <w:rPr>
          <w:szCs w:val="22"/>
        </w:rPr>
        <w:t>, although this can be increased to 2050 GL under certain flow conditions, when the lakes are surcharged.</w:t>
      </w:r>
      <w:r>
        <w:rPr>
          <w:szCs w:val="22"/>
        </w:rPr>
        <w:t xml:space="preserve"> </w:t>
      </w:r>
    </w:p>
    <w:p w:rsidR="002A34F0" w:rsidRDefault="002A34F0" w:rsidP="00513FE6">
      <w:pPr>
        <w:rPr>
          <w:szCs w:val="22"/>
        </w:rPr>
      </w:pPr>
    </w:p>
    <w:p w:rsidR="00BD7241" w:rsidRDefault="00BD7241" w:rsidP="00513FE6">
      <w:pPr>
        <w:rPr>
          <w:szCs w:val="22"/>
        </w:rPr>
      </w:pPr>
      <w:r>
        <w:rPr>
          <w:szCs w:val="22"/>
        </w:rPr>
        <w:t xml:space="preserve">The MLS was created with the </w:t>
      </w:r>
      <w:r w:rsidRPr="00BA586E">
        <w:rPr>
          <w:szCs w:val="22"/>
        </w:rPr>
        <w:t>original intention of</w:t>
      </w:r>
      <w:r>
        <w:rPr>
          <w:szCs w:val="22"/>
        </w:rPr>
        <w:t xml:space="preserve"> p</w:t>
      </w:r>
      <w:r w:rsidRPr="00BA586E">
        <w:rPr>
          <w:szCs w:val="22"/>
        </w:rPr>
        <w:t>roviding Broken Hill with a reliable water supply</w:t>
      </w:r>
      <w:r>
        <w:rPr>
          <w:szCs w:val="22"/>
        </w:rPr>
        <w:t xml:space="preserve">; </w:t>
      </w:r>
      <w:smartTag w:uri="urn:schemas-microsoft-com:office:smarttags" w:element="place">
        <w:smartTag w:uri="urn:schemas-microsoft-com:office:smarttags" w:element="State">
          <w:r w:rsidRPr="00BA586E">
            <w:rPr>
              <w:szCs w:val="22"/>
            </w:rPr>
            <w:t>South Australia</w:t>
          </w:r>
        </w:smartTag>
      </w:smartTag>
      <w:r w:rsidRPr="00BA586E">
        <w:rPr>
          <w:szCs w:val="22"/>
        </w:rPr>
        <w:t xml:space="preserve"> </w:t>
      </w:r>
      <w:r>
        <w:rPr>
          <w:szCs w:val="22"/>
        </w:rPr>
        <w:t xml:space="preserve">with water </w:t>
      </w:r>
      <w:r w:rsidRPr="00BA586E">
        <w:rPr>
          <w:szCs w:val="22"/>
        </w:rPr>
        <w:t>during dry periods</w:t>
      </w:r>
      <w:r>
        <w:rPr>
          <w:szCs w:val="22"/>
        </w:rPr>
        <w:t>;</w:t>
      </w:r>
      <w:r w:rsidRPr="00BA586E">
        <w:rPr>
          <w:szCs w:val="22"/>
        </w:rPr>
        <w:t xml:space="preserve"> water for irrigation between </w:t>
      </w:r>
      <w:r w:rsidR="00C217F0">
        <w:rPr>
          <w:szCs w:val="22"/>
        </w:rPr>
        <w:t xml:space="preserve">Menindee </w:t>
      </w:r>
      <w:r w:rsidRPr="00BA586E">
        <w:rPr>
          <w:szCs w:val="22"/>
        </w:rPr>
        <w:t>and Wentworth</w:t>
      </w:r>
      <w:r>
        <w:rPr>
          <w:szCs w:val="22"/>
        </w:rPr>
        <w:t>;</w:t>
      </w:r>
      <w:r w:rsidRPr="00BA586E">
        <w:rPr>
          <w:szCs w:val="22"/>
        </w:rPr>
        <w:t xml:space="preserve"> </w:t>
      </w:r>
      <w:r>
        <w:rPr>
          <w:szCs w:val="22"/>
        </w:rPr>
        <w:t xml:space="preserve">and meeting </w:t>
      </w:r>
      <w:r w:rsidRPr="00BA586E">
        <w:rPr>
          <w:szCs w:val="22"/>
        </w:rPr>
        <w:t xml:space="preserve">stock and domestic water </w:t>
      </w:r>
      <w:r>
        <w:rPr>
          <w:szCs w:val="22"/>
        </w:rPr>
        <w:t xml:space="preserve">needs </w:t>
      </w:r>
      <w:r w:rsidRPr="00BA586E">
        <w:rPr>
          <w:szCs w:val="22"/>
        </w:rPr>
        <w:t>for landholders on the Great Darling Anabranch.</w:t>
      </w:r>
      <w:r>
        <w:rPr>
          <w:szCs w:val="22"/>
        </w:rPr>
        <w:t xml:space="preserve"> </w:t>
      </w:r>
      <w:r w:rsidRPr="00BA586E">
        <w:rPr>
          <w:szCs w:val="22"/>
        </w:rPr>
        <w:t>Although not designed specifically for the p</w:t>
      </w:r>
      <w:r>
        <w:rPr>
          <w:szCs w:val="22"/>
        </w:rPr>
        <w:t>urpose, the scheme also provides</w:t>
      </w:r>
      <w:r w:rsidRPr="00BA586E">
        <w:rPr>
          <w:szCs w:val="22"/>
        </w:rPr>
        <w:t xml:space="preserve"> for some flood mitigation downstream of </w:t>
      </w:r>
      <w:r w:rsidR="00C217F0">
        <w:rPr>
          <w:szCs w:val="22"/>
        </w:rPr>
        <w:t xml:space="preserve">Menindee </w:t>
      </w:r>
      <w:r w:rsidRPr="00BA586E">
        <w:rPr>
          <w:szCs w:val="22"/>
        </w:rPr>
        <w:t xml:space="preserve">by a pre-release strategy to manage the height and duration of floods. </w:t>
      </w:r>
    </w:p>
    <w:p w:rsidR="006E52D4" w:rsidRDefault="006E52D4" w:rsidP="00513FE6">
      <w:pPr>
        <w:rPr>
          <w:szCs w:val="22"/>
        </w:rPr>
      </w:pPr>
    </w:p>
    <w:p w:rsidR="00BD7241" w:rsidRDefault="00BD7241" w:rsidP="00513FE6">
      <w:pPr>
        <w:rPr>
          <w:szCs w:val="22"/>
        </w:rPr>
      </w:pPr>
      <w:r w:rsidRPr="00BA586E">
        <w:rPr>
          <w:szCs w:val="22"/>
        </w:rPr>
        <w:t>While meeting essential water supply needs for communities and irrigators, a number of environmentally adverse outcomes from the operation of the MLS have been recognised</w:t>
      </w:r>
      <w:r w:rsidR="004944C5">
        <w:rPr>
          <w:szCs w:val="22"/>
        </w:rPr>
        <w:t>, in addition to the high evaporative losses. M</w:t>
      </w:r>
      <w:r w:rsidRPr="00BA586E">
        <w:rPr>
          <w:szCs w:val="22"/>
        </w:rPr>
        <w:t xml:space="preserve">ore than 99% of the wetlands that comprise the lakes and floodplain of the </w:t>
      </w:r>
      <w:smartTag w:uri="urn:schemas-microsoft-com:office:smarttags" w:element="stockticker">
        <w:r w:rsidRPr="00BA586E">
          <w:rPr>
            <w:szCs w:val="22"/>
          </w:rPr>
          <w:t>MLS</w:t>
        </w:r>
      </w:smartTag>
      <w:r w:rsidRPr="00BA586E">
        <w:rPr>
          <w:szCs w:val="22"/>
        </w:rPr>
        <w:t xml:space="preserve"> are degraded by </w:t>
      </w:r>
      <w:r w:rsidR="004944C5">
        <w:rPr>
          <w:szCs w:val="22"/>
        </w:rPr>
        <w:t xml:space="preserve">too much or too little flooding, although </w:t>
      </w:r>
      <w:r w:rsidRPr="00BA586E">
        <w:rPr>
          <w:szCs w:val="22"/>
        </w:rPr>
        <w:t xml:space="preserve">the </w:t>
      </w:r>
      <w:r>
        <w:rPr>
          <w:szCs w:val="22"/>
        </w:rPr>
        <w:t>MLS</w:t>
      </w:r>
      <w:r w:rsidRPr="00BA586E">
        <w:rPr>
          <w:szCs w:val="22"/>
        </w:rPr>
        <w:t xml:space="preserve"> are still identifie</w:t>
      </w:r>
      <w:r w:rsidR="00513FE6">
        <w:rPr>
          <w:szCs w:val="22"/>
        </w:rPr>
        <w:t xml:space="preserve">d as important environmental, cultural </w:t>
      </w:r>
      <w:r w:rsidR="002A34F0">
        <w:rPr>
          <w:szCs w:val="22"/>
        </w:rPr>
        <w:t xml:space="preserve">and recreational </w:t>
      </w:r>
      <w:r w:rsidRPr="00BA586E">
        <w:rPr>
          <w:szCs w:val="22"/>
        </w:rPr>
        <w:t>a</w:t>
      </w:r>
      <w:r>
        <w:rPr>
          <w:szCs w:val="22"/>
        </w:rPr>
        <w:t>sset</w:t>
      </w:r>
      <w:r w:rsidR="00513FE6">
        <w:rPr>
          <w:szCs w:val="22"/>
        </w:rPr>
        <w:t>s</w:t>
      </w:r>
      <w:r>
        <w:rPr>
          <w:szCs w:val="22"/>
        </w:rPr>
        <w:t xml:space="preserve"> in the semi-arid environment. </w:t>
      </w:r>
    </w:p>
    <w:p w:rsidR="00F91116" w:rsidRPr="00DD1E35" w:rsidRDefault="0058082B" w:rsidP="001440A3">
      <w:pPr>
        <w:spacing w:before="320" w:after="120"/>
        <w:rPr>
          <w:b/>
          <w:color w:val="3366FF"/>
          <w:sz w:val="32"/>
          <w:szCs w:val="32"/>
          <w:lang w:eastAsia="en-US"/>
        </w:rPr>
      </w:pPr>
      <w:r>
        <w:rPr>
          <w:b/>
          <w:color w:val="3366FF"/>
          <w:sz w:val="32"/>
          <w:szCs w:val="32"/>
          <w:lang w:eastAsia="en-US"/>
        </w:rPr>
        <w:t xml:space="preserve">NEW SCIENTIFIC </w:t>
      </w:r>
      <w:r w:rsidR="002F7F6A" w:rsidRPr="00DD1E35">
        <w:rPr>
          <w:b/>
          <w:color w:val="3366FF"/>
          <w:sz w:val="32"/>
          <w:szCs w:val="32"/>
          <w:lang w:eastAsia="en-US"/>
        </w:rPr>
        <w:t xml:space="preserve">INVESTIGATIONS </w:t>
      </w:r>
    </w:p>
    <w:p w:rsidR="002A5B04" w:rsidRDefault="00E158E2" w:rsidP="002A5B04">
      <w:pPr>
        <w:rPr>
          <w:szCs w:val="22"/>
        </w:rPr>
      </w:pPr>
      <w:r w:rsidRPr="00E158E2">
        <w:rPr>
          <w:szCs w:val="22"/>
        </w:rPr>
        <w:t xml:space="preserve">In the </w:t>
      </w:r>
      <w:r>
        <w:rPr>
          <w:szCs w:val="22"/>
        </w:rPr>
        <w:t>BHMAR study</w:t>
      </w:r>
      <w:r w:rsidRPr="00E158E2">
        <w:rPr>
          <w:szCs w:val="22"/>
        </w:rPr>
        <w:t xml:space="preserve">, an initial scoping study concluded that despite </w:t>
      </w:r>
      <w:r w:rsidR="001E44D8">
        <w:rPr>
          <w:szCs w:val="22"/>
        </w:rPr>
        <w:t>a</w:t>
      </w:r>
      <w:r w:rsidRPr="00E158E2">
        <w:rPr>
          <w:szCs w:val="22"/>
        </w:rPr>
        <w:t xml:space="preserve"> paucity of </w:t>
      </w:r>
      <w:r w:rsidR="001E44D8">
        <w:rPr>
          <w:szCs w:val="22"/>
        </w:rPr>
        <w:t xml:space="preserve">hydrogeological data, there was </w:t>
      </w:r>
      <w:r w:rsidR="004944C5">
        <w:rPr>
          <w:szCs w:val="22"/>
        </w:rPr>
        <w:t xml:space="preserve">potential to discover </w:t>
      </w:r>
      <w:r w:rsidR="001E44D8">
        <w:rPr>
          <w:szCs w:val="22"/>
        </w:rPr>
        <w:t>significant groundwater resource</w:t>
      </w:r>
      <w:r w:rsidR="004944C5">
        <w:rPr>
          <w:szCs w:val="22"/>
        </w:rPr>
        <w:t>s</w:t>
      </w:r>
      <w:r w:rsidR="001E44D8">
        <w:rPr>
          <w:szCs w:val="22"/>
        </w:rPr>
        <w:t xml:space="preserve"> and </w:t>
      </w:r>
      <w:r w:rsidR="004944C5">
        <w:rPr>
          <w:szCs w:val="22"/>
        </w:rPr>
        <w:t xml:space="preserve">identify </w:t>
      </w:r>
      <w:r w:rsidR="001E44D8">
        <w:rPr>
          <w:szCs w:val="22"/>
        </w:rPr>
        <w:t xml:space="preserve">MAR </w:t>
      </w:r>
      <w:r w:rsidR="004944C5">
        <w:rPr>
          <w:szCs w:val="22"/>
        </w:rPr>
        <w:t>opportunities</w:t>
      </w:r>
      <w:r w:rsidRPr="00E158E2">
        <w:rPr>
          <w:szCs w:val="22"/>
        </w:rPr>
        <w:t xml:space="preserve"> in the area, with target aquifers at depths of between 0 and </w:t>
      </w:r>
      <w:r w:rsidR="002A5B04">
        <w:rPr>
          <w:szCs w:val="22"/>
        </w:rPr>
        <w:t>250</w:t>
      </w:r>
      <w:r w:rsidR="00AF0556">
        <w:rPr>
          <w:szCs w:val="22"/>
        </w:rPr>
        <w:t xml:space="preserve"> </w:t>
      </w:r>
      <w:r w:rsidRPr="00E158E2">
        <w:rPr>
          <w:szCs w:val="22"/>
        </w:rPr>
        <w:t xml:space="preserve">m. </w:t>
      </w:r>
      <w:r w:rsidR="002A5B04">
        <w:rPr>
          <w:szCs w:val="22"/>
        </w:rPr>
        <w:t xml:space="preserve">A data acquisition program was designed to map and assess groundwater resources and MAR opportunities in </w:t>
      </w:r>
      <w:r w:rsidR="001C0090">
        <w:rPr>
          <w:szCs w:val="22"/>
        </w:rPr>
        <w:t>four</w:t>
      </w:r>
      <w:r w:rsidR="002A5B04">
        <w:rPr>
          <w:szCs w:val="22"/>
        </w:rPr>
        <w:t xml:space="preserve"> main aquifers:</w:t>
      </w:r>
    </w:p>
    <w:p w:rsidR="002A5B04" w:rsidRPr="00EA296E" w:rsidRDefault="002A5B04" w:rsidP="002A5B04">
      <w:pPr>
        <w:numPr>
          <w:ilvl w:val="1"/>
          <w:numId w:val="50"/>
        </w:numPr>
        <w:spacing w:before="40"/>
        <w:rPr>
          <w:szCs w:val="22"/>
        </w:rPr>
      </w:pPr>
      <w:r w:rsidRPr="00EA296E">
        <w:rPr>
          <w:szCs w:val="22"/>
        </w:rPr>
        <w:t>Shallow (0-30</w:t>
      </w:r>
      <w:r w:rsidR="00AF0556">
        <w:rPr>
          <w:szCs w:val="22"/>
        </w:rPr>
        <w:t xml:space="preserve"> </w:t>
      </w:r>
      <w:r w:rsidRPr="00EA296E">
        <w:rPr>
          <w:szCs w:val="22"/>
        </w:rPr>
        <w:t xml:space="preserve">m) alluvial (unconfined) </w:t>
      </w:r>
      <w:r>
        <w:rPr>
          <w:szCs w:val="22"/>
        </w:rPr>
        <w:t xml:space="preserve">sand </w:t>
      </w:r>
      <w:r w:rsidRPr="00EA296E">
        <w:rPr>
          <w:szCs w:val="22"/>
        </w:rPr>
        <w:t xml:space="preserve">aquifers associated with the </w:t>
      </w:r>
      <w:smartTag w:uri="urn:schemas-microsoft-com:office:smarttags" w:element="place">
        <w:r w:rsidRPr="00EA296E">
          <w:rPr>
            <w:szCs w:val="22"/>
          </w:rPr>
          <w:t>Darling River</w:t>
        </w:r>
      </w:smartTag>
      <w:r w:rsidRPr="00EA296E">
        <w:rPr>
          <w:szCs w:val="22"/>
        </w:rPr>
        <w:t xml:space="preserve"> and its </w:t>
      </w:r>
      <w:r w:rsidR="00236B51">
        <w:rPr>
          <w:szCs w:val="22"/>
        </w:rPr>
        <w:t xml:space="preserve">distributaries </w:t>
      </w:r>
      <w:r>
        <w:rPr>
          <w:szCs w:val="22"/>
        </w:rPr>
        <w:t>(</w:t>
      </w:r>
      <w:r w:rsidR="00C217F0">
        <w:rPr>
          <w:szCs w:val="22"/>
        </w:rPr>
        <w:t>Coonambidgal Formation</w:t>
      </w:r>
      <w:r>
        <w:rPr>
          <w:szCs w:val="22"/>
        </w:rPr>
        <w:t xml:space="preserve"> and</w:t>
      </w:r>
      <w:r w:rsidR="00C0765F">
        <w:rPr>
          <w:szCs w:val="22"/>
        </w:rPr>
        <w:t xml:space="preserve"> </w:t>
      </w:r>
      <w:r w:rsidR="00C217F0">
        <w:rPr>
          <w:szCs w:val="22"/>
        </w:rPr>
        <w:t>Menindee Formation</w:t>
      </w:r>
      <w:r w:rsidR="00C0765F">
        <w:rPr>
          <w:szCs w:val="22"/>
        </w:rPr>
        <w:t>s).</w:t>
      </w:r>
    </w:p>
    <w:p w:rsidR="002A5B04" w:rsidRPr="00EA296E" w:rsidRDefault="002A5B04" w:rsidP="002A5B04">
      <w:pPr>
        <w:numPr>
          <w:ilvl w:val="1"/>
          <w:numId w:val="50"/>
        </w:numPr>
        <w:spacing w:before="40"/>
        <w:rPr>
          <w:szCs w:val="22"/>
        </w:rPr>
      </w:pPr>
      <w:r w:rsidRPr="00EA296E">
        <w:rPr>
          <w:szCs w:val="22"/>
        </w:rPr>
        <w:t>Intermediate depth (30-100</w:t>
      </w:r>
      <w:r w:rsidR="00AF0556">
        <w:rPr>
          <w:szCs w:val="22"/>
        </w:rPr>
        <w:t xml:space="preserve"> </w:t>
      </w:r>
      <w:r w:rsidRPr="00EA296E">
        <w:rPr>
          <w:szCs w:val="22"/>
        </w:rPr>
        <w:t xml:space="preserve">m) Pliocene </w:t>
      </w:r>
      <w:r w:rsidR="00C217F0">
        <w:rPr>
          <w:szCs w:val="22"/>
        </w:rPr>
        <w:t>Calivil Formation</w:t>
      </w:r>
      <w:r w:rsidRPr="00EA296E">
        <w:rPr>
          <w:szCs w:val="22"/>
        </w:rPr>
        <w:t xml:space="preserve"> </w:t>
      </w:r>
      <w:r w:rsidR="00343466">
        <w:rPr>
          <w:szCs w:val="22"/>
        </w:rPr>
        <w:t xml:space="preserve">and Loxton-Parilla Sands </w:t>
      </w:r>
      <w:r w:rsidR="00343466" w:rsidRPr="00EA296E">
        <w:rPr>
          <w:szCs w:val="22"/>
        </w:rPr>
        <w:t xml:space="preserve">(semi-confined to confined) </w:t>
      </w:r>
      <w:r w:rsidRPr="00EA296E">
        <w:rPr>
          <w:szCs w:val="22"/>
        </w:rPr>
        <w:t>aquifers</w:t>
      </w:r>
      <w:r>
        <w:rPr>
          <w:szCs w:val="22"/>
        </w:rPr>
        <w:t>. These were the primary</w:t>
      </w:r>
      <w:r w:rsidRPr="00EA296E">
        <w:rPr>
          <w:szCs w:val="22"/>
        </w:rPr>
        <w:t xml:space="preserve"> target. </w:t>
      </w:r>
    </w:p>
    <w:p w:rsidR="002A5B04" w:rsidRDefault="002A5B04" w:rsidP="002A5B04">
      <w:pPr>
        <w:numPr>
          <w:ilvl w:val="1"/>
          <w:numId w:val="50"/>
        </w:numPr>
        <w:spacing w:before="40"/>
        <w:rPr>
          <w:szCs w:val="22"/>
        </w:rPr>
      </w:pPr>
      <w:r w:rsidRPr="00EA296E">
        <w:rPr>
          <w:szCs w:val="22"/>
        </w:rPr>
        <w:t>Deeper level (1</w:t>
      </w:r>
      <w:r>
        <w:rPr>
          <w:szCs w:val="22"/>
        </w:rPr>
        <w:t>8</w:t>
      </w:r>
      <w:r w:rsidRPr="00EA296E">
        <w:rPr>
          <w:szCs w:val="22"/>
        </w:rPr>
        <w:t>0-</w:t>
      </w:r>
      <w:r>
        <w:rPr>
          <w:szCs w:val="22"/>
        </w:rPr>
        <w:t>250</w:t>
      </w:r>
      <w:r w:rsidR="00AF0556">
        <w:rPr>
          <w:szCs w:val="22"/>
        </w:rPr>
        <w:t xml:space="preserve"> </w:t>
      </w:r>
      <w:r w:rsidRPr="00EA296E">
        <w:rPr>
          <w:szCs w:val="22"/>
        </w:rPr>
        <w:t xml:space="preserve">m) </w:t>
      </w:r>
      <w:r w:rsidR="00C217F0">
        <w:rPr>
          <w:szCs w:val="22"/>
        </w:rPr>
        <w:t>Renmark Group</w:t>
      </w:r>
      <w:r w:rsidRPr="00EA296E">
        <w:rPr>
          <w:szCs w:val="22"/>
        </w:rPr>
        <w:t xml:space="preserve"> Formation (confined) aquifers</w:t>
      </w:r>
      <w:r w:rsidR="00C0765F">
        <w:rPr>
          <w:szCs w:val="22"/>
        </w:rPr>
        <w:t>.</w:t>
      </w:r>
    </w:p>
    <w:p w:rsidR="002A5B04" w:rsidRDefault="002A5B04" w:rsidP="002A5B04">
      <w:pPr>
        <w:numPr>
          <w:ilvl w:val="1"/>
          <w:numId w:val="50"/>
        </w:numPr>
        <w:spacing w:before="40"/>
        <w:rPr>
          <w:szCs w:val="22"/>
        </w:rPr>
      </w:pPr>
      <w:r>
        <w:rPr>
          <w:szCs w:val="22"/>
        </w:rPr>
        <w:lastRenderedPageBreak/>
        <w:t>Shallow (&lt;100</w:t>
      </w:r>
      <w:r w:rsidR="00030542">
        <w:rPr>
          <w:szCs w:val="22"/>
        </w:rPr>
        <w:t xml:space="preserve"> </w:t>
      </w:r>
      <w:r>
        <w:rPr>
          <w:szCs w:val="22"/>
        </w:rPr>
        <w:t>m) Palaeozoic (Devonian</w:t>
      </w:r>
      <w:r w:rsidR="00343466">
        <w:rPr>
          <w:szCs w:val="22"/>
        </w:rPr>
        <w:t xml:space="preserve"> and older</w:t>
      </w:r>
      <w:r>
        <w:rPr>
          <w:szCs w:val="22"/>
        </w:rPr>
        <w:t>) basement</w:t>
      </w:r>
      <w:r w:rsidR="00236B51">
        <w:rPr>
          <w:szCs w:val="22"/>
        </w:rPr>
        <w:t>-rock</w:t>
      </w:r>
      <w:r>
        <w:rPr>
          <w:szCs w:val="22"/>
        </w:rPr>
        <w:t xml:space="preserve"> aquifers, in buried basement highs (</w:t>
      </w:r>
      <w:r w:rsidR="00343466">
        <w:rPr>
          <w:szCs w:val="22"/>
        </w:rPr>
        <w:t>sandstone, weathered zone</w:t>
      </w:r>
      <w:r>
        <w:rPr>
          <w:szCs w:val="22"/>
        </w:rPr>
        <w:t xml:space="preserve"> and fractured rock aquifers).</w:t>
      </w:r>
    </w:p>
    <w:p w:rsidR="001E44D8" w:rsidRDefault="001E44D8" w:rsidP="00E158E2">
      <w:pPr>
        <w:rPr>
          <w:szCs w:val="22"/>
        </w:rPr>
      </w:pPr>
    </w:p>
    <w:p w:rsidR="003E7DC1" w:rsidRDefault="0061356C" w:rsidP="002A5B04">
      <w:pPr>
        <w:rPr>
          <w:szCs w:val="22"/>
        </w:rPr>
      </w:pPr>
      <w:r w:rsidRPr="00992BBC">
        <w:rPr>
          <w:szCs w:val="22"/>
        </w:rPr>
        <w:t xml:space="preserve">This 3-year project involved the acquisition, processing, integration and interpretation of </w:t>
      </w:r>
      <w:r w:rsidR="00D23F26">
        <w:rPr>
          <w:szCs w:val="22"/>
        </w:rPr>
        <w:t>substantial</w:t>
      </w:r>
      <w:r w:rsidR="002A5B04">
        <w:rPr>
          <w:szCs w:val="22"/>
        </w:rPr>
        <w:t xml:space="preserve"> </w:t>
      </w:r>
      <w:r w:rsidRPr="00992BBC">
        <w:rPr>
          <w:szCs w:val="22"/>
        </w:rPr>
        <w:t xml:space="preserve">new geological, hydrogeological, hydrogeophysical and hydrochemical datasets. </w:t>
      </w:r>
      <w:r w:rsidR="001A0B80">
        <w:t xml:space="preserve">Data acquisition utilised a phased approach, and was guided by the two main project objectives, and the requirement to address very specific questions embedded with the </w:t>
      </w:r>
      <w:r w:rsidR="00C0765F">
        <w:t>national MAR guidelines</w:t>
      </w:r>
      <w:r w:rsidR="001A0B80">
        <w:t xml:space="preserve">. </w:t>
      </w:r>
      <w:r w:rsidR="002A5B04">
        <w:rPr>
          <w:szCs w:val="22"/>
        </w:rPr>
        <w:t>To place the data acquisition in perspective, the</w:t>
      </w:r>
      <w:r w:rsidR="002A5B04" w:rsidRPr="00992BBC">
        <w:rPr>
          <w:szCs w:val="22"/>
        </w:rPr>
        <w:t xml:space="preserve"> BHMAR project is the largest single hydrogeological </w:t>
      </w:r>
      <w:r w:rsidR="002A5B04">
        <w:rPr>
          <w:szCs w:val="22"/>
        </w:rPr>
        <w:t xml:space="preserve">investigation </w:t>
      </w:r>
      <w:r w:rsidR="002A5B04" w:rsidRPr="00992BBC">
        <w:rPr>
          <w:szCs w:val="22"/>
        </w:rPr>
        <w:t xml:space="preserve">project funded by the Australian Government in the past 30 years. </w:t>
      </w:r>
    </w:p>
    <w:p w:rsidR="003E7DC1" w:rsidRDefault="003E7DC1" w:rsidP="002A5B04">
      <w:pPr>
        <w:rPr>
          <w:szCs w:val="22"/>
        </w:rPr>
      </w:pPr>
    </w:p>
    <w:p w:rsidR="002A5B04" w:rsidRPr="002A5B04" w:rsidRDefault="002A5B04" w:rsidP="002A5B04">
      <w:pPr>
        <w:rPr>
          <w:szCs w:val="22"/>
        </w:rPr>
      </w:pPr>
      <w:r>
        <w:t xml:space="preserve">In summary, </w:t>
      </w:r>
      <w:r>
        <w:rPr>
          <w:szCs w:val="22"/>
        </w:rPr>
        <w:t>t</w:t>
      </w:r>
      <w:r w:rsidRPr="00C658B3">
        <w:rPr>
          <w:szCs w:val="22"/>
        </w:rPr>
        <w:t xml:space="preserve">he </w:t>
      </w:r>
      <w:r>
        <w:rPr>
          <w:szCs w:val="22"/>
        </w:rPr>
        <w:t>BHMAR Project has acquired the following key datasets</w:t>
      </w:r>
      <w:r w:rsidRPr="00C658B3">
        <w:rPr>
          <w:szCs w:val="22"/>
        </w:rPr>
        <w:t>:</w:t>
      </w:r>
    </w:p>
    <w:p w:rsidR="002A5B04" w:rsidRPr="00C658B3" w:rsidRDefault="002A5B04" w:rsidP="00A75725">
      <w:pPr>
        <w:numPr>
          <w:ilvl w:val="0"/>
          <w:numId w:val="48"/>
        </w:numPr>
        <w:spacing w:before="60"/>
        <w:ind w:left="1077" w:hanging="357"/>
        <w:rPr>
          <w:szCs w:val="22"/>
        </w:rPr>
      </w:pPr>
      <w:r w:rsidRPr="00C658B3">
        <w:rPr>
          <w:szCs w:val="22"/>
        </w:rPr>
        <w:t xml:space="preserve">A 31,834 line km airborne electromagnetic (AEM) survey </w:t>
      </w:r>
      <w:r w:rsidR="00343466">
        <w:rPr>
          <w:szCs w:val="22"/>
        </w:rPr>
        <w:t>using the SkyTEM heliTEM system</w:t>
      </w:r>
      <w:r w:rsidR="00590AC1">
        <w:rPr>
          <w:szCs w:val="22"/>
        </w:rPr>
        <w:t xml:space="preserve"> to map the electrical conductivity of the geological profile and groundwater systems</w:t>
      </w:r>
      <w:r w:rsidR="00343466">
        <w:rPr>
          <w:szCs w:val="22"/>
        </w:rPr>
        <w:t>;</w:t>
      </w:r>
      <w:r w:rsidRPr="00C658B3">
        <w:rPr>
          <w:szCs w:val="22"/>
        </w:rPr>
        <w:t xml:space="preserve"> </w:t>
      </w:r>
    </w:p>
    <w:p w:rsidR="002A5B04" w:rsidRPr="00C658B3" w:rsidRDefault="002A5B04" w:rsidP="00A75725">
      <w:pPr>
        <w:numPr>
          <w:ilvl w:val="0"/>
          <w:numId w:val="48"/>
        </w:numPr>
        <w:spacing w:before="60"/>
        <w:ind w:left="1077" w:hanging="357"/>
        <w:rPr>
          <w:szCs w:val="22"/>
        </w:rPr>
      </w:pPr>
      <w:r w:rsidRPr="00C658B3">
        <w:rPr>
          <w:szCs w:val="22"/>
        </w:rPr>
        <w:t xml:space="preserve">A high resolution LiDAR digital elevation </w:t>
      </w:r>
      <w:r w:rsidRPr="00FC1053">
        <w:rPr>
          <w:szCs w:val="22"/>
        </w:rPr>
        <w:t>survey (</w:t>
      </w:r>
      <w:r w:rsidR="00FC1053" w:rsidRPr="00FC1053">
        <w:rPr>
          <w:szCs w:val="22"/>
        </w:rPr>
        <w:t xml:space="preserve">~50 </w:t>
      </w:r>
      <w:r w:rsidRPr="00FC1053">
        <w:rPr>
          <w:szCs w:val="22"/>
        </w:rPr>
        <w:t>cm vertical resolution) over</w:t>
      </w:r>
      <w:r>
        <w:rPr>
          <w:szCs w:val="22"/>
        </w:rPr>
        <w:t xml:space="preserve"> the ~7,500</w:t>
      </w:r>
      <w:r w:rsidR="0008529C">
        <w:rPr>
          <w:szCs w:val="22"/>
        </w:rPr>
        <w:t xml:space="preserve"> </w:t>
      </w:r>
      <w:r>
        <w:rPr>
          <w:szCs w:val="22"/>
        </w:rPr>
        <w:t>km</w:t>
      </w:r>
      <w:r w:rsidRPr="00C658B3">
        <w:rPr>
          <w:szCs w:val="22"/>
          <w:vertAlign w:val="superscript"/>
        </w:rPr>
        <w:t>2</w:t>
      </w:r>
      <w:r>
        <w:rPr>
          <w:szCs w:val="22"/>
        </w:rPr>
        <w:t xml:space="preserve"> project area</w:t>
      </w:r>
      <w:r w:rsidR="00343466">
        <w:rPr>
          <w:szCs w:val="22"/>
        </w:rPr>
        <w:t>;</w:t>
      </w:r>
      <w:r w:rsidRPr="00C658B3">
        <w:rPr>
          <w:szCs w:val="22"/>
        </w:rPr>
        <w:t xml:space="preserve"> </w:t>
      </w:r>
    </w:p>
    <w:p w:rsidR="002A5B04" w:rsidRPr="00C658B3" w:rsidRDefault="002A5B04" w:rsidP="00A75725">
      <w:pPr>
        <w:numPr>
          <w:ilvl w:val="0"/>
          <w:numId w:val="48"/>
        </w:numPr>
        <w:spacing w:before="60"/>
        <w:ind w:left="1077" w:hanging="357"/>
        <w:rPr>
          <w:szCs w:val="22"/>
        </w:rPr>
      </w:pPr>
      <w:r w:rsidRPr="00C658B3">
        <w:rPr>
          <w:szCs w:val="22"/>
        </w:rPr>
        <w:t>100 bores in a 7.5</w:t>
      </w:r>
      <w:r w:rsidR="00AF0556">
        <w:rPr>
          <w:szCs w:val="22"/>
        </w:rPr>
        <w:t xml:space="preserve"> </w:t>
      </w:r>
      <w:r w:rsidRPr="00C658B3">
        <w:rPr>
          <w:szCs w:val="22"/>
        </w:rPr>
        <w:t xml:space="preserve">km drilling program, including </w:t>
      </w:r>
      <w:r w:rsidRPr="000B4790">
        <w:rPr>
          <w:szCs w:val="22"/>
        </w:rPr>
        <w:t>60 sonic bores</w:t>
      </w:r>
      <w:r w:rsidR="00B40359" w:rsidRPr="000B4790">
        <w:rPr>
          <w:szCs w:val="22"/>
        </w:rPr>
        <w:t xml:space="preserve"> </w:t>
      </w:r>
      <w:r w:rsidR="00590AC1">
        <w:rPr>
          <w:szCs w:val="22"/>
        </w:rPr>
        <w:t>to obtain good quality core material for analysis</w:t>
      </w:r>
      <w:r w:rsidR="00F25A1E">
        <w:rPr>
          <w:szCs w:val="22"/>
        </w:rPr>
        <w:t xml:space="preserve"> </w:t>
      </w:r>
      <w:r w:rsidR="00B40359" w:rsidRPr="000B4790">
        <w:rPr>
          <w:szCs w:val="22"/>
        </w:rPr>
        <w:t>(Figure D)</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Construction of a piezometer network, including installation of automated data loggers in 40 bores</w:t>
      </w:r>
      <w:r>
        <w:rPr>
          <w:szCs w:val="22"/>
        </w:rPr>
        <w:t>, with g</w:t>
      </w:r>
      <w:r w:rsidRPr="00C658B3">
        <w:rPr>
          <w:szCs w:val="22"/>
        </w:rPr>
        <w:t xml:space="preserve">roundwater levels </w:t>
      </w:r>
      <w:r>
        <w:rPr>
          <w:szCs w:val="22"/>
        </w:rPr>
        <w:t>manually</w:t>
      </w:r>
      <w:r w:rsidR="00343466">
        <w:rPr>
          <w:szCs w:val="22"/>
        </w:rPr>
        <w:t xml:space="preserve"> checked every 3-4 months;</w:t>
      </w:r>
    </w:p>
    <w:p w:rsidR="002A5B04" w:rsidRPr="00C658B3" w:rsidRDefault="002A5B04" w:rsidP="00A75725">
      <w:pPr>
        <w:numPr>
          <w:ilvl w:val="0"/>
          <w:numId w:val="48"/>
        </w:numPr>
        <w:spacing w:before="60"/>
        <w:ind w:left="1077" w:hanging="357"/>
        <w:rPr>
          <w:szCs w:val="22"/>
        </w:rPr>
      </w:pPr>
      <w:r w:rsidRPr="00C658B3">
        <w:rPr>
          <w:szCs w:val="22"/>
        </w:rPr>
        <w:t xml:space="preserve">A hydrochemical sampling program of </w:t>
      </w:r>
      <w:r w:rsidR="002C7858">
        <w:rPr>
          <w:szCs w:val="22"/>
        </w:rPr>
        <w:t xml:space="preserve">rainfall, </w:t>
      </w:r>
      <w:r w:rsidRPr="00C658B3">
        <w:rPr>
          <w:szCs w:val="22"/>
        </w:rPr>
        <w:t xml:space="preserve">surface water, groundwater and pore fluids. This entailed analysis of </w:t>
      </w:r>
      <w:r w:rsidR="00590AC1">
        <w:rPr>
          <w:szCs w:val="22"/>
        </w:rPr>
        <w:t xml:space="preserve">about </w:t>
      </w:r>
      <w:r w:rsidRPr="00C658B3">
        <w:rPr>
          <w:szCs w:val="22"/>
        </w:rPr>
        <w:t>1600 hydrochemical samples (25 analy</w:t>
      </w:r>
      <w:r w:rsidR="00343466">
        <w:rPr>
          <w:szCs w:val="22"/>
        </w:rPr>
        <w:t>tes and including trace metals);</w:t>
      </w:r>
    </w:p>
    <w:p w:rsidR="002A5B04" w:rsidRPr="00C658B3" w:rsidRDefault="00590AC1" w:rsidP="00A75725">
      <w:pPr>
        <w:numPr>
          <w:ilvl w:val="0"/>
          <w:numId w:val="48"/>
        </w:numPr>
        <w:spacing w:before="60"/>
        <w:ind w:left="1077" w:hanging="357"/>
        <w:rPr>
          <w:szCs w:val="22"/>
        </w:rPr>
      </w:pPr>
      <w:r>
        <w:rPr>
          <w:szCs w:val="22"/>
        </w:rPr>
        <w:t>Stable i</w:t>
      </w:r>
      <w:r w:rsidR="002A5B04" w:rsidRPr="00C658B3">
        <w:rPr>
          <w:szCs w:val="22"/>
        </w:rPr>
        <w:t xml:space="preserve">sotopic characterisation of </w:t>
      </w:r>
      <w:r w:rsidR="002C7858">
        <w:rPr>
          <w:szCs w:val="22"/>
        </w:rPr>
        <w:t xml:space="preserve">rainfall, </w:t>
      </w:r>
      <w:r w:rsidR="00343466">
        <w:rPr>
          <w:szCs w:val="22"/>
        </w:rPr>
        <w:t>river, lake and groundwater</w:t>
      </w:r>
      <w:r w:rsidR="00DF3E2A">
        <w:rPr>
          <w:szCs w:val="22"/>
        </w:rPr>
        <w:t xml:space="preserve"> to help understand hydrological processes</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 xml:space="preserve">A program of groundwater age dating </w:t>
      </w:r>
      <w:r w:rsidR="00590AC1">
        <w:rPr>
          <w:szCs w:val="22"/>
        </w:rPr>
        <w:t xml:space="preserve">using </w:t>
      </w:r>
      <w:r>
        <w:rPr>
          <w:szCs w:val="22"/>
        </w:rPr>
        <w:t xml:space="preserve">radiocarbon </w:t>
      </w:r>
      <w:r w:rsidR="00590AC1">
        <w:rPr>
          <w:szCs w:val="22"/>
        </w:rPr>
        <w:t>(</w:t>
      </w:r>
      <w:r w:rsidRPr="00C658B3">
        <w:rPr>
          <w:szCs w:val="22"/>
          <w:vertAlign w:val="superscript"/>
        </w:rPr>
        <w:t>14</w:t>
      </w:r>
      <w:r w:rsidRPr="000C2CB7">
        <w:rPr>
          <w:szCs w:val="22"/>
        </w:rPr>
        <w:t>C</w:t>
      </w:r>
      <w:r w:rsidR="00590AC1">
        <w:rPr>
          <w:szCs w:val="22"/>
        </w:rPr>
        <w:t>)</w:t>
      </w:r>
      <w:r w:rsidRPr="00C658B3">
        <w:rPr>
          <w:szCs w:val="22"/>
        </w:rPr>
        <w:t xml:space="preserve"> and </w:t>
      </w:r>
      <w:r>
        <w:rPr>
          <w:szCs w:val="22"/>
        </w:rPr>
        <w:t xml:space="preserve">chlorofluorocarbon </w:t>
      </w:r>
      <w:r w:rsidR="00590AC1">
        <w:rPr>
          <w:szCs w:val="22"/>
        </w:rPr>
        <w:t>(</w:t>
      </w:r>
      <w:r w:rsidRPr="00C658B3">
        <w:rPr>
          <w:szCs w:val="22"/>
        </w:rPr>
        <w:t>CFC</w:t>
      </w:r>
      <w:r w:rsidR="00590AC1">
        <w:rPr>
          <w:szCs w:val="22"/>
        </w:rPr>
        <w:t>)</w:t>
      </w:r>
      <w:r>
        <w:rPr>
          <w:szCs w:val="22"/>
        </w:rPr>
        <w:t xml:space="preserve"> tracers</w:t>
      </w:r>
      <w:r w:rsidR="00DF3E2A">
        <w:rPr>
          <w:szCs w:val="22"/>
        </w:rPr>
        <w:t>, to</w:t>
      </w:r>
      <w:r w:rsidR="00DF3E2A" w:rsidRPr="00DF3E2A">
        <w:rPr>
          <w:szCs w:val="22"/>
        </w:rPr>
        <w:t xml:space="preserve"> </w:t>
      </w:r>
      <w:r w:rsidR="00DF3E2A">
        <w:rPr>
          <w:szCs w:val="22"/>
        </w:rPr>
        <w:t>assess where and how often groundwater systems are being recharged</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Limited (7-day) pump tests, and mo</w:t>
      </w:r>
      <w:r w:rsidR="00343466">
        <w:rPr>
          <w:szCs w:val="22"/>
        </w:rPr>
        <w:t>re extensive slug tests</w:t>
      </w:r>
      <w:r w:rsidR="00590AC1">
        <w:rPr>
          <w:szCs w:val="22"/>
        </w:rPr>
        <w:t xml:space="preserve"> to obtain </w:t>
      </w:r>
      <w:r w:rsidR="00DF3E2A">
        <w:rPr>
          <w:szCs w:val="22"/>
        </w:rPr>
        <w:t xml:space="preserve">estimates of </w:t>
      </w:r>
      <w:r w:rsidR="00590AC1">
        <w:rPr>
          <w:szCs w:val="22"/>
        </w:rPr>
        <w:t>aquifer hydraulic properties</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Gr</w:t>
      </w:r>
      <w:r w:rsidR="007312EC">
        <w:rPr>
          <w:szCs w:val="22"/>
        </w:rPr>
        <w:t>ound resistivity and IP surveys</w:t>
      </w:r>
      <w:r w:rsidRPr="00C658B3">
        <w:rPr>
          <w:szCs w:val="22"/>
        </w:rPr>
        <w:t xml:space="preserve"> </w:t>
      </w:r>
      <w:r w:rsidR="00DF3E2A">
        <w:rPr>
          <w:szCs w:val="22"/>
        </w:rPr>
        <w:t>to provide more detailed hydrogeological characterisation</w:t>
      </w:r>
      <w:r w:rsidR="00DF3E2A" w:rsidRPr="00DF3E2A">
        <w:rPr>
          <w:szCs w:val="22"/>
        </w:rPr>
        <w:t xml:space="preserve"> </w:t>
      </w:r>
      <w:r w:rsidR="00DF3E2A" w:rsidRPr="00C658B3">
        <w:rPr>
          <w:szCs w:val="22"/>
        </w:rPr>
        <w:t>of potential borefield sites</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 xml:space="preserve">In-river mapping of the Darling River bed using multi-beam </w:t>
      </w:r>
      <w:r>
        <w:rPr>
          <w:szCs w:val="22"/>
        </w:rPr>
        <w:t>sonar (</w:t>
      </w:r>
      <w:r w:rsidR="001C0090">
        <w:rPr>
          <w:szCs w:val="22"/>
        </w:rPr>
        <w:t>echo sounder</w:t>
      </w:r>
      <w:r>
        <w:rPr>
          <w:szCs w:val="22"/>
        </w:rPr>
        <w:t xml:space="preserve">) and sub-bottom profiler </w:t>
      </w:r>
      <w:r w:rsidRPr="00C658B3">
        <w:rPr>
          <w:szCs w:val="22"/>
        </w:rPr>
        <w:t>methods to map river</w:t>
      </w:r>
      <w:r w:rsidR="00343466">
        <w:rPr>
          <w:szCs w:val="22"/>
        </w:rPr>
        <w:t xml:space="preserve"> bed bathymetry and composition</w:t>
      </w:r>
      <w:r w:rsidR="00DF3E2A">
        <w:rPr>
          <w:szCs w:val="22"/>
        </w:rPr>
        <w:t>, as baseline data to assess river-aquifer connectivity</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Borehole geophysics including gamma</w:t>
      </w:r>
      <w:r w:rsidR="00343466">
        <w:rPr>
          <w:szCs w:val="22"/>
        </w:rPr>
        <w:t xml:space="preserve">, </w:t>
      </w:r>
      <w:r w:rsidRPr="00C658B3">
        <w:rPr>
          <w:szCs w:val="22"/>
        </w:rPr>
        <w:t>induction, and nuclear magnetic resonance (NMR)</w:t>
      </w:r>
      <w:r w:rsidR="00343466">
        <w:rPr>
          <w:szCs w:val="22"/>
        </w:rPr>
        <w:t xml:space="preserve"> logging</w:t>
      </w:r>
      <w:r w:rsidR="00DF3E2A">
        <w:rPr>
          <w:szCs w:val="22"/>
        </w:rPr>
        <w:t>, to provide information on sediment textures, salinity and hydraulic properties</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 xml:space="preserve">Age dating of geological materials </w:t>
      </w:r>
      <w:r w:rsidR="00DF3E2A">
        <w:rPr>
          <w:szCs w:val="22"/>
        </w:rPr>
        <w:t>with optical</w:t>
      </w:r>
      <w:r w:rsidR="00236B51">
        <w:rPr>
          <w:szCs w:val="22"/>
        </w:rPr>
        <w:t>ly</w:t>
      </w:r>
      <w:r w:rsidR="00DF3E2A">
        <w:rPr>
          <w:szCs w:val="22"/>
        </w:rPr>
        <w:t xml:space="preserve"> stimulated luminescence (</w:t>
      </w:r>
      <w:r w:rsidRPr="00C658B3">
        <w:rPr>
          <w:szCs w:val="22"/>
        </w:rPr>
        <w:t>O</w:t>
      </w:r>
      <w:r w:rsidR="00343466">
        <w:rPr>
          <w:szCs w:val="22"/>
        </w:rPr>
        <w:t>SL</w:t>
      </w:r>
      <w:r w:rsidR="00DF3E2A">
        <w:rPr>
          <w:szCs w:val="22"/>
        </w:rPr>
        <w:t>)</w:t>
      </w:r>
      <w:r w:rsidR="00343466">
        <w:rPr>
          <w:szCs w:val="22"/>
        </w:rPr>
        <w:t>, radiocarbon and palynology</w:t>
      </w:r>
      <w:r w:rsidR="00DF3E2A">
        <w:rPr>
          <w:szCs w:val="22"/>
        </w:rPr>
        <w:t>, to better understand sediment depositional history and hydrogeological variability</w:t>
      </w:r>
      <w:r w:rsidR="00343466">
        <w:rPr>
          <w:szCs w:val="22"/>
        </w:rPr>
        <w:t>;</w:t>
      </w:r>
    </w:p>
    <w:p w:rsidR="002A5B04" w:rsidRPr="00C658B3" w:rsidRDefault="002A5B04" w:rsidP="00A75725">
      <w:pPr>
        <w:numPr>
          <w:ilvl w:val="0"/>
          <w:numId w:val="48"/>
        </w:numPr>
        <w:spacing w:before="60"/>
        <w:ind w:left="1077" w:hanging="357"/>
        <w:rPr>
          <w:szCs w:val="22"/>
        </w:rPr>
      </w:pPr>
      <w:r w:rsidRPr="00C658B3">
        <w:rPr>
          <w:szCs w:val="22"/>
        </w:rPr>
        <w:t>Laboratory column tests t</w:t>
      </w:r>
      <w:r w:rsidR="00343466">
        <w:rPr>
          <w:szCs w:val="22"/>
        </w:rPr>
        <w:t xml:space="preserve">o assess </w:t>
      </w:r>
      <w:r w:rsidR="00DF3E2A">
        <w:rPr>
          <w:szCs w:val="22"/>
        </w:rPr>
        <w:t>aquifer storage and recovery (</w:t>
      </w:r>
      <w:r w:rsidR="00343466">
        <w:rPr>
          <w:szCs w:val="22"/>
        </w:rPr>
        <w:t>ASR</w:t>
      </w:r>
      <w:r w:rsidR="00DF3E2A">
        <w:rPr>
          <w:szCs w:val="22"/>
        </w:rPr>
        <w:t>)</w:t>
      </w:r>
      <w:r w:rsidR="00343466">
        <w:rPr>
          <w:szCs w:val="22"/>
        </w:rPr>
        <w:t xml:space="preserve"> clogging potential;</w:t>
      </w:r>
    </w:p>
    <w:p w:rsidR="002A5B04" w:rsidRPr="00C658B3" w:rsidRDefault="002A5B04" w:rsidP="00A75725">
      <w:pPr>
        <w:numPr>
          <w:ilvl w:val="0"/>
          <w:numId w:val="48"/>
        </w:numPr>
        <w:spacing w:before="60"/>
        <w:ind w:left="1077" w:hanging="357"/>
        <w:rPr>
          <w:szCs w:val="22"/>
        </w:rPr>
      </w:pPr>
      <w:r w:rsidRPr="00C658B3">
        <w:rPr>
          <w:szCs w:val="22"/>
        </w:rPr>
        <w:t>Laboratory permeameter</w:t>
      </w:r>
      <w:r w:rsidR="00343466">
        <w:rPr>
          <w:szCs w:val="22"/>
        </w:rPr>
        <w:t xml:space="preserve"> </w:t>
      </w:r>
      <w:r w:rsidR="00DF3E2A">
        <w:rPr>
          <w:szCs w:val="22"/>
        </w:rPr>
        <w:t xml:space="preserve">and porosity </w:t>
      </w:r>
      <w:r w:rsidR="00343466">
        <w:rPr>
          <w:szCs w:val="22"/>
        </w:rPr>
        <w:t xml:space="preserve">testing of </w:t>
      </w:r>
      <w:r w:rsidR="001C0090">
        <w:rPr>
          <w:szCs w:val="22"/>
        </w:rPr>
        <w:t>drill core</w:t>
      </w:r>
      <w:r w:rsidR="00343466">
        <w:rPr>
          <w:szCs w:val="22"/>
        </w:rPr>
        <w:t xml:space="preserve"> materials;</w:t>
      </w:r>
    </w:p>
    <w:p w:rsidR="002A5B04" w:rsidRPr="00C658B3" w:rsidRDefault="002A5B04" w:rsidP="00A75725">
      <w:pPr>
        <w:numPr>
          <w:ilvl w:val="0"/>
          <w:numId w:val="48"/>
        </w:numPr>
        <w:spacing w:before="60"/>
        <w:ind w:left="1077" w:hanging="357"/>
        <w:rPr>
          <w:szCs w:val="22"/>
        </w:rPr>
      </w:pPr>
      <w:r w:rsidRPr="00C658B3">
        <w:rPr>
          <w:szCs w:val="22"/>
        </w:rPr>
        <w:t xml:space="preserve">Geochemical analysis (major and trace elements and trace metals) of </w:t>
      </w:r>
      <w:r w:rsidR="001C0090" w:rsidRPr="00C658B3">
        <w:rPr>
          <w:szCs w:val="22"/>
        </w:rPr>
        <w:t>dril</w:t>
      </w:r>
      <w:r w:rsidR="001C0090">
        <w:rPr>
          <w:szCs w:val="22"/>
        </w:rPr>
        <w:t>l core</w:t>
      </w:r>
      <w:r w:rsidR="00343466">
        <w:rPr>
          <w:szCs w:val="22"/>
        </w:rPr>
        <w:t xml:space="preserve"> materials</w:t>
      </w:r>
      <w:r w:rsidR="00DF3E2A">
        <w:rPr>
          <w:szCs w:val="22"/>
        </w:rPr>
        <w:t xml:space="preserve"> to assess potential water-rock interactions during MAR operations</w:t>
      </w:r>
      <w:r w:rsidR="00343466">
        <w:rPr>
          <w:szCs w:val="22"/>
        </w:rPr>
        <w:t>;</w:t>
      </w:r>
    </w:p>
    <w:p w:rsidR="002A5B04" w:rsidRPr="00C658B3" w:rsidRDefault="00DF3E2A" w:rsidP="00A75725">
      <w:pPr>
        <w:numPr>
          <w:ilvl w:val="0"/>
          <w:numId w:val="48"/>
        </w:numPr>
        <w:spacing w:before="60"/>
        <w:ind w:left="1077" w:hanging="357"/>
        <w:rPr>
          <w:szCs w:val="22"/>
        </w:rPr>
      </w:pPr>
      <w:r>
        <w:rPr>
          <w:szCs w:val="22"/>
        </w:rPr>
        <w:t>Scanning electron microscopy (</w:t>
      </w:r>
      <w:r w:rsidR="002A5B04" w:rsidRPr="00C658B3">
        <w:rPr>
          <w:szCs w:val="22"/>
        </w:rPr>
        <w:t>SEM</w:t>
      </w:r>
      <w:r>
        <w:rPr>
          <w:szCs w:val="22"/>
        </w:rPr>
        <w:t>)</w:t>
      </w:r>
      <w:r w:rsidR="002A5B04" w:rsidRPr="00C658B3">
        <w:rPr>
          <w:szCs w:val="22"/>
        </w:rPr>
        <w:t xml:space="preserve">, </w:t>
      </w:r>
      <w:r>
        <w:rPr>
          <w:szCs w:val="22"/>
        </w:rPr>
        <w:t>x-ray diffraction (</w:t>
      </w:r>
      <w:r w:rsidR="002A5B04" w:rsidRPr="00C658B3">
        <w:rPr>
          <w:szCs w:val="22"/>
        </w:rPr>
        <w:t>XRD</w:t>
      </w:r>
      <w:r>
        <w:rPr>
          <w:szCs w:val="22"/>
        </w:rPr>
        <w:t>)</w:t>
      </w:r>
      <w:r w:rsidR="002A5B04" w:rsidRPr="00C658B3">
        <w:rPr>
          <w:szCs w:val="22"/>
        </w:rPr>
        <w:t xml:space="preserve">, </w:t>
      </w:r>
      <w:r>
        <w:rPr>
          <w:szCs w:val="22"/>
        </w:rPr>
        <w:t>portable infrared mineral analyser (</w:t>
      </w:r>
      <w:r w:rsidR="002A5B04" w:rsidRPr="00C658B3">
        <w:rPr>
          <w:szCs w:val="22"/>
        </w:rPr>
        <w:t>PIMA</w:t>
      </w:r>
      <w:r>
        <w:rPr>
          <w:szCs w:val="22"/>
        </w:rPr>
        <w:t>)</w:t>
      </w:r>
      <w:r w:rsidR="002A5B04" w:rsidRPr="00C658B3">
        <w:rPr>
          <w:szCs w:val="22"/>
        </w:rPr>
        <w:t xml:space="preserve"> and Hylogging multi-spectral analysis of </w:t>
      </w:r>
      <w:r w:rsidR="001C0090" w:rsidRPr="00C658B3">
        <w:rPr>
          <w:szCs w:val="22"/>
        </w:rPr>
        <w:t>drill core</w:t>
      </w:r>
      <w:r w:rsidR="002A5B04" w:rsidRPr="00C658B3">
        <w:rPr>
          <w:szCs w:val="22"/>
        </w:rPr>
        <w:t xml:space="preserve"> mater</w:t>
      </w:r>
      <w:r w:rsidR="00343466">
        <w:rPr>
          <w:szCs w:val="22"/>
        </w:rPr>
        <w:t xml:space="preserve">ials for </w:t>
      </w:r>
      <w:r>
        <w:rPr>
          <w:szCs w:val="22"/>
        </w:rPr>
        <w:t xml:space="preserve">fine-scale </w:t>
      </w:r>
      <w:r w:rsidR="00343466">
        <w:rPr>
          <w:szCs w:val="22"/>
        </w:rPr>
        <w:t>mineralogical analysis;</w:t>
      </w:r>
      <w:r w:rsidR="002A5B04" w:rsidRPr="00C658B3">
        <w:rPr>
          <w:szCs w:val="22"/>
        </w:rPr>
        <w:t xml:space="preserve"> </w:t>
      </w:r>
    </w:p>
    <w:p w:rsidR="002A5B04" w:rsidRDefault="002A5B04" w:rsidP="00A75725">
      <w:pPr>
        <w:numPr>
          <w:ilvl w:val="0"/>
          <w:numId w:val="48"/>
        </w:numPr>
        <w:spacing w:before="60"/>
        <w:ind w:left="1077" w:hanging="357"/>
        <w:rPr>
          <w:szCs w:val="22"/>
        </w:rPr>
      </w:pPr>
      <w:r>
        <w:rPr>
          <w:szCs w:val="22"/>
        </w:rPr>
        <w:t>Limited groundwater and w</w:t>
      </w:r>
      <w:r w:rsidR="00343466">
        <w:rPr>
          <w:szCs w:val="22"/>
        </w:rPr>
        <w:t>ater-rock interaction modelling;</w:t>
      </w:r>
    </w:p>
    <w:p w:rsidR="002A5B04" w:rsidRDefault="00343466" w:rsidP="00A75725">
      <w:pPr>
        <w:numPr>
          <w:ilvl w:val="0"/>
          <w:numId w:val="48"/>
        </w:numPr>
        <w:spacing w:before="60"/>
        <w:ind w:left="1077" w:hanging="357"/>
        <w:rPr>
          <w:szCs w:val="22"/>
        </w:rPr>
      </w:pPr>
      <w:r>
        <w:rPr>
          <w:szCs w:val="22"/>
        </w:rPr>
        <w:t xml:space="preserve">Surface </w:t>
      </w:r>
      <w:r w:rsidR="00DF3E2A">
        <w:rPr>
          <w:szCs w:val="22"/>
        </w:rPr>
        <w:t>g</w:t>
      </w:r>
      <w:r w:rsidR="002A5B04" w:rsidRPr="00C658B3">
        <w:rPr>
          <w:szCs w:val="22"/>
        </w:rPr>
        <w:t>eomorphic mapping</w:t>
      </w:r>
      <w:r w:rsidR="002A5B04">
        <w:rPr>
          <w:szCs w:val="22"/>
        </w:rPr>
        <w:t xml:space="preserve">, trenching and </w:t>
      </w:r>
      <w:r>
        <w:rPr>
          <w:szCs w:val="22"/>
        </w:rPr>
        <w:t xml:space="preserve">hand </w:t>
      </w:r>
      <w:r w:rsidR="002A5B04">
        <w:rPr>
          <w:szCs w:val="22"/>
        </w:rPr>
        <w:t>augering</w:t>
      </w:r>
      <w:r w:rsidR="00552FEA">
        <w:rPr>
          <w:szCs w:val="22"/>
        </w:rPr>
        <w:t>, to assess near-surface geology including infiltration characteristics</w:t>
      </w:r>
      <w:r>
        <w:rPr>
          <w:szCs w:val="22"/>
        </w:rPr>
        <w:t>; and</w:t>
      </w:r>
    </w:p>
    <w:p w:rsidR="002A5B04" w:rsidRDefault="002A5B04" w:rsidP="00A75725">
      <w:pPr>
        <w:numPr>
          <w:ilvl w:val="0"/>
          <w:numId w:val="48"/>
        </w:numPr>
        <w:spacing w:before="60"/>
        <w:ind w:left="1077" w:hanging="357"/>
        <w:rPr>
          <w:szCs w:val="22"/>
        </w:rPr>
      </w:pPr>
      <w:r>
        <w:rPr>
          <w:szCs w:val="22"/>
        </w:rPr>
        <w:t>Mapping of Indigenous cultural heritage sites</w:t>
      </w:r>
      <w:r w:rsidR="00552FEA">
        <w:rPr>
          <w:szCs w:val="22"/>
        </w:rPr>
        <w:t>, to ensure protection during field operations</w:t>
      </w:r>
      <w:r>
        <w:rPr>
          <w:szCs w:val="22"/>
        </w:rPr>
        <w:t>.</w:t>
      </w:r>
    </w:p>
    <w:p w:rsidR="0061356C" w:rsidRDefault="0061356C" w:rsidP="0061356C">
      <w:pPr>
        <w:rPr>
          <w:szCs w:val="22"/>
        </w:rPr>
      </w:pPr>
    </w:p>
    <w:p w:rsidR="0061356C" w:rsidRDefault="00706A3B" w:rsidP="002A5B04">
      <w:pPr>
        <w:jc w:val="center"/>
        <w:rPr>
          <w:szCs w:val="22"/>
        </w:rPr>
      </w:pPr>
      <w:r>
        <w:rPr>
          <w:noProof/>
          <w:szCs w:val="22"/>
        </w:rPr>
        <w:lastRenderedPageBreak/>
        <w:drawing>
          <wp:inline distT="0" distB="0" distL="0" distR="0" wp14:anchorId="4AEE6B07" wp14:editId="378CBA85">
            <wp:extent cx="6113780" cy="3094355"/>
            <wp:effectExtent l="0" t="0" r="0" b="0"/>
            <wp:docPr id="10" name="Picture 10" descr="FigD_night_drillin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D_night_drilling_10"/>
                    <pic:cNvPicPr>
                      <a:picLocks noChangeAspect="1" noChangeArrowheads="1"/>
                    </pic:cNvPicPr>
                  </pic:nvPicPr>
                  <pic:blipFill>
                    <a:blip r:embed="rId18" cstate="print">
                      <a:extLst>
                        <a:ext uri="{28A0092B-C50C-407E-A947-70E740481C1C}">
                          <a14:useLocalDpi xmlns:a14="http://schemas.microsoft.com/office/drawing/2010/main" val="0"/>
                        </a:ext>
                      </a:extLst>
                    </a:blip>
                    <a:srcRect t="10709" b="21967"/>
                    <a:stretch>
                      <a:fillRect/>
                    </a:stretch>
                  </pic:blipFill>
                  <pic:spPr bwMode="auto">
                    <a:xfrm>
                      <a:off x="0" y="0"/>
                      <a:ext cx="6113780" cy="3094355"/>
                    </a:xfrm>
                    <a:prstGeom prst="rect">
                      <a:avLst/>
                    </a:prstGeom>
                    <a:noFill/>
                    <a:ln>
                      <a:noFill/>
                    </a:ln>
                  </pic:spPr>
                </pic:pic>
              </a:graphicData>
            </a:graphic>
          </wp:inline>
        </w:drawing>
      </w:r>
    </w:p>
    <w:p w:rsidR="0061356C" w:rsidRPr="00C658B3" w:rsidRDefault="0061356C" w:rsidP="0061356C">
      <w:pPr>
        <w:pStyle w:val="Caption"/>
        <w:rPr>
          <w:i w:val="0"/>
          <w:szCs w:val="20"/>
        </w:rPr>
      </w:pPr>
      <w:bookmarkStart w:id="26" w:name="_Ref325639726"/>
      <w:r w:rsidRPr="001440A3">
        <w:rPr>
          <w:b/>
        </w:rPr>
        <w:t xml:space="preserve">Figure </w:t>
      </w:r>
      <w:bookmarkEnd w:id="26"/>
      <w:r w:rsidR="0069045C">
        <w:rPr>
          <w:b/>
        </w:rPr>
        <w:t>D</w:t>
      </w:r>
      <w:r w:rsidRPr="001440A3">
        <w:rPr>
          <w:b/>
          <w:szCs w:val="20"/>
        </w:rPr>
        <w:t>.</w:t>
      </w:r>
      <w:r>
        <w:rPr>
          <w:i w:val="0"/>
          <w:szCs w:val="20"/>
        </w:rPr>
        <w:t xml:space="preserve"> </w:t>
      </w:r>
      <w:r w:rsidRPr="009D7B6E">
        <w:rPr>
          <w:szCs w:val="20"/>
        </w:rPr>
        <w:t xml:space="preserve">Photograph of </w:t>
      </w:r>
      <w:r w:rsidRPr="001440A3">
        <w:rPr>
          <w:szCs w:val="20"/>
        </w:rPr>
        <w:t>nig</w:t>
      </w:r>
      <w:r w:rsidR="002A5B04">
        <w:rPr>
          <w:szCs w:val="20"/>
        </w:rPr>
        <w:t>ht-</w:t>
      </w:r>
      <w:r w:rsidRPr="001440A3">
        <w:rPr>
          <w:szCs w:val="20"/>
        </w:rPr>
        <w:t>t</w:t>
      </w:r>
      <w:r w:rsidRPr="009D7B6E">
        <w:rPr>
          <w:szCs w:val="20"/>
        </w:rPr>
        <w:t>ime sonic drilling operations. Drilling in Phase 2 was conducted on a 24-hour basis.</w:t>
      </w:r>
      <w:r w:rsidRPr="00C658B3">
        <w:rPr>
          <w:i w:val="0"/>
          <w:szCs w:val="20"/>
        </w:rPr>
        <w:t xml:space="preserve"> </w:t>
      </w:r>
      <w:r w:rsidRPr="005706E3">
        <w:rPr>
          <w:bCs w:val="0"/>
          <w:i w:val="0"/>
        </w:rPr>
        <w:fldChar w:fldCharType="begin"/>
      </w:r>
      <w:r w:rsidRPr="005706E3">
        <w:rPr>
          <w:bCs w:val="0"/>
          <w:i w:val="0"/>
        </w:rPr>
        <w:instrText xml:space="preserve"> TC "</w:instrText>
      </w:r>
      <w:bookmarkStart w:id="27" w:name="_Toc325975188"/>
      <w:bookmarkStart w:id="28" w:name="_Toc390690193"/>
      <w:r w:rsidRPr="00666EC0">
        <w:rPr>
          <w:bCs w:val="0"/>
          <w:i w:val="0"/>
        </w:rPr>
        <w:instrText xml:space="preserve">Figure </w:instrText>
      </w:r>
      <w:r w:rsidR="0069045C">
        <w:rPr>
          <w:bCs w:val="0"/>
          <w:i w:val="0"/>
        </w:rPr>
        <w:instrText>D</w:instrText>
      </w:r>
      <w:r w:rsidR="00497AD3">
        <w:rPr>
          <w:bCs w:val="0"/>
          <w:i w:val="0"/>
        </w:rPr>
        <w:instrText>.</w:instrText>
      </w:r>
      <w:r w:rsidRPr="00666EC0">
        <w:rPr>
          <w:bCs w:val="0"/>
          <w:i w:val="0"/>
        </w:rPr>
        <w:instrText xml:space="preserve"> </w:instrText>
      </w:r>
      <w:r w:rsidR="002A5B04">
        <w:rPr>
          <w:i w:val="0"/>
          <w:szCs w:val="20"/>
        </w:rPr>
        <w:instrText>Photograph of night-</w:instrText>
      </w:r>
      <w:r w:rsidRPr="00666EC0">
        <w:rPr>
          <w:i w:val="0"/>
          <w:szCs w:val="20"/>
        </w:rPr>
        <w:instrText>time sonic drilling operations</w:instrText>
      </w:r>
      <w:bookmarkEnd w:id="27"/>
      <w:bookmarkEnd w:id="28"/>
      <w:r w:rsidRPr="00666EC0">
        <w:rPr>
          <w:bCs w:val="0"/>
          <w:i w:val="0"/>
        </w:rPr>
        <w:instrText>" \f A \l “4</w:instrText>
      </w:r>
      <w:r w:rsidRPr="005706E3">
        <w:rPr>
          <w:bCs w:val="0"/>
          <w:i w:val="0"/>
        </w:rPr>
        <w:instrText xml:space="preserve">” </w:instrText>
      </w:r>
      <w:r w:rsidRPr="005706E3">
        <w:rPr>
          <w:bCs w:val="0"/>
          <w:i w:val="0"/>
        </w:rPr>
        <w:fldChar w:fldCharType="end"/>
      </w:r>
    </w:p>
    <w:p w:rsidR="00E158E2" w:rsidRDefault="00E158E2" w:rsidP="00E158E2">
      <w:pPr>
        <w:spacing w:before="320" w:after="120"/>
        <w:rPr>
          <w:b/>
          <w:color w:val="3366FF"/>
          <w:sz w:val="32"/>
          <w:szCs w:val="32"/>
          <w:lang w:eastAsia="en-US"/>
        </w:rPr>
      </w:pPr>
      <w:r>
        <w:rPr>
          <w:b/>
          <w:color w:val="3366FF"/>
          <w:sz w:val="32"/>
          <w:szCs w:val="32"/>
          <w:lang w:eastAsia="en-US"/>
        </w:rPr>
        <w:t>MAPPING KEY FUNCTIONAL ELEMENTS OF THE HYDROGEOLOGICAL SYSTEM</w:t>
      </w:r>
    </w:p>
    <w:p w:rsidR="004D514C" w:rsidRDefault="005D4DD1" w:rsidP="004D514C">
      <w:pPr>
        <w:rPr>
          <w:szCs w:val="22"/>
        </w:rPr>
      </w:pPr>
      <w:r w:rsidRPr="00BB6485">
        <w:rPr>
          <w:szCs w:val="22"/>
        </w:rPr>
        <w:t xml:space="preserve">To meet the challenge of rapid identification and assessment of potential </w:t>
      </w:r>
      <w:smartTag w:uri="urn:schemas-microsoft-com:office:smarttags" w:element="stockticker">
        <w:r w:rsidRPr="00BB6485">
          <w:rPr>
            <w:szCs w:val="22"/>
          </w:rPr>
          <w:t>MAR</w:t>
        </w:r>
      </w:smartTag>
      <w:r w:rsidRPr="00BB6485">
        <w:rPr>
          <w:szCs w:val="22"/>
        </w:rPr>
        <w:t xml:space="preserve"> targets and groundwater resources over a large area (7,541.5 km</w:t>
      </w:r>
      <w:r w:rsidR="007312EC">
        <w:rPr>
          <w:szCs w:val="22"/>
        </w:rPr>
        <w:t>²</w:t>
      </w:r>
      <w:r w:rsidRPr="00BB6485">
        <w:rPr>
          <w:szCs w:val="22"/>
        </w:rPr>
        <w:t xml:space="preserve">) within relatively short timeframes (18 months), it was concluded that the only cost-effective method with the ability to resolve </w:t>
      </w:r>
      <w:r w:rsidR="004D514C">
        <w:rPr>
          <w:szCs w:val="22"/>
        </w:rPr>
        <w:t xml:space="preserve">key </w:t>
      </w:r>
      <w:r w:rsidRPr="00BB6485">
        <w:rPr>
          <w:szCs w:val="22"/>
        </w:rPr>
        <w:t xml:space="preserve">features </w:t>
      </w:r>
      <w:r w:rsidR="004D514C">
        <w:rPr>
          <w:szCs w:val="22"/>
        </w:rPr>
        <w:t xml:space="preserve">of the hydrogeological system </w:t>
      </w:r>
      <w:r w:rsidR="00260648">
        <w:rPr>
          <w:szCs w:val="22"/>
        </w:rPr>
        <w:t>in the 0-150</w:t>
      </w:r>
      <w:r w:rsidR="00AF0556">
        <w:rPr>
          <w:szCs w:val="22"/>
        </w:rPr>
        <w:t xml:space="preserve"> </w:t>
      </w:r>
      <w:r w:rsidR="00260648">
        <w:rPr>
          <w:szCs w:val="22"/>
        </w:rPr>
        <w:t>m</w:t>
      </w:r>
      <w:r w:rsidRPr="00BB6485">
        <w:rPr>
          <w:szCs w:val="22"/>
        </w:rPr>
        <w:t xml:space="preserve"> depth range was airborne electromagnetics (</w:t>
      </w:r>
      <w:smartTag w:uri="urn:schemas-microsoft-com:office:smarttags" w:element="stockticker">
        <w:r w:rsidRPr="00BB6485">
          <w:rPr>
            <w:szCs w:val="22"/>
          </w:rPr>
          <w:t>AEM</w:t>
        </w:r>
      </w:smartTag>
      <w:r w:rsidRPr="00BB6485">
        <w:rPr>
          <w:szCs w:val="22"/>
        </w:rPr>
        <w:t xml:space="preserve">). </w:t>
      </w:r>
    </w:p>
    <w:p w:rsidR="005D4DD1" w:rsidRDefault="005D4DD1" w:rsidP="00E158E2">
      <w:pPr>
        <w:rPr>
          <w:szCs w:val="22"/>
        </w:rPr>
      </w:pPr>
    </w:p>
    <w:p w:rsidR="008C5F15" w:rsidRPr="009B4316" w:rsidRDefault="005D4DD1" w:rsidP="008C5F15">
      <w:pPr>
        <w:rPr>
          <w:szCs w:val="22"/>
        </w:rPr>
      </w:pPr>
      <w:r w:rsidRPr="00BB6485">
        <w:rPr>
          <w:szCs w:val="22"/>
        </w:rPr>
        <w:t xml:space="preserve">In </w:t>
      </w:r>
      <w:smartTag w:uri="urn:schemas-microsoft-com:office:smarttags" w:element="country-region">
        <w:r w:rsidRPr="00BB6485">
          <w:rPr>
            <w:szCs w:val="22"/>
          </w:rPr>
          <w:t>Australia</w:t>
        </w:r>
      </w:smartTag>
      <w:r w:rsidR="00D07848">
        <w:rPr>
          <w:szCs w:val="22"/>
        </w:rPr>
        <w:t>’s salinized landscapes</w:t>
      </w:r>
      <w:r w:rsidRPr="00BB6485">
        <w:rPr>
          <w:szCs w:val="22"/>
        </w:rPr>
        <w:t xml:space="preserve">, </w:t>
      </w:r>
      <w:smartTag w:uri="urn:schemas-microsoft-com:office:smarttags" w:element="stockticker">
        <w:r w:rsidRPr="00BB6485">
          <w:rPr>
            <w:szCs w:val="22"/>
          </w:rPr>
          <w:t>AEM</w:t>
        </w:r>
      </w:smartTag>
      <w:r w:rsidRPr="00BB6485">
        <w:rPr>
          <w:szCs w:val="22"/>
        </w:rPr>
        <w:t xml:space="preserve"> has been used effectively to map hydrostr</w:t>
      </w:r>
      <w:r>
        <w:rPr>
          <w:szCs w:val="22"/>
        </w:rPr>
        <w:t xml:space="preserve">atigraphy, groundwater salinity, </w:t>
      </w:r>
      <w:r w:rsidRPr="00BB6485">
        <w:rPr>
          <w:szCs w:val="22"/>
        </w:rPr>
        <w:t>salinity hazard and risk</w:t>
      </w:r>
      <w:r>
        <w:rPr>
          <w:szCs w:val="22"/>
        </w:rPr>
        <w:t xml:space="preserve"> and groundwater resources</w:t>
      </w:r>
      <w:r w:rsidR="004D514C">
        <w:rPr>
          <w:szCs w:val="22"/>
        </w:rPr>
        <w:t>,</w:t>
      </w:r>
      <w:r w:rsidRPr="00BB6485">
        <w:rPr>
          <w:szCs w:val="22"/>
        </w:rPr>
        <w:t xml:space="preserve"> in a number of floodplain environments</w:t>
      </w:r>
      <w:r w:rsidR="004D514C">
        <w:rPr>
          <w:szCs w:val="22"/>
        </w:rPr>
        <w:t xml:space="preserve">, including </w:t>
      </w:r>
      <w:r w:rsidR="002C7858">
        <w:rPr>
          <w:szCs w:val="22"/>
        </w:rPr>
        <w:t xml:space="preserve">within </w:t>
      </w:r>
      <w:r w:rsidR="004D514C">
        <w:rPr>
          <w:szCs w:val="22"/>
        </w:rPr>
        <w:t xml:space="preserve">the </w:t>
      </w:r>
      <w:smartTag w:uri="urn:schemas-microsoft-com:office:smarttags" w:element="place">
        <w:smartTag w:uri="urn:schemas-microsoft-com:office:smarttags" w:element="PlaceName">
          <w:r w:rsidR="007312EC">
            <w:rPr>
              <w:szCs w:val="22"/>
            </w:rPr>
            <w:t>Murray-Darling</w:t>
          </w:r>
        </w:smartTag>
        <w:r w:rsidR="007312EC">
          <w:rPr>
            <w:szCs w:val="22"/>
          </w:rPr>
          <w:t xml:space="preserve"> </w:t>
        </w:r>
        <w:smartTag w:uri="urn:schemas-microsoft-com:office:smarttags" w:element="PlaceType">
          <w:r w:rsidR="004D514C">
            <w:rPr>
              <w:szCs w:val="22"/>
            </w:rPr>
            <w:t>Basin</w:t>
          </w:r>
        </w:smartTag>
      </w:smartTag>
      <w:r>
        <w:rPr>
          <w:szCs w:val="22"/>
        </w:rPr>
        <w:t xml:space="preserve">. </w:t>
      </w:r>
      <w:r w:rsidR="008C5F15" w:rsidRPr="009B4316">
        <w:rPr>
          <w:noProof/>
          <w:szCs w:val="22"/>
        </w:rPr>
        <w:t xml:space="preserve">In the BHMAR study, it was necessary to select an AEM system with the capability of mapping key </w:t>
      </w:r>
      <w:r w:rsidR="007312EC">
        <w:rPr>
          <w:noProof/>
          <w:szCs w:val="22"/>
        </w:rPr>
        <w:t xml:space="preserve">hydrogeological </w:t>
      </w:r>
      <w:r w:rsidR="008C5F15" w:rsidRPr="009B4316">
        <w:rPr>
          <w:noProof/>
          <w:szCs w:val="22"/>
        </w:rPr>
        <w:t xml:space="preserve">functional elements </w:t>
      </w:r>
      <w:r w:rsidR="004D514C">
        <w:rPr>
          <w:noProof/>
          <w:szCs w:val="22"/>
        </w:rPr>
        <w:t>critical to the success in</w:t>
      </w:r>
      <w:r w:rsidR="008C5F15" w:rsidRPr="009B4316">
        <w:rPr>
          <w:noProof/>
          <w:szCs w:val="22"/>
        </w:rPr>
        <w:t xml:space="preserve"> </w:t>
      </w:r>
      <w:r w:rsidR="004D514C">
        <w:rPr>
          <w:noProof/>
          <w:szCs w:val="22"/>
        </w:rPr>
        <w:t xml:space="preserve">identifying and </w:t>
      </w:r>
      <w:r w:rsidR="008C5F15" w:rsidRPr="009B4316">
        <w:rPr>
          <w:noProof/>
          <w:szCs w:val="22"/>
        </w:rPr>
        <w:t xml:space="preserve">assessing suitable </w:t>
      </w:r>
      <w:smartTag w:uri="urn:schemas-microsoft-com:office:smarttags" w:element="stockticker">
        <w:r w:rsidR="008C5F15" w:rsidRPr="009B4316">
          <w:rPr>
            <w:noProof/>
            <w:szCs w:val="22"/>
          </w:rPr>
          <w:t>MAR</w:t>
        </w:r>
      </w:smartTag>
      <w:r w:rsidR="008C5F15" w:rsidRPr="009B4316">
        <w:rPr>
          <w:noProof/>
          <w:szCs w:val="22"/>
        </w:rPr>
        <w:t xml:space="preserve"> </w:t>
      </w:r>
      <w:r w:rsidR="004D514C">
        <w:rPr>
          <w:noProof/>
          <w:szCs w:val="22"/>
        </w:rPr>
        <w:t xml:space="preserve">and groundwater resource </w:t>
      </w:r>
      <w:r w:rsidR="008C5F15" w:rsidRPr="009B4316">
        <w:rPr>
          <w:noProof/>
          <w:szCs w:val="22"/>
        </w:rPr>
        <w:t xml:space="preserve">targets. </w:t>
      </w:r>
      <w:r w:rsidR="004D514C">
        <w:rPr>
          <w:noProof/>
          <w:szCs w:val="22"/>
        </w:rPr>
        <w:t>This</w:t>
      </w:r>
      <w:r w:rsidR="008C5F15" w:rsidRPr="009B4316">
        <w:rPr>
          <w:noProof/>
          <w:szCs w:val="22"/>
        </w:rPr>
        <w:t xml:space="preserve"> necessitated selecting a</w:t>
      </w:r>
      <w:r w:rsidR="004D514C">
        <w:rPr>
          <w:noProof/>
          <w:szCs w:val="22"/>
        </w:rPr>
        <w:t>n AEM</w:t>
      </w:r>
      <w:r w:rsidR="008C5F15" w:rsidRPr="009B4316">
        <w:rPr>
          <w:noProof/>
          <w:szCs w:val="22"/>
        </w:rPr>
        <w:t xml:space="preserve"> system </w:t>
      </w:r>
      <w:r w:rsidR="00660AB7">
        <w:rPr>
          <w:noProof/>
          <w:szCs w:val="22"/>
        </w:rPr>
        <w:t>capable of mapping</w:t>
      </w:r>
      <w:r w:rsidR="004D514C">
        <w:rPr>
          <w:noProof/>
          <w:szCs w:val="22"/>
        </w:rPr>
        <w:t xml:space="preserve"> heterogeneities in the hydrostratigraphy and hydrogeology, and more specifically, the</w:t>
      </w:r>
      <w:r w:rsidR="008C5F15" w:rsidRPr="009B4316">
        <w:rPr>
          <w:noProof/>
          <w:szCs w:val="22"/>
        </w:rPr>
        <w:t>:</w:t>
      </w:r>
    </w:p>
    <w:p w:rsidR="004D514C" w:rsidRDefault="004D514C" w:rsidP="00A75725">
      <w:pPr>
        <w:numPr>
          <w:ilvl w:val="0"/>
          <w:numId w:val="49"/>
        </w:numPr>
        <w:spacing w:before="120"/>
        <w:ind w:left="714" w:hanging="357"/>
        <w:rPr>
          <w:szCs w:val="22"/>
        </w:rPr>
      </w:pPr>
      <w:r>
        <w:rPr>
          <w:szCs w:val="22"/>
        </w:rPr>
        <w:t>Thickness and extent of near-surface unconfined aquifers and aquitards that might provide recharge pathways or inhibit surface-groundwater connectivity;</w:t>
      </w:r>
    </w:p>
    <w:p w:rsidR="008C5F15" w:rsidRPr="009B4316" w:rsidRDefault="004D514C" w:rsidP="00A75725">
      <w:pPr>
        <w:numPr>
          <w:ilvl w:val="0"/>
          <w:numId w:val="49"/>
        </w:numPr>
        <w:spacing w:before="60"/>
        <w:ind w:left="714" w:hanging="357"/>
        <w:rPr>
          <w:szCs w:val="22"/>
        </w:rPr>
      </w:pPr>
      <w:r>
        <w:rPr>
          <w:szCs w:val="22"/>
        </w:rPr>
        <w:t xml:space="preserve">Thickness, </w:t>
      </w:r>
      <w:r w:rsidR="008C5F15" w:rsidRPr="009B4316">
        <w:rPr>
          <w:szCs w:val="22"/>
        </w:rPr>
        <w:t xml:space="preserve">extent and </w:t>
      </w:r>
      <w:r>
        <w:rPr>
          <w:szCs w:val="22"/>
        </w:rPr>
        <w:t xml:space="preserve">internal </w:t>
      </w:r>
      <w:r w:rsidR="008C5F15" w:rsidRPr="009B4316">
        <w:rPr>
          <w:szCs w:val="22"/>
        </w:rPr>
        <w:t xml:space="preserve">textural variability of </w:t>
      </w:r>
      <w:r>
        <w:rPr>
          <w:szCs w:val="22"/>
        </w:rPr>
        <w:t>Pliocene s</w:t>
      </w:r>
      <w:r w:rsidR="008C5F15" w:rsidRPr="009B4316">
        <w:rPr>
          <w:szCs w:val="22"/>
        </w:rPr>
        <w:t>and aquifers</w:t>
      </w:r>
      <w:r w:rsidR="000F12A4">
        <w:rPr>
          <w:szCs w:val="22"/>
        </w:rPr>
        <w:t>;</w:t>
      </w:r>
    </w:p>
    <w:p w:rsidR="008C5F15" w:rsidRPr="009B4316" w:rsidRDefault="004D514C" w:rsidP="00A75725">
      <w:pPr>
        <w:numPr>
          <w:ilvl w:val="0"/>
          <w:numId w:val="49"/>
        </w:numPr>
        <w:spacing w:before="60"/>
        <w:ind w:left="714" w:hanging="357"/>
        <w:rPr>
          <w:szCs w:val="22"/>
        </w:rPr>
      </w:pPr>
      <w:r>
        <w:rPr>
          <w:szCs w:val="22"/>
        </w:rPr>
        <w:t xml:space="preserve">Thickness, </w:t>
      </w:r>
      <w:r w:rsidR="008C5F15" w:rsidRPr="009B4316">
        <w:rPr>
          <w:szCs w:val="22"/>
        </w:rPr>
        <w:t xml:space="preserve">extent and </w:t>
      </w:r>
      <w:r>
        <w:rPr>
          <w:szCs w:val="22"/>
        </w:rPr>
        <w:t>internal variability in</w:t>
      </w:r>
      <w:r w:rsidR="008C5F15" w:rsidRPr="009B4316">
        <w:rPr>
          <w:szCs w:val="22"/>
        </w:rPr>
        <w:t xml:space="preserve"> </w:t>
      </w:r>
      <w:r>
        <w:rPr>
          <w:szCs w:val="22"/>
        </w:rPr>
        <w:t xml:space="preserve">upper (Blanchetown Clay) and lower (upper </w:t>
      </w:r>
      <w:r w:rsidR="00C217F0">
        <w:rPr>
          <w:szCs w:val="22"/>
        </w:rPr>
        <w:t>Renmark Group</w:t>
      </w:r>
      <w:r>
        <w:rPr>
          <w:szCs w:val="22"/>
        </w:rPr>
        <w:t xml:space="preserve">) confining </w:t>
      </w:r>
      <w:r w:rsidR="008C5F15" w:rsidRPr="009B4316">
        <w:rPr>
          <w:szCs w:val="22"/>
        </w:rPr>
        <w:t>aquit</w:t>
      </w:r>
      <w:r w:rsidR="000F12A4">
        <w:rPr>
          <w:szCs w:val="22"/>
        </w:rPr>
        <w:t>ards that ‘sandwich’ the</w:t>
      </w:r>
      <w:r w:rsidR="008C5F15" w:rsidRPr="009B4316">
        <w:rPr>
          <w:szCs w:val="22"/>
        </w:rPr>
        <w:t xml:space="preserve"> Pliocene Sand aquifers;</w:t>
      </w:r>
    </w:p>
    <w:p w:rsidR="008C5F15" w:rsidRPr="009B4316" w:rsidRDefault="004D514C" w:rsidP="00A75725">
      <w:pPr>
        <w:numPr>
          <w:ilvl w:val="0"/>
          <w:numId w:val="49"/>
        </w:numPr>
        <w:spacing w:before="60"/>
        <w:ind w:left="714" w:hanging="357"/>
        <w:rPr>
          <w:szCs w:val="22"/>
        </w:rPr>
      </w:pPr>
      <w:r>
        <w:rPr>
          <w:szCs w:val="22"/>
        </w:rPr>
        <w:t>3D distribution of groundwater salinity</w:t>
      </w:r>
      <w:r w:rsidR="008C5F15" w:rsidRPr="009B4316">
        <w:rPr>
          <w:szCs w:val="22"/>
        </w:rPr>
        <w:t xml:space="preserve"> </w:t>
      </w:r>
      <w:r>
        <w:rPr>
          <w:szCs w:val="22"/>
        </w:rPr>
        <w:t>(to help define</w:t>
      </w:r>
      <w:r w:rsidR="008C5F15" w:rsidRPr="009B4316">
        <w:rPr>
          <w:szCs w:val="22"/>
        </w:rPr>
        <w:t xml:space="preserve"> fresh and brackish groundwater resources</w:t>
      </w:r>
      <w:r>
        <w:rPr>
          <w:szCs w:val="22"/>
        </w:rPr>
        <w:t>)</w:t>
      </w:r>
      <w:r w:rsidR="008C5F15" w:rsidRPr="009B4316">
        <w:rPr>
          <w:szCs w:val="22"/>
        </w:rPr>
        <w:t>;</w:t>
      </w:r>
    </w:p>
    <w:p w:rsidR="008C5F15" w:rsidRPr="009B4316" w:rsidRDefault="004D514C" w:rsidP="00A75725">
      <w:pPr>
        <w:numPr>
          <w:ilvl w:val="0"/>
          <w:numId w:val="49"/>
        </w:numPr>
        <w:spacing w:before="60"/>
        <w:ind w:left="714" w:hanging="357"/>
        <w:rPr>
          <w:szCs w:val="22"/>
        </w:rPr>
      </w:pPr>
      <w:r>
        <w:rPr>
          <w:szCs w:val="22"/>
        </w:rPr>
        <w:t>Faults that might act as discrete recharge and groundwater flow pathways;</w:t>
      </w:r>
      <w:r w:rsidR="00B75694">
        <w:rPr>
          <w:szCs w:val="22"/>
        </w:rPr>
        <w:t xml:space="preserve"> and</w:t>
      </w:r>
    </w:p>
    <w:p w:rsidR="008C5F15" w:rsidRDefault="004D514C" w:rsidP="00A75725">
      <w:pPr>
        <w:numPr>
          <w:ilvl w:val="0"/>
          <w:numId w:val="49"/>
        </w:numPr>
        <w:spacing w:before="60"/>
        <w:ind w:left="714" w:hanging="357"/>
        <w:rPr>
          <w:szCs w:val="22"/>
        </w:rPr>
      </w:pPr>
      <w:r>
        <w:rPr>
          <w:szCs w:val="22"/>
        </w:rPr>
        <w:t>Zones of i</w:t>
      </w:r>
      <w:r w:rsidR="008C5F15" w:rsidRPr="009B4316">
        <w:rPr>
          <w:szCs w:val="22"/>
        </w:rPr>
        <w:t>nter-aquifer leakage</w:t>
      </w:r>
      <w:r>
        <w:rPr>
          <w:szCs w:val="22"/>
        </w:rPr>
        <w:t>.</w:t>
      </w:r>
    </w:p>
    <w:p w:rsidR="004D514C" w:rsidRPr="009B4316" w:rsidRDefault="004D514C" w:rsidP="004D514C">
      <w:pPr>
        <w:spacing w:before="60"/>
        <w:rPr>
          <w:szCs w:val="22"/>
        </w:rPr>
      </w:pPr>
    </w:p>
    <w:p w:rsidR="00660AB7" w:rsidRDefault="008C5F15" w:rsidP="008C5F15">
      <w:pPr>
        <w:rPr>
          <w:szCs w:val="22"/>
        </w:rPr>
      </w:pPr>
      <w:r w:rsidRPr="009B4316">
        <w:rPr>
          <w:noProof/>
          <w:lang w:val="en-US"/>
        </w:rPr>
        <w:t xml:space="preserve">In the BHMAR project, the helicopter-borne SkyTEM transient EM system was selected after </w:t>
      </w:r>
      <w:r w:rsidR="004D514C">
        <w:rPr>
          <w:noProof/>
          <w:lang w:val="en-US"/>
        </w:rPr>
        <w:t>a rigorous technology assessment exercise</w:t>
      </w:r>
      <w:r w:rsidRPr="009B4316">
        <w:rPr>
          <w:noProof/>
          <w:lang w:val="en-US"/>
        </w:rPr>
        <w:t xml:space="preserve">. </w:t>
      </w:r>
      <w:r w:rsidRPr="005D4DD1">
        <w:rPr>
          <w:noProof/>
          <w:lang w:val="en-US"/>
        </w:rPr>
        <w:t xml:space="preserve">The SkyTEM system is a helicopter-borne time-domain electromagnetic system, </w:t>
      </w:r>
      <w:r>
        <w:rPr>
          <w:noProof/>
          <w:lang w:val="en-US"/>
        </w:rPr>
        <w:t xml:space="preserve">and was </w:t>
      </w:r>
      <w:r w:rsidRPr="005D4DD1">
        <w:rPr>
          <w:szCs w:val="22"/>
        </w:rPr>
        <w:t>developed</w:t>
      </w:r>
      <w:r w:rsidRPr="00B70DAA">
        <w:rPr>
          <w:szCs w:val="22"/>
        </w:rPr>
        <w:t xml:space="preserve"> </w:t>
      </w:r>
      <w:r>
        <w:rPr>
          <w:szCs w:val="22"/>
        </w:rPr>
        <w:t xml:space="preserve">specifically </w:t>
      </w:r>
      <w:r w:rsidRPr="00B70DAA">
        <w:rPr>
          <w:szCs w:val="22"/>
        </w:rPr>
        <w:t>for high-resolution groundwater and environmental investi</w:t>
      </w:r>
      <w:smartTag w:uri="urn:schemas-microsoft-com:office:smarttags" w:element="PersonName">
        <w:r w:rsidRPr="00B70DAA">
          <w:rPr>
            <w:szCs w:val="22"/>
          </w:rPr>
          <w:t>ga</w:t>
        </w:r>
      </w:smartTag>
      <w:r w:rsidRPr="00B70DAA">
        <w:rPr>
          <w:szCs w:val="22"/>
        </w:rPr>
        <w:t xml:space="preserve">tions. </w:t>
      </w:r>
    </w:p>
    <w:p w:rsidR="00B40359" w:rsidRDefault="00B40359" w:rsidP="008C5F15">
      <w:pPr>
        <w:rPr>
          <w:szCs w:val="22"/>
        </w:rPr>
      </w:pPr>
    </w:p>
    <w:p w:rsidR="00B40359" w:rsidRDefault="00B40359" w:rsidP="008C5F15">
      <w:pPr>
        <w:rPr>
          <w:szCs w:val="22"/>
        </w:rPr>
      </w:pPr>
      <w:r>
        <w:rPr>
          <w:szCs w:val="22"/>
        </w:rPr>
        <w:t xml:space="preserve">The SkyTEM survey, validated by borehole and ground geophysics and drilling, successfully delineated the key functional elements of the Darling Floodplain hydrogeological </w:t>
      </w:r>
      <w:r w:rsidRPr="000B4790">
        <w:rPr>
          <w:szCs w:val="22"/>
        </w:rPr>
        <w:t xml:space="preserve">system listed above. The survey revealed significant heterogeneity in the sub-surface electrical conductivity structure (Figure E), reflecting a complex geology. Significant faulting, warping and tilting </w:t>
      </w:r>
      <w:r w:rsidR="00B75694">
        <w:rPr>
          <w:szCs w:val="22"/>
        </w:rPr>
        <w:t>are</w:t>
      </w:r>
      <w:r w:rsidRPr="000B4790">
        <w:rPr>
          <w:szCs w:val="22"/>
        </w:rPr>
        <w:t xml:space="preserve"> observed to disrupt hydrostratigraphic units (Figure F). The survey also mapped heterogeneity (and ‘holes’) within the near-surface aquifers and confining aquitards,</w:t>
      </w:r>
      <w:r>
        <w:rPr>
          <w:szCs w:val="22"/>
        </w:rPr>
        <w:t xml:space="preserve"> and five hydraulic classes (based on grain size) within the main aquifers, as well as groundwater salinities. </w:t>
      </w:r>
      <w:r>
        <w:rPr>
          <w:szCs w:val="22"/>
        </w:rPr>
        <w:lastRenderedPageBreak/>
        <w:t xml:space="preserve">Locally, pump and slug tests, and NMR data were integrated with the AEM data to produce maps of aquifer transmissivity. </w:t>
      </w:r>
    </w:p>
    <w:p w:rsidR="001D5ABC" w:rsidRDefault="001D5ABC" w:rsidP="001D5ABC">
      <w:pPr>
        <w:rPr>
          <w:szCs w:val="22"/>
        </w:rPr>
      </w:pPr>
    </w:p>
    <w:p w:rsidR="001D5ABC" w:rsidRDefault="001D5ABC" w:rsidP="001D5ABC">
      <w:pPr>
        <w:rPr>
          <w:szCs w:val="22"/>
        </w:rPr>
      </w:pPr>
      <w:r>
        <w:rPr>
          <w:szCs w:val="22"/>
        </w:rPr>
        <w:t xml:space="preserve">Only in more localised domains, where groundwater quality within the Pliocene aquifers is extremely saline, did it become too difficult to resolve some of the key aquifer boundaries and internal aquifer characteristics. A representative AEM cross-section with interpretation showing hydrostratigraphy, groundwater quality, and recharge and groundwater flow pathways, is </w:t>
      </w:r>
      <w:r w:rsidRPr="000B4790">
        <w:rPr>
          <w:szCs w:val="22"/>
        </w:rPr>
        <w:t>shown in Figure F. In the latter,</w:t>
      </w:r>
      <w:r>
        <w:rPr>
          <w:szCs w:val="22"/>
        </w:rPr>
        <w:t xml:space="preserve"> the importance of faults in providing recharge pathways is evident. Leakage from </w:t>
      </w:r>
      <w:smartTag w:uri="urn:schemas-microsoft-com:office:smarttags" w:element="place">
        <w:smartTag w:uri="urn:schemas-microsoft-com:office:smarttags" w:element="PlaceType">
          <w:r>
            <w:rPr>
              <w:szCs w:val="22"/>
            </w:rPr>
            <w:t>Lake</w:t>
          </w:r>
        </w:smartTag>
        <w:r>
          <w:rPr>
            <w:szCs w:val="22"/>
          </w:rPr>
          <w:t xml:space="preserve"> </w:t>
        </w:r>
        <w:smartTag w:uri="urn:schemas-microsoft-com:office:smarttags" w:element="PlaceName">
          <w:r>
            <w:rPr>
              <w:szCs w:val="22"/>
            </w:rPr>
            <w:t>Menindee</w:t>
          </w:r>
        </w:smartTag>
      </w:smartTag>
      <w:r>
        <w:rPr>
          <w:szCs w:val="22"/>
        </w:rPr>
        <w:t xml:space="preserve"> is via faults and through an erosional hole in the Blanchetown Clay.</w:t>
      </w:r>
    </w:p>
    <w:p w:rsidR="001D5ABC" w:rsidRDefault="001D5ABC" w:rsidP="001D5ABC">
      <w:pPr>
        <w:rPr>
          <w:szCs w:val="22"/>
        </w:rPr>
      </w:pPr>
    </w:p>
    <w:p w:rsidR="001D5ABC" w:rsidRDefault="001D5ABC" w:rsidP="001D5ABC">
      <w:pPr>
        <w:rPr>
          <w:szCs w:val="22"/>
        </w:rPr>
      </w:pPr>
      <w:r>
        <w:rPr>
          <w:szCs w:val="22"/>
        </w:rPr>
        <w:t xml:space="preserve">At the borefield scale, ground geophysics (resistivity and induced polarisation (IP)) was necessary to augment the AEM data in order to resolve some of the heterogeneities in the hydrogeological system revealed by drilling. Similarly, at a local scale, river bed bathymetry mapping was integrated with the AEM, ground geophysics, LiDAR, drilling data and hydrograph responses in order to assess the connectivity between the </w:t>
      </w:r>
      <w:smartTag w:uri="urn:schemas-microsoft-com:office:smarttags" w:element="place">
        <w:r>
          <w:rPr>
            <w:szCs w:val="22"/>
          </w:rPr>
          <w:t>Darling River</w:t>
        </w:r>
      </w:smartTag>
      <w:r w:rsidR="00236B51">
        <w:rPr>
          <w:szCs w:val="22"/>
        </w:rPr>
        <w:t xml:space="preserve"> distributaries</w:t>
      </w:r>
      <w:r>
        <w:rPr>
          <w:szCs w:val="22"/>
        </w:rPr>
        <w:t>, water table and the aquifers. At the Jimargil site, this revealed that the Calivil Formation aquifer is not in direct hydraulic connection with the river. The high resolution mapping revealed that the ‘cod holes’ in the base of the river, are floored by Blanchetown Clay aquitard, and are not incised into the Calivil Formation aquifer. On</w:t>
      </w:r>
      <w:r w:rsidR="00F25A1E">
        <w:rPr>
          <w:szCs w:val="22"/>
        </w:rPr>
        <w:t xml:space="preserve"> the surface, the high spatial resolution LiDAR dataset</w:t>
      </w:r>
      <w:r>
        <w:rPr>
          <w:szCs w:val="22"/>
        </w:rPr>
        <w:t xml:space="preserve"> provided a reliable base for mapping of surface geomorphic units, and was used as a base for flood extent mapping. </w:t>
      </w:r>
    </w:p>
    <w:p w:rsidR="001D5ABC" w:rsidRDefault="001D5ABC" w:rsidP="001D5ABC">
      <w:pPr>
        <w:rPr>
          <w:szCs w:val="22"/>
        </w:rPr>
      </w:pPr>
    </w:p>
    <w:p w:rsidR="00256855" w:rsidRDefault="00256855" w:rsidP="00256855">
      <w:pPr>
        <w:pStyle w:val="Level11"/>
        <w:numPr>
          <w:ilvl w:val="0"/>
          <w:numId w:val="0"/>
        </w:numPr>
        <w:spacing w:before="0"/>
        <w:rPr>
          <w:rFonts w:ascii="Times New Roman" w:hAnsi="Times New Roman"/>
          <w:sz w:val="22"/>
          <w:szCs w:val="22"/>
          <w:lang w:eastAsia="en-AU"/>
        </w:rPr>
      </w:pPr>
      <w:r w:rsidRPr="00816D04">
        <w:rPr>
          <w:rFonts w:ascii="Times New Roman" w:hAnsi="Times New Roman"/>
          <w:sz w:val="22"/>
          <w:szCs w:val="22"/>
          <w:lang w:eastAsia="en-AU"/>
        </w:rPr>
        <w:t xml:space="preserve">Critical to successful completion of MAR pre-commissioning maximal and residual risk assessments was an evolution in team science and project management from </w:t>
      </w:r>
      <w:r>
        <w:rPr>
          <w:rFonts w:ascii="Times New Roman" w:hAnsi="Times New Roman"/>
          <w:sz w:val="22"/>
          <w:szCs w:val="22"/>
          <w:lang w:eastAsia="en-AU"/>
        </w:rPr>
        <w:t>multi-disciplin</w:t>
      </w:r>
      <w:r w:rsidRPr="00816D04">
        <w:rPr>
          <w:rFonts w:ascii="Times New Roman" w:hAnsi="Times New Roman"/>
          <w:sz w:val="22"/>
          <w:szCs w:val="22"/>
          <w:lang w:eastAsia="en-AU"/>
        </w:rPr>
        <w:t xml:space="preserve">ary, to </w:t>
      </w:r>
      <w:r>
        <w:rPr>
          <w:rFonts w:ascii="Times New Roman" w:hAnsi="Times New Roman"/>
          <w:sz w:val="22"/>
          <w:szCs w:val="22"/>
          <w:lang w:eastAsia="en-AU"/>
        </w:rPr>
        <w:t>inter-disciplin</w:t>
      </w:r>
      <w:r w:rsidRPr="00816D04">
        <w:rPr>
          <w:rFonts w:ascii="Times New Roman" w:hAnsi="Times New Roman"/>
          <w:sz w:val="22"/>
          <w:szCs w:val="22"/>
          <w:lang w:eastAsia="en-AU"/>
        </w:rPr>
        <w:t xml:space="preserve">ary and finally a </w:t>
      </w:r>
      <w:r>
        <w:rPr>
          <w:rFonts w:ascii="Times New Roman" w:hAnsi="Times New Roman"/>
          <w:sz w:val="22"/>
          <w:szCs w:val="22"/>
          <w:lang w:eastAsia="en-AU"/>
        </w:rPr>
        <w:t>trans-disciplin</w:t>
      </w:r>
      <w:r w:rsidRPr="00816D04">
        <w:rPr>
          <w:rFonts w:ascii="Times New Roman" w:hAnsi="Times New Roman"/>
          <w:sz w:val="22"/>
          <w:szCs w:val="22"/>
          <w:lang w:eastAsia="en-AU"/>
        </w:rPr>
        <w:t>ary approach</w:t>
      </w:r>
      <w:r>
        <w:rPr>
          <w:rFonts w:ascii="Times New Roman" w:hAnsi="Times New Roman"/>
          <w:sz w:val="22"/>
          <w:szCs w:val="22"/>
          <w:lang w:eastAsia="en-AU"/>
        </w:rPr>
        <w:t xml:space="preserve"> (</w:t>
      </w:r>
      <w:r w:rsidR="00B96C96" w:rsidRPr="00B96C96">
        <w:rPr>
          <w:rFonts w:ascii="Times New Roman" w:hAnsi="Times New Roman"/>
          <w:sz w:val="22"/>
          <w:szCs w:val="22"/>
          <w:lang w:eastAsia="en-AU"/>
        </w:rPr>
        <w:fldChar w:fldCharType="begin"/>
      </w:r>
      <w:r w:rsidR="00B96C96">
        <w:rPr>
          <w:rFonts w:ascii="Times New Roman" w:hAnsi="Times New Roman"/>
          <w:sz w:val="22"/>
          <w:szCs w:val="22"/>
          <w:lang w:eastAsia="en-AU"/>
        </w:rPr>
        <w:instrText xml:space="preserve"> REF _Ref355623454 \h  \* MERGEFORMAT </w:instrText>
      </w:r>
      <w:r w:rsidR="00B96C96" w:rsidRPr="00B96C96">
        <w:rPr>
          <w:rFonts w:ascii="Times New Roman" w:hAnsi="Times New Roman"/>
          <w:sz w:val="22"/>
          <w:szCs w:val="22"/>
          <w:lang w:eastAsia="en-AU"/>
        </w:rPr>
      </w:r>
      <w:r w:rsidR="00B96C96" w:rsidRPr="00B96C96">
        <w:rPr>
          <w:rFonts w:ascii="Times New Roman" w:hAnsi="Times New Roman"/>
          <w:sz w:val="22"/>
          <w:szCs w:val="22"/>
          <w:lang w:eastAsia="en-AU"/>
        </w:rPr>
        <w:fldChar w:fldCharType="separate"/>
      </w:r>
      <w:r w:rsidR="00966532" w:rsidRPr="00966532">
        <w:rPr>
          <w:rFonts w:ascii="Times New Roman" w:hAnsi="Times New Roman"/>
          <w:sz w:val="22"/>
          <w:szCs w:val="22"/>
          <w:lang w:eastAsia="en-AU"/>
        </w:rPr>
        <w:t>Table 3</w:t>
      </w:r>
      <w:r w:rsidR="00966532" w:rsidRPr="00966532">
        <w:rPr>
          <w:rFonts w:ascii="Times New Roman" w:hAnsi="Times New Roman"/>
          <w:sz w:val="22"/>
          <w:szCs w:val="22"/>
          <w:lang w:eastAsia="en-AU"/>
        </w:rPr>
        <w:noBreakHyphen/>
        <w:t>1</w:t>
      </w:r>
      <w:r w:rsidR="00B96C96" w:rsidRPr="00B96C96">
        <w:rPr>
          <w:rFonts w:ascii="Times New Roman" w:hAnsi="Times New Roman"/>
          <w:sz w:val="22"/>
          <w:szCs w:val="22"/>
          <w:lang w:eastAsia="en-AU"/>
        </w:rPr>
        <w:fldChar w:fldCharType="end"/>
      </w:r>
      <w:r>
        <w:rPr>
          <w:rFonts w:ascii="Times New Roman" w:hAnsi="Times New Roman"/>
          <w:sz w:val="22"/>
          <w:szCs w:val="22"/>
          <w:lang w:eastAsia="en-AU"/>
        </w:rPr>
        <w:t>)</w:t>
      </w:r>
      <w:r w:rsidRPr="00816D04">
        <w:rPr>
          <w:rFonts w:ascii="Times New Roman" w:hAnsi="Times New Roman"/>
          <w:sz w:val="22"/>
          <w:szCs w:val="22"/>
          <w:lang w:eastAsia="en-AU"/>
        </w:rPr>
        <w:t xml:space="preserve">. </w:t>
      </w:r>
      <w:r>
        <w:rPr>
          <w:rFonts w:ascii="Times New Roman" w:hAnsi="Times New Roman"/>
          <w:sz w:val="22"/>
          <w:szCs w:val="22"/>
          <w:lang w:eastAsia="en-AU"/>
        </w:rPr>
        <w:t>Multi-disciplin</w:t>
      </w:r>
      <w:r w:rsidRPr="00816D04">
        <w:rPr>
          <w:rFonts w:ascii="Times New Roman" w:hAnsi="Times New Roman"/>
          <w:sz w:val="22"/>
          <w:szCs w:val="22"/>
          <w:lang w:eastAsia="en-AU"/>
        </w:rPr>
        <w:t xml:space="preserve">ary and </w:t>
      </w:r>
      <w:r>
        <w:rPr>
          <w:rFonts w:ascii="Times New Roman" w:hAnsi="Times New Roman"/>
          <w:sz w:val="22"/>
          <w:szCs w:val="22"/>
          <w:lang w:eastAsia="en-AU"/>
        </w:rPr>
        <w:t>inter-disciplin</w:t>
      </w:r>
      <w:r w:rsidRPr="00816D04">
        <w:rPr>
          <w:rFonts w:ascii="Times New Roman" w:hAnsi="Times New Roman"/>
          <w:sz w:val="22"/>
          <w:szCs w:val="22"/>
          <w:lang w:eastAsia="en-AU"/>
        </w:rPr>
        <w:t xml:space="preserve">ary approaches left many science questions unresolved. </w:t>
      </w:r>
    </w:p>
    <w:p w:rsidR="00256855" w:rsidRDefault="00256855" w:rsidP="00256855"/>
    <w:p w:rsidR="00256855" w:rsidRPr="00816D04" w:rsidRDefault="00256855" w:rsidP="00256855">
      <w:pPr>
        <w:pStyle w:val="Level11"/>
        <w:numPr>
          <w:ilvl w:val="0"/>
          <w:numId w:val="0"/>
        </w:numPr>
        <w:spacing w:before="0"/>
        <w:rPr>
          <w:rFonts w:ascii="Times New Roman" w:hAnsi="Times New Roman"/>
          <w:sz w:val="22"/>
          <w:szCs w:val="22"/>
          <w:lang w:eastAsia="en-AU"/>
        </w:rPr>
      </w:pPr>
      <w:r>
        <w:rPr>
          <w:rFonts w:ascii="Times New Roman" w:hAnsi="Times New Roman"/>
          <w:sz w:val="22"/>
          <w:szCs w:val="22"/>
          <w:lang w:eastAsia="en-AU"/>
        </w:rPr>
        <w:t>Using the trans-disciplinary approach, a</w:t>
      </w:r>
      <w:r w:rsidRPr="00816D04">
        <w:rPr>
          <w:rFonts w:ascii="Times New Roman" w:hAnsi="Times New Roman"/>
          <w:sz w:val="22"/>
          <w:szCs w:val="22"/>
          <w:lang w:eastAsia="en-AU"/>
        </w:rPr>
        <w:t xml:space="preserve"> process was established for confirming and negating established discipline-based methods and assumptions, and conceptual models. This approach enabled the team to recognise fundamental problems in discipline approaches, helped identify critical data gaps, led to significant innovation across discipline boundaries, and was critical in the development of a hydrogeological conceptual model that underpinned MAR assessment (Lawrie</w:t>
      </w:r>
      <w:r w:rsidR="008A5F7D" w:rsidRPr="008A5F7D">
        <w:rPr>
          <w:rFonts w:ascii="Times New Roman" w:hAnsi="Times New Roman"/>
          <w:i/>
          <w:sz w:val="22"/>
          <w:szCs w:val="22"/>
          <w:lang w:eastAsia="en-AU"/>
        </w:rPr>
        <w:t xml:space="preserve"> et al</w:t>
      </w:r>
      <w:r w:rsidRPr="00816D04">
        <w:rPr>
          <w:rFonts w:ascii="Times New Roman" w:hAnsi="Times New Roman"/>
          <w:sz w:val="22"/>
          <w:szCs w:val="22"/>
          <w:lang w:eastAsia="en-AU"/>
        </w:rPr>
        <w:t>., 2012</w:t>
      </w:r>
      <w:r w:rsidR="00FD32E9">
        <w:rPr>
          <w:rFonts w:ascii="Times New Roman" w:hAnsi="Times New Roman"/>
          <w:sz w:val="22"/>
          <w:szCs w:val="22"/>
          <w:lang w:eastAsia="en-AU"/>
        </w:rPr>
        <w:t>c</w:t>
      </w:r>
      <w:r w:rsidRPr="00816D04">
        <w:rPr>
          <w:rFonts w:ascii="Times New Roman" w:hAnsi="Times New Roman"/>
          <w:sz w:val="22"/>
          <w:szCs w:val="22"/>
          <w:lang w:eastAsia="en-AU"/>
        </w:rPr>
        <w:t>). The approach was facilitated by advances in geophysical and sensor technologies, and supercomputing.</w:t>
      </w:r>
    </w:p>
    <w:p w:rsidR="00256855" w:rsidRDefault="00256855" w:rsidP="001D5ABC">
      <w:pPr>
        <w:tabs>
          <w:tab w:val="num" w:pos="1797"/>
        </w:tabs>
        <w:rPr>
          <w:szCs w:val="22"/>
        </w:rPr>
      </w:pPr>
    </w:p>
    <w:p w:rsidR="001D5ABC" w:rsidRPr="00354539" w:rsidRDefault="001D5ABC" w:rsidP="001D5ABC">
      <w:pPr>
        <w:tabs>
          <w:tab w:val="num" w:pos="1797"/>
        </w:tabs>
        <w:rPr>
          <w:szCs w:val="22"/>
        </w:rPr>
      </w:pPr>
      <w:r>
        <w:rPr>
          <w:szCs w:val="22"/>
        </w:rPr>
        <w:t xml:space="preserve">In summary, </w:t>
      </w:r>
      <w:r w:rsidR="00256855">
        <w:rPr>
          <w:szCs w:val="22"/>
        </w:rPr>
        <w:t>the</w:t>
      </w:r>
      <w:r w:rsidRPr="00354539">
        <w:rPr>
          <w:szCs w:val="22"/>
        </w:rPr>
        <w:t xml:space="preserve"> systems mapping approach developed in this project </w:t>
      </w:r>
      <w:r w:rsidR="00256855">
        <w:rPr>
          <w:szCs w:val="22"/>
        </w:rPr>
        <w:t>has been critical to the development</w:t>
      </w:r>
      <w:r w:rsidRPr="00354539">
        <w:rPr>
          <w:szCs w:val="22"/>
        </w:rPr>
        <w:t xml:space="preserve"> of new geological and hydrogeological conceptual models</w:t>
      </w:r>
      <w:r w:rsidR="00256855">
        <w:rPr>
          <w:szCs w:val="22"/>
        </w:rPr>
        <w:t xml:space="preserve">. These </w:t>
      </w:r>
      <w:r w:rsidRPr="00354539">
        <w:rPr>
          <w:szCs w:val="22"/>
        </w:rPr>
        <w:t>provide a framework for understanding complex hydrogeological and hydrogeochemical processes. Integration of the 3D mapping with hydrochemical and hydrodynamic data provides critical new insights into surface-groundwater interact</w:t>
      </w:r>
      <w:r>
        <w:rPr>
          <w:szCs w:val="22"/>
        </w:rPr>
        <w:t>ions and groundwater flow. Using</w:t>
      </w:r>
      <w:r w:rsidRPr="00354539">
        <w:rPr>
          <w:szCs w:val="22"/>
        </w:rPr>
        <w:t xml:space="preserve"> this approach, it has been possible to develop a new understanding of recharge processes, and identify potential recharge and groundwater flow pathways. </w:t>
      </w:r>
    </w:p>
    <w:p w:rsidR="001D5ABC" w:rsidRDefault="001D5ABC" w:rsidP="001D5ABC">
      <w:pPr>
        <w:tabs>
          <w:tab w:val="num" w:pos="1797"/>
        </w:tabs>
        <w:rPr>
          <w:szCs w:val="22"/>
        </w:rPr>
      </w:pPr>
    </w:p>
    <w:p w:rsidR="001D5ABC" w:rsidRDefault="001D5ABC" w:rsidP="001D5ABC">
      <w:pPr>
        <w:tabs>
          <w:tab w:val="num" w:pos="1797"/>
        </w:tabs>
        <w:rPr>
          <w:sz w:val="21"/>
          <w:szCs w:val="21"/>
        </w:rPr>
      </w:pPr>
      <w:r w:rsidRPr="00354539">
        <w:rPr>
          <w:szCs w:val="22"/>
        </w:rPr>
        <w:t xml:space="preserve">The new datasets, knowledge and hydrogeological conceptual models generated in the project have provided a reliable basis for the identification, characterisation and initial assessment of groundwater resources and MAR options. </w:t>
      </w:r>
      <w:r>
        <w:rPr>
          <w:szCs w:val="22"/>
        </w:rPr>
        <w:t xml:space="preserve">In particular, </w:t>
      </w:r>
      <w:r w:rsidRPr="00236B51">
        <w:rPr>
          <w:szCs w:val="22"/>
        </w:rPr>
        <w:t>AEM data, informed by facies analysis of sonic cores, have been used to target high-yielding palaeochannels, greatly assisting with the rapid identification and prioritisation of groundwater resources and MAR targets.</w:t>
      </w:r>
      <w:r>
        <w:rPr>
          <w:sz w:val="21"/>
          <w:szCs w:val="21"/>
        </w:rPr>
        <w:t xml:space="preserve"> </w:t>
      </w:r>
    </w:p>
    <w:p w:rsidR="001D5ABC" w:rsidRDefault="001D5ABC" w:rsidP="001D5ABC">
      <w:pPr>
        <w:tabs>
          <w:tab w:val="num" w:pos="1797"/>
        </w:tabs>
        <w:rPr>
          <w:sz w:val="21"/>
          <w:szCs w:val="21"/>
        </w:rPr>
      </w:pPr>
    </w:p>
    <w:p w:rsidR="001D5ABC" w:rsidRDefault="001D5ABC" w:rsidP="001D5ABC">
      <w:pPr>
        <w:tabs>
          <w:tab w:val="num" w:pos="1797"/>
        </w:tabs>
        <w:rPr>
          <w:szCs w:val="22"/>
        </w:rPr>
      </w:pPr>
      <w:r w:rsidRPr="00354539">
        <w:rPr>
          <w:szCs w:val="22"/>
        </w:rPr>
        <w:t xml:space="preserve">The products and knowledge generated will also provide important inputs to assist with the parameterisation of groundwater </w:t>
      </w:r>
      <w:r w:rsidR="00F25A1E">
        <w:rPr>
          <w:szCs w:val="22"/>
        </w:rPr>
        <w:t xml:space="preserve">flow </w:t>
      </w:r>
      <w:r w:rsidRPr="00354539">
        <w:rPr>
          <w:szCs w:val="22"/>
        </w:rPr>
        <w:t>and solute trans</w:t>
      </w:r>
      <w:r>
        <w:rPr>
          <w:szCs w:val="22"/>
        </w:rPr>
        <w:t>port</w:t>
      </w:r>
      <w:r w:rsidRPr="00354539">
        <w:rPr>
          <w:szCs w:val="22"/>
        </w:rPr>
        <w:t xml:space="preserve"> models that are critical to the next steps in the assessment of MAR and groundwater extraction options in the area.</w:t>
      </w:r>
      <w:r w:rsidRPr="00992BBC">
        <w:rPr>
          <w:szCs w:val="22"/>
        </w:rPr>
        <w:t xml:space="preserve"> </w:t>
      </w:r>
      <w:r>
        <w:rPr>
          <w:szCs w:val="22"/>
        </w:rPr>
        <w:t xml:space="preserve">It is our understanding that this is the first use of a </w:t>
      </w:r>
      <w:r w:rsidR="00F25A1E">
        <w:rPr>
          <w:szCs w:val="22"/>
        </w:rPr>
        <w:t>trans</w:t>
      </w:r>
      <w:r>
        <w:rPr>
          <w:szCs w:val="22"/>
        </w:rPr>
        <w:t>-disciplinary approach utilising AEM for MAR identification and assessment.</w:t>
      </w:r>
    </w:p>
    <w:p w:rsidR="001D5ABC" w:rsidRDefault="001D5ABC" w:rsidP="008C5F15">
      <w:pPr>
        <w:rPr>
          <w:szCs w:val="22"/>
        </w:rPr>
      </w:pPr>
    </w:p>
    <w:p w:rsidR="00C0765F" w:rsidRPr="004A48E6" w:rsidRDefault="00706A3B" w:rsidP="007D5510">
      <w:pPr>
        <w:tabs>
          <w:tab w:val="num" w:pos="2517"/>
        </w:tabs>
        <w:spacing w:before="60" w:after="60"/>
        <w:jc w:val="center"/>
        <w:rPr>
          <w:sz w:val="21"/>
          <w:szCs w:val="21"/>
        </w:rPr>
      </w:pPr>
      <w:r>
        <w:rPr>
          <w:noProof/>
          <w:sz w:val="21"/>
          <w:szCs w:val="21"/>
        </w:rPr>
        <w:lastRenderedPageBreak/>
        <w:drawing>
          <wp:inline distT="0" distB="0" distL="0" distR="0" wp14:anchorId="2CDC4507" wp14:editId="1950E6AD">
            <wp:extent cx="5901055" cy="59969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1055" cy="5996940"/>
                    </a:xfrm>
                    <a:prstGeom prst="rect">
                      <a:avLst/>
                    </a:prstGeom>
                    <a:noFill/>
                    <a:ln>
                      <a:noFill/>
                    </a:ln>
                  </pic:spPr>
                </pic:pic>
              </a:graphicData>
            </a:graphic>
          </wp:inline>
        </w:drawing>
      </w:r>
    </w:p>
    <w:p w:rsidR="00C0765F" w:rsidRPr="00D01BED" w:rsidRDefault="00C0765F" w:rsidP="00C0765F">
      <w:pPr>
        <w:pStyle w:val="Caption"/>
        <w:rPr>
          <w:szCs w:val="22"/>
        </w:rPr>
      </w:pPr>
      <w:r w:rsidRPr="00666EC0">
        <w:rPr>
          <w:b/>
        </w:rPr>
        <w:t xml:space="preserve">Figure </w:t>
      </w:r>
      <w:r w:rsidR="0069045C">
        <w:rPr>
          <w:b/>
        </w:rPr>
        <w:t>E</w:t>
      </w:r>
      <w:r w:rsidRPr="00666EC0">
        <w:rPr>
          <w:b/>
        </w:rPr>
        <w:t>.</w:t>
      </w:r>
      <w:r w:rsidRPr="00666EC0">
        <w:t xml:space="preserve"> </w:t>
      </w:r>
      <w:r>
        <w:rPr>
          <w:szCs w:val="20"/>
        </w:rPr>
        <w:t>Oblique perspective view of AEM-derived conductivity data, looking N</w:t>
      </w:r>
      <w:r w:rsidR="00B75694">
        <w:rPr>
          <w:szCs w:val="20"/>
        </w:rPr>
        <w:t>E</w:t>
      </w:r>
      <w:r>
        <w:rPr>
          <w:szCs w:val="20"/>
        </w:rPr>
        <w:t xml:space="preserve"> across the central and northern half of the BHMAR </w:t>
      </w:r>
      <w:r w:rsidR="00A56C85">
        <w:rPr>
          <w:szCs w:val="20"/>
        </w:rPr>
        <w:t>project</w:t>
      </w:r>
      <w:r>
        <w:rPr>
          <w:szCs w:val="20"/>
        </w:rPr>
        <w:t xml:space="preserve"> area. The figure comprises </w:t>
      </w:r>
      <w:r w:rsidR="00326F96">
        <w:rPr>
          <w:szCs w:val="20"/>
        </w:rPr>
        <w:t xml:space="preserve">a representative </w:t>
      </w:r>
      <w:r>
        <w:rPr>
          <w:szCs w:val="20"/>
        </w:rPr>
        <w:t xml:space="preserve">conductivity depth </w:t>
      </w:r>
      <w:r w:rsidR="00326F96">
        <w:rPr>
          <w:szCs w:val="20"/>
        </w:rPr>
        <w:t>slice a</w:t>
      </w:r>
      <w:r w:rsidR="00F25A1E">
        <w:rPr>
          <w:szCs w:val="20"/>
        </w:rPr>
        <w:t>nd</w:t>
      </w:r>
      <w:r w:rsidR="00326F96">
        <w:rPr>
          <w:szCs w:val="20"/>
        </w:rPr>
        <w:t xml:space="preserve"> regional cross sections of the AEM data</w:t>
      </w:r>
      <w:r>
        <w:rPr>
          <w:szCs w:val="20"/>
        </w:rPr>
        <w:t>. The Jimargil priority site is identified as an irregular-shaped brown box</w:t>
      </w:r>
      <w:r w:rsidRPr="001E3931">
        <w:rPr>
          <w:szCs w:val="20"/>
        </w:rPr>
        <w:t>.</w:t>
      </w:r>
      <w:r w:rsidRPr="00BE08AB">
        <w:rPr>
          <w:bCs w:val="0"/>
          <w:i w:val="0"/>
        </w:rPr>
        <w:t xml:space="preserve"> </w:t>
      </w:r>
      <w:r w:rsidR="00D01BED" w:rsidRPr="00D01BED">
        <w:rPr>
          <w:bCs w:val="0"/>
        </w:rPr>
        <w:t>Blue areas map low electrical conductivity</w:t>
      </w:r>
      <w:r w:rsidR="00D01BED">
        <w:rPr>
          <w:bCs w:val="0"/>
        </w:rPr>
        <w:t xml:space="preserve"> in </w:t>
      </w:r>
      <w:r w:rsidR="00326F96">
        <w:rPr>
          <w:bCs w:val="0"/>
        </w:rPr>
        <w:t>both the</w:t>
      </w:r>
      <w:r w:rsidR="00D01BED">
        <w:rPr>
          <w:bCs w:val="0"/>
        </w:rPr>
        <w:t xml:space="preserve"> depth </w:t>
      </w:r>
      <w:r w:rsidR="00326F96">
        <w:rPr>
          <w:bCs w:val="0"/>
        </w:rPr>
        <w:t>slice and cross sections. Coloured dots represent the different types of boreholes drilled as part of the BHMAR project (green = sonic, cored; yellow = sonic, non-cored; purple = rotary mud)</w:t>
      </w:r>
      <w:r w:rsidR="00D01BED" w:rsidRPr="00A75725">
        <w:rPr>
          <w:bCs w:val="0"/>
          <w:i w:val="0"/>
        </w:rPr>
        <w:t>.</w:t>
      </w:r>
      <w:r w:rsidRPr="00A75725">
        <w:rPr>
          <w:bCs w:val="0"/>
          <w:i w:val="0"/>
        </w:rPr>
        <w:fldChar w:fldCharType="begin"/>
      </w:r>
      <w:r w:rsidRPr="00A75725">
        <w:rPr>
          <w:bCs w:val="0"/>
          <w:i w:val="0"/>
        </w:rPr>
        <w:instrText xml:space="preserve"> TC "</w:instrText>
      </w:r>
      <w:bookmarkStart w:id="29" w:name="_Toc325975189"/>
      <w:bookmarkStart w:id="30" w:name="_Toc390690194"/>
      <w:r w:rsidRPr="00A75725">
        <w:rPr>
          <w:bCs w:val="0"/>
          <w:i w:val="0"/>
        </w:rPr>
        <w:instrText xml:space="preserve">Figure </w:instrText>
      </w:r>
      <w:r w:rsidR="0069045C" w:rsidRPr="00A75725">
        <w:rPr>
          <w:bCs w:val="0"/>
          <w:i w:val="0"/>
        </w:rPr>
        <w:instrText>E</w:instrText>
      </w:r>
      <w:r w:rsidR="00497AD3">
        <w:rPr>
          <w:bCs w:val="0"/>
          <w:i w:val="0"/>
        </w:rPr>
        <w:instrText>.</w:instrText>
      </w:r>
      <w:r w:rsidRPr="00A75725">
        <w:rPr>
          <w:bCs w:val="0"/>
          <w:i w:val="0"/>
        </w:rPr>
        <w:instrText xml:space="preserve"> </w:instrText>
      </w:r>
      <w:r w:rsidRPr="00A75725">
        <w:rPr>
          <w:i w:val="0"/>
          <w:szCs w:val="20"/>
        </w:rPr>
        <w:instrText>Oblique perspective view of AEM-derived conductivity data, looking N</w:instrText>
      </w:r>
      <w:r w:rsidR="00B75694">
        <w:rPr>
          <w:i w:val="0"/>
          <w:szCs w:val="20"/>
        </w:rPr>
        <w:instrText>E</w:instrText>
      </w:r>
      <w:r w:rsidRPr="00A75725">
        <w:rPr>
          <w:i w:val="0"/>
          <w:szCs w:val="20"/>
        </w:rPr>
        <w:instrText xml:space="preserve"> across the central and northern half of the BHMAR </w:instrText>
      </w:r>
      <w:r w:rsidR="00A56C85">
        <w:rPr>
          <w:i w:val="0"/>
          <w:szCs w:val="20"/>
        </w:rPr>
        <w:instrText>project</w:instrText>
      </w:r>
      <w:r w:rsidRPr="00A75725">
        <w:rPr>
          <w:i w:val="0"/>
          <w:szCs w:val="20"/>
        </w:rPr>
        <w:instrText xml:space="preserve"> area.</w:instrText>
      </w:r>
      <w:bookmarkEnd w:id="29"/>
      <w:bookmarkEnd w:id="30"/>
      <w:r w:rsidRPr="00A75725">
        <w:rPr>
          <w:i w:val="0"/>
          <w:szCs w:val="20"/>
        </w:rPr>
        <w:instrText xml:space="preserve"> </w:instrText>
      </w:r>
      <w:r w:rsidRPr="00A75725">
        <w:rPr>
          <w:bCs w:val="0"/>
          <w:i w:val="0"/>
        </w:rPr>
        <w:instrText xml:space="preserve">" \f A \l “4” </w:instrText>
      </w:r>
      <w:r w:rsidRPr="00A75725">
        <w:rPr>
          <w:bCs w:val="0"/>
          <w:i w:val="0"/>
        </w:rPr>
        <w:fldChar w:fldCharType="end"/>
      </w:r>
    </w:p>
    <w:p w:rsidR="00260648" w:rsidRDefault="00260648" w:rsidP="00E158E2">
      <w:pPr>
        <w:rPr>
          <w:szCs w:val="22"/>
        </w:rPr>
      </w:pPr>
    </w:p>
    <w:p w:rsidR="0061356C" w:rsidRDefault="0061356C" w:rsidP="00E158E2">
      <w:pPr>
        <w:tabs>
          <w:tab w:val="num" w:pos="1797"/>
        </w:tabs>
        <w:rPr>
          <w:szCs w:val="22"/>
        </w:rPr>
      </w:pPr>
    </w:p>
    <w:p w:rsidR="002C7858" w:rsidRDefault="002C7858" w:rsidP="00E158E2">
      <w:pPr>
        <w:tabs>
          <w:tab w:val="num" w:pos="1797"/>
        </w:tabs>
        <w:rPr>
          <w:szCs w:val="22"/>
        </w:rPr>
        <w:sectPr w:rsidR="002C7858" w:rsidSect="00C6706D">
          <w:headerReference w:type="even" r:id="rId20"/>
          <w:headerReference w:type="default" r:id="rId21"/>
          <w:footerReference w:type="default" r:id="rId22"/>
          <w:headerReference w:type="first" r:id="rId23"/>
          <w:pgSz w:w="11906" w:h="16838" w:code="9"/>
          <w:pgMar w:top="1134" w:right="1134" w:bottom="1134" w:left="1134" w:header="709" w:footer="709" w:gutter="0"/>
          <w:pgNumType w:fmt="lowerRoman" w:start="1"/>
          <w:cols w:space="708"/>
          <w:docGrid w:linePitch="360"/>
        </w:sectPr>
      </w:pPr>
    </w:p>
    <w:p w:rsidR="003E7DC1" w:rsidRPr="008C08F4" w:rsidRDefault="00706A3B" w:rsidP="007D5510">
      <w:pPr>
        <w:spacing w:before="120" w:after="60"/>
        <w:jc w:val="center"/>
        <w:rPr>
          <w:i/>
          <w:sz w:val="20"/>
          <w:szCs w:val="20"/>
        </w:rPr>
      </w:pPr>
      <w:r>
        <w:rPr>
          <w:i/>
          <w:noProof/>
          <w:sz w:val="20"/>
          <w:szCs w:val="20"/>
        </w:rPr>
        <w:lastRenderedPageBreak/>
        <w:drawing>
          <wp:inline distT="0" distB="0" distL="0" distR="0" wp14:anchorId="4FAE391D" wp14:editId="69D1E533">
            <wp:extent cx="8420735" cy="5422900"/>
            <wp:effectExtent l="19050" t="19050" r="0" b="6350"/>
            <wp:docPr id="12" name="Picture 12" descr="Figure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420735" cy="5422900"/>
                    </a:xfrm>
                    <a:prstGeom prst="rect">
                      <a:avLst/>
                    </a:prstGeom>
                    <a:noFill/>
                    <a:ln w="6350" cmpd="sng">
                      <a:solidFill>
                        <a:srgbClr val="000000"/>
                      </a:solidFill>
                      <a:miter lim="800000"/>
                      <a:headEnd/>
                      <a:tailEnd/>
                    </a:ln>
                    <a:effectLst/>
                  </pic:spPr>
                </pic:pic>
              </a:graphicData>
            </a:graphic>
          </wp:inline>
        </w:drawing>
      </w:r>
    </w:p>
    <w:p w:rsidR="0061356C" w:rsidRDefault="003E7DC1" w:rsidP="000D2D68">
      <w:pPr>
        <w:pStyle w:val="Caption"/>
        <w:sectPr w:rsidR="0061356C" w:rsidSect="00C6706D">
          <w:headerReference w:type="even" r:id="rId25"/>
          <w:headerReference w:type="default" r:id="rId26"/>
          <w:footerReference w:type="default" r:id="rId27"/>
          <w:headerReference w:type="first" r:id="rId28"/>
          <w:pgSz w:w="16838" w:h="11906" w:orient="landscape" w:code="9"/>
          <w:pgMar w:top="1134" w:right="1134" w:bottom="1134" w:left="1134" w:header="709" w:footer="709" w:gutter="0"/>
          <w:pgNumType w:fmt="lowerRoman"/>
          <w:cols w:space="708"/>
          <w:docGrid w:linePitch="360"/>
        </w:sectPr>
      </w:pPr>
      <w:r w:rsidRPr="0069045C">
        <w:rPr>
          <w:b/>
          <w:szCs w:val="20"/>
        </w:rPr>
        <w:t xml:space="preserve">Figure </w:t>
      </w:r>
      <w:r w:rsidR="0069045C" w:rsidRPr="0069045C">
        <w:rPr>
          <w:b/>
          <w:szCs w:val="20"/>
        </w:rPr>
        <w:t>F</w:t>
      </w:r>
      <w:r w:rsidRPr="0069045C">
        <w:rPr>
          <w:b/>
          <w:szCs w:val="20"/>
        </w:rPr>
        <w:t>.</w:t>
      </w:r>
      <w:r w:rsidRPr="0069045C">
        <w:rPr>
          <w:szCs w:val="20"/>
        </w:rPr>
        <w:t xml:space="preserve"> Geological cross-section NNW-SSE across the project area from north of </w:t>
      </w:r>
      <w:smartTag w:uri="urn:schemas-microsoft-com:office:smarttags" w:element="place">
        <w:smartTag w:uri="urn:schemas-microsoft-com:office:smarttags" w:element="PlaceType">
          <w:r w:rsidR="00C217F0">
            <w:rPr>
              <w:szCs w:val="20"/>
            </w:rPr>
            <w:t>Lake</w:t>
          </w:r>
        </w:smartTag>
        <w:r w:rsidR="00C217F0">
          <w:rPr>
            <w:szCs w:val="20"/>
          </w:rPr>
          <w:t xml:space="preserve"> </w:t>
        </w:r>
        <w:smartTag w:uri="urn:schemas-microsoft-com:office:smarttags" w:element="PlaceName">
          <w:r w:rsidR="00C217F0">
            <w:rPr>
              <w:szCs w:val="20"/>
            </w:rPr>
            <w:t>Menindee</w:t>
          </w:r>
        </w:smartTag>
      </w:smartTag>
      <w:r w:rsidRPr="0069045C">
        <w:rPr>
          <w:szCs w:val="20"/>
        </w:rPr>
        <w:t xml:space="preserve"> to Larloona Station. The top panel is an AEM conducti</w:t>
      </w:r>
      <w:r w:rsidR="00177FC7" w:rsidRPr="0069045C">
        <w:rPr>
          <w:szCs w:val="20"/>
        </w:rPr>
        <w:t xml:space="preserve">vity depth </w:t>
      </w:r>
      <w:r w:rsidR="00C34388">
        <w:rPr>
          <w:szCs w:val="20"/>
        </w:rPr>
        <w:t>section, with blue representing low electrical conductivity and red being high.</w:t>
      </w:r>
      <w:r w:rsidR="00177FC7" w:rsidRPr="0069045C">
        <w:rPr>
          <w:szCs w:val="20"/>
        </w:rPr>
        <w:t xml:space="preserve"> </w:t>
      </w:r>
      <w:r w:rsidR="00C34388">
        <w:rPr>
          <w:szCs w:val="20"/>
        </w:rPr>
        <w:t>The</w:t>
      </w:r>
      <w:r w:rsidR="00177FC7" w:rsidRPr="0069045C">
        <w:rPr>
          <w:szCs w:val="20"/>
        </w:rPr>
        <w:t xml:space="preserve"> geological interpretation </w:t>
      </w:r>
      <w:r w:rsidR="00C34388">
        <w:rPr>
          <w:szCs w:val="20"/>
        </w:rPr>
        <w:t xml:space="preserve">of the section is </w:t>
      </w:r>
      <w:r w:rsidR="00177FC7" w:rsidRPr="0069045C">
        <w:rPr>
          <w:szCs w:val="20"/>
        </w:rPr>
        <w:t xml:space="preserve">in the panel below. </w:t>
      </w:r>
      <w:r w:rsidR="00C0765F" w:rsidRPr="0069045C">
        <w:rPr>
          <w:szCs w:val="20"/>
        </w:rPr>
        <w:t xml:space="preserve">Boreholes are also displayed. </w:t>
      </w:r>
      <w:r w:rsidR="00177FC7" w:rsidRPr="0069045C">
        <w:rPr>
          <w:szCs w:val="20"/>
        </w:rPr>
        <w:t>Arrows in the</w:t>
      </w:r>
      <w:r w:rsidR="00C34388">
        <w:rPr>
          <w:szCs w:val="20"/>
        </w:rPr>
        <w:t xml:space="preserve"> lower panel</w:t>
      </w:r>
      <w:r w:rsidR="00177FC7" w:rsidRPr="0069045C">
        <w:rPr>
          <w:szCs w:val="20"/>
        </w:rPr>
        <w:t xml:space="preserve"> denote schematic</w:t>
      </w:r>
      <w:r w:rsidR="007A5D3C">
        <w:rPr>
          <w:szCs w:val="20"/>
        </w:rPr>
        <w:t xml:space="preserve"> </w:t>
      </w:r>
      <w:r w:rsidR="00177FC7" w:rsidRPr="0069045C">
        <w:rPr>
          <w:szCs w:val="20"/>
        </w:rPr>
        <w:t>recharge pa</w:t>
      </w:r>
      <w:r w:rsidR="007A5D3C">
        <w:rPr>
          <w:szCs w:val="20"/>
        </w:rPr>
        <w:t>t</w:t>
      </w:r>
      <w:r w:rsidR="00177FC7" w:rsidRPr="0069045C">
        <w:rPr>
          <w:szCs w:val="20"/>
        </w:rPr>
        <w:t>hways to fresh groundwater resources</w:t>
      </w:r>
      <w:r w:rsidR="0035779D">
        <w:rPr>
          <w:i w:val="0"/>
          <w:szCs w:val="20"/>
        </w:rPr>
        <w:t>.</w:t>
      </w:r>
      <w:r w:rsidR="00465915">
        <w:rPr>
          <w:i w:val="0"/>
          <w:szCs w:val="20"/>
        </w:rPr>
        <w:t xml:space="preserve"> </w:t>
      </w:r>
      <w:r w:rsidR="0069045C" w:rsidRPr="005706E3">
        <w:rPr>
          <w:bCs w:val="0"/>
          <w:i w:val="0"/>
        </w:rPr>
        <w:fldChar w:fldCharType="begin"/>
      </w:r>
      <w:r w:rsidR="0069045C">
        <w:rPr>
          <w:bCs w:val="0"/>
          <w:i w:val="0"/>
        </w:rPr>
        <w:instrText xml:space="preserve"> TC "</w:instrText>
      </w:r>
      <w:bookmarkStart w:id="31" w:name="_Toc325975190"/>
      <w:bookmarkStart w:id="32" w:name="_Toc390690195"/>
      <w:r w:rsidR="0069045C" w:rsidRPr="00666EC0">
        <w:rPr>
          <w:bCs w:val="0"/>
          <w:i w:val="0"/>
        </w:rPr>
        <w:instrText xml:space="preserve">Figure </w:instrText>
      </w:r>
      <w:r w:rsidR="0069045C">
        <w:rPr>
          <w:bCs w:val="0"/>
          <w:i w:val="0"/>
        </w:rPr>
        <w:instrText>F</w:instrText>
      </w:r>
      <w:r w:rsidR="00497AD3">
        <w:rPr>
          <w:bCs w:val="0"/>
          <w:i w:val="0"/>
        </w:rPr>
        <w:instrText>.</w:instrText>
      </w:r>
      <w:r w:rsidR="0069045C" w:rsidRPr="00666EC0">
        <w:rPr>
          <w:bCs w:val="0"/>
          <w:i w:val="0"/>
        </w:rPr>
        <w:instrText xml:space="preserve"> </w:instrText>
      </w:r>
      <w:r w:rsidR="0069045C" w:rsidRPr="001A0B80">
        <w:rPr>
          <w:i w:val="0"/>
          <w:szCs w:val="20"/>
        </w:rPr>
        <w:instrText xml:space="preserve">Geological cross-section NNW-SSE across the project area from north of </w:instrText>
      </w:r>
      <w:smartTag w:uri="urn:schemas-microsoft-com:office:smarttags" w:element="place">
        <w:smartTag w:uri="urn:schemas-microsoft-com:office:smarttags" w:element="PlaceType">
          <w:r w:rsidR="00C217F0">
            <w:rPr>
              <w:i w:val="0"/>
              <w:szCs w:val="20"/>
            </w:rPr>
            <w:instrText>Lake</w:instrText>
          </w:r>
        </w:smartTag>
        <w:r w:rsidR="00C217F0">
          <w:rPr>
            <w:i w:val="0"/>
            <w:szCs w:val="20"/>
          </w:rPr>
          <w:instrText xml:space="preserve"> </w:instrText>
        </w:r>
        <w:smartTag w:uri="urn:schemas-microsoft-com:office:smarttags" w:element="PlaceName">
          <w:r w:rsidR="00C217F0">
            <w:rPr>
              <w:i w:val="0"/>
              <w:szCs w:val="20"/>
            </w:rPr>
            <w:instrText>Menindee</w:instrText>
          </w:r>
        </w:smartTag>
      </w:smartTag>
      <w:r w:rsidR="0069045C" w:rsidRPr="001A0B80">
        <w:rPr>
          <w:i w:val="0"/>
          <w:szCs w:val="20"/>
        </w:rPr>
        <w:instrText xml:space="preserve"> to Larloona Station</w:instrText>
      </w:r>
      <w:r w:rsidR="0069045C">
        <w:rPr>
          <w:szCs w:val="20"/>
        </w:rPr>
        <w:instrText>..</w:instrText>
      </w:r>
      <w:bookmarkEnd w:id="31"/>
      <w:bookmarkEnd w:id="32"/>
      <w:r w:rsidR="0069045C">
        <w:rPr>
          <w:szCs w:val="20"/>
        </w:rPr>
        <w:instrText xml:space="preserve"> </w:instrText>
      </w:r>
      <w:r w:rsidR="0069045C" w:rsidRPr="00666EC0">
        <w:rPr>
          <w:bCs w:val="0"/>
          <w:i w:val="0"/>
        </w:rPr>
        <w:instrText>" \f A \l “4”</w:instrText>
      </w:r>
      <w:r w:rsidR="0069045C" w:rsidRPr="005706E3">
        <w:rPr>
          <w:bCs w:val="0"/>
          <w:i w:val="0"/>
        </w:rPr>
        <w:instrText xml:space="preserve"> </w:instrText>
      </w:r>
      <w:r w:rsidR="0069045C" w:rsidRPr="005706E3">
        <w:rPr>
          <w:bCs w:val="0"/>
          <w:i w:val="0"/>
        </w:rPr>
        <w:fldChar w:fldCharType="end"/>
      </w:r>
    </w:p>
    <w:p w:rsidR="00826DFB" w:rsidRPr="00DD1E35" w:rsidRDefault="0058082B" w:rsidP="001440A3">
      <w:pPr>
        <w:spacing w:before="320" w:after="120"/>
        <w:rPr>
          <w:b/>
          <w:color w:val="3366FF"/>
          <w:sz w:val="32"/>
          <w:szCs w:val="32"/>
          <w:lang w:eastAsia="en-US"/>
        </w:rPr>
      </w:pPr>
      <w:r>
        <w:rPr>
          <w:b/>
          <w:color w:val="3366FF"/>
          <w:sz w:val="32"/>
          <w:szCs w:val="32"/>
          <w:lang w:eastAsia="en-US"/>
        </w:rPr>
        <w:lastRenderedPageBreak/>
        <w:t xml:space="preserve">REVISED GEOLOGICAL </w:t>
      </w:r>
      <w:r w:rsidR="00354539">
        <w:rPr>
          <w:b/>
          <w:color w:val="3366FF"/>
          <w:sz w:val="32"/>
          <w:szCs w:val="32"/>
          <w:lang w:eastAsia="en-US"/>
        </w:rPr>
        <w:t xml:space="preserve">AND HYDROGEOLOGICAL </w:t>
      </w:r>
      <w:r>
        <w:rPr>
          <w:b/>
          <w:color w:val="3366FF"/>
          <w:sz w:val="32"/>
          <w:szCs w:val="32"/>
          <w:lang w:eastAsia="en-US"/>
        </w:rPr>
        <w:t>FRAMEWORK</w:t>
      </w:r>
    </w:p>
    <w:p w:rsidR="00F567C5" w:rsidRPr="00177FC7" w:rsidRDefault="00177FC7" w:rsidP="001C1EE8">
      <w:pPr>
        <w:spacing w:before="120" w:after="120"/>
        <w:rPr>
          <w:szCs w:val="22"/>
        </w:rPr>
      </w:pPr>
      <w:r>
        <w:rPr>
          <w:szCs w:val="22"/>
        </w:rPr>
        <w:t xml:space="preserve">Scientific </w:t>
      </w:r>
      <w:r w:rsidRPr="000D6958">
        <w:rPr>
          <w:szCs w:val="22"/>
        </w:rPr>
        <w:t>investigations in this project have</w:t>
      </w:r>
      <w:r w:rsidR="004B3C4F" w:rsidRPr="00236B51">
        <w:rPr>
          <w:szCs w:val="22"/>
        </w:rPr>
        <w:t xml:space="preserve"> </w:t>
      </w:r>
      <w:r w:rsidRPr="00236B51">
        <w:rPr>
          <w:szCs w:val="22"/>
        </w:rPr>
        <w:t xml:space="preserve">completely revised our understanding of the age, stratigraphy and depositional mode of the Darling Floodplain surficial sediments, and </w:t>
      </w:r>
      <w:r w:rsidRPr="000D6958">
        <w:rPr>
          <w:szCs w:val="22"/>
        </w:rPr>
        <w:t>significantly revised</w:t>
      </w:r>
      <w:r>
        <w:rPr>
          <w:szCs w:val="22"/>
        </w:rPr>
        <w:t xml:space="preserve"> our</w:t>
      </w:r>
      <w:r w:rsidRPr="00992BBC">
        <w:rPr>
          <w:szCs w:val="22"/>
        </w:rPr>
        <w:t xml:space="preserve"> </w:t>
      </w:r>
      <w:r>
        <w:rPr>
          <w:szCs w:val="22"/>
        </w:rPr>
        <w:t xml:space="preserve">understanding of the </w:t>
      </w:r>
      <w:r w:rsidRPr="00992BBC">
        <w:rPr>
          <w:szCs w:val="22"/>
        </w:rPr>
        <w:t>geologica</w:t>
      </w:r>
      <w:r>
        <w:rPr>
          <w:szCs w:val="22"/>
        </w:rPr>
        <w:t>l and hydrogeological framework, and landscape evolution, of</w:t>
      </w:r>
      <w:r w:rsidRPr="00992BBC">
        <w:rPr>
          <w:szCs w:val="22"/>
        </w:rPr>
        <w:t xml:space="preserve"> the </w:t>
      </w:r>
      <w:smartTag w:uri="urn:schemas-microsoft-com:office:smarttags" w:element="place">
        <w:smartTag w:uri="urn:schemas-microsoft-com:office:smarttags" w:element="PlaceName">
          <w:r w:rsidRPr="00992BBC">
            <w:rPr>
              <w:szCs w:val="22"/>
            </w:rPr>
            <w:t>Cainozoic</w:t>
          </w:r>
        </w:smartTag>
        <w:r w:rsidRPr="00992BBC">
          <w:rPr>
            <w:szCs w:val="22"/>
          </w:rPr>
          <w:t xml:space="preserve"> </w:t>
        </w:r>
        <w:smartTag w:uri="urn:schemas-microsoft-com:office:smarttags" w:element="PlaceName">
          <w:r w:rsidRPr="00992BBC">
            <w:rPr>
              <w:szCs w:val="22"/>
            </w:rPr>
            <w:t>Murray</w:t>
          </w:r>
        </w:smartTag>
        <w:r w:rsidRPr="00992BBC">
          <w:rPr>
            <w:szCs w:val="22"/>
          </w:rPr>
          <w:t xml:space="preserve"> </w:t>
        </w:r>
        <w:smartTag w:uri="urn:schemas-microsoft-com:office:smarttags" w:element="PlaceName">
          <w:r w:rsidR="007A5D3C">
            <w:rPr>
              <w:szCs w:val="22"/>
            </w:rPr>
            <w:t>Geological</w:t>
          </w:r>
        </w:smartTag>
        <w:r w:rsidR="007A5D3C">
          <w:rPr>
            <w:szCs w:val="22"/>
          </w:rPr>
          <w:t xml:space="preserve"> </w:t>
        </w:r>
        <w:smartTag w:uri="urn:schemas-microsoft-com:office:smarttags" w:element="PlaceType">
          <w:r w:rsidRPr="00992BBC">
            <w:rPr>
              <w:szCs w:val="22"/>
            </w:rPr>
            <w:t>Basin</w:t>
          </w:r>
        </w:smartTag>
      </w:smartTag>
      <w:r w:rsidRPr="00992BBC">
        <w:rPr>
          <w:szCs w:val="22"/>
        </w:rPr>
        <w:t xml:space="preserve"> in the project area. </w:t>
      </w:r>
      <w:r>
        <w:rPr>
          <w:szCs w:val="22"/>
        </w:rPr>
        <w:t>Th</w:t>
      </w:r>
      <w:r w:rsidR="007A5D3C">
        <w:rPr>
          <w:szCs w:val="22"/>
        </w:rPr>
        <w:t>is</w:t>
      </w:r>
      <w:r>
        <w:rPr>
          <w:szCs w:val="22"/>
        </w:rPr>
        <w:t xml:space="preserve"> revis</w:t>
      </w:r>
      <w:r w:rsidR="007A5D3C">
        <w:rPr>
          <w:szCs w:val="22"/>
        </w:rPr>
        <w:t>ion</w:t>
      </w:r>
      <w:r>
        <w:rPr>
          <w:szCs w:val="22"/>
        </w:rPr>
        <w:t xml:space="preserve"> ha</w:t>
      </w:r>
      <w:r w:rsidR="007A5D3C">
        <w:rPr>
          <w:szCs w:val="22"/>
        </w:rPr>
        <w:t>s</w:t>
      </w:r>
      <w:r w:rsidR="004B3C4F" w:rsidRPr="00992BBC">
        <w:rPr>
          <w:szCs w:val="22"/>
        </w:rPr>
        <w:t xml:space="preserve"> important implications for </w:t>
      </w:r>
      <w:r>
        <w:rPr>
          <w:szCs w:val="22"/>
        </w:rPr>
        <w:t>understanding hydro</w:t>
      </w:r>
      <w:r w:rsidR="007A5D3C">
        <w:rPr>
          <w:szCs w:val="22"/>
        </w:rPr>
        <w:t xml:space="preserve">logical </w:t>
      </w:r>
      <w:r>
        <w:rPr>
          <w:szCs w:val="22"/>
        </w:rPr>
        <w:t xml:space="preserve">and hydrochemical processes, and for understanding processes leading to the localisation of groundwater resources. </w:t>
      </w:r>
      <w:r w:rsidR="00C0765F">
        <w:rPr>
          <w:szCs w:val="22"/>
        </w:rPr>
        <w:t xml:space="preserve">Details of the depositional mode, mineralogy, and characteristics, of </w:t>
      </w:r>
      <w:r w:rsidR="0069045C">
        <w:rPr>
          <w:szCs w:val="22"/>
        </w:rPr>
        <w:t>the stratigraphic units have</w:t>
      </w:r>
      <w:r w:rsidR="00C0765F">
        <w:rPr>
          <w:szCs w:val="22"/>
        </w:rPr>
        <w:t xml:space="preserve"> been invaluable in guiding interpretation of the AEM data, and in evaluating the identified groundwater resources. </w:t>
      </w:r>
      <w:r>
        <w:rPr>
          <w:szCs w:val="22"/>
        </w:rPr>
        <w:t xml:space="preserve">The revised 3D frameworks </w:t>
      </w:r>
      <w:r w:rsidR="00C0765F">
        <w:rPr>
          <w:szCs w:val="22"/>
        </w:rPr>
        <w:t xml:space="preserve">and details of internal geological and hydrogeological </w:t>
      </w:r>
      <w:r w:rsidR="001C0090">
        <w:rPr>
          <w:szCs w:val="22"/>
        </w:rPr>
        <w:t>characteristics</w:t>
      </w:r>
      <w:r w:rsidR="00C0765F">
        <w:rPr>
          <w:szCs w:val="22"/>
        </w:rPr>
        <w:t xml:space="preserve"> </w:t>
      </w:r>
      <w:r>
        <w:rPr>
          <w:szCs w:val="22"/>
        </w:rPr>
        <w:t xml:space="preserve">are </w:t>
      </w:r>
      <w:r w:rsidR="00C0765F">
        <w:rPr>
          <w:szCs w:val="22"/>
        </w:rPr>
        <w:t xml:space="preserve">also </w:t>
      </w:r>
      <w:r>
        <w:rPr>
          <w:szCs w:val="22"/>
        </w:rPr>
        <w:t>essential for the identification and assessment of MAR o</w:t>
      </w:r>
      <w:r w:rsidR="00C0765F">
        <w:rPr>
          <w:szCs w:val="22"/>
        </w:rPr>
        <w:t>ptions</w:t>
      </w:r>
      <w:r w:rsidR="004B3C4F" w:rsidRPr="00992BBC">
        <w:rPr>
          <w:szCs w:val="22"/>
        </w:rPr>
        <w:t>.</w:t>
      </w:r>
      <w:r w:rsidR="001C1EE8" w:rsidRPr="001C1EE8">
        <w:rPr>
          <w:szCs w:val="22"/>
        </w:rPr>
        <w:t xml:space="preserve"> </w:t>
      </w:r>
    </w:p>
    <w:p w:rsidR="00B152FD" w:rsidRPr="001440A3" w:rsidRDefault="00B152FD" w:rsidP="001440A3">
      <w:pPr>
        <w:tabs>
          <w:tab w:val="num" w:pos="2517"/>
        </w:tabs>
        <w:spacing w:before="240" w:after="120"/>
        <w:rPr>
          <w:b/>
          <w:sz w:val="24"/>
        </w:rPr>
      </w:pPr>
      <w:r w:rsidRPr="001440A3">
        <w:rPr>
          <w:b/>
          <w:sz w:val="24"/>
        </w:rPr>
        <w:t>Revised Geomorphology and Hydrostratigraphy</w:t>
      </w:r>
    </w:p>
    <w:p w:rsidR="00354539" w:rsidRPr="00B152FD" w:rsidRDefault="00354539" w:rsidP="001440A3">
      <w:pPr>
        <w:tabs>
          <w:tab w:val="num" w:pos="2517"/>
        </w:tabs>
        <w:spacing w:before="160" w:after="120"/>
        <w:rPr>
          <w:b/>
          <w:i/>
          <w:szCs w:val="22"/>
        </w:rPr>
      </w:pPr>
      <w:r w:rsidRPr="00B152FD">
        <w:rPr>
          <w:b/>
          <w:i/>
          <w:szCs w:val="22"/>
        </w:rPr>
        <w:t xml:space="preserve">Quaternary fluvial units and geomorphology, </w:t>
      </w:r>
      <w:smartTag w:uri="urn:schemas-microsoft-com:office:smarttags" w:element="place">
        <w:smartTag w:uri="urn:schemas-microsoft-com:office:smarttags" w:element="PlaceName">
          <w:r w:rsidRPr="00B152FD">
            <w:rPr>
              <w:b/>
              <w:i/>
              <w:szCs w:val="22"/>
            </w:rPr>
            <w:t>Lower</w:t>
          </w:r>
        </w:smartTag>
        <w:r w:rsidRPr="00B152FD">
          <w:rPr>
            <w:b/>
            <w:i/>
            <w:szCs w:val="22"/>
          </w:rPr>
          <w:t xml:space="preserve"> </w:t>
        </w:r>
        <w:smartTag w:uri="urn:schemas-microsoft-com:office:smarttags" w:element="PlaceName">
          <w:r w:rsidRPr="00B152FD">
            <w:rPr>
              <w:b/>
              <w:i/>
              <w:szCs w:val="22"/>
            </w:rPr>
            <w:t>Darling</w:t>
          </w:r>
        </w:smartTag>
        <w:r w:rsidRPr="00B152FD">
          <w:rPr>
            <w:b/>
            <w:i/>
            <w:szCs w:val="22"/>
          </w:rPr>
          <w:t xml:space="preserve"> </w:t>
        </w:r>
        <w:smartTag w:uri="urn:schemas-microsoft-com:office:smarttags" w:element="PlaceType">
          <w:r w:rsidRPr="00B152FD">
            <w:rPr>
              <w:b/>
              <w:i/>
              <w:szCs w:val="22"/>
            </w:rPr>
            <w:t>Valley</w:t>
          </w:r>
        </w:smartTag>
      </w:smartTag>
    </w:p>
    <w:p w:rsidR="00354539" w:rsidRPr="00495576" w:rsidRDefault="00354539" w:rsidP="00354539">
      <w:pPr>
        <w:rPr>
          <w:szCs w:val="22"/>
        </w:rPr>
      </w:pPr>
      <w:r w:rsidRPr="00495576">
        <w:rPr>
          <w:szCs w:val="22"/>
        </w:rPr>
        <w:t xml:space="preserve">The Lower Darling </w:t>
      </w:r>
      <w:r w:rsidR="004F3EF9">
        <w:rPr>
          <w:szCs w:val="22"/>
        </w:rPr>
        <w:t xml:space="preserve">valley is a laterally confined </w:t>
      </w:r>
      <w:r w:rsidRPr="00495576">
        <w:rPr>
          <w:szCs w:val="22"/>
        </w:rPr>
        <w:t xml:space="preserve">valley, which widens southwards into the </w:t>
      </w:r>
      <w:smartTag w:uri="urn:schemas-microsoft-com:office:smarttags" w:element="place">
        <w:smartTag w:uri="urn:schemas-microsoft-com:office:smarttags" w:element="PlaceName">
          <w:r w:rsidRPr="00495576">
            <w:rPr>
              <w:szCs w:val="22"/>
            </w:rPr>
            <w:t>Murray</w:t>
          </w:r>
        </w:smartTag>
        <w:r w:rsidRPr="00495576">
          <w:rPr>
            <w:szCs w:val="22"/>
          </w:rPr>
          <w:t xml:space="preserve"> </w:t>
        </w:r>
        <w:smartTag w:uri="urn:schemas-microsoft-com:office:smarttags" w:element="PlaceName">
          <w:r w:rsidR="001C1EE8">
            <w:rPr>
              <w:szCs w:val="22"/>
            </w:rPr>
            <w:t>Geological</w:t>
          </w:r>
        </w:smartTag>
        <w:r w:rsidR="001C1EE8">
          <w:rPr>
            <w:szCs w:val="22"/>
          </w:rPr>
          <w:t xml:space="preserve"> </w:t>
        </w:r>
        <w:smartTag w:uri="urn:schemas-microsoft-com:office:smarttags" w:element="PlaceType">
          <w:r w:rsidRPr="00495576">
            <w:rPr>
              <w:szCs w:val="22"/>
            </w:rPr>
            <w:t>Basin</w:t>
          </w:r>
        </w:smartTag>
      </w:smartTag>
      <w:r w:rsidRPr="00495576">
        <w:rPr>
          <w:szCs w:val="22"/>
        </w:rPr>
        <w:t xml:space="preserve"> from a constriction at Wilcannia. The surficial Quaternary fluvial (river-deposited) units of the valley form a complex group of units which vary in their distribution, character and geomorphic expression through the BHMAR project area. Two new units, the </w:t>
      </w:r>
      <w:r w:rsidR="00B32F4D">
        <w:rPr>
          <w:szCs w:val="22"/>
        </w:rPr>
        <w:t>Willotia bed</w:t>
      </w:r>
      <w:r w:rsidR="00CB7EA6">
        <w:rPr>
          <w:szCs w:val="22"/>
        </w:rPr>
        <w:t>s</w:t>
      </w:r>
      <w:r w:rsidRPr="00495576">
        <w:rPr>
          <w:szCs w:val="22"/>
        </w:rPr>
        <w:t xml:space="preserve"> and the </w:t>
      </w:r>
      <w:r w:rsidR="00C217F0">
        <w:rPr>
          <w:szCs w:val="22"/>
        </w:rPr>
        <w:t>Menindee Formation</w:t>
      </w:r>
      <w:r w:rsidRPr="00495576">
        <w:rPr>
          <w:szCs w:val="22"/>
        </w:rPr>
        <w:t xml:space="preserve"> have been recognised for the older fluvial units and the previously defined </w:t>
      </w:r>
      <w:r w:rsidR="00C217F0">
        <w:rPr>
          <w:szCs w:val="22"/>
        </w:rPr>
        <w:t>Coonambidgal Formation</w:t>
      </w:r>
      <w:r w:rsidRPr="00495576">
        <w:rPr>
          <w:szCs w:val="22"/>
        </w:rPr>
        <w:t xml:space="preserve"> is retained for the youngest unit. All three fluvial units were deposited by active meandering lateral-migration phases apparently </w:t>
      </w:r>
      <w:r w:rsidR="004F3EF9" w:rsidRPr="00495576">
        <w:rPr>
          <w:szCs w:val="22"/>
        </w:rPr>
        <w:t xml:space="preserve">separated by phases of </w:t>
      </w:r>
      <w:r w:rsidR="004F3EF9">
        <w:rPr>
          <w:szCs w:val="22"/>
        </w:rPr>
        <w:t>incision or channel stability</w:t>
      </w:r>
      <w:r w:rsidR="004F3EF9" w:rsidRPr="00495576">
        <w:rPr>
          <w:szCs w:val="22"/>
        </w:rPr>
        <w:t xml:space="preserve">, as occurs at present. Over time, continued mud deposition </w:t>
      </w:r>
      <w:r w:rsidR="004F3EF9">
        <w:rPr>
          <w:szCs w:val="22"/>
        </w:rPr>
        <w:t xml:space="preserve">on floodplains </w:t>
      </w:r>
      <w:r w:rsidR="004F3EF9" w:rsidRPr="00495576">
        <w:rPr>
          <w:szCs w:val="22"/>
        </w:rPr>
        <w:t>buries and obscures scroll-plain morphology</w:t>
      </w:r>
      <w:r w:rsidR="004F3EF9">
        <w:rPr>
          <w:szCs w:val="22"/>
        </w:rPr>
        <w:t xml:space="preserve">, </w:t>
      </w:r>
      <w:r w:rsidRPr="00495576">
        <w:rPr>
          <w:szCs w:val="22"/>
        </w:rPr>
        <w:t>and soil formation and precipitation of secondary minerals such as carbonate alter the sediment character and reduce the effectiveness of the surficial aquifers. The location of the active river tract has changed through time, almost certainly controlled by neotectonic structural movements.</w:t>
      </w:r>
    </w:p>
    <w:p w:rsidR="00354539" w:rsidRPr="00B152FD" w:rsidRDefault="00B32F4D" w:rsidP="001440A3">
      <w:pPr>
        <w:tabs>
          <w:tab w:val="num" w:pos="2517"/>
        </w:tabs>
        <w:spacing w:before="160" w:after="120"/>
        <w:rPr>
          <w:b/>
          <w:i/>
          <w:szCs w:val="22"/>
        </w:rPr>
      </w:pPr>
      <w:r>
        <w:rPr>
          <w:b/>
          <w:i/>
          <w:szCs w:val="22"/>
        </w:rPr>
        <w:t>Willotia bed</w:t>
      </w:r>
      <w:r w:rsidR="00CB7EA6">
        <w:rPr>
          <w:b/>
          <w:i/>
          <w:szCs w:val="22"/>
        </w:rPr>
        <w:t>s</w:t>
      </w:r>
    </w:p>
    <w:p w:rsidR="00354539" w:rsidRPr="00495576" w:rsidRDefault="00354539" w:rsidP="00354539">
      <w:pPr>
        <w:rPr>
          <w:szCs w:val="22"/>
        </w:rPr>
      </w:pPr>
      <w:r w:rsidRPr="00495576">
        <w:rPr>
          <w:szCs w:val="22"/>
        </w:rPr>
        <w:t xml:space="preserve">The new term </w:t>
      </w:r>
      <w:r w:rsidR="00CB7EA6">
        <w:rPr>
          <w:szCs w:val="22"/>
        </w:rPr>
        <w:t>‘</w:t>
      </w:r>
      <w:r w:rsidR="00B32F4D">
        <w:rPr>
          <w:szCs w:val="22"/>
        </w:rPr>
        <w:t>Willotia bed</w:t>
      </w:r>
      <w:r w:rsidR="00CB7EA6">
        <w:rPr>
          <w:szCs w:val="22"/>
        </w:rPr>
        <w:t>s’</w:t>
      </w:r>
      <w:r w:rsidRPr="00495576">
        <w:rPr>
          <w:szCs w:val="22"/>
        </w:rPr>
        <w:t xml:space="preserve"> is here used </w:t>
      </w:r>
      <w:r w:rsidR="00236B51">
        <w:rPr>
          <w:szCs w:val="22"/>
        </w:rPr>
        <w:t>to define</w:t>
      </w:r>
      <w:r w:rsidR="00236B51" w:rsidRPr="00495576">
        <w:rPr>
          <w:szCs w:val="22"/>
        </w:rPr>
        <w:t xml:space="preserve"> </w:t>
      </w:r>
      <w:r w:rsidRPr="00495576">
        <w:rPr>
          <w:szCs w:val="22"/>
        </w:rPr>
        <w:t>a suite of river to lake sediments</w:t>
      </w:r>
      <w:r w:rsidR="00236B51">
        <w:rPr>
          <w:szCs w:val="22"/>
        </w:rPr>
        <w:t>,</w:t>
      </w:r>
      <w:r w:rsidRPr="00495576">
        <w:rPr>
          <w:szCs w:val="22"/>
        </w:rPr>
        <w:t xml:space="preserve"> </w:t>
      </w:r>
      <w:r w:rsidR="00236B51">
        <w:rPr>
          <w:szCs w:val="22"/>
        </w:rPr>
        <w:t>which</w:t>
      </w:r>
      <w:r w:rsidR="00236B51" w:rsidRPr="00495576">
        <w:rPr>
          <w:szCs w:val="22"/>
        </w:rPr>
        <w:t xml:space="preserve"> </w:t>
      </w:r>
      <w:r w:rsidRPr="00495576">
        <w:rPr>
          <w:szCs w:val="22"/>
        </w:rPr>
        <w:t xml:space="preserve">are not </w:t>
      </w:r>
      <w:r w:rsidR="00236B51">
        <w:rPr>
          <w:szCs w:val="22"/>
        </w:rPr>
        <w:t xml:space="preserve">yet </w:t>
      </w:r>
      <w:r w:rsidRPr="00495576">
        <w:rPr>
          <w:szCs w:val="22"/>
        </w:rPr>
        <w:t xml:space="preserve">sufficiently well known to give them full formation status. They overlie the Blanchetown Clay at higher elevations bounding the Darling Floodplain. The stratigraphy and sedimentology of </w:t>
      </w:r>
      <w:r w:rsidR="00236B51">
        <w:rPr>
          <w:szCs w:val="22"/>
        </w:rPr>
        <w:t xml:space="preserve">fluvial elements of </w:t>
      </w:r>
      <w:r w:rsidRPr="00495576">
        <w:rPr>
          <w:szCs w:val="22"/>
        </w:rPr>
        <w:t xml:space="preserve">the unit (from project cores and cliff exposures) is similar to other surficial fluvial units and is typically 10-20 m in thickness with basal fine to coarse sands and an upper fine-grained overbank muddy facies. The </w:t>
      </w:r>
      <w:r w:rsidR="00B32F4D">
        <w:rPr>
          <w:szCs w:val="22"/>
        </w:rPr>
        <w:t>Willotia bed</w:t>
      </w:r>
      <w:r w:rsidR="00CB7EA6">
        <w:rPr>
          <w:szCs w:val="22"/>
        </w:rPr>
        <w:t>s</w:t>
      </w:r>
      <w:r w:rsidRPr="00495576">
        <w:rPr>
          <w:szCs w:val="22"/>
        </w:rPr>
        <w:t xml:space="preserve"> are virtually always overlain by aeolian sediments</w:t>
      </w:r>
      <w:r w:rsidR="0069045C">
        <w:rPr>
          <w:szCs w:val="22"/>
        </w:rPr>
        <w:t>,</w:t>
      </w:r>
      <w:r w:rsidRPr="00495576">
        <w:rPr>
          <w:szCs w:val="22"/>
        </w:rPr>
        <w:t xml:space="preserve"> and occur outside the Darling floodplain margins and underlying large areas of aeolian sediment within the floodplain. The heavily modified overbank muds form an effective vertical infiltration barrier and precipitation of secondary minerals in the lower sand probably </w:t>
      </w:r>
      <w:r w:rsidR="004F3EF9">
        <w:rPr>
          <w:szCs w:val="22"/>
        </w:rPr>
        <w:t>reduces</w:t>
      </w:r>
      <w:r w:rsidRPr="00495576">
        <w:rPr>
          <w:szCs w:val="22"/>
        </w:rPr>
        <w:t xml:space="preserve"> </w:t>
      </w:r>
      <w:r w:rsidR="00857759">
        <w:rPr>
          <w:szCs w:val="22"/>
        </w:rPr>
        <w:t>groundwater movement</w:t>
      </w:r>
      <w:r w:rsidRPr="00495576">
        <w:rPr>
          <w:szCs w:val="22"/>
        </w:rPr>
        <w:t>.</w:t>
      </w:r>
    </w:p>
    <w:p w:rsidR="00354539" w:rsidRPr="00B152FD" w:rsidRDefault="00C217F0" w:rsidP="001440A3">
      <w:pPr>
        <w:tabs>
          <w:tab w:val="num" w:pos="2517"/>
        </w:tabs>
        <w:spacing w:before="160" w:after="120"/>
        <w:rPr>
          <w:b/>
          <w:i/>
          <w:szCs w:val="22"/>
        </w:rPr>
      </w:pPr>
      <w:r>
        <w:rPr>
          <w:b/>
          <w:i/>
          <w:szCs w:val="22"/>
        </w:rPr>
        <w:t>Menindee Formation</w:t>
      </w:r>
    </w:p>
    <w:p w:rsidR="00354539" w:rsidRDefault="00354539" w:rsidP="00354539">
      <w:pPr>
        <w:rPr>
          <w:szCs w:val="22"/>
        </w:rPr>
      </w:pPr>
      <w:r w:rsidRPr="00495576">
        <w:rPr>
          <w:szCs w:val="22"/>
        </w:rPr>
        <w:t xml:space="preserve">The newly defined </w:t>
      </w:r>
      <w:r w:rsidR="00C217F0">
        <w:rPr>
          <w:szCs w:val="22"/>
        </w:rPr>
        <w:t>Menindee Formation</w:t>
      </w:r>
      <w:r w:rsidRPr="00495576">
        <w:rPr>
          <w:szCs w:val="22"/>
        </w:rPr>
        <w:t xml:space="preserve"> replaces the former use of Shepparton Formation in the Lower Darling valley. Morphologically the </w:t>
      </w:r>
      <w:r w:rsidR="00C217F0">
        <w:rPr>
          <w:szCs w:val="22"/>
        </w:rPr>
        <w:t>Menindee Formation</w:t>
      </w:r>
      <w:r w:rsidRPr="00495576">
        <w:rPr>
          <w:szCs w:val="22"/>
        </w:rPr>
        <w:t xml:space="preserve"> floodplain is highly variable and ranges from upper rarely flooded floodplain with thin patches of aeolian (wind-deposited) </w:t>
      </w:r>
      <w:r w:rsidR="00236B51">
        <w:rPr>
          <w:szCs w:val="22"/>
        </w:rPr>
        <w:t xml:space="preserve">sand </w:t>
      </w:r>
      <w:r w:rsidRPr="00495576">
        <w:rPr>
          <w:szCs w:val="22"/>
        </w:rPr>
        <w:t xml:space="preserve">cover to lower floodplain with channels scoured by floods. The average thickness is about 14 m with basal fine to coarse sands (6.5 m average thickness) overlain by overbank muds (7.7 m average thickness). </w:t>
      </w:r>
      <w:r w:rsidR="00236B51">
        <w:rPr>
          <w:szCs w:val="22"/>
        </w:rPr>
        <w:t>Active l</w:t>
      </w:r>
      <w:r w:rsidR="00236B51" w:rsidRPr="00495576">
        <w:rPr>
          <w:szCs w:val="22"/>
        </w:rPr>
        <w:t>ateral</w:t>
      </w:r>
      <w:r w:rsidRPr="00495576">
        <w:rPr>
          <w:szCs w:val="22"/>
        </w:rPr>
        <w:t xml:space="preserve">-migration phases </w:t>
      </w:r>
      <w:r w:rsidR="00236B51">
        <w:rPr>
          <w:szCs w:val="22"/>
        </w:rPr>
        <w:t>have been dated to</w:t>
      </w:r>
      <w:r w:rsidRPr="00495576">
        <w:rPr>
          <w:szCs w:val="22"/>
        </w:rPr>
        <w:t xml:space="preserve"> 45-50 ka</w:t>
      </w:r>
      <w:r w:rsidR="009B69BD">
        <w:rPr>
          <w:rStyle w:val="FootnoteReference"/>
          <w:szCs w:val="22"/>
        </w:rPr>
        <w:footnoteReference w:id="2"/>
      </w:r>
      <w:r w:rsidRPr="00495576">
        <w:rPr>
          <w:szCs w:val="22"/>
        </w:rPr>
        <w:t xml:space="preserve">, 85 ka and &gt;150 ka and many more phases almost certainly occur, but have not yet been dated. The overbank mud unit is widespread and is part of the near-surface aquitard, forming an effective barrier to vertical infiltration. </w:t>
      </w:r>
      <w:r w:rsidR="003E1880">
        <w:rPr>
          <w:szCs w:val="22"/>
        </w:rPr>
        <w:t xml:space="preserve">The basal sands represent a shallow unconfined aquifer in the river corridor. </w:t>
      </w:r>
      <w:r w:rsidRPr="00495576">
        <w:rPr>
          <w:szCs w:val="22"/>
        </w:rPr>
        <w:t xml:space="preserve">Secondary mineralisation in the sands, especially of carbonate, probably becomes better developed with age and </w:t>
      </w:r>
      <w:r w:rsidR="004F3EF9">
        <w:rPr>
          <w:szCs w:val="22"/>
        </w:rPr>
        <w:t>reduces</w:t>
      </w:r>
      <w:r w:rsidRPr="00495576">
        <w:rPr>
          <w:szCs w:val="22"/>
        </w:rPr>
        <w:t xml:space="preserve"> aquifer </w:t>
      </w:r>
      <w:r w:rsidR="00857759">
        <w:rPr>
          <w:szCs w:val="22"/>
        </w:rPr>
        <w:t>permeability</w:t>
      </w:r>
      <w:r w:rsidRPr="00495576">
        <w:rPr>
          <w:szCs w:val="22"/>
        </w:rPr>
        <w:t xml:space="preserve">. In particular, banks of the </w:t>
      </w:r>
      <w:smartTag w:uri="urn:schemas-microsoft-com:office:smarttags" w:element="place">
        <w:r w:rsidRPr="00495576">
          <w:rPr>
            <w:szCs w:val="22"/>
          </w:rPr>
          <w:t>Darling River</w:t>
        </w:r>
      </w:smartTag>
      <w:r w:rsidRPr="00495576">
        <w:rPr>
          <w:szCs w:val="22"/>
        </w:rPr>
        <w:t xml:space="preserve"> cut into </w:t>
      </w:r>
      <w:r w:rsidR="00C217F0">
        <w:rPr>
          <w:szCs w:val="22"/>
        </w:rPr>
        <w:t>Menindee Formation</w:t>
      </w:r>
      <w:r w:rsidRPr="00495576">
        <w:rPr>
          <w:szCs w:val="22"/>
        </w:rPr>
        <w:t xml:space="preserve"> lower sands are often impregnated with secondary carbonate which is very likely to impede lateral infiltration.</w:t>
      </w:r>
      <w:r w:rsidR="003E1880" w:rsidRPr="003E1880">
        <w:rPr>
          <w:szCs w:val="22"/>
        </w:rPr>
        <w:t xml:space="preserve"> </w:t>
      </w:r>
    </w:p>
    <w:p w:rsidR="00354539" w:rsidRPr="00B152FD" w:rsidRDefault="001D5ABC" w:rsidP="00075F37">
      <w:pPr>
        <w:tabs>
          <w:tab w:val="num" w:pos="2517"/>
        </w:tabs>
        <w:spacing w:before="160" w:after="120"/>
        <w:rPr>
          <w:b/>
          <w:i/>
          <w:szCs w:val="22"/>
        </w:rPr>
      </w:pPr>
      <w:r>
        <w:rPr>
          <w:b/>
          <w:i/>
          <w:szCs w:val="22"/>
        </w:rPr>
        <w:br w:type="page"/>
      </w:r>
      <w:r w:rsidR="00C217F0">
        <w:rPr>
          <w:b/>
          <w:i/>
          <w:szCs w:val="22"/>
        </w:rPr>
        <w:lastRenderedPageBreak/>
        <w:t>Coonambidgal Formation</w:t>
      </w:r>
    </w:p>
    <w:p w:rsidR="00354539" w:rsidRDefault="00354539" w:rsidP="00075F37">
      <w:pPr>
        <w:autoSpaceDE w:val="0"/>
        <w:autoSpaceDN w:val="0"/>
        <w:adjustRightInd w:val="0"/>
        <w:rPr>
          <w:szCs w:val="22"/>
        </w:rPr>
      </w:pPr>
      <w:r>
        <w:rPr>
          <w:szCs w:val="22"/>
        </w:rPr>
        <w:t xml:space="preserve">The </w:t>
      </w:r>
      <w:r w:rsidR="00C217F0">
        <w:rPr>
          <w:szCs w:val="22"/>
        </w:rPr>
        <w:t>Coonambidgal Formation</w:t>
      </w:r>
      <w:r>
        <w:rPr>
          <w:szCs w:val="22"/>
        </w:rPr>
        <w:t xml:space="preserve"> consists of inactive scroll-plain tracts (river deposits with preserved traces of meander migration), formed by episodic lateral migration phases that are incised into the </w:t>
      </w:r>
      <w:r w:rsidR="00C217F0">
        <w:rPr>
          <w:szCs w:val="22"/>
        </w:rPr>
        <w:t>Menindee Formation</w:t>
      </w:r>
      <w:r>
        <w:rPr>
          <w:szCs w:val="22"/>
        </w:rPr>
        <w:t xml:space="preserve"> floodplain. </w:t>
      </w:r>
      <w:r w:rsidR="00236B51">
        <w:rPr>
          <w:szCs w:val="22"/>
        </w:rPr>
        <w:t xml:space="preserve">Three </w:t>
      </w:r>
      <w:r>
        <w:rPr>
          <w:szCs w:val="22"/>
        </w:rPr>
        <w:t>cross-cutting scroll-</w:t>
      </w:r>
      <w:r w:rsidR="004F3EF9">
        <w:rPr>
          <w:szCs w:val="22"/>
        </w:rPr>
        <w:t>plain phases</w:t>
      </w:r>
      <w:r w:rsidR="00236B51">
        <w:rPr>
          <w:szCs w:val="22"/>
        </w:rPr>
        <w:t>, which</w:t>
      </w:r>
      <w:r w:rsidR="004F3EF9">
        <w:rPr>
          <w:szCs w:val="22"/>
        </w:rPr>
        <w:t xml:space="preserve"> have been dated at</w:t>
      </w:r>
      <w:r>
        <w:rPr>
          <w:szCs w:val="22"/>
        </w:rPr>
        <w:t xml:space="preserve"> 2-6 ka, 17-22 ka and 25-30 ka</w:t>
      </w:r>
      <w:r w:rsidR="00236B51">
        <w:rPr>
          <w:szCs w:val="22"/>
        </w:rPr>
        <w:t>,</w:t>
      </w:r>
      <w:r>
        <w:rPr>
          <w:szCs w:val="22"/>
        </w:rPr>
        <w:t xml:space="preserve"> and </w:t>
      </w:r>
      <w:r w:rsidR="00236B51">
        <w:rPr>
          <w:szCs w:val="22"/>
        </w:rPr>
        <w:t xml:space="preserve">an older fourth undated phase </w:t>
      </w:r>
      <w:r>
        <w:rPr>
          <w:szCs w:val="22"/>
        </w:rPr>
        <w:t xml:space="preserve">are designated </w:t>
      </w:r>
      <w:r w:rsidR="00C217F0">
        <w:rPr>
          <w:szCs w:val="22"/>
        </w:rPr>
        <w:t>Coonambidgal Formation</w:t>
      </w:r>
      <w:r>
        <w:rPr>
          <w:szCs w:val="22"/>
        </w:rPr>
        <w:t xml:space="preserve"> Phases 1-</w:t>
      </w:r>
      <w:r w:rsidR="00236B51">
        <w:rPr>
          <w:szCs w:val="22"/>
        </w:rPr>
        <w:t>4</w:t>
      </w:r>
      <w:r w:rsidR="00F25A1E">
        <w:rPr>
          <w:szCs w:val="22"/>
        </w:rPr>
        <w:t>, respectively</w:t>
      </w:r>
      <w:r>
        <w:rPr>
          <w:szCs w:val="22"/>
        </w:rPr>
        <w:t>. Stratigraphically and sedimentologically</w:t>
      </w:r>
      <w:r w:rsidR="007A5D3C">
        <w:rPr>
          <w:szCs w:val="22"/>
        </w:rPr>
        <w:t>,</w:t>
      </w:r>
      <w:r>
        <w:rPr>
          <w:szCs w:val="22"/>
        </w:rPr>
        <w:t xml:space="preserve"> </w:t>
      </w:r>
      <w:r w:rsidR="00C217F0">
        <w:rPr>
          <w:szCs w:val="22"/>
        </w:rPr>
        <w:t>Coonambidgal Formation</w:t>
      </w:r>
      <w:r>
        <w:rPr>
          <w:szCs w:val="22"/>
        </w:rPr>
        <w:t xml:space="preserve"> sediments are essentially identical to the </w:t>
      </w:r>
      <w:r w:rsidR="00C217F0">
        <w:rPr>
          <w:szCs w:val="22"/>
        </w:rPr>
        <w:t>Menindee Formation</w:t>
      </w:r>
      <w:r>
        <w:rPr>
          <w:szCs w:val="22"/>
        </w:rPr>
        <w:t xml:space="preserve"> with an</w:t>
      </w:r>
      <w:r w:rsidRPr="00DA76D7">
        <w:rPr>
          <w:szCs w:val="22"/>
        </w:rPr>
        <w:t xml:space="preserve"> average thickness </w:t>
      </w:r>
      <w:r>
        <w:rPr>
          <w:szCs w:val="22"/>
        </w:rPr>
        <w:t>of 1</w:t>
      </w:r>
      <w:r w:rsidRPr="00DA76D7">
        <w:rPr>
          <w:szCs w:val="22"/>
        </w:rPr>
        <w:t xml:space="preserve">4 m </w:t>
      </w:r>
      <w:r>
        <w:rPr>
          <w:szCs w:val="22"/>
        </w:rPr>
        <w:t>and</w:t>
      </w:r>
      <w:r w:rsidRPr="00DA76D7">
        <w:rPr>
          <w:szCs w:val="22"/>
        </w:rPr>
        <w:t xml:space="preserve"> basal fine to coarse sands (</w:t>
      </w:r>
      <w:r>
        <w:rPr>
          <w:szCs w:val="22"/>
        </w:rPr>
        <w:t>7.3</w:t>
      </w:r>
      <w:r w:rsidRPr="00DA76D7">
        <w:rPr>
          <w:szCs w:val="22"/>
        </w:rPr>
        <w:t xml:space="preserve"> m average thickness) overlain by overbank muds (7.</w:t>
      </w:r>
      <w:r>
        <w:rPr>
          <w:szCs w:val="22"/>
        </w:rPr>
        <w:t>5</w:t>
      </w:r>
      <w:r w:rsidRPr="00DA76D7">
        <w:rPr>
          <w:szCs w:val="22"/>
        </w:rPr>
        <w:t xml:space="preserve"> m average thickness).</w:t>
      </w:r>
      <w:r>
        <w:rPr>
          <w:szCs w:val="22"/>
        </w:rPr>
        <w:t xml:space="preserve"> Morphologically</w:t>
      </w:r>
      <w:r w:rsidR="007A5D3C">
        <w:rPr>
          <w:szCs w:val="22"/>
        </w:rPr>
        <w:t>,</w:t>
      </w:r>
      <w:r>
        <w:rPr>
          <w:szCs w:val="22"/>
        </w:rPr>
        <w:t xml:space="preserve"> the scroll-plain meander dimensions vary, apparently due to variations in stream discharge while the </w:t>
      </w:r>
      <w:r w:rsidR="00236B51">
        <w:rPr>
          <w:szCs w:val="22"/>
        </w:rPr>
        <w:t>lateral-</w:t>
      </w:r>
      <w:r>
        <w:rPr>
          <w:szCs w:val="22"/>
        </w:rPr>
        <w:t xml:space="preserve">migration phases were active. Preservation of scroll morphology becomes less distinct with increasing age. As for the </w:t>
      </w:r>
      <w:r w:rsidR="00C217F0">
        <w:rPr>
          <w:szCs w:val="22"/>
        </w:rPr>
        <w:t>Menindee Formation</w:t>
      </w:r>
      <w:r>
        <w:rPr>
          <w:szCs w:val="22"/>
        </w:rPr>
        <w:t>, the</w:t>
      </w:r>
      <w:r w:rsidRPr="00DA76D7">
        <w:rPr>
          <w:szCs w:val="22"/>
        </w:rPr>
        <w:t xml:space="preserve"> overbank mud unit is widespread and is part of the near-surface aquitard, forming an effective barrier to vertical infiltration.</w:t>
      </w:r>
      <w:r>
        <w:rPr>
          <w:szCs w:val="22"/>
        </w:rPr>
        <w:t xml:space="preserve"> However, s</w:t>
      </w:r>
      <w:r w:rsidRPr="00DA76D7">
        <w:rPr>
          <w:szCs w:val="22"/>
        </w:rPr>
        <w:t xml:space="preserve">econdary mineralisation in the </w:t>
      </w:r>
      <w:r>
        <w:rPr>
          <w:szCs w:val="22"/>
        </w:rPr>
        <w:t xml:space="preserve">lower </w:t>
      </w:r>
      <w:r w:rsidRPr="00DA76D7">
        <w:rPr>
          <w:szCs w:val="22"/>
        </w:rPr>
        <w:t>sands</w:t>
      </w:r>
      <w:r>
        <w:rPr>
          <w:szCs w:val="22"/>
        </w:rPr>
        <w:t xml:space="preserve"> is much less developed than the </w:t>
      </w:r>
      <w:r w:rsidR="00C217F0">
        <w:rPr>
          <w:szCs w:val="22"/>
        </w:rPr>
        <w:t>Menindee Formation</w:t>
      </w:r>
      <w:r>
        <w:rPr>
          <w:szCs w:val="22"/>
        </w:rPr>
        <w:t xml:space="preserve"> and provides minimal impediment to</w:t>
      </w:r>
      <w:r w:rsidRPr="00DA76D7">
        <w:rPr>
          <w:szCs w:val="22"/>
        </w:rPr>
        <w:t xml:space="preserve"> lateral infiltration.</w:t>
      </w:r>
      <w:r w:rsidR="003E1880" w:rsidRPr="003E1880">
        <w:rPr>
          <w:szCs w:val="22"/>
        </w:rPr>
        <w:t xml:space="preserve"> </w:t>
      </w:r>
      <w:r w:rsidR="003E1880">
        <w:rPr>
          <w:szCs w:val="22"/>
        </w:rPr>
        <w:t xml:space="preserve">As the </w:t>
      </w:r>
      <w:r w:rsidR="00C217F0">
        <w:rPr>
          <w:szCs w:val="22"/>
        </w:rPr>
        <w:t>Coonambidgal Formation</w:t>
      </w:r>
      <w:r w:rsidR="003E1880">
        <w:rPr>
          <w:szCs w:val="22"/>
        </w:rPr>
        <w:t xml:space="preserve"> is the youngest Quaternary fluvial unit</w:t>
      </w:r>
      <w:r w:rsidR="000D6958">
        <w:rPr>
          <w:szCs w:val="22"/>
        </w:rPr>
        <w:t>,</w:t>
      </w:r>
      <w:r w:rsidR="003E1880">
        <w:rPr>
          <w:szCs w:val="22"/>
        </w:rPr>
        <w:t xml:space="preserve"> it is the shallow unconfined aquifer with the closest hydraulic connection with the </w:t>
      </w:r>
      <w:smartTag w:uri="urn:schemas-microsoft-com:office:smarttags" w:element="place">
        <w:r w:rsidR="003E1880">
          <w:rPr>
            <w:szCs w:val="22"/>
          </w:rPr>
          <w:t>Darling River</w:t>
        </w:r>
      </w:smartTag>
      <w:r w:rsidR="00236B51">
        <w:rPr>
          <w:szCs w:val="22"/>
        </w:rPr>
        <w:t xml:space="preserve"> distributaries</w:t>
      </w:r>
      <w:r w:rsidR="003E1880">
        <w:rPr>
          <w:szCs w:val="22"/>
        </w:rPr>
        <w:t>.</w:t>
      </w:r>
    </w:p>
    <w:p w:rsidR="00FF3956" w:rsidRPr="00B152FD" w:rsidRDefault="00FF3956" w:rsidP="001440A3">
      <w:pPr>
        <w:tabs>
          <w:tab w:val="num" w:pos="2517"/>
        </w:tabs>
        <w:spacing w:before="160" w:after="120"/>
        <w:rPr>
          <w:b/>
          <w:i/>
          <w:szCs w:val="22"/>
        </w:rPr>
      </w:pPr>
      <w:r w:rsidRPr="00B152FD">
        <w:rPr>
          <w:b/>
          <w:i/>
          <w:szCs w:val="22"/>
        </w:rPr>
        <w:t>Blanchetown Clay</w:t>
      </w:r>
    </w:p>
    <w:p w:rsidR="0034495B" w:rsidRDefault="004F3EF9" w:rsidP="0034495B">
      <w:pPr>
        <w:autoSpaceDE w:val="0"/>
        <w:autoSpaceDN w:val="0"/>
        <w:adjustRightInd w:val="0"/>
        <w:rPr>
          <w:szCs w:val="22"/>
        </w:rPr>
      </w:pPr>
      <w:r>
        <w:rPr>
          <w:szCs w:val="22"/>
        </w:rPr>
        <w:t xml:space="preserve">This study has mapped the </w:t>
      </w:r>
      <w:r w:rsidRPr="0034495B">
        <w:rPr>
          <w:szCs w:val="22"/>
        </w:rPr>
        <w:t>near-ubiquitous presence of relatively thin (5-10</w:t>
      </w:r>
      <w:r w:rsidR="00A15E21">
        <w:rPr>
          <w:szCs w:val="22"/>
        </w:rPr>
        <w:t xml:space="preserve"> </w:t>
      </w:r>
      <w:r w:rsidRPr="0034495B">
        <w:rPr>
          <w:szCs w:val="22"/>
        </w:rPr>
        <w:t xml:space="preserve">m) Blanchetown Clay </w:t>
      </w:r>
      <w:r>
        <w:rPr>
          <w:szCs w:val="22"/>
        </w:rPr>
        <w:t>deposited in palaeo-megalake Bungunnia throughout the project area</w:t>
      </w:r>
      <w:r w:rsidRPr="0034495B">
        <w:rPr>
          <w:szCs w:val="22"/>
        </w:rPr>
        <w:t xml:space="preserve">. </w:t>
      </w:r>
      <w:r w:rsidR="0034495B">
        <w:rPr>
          <w:szCs w:val="22"/>
        </w:rPr>
        <w:t>An</w:t>
      </w:r>
      <w:r w:rsidR="0034495B" w:rsidRPr="0034495B">
        <w:rPr>
          <w:szCs w:val="22"/>
        </w:rPr>
        <w:t xml:space="preserve"> integrated mapping approach has revealed variations in </w:t>
      </w:r>
      <w:r w:rsidR="0034495B">
        <w:rPr>
          <w:szCs w:val="22"/>
        </w:rPr>
        <w:t xml:space="preserve">Blanchetown Clay </w:t>
      </w:r>
      <w:r w:rsidR="0034495B" w:rsidRPr="0034495B">
        <w:rPr>
          <w:szCs w:val="22"/>
        </w:rPr>
        <w:t>aquitard extent and thickness, with a complex sub-surface distribution</w:t>
      </w:r>
      <w:r w:rsidR="0034495B">
        <w:rPr>
          <w:szCs w:val="22"/>
        </w:rPr>
        <w:t xml:space="preserve"> </w:t>
      </w:r>
      <w:r w:rsidR="0034495B" w:rsidRPr="000B4790">
        <w:rPr>
          <w:szCs w:val="22"/>
        </w:rPr>
        <w:t>observed</w:t>
      </w:r>
      <w:r w:rsidRPr="000B4790">
        <w:rPr>
          <w:szCs w:val="22"/>
        </w:rPr>
        <w:t xml:space="preserve"> (</w:t>
      </w:r>
      <w:r w:rsidR="003346A4" w:rsidRPr="000B4790">
        <w:rPr>
          <w:szCs w:val="22"/>
        </w:rPr>
        <w:t xml:space="preserve">Figure </w:t>
      </w:r>
      <w:r w:rsidR="003630E1" w:rsidRPr="000B4790">
        <w:rPr>
          <w:szCs w:val="22"/>
        </w:rPr>
        <w:t>G</w:t>
      </w:r>
      <w:r w:rsidRPr="000B4790">
        <w:rPr>
          <w:szCs w:val="22"/>
        </w:rPr>
        <w:t>).</w:t>
      </w:r>
      <w:r w:rsidR="0034495B" w:rsidRPr="000B4790">
        <w:rPr>
          <w:szCs w:val="22"/>
        </w:rPr>
        <w:t xml:space="preserve"> Variations in the</w:t>
      </w:r>
      <w:r w:rsidR="0034495B" w:rsidRPr="0034495B">
        <w:rPr>
          <w:szCs w:val="22"/>
        </w:rPr>
        <w:t xml:space="preserve"> elevation of the top of the Blanchetown Clay (20-80</w:t>
      </w:r>
      <w:r w:rsidR="00A15E21">
        <w:rPr>
          <w:szCs w:val="22"/>
        </w:rPr>
        <w:t xml:space="preserve"> </w:t>
      </w:r>
      <w:r w:rsidR="0034495B" w:rsidRPr="0034495B">
        <w:rPr>
          <w:szCs w:val="22"/>
        </w:rPr>
        <w:t>m AHD) are attr</w:t>
      </w:r>
      <w:r w:rsidR="0034495B">
        <w:rPr>
          <w:szCs w:val="22"/>
        </w:rPr>
        <w:t xml:space="preserve">ibuted partly to </w:t>
      </w:r>
      <w:r w:rsidR="008C2768">
        <w:rPr>
          <w:szCs w:val="22"/>
        </w:rPr>
        <w:t>tectonic activity</w:t>
      </w:r>
      <w:r w:rsidR="0034495B">
        <w:rPr>
          <w:szCs w:val="22"/>
        </w:rPr>
        <w:t xml:space="preserve">. </w:t>
      </w:r>
    </w:p>
    <w:p w:rsidR="006610C6" w:rsidRDefault="006610C6" w:rsidP="001440A3">
      <w:pPr>
        <w:autoSpaceDE w:val="0"/>
        <w:autoSpaceDN w:val="0"/>
        <w:adjustRightInd w:val="0"/>
        <w:rPr>
          <w:szCs w:val="22"/>
        </w:rPr>
      </w:pPr>
    </w:p>
    <w:p w:rsidR="00256855" w:rsidRPr="001440A3" w:rsidRDefault="00256855" w:rsidP="001440A3">
      <w:pPr>
        <w:autoSpaceDE w:val="0"/>
        <w:autoSpaceDN w:val="0"/>
        <w:adjustRightInd w:val="0"/>
        <w:rPr>
          <w:szCs w:val="22"/>
        </w:rPr>
      </w:pPr>
      <w:r w:rsidRPr="0034495B">
        <w:rPr>
          <w:szCs w:val="22"/>
        </w:rPr>
        <w:t xml:space="preserve">The aquitard properties of the Blanchetown Clay are demonstrated by hydrograph responses in overlying and underlying aquifers, by wetting profiles observed in </w:t>
      </w:r>
      <w:r w:rsidR="001C0090" w:rsidRPr="0034495B">
        <w:rPr>
          <w:szCs w:val="22"/>
        </w:rPr>
        <w:t>drill core</w:t>
      </w:r>
      <w:r w:rsidRPr="0034495B">
        <w:rPr>
          <w:szCs w:val="22"/>
        </w:rPr>
        <w:t>, moisture data obtained from cores, NMR and gamma logging, laboratory permeameter measurements on co</w:t>
      </w:r>
      <w:r>
        <w:rPr>
          <w:szCs w:val="22"/>
        </w:rPr>
        <w:t>res, and hydrogeochemical data. T</w:t>
      </w:r>
      <w:r w:rsidRPr="0034495B">
        <w:rPr>
          <w:szCs w:val="22"/>
        </w:rPr>
        <w:t>he study has also confirmed that the aquitard forms a major barrier to rechar</w:t>
      </w:r>
      <w:r>
        <w:rPr>
          <w:szCs w:val="22"/>
        </w:rPr>
        <w:t>ge and discharge. Where absent (</w:t>
      </w:r>
      <w:r w:rsidRPr="0034495B">
        <w:rPr>
          <w:szCs w:val="22"/>
        </w:rPr>
        <w:t>through erosion by the Darling River system, non-deposition, or facie</w:t>
      </w:r>
      <w:r>
        <w:rPr>
          <w:szCs w:val="22"/>
        </w:rPr>
        <w:t>s change to fluvial sand), and through faults that transect and/or offset the Blanchetown Clay</w:t>
      </w:r>
      <w:r w:rsidRPr="0034495B">
        <w:rPr>
          <w:szCs w:val="22"/>
        </w:rPr>
        <w:t>, local recharge has resulted in previously unrecognised resources of fresh to slightly brackish water in the underlying semi-confined aquifer. Where present, it could form an effective cap for managed aquifer recharge schemes.</w:t>
      </w:r>
    </w:p>
    <w:p w:rsidR="00256855" w:rsidRDefault="00256855" w:rsidP="001440A3">
      <w:pPr>
        <w:autoSpaceDE w:val="0"/>
        <w:autoSpaceDN w:val="0"/>
        <w:adjustRightInd w:val="0"/>
        <w:jc w:val="center"/>
        <w:rPr>
          <w:szCs w:val="22"/>
        </w:rPr>
      </w:pPr>
    </w:p>
    <w:p w:rsidR="006610C6" w:rsidRDefault="00706A3B" w:rsidP="007D5510">
      <w:pPr>
        <w:autoSpaceDE w:val="0"/>
        <w:autoSpaceDN w:val="0"/>
        <w:adjustRightInd w:val="0"/>
        <w:spacing w:after="60"/>
        <w:jc w:val="center"/>
        <w:rPr>
          <w:szCs w:val="22"/>
        </w:rPr>
      </w:pPr>
      <w:r>
        <w:rPr>
          <w:noProof/>
          <w:szCs w:val="22"/>
        </w:rPr>
        <w:lastRenderedPageBreak/>
        <w:drawing>
          <wp:inline distT="0" distB="0" distL="0" distR="0" wp14:anchorId="3452C34C" wp14:editId="661B186B">
            <wp:extent cx="5762625" cy="8442325"/>
            <wp:effectExtent l="19050" t="19050" r="9525" b="0"/>
            <wp:docPr id="13" name="Picture 13" descr="Regional_UCA_TopA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gional_UCA_TopAHD"/>
                    <pic:cNvPicPr>
                      <a:picLocks noChangeAspect="1" noChangeArrowheads="1"/>
                    </pic:cNvPicPr>
                  </pic:nvPicPr>
                  <pic:blipFill>
                    <a:blip r:embed="rId29" cstate="print">
                      <a:extLst>
                        <a:ext uri="{28A0092B-C50C-407E-A947-70E740481C1C}">
                          <a14:useLocalDpi xmlns:a14="http://schemas.microsoft.com/office/drawing/2010/main" val="0"/>
                        </a:ext>
                      </a:extLst>
                    </a:blip>
                    <a:srcRect l="9128" t="5243" r="9554" b="10280"/>
                    <a:stretch>
                      <a:fillRect/>
                    </a:stretch>
                  </pic:blipFill>
                  <pic:spPr bwMode="auto">
                    <a:xfrm>
                      <a:off x="0" y="0"/>
                      <a:ext cx="5762625" cy="8442325"/>
                    </a:xfrm>
                    <a:prstGeom prst="rect">
                      <a:avLst/>
                    </a:prstGeom>
                    <a:noFill/>
                    <a:ln w="12700" cmpd="sng">
                      <a:solidFill>
                        <a:srgbClr val="000000"/>
                      </a:solidFill>
                      <a:miter lim="800000"/>
                      <a:headEnd/>
                      <a:tailEnd/>
                    </a:ln>
                    <a:effectLst/>
                  </pic:spPr>
                </pic:pic>
              </a:graphicData>
            </a:graphic>
          </wp:inline>
        </w:drawing>
      </w:r>
    </w:p>
    <w:p w:rsidR="006610C6" w:rsidRPr="009D7B6E" w:rsidRDefault="009D7B6E" w:rsidP="009D7B6E">
      <w:pPr>
        <w:pStyle w:val="Caption"/>
        <w:rPr>
          <w:szCs w:val="20"/>
        </w:rPr>
      </w:pPr>
      <w:bookmarkStart w:id="33" w:name="_Ref325639898"/>
      <w:r w:rsidRPr="00666EC0">
        <w:rPr>
          <w:b/>
        </w:rPr>
        <w:t xml:space="preserve">Figure </w:t>
      </w:r>
      <w:bookmarkEnd w:id="33"/>
      <w:r w:rsidR="003803FE">
        <w:rPr>
          <w:b/>
        </w:rPr>
        <w:t>G</w:t>
      </w:r>
      <w:r w:rsidR="006610C6" w:rsidRPr="00666EC0">
        <w:rPr>
          <w:b/>
          <w:szCs w:val="20"/>
        </w:rPr>
        <w:t>.</w:t>
      </w:r>
      <w:r w:rsidR="006610C6" w:rsidRPr="00666EC0">
        <w:rPr>
          <w:szCs w:val="20"/>
        </w:rPr>
        <w:t xml:space="preserve"> </w:t>
      </w:r>
      <w:r w:rsidR="0067778F">
        <w:rPr>
          <w:szCs w:val="20"/>
        </w:rPr>
        <w:t>Elevation of t</w:t>
      </w:r>
      <w:r w:rsidR="008732C7">
        <w:rPr>
          <w:szCs w:val="20"/>
        </w:rPr>
        <w:t>op of</w:t>
      </w:r>
      <w:r w:rsidR="006610C6" w:rsidRPr="009D7B6E">
        <w:rPr>
          <w:szCs w:val="20"/>
        </w:rPr>
        <w:t xml:space="preserve"> the Upper Confining Aquitard (predominantly Blanchetown Clay)</w:t>
      </w:r>
      <w:r w:rsidR="008732C7">
        <w:rPr>
          <w:szCs w:val="20"/>
        </w:rPr>
        <w:t xml:space="preserve"> in metres AHD</w:t>
      </w:r>
      <w:r w:rsidR="006610C6" w:rsidRPr="009D7B6E">
        <w:rPr>
          <w:szCs w:val="20"/>
        </w:rPr>
        <w:t>. Significant elevation differences (</w:t>
      </w:r>
      <w:r w:rsidR="001E3931">
        <w:rPr>
          <w:szCs w:val="20"/>
        </w:rPr>
        <w:t>~</w:t>
      </w:r>
      <w:r w:rsidR="006610C6" w:rsidRPr="009D7B6E">
        <w:rPr>
          <w:szCs w:val="20"/>
        </w:rPr>
        <w:t>50</w:t>
      </w:r>
      <w:r w:rsidR="00030542">
        <w:rPr>
          <w:szCs w:val="20"/>
        </w:rPr>
        <w:t xml:space="preserve"> </w:t>
      </w:r>
      <w:r w:rsidR="006610C6" w:rsidRPr="009D7B6E">
        <w:rPr>
          <w:szCs w:val="20"/>
        </w:rPr>
        <w:t xml:space="preserve">m) are apparent, with greater depths shown in </w:t>
      </w:r>
      <w:r w:rsidR="001C0090" w:rsidRPr="009D7B6E">
        <w:rPr>
          <w:szCs w:val="20"/>
        </w:rPr>
        <w:t>purple</w:t>
      </w:r>
      <w:r w:rsidR="006610C6" w:rsidRPr="009D7B6E">
        <w:rPr>
          <w:szCs w:val="20"/>
        </w:rPr>
        <w:t xml:space="preserve"> and shallower depths in brown.</w:t>
      </w:r>
      <w:r w:rsidR="00BE08AB" w:rsidRPr="00BE08AB">
        <w:rPr>
          <w:bCs w:val="0"/>
          <w:i w:val="0"/>
        </w:rPr>
        <w:t xml:space="preserve"> </w:t>
      </w:r>
      <w:r w:rsidR="00BE08AB" w:rsidRPr="005706E3">
        <w:rPr>
          <w:bCs w:val="0"/>
          <w:i w:val="0"/>
        </w:rPr>
        <w:fldChar w:fldCharType="begin"/>
      </w:r>
      <w:r w:rsidR="00BE08AB" w:rsidRPr="005706E3">
        <w:rPr>
          <w:bCs w:val="0"/>
          <w:i w:val="0"/>
        </w:rPr>
        <w:instrText xml:space="preserve"> TC "</w:instrText>
      </w:r>
      <w:bookmarkStart w:id="34" w:name="_Toc325975191"/>
      <w:bookmarkStart w:id="35" w:name="_Toc390690196"/>
      <w:r w:rsidR="00BE08AB" w:rsidRPr="005706E3">
        <w:rPr>
          <w:bCs w:val="0"/>
          <w:i w:val="0"/>
        </w:rPr>
        <w:instrText xml:space="preserve">Figure </w:instrText>
      </w:r>
      <w:r w:rsidR="003803FE">
        <w:rPr>
          <w:bCs w:val="0"/>
          <w:i w:val="0"/>
        </w:rPr>
        <w:instrText>G</w:instrText>
      </w:r>
      <w:r w:rsidR="00497AD3">
        <w:rPr>
          <w:bCs w:val="0"/>
          <w:i w:val="0"/>
        </w:rPr>
        <w:instrText>.</w:instrText>
      </w:r>
      <w:r w:rsidR="00BE08AB" w:rsidRPr="005706E3">
        <w:rPr>
          <w:bCs w:val="0"/>
          <w:i w:val="0"/>
        </w:rPr>
        <w:instrText xml:space="preserve"> </w:instrText>
      </w:r>
      <w:r w:rsidR="0067778F">
        <w:rPr>
          <w:i w:val="0"/>
          <w:szCs w:val="20"/>
        </w:rPr>
        <w:instrText>Elevation of t</w:instrText>
      </w:r>
      <w:r w:rsidR="008732C7">
        <w:rPr>
          <w:i w:val="0"/>
          <w:szCs w:val="20"/>
        </w:rPr>
        <w:instrText>op of</w:instrText>
      </w:r>
      <w:r w:rsidR="00666EC0" w:rsidRPr="00666EC0">
        <w:rPr>
          <w:i w:val="0"/>
          <w:szCs w:val="20"/>
        </w:rPr>
        <w:instrText xml:space="preserve"> the Upper Confining Aquitard</w:instrText>
      </w:r>
      <w:bookmarkEnd w:id="34"/>
      <w:r w:rsidR="008F12F7">
        <w:rPr>
          <w:i w:val="0"/>
          <w:szCs w:val="20"/>
        </w:rPr>
        <w:instrText xml:space="preserve"> in metres AHD</w:instrText>
      </w:r>
      <w:bookmarkEnd w:id="35"/>
      <w:r w:rsidR="00BE08AB" w:rsidRPr="00666EC0">
        <w:rPr>
          <w:bCs w:val="0"/>
          <w:i w:val="0"/>
        </w:rPr>
        <w:instrText>" \</w:instrText>
      </w:r>
      <w:r w:rsidR="00BE08AB" w:rsidRPr="005706E3">
        <w:rPr>
          <w:bCs w:val="0"/>
          <w:i w:val="0"/>
        </w:rPr>
        <w:instrText xml:space="preserve">f A \l “4” </w:instrText>
      </w:r>
      <w:r w:rsidR="00BE08AB" w:rsidRPr="005706E3">
        <w:rPr>
          <w:bCs w:val="0"/>
          <w:i w:val="0"/>
        </w:rPr>
        <w:fldChar w:fldCharType="end"/>
      </w:r>
    </w:p>
    <w:p w:rsidR="00FF3956" w:rsidRPr="00B152FD" w:rsidRDefault="0034495B" w:rsidP="001440A3">
      <w:pPr>
        <w:tabs>
          <w:tab w:val="num" w:pos="2517"/>
        </w:tabs>
        <w:spacing w:before="160" w:after="120"/>
        <w:rPr>
          <w:b/>
          <w:i/>
          <w:szCs w:val="22"/>
        </w:rPr>
      </w:pPr>
      <w:r>
        <w:rPr>
          <w:b/>
          <w:i/>
          <w:szCs w:val="22"/>
        </w:rPr>
        <w:lastRenderedPageBreak/>
        <w:t>Pliocene Aquifers (</w:t>
      </w:r>
      <w:r w:rsidR="00C217F0">
        <w:rPr>
          <w:b/>
          <w:i/>
          <w:szCs w:val="22"/>
        </w:rPr>
        <w:t>Calivil Formation</w:t>
      </w:r>
      <w:r>
        <w:rPr>
          <w:b/>
          <w:i/>
          <w:szCs w:val="22"/>
        </w:rPr>
        <w:t xml:space="preserve"> and Loxton-Parilla Sands)</w:t>
      </w:r>
    </w:p>
    <w:p w:rsidR="003E1880" w:rsidRPr="0034495B" w:rsidRDefault="004F3EF9" w:rsidP="003E1880">
      <w:pPr>
        <w:rPr>
          <w:szCs w:val="22"/>
        </w:rPr>
      </w:pPr>
      <w:r w:rsidRPr="0034495B">
        <w:rPr>
          <w:szCs w:val="22"/>
        </w:rPr>
        <w:t xml:space="preserve">The Pliocene </w:t>
      </w:r>
      <w:r w:rsidR="000D6958">
        <w:rPr>
          <w:szCs w:val="22"/>
        </w:rPr>
        <w:t>aquifers are the main focus of investigations in this study. In the project area, the Pliocene aquifers predominantly comprise</w:t>
      </w:r>
      <w:r w:rsidRPr="0034495B">
        <w:rPr>
          <w:szCs w:val="22"/>
        </w:rPr>
        <w:t xml:space="preserve"> the fluvial </w:t>
      </w:r>
      <w:r w:rsidR="00C217F0">
        <w:rPr>
          <w:szCs w:val="22"/>
        </w:rPr>
        <w:t>Calivil Formation</w:t>
      </w:r>
      <w:r w:rsidRPr="0034495B">
        <w:rPr>
          <w:szCs w:val="22"/>
        </w:rPr>
        <w:t xml:space="preserve">, with the shallow marine Loxton-Parilla Sands restricted to the southernmost part of the area. Post-depositional warping, tilting and discrete offsets associated with </w:t>
      </w:r>
      <w:r w:rsidR="000D6958">
        <w:rPr>
          <w:szCs w:val="22"/>
        </w:rPr>
        <w:t>tectonic activity</w:t>
      </w:r>
      <w:r w:rsidRPr="0034495B">
        <w:rPr>
          <w:szCs w:val="22"/>
        </w:rPr>
        <w:t xml:space="preserve"> </w:t>
      </w:r>
      <w:r w:rsidR="000D6958">
        <w:rPr>
          <w:szCs w:val="22"/>
        </w:rPr>
        <w:t>have influenced the thickness, extent and preservation of the Pliocene aquifers</w:t>
      </w:r>
      <w:r w:rsidRPr="0034495B">
        <w:rPr>
          <w:szCs w:val="22"/>
        </w:rPr>
        <w:t xml:space="preserve">. </w:t>
      </w:r>
      <w:r>
        <w:rPr>
          <w:szCs w:val="22"/>
        </w:rPr>
        <w:t>AEM</w:t>
      </w:r>
      <w:r w:rsidRPr="0034495B">
        <w:rPr>
          <w:szCs w:val="22"/>
        </w:rPr>
        <w:t xml:space="preserve"> mapping validated by drilling has enabled the lateral extents and thickness of the Pliocene aquifers to be identified.</w:t>
      </w:r>
      <w:r w:rsidR="003E1880" w:rsidRPr="003E1880">
        <w:rPr>
          <w:szCs w:val="22"/>
        </w:rPr>
        <w:t xml:space="preserve"> </w:t>
      </w:r>
    </w:p>
    <w:p w:rsidR="004F3EF9" w:rsidRPr="0034495B" w:rsidRDefault="004F3EF9" w:rsidP="004F3EF9">
      <w:pPr>
        <w:rPr>
          <w:szCs w:val="22"/>
        </w:rPr>
      </w:pPr>
    </w:p>
    <w:p w:rsidR="004F3EF9" w:rsidRDefault="004F3EF9" w:rsidP="004F3EF9">
      <w:pPr>
        <w:rPr>
          <w:color w:val="000000"/>
          <w:szCs w:val="22"/>
        </w:rPr>
      </w:pPr>
      <w:r w:rsidRPr="0034495B">
        <w:rPr>
          <w:szCs w:val="22"/>
        </w:rPr>
        <w:t xml:space="preserve">Facies analysis indicates the </w:t>
      </w:r>
      <w:r w:rsidR="00C217F0">
        <w:rPr>
          <w:szCs w:val="22"/>
        </w:rPr>
        <w:t>Calivil Formation</w:t>
      </w:r>
      <w:r w:rsidR="00F65D51">
        <w:rPr>
          <w:szCs w:val="22"/>
        </w:rPr>
        <w:t xml:space="preserve"> </w:t>
      </w:r>
      <w:r w:rsidRPr="0034495B">
        <w:rPr>
          <w:szCs w:val="22"/>
        </w:rPr>
        <w:t>was deposited in deep braided streams across a dissected sedimentary landscape. Overall, the sequence is</w:t>
      </w:r>
      <w:r w:rsidR="000D6958">
        <w:rPr>
          <w:szCs w:val="22"/>
        </w:rPr>
        <w:t xml:space="preserve"> fining-upwards, with evidence that the rivers that deposited the </w:t>
      </w:r>
      <w:r w:rsidR="00C217F0">
        <w:rPr>
          <w:szCs w:val="22"/>
        </w:rPr>
        <w:t>Calivil Formation</w:t>
      </w:r>
      <w:r w:rsidR="000D6958">
        <w:rPr>
          <w:szCs w:val="22"/>
        </w:rPr>
        <w:t xml:space="preserve"> prograded </w:t>
      </w:r>
      <w:r w:rsidRPr="0034495B">
        <w:rPr>
          <w:szCs w:val="22"/>
        </w:rPr>
        <w:t>over the Loxton-Parilla</w:t>
      </w:r>
      <w:r w:rsidR="000D6958">
        <w:rPr>
          <w:szCs w:val="22"/>
        </w:rPr>
        <w:t xml:space="preserve"> Sands</w:t>
      </w:r>
      <w:r w:rsidRPr="0034495B">
        <w:rPr>
          <w:szCs w:val="22"/>
        </w:rPr>
        <w:t>. Channel</w:t>
      </w:r>
      <w:r w:rsidR="00236B51">
        <w:rPr>
          <w:szCs w:val="22"/>
        </w:rPr>
        <w:t>-</w:t>
      </w:r>
      <w:r w:rsidRPr="0034495B">
        <w:rPr>
          <w:szCs w:val="22"/>
        </w:rPr>
        <w:t>fill materials comprise gravels and sands, and local fine-grained units represent abandoned channel</w:t>
      </w:r>
      <w:r>
        <w:rPr>
          <w:szCs w:val="22"/>
        </w:rPr>
        <w:t xml:space="preserve"> fills</w:t>
      </w:r>
      <w:r w:rsidRPr="0034495B">
        <w:rPr>
          <w:szCs w:val="22"/>
        </w:rPr>
        <w:t xml:space="preserve"> and local floodplain sediments. Integration of textural and hydr</w:t>
      </w:r>
      <w:smartTag w:uri="urn:schemas-microsoft-com:office:smarttags" w:element="PersonName">
        <w:r w:rsidRPr="0034495B">
          <w:rPr>
            <w:szCs w:val="22"/>
          </w:rPr>
          <w:t>au</w:t>
        </w:r>
      </w:smartTag>
      <w:r w:rsidRPr="0034495B">
        <w:rPr>
          <w:szCs w:val="22"/>
        </w:rPr>
        <w:t>lic testing data has revealed there are five hydr</w:t>
      </w:r>
      <w:smartTag w:uri="urn:schemas-microsoft-com:office:smarttags" w:element="PersonName">
        <w:r w:rsidRPr="0034495B">
          <w:rPr>
            <w:szCs w:val="22"/>
          </w:rPr>
          <w:t>au</w:t>
        </w:r>
      </w:smartTag>
      <w:r w:rsidRPr="0034495B">
        <w:rPr>
          <w:szCs w:val="22"/>
        </w:rPr>
        <w:t xml:space="preserve">lic classes </w:t>
      </w:r>
      <w:r w:rsidR="000D6958">
        <w:rPr>
          <w:szCs w:val="22"/>
        </w:rPr>
        <w:t xml:space="preserve">(coarse to very coarse sand and gravel, medium sand, fine sand, muddy sand, and mud), </w:t>
      </w:r>
      <w:r w:rsidRPr="0034495B">
        <w:rPr>
          <w:szCs w:val="22"/>
        </w:rPr>
        <w:t xml:space="preserve">within the </w:t>
      </w:r>
      <w:r w:rsidR="00C217F0">
        <w:rPr>
          <w:szCs w:val="22"/>
        </w:rPr>
        <w:t>Calivil Formation</w:t>
      </w:r>
      <w:r w:rsidRPr="0034495B">
        <w:rPr>
          <w:szCs w:val="22"/>
        </w:rPr>
        <w:t>. At a local scale (10s to 100s of metres), there is considerable lithological heterogeneity, however at a regional scale (km), sands and gravels are widely distributed with particularly good aquifers developed in palaeochannels and at the confluence of palaeo-river systems.</w:t>
      </w:r>
      <w:r w:rsidRPr="0034495B">
        <w:rPr>
          <w:color w:val="000000"/>
          <w:szCs w:val="22"/>
        </w:rPr>
        <w:t xml:space="preserve"> </w:t>
      </w:r>
    </w:p>
    <w:p w:rsidR="0034495B" w:rsidRDefault="0034495B" w:rsidP="0034495B">
      <w:pPr>
        <w:rPr>
          <w:color w:val="000000"/>
          <w:szCs w:val="22"/>
        </w:rPr>
      </w:pPr>
    </w:p>
    <w:p w:rsidR="0034495B" w:rsidRPr="00E80C41" w:rsidRDefault="0034495B" w:rsidP="0034495B">
      <w:pPr>
        <w:rPr>
          <w:szCs w:val="22"/>
        </w:rPr>
      </w:pPr>
      <w:r>
        <w:rPr>
          <w:szCs w:val="22"/>
        </w:rPr>
        <w:t xml:space="preserve">The </w:t>
      </w:r>
      <w:r w:rsidR="00C217F0">
        <w:rPr>
          <w:szCs w:val="22"/>
        </w:rPr>
        <w:t>Calivil Formation</w:t>
      </w:r>
      <w:r>
        <w:rPr>
          <w:szCs w:val="22"/>
        </w:rPr>
        <w:t xml:space="preserve"> aquifer </w:t>
      </w:r>
      <w:r w:rsidRPr="00E80C41">
        <w:rPr>
          <w:szCs w:val="22"/>
        </w:rPr>
        <w:t xml:space="preserve">varies significantly in thickness </w:t>
      </w:r>
      <w:r w:rsidR="003E1880">
        <w:rPr>
          <w:szCs w:val="22"/>
        </w:rPr>
        <w:t>(0-70</w:t>
      </w:r>
      <w:r w:rsidR="00F25A1E">
        <w:rPr>
          <w:szCs w:val="22"/>
        </w:rPr>
        <w:t xml:space="preserve"> </w:t>
      </w:r>
      <w:r w:rsidR="003E1880">
        <w:rPr>
          <w:szCs w:val="22"/>
        </w:rPr>
        <w:t xml:space="preserve">m) </w:t>
      </w:r>
      <w:r w:rsidRPr="00E80C41">
        <w:rPr>
          <w:szCs w:val="22"/>
        </w:rPr>
        <w:t>over the project area</w:t>
      </w:r>
      <w:r>
        <w:rPr>
          <w:szCs w:val="22"/>
        </w:rPr>
        <w:t>.</w:t>
      </w:r>
      <w:r w:rsidRPr="00E80C41">
        <w:rPr>
          <w:szCs w:val="22"/>
        </w:rPr>
        <w:t xml:space="preserve"> </w:t>
      </w:r>
      <w:r>
        <w:rPr>
          <w:szCs w:val="22"/>
        </w:rPr>
        <w:t>This variability results from</w:t>
      </w:r>
      <w:r w:rsidRPr="00E80C41">
        <w:rPr>
          <w:szCs w:val="22"/>
        </w:rPr>
        <w:t xml:space="preserve"> (1) </w:t>
      </w:r>
      <w:r>
        <w:rPr>
          <w:szCs w:val="22"/>
        </w:rPr>
        <w:t>in-</w:t>
      </w:r>
      <w:r w:rsidRPr="00E80C41">
        <w:rPr>
          <w:szCs w:val="22"/>
        </w:rPr>
        <w:t xml:space="preserve">filling of broad </w:t>
      </w:r>
      <w:r>
        <w:rPr>
          <w:szCs w:val="22"/>
        </w:rPr>
        <w:t>(</w:t>
      </w:r>
      <w:r w:rsidRPr="00E80C41">
        <w:rPr>
          <w:szCs w:val="22"/>
        </w:rPr>
        <w:t>structurally-controlled</w:t>
      </w:r>
      <w:r>
        <w:rPr>
          <w:szCs w:val="22"/>
        </w:rPr>
        <w:t>)</w:t>
      </w:r>
      <w:r w:rsidRPr="00E80C41">
        <w:rPr>
          <w:szCs w:val="22"/>
        </w:rPr>
        <w:t xml:space="preserve"> palaeovalleys</w:t>
      </w:r>
      <w:r>
        <w:rPr>
          <w:szCs w:val="22"/>
        </w:rPr>
        <w:t xml:space="preserve"> in an</w:t>
      </w:r>
      <w:r w:rsidRPr="00E80C41">
        <w:rPr>
          <w:szCs w:val="22"/>
        </w:rPr>
        <w:t xml:space="preserve"> undulating palaeo-landscape</w:t>
      </w:r>
      <w:r>
        <w:rPr>
          <w:szCs w:val="22"/>
        </w:rPr>
        <w:t>, with relief of up to 40</w:t>
      </w:r>
      <w:r w:rsidR="00F25A1E">
        <w:rPr>
          <w:szCs w:val="22"/>
        </w:rPr>
        <w:t xml:space="preserve"> </w:t>
      </w:r>
      <w:r>
        <w:rPr>
          <w:szCs w:val="22"/>
        </w:rPr>
        <w:t>m from valley bottoms to hill tops</w:t>
      </w:r>
      <w:r w:rsidRPr="00E80C41">
        <w:rPr>
          <w:szCs w:val="22"/>
        </w:rPr>
        <w:t xml:space="preserve">; and (2) post-depositional tectonic effects that include </w:t>
      </w:r>
      <w:r w:rsidR="000D6958">
        <w:rPr>
          <w:szCs w:val="22"/>
        </w:rPr>
        <w:t>movement on discrete faults</w:t>
      </w:r>
      <w:r w:rsidRPr="00E80C41">
        <w:rPr>
          <w:szCs w:val="22"/>
        </w:rPr>
        <w:t xml:space="preserve">, as well as warping and tilting of the landscape. </w:t>
      </w:r>
      <w:r>
        <w:rPr>
          <w:szCs w:val="22"/>
        </w:rPr>
        <w:t xml:space="preserve">The effect of tectonic inversion along reactivated faults has been erosion and local thinning of the </w:t>
      </w:r>
      <w:r w:rsidR="00C217F0">
        <w:rPr>
          <w:szCs w:val="22"/>
        </w:rPr>
        <w:t>Calivil Formation</w:t>
      </w:r>
      <w:r>
        <w:rPr>
          <w:szCs w:val="22"/>
        </w:rPr>
        <w:t xml:space="preserve"> sequence prior to deposition of the overlying lacustrine Blanchetown Clay. In some narrow fault zones</w:t>
      </w:r>
      <w:r w:rsidR="000D6958">
        <w:rPr>
          <w:szCs w:val="22"/>
        </w:rPr>
        <w:t>,</w:t>
      </w:r>
      <w:r>
        <w:rPr>
          <w:szCs w:val="22"/>
        </w:rPr>
        <w:t xml:space="preserve"> the </w:t>
      </w:r>
      <w:r w:rsidR="00C217F0">
        <w:rPr>
          <w:szCs w:val="22"/>
        </w:rPr>
        <w:t>Calivil Formation</w:t>
      </w:r>
      <w:r>
        <w:rPr>
          <w:szCs w:val="22"/>
        </w:rPr>
        <w:t xml:space="preserve"> </w:t>
      </w:r>
      <w:r w:rsidR="00B75694">
        <w:rPr>
          <w:szCs w:val="22"/>
        </w:rPr>
        <w:t>appears to have</w:t>
      </w:r>
      <w:r>
        <w:rPr>
          <w:szCs w:val="22"/>
        </w:rPr>
        <w:t xml:space="preserve"> been completely eroded. Tectonic activity post-deposition of the Blanchetown Clay has resulted in further warping, tilting and faulting of the </w:t>
      </w:r>
      <w:r w:rsidR="00C217F0">
        <w:rPr>
          <w:szCs w:val="22"/>
        </w:rPr>
        <w:t>Calivil Formation</w:t>
      </w:r>
      <w:r>
        <w:rPr>
          <w:szCs w:val="22"/>
        </w:rPr>
        <w:t xml:space="preserve">. </w:t>
      </w:r>
    </w:p>
    <w:p w:rsidR="0034495B" w:rsidRPr="00E80C41" w:rsidRDefault="0034495B" w:rsidP="0034495B">
      <w:pPr>
        <w:rPr>
          <w:szCs w:val="22"/>
        </w:rPr>
      </w:pPr>
    </w:p>
    <w:p w:rsidR="004F3EF9" w:rsidRPr="00E80C41" w:rsidRDefault="004F3EF9" w:rsidP="004F3EF9">
      <w:pPr>
        <w:rPr>
          <w:szCs w:val="22"/>
        </w:rPr>
      </w:pPr>
      <w:r w:rsidRPr="00E80C41">
        <w:rPr>
          <w:szCs w:val="22"/>
        </w:rPr>
        <w:t xml:space="preserve">The </w:t>
      </w:r>
      <w:r w:rsidRPr="00E80C41" w:rsidDel="003E1880">
        <w:rPr>
          <w:szCs w:val="22"/>
        </w:rPr>
        <w:t xml:space="preserve">lower </w:t>
      </w:r>
      <w:r w:rsidDel="003E1880">
        <w:rPr>
          <w:szCs w:val="22"/>
        </w:rPr>
        <w:t xml:space="preserve">bounding surface </w:t>
      </w:r>
      <w:r w:rsidRPr="00E80C41" w:rsidDel="003E1880">
        <w:rPr>
          <w:szCs w:val="22"/>
        </w:rPr>
        <w:t xml:space="preserve">of the </w:t>
      </w:r>
      <w:r w:rsidR="00BE02C5">
        <w:rPr>
          <w:szCs w:val="22"/>
        </w:rPr>
        <w:t>formation</w:t>
      </w:r>
      <w:r w:rsidR="003E1880">
        <w:rPr>
          <w:szCs w:val="22"/>
        </w:rPr>
        <w:t xml:space="preserve"> </w:t>
      </w:r>
      <w:r w:rsidRPr="00E80C41">
        <w:rPr>
          <w:szCs w:val="22"/>
        </w:rPr>
        <w:t xml:space="preserve">is marked by </w:t>
      </w:r>
      <w:r>
        <w:rPr>
          <w:szCs w:val="22"/>
        </w:rPr>
        <w:t>an</w:t>
      </w:r>
      <w:r w:rsidRPr="00E80C41">
        <w:rPr>
          <w:szCs w:val="22"/>
        </w:rPr>
        <w:t xml:space="preserve"> erosional contact with </w:t>
      </w:r>
      <w:r w:rsidR="00C217F0">
        <w:rPr>
          <w:szCs w:val="22"/>
        </w:rPr>
        <w:t>Renmark Group</w:t>
      </w:r>
      <w:r>
        <w:rPr>
          <w:szCs w:val="22"/>
        </w:rPr>
        <w:t xml:space="preserve"> sediments. There is</w:t>
      </w:r>
      <w:r w:rsidRPr="00E80C41">
        <w:rPr>
          <w:szCs w:val="22"/>
        </w:rPr>
        <w:t xml:space="preserve"> a 10m year hiatus between deposition of </w:t>
      </w:r>
      <w:r>
        <w:rPr>
          <w:szCs w:val="22"/>
        </w:rPr>
        <w:t xml:space="preserve">the </w:t>
      </w:r>
      <w:r w:rsidR="00C217F0">
        <w:rPr>
          <w:szCs w:val="22"/>
        </w:rPr>
        <w:t>Renmark Group</w:t>
      </w:r>
      <w:r>
        <w:rPr>
          <w:szCs w:val="22"/>
        </w:rPr>
        <w:t xml:space="preserve"> and </w:t>
      </w:r>
      <w:r w:rsidR="00C217F0">
        <w:rPr>
          <w:szCs w:val="22"/>
        </w:rPr>
        <w:t>Calivil Formation</w:t>
      </w:r>
      <w:r w:rsidRPr="00E80C41">
        <w:rPr>
          <w:szCs w:val="22"/>
        </w:rPr>
        <w:t xml:space="preserve">. </w:t>
      </w:r>
      <w:r>
        <w:rPr>
          <w:szCs w:val="22"/>
        </w:rPr>
        <w:t>Beneath this erosional surface, t</w:t>
      </w:r>
      <w:r w:rsidRPr="00E80C41">
        <w:rPr>
          <w:szCs w:val="22"/>
        </w:rPr>
        <w:t xml:space="preserve">he </w:t>
      </w:r>
      <w:r>
        <w:rPr>
          <w:szCs w:val="22"/>
        </w:rPr>
        <w:t>upper</w:t>
      </w:r>
      <w:r w:rsidRPr="00E80C41">
        <w:rPr>
          <w:szCs w:val="22"/>
        </w:rPr>
        <w:t xml:space="preserve"> </w:t>
      </w:r>
      <w:r w:rsidR="00C217F0">
        <w:rPr>
          <w:szCs w:val="22"/>
        </w:rPr>
        <w:t>Renmark Group</w:t>
      </w:r>
      <w:r w:rsidRPr="00E80C41">
        <w:rPr>
          <w:szCs w:val="22"/>
        </w:rPr>
        <w:t xml:space="preserve"> sediments show evidence of </w:t>
      </w:r>
      <w:r>
        <w:rPr>
          <w:szCs w:val="22"/>
        </w:rPr>
        <w:t xml:space="preserve">significant weathering, particularly where preserved on local palaeo-highs. </w:t>
      </w:r>
      <w:r w:rsidRPr="00E80C41">
        <w:rPr>
          <w:szCs w:val="22"/>
        </w:rPr>
        <w:t xml:space="preserve">The upper surface of the </w:t>
      </w:r>
      <w:r w:rsidR="00C217F0">
        <w:rPr>
          <w:szCs w:val="22"/>
        </w:rPr>
        <w:t>Calivil Formation</w:t>
      </w:r>
      <w:r>
        <w:rPr>
          <w:szCs w:val="22"/>
        </w:rPr>
        <w:t xml:space="preserve"> </w:t>
      </w:r>
      <w:r w:rsidRPr="00E80C41">
        <w:rPr>
          <w:szCs w:val="22"/>
        </w:rPr>
        <w:t xml:space="preserve">is </w:t>
      </w:r>
      <w:r w:rsidRPr="0021580E">
        <w:rPr>
          <w:szCs w:val="22"/>
        </w:rPr>
        <w:t>irregular, with up to 16 m of relief evident. This</w:t>
      </w:r>
      <w:r w:rsidRPr="00E80C41">
        <w:rPr>
          <w:szCs w:val="22"/>
        </w:rPr>
        <w:t xml:space="preserve"> relief is due to </w:t>
      </w:r>
      <w:r>
        <w:rPr>
          <w:szCs w:val="22"/>
        </w:rPr>
        <w:t>the</w:t>
      </w:r>
      <w:r w:rsidRPr="00E80C41">
        <w:rPr>
          <w:szCs w:val="22"/>
        </w:rPr>
        <w:t xml:space="preserve"> channel and bar topography in the upper </w:t>
      </w:r>
      <w:r w:rsidR="00C217F0">
        <w:rPr>
          <w:szCs w:val="22"/>
        </w:rPr>
        <w:t>Calivil Formation</w:t>
      </w:r>
      <w:r w:rsidR="000D6958">
        <w:rPr>
          <w:szCs w:val="22"/>
        </w:rPr>
        <w:t xml:space="preserve"> </w:t>
      </w:r>
      <w:r>
        <w:rPr>
          <w:szCs w:val="22"/>
        </w:rPr>
        <w:t xml:space="preserve">at the time of inundation by </w:t>
      </w:r>
      <w:smartTag w:uri="urn:schemas-microsoft-com:office:smarttags" w:element="place">
        <w:smartTag w:uri="urn:schemas-microsoft-com:office:smarttags" w:element="PlaceType">
          <w:r>
            <w:rPr>
              <w:szCs w:val="22"/>
            </w:rPr>
            <w:t>Lake</w:t>
          </w:r>
        </w:smartTag>
        <w:r>
          <w:rPr>
            <w:szCs w:val="22"/>
          </w:rPr>
          <w:t xml:space="preserve"> </w:t>
        </w:r>
        <w:smartTag w:uri="urn:schemas-microsoft-com:office:smarttags" w:element="PlaceName">
          <w:r>
            <w:rPr>
              <w:szCs w:val="22"/>
            </w:rPr>
            <w:t>Bungunnia</w:t>
          </w:r>
        </w:smartTag>
      </w:smartTag>
      <w:r>
        <w:rPr>
          <w:szCs w:val="22"/>
        </w:rPr>
        <w:t xml:space="preserve">, combined with post </w:t>
      </w:r>
      <w:r w:rsidR="00C217F0">
        <w:rPr>
          <w:szCs w:val="22"/>
        </w:rPr>
        <w:t>Calivil Formation</w:t>
      </w:r>
      <w:r w:rsidR="000D6958">
        <w:rPr>
          <w:szCs w:val="22"/>
        </w:rPr>
        <w:t xml:space="preserve"> </w:t>
      </w:r>
      <w:r>
        <w:rPr>
          <w:szCs w:val="22"/>
        </w:rPr>
        <w:t>tectonic warping and f</w:t>
      </w:r>
      <w:smartTag w:uri="urn:schemas-microsoft-com:office:smarttags" w:element="PersonName">
        <w:r>
          <w:rPr>
            <w:szCs w:val="22"/>
          </w:rPr>
          <w:t>au</w:t>
        </w:r>
      </w:smartTag>
      <w:r>
        <w:rPr>
          <w:szCs w:val="22"/>
        </w:rPr>
        <w:t>lting</w:t>
      </w:r>
      <w:r w:rsidRPr="00E80C41">
        <w:rPr>
          <w:szCs w:val="22"/>
        </w:rPr>
        <w:t>.</w:t>
      </w:r>
      <w:r>
        <w:rPr>
          <w:szCs w:val="22"/>
        </w:rPr>
        <w:t xml:space="preserve"> </w:t>
      </w:r>
    </w:p>
    <w:p w:rsidR="004F3EF9" w:rsidRDefault="004F3EF9" w:rsidP="004F3EF9">
      <w:pPr>
        <w:rPr>
          <w:color w:val="000000"/>
          <w:szCs w:val="22"/>
          <w:highlight w:val="yellow"/>
        </w:rPr>
      </w:pPr>
    </w:p>
    <w:p w:rsidR="00650F41" w:rsidRDefault="003E1880" w:rsidP="003E1880">
      <w:pPr>
        <w:rPr>
          <w:color w:val="000000"/>
          <w:szCs w:val="22"/>
        </w:rPr>
      </w:pPr>
      <w:r>
        <w:rPr>
          <w:szCs w:val="22"/>
        </w:rPr>
        <w:t xml:space="preserve">The semi-confined to confined </w:t>
      </w:r>
      <w:r w:rsidR="00C217F0">
        <w:rPr>
          <w:szCs w:val="22"/>
        </w:rPr>
        <w:t>Calivil Formation</w:t>
      </w:r>
      <w:r w:rsidR="00BE02C5">
        <w:rPr>
          <w:szCs w:val="22"/>
        </w:rPr>
        <w:t xml:space="preserve"> </w:t>
      </w:r>
      <w:r>
        <w:rPr>
          <w:szCs w:val="22"/>
        </w:rPr>
        <w:t xml:space="preserve">aquifer is the principal target </w:t>
      </w:r>
      <w:r w:rsidR="00BE02C5">
        <w:rPr>
          <w:szCs w:val="22"/>
        </w:rPr>
        <w:t xml:space="preserve">aquifer </w:t>
      </w:r>
      <w:r>
        <w:rPr>
          <w:szCs w:val="22"/>
        </w:rPr>
        <w:t>for MAR and groundwater extraction in the study area.</w:t>
      </w:r>
      <w:r w:rsidR="00680C55">
        <w:rPr>
          <w:color w:val="000000"/>
          <w:szCs w:val="22"/>
        </w:rPr>
        <w:t xml:space="preserve"> </w:t>
      </w:r>
      <w:r w:rsidR="00BE02C5">
        <w:rPr>
          <w:color w:val="000000"/>
          <w:szCs w:val="22"/>
        </w:rPr>
        <w:t xml:space="preserve">The level of confinement of the aquifer (confined-semi-confined-unconfined) is defined by the presence, thickness, lithology and structural integrity of the overlying Blanchetown Clay. </w:t>
      </w:r>
      <w:r w:rsidR="00BE02C5">
        <w:rPr>
          <w:szCs w:val="22"/>
        </w:rPr>
        <w:t xml:space="preserve">In places, a fine-grained upper part of the </w:t>
      </w:r>
      <w:r w:rsidR="00C217F0">
        <w:rPr>
          <w:szCs w:val="22"/>
        </w:rPr>
        <w:t>Calivil Formation</w:t>
      </w:r>
      <w:r w:rsidR="00F65D51">
        <w:rPr>
          <w:szCs w:val="22"/>
        </w:rPr>
        <w:t xml:space="preserve"> </w:t>
      </w:r>
      <w:r w:rsidR="00BE02C5">
        <w:rPr>
          <w:szCs w:val="22"/>
        </w:rPr>
        <w:t xml:space="preserve">sequence can also act as an upper confining layer for the </w:t>
      </w:r>
      <w:r w:rsidR="00C217F0">
        <w:rPr>
          <w:szCs w:val="22"/>
        </w:rPr>
        <w:t>Calivil Formation</w:t>
      </w:r>
      <w:r w:rsidR="00F65D51">
        <w:rPr>
          <w:szCs w:val="22"/>
        </w:rPr>
        <w:t xml:space="preserve"> </w:t>
      </w:r>
      <w:r w:rsidR="00BE02C5">
        <w:rPr>
          <w:szCs w:val="22"/>
        </w:rPr>
        <w:t>aquifer proper.</w:t>
      </w:r>
      <w:r w:rsidR="00B75694">
        <w:rPr>
          <w:color w:val="000000"/>
          <w:szCs w:val="22"/>
        </w:rPr>
        <w:t xml:space="preserve"> In localised areas away from the groundwater mounding associated with the modern drainage, the standing water level may locally lie beneath the upper confining aquitard, and in these areas, </w:t>
      </w:r>
      <w:r w:rsidR="00B75694" w:rsidRPr="00B75694">
        <w:rPr>
          <w:color w:val="000000"/>
          <w:szCs w:val="22"/>
        </w:rPr>
        <w:t xml:space="preserve">the </w:t>
      </w:r>
      <w:r w:rsidR="00C217F0">
        <w:rPr>
          <w:color w:val="000000"/>
          <w:szCs w:val="22"/>
        </w:rPr>
        <w:t>Calivil Formation</w:t>
      </w:r>
      <w:r w:rsidR="00B75694" w:rsidRPr="00B75694">
        <w:rPr>
          <w:color w:val="000000"/>
          <w:szCs w:val="22"/>
        </w:rPr>
        <w:t xml:space="preserve"> </w:t>
      </w:r>
      <w:r w:rsidR="00BE02C5" w:rsidRPr="00B75694">
        <w:rPr>
          <w:color w:val="000000"/>
          <w:szCs w:val="22"/>
        </w:rPr>
        <w:t>aquifer becomes unconfined.</w:t>
      </w:r>
      <w:r>
        <w:rPr>
          <w:color w:val="000000"/>
          <w:szCs w:val="22"/>
        </w:rPr>
        <w:t xml:space="preserve"> </w:t>
      </w:r>
    </w:p>
    <w:p w:rsidR="00650F41" w:rsidRDefault="00650F41" w:rsidP="003E1880">
      <w:pPr>
        <w:rPr>
          <w:color w:val="000000"/>
          <w:szCs w:val="22"/>
        </w:rPr>
      </w:pPr>
    </w:p>
    <w:p w:rsidR="003E1880" w:rsidRDefault="004F3EF9" w:rsidP="003E1880">
      <w:pPr>
        <w:rPr>
          <w:szCs w:val="22"/>
        </w:rPr>
      </w:pPr>
      <w:r>
        <w:rPr>
          <w:color w:val="000000"/>
          <w:szCs w:val="22"/>
        </w:rPr>
        <w:t xml:space="preserve">Aquifer </w:t>
      </w:r>
      <w:r w:rsidR="00BE02C5">
        <w:rPr>
          <w:color w:val="000000"/>
          <w:szCs w:val="22"/>
        </w:rPr>
        <w:t xml:space="preserve">thickness and transmissivities vary across the study area. However, the AEM survey has enabled targeting of sites where subsequent drilling has identified the </w:t>
      </w:r>
      <w:r w:rsidR="00C217F0">
        <w:rPr>
          <w:color w:val="000000"/>
          <w:szCs w:val="22"/>
        </w:rPr>
        <w:t>Calivil Formation</w:t>
      </w:r>
      <w:r w:rsidR="000D6958">
        <w:rPr>
          <w:color w:val="000000"/>
          <w:szCs w:val="22"/>
        </w:rPr>
        <w:t xml:space="preserve"> </w:t>
      </w:r>
      <w:r w:rsidR="00BE02C5">
        <w:rPr>
          <w:color w:val="000000"/>
          <w:szCs w:val="22"/>
        </w:rPr>
        <w:t xml:space="preserve">as having </w:t>
      </w:r>
      <w:r w:rsidR="00BE02C5" w:rsidRPr="0034495B">
        <w:rPr>
          <w:szCs w:val="22"/>
        </w:rPr>
        <w:t>excellent aquifer</w:t>
      </w:r>
      <w:r w:rsidR="00BE02C5">
        <w:rPr>
          <w:szCs w:val="22"/>
        </w:rPr>
        <w:t xml:space="preserve"> properties. For example, </w:t>
      </w:r>
      <w:r w:rsidR="00650F41">
        <w:rPr>
          <w:szCs w:val="22"/>
        </w:rPr>
        <w:t xml:space="preserve">limited </w:t>
      </w:r>
      <w:r w:rsidR="00BE02C5">
        <w:rPr>
          <w:szCs w:val="22"/>
        </w:rPr>
        <w:t xml:space="preserve">pump tests at the Jimargil site inferred </w:t>
      </w:r>
      <w:r w:rsidR="00BE02C5" w:rsidRPr="0034495B">
        <w:rPr>
          <w:szCs w:val="22"/>
        </w:rPr>
        <w:t>very high t</w:t>
      </w:r>
      <w:r w:rsidR="00BE02C5">
        <w:rPr>
          <w:szCs w:val="22"/>
        </w:rPr>
        <w:t>ransmissivities (300-900 m</w:t>
      </w:r>
      <w:r w:rsidR="00BE02C5" w:rsidRPr="00111B1B">
        <w:rPr>
          <w:szCs w:val="22"/>
          <w:vertAlign w:val="superscript"/>
        </w:rPr>
        <w:t>2</w:t>
      </w:r>
      <w:r w:rsidR="00BE02C5">
        <w:rPr>
          <w:szCs w:val="22"/>
        </w:rPr>
        <w:t>/d).</w:t>
      </w:r>
      <w:r w:rsidR="00680C55">
        <w:rPr>
          <w:szCs w:val="22"/>
        </w:rPr>
        <w:t xml:space="preserve"> </w:t>
      </w:r>
      <w:r w:rsidR="00650F41">
        <w:rPr>
          <w:szCs w:val="22"/>
        </w:rPr>
        <w:t>These tests</w:t>
      </w:r>
      <w:r w:rsidR="000D6958">
        <w:rPr>
          <w:szCs w:val="22"/>
        </w:rPr>
        <w:t xml:space="preserve"> prove that high bore yields are obtainable from the </w:t>
      </w:r>
      <w:r w:rsidR="00C217F0">
        <w:rPr>
          <w:szCs w:val="22"/>
        </w:rPr>
        <w:t>Calivil Formation</w:t>
      </w:r>
      <w:r w:rsidR="000D6958">
        <w:rPr>
          <w:szCs w:val="22"/>
        </w:rPr>
        <w:t xml:space="preserve"> aquifer, sufficient for large-scale production, and injection of suitably treated water. However, the short duration of the tests was not sufficient to assess the level of connectivity with the unconfined and confined aquifers above and below, respectively.</w:t>
      </w:r>
    </w:p>
    <w:p w:rsidR="00C0765F" w:rsidRDefault="00C0765F" w:rsidP="003E1880">
      <w:pPr>
        <w:rPr>
          <w:szCs w:val="22"/>
        </w:rPr>
      </w:pPr>
    </w:p>
    <w:p w:rsidR="00C0765F" w:rsidRDefault="00C0765F" w:rsidP="00C0765F">
      <w:r>
        <w:t>The Loxton-Parilla Sands were deposited as marginal marine and beach-barrier deposits during a major Miocene-Pliocene marine regression. In this study, drilling has demonstrated the presence of Loxton-Parilla sands in the south of the area, with stranded dunes also present about 30</w:t>
      </w:r>
      <w:r w:rsidR="006748C2">
        <w:t xml:space="preserve"> </w:t>
      </w:r>
      <w:r>
        <w:t xml:space="preserve">km SE of </w:t>
      </w:r>
      <w:r w:rsidR="00C217F0">
        <w:t>Lake Menindee</w:t>
      </w:r>
      <w:r>
        <w:t xml:space="preserve">. Drilling has also demonstrated that the </w:t>
      </w:r>
      <w:r w:rsidR="00C217F0">
        <w:t>Calivil Formation</w:t>
      </w:r>
      <w:r>
        <w:t xml:space="preserve"> locally overlies the Loxton-Parilla Sands. In the south of the area, the latter form a good aquifer approximately 40 m thick.</w:t>
      </w:r>
    </w:p>
    <w:p w:rsidR="00FF3956" w:rsidRDefault="00C217F0" w:rsidP="001440A3">
      <w:pPr>
        <w:tabs>
          <w:tab w:val="num" w:pos="2517"/>
        </w:tabs>
        <w:spacing w:before="160" w:after="120"/>
        <w:rPr>
          <w:b/>
          <w:i/>
          <w:szCs w:val="22"/>
        </w:rPr>
      </w:pPr>
      <w:r>
        <w:rPr>
          <w:b/>
          <w:i/>
          <w:szCs w:val="22"/>
        </w:rPr>
        <w:lastRenderedPageBreak/>
        <w:t>Renmark Group</w:t>
      </w:r>
    </w:p>
    <w:p w:rsidR="0034495B" w:rsidRPr="006610C6" w:rsidRDefault="0034495B" w:rsidP="003630E1">
      <w:pPr>
        <w:rPr>
          <w:szCs w:val="22"/>
        </w:rPr>
      </w:pPr>
      <w:r w:rsidRPr="006610C6">
        <w:rPr>
          <w:szCs w:val="22"/>
        </w:rPr>
        <w:t xml:space="preserve">Regionally, the </w:t>
      </w:r>
      <w:r w:rsidR="00C217F0">
        <w:rPr>
          <w:szCs w:val="22"/>
        </w:rPr>
        <w:t>Renmark Group</w:t>
      </w:r>
      <w:r w:rsidRPr="006610C6">
        <w:rPr>
          <w:szCs w:val="22"/>
        </w:rPr>
        <w:t xml:space="preserve"> comprises the non-marine Paleocene to Miocene sediments of the </w:t>
      </w:r>
      <w:smartTag w:uri="urn:schemas-microsoft-com:office:smarttags" w:element="place">
        <w:smartTag w:uri="urn:schemas-microsoft-com:office:smarttags" w:element="PlaceName">
          <w:r w:rsidRPr="006610C6">
            <w:rPr>
              <w:szCs w:val="22"/>
            </w:rPr>
            <w:t>Murray</w:t>
          </w:r>
        </w:smartTag>
        <w:r w:rsidRPr="006610C6">
          <w:rPr>
            <w:szCs w:val="22"/>
          </w:rPr>
          <w:t xml:space="preserve"> </w:t>
        </w:r>
        <w:smartTag w:uri="urn:schemas-microsoft-com:office:smarttags" w:element="PlaceType">
          <w:r w:rsidRPr="006610C6">
            <w:rPr>
              <w:szCs w:val="22"/>
            </w:rPr>
            <w:t>Basin</w:t>
          </w:r>
        </w:smartTag>
      </w:smartTag>
      <w:r w:rsidRPr="006610C6">
        <w:rPr>
          <w:szCs w:val="22"/>
        </w:rPr>
        <w:t xml:space="preserve">. Deposition of the </w:t>
      </w:r>
      <w:r w:rsidR="00C217F0">
        <w:rPr>
          <w:szCs w:val="22"/>
        </w:rPr>
        <w:t>Renmark Group</w:t>
      </w:r>
      <w:r w:rsidRPr="006610C6">
        <w:rPr>
          <w:szCs w:val="22"/>
        </w:rPr>
        <w:t xml:space="preserve"> in the project area is controlled by the </w:t>
      </w:r>
      <w:r w:rsidR="00C217F0">
        <w:rPr>
          <w:szCs w:val="22"/>
        </w:rPr>
        <w:t xml:space="preserve">Menindee </w:t>
      </w:r>
      <w:r w:rsidRPr="006610C6">
        <w:rPr>
          <w:szCs w:val="22"/>
        </w:rPr>
        <w:t>Trough</w:t>
      </w:r>
      <w:r w:rsidR="0015005C">
        <w:rPr>
          <w:szCs w:val="22"/>
        </w:rPr>
        <w:t xml:space="preserve">, </w:t>
      </w:r>
      <w:r w:rsidRPr="006610C6">
        <w:rPr>
          <w:szCs w:val="22"/>
        </w:rPr>
        <w:t xml:space="preserve">a </w:t>
      </w:r>
      <w:r w:rsidR="00F25A1E">
        <w:rPr>
          <w:szCs w:val="22"/>
        </w:rPr>
        <w:t>northeast-southwest</w:t>
      </w:r>
      <w:r w:rsidRPr="006610C6">
        <w:rPr>
          <w:szCs w:val="22"/>
        </w:rPr>
        <w:t xml:space="preserve"> trending </w:t>
      </w:r>
      <w:r w:rsidR="004F3EF9">
        <w:rPr>
          <w:szCs w:val="22"/>
        </w:rPr>
        <w:t xml:space="preserve">Palaeozoic </w:t>
      </w:r>
      <w:r w:rsidRPr="006610C6">
        <w:rPr>
          <w:szCs w:val="22"/>
        </w:rPr>
        <w:t xml:space="preserve">structural basin that influences the thickness of </w:t>
      </w:r>
      <w:r w:rsidR="00C217F0">
        <w:rPr>
          <w:szCs w:val="22"/>
        </w:rPr>
        <w:t>Renmark Group</w:t>
      </w:r>
      <w:r w:rsidR="00B75694">
        <w:rPr>
          <w:szCs w:val="22"/>
        </w:rPr>
        <w:t xml:space="preserve"> sediments</w:t>
      </w:r>
      <w:r w:rsidR="004F3EF9">
        <w:rPr>
          <w:szCs w:val="22"/>
        </w:rPr>
        <w:t xml:space="preserve">. The </w:t>
      </w:r>
      <w:r w:rsidR="00C217F0">
        <w:rPr>
          <w:szCs w:val="22"/>
        </w:rPr>
        <w:t xml:space="preserve">Menindee </w:t>
      </w:r>
      <w:r w:rsidR="004F3EF9">
        <w:rPr>
          <w:szCs w:val="22"/>
        </w:rPr>
        <w:t>T</w:t>
      </w:r>
      <w:r w:rsidRPr="006610C6">
        <w:rPr>
          <w:szCs w:val="22"/>
        </w:rPr>
        <w:t>rough is somewhat narrower overall than the project area, wide</w:t>
      </w:r>
      <w:r w:rsidR="00BE02C5">
        <w:rPr>
          <w:szCs w:val="22"/>
        </w:rPr>
        <w:t>n</w:t>
      </w:r>
      <w:r w:rsidRPr="006610C6">
        <w:rPr>
          <w:szCs w:val="22"/>
        </w:rPr>
        <w:t xml:space="preserve">s to the </w:t>
      </w:r>
      <w:r w:rsidR="00F25A1E">
        <w:rPr>
          <w:szCs w:val="22"/>
        </w:rPr>
        <w:t>southwest</w:t>
      </w:r>
      <w:r w:rsidRPr="006610C6">
        <w:rPr>
          <w:szCs w:val="22"/>
        </w:rPr>
        <w:t xml:space="preserve"> and narrows to the </w:t>
      </w:r>
      <w:r w:rsidR="00F25A1E">
        <w:rPr>
          <w:szCs w:val="22"/>
        </w:rPr>
        <w:t>northeast</w:t>
      </w:r>
      <w:r w:rsidRPr="006610C6">
        <w:rPr>
          <w:szCs w:val="22"/>
        </w:rPr>
        <w:t xml:space="preserve">. The upper part of the </w:t>
      </w:r>
      <w:r w:rsidR="00C217F0">
        <w:rPr>
          <w:szCs w:val="22"/>
        </w:rPr>
        <w:t>Renmark Group</w:t>
      </w:r>
      <w:r w:rsidRPr="006610C6">
        <w:rPr>
          <w:szCs w:val="22"/>
        </w:rPr>
        <w:t xml:space="preserve"> occurs across the whole project area. It too is probably controlled by the underlying </w:t>
      </w:r>
      <w:r w:rsidR="00C217F0">
        <w:rPr>
          <w:szCs w:val="22"/>
        </w:rPr>
        <w:t xml:space="preserve">Menindee </w:t>
      </w:r>
      <w:r w:rsidRPr="006610C6">
        <w:rPr>
          <w:szCs w:val="22"/>
        </w:rPr>
        <w:t>Trough, possibly as a sag basin.</w:t>
      </w:r>
    </w:p>
    <w:p w:rsidR="006610C6" w:rsidRPr="006610C6" w:rsidRDefault="006610C6" w:rsidP="006610C6">
      <w:pPr>
        <w:rPr>
          <w:szCs w:val="22"/>
        </w:rPr>
      </w:pPr>
    </w:p>
    <w:p w:rsidR="00BE02C5" w:rsidRDefault="006610C6" w:rsidP="00BE02C5">
      <w:pPr>
        <w:rPr>
          <w:szCs w:val="22"/>
        </w:rPr>
      </w:pPr>
      <w:r w:rsidRPr="006610C6">
        <w:rPr>
          <w:szCs w:val="22"/>
        </w:rPr>
        <w:t xml:space="preserve">The upper </w:t>
      </w:r>
      <w:r w:rsidR="00C217F0">
        <w:rPr>
          <w:szCs w:val="22"/>
        </w:rPr>
        <w:t>Renmark Group</w:t>
      </w:r>
      <w:r w:rsidRPr="006610C6">
        <w:rPr>
          <w:szCs w:val="22"/>
        </w:rPr>
        <w:t xml:space="preserve"> is a widespread non-marine succession of Miocene age in the </w:t>
      </w:r>
      <w:smartTag w:uri="urn:schemas-microsoft-com:office:smarttags" w:element="place">
        <w:smartTag w:uri="urn:schemas-microsoft-com:office:smarttags" w:element="PlaceName">
          <w:r w:rsidRPr="006610C6">
            <w:rPr>
              <w:szCs w:val="22"/>
            </w:rPr>
            <w:t>Murray</w:t>
          </w:r>
        </w:smartTag>
        <w:r w:rsidRPr="006610C6">
          <w:rPr>
            <w:szCs w:val="22"/>
          </w:rPr>
          <w:t xml:space="preserve"> </w:t>
        </w:r>
        <w:smartTag w:uri="urn:schemas-microsoft-com:office:smarttags" w:element="PlaceType">
          <w:r w:rsidRPr="006610C6">
            <w:rPr>
              <w:szCs w:val="22"/>
            </w:rPr>
            <w:t>Basin</w:t>
          </w:r>
        </w:smartTag>
      </w:smartTag>
      <w:r w:rsidRPr="006610C6">
        <w:rPr>
          <w:szCs w:val="22"/>
        </w:rPr>
        <w:t>. Unlithified and nowhere exposed, it is poorly understood</w:t>
      </w:r>
      <w:r w:rsidR="00BE02C5">
        <w:rPr>
          <w:szCs w:val="22"/>
        </w:rPr>
        <w:t>. It is inferred from drilling to be</w:t>
      </w:r>
      <w:r w:rsidR="00BE02C5" w:rsidRPr="006610C6">
        <w:rPr>
          <w:szCs w:val="22"/>
        </w:rPr>
        <w:t xml:space="preserve"> deposited on a low relief sedimentary plain dominated by anastomosing </w:t>
      </w:r>
      <w:r w:rsidR="00236B51" w:rsidRPr="006610C6">
        <w:rPr>
          <w:szCs w:val="22"/>
        </w:rPr>
        <w:t>fixed</w:t>
      </w:r>
      <w:r w:rsidR="00236B51">
        <w:rPr>
          <w:szCs w:val="22"/>
        </w:rPr>
        <w:t>-</w:t>
      </w:r>
      <w:r w:rsidR="00BE02C5" w:rsidRPr="006610C6">
        <w:rPr>
          <w:szCs w:val="22"/>
        </w:rPr>
        <w:t xml:space="preserve">channel streams, flowing southward into a complex </w:t>
      </w:r>
      <w:r w:rsidR="00236B51" w:rsidRPr="006610C6">
        <w:rPr>
          <w:szCs w:val="22"/>
        </w:rPr>
        <w:t>low</w:t>
      </w:r>
      <w:r w:rsidR="00236B51">
        <w:rPr>
          <w:szCs w:val="22"/>
        </w:rPr>
        <w:t>-</w:t>
      </w:r>
      <w:r w:rsidR="00BE02C5" w:rsidRPr="006610C6">
        <w:rPr>
          <w:szCs w:val="22"/>
        </w:rPr>
        <w:t xml:space="preserve">energy coastal plain with numerous lagoons and bays. </w:t>
      </w:r>
      <w:r w:rsidR="00BE02C5">
        <w:rPr>
          <w:szCs w:val="22"/>
        </w:rPr>
        <w:t xml:space="preserve">In 90% of the </w:t>
      </w:r>
      <w:r w:rsidR="0015005C">
        <w:rPr>
          <w:szCs w:val="22"/>
        </w:rPr>
        <w:t xml:space="preserve">BHMAR </w:t>
      </w:r>
      <w:r w:rsidR="00BE02C5">
        <w:rPr>
          <w:szCs w:val="22"/>
        </w:rPr>
        <w:t xml:space="preserve">holes drilled, the upper </w:t>
      </w:r>
      <w:r w:rsidR="00C217F0">
        <w:rPr>
          <w:szCs w:val="22"/>
        </w:rPr>
        <w:t>Renmark Group</w:t>
      </w:r>
      <w:r w:rsidR="00BE02C5">
        <w:rPr>
          <w:szCs w:val="22"/>
        </w:rPr>
        <w:t xml:space="preserve"> is represented by fine-grained muds</w:t>
      </w:r>
      <w:r w:rsidR="0015005C">
        <w:rPr>
          <w:szCs w:val="22"/>
        </w:rPr>
        <w:t>.</w:t>
      </w:r>
      <w:r w:rsidR="00BE02C5">
        <w:rPr>
          <w:szCs w:val="22"/>
        </w:rPr>
        <w:t xml:space="preserve"> </w:t>
      </w:r>
    </w:p>
    <w:p w:rsidR="00BE02C5" w:rsidRDefault="00BE02C5" w:rsidP="00BE02C5">
      <w:pPr>
        <w:rPr>
          <w:szCs w:val="22"/>
        </w:rPr>
      </w:pPr>
    </w:p>
    <w:p w:rsidR="00BE02C5" w:rsidRDefault="00BE02C5" w:rsidP="00BE02C5">
      <w:pPr>
        <w:rPr>
          <w:szCs w:val="22"/>
        </w:rPr>
      </w:pPr>
      <w:r>
        <w:rPr>
          <w:szCs w:val="22"/>
        </w:rPr>
        <w:t xml:space="preserve">The upper </w:t>
      </w:r>
      <w:r w:rsidR="00C217F0">
        <w:rPr>
          <w:szCs w:val="22"/>
        </w:rPr>
        <w:t>Renmark Group</w:t>
      </w:r>
      <w:r>
        <w:rPr>
          <w:szCs w:val="22"/>
        </w:rPr>
        <w:t xml:space="preserve"> sequence acts as</w:t>
      </w:r>
      <w:r w:rsidRPr="006610C6">
        <w:rPr>
          <w:szCs w:val="22"/>
        </w:rPr>
        <w:t xml:space="preserve"> </w:t>
      </w:r>
      <w:r>
        <w:rPr>
          <w:szCs w:val="22"/>
        </w:rPr>
        <w:t>an underlying aquitard</w:t>
      </w:r>
      <w:r w:rsidRPr="006610C6">
        <w:rPr>
          <w:szCs w:val="22"/>
        </w:rPr>
        <w:t xml:space="preserve"> to important aquifers in the overlying </w:t>
      </w:r>
      <w:r w:rsidR="00C217F0">
        <w:rPr>
          <w:szCs w:val="22"/>
        </w:rPr>
        <w:t>Calivil Formation</w:t>
      </w:r>
      <w:r w:rsidR="00F65D51">
        <w:rPr>
          <w:szCs w:val="22"/>
        </w:rPr>
        <w:t xml:space="preserve"> </w:t>
      </w:r>
      <w:r w:rsidRPr="006610C6">
        <w:rPr>
          <w:szCs w:val="22"/>
        </w:rPr>
        <w:t>succession</w:t>
      </w:r>
      <w:r>
        <w:rPr>
          <w:szCs w:val="22"/>
        </w:rPr>
        <w:t xml:space="preserve">. Hydraulic connection between the </w:t>
      </w:r>
      <w:r w:rsidR="00C217F0">
        <w:rPr>
          <w:szCs w:val="22"/>
        </w:rPr>
        <w:t>Calivil Formation</w:t>
      </w:r>
      <w:r>
        <w:rPr>
          <w:szCs w:val="22"/>
        </w:rPr>
        <w:t xml:space="preserve"> and </w:t>
      </w:r>
      <w:r w:rsidR="00C217F0">
        <w:rPr>
          <w:szCs w:val="22"/>
        </w:rPr>
        <w:t>Renmark Group</w:t>
      </w:r>
      <w:r>
        <w:rPr>
          <w:szCs w:val="22"/>
        </w:rPr>
        <w:t xml:space="preserve"> tends to be limited</w:t>
      </w:r>
      <w:r w:rsidRPr="006610C6">
        <w:rPr>
          <w:szCs w:val="22"/>
        </w:rPr>
        <w:t xml:space="preserve">, except where </w:t>
      </w:r>
      <w:r w:rsidR="00C217F0">
        <w:rPr>
          <w:szCs w:val="22"/>
        </w:rPr>
        <w:t>Renmark Group</w:t>
      </w:r>
      <w:r w:rsidRPr="006610C6">
        <w:rPr>
          <w:szCs w:val="22"/>
        </w:rPr>
        <w:t xml:space="preserve"> channel sands immediately underlie the </w:t>
      </w:r>
      <w:r w:rsidR="00C217F0">
        <w:rPr>
          <w:szCs w:val="22"/>
        </w:rPr>
        <w:t>Calivil Formation</w:t>
      </w:r>
      <w:r w:rsidRPr="006610C6">
        <w:rPr>
          <w:szCs w:val="22"/>
        </w:rPr>
        <w:t xml:space="preserve">. In these areas </w:t>
      </w:r>
      <w:r>
        <w:rPr>
          <w:szCs w:val="22"/>
        </w:rPr>
        <w:t xml:space="preserve">there </w:t>
      </w:r>
      <w:r w:rsidRPr="006610C6">
        <w:rPr>
          <w:szCs w:val="22"/>
        </w:rPr>
        <w:t xml:space="preserve">can be a distinct salinity gradient from the </w:t>
      </w:r>
      <w:r w:rsidR="00C217F0">
        <w:rPr>
          <w:szCs w:val="22"/>
        </w:rPr>
        <w:t>Calivil Formation</w:t>
      </w:r>
      <w:r w:rsidR="00F65D51">
        <w:rPr>
          <w:szCs w:val="22"/>
        </w:rPr>
        <w:t xml:space="preserve"> d</w:t>
      </w:r>
      <w:r w:rsidRPr="006610C6">
        <w:rPr>
          <w:szCs w:val="22"/>
        </w:rPr>
        <w:t xml:space="preserve">own into the </w:t>
      </w:r>
      <w:r w:rsidR="00C217F0">
        <w:rPr>
          <w:szCs w:val="22"/>
        </w:rPr>
        <w:t>Renmark Group</w:t>
      </w:r>
      <w:r w:rsidRPr="006610C6">
        <w:rPr>
          <w:szCs w:val="22"/>
        </w:rPr>
        <w:t xml:space="preserve">, indicating mixing. </w:t>
      </w:r>
    </w:p>
    <w:p w:rsidR="00177FC7" w:rsidRPr="004C273C" w:rsidRDefault="00177FC7" w:rsidP="00177FC7">
      <w:pPr>
        <w:tabs>
          <w:tab w:val="num" w:pos="2517"/>
        </w:tabs>
        <w:spacing w:before="240" w:after="120"/>
        <w:rPr>
          <w:b/>
          <w:sz w:val="24"/>
          <w:lang w:eastAsia="en-US"/>
        </w:rPr>
      </w:pPr>
      <w:r w:rsidRPr="004C273C">
        <w:rPr>
          <w:b/>
          <w:sz w:val="24"/>
        </w:rPr>
        <w:t>Tectonic Activity</w:t>
      </w:r>
    </w:p>
    <w:p w:rsidR="00177FC7" w:rsidRPr="004C273C" w:rsidRDefault="00177FC7" w:rsidP="00177FC7">
      <w:pPr>
        <w:autoSpaceDE w:val="0"/>
        <w:autoSpaceDN w:val="0"/>
        <w:adjustRightInd w:val="0"/>
        <w:rPr>
          <w:szCs w:val="22"/>
        </w:rPr>
      </w:pPr>
      <w:r w:rsidRPr="004C273C">
        <w:rPr>
          <w:szCs w:val="22"/>
        </w:rPr>
        <w:t>Interpretation of AEM and LiDAR datasets, validated by drilling and field mapping, reveals that the unconsolidated alluvial sediments in the study area are significantly affected by tectonic activity, with evidence of widespread faulting, warping and regional tilting of sub-surface stratigraphy due to basin subsidence or margin uplift</w:t>
      </w:r>
      <w:r w:rsidR="003630E1" w:rsidRPr="004C273C">
        <w:rPr>
          <w:szCs w:val="22"/>
        </w:rPr>
        <w:t xml:space="preserve"> (Figure F)</w:t>
      </w:r>
      <w:r w:rsidRPr="004C273C">
        <w:rPr>
          <w:szCs w:val="22"/>
        </w:rPr>
        <w:t>. Vertical fault offsets of up to 20</w:t>
      </w:r>
      <w:r w:rsidR="00030542">
        <w:rPr>
          <w:szCs w:val="22"/>
        </w:rPr>
        <w:t xml:space="preserve"> </w:t>
      </w:r>
      <w:r w:rsidRPr="004C273C">
        <w:rPr>
          <w:szCs w:val="22"/>
        </w:rPr>
        <w:t>m are mapped primarily in AEM data. For example, the Blanchetown Clay shows considerable modification, with up to 50</w:t>
      </w:r>
      <w:r w:rsidR="00030542">
        <w:rPr>
          <w:szCs w:val="22"/>
        </w:rPr>
        <w:t xml:space="preserve"> </w:t>
      </w:r>
      <w:r w:rsidRPr="004C273C">
        <w:rPr>
          <w:szCs w:val="22"/>
        </w:rPr>
        <w:t>m difference in elevation largely as a result of post-depositional faulting, tilting and warping of these lacustrine deposits. Most of the major structures mapped in</w:t>
      </w:r>
      <w:r w:rsidR="0015005C" w:rsidRPr="004C273C">
        <w:rPr>
          <w:szCs w:val="22"/>
        </w:rPr>
        <w:t xml:space="preserve"> the</w:t>
      </w:r>
      <w:r w:rsidRPr="004C273C">
        <w:rPr>
          <w:szCs w:val="22"/>
        </w:rPr>
        <w:t xml:space="preserve"> AEM data are also evident in airborne magnetics data, which maps major geological structures in deeper basement rocks. Figure </w:t>
      </w:r>
      <w:r w:rsidR="003803FE" w:rsidRPr="004C273C">
        <w:rPr>
          <w:szCs w:val="22"/>
        </w:rPr>
        <w:t>F</w:t>
      </w:r>
      <w:r w:rsidRPr="004C273C">
        <w:rPr>
          <w:szCs w:val="22"/>
        </w:rPr>
        <w:t xml:space="preserve"> is a representative cross section </w:t>
      </w:r>
      <w:r w:rsidR="003630E1" w:rsidRPr="004C273C">
        <w:rPr>
          <w:szCs w:val="22"/>
        </w:rPr>
        <w:t xml:space="preserve">through the central project area </w:t>
      </w:r>
      <w:r w:rsidRPr="004C273C">
        <w:rPr>
          <w:szCs w:val="22"/>
        </w:rPr>
        <w:t>showing the relationships between hydrostratigraphy, tectonic activity, and groundwater flow.</w:t>
      </w:r>
    </w:p>
    <w:p w:rsidR="00177FC7" w:rsidRPr="004C273C" w:rsidRDefault="00177FC7" w:rsidP="00177FC7">
      <w:pPr>
        <w:autoSpaceDE w:val="0"/>
        <w:autoSpaceDN w:val="0"/>
        <w:adjustRightInd w:val="0"/>
        <w:rPr>
          <w:szCs w:val="22"/>
        </w:rPr>
      </w:pPr>
    </w:p>
    <w:p w:rsidR="00177FC7" w:rsidRPr="004C273C" w:rsidRDefault="00177FC7" w:rsidP="00177FC7">
      <w:pPr>
        <w:autoSpaceDE w:val="0"/>
        <w:autoSpaceDN w:val="0"/>
        <w:adjustRightInd w:val="0"/>
        <w:rPr>
          <w:szCs w:val="22"/>
        </w:rPr>
      </w:pPr>
      <w:r w:rsidRPr="004C273C">
        <w:rPr>
          <w:szCs w:val="22"/>
        </w:rPr>
        <w:t xml:space="preserve">Major faults </w:t>
      </w:r>
      <w:r w:rsidR="00F25A1E" w:rsidRPr="004C273C">
        <w:rPr>
          <w:szCs w:val="22"/>
        </w:rPr>
        <w:t xml:space="preserve">in the sedimentary sequence </w:t>
      </w:r>
      <w:r w:rsidRPr="004C273C">
        <w:rPr>
          <w:szCs w:val="22"/>
        </w:rPr>
        <w:t xml:space="preserve">appear to be linked to long-lived basement faults that control the location of underlying Devonian Basins. Reactivation of these faults appears to </w:t>
      </w:r>
      <w:r w:rsidR="00B75694" w:rsidRPr="004C273C">
        <w:rPr>
          <w:szCs w:val="22"/>
        </w:rPr>
        <w:t xml:space="preserve">be a factor in </w:t>
      </w:r>
      <w:r w:rsidRPr="004C273C">
        <w:rPr>
          <w:szCs w:val="22"/>
        </w:rPr>
        <w:t>control</w:t>
      </w:r>
      <w:r w:rsidR="00B75694" w:rsidRPr="004C273C">
        <w:rPr>
          <w:szCs w:val="22"/>
        </w:rPr>
        <w:t>ling</w:t>
      </w:r>
      <w:r w:rsidRPr="004C273C">
        <w:rPr>
          <w:szCs w:val="22"/>
        </w:rPr>
        <w:t xml:space="preserve"> deposition of the Pliocene aquifers, the overlying Blanchetown Clay, and Pleistocene aquifers. There is evidence for tectonic inversion on several of these structures. Most faults do not appear to offset near-surface Pleistocene mud aquitards, with only a few more recent fault scarps evident in LiDAR data. However, the Talyawalka Creek and </w:t>
      </w:r>
      <w:smartTag w:uri="urn:schemas-microsoft-com:office:smarttags" w:element="place">
        <w:smartTag w:uri="urn:schemas-microsoft-com:office:smarttags" w:element="PlaceName">
          <w:r w:rsidRPr="004C273C">
            <w:rPr>
              <w:szCs w:val="22"/>
            </w:rPr>
            <w:t>Darling</w:t>
          </w:r>
        </w:smartTag>
        <w:r w:rsidRPr="004C273C">
          <w:rPr>
            <w:szCs w:val="22"/>
          </w:rPr>
          <w:t xml:space="preserve"> </w:t>
        </w:r>
        <w:smartTag w:uri="urn:schemas-microsoft-com:office:smarttags" w:element="PlaceType">
          <w:r w:rsidRPr="004C273C">
            <w:rPr>
              <w:szCs w:val="22"/>
            </w:rPr>
            <w:t>Rivers</w:t>
          </w:r>
        </w:smartTag>
      </w:smartTag>
      <w:r w:rsidRPr="004C273C">
        <w:rPr>
          <w:szCs w:val="22"/>
        </w:rPr>
        <w:t xml:space="preserve"> follow long-lived structural corridors. There is also evidence of recent tilting, with crossing shorelines observed at </w:t>
      </w:r>
      <w:smartTag w:uri="urn:schemas-microsoft-com:office:smarttags" w:element="place">
        <w:smartTag w:uri="urn:schemas-microsoft-com:office:smarttags" w:element="PlaceType">
          <w:r w:rsidRPr="004C273C">
            <w:rPr>
              <w:szCs w:val="22"/>
            </w:rPr>
            <w:t>Lake</w:t>
          </w:r>
        </w:smartTag>
        <w:r w:rsidRPr="004C273C">
          <w:rPr>
            <w:szCs w:val="22"/>
          </w:rPr>
          <w:t xml:space="preserve"> </w:t>
        </w:r>
        <w:smartTag w:uri="urn:schemas-microsoft-com:office:smarttags" w:element="PlaceName">
          <w:r w:rsidRPr="004C273C">
            <w:rPr>
              <w:szCs w:val="22"/>
            </w:rPr>
            <w:t>Mindona</w:t>
          </w:r>
        </w:smartTag>
      </w:smartTag>
      <w:r w:rsidRPr="004C273C">
        <w:rPr>
          <w:szCs w:val="22"/>
        </w:rPr>
        <w:t xml:space="preserve">, and a few up-warped areas observed to be associated with local landscape highs, suggesting relatively recent movement. </w:t>
      </w:r>
    </w:p>
    <w:p w:rsidR="00177FC7" w:rsidRPr="004C273C" w:rsidRDefault="00177FC7" w:rsidP="00177FC7">
      <w:pPr>
        <w:rPr>
          <w:lang w:eastAsia="en-US"/>
        </w:rPr>
      </w:pPr>
    </w:p>
    <w:p w:rsidR="000D2D68" w:rsidRPr="000D2D68" w:rsidRDefault="003023E2" w:rsidP="00177FC7">
      <w:pPr>
        <w:rPr>
          <w:szCs w:val="22"/>
        </w:rPr>
      </w:pPr>
      <w:r w:rsidRPr="004C273C">
        <w:rPr>
          <w:szCs w:val="22"/>
        </w:rPr>
        <w:t>Vertical offsets of the upper confining aquitard (Blanchetown Clay) up to ~</w:t>
      </w:r>
      <w:r w:rsidR="00454D46">
        <w:rPr>
          <w:szCs w:val="22"/>
        </w:rPr>
        <w:t>20</w:t>
      </w:r>
      <w:r w:rsidR="00A15E21">
        <w:rPr>
          <w:szCs w:val="22"/>
        </w:rPr>
        <w:t xml:space="preserve"> </w:t>
      </w:r>
      <w:r w:rsidRPr="004C273C">
        <w:rPr>
          <w:szCs w:val="22"/>
        </w:rPr>
        <w:t xml:space="preserve">m have been mapped, although vertical displacements are generally less than </w:t>
      </w:r>
      <w:r w:rsidR="00454D46">
        <w:rPr>
          <w:szCs w:val="22"/>
        </w:rPr>
        <w:t>10</w:t>
      </w:r>
      <w:r w:rsidR="00030542">
        <w:rPr>
          <w:szCs w:val="22"/>
        </w:rPr>
        <w:t xml:space="preserve"> </w:t>
      </w:r>
      <w:r w:rsidRPr="004C273C">
        <w:rPr>
          <w:szCs w:val="22"/>
        </w:rPr>
        <w:t>m. No faults were intersected during drilling, however t</w:t>
      </w:r>
      <w:r w:rsidR="00177FC7" w:rsidRPr="004C273C">
        <w:rPr>
          <w:szCs w:val="22"/>
        </w:rPr>
        <w:t xml:space="preserve">here is substantial </w:t>
      </w:r>
      <w:r w:rsidR="00B75694" w:rsidRPr="004C273C">
        <w:rPr>
          <w:szCs w:val="22"/>
        </w:rPr>
        <w:t xml:space="preserve">indirect </w:t>
      </w:r>
      <w:r w:rsidR="00177FC7" w:rsidRPr="004C273C">
        <w:rPr>
          <w:szCs w:val="22"/>
        </w:rPr>
        <w:t xml:space="preserve">evidence </w:t>
      </w:r>
      <w:r w:rsidRPr="004C273C">
        <w:rPr>
          <w:szCs w:val="22"/>
        </w:rPr>
        <w:t>of</w:t>
      </w:r>
      <w:r w:rsidR="00177FC7" w:rsidRPr="004C273C">
        <w:rPr>
          <w:szCs w:val="22"/>
        </w:rPr>
        <w:t xml:space="preserve"> a link between aquifer recharge and fault distribution, with inter-aquifer leakage through faults </w:t>
      </w:r>
      <w:r w:rsidR="00B75694" w:rsidRPr="004C273C">
        <w:rPr>
          <w:szCs w:val="22"/>
        </w:rPr>
        <w:t>postulated</w:t>
      </w:r>
      <w:r w:rsidR="00177FC7" w:rsidRPr="004C273C">
        <w:rPr>
          <w:szCs w:val="22"/>
        </w:rPr>
        <w:t xml:space="preserve"> as a principal recharge mechanism in many of the key groundwater resource targets. </w:t>
      </w:r>
      <w:r w:rsidRPr="004C273C">
        <w:rPr>
          <w:szCs w:val="22"/>
        </w:rPr>
        <w:t xml:space="preserve">In particular, fast response rates (days) observed in bore hydrographs lateral to the river are taken as evidence of bypass flow through discrete structures, or through inter-aquifer leakage where faults have juxtaposed the </w:t>
      </w:r>
      <w:r w:rsidR="00C217F0" w:rsidRPr="004C273C">
        <w:rPr>
          <w:szCs w:val="22"/>
        </w:rPr>
        <w:t>Coonambidgal Formation</w:t>
      </w:r>
      <w:r w:rsidR="00F25A1E" w:rsidRPr="004C273C">
        <w:rPr>
          <w:szCs w:val="22"/>
        </w:rPr>
        <w:t xml:space="preserve">, </w:t>
      </w:r>
      <w:r w:rsidR="00C217F0" w:rsidRPr="004C273C">
        <w:rPr>
          <w:szCs w:val="22"/>
        </w:rPr>
        <w:t>Menindee Formation</w:t>
      </w:r>
      <w:r w:rsidRPr="004C273C">
        <w:rPr>
          <w:szCs w:val="22"/>
        </w:rPr>
        <w:t xml:space="preserve"> and the </w:t>
      </w:r>
      <w:r w:rsidR="00C217F0" w:rsidRPr="004C273C">
        <w:rPr>
          <w:szCs w:val="22"/>
        </w:rPr>
        <w:t>Calivil Formation</w:t>
      </w:r>
      <w:r w:rsidRPr="004C273C">
        <w:rPr>
          <w:szCs w:val="22"/>
        </w:rPr>
        <w:t xml:space="preserve">. </w:t>
      </w:r>
      <w:r w:rsidR="00177FC7" w:rsidRPr="004C273C">
        <w:rPr>
          <w:szCs w:val="22"/>
        </w:rPr>
        <w:t xml:space="preserve">Overall, tectonics </w:t>
      </w:r>
      <w:r w:rsidRPr="004C273C">
        <w:rPr>
          <w:szCs w:val="22"/>
        </w:rPr>
        <w:t>appears to have played</w:t>
      </w:r>
      <w:r w:rsidR="00177FC7" w:rsidRPr="004C273C">
        <w:rPr>
          <w:szCs w:val="22"/>
        </w:rPr>
        <w:t xml:space="preserve"> </w:t>
      </w:r>
      <w:r w:rsidRPr="004C273C">
        <w:rPr>
          <w:szCs w:val="22"/>
        </w:rPr>
        <w:t>a significant role in development</w:t>
      </w:r>
      <w:r w:rsidR="00177FC7" w:rsidRPr="004C273C">
        <w:rPr>
          <w:szCs w:val="22"/>
        </w:rPr>
        <w:t xml:space="preserve"> of the sedimentary system since the Pliocene, and </w:t>
      </w:r>
      <w:r w:rsidRPr="004C273C">
        <w:rPr>
          <w:szCs w:val="22"/>
        </w:rPr>
        <w:t>strongly influenced</w:t>
      </w:r>
      <w:r w:rsidR="00177FC7" w:rsidRPr="004C273C">
        <w:rPr>
          <w:szCs w:val="22"/>
        </w:rPr>
        <w:t xml:space="preserve"> groundwater flow and recharge dynamics.</w:t>
      </w:r>
    </w:p>
    <w:p w:rsidR="00454D46" w:rsidRPr="00454D46" w:rsidRDefault="00454D46" w:rsidP="00454D46">
      <w:pPr>
        <w:tabs>
          <w:tab w:val="num" w:pos="2517"/>
        </w:tabs>
        <w:spacing w:before="240" w:after="120"/>
        <w:rPr>
          <w:b/>
          <w:sz w:val="24"/>
        </w:rPr>
      </w:pPr>
      <w:r w:rsidRPr="00454D46">
        <w:rPr>
          <w:b/>
          <w:sz w:val="24"/>
        </w:rPr>
        <w:t>Summary of Geological and Landscape Evolution</w:t>
      </w:r>
    </w:p>
    <w:p w:rsidR="0012760E" w:rsidRPr="004C273C" w:rsidRDefault="0012760E" w:rsidP="0012760E">
      <w:r w:rsidRPr="004C273C">
        <w:t>In summary, the geomorphic/geological history for the Menindee area as determined by this project can be summarised as:</w:t>
      </w:r>
    </w:p>
    <w:p w:rsidR="0012760E" w:rsidRPr="004C273C" w:rsidRDefault="0012760E" w:rsidP="0012760E">
      <w:pPr>
        <w:numPr>
          <w:ilvl w:val="0"/>
          <w:numId w:val="53"/>
        </w:numPr>
        <w:spacing w:before="120"/>
      </w:pPr>
      <w:r w:rsidRPr="004C273C">
        <w:lastRenderedPageBreak/>
        <w:t>Complex history of pre-Palaeozoic deformation and metamorphism in Proteroz</w:t>
      </w:r>
      <w:r w:rsidR="00564741">
        <w:t>o</w:t>
      </w:r>
      <w:r w:rsidRPr="004C273C">
        <w:t>ic basement rocks. Several E-W shear zones mapped in Proterozoic basement are reactivated in Neogene times (e.g. Talyawalka Lineament);</w:t>
      </w:r>
    </w:p>
    <w:p w:rsidR="0012760E" w:rsidRPr="004C273C" w:rsidRDefault="0012760E" w:rsidP="0012760E">
      <w:pPr>
        <w:numPr>
          <w:ilvl w:val="0"/>
          <w:numId w:val="53"/>
        </w:numPr>
        <w:spacing w:before="120"/>
      </w:pPr>
      <w:r w:rsidRPr="004C273C">
        <w:t xml:space="preserve">Formation of Palaeozoic-Mesozoic Basins (e.g. Menindee, Wentworth and Blantyre Troughs) as part of the </w:t>
      </w:r>
      <w:smartTag w:uri="urn:schemas-microsoft-com:office:smarttags" w:element="place">
        <w:smartTag w:uri="urn:schemas-microsoft-com:office:smarttags" w:element="PlaceName">
          <w:r w:rsidRPr="004C273C">
            <w:t>Darling</w:t>
          </w:r>
        </w:smartTag>
        <w:r w:rsidRPr="004C273C">
          <w:t xml:space="preserve"> </w:t>
        </w:r>
        <w:smartTag w:uri="urn:schemas-microsoft-com:office:smarttags" w:element="PlaceName">
          <w:r w:rsidRPr="004C273C">
            <w:t>Geological</w:t>
          </w:r>
        </w:smartTag>
        <w:r w:rsidRPr="004C273C">
          <w:t xml:space="preserve"> </w:t>
        </w:r>
        <w:smartTag w:uri="urn:schemas-microsoft-com:office:smarttags" w:element="PlaceType">
          <w:r w:rsidRPr="004C273C">
            <w:t>Basin</w:t>
          </w:r>
        </w:smartTag>
      </w:smartTag>
      <w:r w:rsidRPr="004C273C">
        <w:t>. Deposition of a thick (several km) sequence of clastic sediments within extensional fault-bounded basins is interrupted episodically by structural inversion along these structures (e.g. in Carboniferous). Several of these structures appear to have been reactivated in Neogene times;</w:t>
      </w:r>
    </w:p>
    <w:p w:rsidR="0012760E" w:rsidRPr="004C273C" w:rsidRDefault="0012760E" w:rsidP="0012760E">
      <w:pPr>
        <w:numPr>
          <w:ilvl w:val="0"/>
          <w:numId w:val="53"/>
        </w:numPr>
        <w:spacing w:before="120"/>
      </w:pPr>
      <w:r w:rsidRPr="004C273C">
        <w:t xml:space="preserve">Formation of the Murray Geological Basin, with deposition of Renmark Group clastic sediments by rivers flowing southward towards a shallow sea to the south of the BHMAR </w:t>
      </w:r>
      <w:r w:rsidR="00A56C85">
        <w:t>project</w:t>
      </w:r>
      <w:r w:rsidRPr="004C273C">
        <w:t xml:space="preserve"> area in the Palaeocene to Miocene;</w:t>
      </w:r>
    </w:p>
    <w:p w:rsidR="0012760E" w:rsidRPr="004C273C" w:rsidRDefault="0012760E" w:rsidP="0012760E">
      <w:pPr>
        <w:numPr>
          <w:ilvl w:val="0"/>
          <w:numId w:val="53"/>
        </w:numPr>
        <w:spacing w:before="120"/>
      </w:pPr>
      <w:r w:rsidRPr="004C273C">
        <w:t>Depositional hiatus in the Miocene with weathering and local erosion of the Renmark Group sediments;</w:t>
      </w:r>
    </w:p>
    <w:p w:rsidR="0012760E" w:rsidRPr="004C273C" w:rsidRDefault="0012760E" w:rsidP="0012760E">
      <w:pPr>
        <w:numPr>
          <w:ilvl w:val="0"/>
          <w:numId w:val="53"/>
        </w:numPr>
        <w:spacing w:before="120"/>
      </w:pPr>
      <w:r w:rsidRPr="004C273C">
        <w:t xml:space="preserve">In the south of the study area, deposition of marginal </w:t>
      </w:r>
      <w:r w:rsidR="003C0279">
        <w:t xml:space="preserve">marine </w:t>
      </w:r>
      <w:r w:rsidRPr="004C273C">
        <w:t xml:space="preserve">sands and shoreline dunes (Loxton-Parilla Sands) in shallow water at the northern margin of a marine basin. Pene-contemporaneous with this was deposition of fluvial Calivil Formation sediments by the palaeo </w:t>
      </w:r>
      <w:smartTag w:uri="urn:schemas-microsoft-com:office:smarttags" w:element="place">
        <w:r w:rsidRPr="004C273C">
          <w:t>Darling River</w:t>
        </w:r>
      </w:smartTag>
      <w:r w:rsidRPr="004C273C">
        <w:t xml:space="preserve"> and its tributaries in the Pliocene. The Calivil Formation sediments locally overlie the Loxton-Parilla Sands in the study area;</w:t>
      </w:r>
    </w:p>
    <w:p w:rsidR="0012760E" w:rsidRPr="004C273C" w:rsidRDefault="0012760E" w:rsidP="0012760E">
      <w:pPr>
        <w:numPr>
          <w:ilvl w:val="0"/>
          <w:numId w:val="53"/>
        </w:numPr>
        <w:spacing w:before="120"/>
      </w:pPr>
      <w:r w:rsidRPr="004C273C">
        <w:t xml:space="preserve">Damming of the </w:t>
      </w:r>
      <w:smartTag w:uri="urn:schemas-microsoft-com:office:smarttags" w:element="PlaceName">
        <w:r w:rsidRPr="004C273C">
          <w:t>palaeo-Murray</w:t>
        </w:r>
      </w:smartTag>
      <w:r w:rsidRPr="004C273C">
        <w:t xml:space="preserve"> </w:t>
      </w:r>
      <w:smartTag w:uri="urn:schemas-microsoft-com:office:smarttags" w:element="PlaceType">
        <w:r w:rsidRPr="004C273C">
          <w:t>River</w:t>
        </w:r>
      </w:smartTag>
      <w:r w:rsidRPr="004C273C">
        <w:t xml:space="preserve"> and its tributaries, including the palaeo Darling River, with Blanchetown Clay deposition in </w:t>
      </w:r>
      <w:smartTag w:uri="urn:schemas-microsoft-com:office:smarttags" w:element="place">
        <w:smartTag w:uri="urn:schemas-microsoft-com:office:smarttags" w:element="PlaceName">
          <w:r w:rsidRPr="004C273C">
            <w:t>palaeo</w:t>
          </w:r>
        </w:smartTag>
        <w:r w:rsidRPr="004C273C">
          <w:t xml:space="preserve"> </w:t>
        </w:r>
        <w:smartTag w:uri="urn:schemas-microsoft-com:office:smarttags" w:element="PlaceType">
          <w:r w:rsidRPr="004C273C">
            <w:t>Lake</w:t>
          </w:r>
        </w:smartTag>
      </w:smartTag>
      <w:r w:rsidRPr="004C273C">
        <w:t xml:space="preserve"> Bungunnia in the Late Pliocene to Pleistocene;</w:t>
      </w:r>
    </w:p>
    <w:p w:rsidR="0012760E" w:rsidRPr="004C273C" w:rsidRDefault="00FD32E9" w:rsidP="0012760E">
      <w:pPr>
        <w:numPr>
          <w:ilvl w:val="0"/>
          <w:numId w:val="53"/>
        </w:numPr>
        <w:spacing w:before="120"/>
      </w:pPr>
      <w:r>
        <w:t>Pliocene regression, and the d</w:t>
      </w:r>
      <w:r w:rsidR="0012760E" w:rsidRPr="004C273C">
        <w:t xml:space="preserve">rying up of </w:t>
      </w:r>
      <w:r w:rsidR="003C0279">
        <w:t>Lake Bungunnia</w:t>
      </w:r>
      <w:r w:rsidR="0012760E" w:rsidRPr="004C273C">
        <w:t>, due to a combination of lowering of the sill of the dam that initiated the lake (McLaren</w:t>
      </w:r>
      <w:r w:rsidR="008A5F7D" w:rsidRPr="00CF7613">
        <w:rPr>
          <w:rStyle w:val="StyleItalic"/>
        </w:rPr>
        <w:t xml:space="preserve"> et al</w:t>
      </w:r>
      <w:r w:rsidR="0012760E" w:rsidRPr="004C273C">
        <w:t xml:space="preserve">., 2012) and </w:t>
      </w:r>
      <w:r w:rsidR="003C0279">
        <w:t>the onset of a dryer climate</w:t>
      </w:r>
      <w:r w:rsidR="0012760E" w:rsidRPr="004C273C">
        <w:t>;</w:t>
      </w:r>
    </w:p>
    <w:p w:rsidR="0012760E" w:rsidRPr="004C273C" w:rsidRDefault="0012760E" w:rsidP="0012760E">
      <w:pPr>
        <w:numPr>
          <w:ilvl w:val="0"/>
          <w:numId w:val="53"/>
        </w:numPr>
        <w:spacing w:before="120"/>
      </w:pPr>
      <w:r w:rsidRPr="004C273C">
        <w:t xml:space="preserve">Continued fluvial and local lacustrine deposition, with sediment derived from the northwest (Broken Hill area) and the north (palaeo Darling River, which passed through a gap in basement hills at Wilcannia at the edge of the </w:t>
      </w:r>
      <w:smartTag w:uri="urn:schemas-microsoft-com:office:smarttags" w:element="place">
        <w:smartTag w:uri="urn:schemas-microsoft-com:office:smarttags" w:element="PlaceName">
          <w:r w:rsidRPr="004C273C">
            <w:t>Murray</w:t>
          </w:r>
        </w:smartTag>
        <w:r w:rsidRPr="004C273C">
          <w:t xml:space="preserve"> </w:t>
        </w:r>
        <w:smartTag w:uri="urn:schemas-microsoft-com:office:smarttags" w:element="PlaceType">
          <w:r w:rsidRPr="004C273C">
            <w:t>Basin</w:t>
          </w:r>
        </w:smartTag>
      </w:smartTag>
      <w:r w:rsidRPr="004C273C">
        <w:t xml:space="preserve">). These Willotia bed sediments may be also partly a time equivalent of the upper part of the Blanchetown Clay deposited further south in </w:t>
      </w:r>
      <w:smartTag w:uri="urn:schemas-microsoft-com:office:smarttags" w:element="place">
        <w:smartTag w:uri="urn:schemas-microsoft-com:office:smarttags" w:element="PlaceType">
          <w:r w:rsidRPr="004C273C">
            <w:t>Lake</w:t>
          </w:r>
        </w:smartTag>
        <w:r w:rsidRPr="004C273C">
          <w:t xml:space="preserve"> </w:t>
        </w:r>
        <w:smartTag w:uri="urn:schemas-microsoft-com:office:smarttags" w:element="PlaceName">
          <w:r w:rsidRPr="004C273C">
            <w:t>Bungunnia</w:t>
          </w:r>
        </w:smartTag>
      </w:smartTag>
      <w:r w:rsidRPr="004C273C">
        <w:t>;</w:t>
      </w:r>
    </w:p>
    <w:p w:rsidR="0012760E" w:rsidRPr="004C273C" w:rsidRDefault="0012760E" w:rsidP="0012760E">
      <w:pPr>
        <w:numPr>
          <w:ilvl w:val="0"/>
          <w:numId w:val="53"/>
        </w:numPr>
        <w:spacing w:before="120"/>
      </w:pPr>
      <w:r w:rsidRPr="004C273C">
        <w:t xml:space="preserve">Incision of a trench into the Blanchetown Clay to form the modern course of the </w:t>
      </w:r>
      <w:smartTag w:uri="urn:schemas-microsoft-com:office:smarttags" w:element="place">
        <w:r w:rsidRPr="004C273C">
          <w:t>Murray River</w:t>
        </w:r>
      </w:smartTag>
      <w:r w:rsidRPr="004C273C">
        <w:t xml:space="preserve"> (Murray Gorge). This trench propagated headwards up the </w:t>
      </w:r>
      <w:smartTag w:uri="urn:schemas-microsoft-com:office:smarttags" w:element="place">
        <w:smartTag w:uri="urn:schemas-microsoft-com:office:smarttags" w:element="PlaceName">
          <w:r w:rsidRPr="004C273C">
            <w:t>Darling</w:t>
          </w:r>
        </w:smartTag>
        <w:r w:rsidRPr="004C273C">
          <w:t xml:space="preserve"> </w:t>
        </w:r>
        <w:smartTag w:uri="urn:schemas-microsoft-com:office:smarttags" w:element="PlaceType">
          <w:r w:rsidRPr="004C273C">
            <w:t>Valley</w:t>
          </w:r>
        </w:smartTag>
      </w:smartTag>
      <w:r w:rsidRPr="004C273C">
        <w:t xml:space="preserve"> by nickpoint retreat, incising the Willotia beds but generally not the Blanchetown Clay in the Menindee area;</w:t>
      </w:r>
    </w:p>
    <w:p w:rsidR="0012760E" w:rsidRPr="004C273C" w:rsidRDefault="0012760E" w:rsidP="0012760E">
      <w:pPr>
        <w:numPr>
          <w:ilvl w:val="0"/>
          <w:numId w:val="53"/>
        </w:numPr>
        <w:spacing w:before="120"/>
      </w:pPr>
      <w:r w:rsidRPr="004C273C">
        <w:t xml:space="preserve">Deposition of fluvial sediments of the Menindee Formation and subsequently Coonambidgal Formation within the eroded trench by the </w:t>
      </w:r>
      <w:smartTag w:uri="urn:schemas-microsoft-com:office:smarttags" w:element="place">
        <w:r w:rsidRPr="004C273C">
          <w:t>Darling River</w:t>
        </w:r>
      </w:smartTag>
      <w:r w:rsidRPr="004C273C">
        <w:t xml:space="preserve"> and its </w:t>
      </w:r>
      <w:r w:rsidR="003C0279">
        <w:t>distributarie</w:t>
      </w:r>
      <w:r w:rsidR="003C0279" w:rsidRPr="004C273C">
        <w:t>s</w:t>
      </w:r>
      <w:r w:rsidRPr="004C273C">
        <w:t>;</w:t>
      </w:r>
    </w:p>
    <w:p w:rsidR="0012760E" w:rsidRPr="004C273C" w:rsidRDefault="0012760E" w:rsidP="0012760E">
      <w:pPr>
        <w:numPr>
          <w:ilvl w:val="0"/>
          <w:numId w:val="53"/>
        </w:numPr>
        <w:spacing w:before="120"/>
      </w:pPr>
      <w:r w:rsidRPr="004C273C">
        <w:t>Concurrent with 8,</w:t>
      </w:r>
      <w:r w:rsidR="003C0279">
        <w:t xml:space="preserve"> 9 and 10</w:t>
      </w:r>
      <w:r w:rsidRPr="004C273C">
        <w:t xml:space="preserve"> formation of the lake basins around Menindee, with local wave erosion and shoreline deposition; and</w:t>
      </w:r>
    </w:p>
    <w:p w:rsidR="0012760E" w:rsidRPr="004C273C" w:rsidRDefault="0012760E" w:rsidP="0012760E">
      <w:pPr>
        <w:numPr>
          <w:ilvl w:val="0"/>
          <w:numId w:val="53"/>
        </w:numPr>
        <w:spacing w:before="120"/>
      </w:pPr>
      <w:r w:rsidRPr="004C273C">
        <w:t>Concurrent with 8</w:t>
      </w:r>
      <w:r w:rsidR="003C0279">
        <w:t>, 9</w:t>
      </w:r>
      <w:r w:rsidRPr="004C273C">
        <w:t xml:space="preserve"> and </w:t>
      </w:r>
      <w:r w:rsidR="003C0279">
        <w:t>10</w:t>
      </w:r>
      <w:r w:rsidRPr="004C273C">
        <w:t>, deposition and preservation of aeolian sand across much of the area, particularly where not flooded and reworked in the trunk river valley.</w:t>
      </w:r>
    </w:p>
    <w:p w:rsidR="0012760E" w:rsidRPr="004C273C" w:rsidRDefault="0012760E" w:rsidP="0012760E">
      <w:pPr>
        <w:numPr>
          <w:ilvl w:val="0"/>
          <w:numId w:val="53"/>
        </w:numPr>
        <w:spacing w:before="120"/>
      </w:pPr>
      <w:r w:rsidRPr="004C273C">
        <w:t>There are multiple lines of evidence to show that the area has been tectonically active in the Neogene-present day, as evidenced by a number of scarps, lineaments, and drainage alignments that are coincident with underlying faults. There is also evidence of neotectonics from some lake tilting in the south of the project area.</w:t>
      </w:r>
    </w:p>
    <w:p w:rsidR="00C0765F" w:rsidRPr="004C273C" w:rsidRDefault="00C0765F" w:rsidP="00C0765F">
      <w:pPr>
        <w:autoSpaceDE w:val="0"/>
        <w:autoSpaceDN w:val="0"/>
        <w:adjustRightInd w:val="0"/>
        <w:rPr>
          <w:szCs w:val="22"/>
        </w:rPr>
      </w:pPr>
    </w:p>
    <w:p w:rsidR="00C0765F" w:rsidRDefault="00C0765F" w:rsidP="00C0765F">
      <w:pPr>
        <w:autoSpaceDE w:val="0"/>
        <w:autoSpaceDN w:val="0"/>
        <w:adjustRightInd w:val="0"/>
        <w:rPr>
          <w:szCs w:val="22"/>
        </w:rPr>
      </w:pPr>
      <w:r w:rsidRPr="004C273C">
        <w:rPr>
          <w:szCs w:val="22"/>
        </w:rPr>
        <w:t xml:space="preserve">As the project area sits astride the Darling Fault Lineament, </w:t>
      </w:r>
      <w:r w:rsidR="003C0279">
        <w:rPr>
          <w:szCs w:val="22"/>
        </w:rPr>
        <w:t xml:space="preserve">a continental-scale structural feature, </w:t>
      </w:r>
      <w:r w:rsidRPr="004C273C">
        <w:rPr>
          <w:szCs w:val="22"/>
        </w:rPr>
        <w:t xml:space="preserve">it </w:t>
      </w:r>
      <w:r w:rsidR="003C0279" w:rsidRPr="004C273C">
        <w:rPr>
          <w:szCs w:val="22"/>
        </w:rPr>
        <w:t xml:space="preserve">is </w:t>
      </w:r>
      <w:r w:rsidRPr="004C273C">
        <w:rPr>
          <w:szCs w:val="22"/>
        </w:rPr>
        <w:t>perhaps not surprising that tectonic activity has played a major role in shaping the landscape in the project area. Tectonics appear</w:t>
      </w:r>
      <w:r w:rsidR="00E14E83" w:rsidRPr="004C273C">
        <w:rPr>
          <w:szCs w:val="22"/>
        </w:rPr>
        <w:t>s</w:t>
      </w:r>
      <w:r w:rsidRPr="004C273C">
        <w:rPr>
          <w:szCs w:val="22"/>
        </w:rPr>
        <w:t xml:space="preserve"> to have influenced the distribution of the major Pliocene and younger aquifers and aquitards. Although the data appear to show that tectonic activity has waned significantly since the Pleistocene, with only a few structures </w:t>
      </w:r>
      <w:r w:rsidR="003023E2" w:rsidRPr="004C273C">
        <w:rPr>
          <w:szCs w:val="22"/>
        </w:rPr>
        <w:t>apparent</w:t>
      </w:r>
      <w:r w:rsidRPr="004C273C">
        <w:rPr>
          <w:szCs w:val="22"/>
        </w:rPr>
        <w:t xml:space="preserve"> in the modern landscape, tectonics still influence the location of the major drainage elements.</w:t>
      </w:r>
      <w:r>
        <w:rPr>
          <w:szCs w:val="22"/>
        </w:rPr>
        <w:t xml:space="preserve"> </w:t>
      </w:r>
    </w:p>
    <w:p w:rsidR="006274F3" w:rsidRPr="00DD1E35" w:rsidRDefault="002028F3" w:rsidP="001440A3">
      <w:pPr>
        <w:spacing w:before="320" w:after="120"/>
        <w:rPr>
          <w:b/>
          <w:color w:val="3366FF"/>
          <w:sz w:val="32"/>
          <w:szCs w:val="32"/>
          <w:lang w:eastAsia="en-US"/>
        </w:rPr>
      </w:pPr>
      <w:r>
        <w:rPr>
          <w:b/>
          <w:color w:val="3366FF"/>
          <w:sz w:val="32"/>
          <w:szCs w:val="32"/>
          <w:lang w:eastAsia="en-US"/>
        </w:rPr>
        <w:br w:type="page"/>
      </w:r>
      <w:r w:rsidR="0058082B">
        <w:rPr>
          <w:b/>
          <w:color w:val="3366FF"/>
          <w:sz w:val="32"/>
          <w:szCs w:val="32"/>
          <w:lang w:eastAsia="en-US"/>
        </w:rPr>
        <w:lastRenderedPageBreak/>
        <w:t>NEW HYDROGEOLOGICAL CONCEPTUAL MODEL</w:t>
      </w:r>
    </w:p>
    <w:p w:rsidR="00E9008C" w:rsidRDefault="003346A4" w:rsidP="00E9008C">
      <w:pPr>
        <w:tabs>
          <w:tab w:val="num" w:pos="540"/>
        </w:tabs>
      </w:pPr>
      <w:r w:rsidRPr="000B4790">
        <w:t xml:space="preserve">Figure </w:t>
      </w:r>
      <w:r w:rsidR="003803FE" w:rsidRPr="000B4790">
        <w:t>H</w:t>
      </w:r>
      <w:r w:rsidR="004F3EF9" w:rsidRPr="000B4790">
        <w:t xml:space="preserve"> summarises the conceptual model showing the configuration of aquifers and aquitards within the sediments of the Lower</w:t>
      </w:r>
      <w:r w:rsidR="004F3EF9">
        <w:t xml:space="preserve"> Darling Floodplain. It also shows the recharge dynamics associated with leakage from the </w:t>
      </w:r>
      <w:smartTag w:uri="urn:schemas-microsoft-com:office:smarttags" w:element="place">
        <w:r w:rsidR="004F3EF9">
          <w:t>Darling River</w:t>
        </w:r>
      </w:smartTag>
      <w:r w:rsidR="004F3EF9">
        <w:t xml:space="preserve">. </w:t>
      </w:r>
      <w:r w:rsidR="00E9008C">
        <w:t xml:space="preserve">The importance of river (and lake) leakage in recharging the shallow </w:t>
      </w:r>
      <w:r w:rsidR="00E9008C">
        <w:rPr>
          <w:szCs w:val="22"/>
        </w:rPr>
        <w:t>unconfined</w:t>
      </w:r>
      <w:r w:rsidR="00E9008C" w:rsidRPr="00D87A67">
        <w:rPr>
          <w:szCs w:val="22"/>
        </w:rPr>
        <w:t xml:space="preserve"> </w:t>
      </w:r>
      <w:r w:rsidR="00E9008C">
        <w:t xml:space="preserve">aquifers and </w:t>
      </w:r>
      <w:r w:rsidR="004E04FF">
        <w:t xml:space="preserve">the </w:t>
      </w:r>
      <w:r w:rsidR="00C217F0">
        <w:t>Calivil Formation</w:t>
      </w:r>
      <w:r w:rsidR="00F65D51">
        <w:t xml:space="preserve"> </w:t>
      </w:r>
      <w:r w:rsidR="00E9008C">
        <w:t>target aquifer is inferred from different lines of evidence, including:</w:t>
      </w:r>
    </w:p>
    <w:p w:rsidR="00E9008C" w:rsidRDefault="00E9008C" w:rsidP="00A75725">
      <w:pPr>
        <w:numPr>
          <w:ilvl w:val="0"/>
          <w:numId w:val="55"/>
        </w:numPr>
        <w:tabs>
          <w:tab w:val="clear" w:pos="360"/>
        </w:tabs>
        <w:spacing w:before="60"/>
        <w:ind w:left="720"/>
        <w:rPr>
          <w:szCs w:val="22"/>
        </w:rPr>
      </w:pPr>
      <w:r>
        <w:rPr>
          <w:szCs w:val="22"/>
        </w:rPr>
        <w:t xml:space="preserve">Interpolation of groundwater salinities based on a relationship between the </w:t>
      </w:r>
      <w:smartTag w:uri="urn:schemas-microsoft-com:office:smarttags" w:element="stockticker">
        <w:r>
          <w:rPr>
            <w:szCs w:val="22"/>
          </w:rPr>
          <w:t>AEM</w:t>
        </w:r>
      </w:smartTag>
      <w:r>
        <w:rPr>
          <w:szCs w:val="22"/>
        </w:rPr>
        <w:t xml:space="preserve"> and pore fluid chemistry showed freshening near the river and also in particular leakage sites associated with the </w:t>
      </w:r>
      <w:r w:rsidR="00C40D42">
        <w:rPr>
          <w:szCs w:val="22"/>
        </w:rPr>
        <w:t>MLS</w:t>
      </w:r>
      <w:r>
        <w:rPr>
          <w:szCs w:val="22"/>
        </w:rPr>
        <w:t>.</w:t>
      </w:r>
    </w:p>
    <w:p w:rsidR="00E9008C" w:rsidRPr="00D87A67" w:rsidRDefault="00E9008C" w:rsidP="00A75725">
      <w:pPr>
        <w:numPr>
          <w:ilvl w:val="0"/>
          <w:numId w:val="55"/>
        </w:numPr>
        <w:tabs>
          <w:tab w:val="clear" w:pos="360"/>
        </w:tabs>
        <w:spacing w:before="60"/>
        <w:ind w:left="720"/>
        <w:rPr>
          <w:szCs w:val="22"/>
        </w:rPr>
      </w:pPr>
      <w:r>
        <w:rPr>
          <w:szCs w:val="22"/>
        </w:rPr>
        <w:t>Watertable c</w:t>
      </w:r>
      <w:r w:rsidRPr="00D87A67">
        <w:rPr>
          <w:szCs w:val="22"/>
        </w:rPr>
        <w:t>ontours interpreted fo</w:t>
      </w:r>
      <w:r>
        <w:rPr>
          <w:szCs w:val="22"/>
        </w:rPr>
        <w:t>r</w:t>
      </w:r>
      <w:r w:rsidRPr="00D87A67">
        <w:rPr>
          <w:szCs w:val="22"/>
        </w:rPr>
        <w:t xml:space="preserve"> the </w:t>
      </w:r>
      <w:r>
        <w:rPr>
          <w:szCs w:val="22"/>
        </w:rPr>
        <w:t xml:space="preserve">shallow </w:t>
      </w:r>
      <w:r w:rsidRPr="00D87A67">
        <w:rPr>
          <w:szCs w:val="22"/>
        </w:rPr>
        <w:t xml:space="preserve">aquifer </w:t>
      </w:r>
      <w:r>
        <w:rPr>
          <w:szCs w:val="22"/>
        </w:rPr>
        <w:t>show</w:t>
      </w:r>
      <w:r w:rsidRPr="00D87A67">
        <w:rPr>
          <w:szCs w:val="22"/>
        </w:rPr>
        <w:t xml:space="preserve"> significant mounding </w:t>
      </w:r>
      <w:r>
        <w:rPr>
          <w:szCs w:val="22"/>
        </w:rPr>
        <w:t>near</w:t>
      </w:r>
      <w:r w:rsidRPr="00D87A67">
        <w:rPr>
          <w:szCs w:val="22"/>
        </w:rPr>
        <w:t xml:space="preserve"> the </w:t>
      </w:r>
      <w:smartTag w:uri="urn:schemas-microsoft-com:office:smarttags" w:element="place">
        <w:r w:rsidRPr="00D87A67">
          <w:rPr>
            <w:szCs w:val="22"/>
          </w:rPr>
          <w:t>Darling River</w:t>
        </w:r>
      </w:smartTag>
      <w:r>
        <w:rPr>
          <w:szCs w:val="22"/>
        </w:rPr>
        <w:t xml:space="preserve"> and the MLS. </w:t>
      </w:r>
      <w:r w:rsidRPr="00D87A67">
        <w:rPr>
          <w:szCs w:val="22"/>
        </w:rPr>
        <w:t>The in</w:t>
      </w:r>
      <w:r>
        <w:rPr>
          <w:szCs w:val="22"/>
        </w:rPr>
        <w:t>terpreted groundwater levels</w:t>
      </w:r>
      <w:r w:rsidRPr="00D87A67">
        <w:rPr>
          <w:szCs w:val="22"/>
        </w:rPr>
        <w:t xml:space="preserve"> for the </w:t>
      </w:r>
      <w:r>
        <w:rPr>
          <w:szCs w:val="22"/>
        </w:rPr>
        <w:t xml:space="preserve">underlying </w:t>
      </w:r>
      <w:r w:rsidR="00C217F0">
        <w:rPr>
          <w:szCs w:val="22"/>
        </w:rPr>
        <w:t>Calivil Formation</w:t>
      </w:r>
      <w:r w:rsidR="00F65D51">
        <w:rPr>
          <w:szCs w:val="22"/>
        </w:rPr>
        <w:t xml:space="preserve"> </w:t>
      </w:r>
      <w:r>
        <w:rPr>
          <w:szCs w:val="22"/>
        </w:rPr>
        <w:t xml:space="preserve">aquifer have </w:t>
      </w:r>
      <w:r w:rsidRPr="00D87A67">
        <w:rPr>
          <w:szCs w:val="22"/>
        </w:rPr>
        <w:t>a broadly similar pattern suggesting the influence of river leakage.</w:t>
      </w:r>
      <w:r>
        <w:rPr>
          <w:szCs w:val="22"/>
        </w:rPr>
        <w:t xml:space="preserve"> The dominant hydraulic gradient near the river is downwards, reflecting greater opportunity for river leakage (rather than groundwater discharge to the river).</w:t>
      </w:r>
    </w:p>
    <w:p w:rsidR="00E9008C" w:rsidRPr="00D87A67" w:rsidRDefault="00E9008C" w:rsidP="00A75725">
      <w:pPr>
        <w:numPr>
          <w:ilvl w:val="0"/>
          <w:numId w:val="55"/>
        </w:numPr>
        <w:tabs>
          <w:tab w:val="clear" w:pos="360"/>
        </w:tabs>
        <w:spacing w:before="60"/>
        <w:ind w:left="720"/>
        <w:rPr>
          <w:szCs w:val="22"/>
        </w:rPr>
      </w:pPr>
      <w:r w:rsidRPr="00D87A67">
        <w:rPr>
          <w:szCs w:val="22"/>
        </w:rPr>
        <w:t xml:space="preserve">The majority of shallow </w:t>
      </w:r>
      <w:r>
        <w:rPr>
          <w:szCs w:val="22"/>
        </w:rPr>
        <w:t xml:space="preserve">groundwaters have a </w:t>
      </w:r>
      <w:r w:rsidRPr="00D87A67">
        <w:rPr>
          <w:szCs w:val="22"/>
        </w:rPr>
        <w:t xml:space="preserve">chemistry </w:t>
      </w:r>
      <w:r>
        <w:rPr>
          <w:szCs w:val="22"/>
        </w:rPr>
        <w:t xml:space="preserve">dominated by sodium, calcium, magnesium and bicarbonate, which is </w:t>
      </w:r>
      <w:r w:rsidRPr="00D87A67">
        <w:rPr>
          <w:szCs w:val="22"/>
        </w:rPr>
        <w:t xml:space="preserve">similar to </w:t>
      </w:r>
      <w:r>
        <w:rPr>
          <w:szCs w:val="22"/>
        </w:rPr>
        <w:t>the</w:t>
      </w:r>
      <w:r w:rsidRPr="00D87A67">
        <w:rPr>
          <w:szCs w:val="22"/>
        </w:rPr>
        <w:t xml:space="preserve"> </w:t>
      </w:r>
      <w:smartTag w:uri="urn:schemas-microsoft-com:office:smarttags" w:element="place">
        <w:r w:rsidRPr="00D87A67">
          <w:rPr>
            <w:szCs w:val="22"/>
          </w:rPr>
          <w:t>Darling River</w:t>
        </w:r>
      </w:smartTag>
      <w:r>
        <w:rPr>
          <w:szCs w:val="22"/>
        </w:rPr>
        <w:t xml:space="preserve"> samples</w:t>
      </w:r>
      <w:r w:rsidRPr="00D87A67">
        <w:rPr>
          <w:szCs w:val="22"/>
        </w:rPr>
        <w:t xml:space="preserve">. </w:t>
      </w:r>
      <w:r>
        <w:rPr>
          <w:szCs w:val="22"/>
        </w:rPr>
        <w:t xml:space="preserve">In contrast, local rainfall samples are more enriched in calcium and potassium, suggesting that recharge from rainfall is not as important as river (or lake) leakage. </w:t>
      </w:r>
      <w:r w:rsidRPr="00D87A67">
        <w:rPr>
          <w:szCs w:val="22"/>
        </w:rPr>
        <w:t>A mixing</w:t>
      </w:r>
      <w:r>
        <w:rPr>
          <w:szCs w:val="22"/>
        </w:rPr>
        <w:t xml:space="preserve"> trend is evident between the </w:t>
      </w:r>
      <w:r w:rsidRPr="00D87A67">
        <w:rPr>
          <w:szCs w:val="22"/>
        </w:rPr>
        <w:t>surface waters and shallow groundwaters</w:t>
      </w:r>
      <w:r>
        <w:rPr>
          <w:szCs w:val="22"/>
        </w:rPr>
        <w:t>,</w:t>
      </w:r>
      <w:r w:rsidRPr="00D87A67">
        <w:rPr>
          <w:szCs w:val="22"/>
        </w:rPr>
        <w:t xml:space="preserve"> and </w:t>
      </w:r>
      <w:r>
        <w:rPr>
          <w:szCs w:val="22"/>
        </w:rPr>
        <w:t xml:space="preserve">the more saline and evolved </w:t>
      </w:r>
      <w:r w:rsidR="00C217F0">
        <w:rPr>
          <w:szCs w:val="22"/>
        </w:rPr>
        <w:t>Calivil Formation</w:t>
      </w:r>
      <w:r w:rsidR="00F65D51">
        <w:rPr>
          <w:szCs w:val="22"/>
        </w:rPr>
        <w:t xml:space="preserve"> </w:t>
      </w:r>
      <w:r w:rsidRPr="00D87A67">
        <w:rPr>
          <w:szCs w:val="22"/>
        </w:rPr>
        <w:t xml:space="preserve">and </w:t>
      </w:r>
      <w:r w:rsidR="00C217F0">
        <w:rPr>
          <w:szCs w:val="22"/>
        </w:rPr>
        <w:t>Renmark Group</w:t>
      </w:r>
      <w:r w:rsidR="00F65D51">
        <w:rPr>
          <w:szCs w:val="22"/>
        </w:rPr>
        <w:t xml:space="preserve"> </w:t>
      </w:r>
      <w:r w:rsidRPr="00D87A67">
        <w:rPr>
          <w:szCs w:val="22"/>
        </w:rPr>
        <w:t>regional groundwaters.</w:t>
      </w:r>
    </w:p>
    <w:p w:rsidR="00E9008C" w:rsidRPr="00D87A67" w:rsidRDefault="00E27075" w:rsidP="00A75725">
      <w:pPr>
        <w:numPr>
          <w:ilvl w:val="0"/>
          <w:numId w:val="55"/>
        </w:numPr>
        <w:tabs>
          <w:tab w:val="clear" w:pos="360"/>
        </w:tabs>
        <w:spacing w:before="60"/>
        <w:ind w:left="720"/>
        <w:rPr>
          <w:szCs w:val="22"/>
        </w:rPr>
      </w:pPr>
      <w:r>
        <w:rPr>
          <w:szCs w:val="22"/>
        </w:rPr>
        <w:t>S</w:t>
      </w:r>
      <w:r w:rsidR="00E9008C">
        <w:rPr>
          <w:szCs w:val="22"/>
        </w:rPr>
        <w:t>table isotopes of water (</w:t>
      </w:r>
      <w:r w:rsidR="003803FE">
        <w:rPr>
          <w:szCs w:val="22"/>
        </w:rPr>
        <w:t>oxygen</w:t>
      </w:r>
      <w:r w:rsidR="003023E2">
        <w:rPr>
          <w:szCs w:val="22"/>
        </w:rPr>
        <w:t>-18</w:t>
      </w:r>
      <w:r w:rsidR="00E9008C" w:rsidRPr="00D87A67">
        <w:rPr>
          <w:szCs w:val="22"/>
        </w:rPr>
        <w:t xml:space="preserve"> and deu</w:t>
      </w:r>
      <w:r w:rsidR="00E9008C">
        <w:rPr>
          <w:szCs w:val="22"/>
        </w:rPr>
        <w:t xml:space="preserve">terium) in </w:t>
      </w:r>
      <w:r w:rsidR="00D54904">
        <w:rPr>
          <w:szCs w:val="22"/>
        </w:rPr>
        <w:t xml:space="preserve">rainfall, </w:t>
      </w:r>
      <w:r w:rsidR="00E9008C">
        <w:rPr>
          <w:szCs w:val="22"/>
        </w:rPr>
        <w:t xml:space="preserve">river, lake and groundwater samples show that the </w:t>
      </w:r>
      <w:smartTag w:uri="urn:schemas-microsoft-com:office:smarttags" w:element="place">
        <w:r w:rsidR="00E9008C">
          <w:rPr>
            <w:szCs w:val="22"/>
          </w:rPr>
          <w:t>Darling River</w:t>
        </w:r>
      </w:smartTag>
      <w:r w:rsidR="00E9008C">
        <w:rPr>
          <w:szCs w:val="22"/>
        </w:rPr>
        <w:t xml:space="preserve"> </w:t>
      </w:r>
      <w:r w:rsidR="00E9008C" w:rsidRPr="00D87A67">
        <w:rPr>
          <w:szCs w:val="22"/>
        </w:rPr>
        <w:t>recharge</w:t>
      </w:r>
      <w:r w:rsidR="00E9008C">
        <w:rPr>
          <w:szCs w:val="22"/>
        </w:rPr>
        <w:t xml:space="preserve">s the </w:t>
      </w:r>
      <w:r w:rsidR="004F3EF9">
        <w:rPr>
          <w:szCs w:val="22"/>
        </w:rPr>
        <w:t xml:space="preserve">unconfined and semi-confined near-surface </w:t>
      </w:r>
      <w:r w:rsidR="00E9008C">
        <w:rPr>
          <w:szCs w:val="22"/>
        </w:rPr>
        <w:t>aquifers</w:t>
      </w:r>
      <w:r w:rsidR="00E9008C" w:rsidRPr="00D87A67">
        <w:rPr>
          <w:szCs w:val="22"/>
        </w:rPr>
        <w:t xml:space="preserve">. The fresh </w:t>
      </w:r>
      <w:r w:rsidR="00C217F0">
        <w:rPr>
          <w:szCs w:val="22"/>
        </w:rPr>
        <w:t>Calivil Formation</w:t>
      </w:r>
      <w:r w:rsidR="00F65D51">
        <w:rPr>
          <w:szCs w:val="22"/>
        </w:rPr>
        <w:t xml:space="preserve"> </w:t>
      </w:r>
      <w:r w:rsidR="00E9008C" w:rsidRPr="00D87A67">
        <w:rPr>
          <w:szCs w:val="22"/>
        </w:rPr>
        <w:t xml:space="preserve">groundwaters have a stable isotope signature similar to </w:t>
      </w:r>
      <w:smartTag w:uri="urn:schemas-microsoft-com:office:smarttags" w:element="place">
        <w:r w:rsidR="00E9008C" w:rsidRPr="00D87A67">
          <w:rPr>
            <w:szCs w:val="22"/>
          </w:rPr>
          <w:t>Darling River</w:t>
        </w:r>
      </w:smartTag>
      <w:r w:rsidR="00E9008C" w:rsidRPr="00D87A67">
        <w:rPr>
          <w:szCs w:val="22"/>
        </w:rPr>
        <w:t xml:space="preserve"> samples collected during h</w:t>
      </w:r>
      <w:r w:rsidR="00E9008C">
        <w:rPr>
          <w:szCs w:val="22"/>
        </w:rPr>
        <w:t>igh flows</w:t>
      </w:r>
      <w:r w:rsidR="00E9008C" w:rsidRPr="00D87A67">
        <w:rPr>
          <w:szCs w:val="22"/>
        </w:rPr>
        <w:t xml:space="preserve">. This would support </w:t>
      </w:r>
      <w:r w:rsidR="00E9008C">
        <w:rPr>
          <w:szCs w:val="22"/>
        </w:rPr>
        <w:t xml:space="preserve">recharge into the </w:t>
      </w:r>
      <w:r w:rsidR="00C217F0">
        <w:rPr>
          <w:szCs w:val="22"/>
        </w:rPr>
        <w:t>Calivil Formation</w:t>
      </w:r>
      <w:r w:rsidR="00F65D51">
        <w:rPr>
          <w:szCs w:val="22"/>
        </w:rPr>
        <w:t xml:space="preserve"> </w:t>
      </w:r>
      <w:r w:rsidR="00E9008C">
        <w:rPr>
          <w:szCs w:val="22"/>
        </w:rPr>
        <w:t>being linked to</w:t>
      </w:r>
      <w:r w:rsidR="00E9008C" w:rsidRPr="00D87A67">
        <w:rPr>
          <w:szCs w:val="22"/>
        </w:rPr>
        <w:t xml:space="preserve"> </w:t>
      </w:r>
      <w:r w:rsidR="003C0279" w:rsidRPr="00D87A67">
        <w:rPr>
          <w:szCs w:val="22"/>
        </w:rPr>
        <w:t>high</w:t>
      </w:r>
      <w:r w:rsidR="003C0279">
        <w:rPr>
          <w:szCs w:val="22"/>
        </w:rPr>
        <w:t>-</w:t>
      </w:r>
      <w:r w:rsidR="00E9008C" w:rsidRPr="00D87A67">
        <w:rPr>
          <w:szCs w:val="22"/>
        </w:rPr>
        <w:t xml:space="preserve">flow events, rather than continual river leakage. </w:t>
      </w:r>
      <w:r w:rsidR="00E9008C">
        <w:rPr>
          <w:szCs w:val="22"/>
        </w:rPr>
        <w:t xml:space="preserve">The tight clustering of the </w:t>
      </w:r>
      <w:r w:rsidR="00C217F0">
        <w:rPr>
          <w:szCs w:val="22"/>
        </w:rPr>
        <w:t>Calivil Formation</w:t>
      </w:r>
      <w:r w:rsidR="00F65D51">
        <w:rPr>
          <w:szCs w:val="22"/>
        </w:rPr>
        <w:t xml:space="preserve"> </w:t>
      </w:r>
      <w:r w:rsidR="00E9008C">
        <w:rPr>
          <w:szCs w:val="22"/>
        </w:rPr>
        <w:t xml:space="preserve">stable isotope samples suggests that recharge is relatively rapid. </w:t>
      </w:r>
      <w:r w:rsidR="00E9008C" w:rsidRPr="00D87A67">
        <w:rPr>
          <w:szCs w:val="22"/>
        </w:rPr>
        <w:t xml:space="preserve">The contrast </w:t>
      </w:r>
      <w:r w:rsidR="00E9008C">
        <w:rPr>
          <w:szCs w:val="22"/>
        </w:rPr>
        <w:t xml:space="preserve">in the isotopic signature of </w:t>
      </w:r>
      <w:r w:rsidR="00E9008C" w:rsidRPr="00D87A67">
        <w:rPr>
          <w:szCs w:val="22"/>
        </w:rPr>
        <w:t xml:space="preserve">the fresh </w:t>
      </w:r>
      <w:r w:rsidR="00C217F0">
        <w:rPr>
          <w:szCs w:val="22"/>
        </w:rPr>
        <w:t>Calivil Formation</w:t>
      </w:r>
      <w:r w:rsidR="00E9008C" w:rsidRPr="00D87A67">
        <w:rPr>
          <w:szCs w:val="22"/>
        </w:rPr>
        <w:t xml:space="preserve"> groundwat</w:t>
      </w:r>
      <w:r w:rsidR="00E9008C">
        <w:rPr>
          <w:szCs w:val="22"/>
        </w:rPr>
        <w:t>ers and that of the</w:t>
      </w:r>
      <w:r w:rsidR="00E9008C" w:rsidRPr="00D87A67">
        <w:rPr>
          <w:szCs w:val="22"/>
        </w:rPr>
        <w:t xml:space="preserve"> shallow groundwaters, suggests that recharge </w:t>
      </w:r>
      <w:r w:rsidR="00F65D51">
        <w:rPr>
          <w:szCs w:val="22"/>
        </w:rPr>
        <w:t xml:space="preserve">to the </w:t>
      </w:r>
      <w:r w:rsidR="00C217F0">
        <w:rPr>
          <w:szCs w:val="22"/>
        </w:rPr>
        <w:t>Calivil Formation</w:t>
      </w:r>
      <w:r w:rsidR="00F65D51">
        <w:rPr>
          <w:szCs w:val="22"/>
        </w:rPr>
        <w:t xml:space="preserve"> </w:t>
      </w:r>
      <w:r w:rsidR="00E9008C" w:rsidRPr="00D87A67">
        <w:rPr>
          <w:szCs w:val="22"/>
        </w:rPr>
        <w:t>occurs near-river, rather than via infiltration through the shallow aquifer in the floodplain.</w:t>
      </w:r>
    </w:p>
    <w:p w:rsidR="00E9008C" w:rsidRDefault="00E9008C" w:rsidP="00A75725">
      <w:pPr>
        <w:numPr>
          <w:ilvl w:val="0"/>
          <w:numId w:val="55"/>
        </w:numPr>
        <w:tabs>
          <w:tab w:val="clear" w:pos="360"/>
        </w:tabs>
        <w:spacing w:before="60"/>
        <w:ind w:left="720"/>
        <w:rPr>
          <w:szCs w:val="22"/>
        </w:rPr>
      </w:pPr>
      <w:r w:rsidRPr="00D87A67">
        <w:rPr>
          <w:szCs w:val="22"/>
        </w:rPr>
        <w:t xml:space="preserve">The </w:t>
      </w:r>
      <w:r>
        <w:rPr>
          <w:szCs w:val="22"/>
        </w:rPr>
        <w:t xml:space="preserve">fresh near-river </w:t>
      </w:r>
      <w:r w:rsidRPr="00D87A67">
        <w:rPr>
          <w:szCs w:val="22"/>
        </w:rPr>
        <w:t>shallow groundwater</w:t>
      </w:r>
      <w:r>
        <w:rPr>
          <w:szCs w:val="22"/>
        </w:rPr>
        <w:t xml:space="preserve"> </w:t>
      </w:r>
      <w:r w:rsidRPr="00D87A67">
        <w:rPr>
          <w:szCs w:val="22"/>
        </w:rPr>
        <w:t xml:space="preserve">typically has a modern </w:t>
      </w:r>
      <w:r w:rsidR="003C0279">
        <w:rPr>
          <w:szCs w:val="22"/>
        </w:rPr>
        <w:t>radio</w:t>
      </w:r>
      <w:r w:rsidRPr="00D87A67">
        <w:rPr>
          <w:szCs w:val="22"/>
        </w:rPr>
        <w:t>carbon signature, further supporting river leakage under current climatic conditions as being the dominant recharge process.</w:t>
      </w:r>
      <w:r>
        <w:rPr>
          <w:szCs w:val="22"/>
        </w:rPr>
        <w:t xml:space="preserve"> There is a decrease in the proportion of </w:t>
      </w:r>
      <w:r w:rsidRPr="00D87A67">
        <w:rPr>
          <w:szCs w:val="22"/>
        </w:rPr>
        <w:t xml:space="preserve">modern carbon as the </w:t>
      </w:r>
      <w:r w:rsidR="00C217F0">
        <w:rPr>
          <w:szCs w:val="22"/>
        </w:rPr>
        <w:t>Calivil Formation</w:t>
      </w:r>
      <w:r w:rsidR="00F65D51">
        <w:rPr>
          <w:szCs w:val="22"/>
        </w:rPr>
        <w:t xml:space="preserve"> </w:t>
      </w:r>
      <w:r w:rsidRPr="00D87A67">
        <w:rPr>
          <w:szCs w:val="22"/>
        </w:rPr>
        <w:t>groundwaters progressively become more saline and less influenced by modern recharge.</w:t>
      </w:r>
    </w:p>
    <w:p w:rsidR="00E9008C" w:rsidRDefault="00E9008C" w:rsidP="00A75725">
      <w:pPr>
        <w:numPr>
          <w:ilvl w:val="0"/>
          <w:numId w:val="55"/>
        </w:numPr>
        <w:tabs>
          <w:tab w:val="clear" w:pos="360"/>
        </w:tabs>
        <w:spacing w:before="60"/>
        <w:ind w:left="720"/>
        <w:rPr>
          <w:szCs w:val="22"/>
        </w:rPr>
      </w:pPr>
      <w:r>
        <w:rPr>
          <w:szCs w:val="22"/>
        </w:rPr>
        <w:t>Data from monitoring bores screened in the unconfined</w:t>
      </w:r>
      <w:r w:rsidR="00E27075">
        <w:rPr>
          <w:szCs w:val="22"/>
        </w:rPr>
        <w:t xml:space="preserve"> Quaternary</w:t>
      </w:r>
      <w:r>
        <w:rPr>
          <w:szCs w:val="22"/>
        </w:rPr>
        <w:t xml:space="preserve">, </w:t>
      </w:r>
      <w:r w:rsidR="00E27075">
        <w:rPr>
          <w:szCs w:val="22"/>
        </w:rPr>
        <w:t xml:space="preserve">semi-confined </w:t>
      </w:r>
      <w:r w:rsidR="002248EF">
        <w:rPr>
          <w:szCs w:val="22"/>
        </w:rPr>
        <w:t>Pliocene aquifers</w:t>
      </w:r>
      <w:r w:rsidR="00F65D51">
        <w:rPr>
          <w:szCs w:val="22"/>
        </w:rPr>
        <w:t xml:space="preserve"> </w:t>
      </w:r>
      <w:r>
        <w:rPr>
          <w:szCs w:val="22"/>
        </w:rPr>
        <w:t xml:space="preserve">and </w:t>
      </w:r>
      <w:r w:rsidR="00E27075">
        <w:rPr>
          <w:szCs w:val="22"/>
        </w:rPr>
        <w:t xml:space="preserve">confined </w:t>
      </w:r>
      <w:r w:rsidR="00C217F0">
        <w:rPr>
          <w:szCs w:val="22"/>
        </w:rPr>
        <w:t>Renmark Group</w:t>
      </w:r>
      <w:r w:rsidR="00F65D51">
        <w:rPr>
          <w:szCs w:val="22"/>
        </w:rPr>
        <w:t xml:space="preserve"> </w:t>
      </w:r>
      <w:r>
        <w:rPr>
          <w:szCs w:val="22"/>
        </w:rPr>
        <w:t xml:space="preserve">aquifers show rises in groundwater levels associated with </w:t>
      </w:r>
      <w:r w:rsidR="003C0279">
        <w:rPr>
          <w:szCs w:val="22"/>
        </w:rPr>
        <w:t>high-</w:t>
      </w:r>
      <w:r>
        <w:rPr>
          <w:szCs w:val="22"/>
        </w:rPr>
        <w:t xml:space="preserve">flow events in the </w:t>
      </w:r>
      <w:smartTag w:uri="urn:schemas-microsoft-com:office:smarttags" w:element="place">
        <w:r>
          <w:rPr>
            <w:szCs w:val="22"/>
          </w:rPr>
          <w:t>Darling River</w:t>
        </w:r>
      </w:smartTag>
      <w:r>
        <w:rPr>
          <w:szCs w:val="22"/>
        </w:rPr>
        <w:t xml:space="preserve">. Overbank flow is not necessary for such recharge to occur. The continuation of rising trends in the </w:t>
      </w:r>
      <w:r w:rsidR="00C217F0">
        <w:rPr>
          <w:szCs w:val="22"/>
        </w:rPr>
        <w:t>Calivil Formation</w:t>
      </w:r>
      <w:r w:rsidR="00F65D51">
        <w:rPr>
          <w:szCs w:val="22"/>
        </w:rPr>
        <w:t xml:space="preserve"> </w:t>
      </w:r>
      <w:r>
        <w:rPr>
          <w:szCs w:val="22"/>
        </w:rPr>
        <w:t xml:space="preserve">monitoring bores after the flood peak recedes suggests that this is an actual recharge response rather than hydraulic loading. Simple Darcian vertical infiltration </w:t>
      </w:r>
      <w:r w:rsidR="00E27075">
        <w:rPr>
          <w:szCs w:val="22"/>
        </w:rPr>
        <w:t xml:space="preserve">through the overlying Blanchetown Clay </w:t>
      </w:r>
      <w:r>
        <w:rPr>
          <w:szCs w:val="22"/>
        </w:rPr>
        <w:t xml:space="preserve">cannot explain the rapid response. </w:t>
      </w:r>
      <w:r w:rsidR="002248EF">
        <w:rPr>
          <w:szCs w:val="22"/>
        </w:rPr>
        <w:t xml:space="preserve">Bypass flow is most likely to occur where mapped faults juxtapose the shallow unconfined and semi-confined Pliocene aquifers, </w:t>
      </w:r>
      <w:r w:rsidR="00E27075">
        <w:rPr>
          <w:szCs w:val="22"/>
        </w:rPr>
        <w:t xml:space="preserve">and </w:t>
      </w:r>
      <w:r w:rsidR="002248EF">
        <w:rPr>
          <w:szCs w:val="22"/>
        </w:rPr>
        <w:t xml:space="preserve">through </w:t>
      </w:r>
      <w:r w:rsidR="00E27075">
        <w:rPr>
          <w:szCs w:val="22"/>
        </w:rPr>
        <w:t xml:space="preserve">gaps in </w:t>
      </w:r>
      <w:r w:rsidR="002248EF">
        <w:rPr>
          <w:szCs w:val="22"/>
        </w:rPr>
        <w:t xml:space="preserve">the </w:t>
      </w:r>
      <w:r w:rsidR="00E27075">
        <w:rPr>
          <w:szCs w:val="22"/>
        </w:rPr>
        <w:t xml:space="preserve">aquitards </w:t>
      </w:r>
      <w:r w:rsidRPr="000B4790">
        <w:rPr>
          <w:szCs w:val="22"/>
        </w:rPr>
        <w:t>near the river.</w:t>
      </w:r>
    </w:p>
    <w:p w:rsidR="002248EF" w:rsidRPr="000B4790" w:rsidRDefault="002248EF" w:rsidP="00A75725">
      <w:pPr>
        <w:numPr>
          <w:ilvl w:val="0"/>
          <w:numId w:val="55"/>
        </w:numPr>
        <w:tabs>
          <w:tab w:val="clear" w:pos="360"/>
        </w:tabs>
        <w:spacing w:before="60"/>
        <w:ind w:left="720"/>
        <w:rPr>
          <w:szCs w:val="22"/>
        </w:rPr>
      </w:pPr>
      <w:r>
        <w:rPr>
          <w:szCs w:val="22"/>
        </w:rPr>
        <w:t xml:space="preserve">Estimates of diffuse rainfall recharge using the chloride mass balance approach show that this is negligible, due to low rainfall, high evaporation and the presence of thick aquitards across most of the study area. </w:t>
      </w:r>
    </w:p>
    <w:p w:rsidR="00E9008C" w:rsidRPr="000B4790" w:rsidRDefault="00E9008C" w:rsidP="00E9008C">
      <w:pPr>
        <w:tabs>
          <w:tab w:val="num" w:pos="540"/>
        </w:tabs>
      </w:pPr>
    </w:p>
    <w:p w:rsidR="00E9008C" w:rsidRPr="000B4790" w:rsidRDefault="004F3EF9" w:rsidP="001D5ABC">
      <w:pPr>
        <w:tabs>
          <w:tab w:val="num" w:pos="540"/>
        </w:tabs>
      </w:pPr>
      <w:r w:rsidRPr="000B4790">
        <w:t>In summary, d</w:t>
      </w:r>
      <w:r w:rsidR="00E9008C" w:rsidRPr="000B4790">
        <w:t xml:space="preserve">uring </w:t>
      </w:r>
      <w:r w:rsidR="003C0279" w:rsidRPr="000B4790">
        <w:t>low</w:t>
      </w:r>
      <w:r w:rsidR="003C0279">
        <w:t>-</w:t>
      </w:r>
      <w:r w:rsidR="00E9008C" w:rsidRPr="000B4790">
        <w:t>flow conditions (</w:t>
      </w:r>
      <w:r w:rsidR="003346A4" w:rsidRPr="000B4790">
        <w:t xml:space="preserve">Figure </w:t>
      </w:r>
      <w:r w:rsidR="003803FE" w:rsidRPr="000B4790">
        <w:t>H</w:t>
      </w:r>
      <w:r w:rsidR="00680C55" w:rsidRPr="000B4790">
        <w:t>a</w:t>
      </w:r>
      <w:r w:rsidR="00E9008C" w:rsidRPr="000B4790">
        <w:t xml:space="preserve">) there is no recharge </w:t>
      </w:r>
      <w:r w:rsidR="00C61C21">
        <w:t>because</w:t>
      </w:r>
      <w:r w:rsidR="00E9008C" w:rsidRPr="000B4790">
        <w:t xml:space="preserve"> a </w:t>
      </w:r>
      <w:r w:rsidR="001E3931" w:rsidRPr="000B4790">
        <w:t>mud</w:t>
      </w:r>
      <w:r w:rsidR="00E9008C" w:rsidRPr="000B4790">
        <w:t xml:space="preserve"> veneer and also mineral precipitates along the river bed and banks act as an effective seal. Under no-flow conditions, the deep holes in the river bed can be windows to the watertable and act as critical drought refuges for the aquatic ecosystem.</w:t>
      </w:r>
    </w:p>
    <w:p w:rsidR="00E9008C" w:rsidRPr="000B4790" w:rsidRDefault="00E9008C" w:rsidP="00E9008C">
      <w:pPr>
        <w:tabs>
          <w:tab w:val="num" w:pos="540"/>
        </w:tabs>
      </w:pPr>
    </w:p>
    <w:p w:rsidR="00E9008C" w:rsidRDefault="00E9008C" w:rsidP="00E9008C">
      <w:pPr>
        <w:tabs>
          <w:tab w:val="num" w:pos="540"/>
        </w:tabs>
      </w:pPr>
      <w:r w:rsidRPr="000B4790">
        <w:t>During high-flow conditions (</w:t>
      </w:r>
      <w:r w:rsidR="003346A4" w:rsidRPr="000B4790">
        <w:t xml:space="preserve">Figure </w:t>
      </w:r>
      <w:r w:rsidR="003803FE" w:rsidRPr="000B4790">
        <w:t>H</w:t>
      </w:r>
      <w:r w:rsidR="001E3931" w:rsidRPr="000B4790">
        <w:t>b</w:t>
      </w:r>
      <w:r w:rsidRPr="000B4790">
        <w:t xml:space="preserve">), the </w:t>
      </w:r>
      <w:r w:rsidR="0012409C" w:rsidRPr="000B4790">
        <w:t>riverbank</w:t>
      </w:r>
      <w:r w:rsidRPr="000B4790">
        <w:t xml:space="preserve">s and bed are scoured and the </w:t>
      </w:r>
      <w:r w:rsidR="003C0279" w:rsidRPr="000B4790">
        <w:t>mud</w:t>
      </w:r>
      <w:r w:rsidR="003C0279">
        <w:t>-</w:t>
      </w:r>
      <w:r w:rsidRPr="000B4790">
        <w:t>veneer seal is removed. This allows recharge to occur predominantly by lateral bank recharge through the sandy sequences in the shallow aquifer as well as bypass flow via faults. The</w:t>
      </w:r>
      <w:r>
        <w:t xml:space="preserve"> high river stage level facilitates lateral and downward leakage. Overbank flow is not a pre-requisite for recharge but can provide other localised </w:t>
      </w:r>
      <w:r>
        <w:lastRenderedPageBreak/>
        <w:t xml:space="preserve">recharge pathways in the floodplain. </w:t>
      </w:r>
      <w:r w:rsidR="002248EF">
        <w:t>Mapped faults</w:t>
      </w:r>
      <w:r>
        <w:t xml:space="preserve"> and gaps in the Blanchetown Clay </w:t>
      </w:r>
      <w:r w:rsidR="002248EF">
        <w:t xml:space="preserve">upper </w:t>
      </w:r>
      <w:r>
        <w:t>confining</w:t>
      </w:r>
      <w:r w:rsidR="007151B9">
        <w:t xml:space="preserve"> </w:t>
      </w:r>
      <w:r w:rsidR="002248EF">
        <w:t xml:space="preserve">aquitard provide pathways for inter-aquifer leakage to occur </w:t>
      </w:r>
      <w:r>
        <w:t xml:space="preserve">to the </w:t>
      </w:r>
      <w:r w:rsidR="00C61C21">
        <w:t xml:space="preserve">underlying </w:t>
      </w:r>
      <w:r w:rsidR="002248EF">
        <w:t>Pliocene</w:t>
      </w:r>
      <w:r w:rsidR="00F65D51">
        <w:t xml:space="preserve"> </w:t>
      </w:r>
      <w:r>
        <w:t>aquifer</w:t>
      </w:r>
      <w:r w:rsidR="002248EF">
        <w:t>s</w:t>
      </w:r>
      <w:r>
        <w:t>. During flood recession, there may be</w:t>
      </w:r>
      <w:r w:rsidRPr="003543D8">
        <w:t xml:space="preserve"> some drain-back from </w:t>
      </w:r>
      <w:r>
        <w:t>bank storage in the unconfined aquifers encouraging carbonate precipitation</w:t>
      </w:r>
      <w:r w:rsidR="004F3EF9">
        <w:t xml:space="preserve"> at the </w:t>
      </w:r>
      <w:r w:rsidR="0012409C">
        <w:t>riverbank</w:t>
      </w:r>
      <w:r w:rsidR="004F3EF9">
        <w:t>s</w:t>
      </w:r>
      <w:r>
        <w:t xml:space="preserve">. The </w:t>
      </w:r>
      <w:r w:rsidR="001E3931">
        <w:t>mud</w:t>
      </w:r>
      <w:r>
        <w:t xml:space="preserve"> veneer </w:t>
      </w:r>
      <w:r w:rsidR="004F3EF9">
        <w:t>is also redeposited</w:t>
      </w:r>
      <w:r>
        <w:t xml:space="preserve"> with declining river stage and flow velocities. Over time, the system returns to relatively low-flow conditions with the channel </w:t>
      </w:r>
      <w:r w:rsidR="001E3931">
        <w:t>mud</w:t>
      </w:r>
      <w:r>
        <w:t xml:space="preserve"> veneer again constraining river leakage.</w:t>
      </w:r>
    </w:p>
    <w:p w:rsidR="00E9008C" w:rsidRPr="00E9008C" w:rsidRDefault="00E9008C" w:rsidP="00E9008C">
      <w:pPr>
        <w:tabs>
          <w:tab w:val="num" w:pos="540"/>
        </w:tabs>
      </w:pPr>
    </w:p>
    <w:p w:rsidR="007D5510" w:rsidRDefault="00706A3B" w:rsidP="007D5510">
      <w:pPr>
        <w:pStyle w:val="Caption"/>
        <w:spacing w:after="60"/>
        <w:rPr>
          <w:b/>
        </w:rPr>
      </w:pPr>
      <w:bookmarkStart w:id="36" w:name="_Ref325640266"/>
      <w:r>
        <w:rPr>
          <w:bCs w:val="0"/>
          <w:i w:val="0"/>
          <w:noProof/>
          <w:sz w:val="22"/>
          <w:szCs w:val="24"/>
        </w:rPr>
        <w:drawing>
          <wp:inline distT="0" distB="0" distL="0" distR="0" wp14:anchorId="3884AA98" wp14:editId="54916E5F">
            <wp:extent cx="6076061" cy="5688330"/>
            <wp:effectExtent l="0" t="0" r="127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076061" cy="5688330"/>
                    </a:xfrm>
                    <a:prstGeom prst="rect">
                      <a:avLst/>
                    </a:prstGeom>
                    <a:noFill/>
                    <a:ln>
                      <a:noFill/>
                    </a:ln>
                  </pic:spPr>
                </pic:pic>
              </a:graphicData>
            </a:graphic>
          </wp:inline>
        </w:drawing>
      </w:r>
    </w:p>
    <w:p w:rsidR="00C742CE" w:rsidRDefault="001E3931" w:rsidP="001E3931">
      <w:pPr>
        <w:pStyle w:val="Caption"/>
        <w:rPr>
          <w:bCs w:val="0"/>
          <w:i w:val="0"/>
        </w:rPr>
      </w:pPr>
      <w:r w:rsidRPr="00666EC0">
        <w:rPr>
          <w:b/>
        </w:rPr>
        <w:t xml:space="preserve">Figure </w:t>
      </w:r>
      <w:bookmarkEnd w:id="36"/>
      <w:r w:rsidR="003803FE">
        <w:rPr>
          <w:b/>
        </w:rPr>
        <w:t>H</w:t>
      </w:r>
      <w:r w:rsidR="00760A46" w:rsidRPr="00666EC0">
        <w:rPr>
          <w:b/>
          <w:szCs w:val="22"/>
        </w:rPr>
        <w:t>.</w:t>
      </w:r>
      <w:r w:rsidR="00760A46" w:rsidRPr="00666EC0">
        <w:rPr>
          <w:szCs w:val="22"/>
        </w:rPr>
        <w:t xml:space="preserve"> Conceptual</w:t>
      </w:r>
      <w:r w:rsidR="00760A46" w:rsidRPr="00760A46">
        <w:rPr>
          <w:szCs w:val="22"/>
        </w:rPr>
        <w:t xml:space="preserve"> model for groundwater recharge in the Lower Darling Floodplain alluvial sediments</w:t>
      </w:r>
      <w:r>
        <w:rPr>
          <w:szCs w:val="22"/>
        </w:rPr>
        <w:t xml:space="preserve"> in </w:t>
      </w:r>
      <w:r w:rsidR="00497AD3">
        <w:rPr>
          <w:szCs w:val="22"/>
        </w:rPr>
        <w:t>(</w:t>
      </w:r>
      <w:r w:rsidR="00574E43">
        <w:rPr>
          <w:szCs w:val="22"/>
        </w:rPr>
        <w:t>A</w:t>
      </w:r>
      <w:r w:rsidR="00497AD3">
        <w:rPr>
          <w:szCs w:val="22"/>
        </w:rPr>
        <w:t>)</w:t>
      </w:r>
      <w:r w:rsidR="00760A46" w:rsidRPr="00760A46">
        <w:rPr>
          <w:szCs w:val="22"/>
        </w:rPr>
        <w:t xml:space="preserve"> high-flow phase</w:t>
      </w:r>
      <w:r w:rsidR="00D23F26">
        <w:rPr>
          <w:szCs w:val="22"/>
        </w:rPr>
        <w:t xml:space="preserve"> </w:t>
      </w:r>
      <w:r>
        <w:rPr>
          <w:szCs w:val="22"/>
        </w:rPr>
        <w:t xml:space="preserve">and </w:t>
      </w:r>
      <w:r w:rsidR="00497AD3">
        <w:rPr>
          <w:szCs w:val="22"/>
        </w:rPr>
        <w:t>(</w:t>
      </w:r>
      <w:r w:rsidR="00574E43">
        <w:rPr>
          <w:szCs w:val="22"/>
        </w:rPr>
        <w:t>B</w:t>
      </w:r>
      <w:r>
        <w:rPr>
          <w:szCs w:val="22"/>
        </w:rPr>
        <w:t xml:space="preserve">) low flow </w:t>
      </w:r>
      <w:r w:rsidR="00760A46" w:rsidRPr="00760A46">
        <w:rPr>
          <w:szCs w:val="22"/>
        </w:rPr>
        <w:t>phase</w:t>
      </w:r>
      <w:r>
        <w:rPr>
          <w:szCs w:val="22"/>
        </w:rPr>
        <w:t>s.</w:t>
      </w:r>
      <w:r w:rsidR="00BE08AB" w:rsidRPr="00BE08AB">
        <w:rPr>
          <w:bCs w:val="0"/>
          <w:i w:val="0"/>
        </w:rPr>
        <w:t xml:space="preserve"> </w:t>
      </w:r>
      <w:r w:rsidR="00BE08AB" w:rsidRPr="00666EC0">
        <w:rPr>
          <w:bCs w:val="0"/>
          <w:i w:val="0"/>
        </w:rPr>
        <w:fldChar w:fldCharType="begin"/>
      </w:r>
      <w:r w:rsidR="00666EC0" w:rsidRPr="00666EC0">
        <w:rPr>
          <w:bCs w:val="0"/>
          <w:i w:val="0"/>
        </w:rPr>
        <w:instrText xml:space="preserve"> TC "</w:instrText>
      </w:r>
      <w:bookmarkStart w:id="37" w:name="_Toc325975192"/>
      <w:bookmarkStart w:id="38" w:name="_Toc390690197"/>
      <w:r w:rsidR="00666EC0" w:rsidRPr="00666EC0">
        <w:rPr>
          <w:bCs w:val="0"/>
          <w:i w:val="0"/>
        </w:rPr>
        <w:instrText xml:space="preserve">Figure </w:instrText>
      </w:r>
      <w:r w:rsidR="003803FE">
        <w:rPr>
          <w:bCs w:val="0"/>
          <w:i w:val="0"/>
        </w:rPr>
        <w:instrText>H</w:instrText>
      </w:r>
      <w:r w:rsidR="00497AD3">
        <w:rPr>
          <w:bCs w:val="0"/>
          <w:i w:val="0"/>
        </w:rPr>
        <w:instrText>.</w:instrText>
      </w:r>
      <w:r w:rsidR="00BE08AB" w:rsidRPr="00666EC0">
        <w:rPr>
          <w:bCs w:val="0"/>
          <w:i w:val="0"/>
        </w:rPr>
        <w:instrText xml:space="preserve"> </w:instrText>
      </w:r>
      <w:r w:rsidR="00666EC0" w:rsidRPr="00666EC0">
        <w:rPr>
          <w:i w:val="0"/>
          <w:szCs w:val="22"/>
        </w:rPr>
        <w:instrText>Conceptual model for groundwater recharge in the Lower Darling Floodplain alluvial sediments</w:instrText>
      </w:r>
      <w:bookmarkEnd w:id="37"/>
      <w:bookmarkEnd w:id="38"/>
      <w:r w:rsidR="00BE08AB" w:rsidRPr="00666EC0">
        <w:rPr>
          <w:bCs w:val="0"/>
          <w:i w:val="0"/>
        </w:rPr>
        <w:instrText xml:space="preserve">" \f A \l “4” </w:instrText>
      </w:r>
      <w:r w:rsidR="00BE08AB" w:rsidRPr="00666EC0">
        <w:rPr>
          <w:bCs w:val="0"/>
          <w:i w:val="0"/>
        </w:rPr>
        <w:fldChar w:fldCharType="end"/>
      </w:r>
    </w:p>
    <w:p w:rsidR="00B40359" w:rsidRDefault="00B40359" w:rsidP="00B40359">
      <w:pPr>
        <w:pStyle w:val="BodyText1"/>
      </w:pPr>
    </w:p>
    <w:p w:rsidR="00B40359" w:rsidRPr="00B40359" w:rsidRDefault="00B40359" w:rsidP="00B40359">
      <w:pPr>
        <w:pStyle w:val="BodyText1"/>
      </w:pPr>
    </w:p>
    <w:p w:rsidR="007A7529" w:rsidRPr="00DD1E35" w:rsidRDefault="002028F3" w:rsidP="007A7529">
      <w:pPr>
        <w:spacing w:before="120" w:after="120"/>
        <w:rPr>
          <w:b/>
          <w:color w:val="0000FF"/>
          <w:szCs w:val="22"/>
          <w:lang w:eastAsia="en-US"/>
        </w:rPr>
      </w:pPr>
      <w:r>
        <w:rPr>
          <w:b/>
          <w:color w:val="3366FF"/>
          <w:sz w:val="32"/>
          <w:szCs w:val="32"/>
          <w:lang w:eastAsia="en-US"/>
        </w:rPr>
        <w:br w:type="page"/>
      </w:r>
      <w:r w:rsidR="00CF637B">
        <w:rPr>
          <w:b/>
          <w:color w:val="3366FF"/>
          <w:sz w:val="32"/>
          <w:szCs w:val="32"/>
          <w:lang w:eastAsia="en-US"/>
        </w:rPr>
        <w:lastRenderedPageBreak/>
        <w:t xml:space="preserve">REGIONAL </w:t>
      </w:r>
      <w:r w:rsidR="007A7529" w:rsidRPr="00DD1E35">
        <w:rPr>
          <w:b/>
          <w:color w:val="3366FF"/>
          <w:sz w:val="32"/>
          <w:szCs w:val="32"/>
          <w:lang w:eastAsia="en-US"/>
        </w:rPr>
        <w:t xml:space="preserve">GROUNDWATER </w:t>
      </w:r>
      <w:r w:rsidR="00CF637B">
        <w:rPr>
          <w:b/>
          <w:color w:val="3366FF"/>
          <w:sz w:val="32"/>
          <w:szCs w:val="32"/>
          <w:lang w:eastAsia="en-US"/>
        </w:rPr>
        <w:t xml:space="preserve">RESOURCE </w:t>
      </w:r>
      <w:r w:rsidR="007A7529" w:rsidRPr="00DD1E35">
        <w:rPr>
          <w:b/>
          <w:color w:val="3366FF"/>
          <w:sz w:val="32"/>
          <w:szCs w:val="32"/>
          <w:lang w:eastAsia="en-US"/>
        </w:rPr>
        <w:t xml:space="preserve">AND </w:t>
      </w:r>
      <w:r w:rsidR="00CF637B">
        <w:rPr>
          <w:b/>
          <w:color w:val="3366FF"/>
          <w:sz w:val="32"/>
          <w:szCs w:val="32"/>
          <w:lang w:eastAsia="en-US"/>
        </w:rPr>
        <w:t>MAR OPTIONS</w:t>
      </w:r>
    </w:p>
    <w:p w:rsidR="007A7529" w:rsidRPr="000B4790" w:rsidRDefault="007A7529" w:rsidP="007A7529">
      <w:pPr>
        <w:tabs>
          <w:tab w:val="num" w:pos="1797"/>
        </w:tabs>
        <w:spacing w:before="120" w:after="120"/>
        <w:rPr>
          <w:szCs w:val="22"/>
        </w:rPr>
      </w:pPr>
      <w:r>
        <w:rPr>
          <w:szCs w:val="22"/>
        </w:rPr>
        <w:t xml:space="preserve">AEM and drilling data were combined to map groundwater salinity in the </w:t>
      </w:r>
      <w:r w:rsidR="00C217F0">
        <w:rPr>
          <w:szCs w:val="22"/>
        </w:rPr>
        <w:t>Calivil Formation</w:t>
      </w:r>
      <w:r w:rsidR="00F65D51">
        <w:rPr>
          <w:szCs w:val="22"/>
        </w:rPr>
        <w:t xml:space="preserve"> </w:t>
      </w:r>
      <w:r>
        <w:rPr>
          <w:szCs w:val="22"/>
        </w:rPr>
        <w:t xml:space="preserve">target aquifer. This enabled the identification of 14 regional target areas (GWR1-14) that are predicted to have fresh (&lt;1200 mg/L) and brackish (1200-3000 mg/l) </w:t>
      </w:r>
      <w:r w:rsidRPr="000B4790">
        <w:rPr>
          <w:szCs w:val="22"/>
        </w:rPr>
        <w:t>groundwater (</w:t>
      </w:r>
      <w:r w:rsidR="003803FE" w:rsidRPr="000B4790">
        <w:t>Figure B</w:t>
      </w:r>
      <w:r w:rsidRPr="000B4790">
        <w:rPr>
          <w:szCs w:val="22"/>
        </w:rPr>
        <w:t xml:space="preserve">). </w:t>
      </w:r>
      <w:r w:rsidR="00745E40">
        <w:rPr>
          <w:szCs w:val="22"/>
        </w:rPr>
        <w:t>Due to factors other than groundwater salinity also contributing to AEM conductance (such as lithology and moisture content) there is inherent uncertainty in this grou</w:t>
      </w:r>
      <w:r w:rsidR="00C63CAB">
        <w:rPr>
          <w:szCs w:val="22"/>
        </w:rPr>
        <w:t>ndwater salinity mapping. However, the mapping</w:t>
      </w:r>
      <w:r w:rsidR="00745E40">
        <w:rPr>
          <w:szCs w:val="22"/>
        </w:rPr>
        <w:t xml:space="preserve"> is adequate to target </w:t>
      </w:r>
      <w:r w:rsidRPr="000B4790">
        <w:rPr>
          <w:szCs w:val="22"/>
        </w:rPr>
        <w:t>assessments of managed aquifer recharge or groundwater extraction.</w:t>
      </w:r>
    </w:p>
    <w:p w:rsidR="007A7529" w:rsidRPr="000B4790" w:rsidRDefault="007A7529" w:rsidP="007A7529">
      <w:pPr>
        <w:tabs>
          <w:tab w:val="num" w:pos="1797"/>
        </w:tabs>
        <w:spacing w:before="120" w:after="120"/>
        <w:rPr>
          <w:szCs w:val="22"/>
        </w:rPr>
      </w:pPr>
      <w:r w:rsidRPr="000B4790">
        <w:rPr>
          <w:szCs w:val="22"/>
        </w:rPr>
        <w:t>Estimation of the groundwater storage volumes for various categories of groundwater salinity within these target areas was also undertaken</w:t>
      </w:r>
      <w:r w:rsidR="003803FE" w:rsidRPr="000B4790">
        <w:rPr>
          <w:szCs w:val="22"/>
        </w:rPr>
        <w:t xml:space="preserve">. </w:t>
      </w:r>
      <w:r w:rsidR="00D42944">
        <w:rPr>
          <w:szCs w:val="22"/>
        </w:rPr>
        <w:t>These storage volume estimates are required to assess the MAR potential of the target aquifer</w:t>
      </w:r>
      <w:r w:rsidR="00F75406">
        <w:rPr>
          <w:szCs w:val="22"/>
        </w:rPr>
        <w:t xml:space="preserve">, in the context of providing a MAR scheme of adequate storage and recovery efficiency to deliver a </w:t>
      </w:r>
      <w:r w:rsidR="00F25A1E">
        <w:rPr>
          <w:szCs w:val="22"/>
        </w:rPr>
        <w:t>secure water supply to Broken Hi</w:t>
      </w:r>
      <w:r w:rsidR="00F75406">
        <w:rPr>
          <w:szCs w:val="22"/>
        </w:rPr>
        <w:t>ll</w:t>
      </w:r>
      <w:r w:rsidR="00D42944">
        <w:rPr>
          <w:szCs w:val="22"/>
        </w:rPr>
        <w:t xml:space="preserve">. </w:t>
      </w:r>
      <w:r w:rsidR="003803FE" w:rsidRPr="000B4790">
        <w:rPr>
          <w:szCs w:val="22"/>
        </w:rPr>
        <w:t>Table A</w:t>
      </w:r>
      <w:r w:rsidRPr="000B4790">
        <w:rPr>
          <w:szCs w:val="22"/>
        </w:rPr>
        <w:t xml:space="preserve"> provides a regional summary of these estimates, suggesting that there is storage within the </w:t>
      </w:r>
      <w:r w:rsidR="00C217F0">
        <w:rPr>
          <w:szCs w:val="22"/>
        </w:rPr>
        <w:t>Calivil Formation</w:t>
      </w:r>
      <w:r w:rsidR="00F65D51">
        <w:rPr>
          <w:szCs w:val="22"/>
        </w:rPr>
        <w:t xml:space="preserve"> </w:t>
      </w:r>
      <w:r w:rsidRPr="000B4790">
        <w:rPr>
          <w:szCs w:val="22"/>
        </w:rPr>
        <w:t>aquifer in the order of 2</w:t>
      </w:r>
      <w:r w:rsidR="00D42944">
        <w:rPr>
          <w:szCs w:val="22"/>
        </w:rPr>
        <w:t>1</w:t>
      </w:r>
      <w:r w:rsidRPr="000B4790">
        <w:rPr>
          <w:szCs w:val="22"/>
        </w:rPr>
        <w:t>00-</w:t>
      </w:r>
      <w:r w:rsidR="00D42944">
        <w:rPr>
          <w:szCs w:val="22"/>
        </w:rPr>
        <w:t>44</w:t>
      </w:r>
      <w:r w:rsidRPr="000B4790">
        <w:rPr>
          <w:szCs w:val="22"/>
        </w:rPr>
        <w:t xml:space="preserve">00 GL of </w:t>
      </w:r>
      <w:r w:rsidR="00F25A1E">
        <w:rPr>
          <w:szCs w:val="22"/>
        </w:rPr>
        <w:t>good</w:t>
      </w:r>
      <w:r w:rsidRPr="000B4790">
        <w:rPr>
          <w:szCs w:val="22"/>
        </w:rPr>
        <w:t xml:space="preserve"> to acceptable </w:t>
      </w:r>
      <w:r w:rsidR="00F25A1E">
        <w:rPr>
          <w:szCs w:val="22"/>
        </w:rPr>
        <w:t xml:space="preserve">quality </w:t>
      </w:r>
      <w:r w:rsidRPr="000B4790">
        <w:rPr>
          <w:szCs w:val="22"/>
        </w:rPr>
        <w:t xml:space="preserve">(&lt;1200 mg/L) groundwater and </w:t>
      </w:r>
      <w:r w:rsidR="00D42944">
        <w:rPr>
          <w:szCs w:val="22"/>
        </w:rPr>
        <w:t>9</w:t>
      </w:r>
      <w:r w:rsidRPr="000B4790">
        <w:rPr>
          <w:szCs w:val="22"/>
        </w:rPr>
        <w:t>00-</w:t>
      </w:r>
      <w:r w:rsidR="00D42944">
        <w:rPr>
          <w:szCs w:val="22"/>
        </w:rPr>
        <w:t>20</w:t>
      </w:r>
      <w:r w:rsidRPr="000B4790">
        <w:rPr>
          <w:szCs w:val="22"/>
        </w:rPr>
        <w:t xml:space="preserve">00 GL of more brackish quality (1200-3000 mg/L) groundwater across these targets. </w:t>
      </w:r>
      <w:r w:rsidR="00F75406">
        <w:rPr>
          <w:szCs w:val="22"/>
        </w:rPr>
        <w:t xml:space="preserve">Potential MAR schemes are targeted in the fresh groundwater zones in the </w:t>
      </w:r>
      <w:r w:rsidR="00F25A1E">
        <w:rPr>
          <w:szCs w:val="22"/>
        </w:rPr>
        <w:t>Calivil Formation</w:t>
      </w:r>
      <w:r w:rsidR="00F75406">
        <w:rPr>
          <w:szCs w:val="22"/>
        </w:rPr>
        <w:t xml:space="preserve"> aquifer as this enables greater recovery efficiencies.</w:t>
      </w:r>
    </w:p>
    <w:p w:rsidR="007A7529" w:rsidRPr="000B4790" w:rsidRDefault="007A7529" w:rsidP="007A7529">
      <w:pPr>
        <w:tabs>
          <w:tab w:val="num" w:pos="1797"/>
        </w:tabs>
        <w:spacing w:before="120" w:after="120"/>
        <w:rPr>
          <w:szCs w:val="22"/>
        </w:rPr>
      </w:pPr>
      <w:r w:rsidRPr="000B4790">
        <w:t xml:space="preserve">It is important to emphasise that these groundwater </w:t>
      </w:r>
      <w:r w:rsidR="00745E40">
        <w:t xml:space="preserve">storage </w:t>
      </w:r>
      <w:r w:rsidRPr="000B4790">
        <w:t>volumes are indicative only</w:t>
      </w:r>
      <w:r w:rsidR="008D347F">
        <w:t xml:space="preserve"> due to the uncertainties in the mapping of porosity and groundwater salinity. However, they do p</w:t>
      </w:r>
      <w:r w:rsidRPr="000B4790">
        <w:t>rovid</w:t>
      </w:r>
      <w:r w:rsidR="008D347F">
        <w:t>e</w:t>
      </w:r>
      <w:r w:rsidRPr="000B4790">
        <w:t xml:space="preserve"> order</w:t>
      </w:r>
      <w:r w:rsidR="00D42944">
        <w:t>-</w:t>
      </w:r>
      <w:r w:rsidRPr="000B4790">
        <w:t>of</w:t>
      </w:r>
      <w:r w:rsidR="00D42944">
        <w:t>-</w:t>
      </w:r>
      <w:r w:rsidRPr="000B4790">
        <w:t xml:space="preserve">magnitude estimates </w:t>
      </w:r>
      <w:r w:rsidR="00D42944">
        <w:t xml:space="preserve">in a relative sense, </w:t>
      </w:r>
      <w:r w:rsidRPr="000B4790">
        <w:t xml:space="preserve">to help prioritise targets and to make recommendations for future phases of investigation. Also, </w:t>
      </w:r>
      <w:r w:rsidR="008D347F">
        <w:t xml:space="preserve">importantly, </w:t>
      </w:r>
      <w:r w:rsidRPr="000B4790">
        <w:t>these groundwater storage volumes do not equate to the groundwater volume that can be extracted</w:t>
      </w:r>
      <w:r w:rsidR="00D42944">
        <w:t>, which would be significantly smaller</w:t>
      </w:r>
      <w:r w:rsidRPr="000B4790">
        <w:t>. The extractable groundwater volume depends on several factors including the:</w:t>
      </w:r>
    </w:p>
    <w:p w:rsidR="007A7529" w:rsidRPr="000B4790" w:rsidRDefault="007A7529" w:rsidP="007A7529">
      <w:pPr>
        <w:numPr>
          <w:ilvl w:val="0"/>
          <w:numId w:val="27"/>
        </w:numPr>
        <w:spacing w:before="120"/>
      </w:pPr>
      <w:r w:rsidRPr="000B4790">
        <w:t xml:space="preserve">Assessment of the magnitude and risk of negative impacts associated with any groundwater extraction. These impacts can include ingress of saline </w:t>
      </w:r>
      <w:r w:rsidR="00C03FE4">
        <w:t xml:space="preserve">(or poor quality) </w:t>
      </w:r>
      <w:r w:rsidRPr="000B4790">
        <w:t xml:space="preserve">groundwater into the productive aquifer, decline in the viability of any identified groundwater dependent ecosystem, or reduction in groundwater access by existing licensed users. </w:t>
      </w:r>
    </w:p>
    <w:p w:rsidR="007A7529" w:rsidRDefault="007A7529" w:rsidP="007A7529">
      <w:pPr>
        <w:numPr>
          <w:ilvl w:val="0"/>
          <w:numId w:val="27"/>
        </w:numPr>
        <w:spacing w:before="120"/>
      </w:pPr>
      <w:r w:rsidRPr="000B4790">
        <w:t>Nature and distribution of the more transmissive parts</w:t>
      </w:r>
      <w:r w:rsidRPr="00EA4793">
        <w:t xml:space="preserve"> of the </w:t>
      </w:r>
      <w:r w:rsidR="00C217F0">
        <w:t>Calivil Formation</w:t>
      </w:r>
      <w:r w:rsidRPr="00EA4793">
        <w:t>, with the thicker sand and gravel palaeochannel deposits being the target for groundwater extraction.</w:t>
      </w:r>
    </w:p>
    <w:p w:rsidR="007A7529" w:rsidRPr="000B4790" w:rsidRDefault="007A7529" w:rsidP="007A7529">
      <w:pPr>
        <w:numPr>
          <w:ilvl w:val="0"/>
          <w:numId w:val="27"/>
        </w:numPr>
        <w:spacing w:before="120"/>
      </w:pPr>
      <w:r>
        <w:t>Conceptual understanding and quantification of groundwater recharge</w:t>
      </w:r>
      <w:r w:rsidR="00F25A1E">
        <w:t>, flow</w:t>
      </w:r>
      <w:r>
        <w:t xml:space="preserve"> and discharge processes.</w:t>
      </w:r>
      <w:r w:rsidR="003630E1">
        <w:t xml:space="preserve"> The targets have been classified based on our understanding of the degree and mechanisms for modern </w:t>
      </w:r>
      <w:r w:rsidR="003630E1" w:rsidRPr="000B4790">
        <w:t xml:space="preserve">recharge (Figure I). </w:t>
      </w:r>
    </w:p>
    <w:p w:rsidR="007A7529" w:rsidRPr="007D1D0E" w:rsidRDefault="007A7529" w:rsidP="007A7529">
      <w:pPr>
        <w:numPr>
          <w:ilvl w:val="0"/>
          <w:numId w:val="27"/>
        </w:numPr>
        <w:spacing w:before="120"/>
      </w:pPr>
      <w:r w:rsidRPr="00EA4793">
        <w:t>Economics and logistics of borefield or MAR design. This includes possible constraints such as land tenure, heritage clearances and proximity to existing infrastructure.</w:t>
      </w:r>
    </w:p>
    <w:p w:rsidR="007A7529" w:rsidRDefault="007A7529" w:rsidP="007A7529">
      <w:pPr>
        <w:spacing w:before="120" w:after="120"/>
        <w:rPr>
          <w:szCs w:val="22"/>
        </w:rPr>
      </w:pPr>
      <w:r>
        <w:rPr>
          <w:szCs w:val="22"/>
        </w:rPr>
        <w:t xml:space="preserve">Further work, such as additional drilling and numerical groundwater modelling, would be required to validate these storage estimates and to help define acceptable </w:t>
      </w:r>
      <w:r w:rsidR="00C03FE4">
        <w:rPr>
          <w:szCs w:val="22"/>
        </w:rPr>
        <w:t xml:space="preserve">MAR operations or </w:t>
      </w:r>
      <w:r>
        <w:rPr>
          <w:szCs w:val="22"/>
        </w:rPr>
        <w:t>groundwater extraction rates. However, as these resources are largely previously unknown and currently un</w:t>
      </w:r>
      <w:r w:rsidR="00F25A1E">
        <w:rPr>
          <w:szCs w:val="22"/>
        </w:rPr>
        <w:t>derutilised</w:t>
      </w:r>
      <w:r>
        <w:rPr>
          <w:szCs w:val="22"/>
        </w:rPr>
        <w:t>, they have the potential to assist regional development.</w:t>
      </w:r>
    </w:p>
    <w:p w:rsidR="00B40359" w:rsidRDefault="00B40359" w:rsidP="007A7529">
      <w:pPr>
        <w:spacing w:before="120" w:after="120"/>
        <w:rPr>
          <w:szCs w:val="22"/>
        </w:rPr>
      </w:pPr>
    </w:p>
    <w:p w:rsidR="00B40359" w:rsidRDefault="003630E1" w:rsidP="007D5510">
      <w:pPr>
        <w:spacing w:before="120" w:after="60"/>
      </w:pPr>
      <w:r>
        <w:rPr>
          <w:szCs w:val="22"/>
        </w:rPr>
        <w:br w:type="page"/>
      </w:r>
      <w:r w:rsidR="00706A3B">
        <w:rPr>
          <w:noProof/>
        </w:rPr>
        <w:lastRenderedPageBreak/>
        <w:drawing>
          <wp:inline distT="0" distB="0" distL="0" distR="0" wp14:anchorId="6A441497" wp14:editId="50D6DC24">
            <wp:extent cx="6028614" cy="6953693"/>
            <wp:effectExtent l="0" t="0" r="0" b="0"/>
            <wp:docPr id="15" name="Picture 15" descr="Fig0I_37_RechargePotential_Targets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0I_37_RechargePotential_Targets_v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103" t="6943" r="8479" b="24380"/>
                    <a:stretch/>
                  </pic:blipFill>
                  <pic:spPr bwMode="auto">
                    <a:xfrm>
                      <a:off x="0" y="0"/>
                      <a:ext cx="6028690" cy="6953780"/>
                    </a:xfrm>
                    <a:prstGeom prst="rect">
                      <a:avLst/>
                    </a:prstGeom>
                    <a:noFill/>
                    <a:ln>
                      <a:noFill/>
                    </a:ln>
                    <a:extLst>
                      <a:ext uri="{53640926-AAD7-44D8-BBD7-CCE9431645EC}">
                        <a14:shadowObscured xmlns:a14="http://schemas.microsoft.com/office/drawing/2010/main"/>
                      </a:ext>
                    </a:extLst>
                  </pic:spPr>
                </pic:pic>
              </a:graphicData>
            </a:graphic>
          </wp:inline>
        </w:drawing>
      </w:r>
    </w:p>
    <w:p w:rsidR="00B40359" w:rsidRPr="00A6797D" w:rsidRDefault="00B40359" w:rsidP="00B40359">
      <w:pPr>
        <w:pStyle w:val="Caption"/>
      </w:pPr>
      <w:smartTag w:uri="urn:schemas-microsoft-com:office:smarttags" w:element="place">
        <w:smartTag w:uri="urn:schemas:contacts" w:element="Sn">
          <w:r w:rsidRPr="00A6797D">
            <w:rPr>
              <w:b/>
            </w:rPr>
            <w:t>Figure</w:t>
          </w:r>
        </w:smartTag>
        <w:r w:rsidRPr="00A6797D">
          <w:rPr>
            <w:b/>
          </w:rPr>
          <w:t xml:space="preserve"> </w:t>
        </w:r>
        <w:smartTag w:uri="urn:schemas:contacts" w:element="Sn">
          <w:r>
            <w:rPr>
              <w:b/>
            </w:rPr>
            <w:t>I</w:t>
          </w:r>
          <w:r w:rsidRPr="00A6797D">
            <w:rPr>
              <w:b/>
            </w:rPr>
            <w:t>.</w:t>
          </w:r>
        </w:smartTag>
      </w:smartTag>
      <w:r w:rsidRPr="00AA7E88">
        <w:t xml:space="preserve"> </w:t>
      </w:r>
      <w:r w:rsidRPr="00822303">
        <w:t>Recharge potential and pathway classification applied to the 14 groundwater resource targets</w:t>
      </w:r>
      <w:r>
        <w:t>.</w:t>
      </w:r>
      <w:r w:rsidRPr="00BE08AB">
        <w:t xml:space="preserve"> </w:t>
      </w:r>
      <w:r w:rsidRPr="00B40359">
        <w:rPr>
          <w:i w:val="0"/>
        </w:rPr>
        <w:fldChar w:fldCharType="begin"/>
      </w:r>
      <w:r w:rsidRPr="00B40359">
        <w:rPr>
          <w:i w:val="0"/>
        </w:rPr>
        <w:instrText xml:space="preserve"> TC "</w:instrText>
      </w:r>
      <w:bookmarkStart w:id="39" w:name="_Toc325975193"/>
      <w:bookmarkStart w:id="40" w:name="_Toc390690198"/>
      <w:r w:rsidRPr="00B40359">
        <w:rPr>
          <w:i w:val="0"/>
        </w:rPr>
        <w:instrText>Figure I</w:instrText>
      </w:r>
      <w:r w:rsidR="00497AD3">
        <w:rPr>
          <w:i w:val="0"/>
        </w:rPr>
        <w:instrText>.</w:instrText>
      </w:r>
      <w:r w:rsidRPr="00B40359">
        <w:rPr>
          <w:i w:val="0"/>
        </w:rPr>
        <w:instrText xml:space="preserve"> Recharge potential and pathway classification applied to the 14 groundwater resource targets.</w:instrText>
      </w:r>
      <w:bookmarkEnd w:id="39"/>
      <w:bookmarkEnd w:id="40"/>
      <w:r w:rsidRPr="00B40359">
        <w:rPr>
          <w:i w:val="0"/>
        </w:rPr>
        <w:instrText xml:space="preserve">" \f A \l “4” </w:instrText>
      </w:r>
      <w:r w:rsidRPr="00B40359">
        <w:rPr>
          <w:i w:val="0"/>
        </w:rPr>
        <w:fldChar w:fldCharType="end"/>
      </w:r>
    </w:p>
    <w:p w:rsidR="00B40359" w:rsidRDefault="00B40359" w:rsidP="007A7529">
      <w:pPr>
        <w:spacing w:before="120" w:after="120"/>
        <w:rPr>
          <w:szCs w:val="22"/>
        </w:rPr>
      </w:pPr>
    </w:p>
    <w:p w:rsidR="002028F3" w:rsidRDefault="002028F3" w:rsidP="007A7529">
      <w:pPr>
        <w:spacing w:before="120" w:after="120"/>
        <w:rPr>
          <w:szCs w:val="22"/>
        </w:rPr>
      </w:pPr>
    </w:p>
    <w:p w:rsidR="00154578" w:rsidRDefault="00E57182" w:rsidP="00154578">
      <w:pPr>
        <w:spacing w:before="120" w:after="120"/>
        <w:rPr>
          <w:b/>
          <w:color w:val="3366FF"/>
          <w:sz w:val="32"/>
          <w:szCs w:val="32"/>
          <w:lang w:eastAsia="en-US"/>
        </w:rPr>
      </w:pPr>
      <w:r>
        <w:rPr>
          <w:b/>
          <w:color w:val="3366FF"/>
          <w:sz w:val="32"/>
          <w:szCs w:val="32"/>
          <w:lang w:eastAsia="en-US"/>
        </w:rPr>
        <w:br w:type="page"/>
      </w:r>
      <w:r w:rsidR="00B62601">
        <w:rPr>
          <w:b/>
          <w:color w:val="3366FF"/>
          <w:sz w:val="32"/>
          <w:szCs w:val="32"/>
          <w:lang w:eastAsia="en-US"/>
        </w:rPr>
        <w:lastRenderedPageBreak/>
        <w:t>OPTIONS FOR S</w:t>
      </w:r>
      <w:r w:rsidR="00154578">
        <w:rPr>
          <w:b/>
          <w:color w:val="3366FF"/>
          <w:sz w:val="32"/>
          <w:szCs w:val="32"/>
          <w:lang w:eastAsia="en-US"/>
        </w:rPr>
        <w:t xml:space="preserve">ECURING </w:t>
      </w:r>
      <w:r w:rsidR="00154578" w:rsidRPr="00DD1E35">
        <w:rPr>
          <w:b/>
          <w:color w:val="3366FF"/>
          <w:sz w:val="32"/>
          <w:szCs w:val="32"/>
          <w:lang w:eastAsia="en-US"/>
        </w:rPr>
        <w:t>BROKEN HILL’S WATER S</w:t>
      </w:r>
      <w:r w:rsidR="00154578">
        <w:rPr>
          <w:b/>
          <w:color w:val="3366FF"/>
          <w:sz w:val="32"/>
          <w:szCs w:val="32"/>
          <w:lang w:eastAsia="en-US"/>
        </w:rPr>
        <w:t>UPPLY</w:t>
      </w:r>
    </w:p>
    <w:p w:rsidR="00F32C95" w:rsidRDefault="00F32C95" w:rsidP="00F32C95">
      <w:pPr>
        <w:tabs>
          <w:tab w:val="num" w:pos="2517"/>
        </w:tabs>
        <w:spacing w:before="60"/>
        <w:rPr>
          <w:szCs w:val="22"/>
        </w:rPr>
      </w:pPr>
      <w:r w:rsidRPr="00F326F2">
        <w:rPr>
          <w:szCs w:val="22"/>
        </w:rPr>
        <w:t xml:space="preserve">Investigations to secure Broken Hill’s water supply have identified </w:t>
      </w:r>
      <w:r w:rsidR="00CF637B" w:rsidRPr="00F326F2">
        <w:rPr>
          <w:szCs w:val="22"/>
        </w:rPr>
        <w:t xml:space="preserve">a priority site at Jimargil (EB-J-W), and 3 back-up </w:t>
      </w:r>
      <w:r w:rsidRPr="00F326F2">
        <w:rPr>
          <w:szCs w:val="22"/>
        </w:rPr>
        <w:t>sites</w:t>
      </w:r>
      <w:r w:rsidR="00CF637B" w:rsidRPr="00F326F2">
        <w:rPr>
          <w:szCs w:val="22"/>
        </w:rPr>
        <w:t xml:space="preserve"> within a 20</w:t>
      </w:r>
      <w:r w:rsidR="00A15E21">
        <w:rPr>
          <w:szCs w:val="22"/>
        </w:rPr>
        <w:t xml:space="preserve"> </w:t>
      </w:r>
      <w:r w:rsidR="00CF637B" w:rsidRPr="00F326F2">
        <w:rPr>
          <w:szCs w:val="22"/>
        </w:rPr>
        <w:t xml:space="preserve">km radius of </w:t>
      </w:r>
      <w:r w:rsidR="00C217F0" w:rsidRPr="00F326F2">
        <w:rPr>
          <w:szCs w:val="22"/>
        </w:rPr>
        <w:t xml:space="preserve">Menindee </w:t>
      </w:r>
      <w:r w:rsidR="00CF637B" w:rsidRPr="00F326F2">
        <w:rPr>
          <w:szCs w:val="22"/>
        </w:rPr>
        <w:t xml:space="preserve">(Figure </w:t>
      </w:r>
      <w:r w:rsidR="003803FE" w:rsidRPr="00F326F2">
        <w:rPr>
          <w:szCs w:val="22"/>
        </w:rPr>
        <w:t xml:space="preserve">A and Figure </w:t>
      </w:r>
      <w:r w:rsidR="00B40359" w:rsidRPr="00F326F2">
        <w:rPr>
          <w:szCs w:val="22"/>
        </w:rPr>
        <w:t>J</w:t>
      </w:r>
      <w:r w:rsidR="00CF637B" w:rsidRPr="00F326F2">
        <w:rPr>
          <w:szCs w:val="22"/>
        </w:rPr>
        <w:t xml:space="preserve">). These sites have </w:t>
      </w:r>
      <w:r w:rsidRPr="00F326F2">
        <w:rPr>
          <w:szCs w:val="22"/>
        </w:rPr>
        <w:t xml:space="preserve">a </w:t>
      </w:r>
      <w:r w:rsidR="00CF637B" w:rsidRPr="00F326F2">
        <w:rPr>
          <w:szCs w:val="22"/>
        </w:rPr>
        <w:t xml:space="preserve">range </w:t>
      </w:r>
      <w:r w:rsidRPr="00F326F2">
        <w:rPr>
          <w:szCs w:val="22"/>
        </w:rPr>
        <w:t xml:space="preserve">of </w:t>
      </w:r>
      <w:r w:rsidR="00CF637B" w:rsidRPr="00F326F2">
        <w:rPr>
          <w:szCs w:val="22"/>
        </w:rPr>
        <w:t>MAR and extraction-only options, with varying degrees of technical difficulty and drought security offered by each site and option</w:t>
      </w:r>
      <w:r w:rsidR="00F326F2">
        <w:rPr>
          <w:szCs w:val="22"/>
        </w:rPr>
        <w:t>s</w:t>
      </w:r>
      <w:r w:rsidR="00CF637B" w:rsidRPr="00F326F2">
        <w:rPr>
          <w:szCs w:val="22"/>
        </w:rPr>
        <w:t xml:space="preserve"> within these sites. </w:t>
      </w:r>
      <w:r w:rsidRPr="00F326F2">
        <w:rPr>
          <w:szCs w:val="22"/>
        </w:rPr>
        <w:t xml:space="preserve">All options take a conjunctive approach by combining the continued use of river source water during times of surface water availability, with groundwater extraction during drought conditions. </w:t>
      </w:r>
    </w:p>
    <w:p w:rsidR="00D67CA4" w:rsidRDefault="00D67CA4" w:rsidP="00F32C95">
      <w:pPr>
        <w:tabs>
          <w:tab w:val="num" w:pos="2517"/>
        </w:tabs>
        <w:spacing w:before="60"/>
        <w:rPr>
          <w:szCs w:val="22"/>
        </w:rPr>
      </w:pPr>
    </w:p>
    <w:p w:rsidR="00D67CA4" w:rsidRPr="000D6958" w:rsidRDefault="00D67CA4" w:rsidP="00D67CA4">
      <w:pPr>
        <w:keepNext/>
        <w:tabs>
          <w:tab w:val="num" w:pos="2517"/>
        </w:tabs>
        <w:spacing w:before="240" w:after="120"/>
        <w:rPr>
          <w:b/>
          <w:sz w:val="24"/>
        </w:rPr>
      </w:pPr>
      <w:r w:rsidRPr="000D6958">
        <w:rPr>
          <w:b/>
          <w:sz w:val="24"/>
        </w:rPr>
        <w:t xml:space="preserve">Jimargil Priority </w:t>
      </w:r>
      <w:r>
        <w:rPr>
          <w:b/>
          <w:sz w:val="24"/>
        </w:rPr>
        <w:t xml:space="preserve">Borefield </w:t>
      </w:r>
      <w:r w:rsidRPr="000D6958">
        <w:rPr>
          <w:b/>
          <w:sz w:val="24"/>
        </w:rPr>
        <w:t>Site</w:t>
      </w:r>
      <w:r>
        <w:rPr>
          <w:b/>
          <w:sz w:val="24"/>
        </w:rPr>
        <w:t xml:space="preserve"> </w:t>
      </w:r>
    </w:p>
    <w:p w:rsidR="00D67CA4" w:rsidRDefault="00D67CA4" w:rsidP="00D67CA4">
      <w:pPr>
        <w:keepNext/>
        <w:rPr>
          <w:szCs w:val="22"/>
        </w:rPr>
      </w:pPr>
      <w:r>
        <w:rPr>
          <w:szCs w:val="22"/>
        </w:rPr>
        <w:t>Specifically, the</w:t>
      </w:r>
      <w:r w:rsidRPr="004A4E17">
        <w:rPr>
          <w:szCs w:val="22"/>
        </w:rPr>
        <w:t xml:space="preserve"> </w:t>
      </w:r>
      <w:r>
        <w:rPr>
          <w:szCs w:val="22"/>
        </w:rPr>
        <w:t>project has</w:t>
      </w:r>
      <w:r w:rsidRPr="004A4E17">
        <w:rPr>
          <w:szCs w:val="22"/>
        </w:rPr>
        <w:t xml:space="preserve"> identified a priority site </w:t>
      </w:r>
      <w:r>
        <w:rPr>
          <w:szCs w:val="22"/>
        </w:rPr>
        <w:t>at Jimargil (EB-J-W), 10-15 km SSW of Menindee, which has</w:t>
      </w:r>
      <w:r w:rsidRPr="004A4E17">
        <w:rPr>
          <w:szCs w:val="22"/>
        </w:rPr>
        <w:t xml:space="preserve"> the potential to provide enhanced drought security for Broken </w:t>
      </w:r>
      <w:r w:rsidRPr="002F227D">
        <w:t>Hill</w:t>
      </w:r>
      <w:r>
        <w:rPr>
          <w:szCs w:val="22"/>
        </w:rPr>
        <w:t xml:space="preserve">. The site </w:t>
      </w:r>
      <w:r w:rsidRPr="00026D13">
        <w:rPr>
          <w:szCs w:val="22"/>
        </w:rPr>
        <w:t>contains an excellent aquifer</w:t>
      </w:r>
      <w:r>
        <w:rPr>
          <w:szCs w:val="22"/>
        </w:rPr>
        <w:t xml:space="preserve">, the Calivil Formation, which has a </w:t>
      </w:r>
      <w:r w:rsidRPr="000B4790">
        <w:rPr>
          <w:szCs w:val="22"/>
        </w:rPr>
        <w:t>high storage capacity (Figure H; Table B)</w:t>
      </w:r>
      <w:r>
        <w:rPr>
          <w:szCs w:val="22"/>
        </w:rPr>
        <w:t>. An indicative total storage of 90</w:t>
      </w:r>
      <w:r w:rsidRPr="000B4790">
        <w:rPr>
          <w:szCs w:val="22"/>
        </w:rPr>
        <w:t>-1</w:t>
      </w:r>
      <w:r>
        <w:rPr>
          <w:szCs w:val="22"/>
        </w:rPr>
        <w:t xml:space="preserve">90 </w:t>
      </w:r>
      <w:r w:rsidRPr="000B4790">
        <w:rPr>
          <w:szCs w:val="22"/>
        </w:rPr>
        <w:t xml:space="preserve">GL of fresh-acceptable groundwater and a further </w:t>
      </w:r>
      <w:r>
        <w:rPr>
          <w:szCs w:val="22"/>
        </w:rPr>
        <w:t>20</w:t>
      </w:r>
      <w:r w:rsidRPr="000B4790">
        <w:rPr>
          <w:szCs w:val="22"/>
        </w:rPr>
        <w:t>-</w:t>
      </w:r>
      <w:r>
        <w:rPr>
          <w:szCs w:val="22"/>
        </w:rPr>
        <w:t>5</w:t>
      </w:r>
      <w:r w:rsidRPr="000B4790">
        <w:rPr>
          <w:szCs w:val="22"/>
        </w:rPr>
        <w:t>0</w:t>
      </w:r>
      <w:r>
        <w:rPr>
          <w:szCs w:val="22"/>
        </w:rPr>
        <w:t xml:space="preserve"> </w:t>
      </w:r>
      <w:r w:rsidRPr="000B4790">
        <w:rPr>
          <w:szCs w:val="22"/>
        </w:rPr>
        <w:t xml:space="preserve">GL of brackish groundwater </w:t>
      </w:r>
      <w:r>
        <w:rPr>
          <w:szCs w:val="22"/>
        </w:rPr>
        <w:t>has been estimated for</w:t>
      </w:r>
      <w:r w:rsidRPr="000B4790">
        <w:rPr>
          <w:szCs w:val="22"/>
        </w:rPr>
        <w:t xml:space="preserve"> the </w:t>
      </w:r>
      <w:r>
        <w:rPr>
          <w:szCs w:val="22"/>
        </w:rPr>
        <w:t xml:space="preserve">Calivil Formation </w:t>
      </w:r>
      <w:r w:rsidRPr="000B4790">
        <w:rPr>
          <w:szCs w:val="22"/>
        </w:rPr>
        <w:t>(Table B).</w:t>
      </w:r>
      <w:r>
        <w:rPr>
          <w:szCs w:val="22"/>
        </w:rPr>
        <w:t xml:space="preserve"> This suggests that this is a candidate site with the aquifer storage volumes and recovery efficiencies to warrant further investigations into feasibility of an operational MAR scheme to provide water security for Broken Hill. </w:t>
      </w:r>
    </w:p>
    <w:p w:rsidR="00D67CA4" w:rsidRDefault="00D67CA4" w:rsidP="00D67CA4">
      <w:pPr>
        <w:keepNext/>
        <w:rPr>
          <w:szCs w:val="22"/>
        </w:rPr>
      </w:pPr>
    </w:p>
    <w:p w:rsidR="00D67CA4" w:rsidRPr="00020978" w:rsidRDefault="00D67CA4" w:rsidP="00D67CA4">
      <w:pPr>
        <w:keepNext/>
        <w:rPr>
          <w:szCs w:val="22"/>
        </w:rPr>
      </w:pPr>
      <w:r w:rsidRPr="00026D13">
        <w:rPr>
          <w:szCs w:val="22"/>
        </w:rPr>
        <w:t xml:space="preserve">The aquifer is sandwiched between variably thick </w:t>
      </w:r>
      <w:r>
        <w:rPr>
          <w:szCs w:val="22"/>
        </w:rPr>
        <w:t>mud</w:t>
      </w:r>
      <w:r w:rsidRPr="00026D13">
        <w:rPr>
          <w:szCs w:val="22"/>
        </w:rPr>
        <w:t xml:space="preserve"> aquitards, and over much of the target can be characterised as </w:t>
      </w:r>
      <w:r>
        <w:rPr>
          <w:szCs w:val="22"/>
        </w:rPr>
        <w:t xml:space="preserve">a semi-confined to confined </w:t>
      </w:r>
      <w:r w:rsidRPr="00026D13">
        <w:rPr>
          <w:szCs w:val="22"/>
        </w:rPr>
        <w:t xml:space="preserve">system. </w:t>
      </w:r>
      <w:r>
        <w:rPr>
          <w:szCs w:val="22"/>
        </w:rPr>
        <w:t xml:space="preserve">The aquifer is recharged from the </w:t>
      </w:r>
      <w:smartTag w:uri="urn:schemas-microsoft-com:office:smarttags" w:element="place">
        <w:r>
          <w:rPr>
            <w:szCs w:val="22"/>
          </w:rPr>
          <w:t>Darling River</w:t>
        </w:r>
      </w:smartTag>
      <w:r>
        <w:rPr>
          <w:szCs w:val="22"/>
        </w:rPr>
        <w:t xml:space="preserve"> only during major flood events, with recharge pathways most likely through faults and erosional holes in the confining aquitard. A groundwater response of up to 1.4</w:t>
      </w:r>
      <w:r w:rsidR="00A72012">
        <w:rPr>
          <w:szCs w:val="22"/>
        </w:rPr>
        <w:t xml:space="preserve"> </w:t>
      </w:r>
      <w:r>
        <w:rPr>
          <w:szCs w:val="22"/>
        </w:rPr>
        <w:t xml:space="preserve">m was recorded at Jimargil in response to the 2010/11 floods. </w:t>
      </w:r>
      <w:r w:rsidRPr="00020978">
        <w:rPr>
          <w:szCs w:val="22"/>
        </w:rPr>
        <w:t>The aquifer comprises gravels and coarse sands near the base and fine sands and/or silts towards the top. Sedimentological analysis suggests that</w:t>
      </w:r>
      <w:r w:rsidRPr="00020978">
        <w:t xml:space="preserve"> similar facies/aquifer features can be traced for hundreds of metres between boreholes, with good hydraulic connectivity within these sand bodies and high lateral transmissivities predicted.</w:t>
      </w:r>
    </w:p>
    <w:p w:rsidR="00D67CA4" w:rsidRDefault="00D67CA4" w:rsidP="00D67CA4">
      <w:pPr>
        <w:rPr>
          <w:szCs w:val="22"/>
        </w:rPr>
      </w:pPr>
    </w:p>
    <w:p w:rsidR="00D67CA4" w:rsidRPr="00020978" w:rsidRDefault="00D67CA4" w:rsidP="00D67CA4">
      <w:pPr>
        <w:rPr>
          <w:szCs w:val="22"/>
        </w:rPr>
      </w:pPr>
      <w:r>
        <w:rPr>
          <w:szCs w:val="22"/>
        </w:rPr>
        <w:t xml:space="preserve">Aquifer pump and slug tests, and data from NMR borehole logging, show that there are variable </w:t>
      </w:r>
      <w:r w:rsidRPr="00026D13">
        <w:rPr>
          <w:szCs w:val="22"/>
        </w:rPr>
        <w:t>transmissivities</w:t>
      </w:r>
      <w:r>
        <w:rPr>
          <w:szCs w:val="22"/>
        </w:rPr>
        <w:t xml:space="preserve"> found in the Calivil Formation aquifer, with moderate to high transmissivities (</w:t>
      </w:r>
      <w:r w:rsidRPr="00020978">
        <w:rPr>
          <w:szCs w:val="22"/>
        </w:rPr>
        <w:t>300 and 930 m</w:t>
      </w:r>
      <w:r w:rsidRPr="00A13419">
        <w:rPr>
          <w:szCs w:val="22"/>
          <w:vertAlign w:val="superscript"/>
        </w:rPr>
        <w:t>2</w:t>
      </w:r>
      <w:r w:rsidRPr="00020978">
        <w:rPr>
          <w:szCs w:val="22"/>
        </w:rPr>
        <w:t>/d</w:t>
      </w:r>
      <w:r>
        <w:rPr>
          <w:szCs w:val="22"/>
        </w:rPr>
        <w:t xml:space="preserve">) found in broad palaeochannels. </w:t>
      </w:r>
      <w:r w:rsidRPr="00020978">
        <w:rPr>
          <w:szCs w:val="22"/>
        </w:rPr>
        <w:t xml:space="preserve">These equate to hydraulic </w:t>
      </w:r>
      <w:r w:rsidRPr="000B4790">
        <w:rPr>
          <w:szCs w:val="22"/>
        </w:rPr>
        <w:t>conductivity values of 15 and 28 m/d, and calculated critical drawdown pumping rates of 48 L/s and 128 L/s (Table C). Although these</w:t>
      </w:r>
      <w:r w:rsidRPr="00020978">
        <w:rPr>
          <w:szCs w:val="22"/>
        </w:rPr>
        <w:t xml:space="preserve"> rates will not reflect actual operational pumping rates as the hydraulic analysis does not account for other constraints (such as potential salt mobilisation, well losses, hydraulic barrier boundaries or borehole pumping interference), these values are far higher than indicated from historical data</w:t>
      </w:r>
      <w:r>
        <w:rPr>
          <w:szCs w:val="22"/>
        </w:rPr>
        <w:t xml:space="preserve"> from the area</w:t>
      </w:r>
      <w:r w:rsidRPr="00020978">
        <w:rPr>
          <w:szCs w:val="22"/>
        </w:rPr>
        <w:t xml:space="preserve">. The positive results are attributed to the ability to target higher yielding palaeochannel features using the </w:t>
      </w:r>
      <w:smartTag w:uri="urn:schemas-microsoft-com:office:smarttags" w:element="stockticker">
        <w:r w:rsidRPr="00020978">
          <w:rPr>
            <w:szCs w:val="22"/>
          </w:rPr>
          <w:t>AEM</w:t>
        </w:r>
      </w:smartTag>
      <w:r w:rsidRPr="00020978">
        <w:rPr>
          <w:szCs w:val="22"/>
        </w:rPr>
        <w:t xml:space="preserve"> data. Interpretation of the step drawdown data show that the efficiencies of the two production bores constructed for the tests are high (94% and 85%).This aug</w:t>
      </w:r>
      <w:r>
        <w:rPr>
          <w:szCs w:val="22"/>
        </w:rPr>
        <w:t>u</w:t>
      </w:r>
      <w:r w:rsidRPr="00020978">
        <w:rPr>
          <w:szCs w:val="22"/>
        </w:rPr>
        <w:t xml:space="preserve">rs well for the design and construction of a hydraulically efficient </w:t>
      </w:r>
      <w:smartTag w:uri="urn:schemas-microsoft-com:office:smarttags" w:element="stockticker">
        <w:r w:rsidRPr="00020978">
          <w:rPr>
            <w:szCs w:val="22"/>
          </w:rPr>
          <w:t>MAR</w:t>
        </w:r>
      </w:smartTag>
      <w:r w:rsidRPr="00020978">
        <w:rPr>
          <w:szCs w:val="22"/>
        </w:rPr>
        <w:t xml:space="preserve"> borefield. </w:t>
      </w:r>
    </w:p>
    <w:p w:rsidR="00D67CA4" w:rsidRDefault="00D67CA4" w:rsidP="00D67CA4">
      <w:pPr>
        <w:rPr>
          <w:szCs w:val="22"/>
        </w:rPr>
      </w:pPr>
    </w:p>
    <w:p w:rsidR="00D67CA4" w:rsidRDefault="00D67CA4" w:rsidP="00D67CA4">
      <w:pPr>
        <w:rPr>
          <w:szCs w:val="22"/>
        </w:rPr>
      </w:pPr>
      <w:r>
        <w:rPr>
          <w:szCs w:val="22"/>
        </w:rPr>
        <w:t xml:space="preserve">Three potential water-supply options are identified at this site: (1) </w:t>
      </w:r>
      <w:r w:rsidRPr="003D0EEA">
        <w:rPr>
          <w:szCs w:val="22"/>
        </w:rPr>
        <w:t xml:space="preserve">Aquifer Storage and Recovery (ASR), </w:t>
      </w:r>
      <w:r>
        <w:rPr>
          <w:szCs w:val="22"/>
        </w:rPr>
        <w:t xml:space="preserve">(2) a combination of </w:t>
      </w:r>
      <w:r w:rsidRPr="003D0EEA">
        <w:rPr>
          <w:szCs w:val="22"/>
        </w:rPr>
        <w:t xml:space="preserve">bank filtration </w:t>
      </w:r>
      <w:r>
        <w:rPr>
          <w:szCs w:val="22"/>
        </w:rPr>
        <w:t>and ASR</w:t>
      </w:r>
      <w:r w:rsidRPr="003D0EEA">
        <w:rPr>
          <w:szCs w:val="22"/>
        </w:rPr>
        <w:t xml:space="preserve">, and </w:t>
      </w:r>
      <w:r>
        <w:rPr>
          <w:szCs w:val="22"/>
        </w:rPr>
        <w:t xml:space="preserve">(3) </w:t>
      </w:r>
      <w:r w:rsidRPr="003D0EEA">
        <w:rPr>
          <w:szCs w:val="22"/>
        </w:rPr>
        <w:t xml:space="preserve">groundwater extraction. </w:t>
      </w:r>
      <w:r>
        <w:rPr>
          <w:szCs w:val="22"/>
        </w:rPr>
        <w:t>ASR would involve</w:t>
      </w:r>
      <w:r w:rsidRPr="00FC0827">
        <w:rPr>
          <w:szCs w:val="22"/>
        </w:rPr>
        <w:t xml:space="preserve"> injection</w:t>
      </w:r>
      <w:r>
        <w:rPr>
          <w:szCs w:val="22"/>
        </w:rPr>
        <w:t xml:space="preserve">, via bores, </w:t>
      </w:r>
      <w:r w:rsidRPr="00FC0827">
        <w:rPr>
          <w:szCs w:val="22"/>
        </w:rPr>
        <w:t xml:space="preserve">of </w:t>
      </w:r>
      <w:r>
        <w:rPr>
          <w:szCs w:val="22"/>
        </w:rPr>
        <w:t xml:space="preserve">treated surface water into the Calivil Formation </w:t>
      </w:r>
      <w:r w:rsidRPr="00FC0827">
        <w:rPr>
          <w:szCs w:val="22"/>
        </w:rPr>
        <w:t>aquifer</w:t>
      </w:r>
      <w:r>
        <w:rPr>
          <w:szCs w:val="22"/>
        </w:rPr>
        <w:t xml:space="preserve"> for the purpose of water storage</w:t>
      </w:r>
      <w:r w:rsidRPr="00FC0827">
        <w:rPr>
          <w:szCs w:val="22"/>
        </w:rPr>
        <w:t xml:space="preserve">, </w:t>
      </w:r>
      <w:r>
        <w:rPr>
          <w:szCs w:val="22"/>
        </w:rPr>
        <w:t>with</w:t>
      </w:r>
      <w:r w:rsidRPr="00FC0827">
        <w:rPr>
          <w:szCs w:val="22"/>
        </w:rPr>
        <w:t xml:space="preserve"> </w:t>
      </w:r>
      <w:r>
        <w:rPr>
          <w:szCs w:val="22"/>
        </w:rPr>
        <w:t xml:space="preserve">later </w:t>
      </w:r>
      <w:r w:rsidRPr="00FC0827">
        <w:rPr>
          <w:szCs w:val="22"/>
        </w:rPr>
        <w:t xml:space="preserve">recovery </w:t>
      </w:r>
      <w:r>
        <w:rPr>
          <w:szCs w:val="22"/>
        </w:rPr>
        <w:t xml:space="preserve">of the water from the same bores. Surface water is effectively used during periods of good river/lake conditions to create a drought reserve in the aquifer. Bank filtration involves pumping from near-river shallow bores to induce river leakage during high river flows. This provides the opportunity for the adsorptive capacity of the shallow aquifer to remove impurities (such as suspended solids, nutrients or pathogens). This has the potential of offsetting treatment costs of source water prior to ASR injection, although a large number of bores would be required, and/or horizontal drilling to maximise yields. Relatively low yields from bores in the unconfined aquifer mean that many bores, or perhaps a series of horizontal bores, would be required to provide acceptable yields from bank filtration. The third option of groundwater extraction is simply withdrawing water from an aquifer for immediate use, without any activities or infrastructure to enhance natural recharge and minimise any negative impacts of groundwater level drawdown. </w:t>
      </w:r>
    </w:p>
    <w:p w:rsidR="00D67CA4" w:rsidRDefault="00D67CA4" w:rsidP="00F32C95">
      <w:pPr>
        <w:tabs>
          <w:tab w:val="num" w:pos="2517"/>
        </w:tabs>
        <w:spacing w:before="60"/>
        <w:rPr>
          <w:szCs w:val="22"/>
        </w:rPr>
      </w:pPr>
    </w:p>
    <w:p w:rsidR="00ED6235" w:rsidRDefault="00ED6235" w:rsidP="00F32C95">
      <w:pPr>
        <w:tabs>
          <w:tab w:val="num" w:pos="2517"/>
        </w:tabs>
        <w:spacing w:before="60"/>
        <w:rPr>
          <w:szCs w:val="22"/>
        </w:rPr>
      </w:pPr>
    </w:p>
    <w:p w:rsidR="00ED6235" w:rsidRPr="00F326F2" w:rsidRDefault="00ED6235" w:rsidP="00F32C95">
      <w:pPr>
        <w:tabs>
          <w:tab w:val="num" w:pos="2517"/>
        </w:tabs>
        <w:spacing w:before="60"/>
        <w:rPr>
          <w:szCs w:val="22"/>
        </w:rPr>
      </w:pPr>
    </w:p>
    <w:p w:rsidR="00E57182" w:rsidRPr="00C0765F" w:rsidRDefault="00706A3B" w:rsidP="007D5510">
      <w:pPr>
        <w:tabs>
          <w:tab w:val="num" w:pos="2517"/>
        </w:tabs>
        <w:spacing w:before="120" w:after="60"/>
        <w:jc w:val="center"/>
        <w:rPr>
          <w:sz w:val="21"/>
          <w:szCs w:val="21"/>
        </w:rPr>
      </w:pPr>
      <w:r>
        <w:rPr>
          <w:noProof/>
          <w:sz w:val="21"/>
          <w:szCs w:val="21"/>
        </w:rPr>
        <w:drawing>
          <wp:inline distT="0" distB="0" distL="0" distR="0" wp14:anchorId="5DC83182" wp14:editId="64203FA9">
            <wp:extent cx="5986145" cy="7698105"/>
            <wp:effectExtent l="19050" t="19050" r="0" b="0"/>
            <wp:docPr id="16" name="Picture 16" descr="Fig0J_56_20kmZone_WQ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0J_56_20kmZone_WQ_all"/>
                    <pic:cNvPicPr>
                      <a:picLocks noChangeAspect="1" noChangeArrowheads="1"/>
                    </pic:cNvPicPr>
                  </pic:nvPicPr>
                  <pic:blipFill>
                    <a:blip r:embed="rId32" cstate="print">
                      <a:extLst>
                        <a:ext uri="{28A0092B-C50C-407E-A947-70E740481C1C}">
                          <a14:useLocalDpi xmlns:a14="http://schemas.microsoft.com/office/drawing/2010/main" val="0"/>
                        </a:ext>
                      </a:extLst>
                    </a:blip>
                    <a:srcRect l="8972" t="6784" r="9415" b="19215"/>
                    <a:stretch>
                      <a:fillRect/>
                    </a:stretch>
                  </pic:blipFill>
                  <pic:spPr bwMode="auto">
                    <a:xfrm>
                      <a:off x="0" y="0"/>
                      <a:ext cx="5986145" cy="7698105"/>
                    </a:xfrm>
                    <a:prstGeom prst="rect">
                      <a:avLst/>
                    </a:prstGeom>
                    <a:noFill/>
                    <a:ln w="12700" cmpd="sng">
                      <a:solidFill>
                        <a:srgbClr val="000000"/>
                      </a:solidFill>
                      <a:miter lim="800000"/>
                      <a:headEnd/>
                      <a:tailEnd/>
                    </a:ln>
                    <a:effectLst/>
                  </pic:spPr>
                </pic:pic>
              </a:graphicData>
            </a:graphic>
          </wp:inline>
        </w:drawing>
      </w:r>
    </w:p>
    <w:p w:rsidR="005D028D" w:rsidRDefault="00E57182" w:rsidP="00ED6235">
      <w:pPr>
        <w:pStyle w:val="Caption"/>
      </w:pPr>
      <w:r w:rsidRPr="00666EC0">
        <w:rPr>
          <w:b/>
        </w:rPr>
        <w:t xml:space="preserve">Figure </w:t>
      </w:r>
      <w:r w:rsidR="00B40359">
        <w:rPr>
          <w:b/>
        </w:rPr>
        <w:t>J</w:t>
      </w:r>
      <w:r w:rsidRPr="00666EC0">
        <w:rPr>
          <w:b/>
        </w:rPr>
        <w:t>.</w:t>
      </w:r>
      <w:r>
        <w:t xml:space="preserve"> </w:t>
      </w:r>
      <w:r w:rsidR="008743D2">
        <w:t>Predicted g</w:t>
      </w:r>
      <w:r w:rsidR="0069045C">
        <w:t xml:space="preserve">roundwater salinity </w:t>
      </w:r>
      <w:r w:rsidR="004D44CA">
        <w:t>for the 43.5-51.5</w:t>
      </w:r>
      <w:r w:rsidR="00A72012">
        <w:t xml:space="preserve"> </w:t>
      </w:r>
      <w:r w:rsidR="004D44CA">
        <w:t xml:space="preserve">m depth slice </w:t>
      </w:r>
      <w:r w:rsidR="0069045C">
        <w:t xml:space="preserve">derived from drilling data integrated with the </w:t>
      </w:r>
      <w:r w:rsidR="004D44CA">
        <w:t>AEM conductivity</w:t>
      </w:r>
      <w:r w:rsidR="0069045C">
        <w:t>. The location of the priority Jimargil site (EB-J-W) and the other back-up sites within 20</w:t>
      </w:r>
      <w:r w:rsidR="006748C2">
        <w:t xml:space="preserve"> </w:t>
      </w:r>
      <w:r w:rsidR="0069045C">
        <w:t xml:space="preserve">km of </w:t>
      </w:r>
      <w:r w:rsidR="00C217F0">
        <w:t xml:space="preserve">Menindee </w:t>
      </w:r>
      <w:r w:rsidR="0069045C">
        <w:t>is shown.</w:t>
      </w:r>
      <w:r w:rsidR="00465915">
        <w:t xml:space="preserve"> </w:t>
      </w:r>
      <w:r w:rsidRPr="006B2AA4">
        <w:rPr>
          <w:bCs w:val="0"/>
          <w:i w:val="0"/>
        </w:rPr>
        <w:fldChar w:fldCharType="begin"/>
      </w:r>
      <w:r w:rsidRPr="006B2AA4">
        <w:rPr>
          <w:bCs w:val="0"/>
          <w:i w:val="0"/>
        </w:rPr>
        <w:instrText xml:space="preserve"> TC "</w:instrText>
      </w:r>
      <w:bookmarkStart w:id="41" w:name="_Toc325975194"/>
      <w:bookmarkStart w:id="42" w:name="_Toc390690199"/>
      <w:r w:rsidRPr="006B2AA4">
        <w:rPr>
          <w:bCs w:val="0"/>
          <w:i w:val="0"/>
        </w:rPr>
        <w:instrText xml:space="preserve">Figure </w:instrText>
      </w:r>
      <w:r w:rsidR="000B4790" w:rsidRPr="006B2AA4">
        <w:rPr>
          <w:bCs w:val="0"/>
          <w:i w:val="0"/>
        </w:rPr>
        <w:instrText>J</w:instrText>
      </w:r>
      <w:r w:rsidR="0069045C" w:rsidRPr="006B2AA4">
        <w:rPr>
          <w:bCs w:val="0"/>
          <w:i w:val="0"/>
        </w:rPr>
        <w:instrText xml:space="preserve">. </w:instrText>
      </w:r>
      <w:r w:rsidR="008743D2">
        <w:rPr>
          <w:i w:val="0"/>
        </w:rPr>
        <w:instrText xml:space="preserve">Predicted </w:instrText>
      </w:r>
      <w:r w:rsidR="0069045C" w:rsidRPr="006B2AA4">
        <w:rPr>
          <w:i w:val="0"/>
        </w:rPr>
        <w:instrText xml:space="preserve">groundwater salinity </w:instrText>
      </w:r>
      <w:r w:rsidR="004D44CA">
        <w:rPr>
          <w:i w:val="0"/>
        </w:rPr>
        <w:instrText>for the 43.5-51.5m depth slice within 20km of Menindee</w:instrText>
      </w:r>
      <w:r w:rsidR="0069045C" w:rsidRPr="006B2AA4">
        <w:rPr>
          <w:i w:val="0"/>
        </w:rPr>
        <w:instrText>.</w:instrText>
      </w:r>
      <w:bookmarkEnd w:id="41"/>
      <w:bookmarkEnd w:id="42"/>
      <w:r w:rsidR="0069045C" w:rsidRPr="006B2AA4">
        <w:rPr>
          <w:i w:val="0"/>
        </w:rPr>
        <w:instrText xml:space="preserve"> </w:instrText>
      </w:r>
      <w:r w:rsidRPr="006B2AA4">
        <w:rPr>
          <w:bCs w:val="0"/>
          <w:i w:val="0"/>
        </w:rPr>
        <w:instrText xml:space="preserve">" \f A \l “4” </w:instrText>
      </w:r>
      <w:r w:rsidRPr="006B2AA4">
        <w:rPr>
          <w:bCs w:val="0"/>
          <w:i w:val="0"/>
        </w:rPr>
        <w:fldChar w:fldCharType="end"/>
      </w:r>
    </w:p>
    <w:p w:rsidR="00DF525C" w:rsidRDefault="00DF525C" w:rsidP="0003283C">
      <w:pPr>
        <w:rPr>
          <w:szCs w:val="22"/>
        </w:rPr>
      </w:pPr>
    </w:p>
    <w:p w:rsidR="00DF525C" w:rsidRDefault="00DF525C" w:rsidP="0003283C">
      <w:pPr>
        <w:rPr>
          <w:szCs w:val="22"/>
        </w:rPr>
      </w:pPr>
    </w:p>
    <w:p w:rsidR="00DF525C" w:rsidRDefault="00DF525C" w:rsidP="0003283C">
      <w:pPr>
        <w:rPr>
          <w:szCs w:val="22"/>
        </w:rPr>
      </w:pPr>
    </w:p>
    <w:p w:rsidR="0003283C" w:rsidRDefault="0003283C" w:rsidP="0003283C">
      <w:pPr>
        <w:rPr>
          <w:szCs w:val="22"/>
        </w:rPr>
      </w:pPr>
      <w:r w:rsidRPr="003D0EEA">
        <w:rPr>
          <w:szCs w:val="22"/>
        </w:rPr>
        <w:lastRenderedPageBreak/>
        <w:t xml:space="preserve">All </w:t>
      </w:r>
      <w:r w:rsidR="005D028D">
        <w:rPr>
          <w:szCs w:val="22"/>
        </w:rPr>
        <w:t xml:space="preserve">groundwater-related </w:t>
      </w:r>
      <w:r w:rsidRPr="003D0EEA">
        <w:rPr>
          <w:szCs w:val="22"/>
        </w:rPr>
        <w:t xml:space="preserve">options utilise the </w:t>
      </w:r>
      <w:r w:rsidR="00C217F0">
        <w:rPr>
          <w:szCs w:val="22"/>
        </w:rPr>
        <w:t>Calivil Formation</w:t>
      </w:r>
      <w:r w:rsidRPr="003D0EEA">
        <w:rPr>
          <w:szCs w:val="22"/>
        </w:rPr>
        <w:t xml:space="preserve"> aquifer.</w:t>
      </w:r>
      <w:r>
        <w:rPr>
          <w:szCs w:val="22"/>
        </w:rPr>
        <w:t xml:space="preserve"> </w:t>
      </w:r>
      <w:r w:rsidRPr="003D0EEA">
        <w:rPr>
          <w:szCs w:val="22"/>
        </w:rPr>
        <w:t xml:space="preserve">Cost-benefit and technical feasibility studies are required to confirm which options would be the most appropriate at this site. However, risk assessments using national MAR and drinking water quality guidelines have found that ASR would provide significant long-term drought security (&gt; 3 years), with high recovery efficiencies (&gt;90%) achieved. The main risks associated with ASR are biological, physical and chemical clogging related to the mixing of oxygenated river source water with more reduced ambient groundwater. ASR at this site has a moderate to high technical risk due to the pioneering nature of the project, which is without precedent in </w:t>
      </w:r>
      <w:smartTag w:uri="urn:schemas-microsoft-com:office:smarttags" w:element="place">
        <w:smartTag w:uri="urn:schemas-microsoft-com:office:smarttags" w:element="country-region">
          <w:r w:rsidRPr="003D0EEA">
            <w:rPr>
              <w:szCs w:val="22"/>
            </w:rPr>
            <w:t>Australia</w:t>
          </w:r>
        </w:smartTag>
      </w:smartTag>
      <w:r w:rsidRPr="003D0EEA">
        <w:rPr>
          <w:szCs w:val="22"/>
        </w:rPr>
        <w:t>. However, residual risks have been assessed as low for human health and the environment if the supplementary treatment trains are included.</w:t>
      </w:r>
    </w:p>
    <w:p w:rsidR="0003283C" w:rsidRPr="004A4E17" w:rsidRDefault="0003283C" w:rsidP="0003283C">
      <w:pPr>
        <w:rPr>
          <w:szCs w:val="22"/>
        </w:rPr>
      </w:pPr>
    </w:p>
    <w:p w:rsidR="0003283C" w:rsidRDefault="00F8030A" w:rsidP="0003283C">
      <w:pPr>
        <w:rPr>
          <w:szCs w:val="22"/>
        </w:rPr>
      </w:pPr>
      <w:r>
        <w:rPr>
          <w:szCs w:val="22"/>
        </w:rPr>
        <w:t>The overall c</w:t>
      </w:r>
      <w:r w:rsidR="0003283C" w:rsidRPr="003D0EEA">
        <w:rPr>
          <w:szCs w:val="22"/>
        </w:rPr>
        <w:t xml:space="preserve">osts associated with </w:t>
      </w:r>
      <w:r>
        <w:rPr>
          <w:szCs w:val="22"/>
        </w:rPr>
        <w:t>combining ASR with bank filtration c</w:t>
      </w:r>
      <w:r w:rsidR="0003283C" w:rsidRPr="003D0EEA">
        <w:rPr>
          <w:szCs w:val="22"/>
        </w:rPr>
        <w:t xml:space="preserve">ould be lower than </w:t>
      </w:r>
      <w:r>
        <w:rPr>
          <w:szCs w:val="22"/>
        </w:rPr>
        <w:t xml:space="preserve">the </w:t>
      </w:r>
      <w:r w:rsidR="0003283C" w:rsidRPr="003D0EEA">
        <w:rPr>
          <w:szCs w:val="22"/>
        </w:rPr>
        <w:t>ASR</w:t>
      </w:r>
      <w:r>
        <w:rPr>
          <w:szCs w:val="22"/>
        </w:rPr>
        <w:t>-only option</w:t>
      </w:r>
      <w:r w:rsidR="0003283C" w:rsidRPr="003D0EEA">
        <w:rPr>
          <w:szCs w:val="22"/>
        </w:rPr>
        <w:t xml:space="preserve"> due to </w:t>
      </w:r>
      <w:r>
        <w:rPr>
          <w:szCs w:val="22"/>
        </w:rPr>
        <w:t>incorporating</w:t>
      </w:r>
      <w:r w:rsidR="0003283C" w:rsidRPr="003D0EEA">
        <w:rPr>
          <w:szCs w:val="22"/>
        </w:rPr>
        <w:t xml:space="preserve"> natural filtration processes to treat the </w:t>
      </w:r>
      <w:r>
        <w:rPr>
          <w:szCs w:val="22"/>
        </w:rPr>
        <w:t xml:space="preserve">source </w:t>
      </w:r>
      <w:r w:rsidR="0003283C" w:rsidRPr="003D0EEA">
        <w:rPr>
          <w:szCs w:val="22"/>
        </w:rPr>
        <w:t>water</w:t>
      </w:r>
      <w:r>
        <w:rPr>
          <w:szCs w:val="22"/>
        </w:rPr>
        <w:t xml:space="preserve"> prior to ASR injection.</w:t>
      </w:r>
      <w:r w:rsidR="0003283C" w:rsidRPr="003D0EEA">
        <w:rPr>
          <w:szCs w:val="22"/>
        </w:rPr>
        <w:t xml:space="preserve"> </w:t>
      </w:r>
      <w:r>
        <w:rPr>
          <w:szCs w:val="22"/>
        </w:rPr>
        <w:t>H</w:t>
      </w:r>
      <w:r w:rsidR="0003283C" w:rsidRPr="003D0EEA">
        <w:rPr>
          <w:szCs w:val="22"/>
        </w:rPr>
        <w:t xml:space="preserve">owever, risks of negative environmental consequences </w:t>
      </w:r>
      <w:r w:rsidR="0003283C">
        <w:rPr>
          <w:szCs w:val="22"/>
        </w:rPr>
        <w:t>would be</w:t>
      </w:r>
      <w:r w:rsidR="0003283C" w:rsidRPr="003D0EEA">
        <w:rPr>
          <w:szCs w:val="22"/>
        </w:rPr>
        <w:t xml:space="preserve"> higher due to potential impacts on the </w:t>
      </w:r>
      <w:r>
        <w:rPr>
          <w:szCs w:val="22"/>
        </w:rPr>
        <w:t>shallow</w:t>
      </w:r>
      <w:r w:rsidRPr="003D0EEA">
        <w:rPr>
          <w:szCs w:val="22"/>
        </w:rPr>
        <w:t xml:space="preserve"> </w:t>
      </w:r>
      <w:r w:rsidR="0003283C" w:rsidRPr="003D0EEA">
        <w:rPr>
          <w:szCs w:val="22"/>
        </w:rPr>
        <w:t xml:space="preserve">unconfined aquifer and </w:t>
      </w:r>
      <w:r>
        <w:rPr>
          <w:szCs w:val="22"/>
        </w:rPr>
        <w:t xml:space="preserve">any </w:t>
      </w:r>
      <w:r w:rsidR="0003283C" w:rsidRPr="003D0EEA">
        <w:rPr>
          <w:szCs w:val="22"/>
        </w:rPr>
        <w:t xml:space="preserve">groundwater dependent vegetation. </w:t>
      </w:r>
      <w:r w:rsidR="00D46B5A">
        <w:rPr>
          <w:szCs w:val="22"/>
        </w:rPr>
        <w:t xml:space="preserve">Limitations in the duration of pumping during high flows, saturated storage and transmissivity in the shallow aquifer and pump site flood inundation are factors for consideration. </w:t>
      </w:r>
      <w:r w:rsidR="0003283C" w:rsidRPr="003D0EEA">
        <w:rPr>
          <w:szCs w:val="22"/>
        </w:rPr>
        <w:t xml:space="preserve">Further aquifer testing and numerical groundwater modelling are required to evaluate this option fully. </w:t>
      </w:r>
    </w:p>
    <w:p w:rsidR="0003283C" w:rsidRPr="003D0EEA" w:rsidRDefault="0003283C" w:rsidP="0003283C">
      <w:pPr>
        <w:rPr>
          <w:szCs w:val="22"/>
        </w:rPr>
      </w:pPr>
    </w:p>
    <w:p w:rsidR="001D5ABC" w:rsidRPr="001D5ABC" w:rsidRDefault="0003283C" w:rsidP="001D5ABC">
      <w:pPr>
        <w:rPr>
          <w:szCs w:val="22"/>
        </w:rPr>
      </w:pPr>
      <w:smartTag w:uri="urn:schemas-microsoft-com:office:smarttags" w:element="PersonName">
        <w:r w:rsidRPr="003D0EEA">
          <w:t>Groundwater</w:t>
        </w:r>
      </w:smartTag>
      <w:r w:rsidRPr="003D0EEA">
        <w:t xml:space="preserve"> extraction </w:t>
      </w:r>
      <w:r>
        <w:t xml:space="preserve">at this site </w:t>
      </w:r>
      <w:r w:rsidRPr="003D0EEA">
        <w:t xml:space="preserve">would deliver a measure of drought security, and may have lower capital and initial treatment costs than ASR or bank filtration. However, numerical groundwater </w:t>
      </w:r>
      <w:r w:rsidR="00F25A1E">
        <w:t xml:space="preserve">flow </w:t>
      </w:r>
      <w:r w:rsidRPr="003D0EEA">
        <w:t xml:space="preserve">modelling is required to determine the duration and rates of </w:t>
      </w:r>
      <w:r w:rsidR="00D46B5A">
        <w:t xml:space="preserve">temporary </w:t>
      </w:r>
      <w:r w:rsidRPr="003D0EEA">
        <w:t>supply possible from this site, and to assess potential environmental impacts from prolonged extraction during drought conditions</w:t>
      </w:r>
      <w:r w:rsidR="009E5DE0">
        <w:t xml:space="preserve">. </w:t>
      </w:r>
      <w:r w:rsidR="00D46B5A">
        <w:t>Recharge is inferred to be minimal during drought periods of low-flow river conditio</w:t>
      </w:r>
      <w:r w:rsidR="00497AD3">
        <w:t xml:space="preserve">ns and groundwater extraction. </w:t>
      </w:r>
      <w:r w:rsidR="00D46B5A">
        <w:t>Hence, b</w:t>
      </w:r>
      <w:r w:rsidRPr="003D0EEA">
        <w:t xml:space="preserve">orefield design and operation would need to be optimised in order to delay the onset of salinity ingress and up-coning, with groundwater </w:t>
      </w:r>
      <w:r w:rsidR="00FA0031">
        <w:t xml:space="preserve">flow and solute transport </w:t>
      </w:r>
      <w:r w:rsidRPr="003D0EEA">
        <w:t>modelling required to predict salinisation and exceed</w:t>
      </w:r>
      <w:r w:rsidR="00D23F26">
        <w:t>a</w:t>
      </w:r>
      <w:r w:rsidRPr="003D0EEA">
        <w:t>nces of metals and metalloids with respect to ADWG</w:t>
      </w:r>
      <w:r w:rsidR="00B81A6B">
        <w:t>2011</w:t>
      </w:r>
      <w:r w:rsidRPr="003D0EEA">
        <w:t xml:space="preserve"> thresholds.</w:t>
      </w:r>
    </w:p>
    <w:p w:rsidR="00256855" w:rsidRDefault="00256855" w:rsidP="0003283C">
      <w:pPr>
        <w:pStyle w:val="BodyText1"/>
        <w:spacing w:before="240" w:after="0" w:line="240" w:lineRule="auto"/>
        <w:jc w:val="center"/>
        <w:rPr>
          <w:rFonts w:cs="Angsana New"/>
          <w:lang w:eastAsia="zh-CN" w:bidi="th-TH"/>
        </w:rPr>
      </w:pPr>
    </w:p>
    <w:p w:rsidR="0003283C" w:rsidRDefault="00706A3B" w:rsidP="007D5510">
      <w:pPr>
        <w:pStyle w:val="BodyText1"/>
        <w:spacing w:before="240" w:after="60" w:line="240" w:lineRule="auto"/>
        <w:jc w:val="center"/>
        <w:rPr>
          <w:rFonts w:cs="Angsana New"/>
          <w:lang w:eastAsia="zh-CN" w:bidi="th-TH"/>
        </w:rPr>
      </w:pPr>
      <w:r>
        <w:rPr>
          <w:rFonts w:cs="Angsana New"/>
          <w:noProof/>
        </w:rPr>
        <w:lastRenderedPageBreak/>
        <w:drawing>
          <wp:inline distT="0" distB="0" distL="0" distR="0" wp14:anchorId="443724C4" wp14:editId="128A3C09">
            <wp:extent cx="5996940" cy="7559675"/>
            <wp:effectExtent l="19050" t="19050" r="3810" b="3175"/>
            <wp:docPr id="17" name="Picture 17" descr="Fig0K_41_Jimargil_WQ_cali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0K_41_Jimargil_WQ_calivil"/>
                    <pic:cNvPicPr>
                      <a:picLocks noChangeAspect="1" noChangeArrowheads="1"/>
                    </pic:cNvPicPr>
                  </pic:nvPicPr>
                  <pic:blipFill>
                    <a:blip r:embed="rId33" cstate="print">
                      <a:extLst>
                        <a:ext uri="{28A0092B-C50C-407E-A947-70E740481C1C}">
                          <a14:useLocalDpi xmlns:a14="http://schemas.microsoft.com/office/drawing/2010/main" val="0"/>
                        </a:ext>
                      </a:extLst>
                    </a:blip>
                    <a:srcRect l="8972" t="6564" r="9415" b="20758"/>
                    <a:stretch>
                      <a:fillRect/>
                    </a:stretch>
                  </pic:blipFill>
                  <pic:spPr bwMode="auto">
                    <a:xfrm>
                      <a:off x="0" y="0"/>
                      <a:ext cx="5996940" cy="7559675"/>
                    </a:xfrm>
                    <a:prstGeom prst="rect">
                      <a:avLst/>
                    </a:prstGeom>
                    <a:noFill/>
                    <a:ln w="12700" cmpd="sng">
                      <a:solidFill>
                        <a:srgbClr val="000000"/>
                      </a:solidFill>
                      <a:miter lim="800000"/>
                      <a:headEnd/>
                      <a:tailEnd/>
                    </a:ln>
                    <a:effectLst/>
                  </pic:spPr>
                </pic:pic>
              </a:graphicData>
            </a:graphic>
          </wp:inline>
        </w:drawing>
      </w:r>
    </w:p>
    <w:p w:rsidR="0003283C" w:rsidRPr="006B2AA4" w:rsidRDefault="0003283C" w:rsidP="0003283C">
      <w:pPr>
        <w:pStyle w:val="Caption"/>
        <w:rPr>
          <w:i w:val="0"/>
        </w:rPr>
      </w:pPr>
      <w:bookmarkStart w:id="43" w:name="_Ref325542131"/>
      <w:r w:rsidRPr="00666EC0">
        <w:rPr>
          <w:b/>
        </w:rPr>
        <w:t xml:space="preserve">Figure </w:t>
      </w:r>
      <w:bookmarkEnd w:id="43"/>
      <w:r>
        <w:rPr>
          <w:b/>
        </w:rPr>
        <w:t>K</w:t>
      </w:r>
      <w:r w:rsidRPr="00666EC0">
        <w:rPr>
          <w:b/>
        </w:rPr>
        <w:t>.</w:t>
      </w:r>
      <w:r>
        <w:t xml:space="preserve"> </w:t>
      </w:r>
      <w:r w:rsidR="008743D2">
        <w:t>Predicted g</w:t>
      </w:r>
      <w:r>
        <w:t xml:space="preserve">roundwater </w:t>
      </w:r>
      <w:r w:rsidR="008743D2">
        <w:t>salinity</w:t>
      </w:r>
      <w:r>
        <w:t xml:space="preserve"> within the </w:t>
      </w:r>
      <w:r w:rsidR="00C217F0">
        <w:t>Calivil Formation</w:t>
      </w:r>
      <w:r>
        <w:t xml:space="preserve"> aquifer at depths of 43.5–51.5 m</w:t>
      </w:r>
      <w:r w:rsidR="004D44CA">
        <w:t xml:space="preserve"> for the Jimargil site</w:t>
      </w:r>
      <w:r>
        <w:t>. A number of proposed pipeline routes are also shown.</w:t>
      </w:r>
      <w:r w:rsidRPr="00BE08AB">
        <w:rPr>
          <w:bCs w:val="0"/>
          <w:i w:val="0"/>
        </w:rPr>
        <w:t xml:space="preserve"> </w:t>
      </w:r>
      <w:r w:rsidRPr="006B2AA4">
        <w:rPr>
          <w:bCs w:val="0"/>
          <w:i w:val="0"/>
        </w:rPr>
        <w:fldChar w:fldCharType="begin"/>
      </w:r>
      <w:r w:rsidRPr="006B2AA4">
        <w:rPr>
          <w:bCs w:val="0"/>
          <w:i w:val="0"/>
        </w:rPr>
        <w:instrText xml:space="preserve"> TC "</w:instrText>
      </w:r>
      <w:bookmarkStart w:id="44" w:name="_Toc325975195"/>
      <w:bookmarkStart w:id="45" w:name="_Toc390690200"/>
      <w:r w:rsidR="00497AD3">
        <w:rPr>
          <w:bCs w:val="0"/>
          <w:i w:val="0"/>
        </w:rPr>
        <w:instrText>Figure K.</w:instrText>
      </w:r>
      <w:r w:rsidRPr="006B2AA4">
        <w:rPr>
          <w:bCs w:val="0"/>
          <w:i w:val="0"/>
        </w:rPr>
        <w:instrText xml:space="preserve"> </w:instrText>
      </w:r>
      <w:r w:rsidR="008743D2">
        <w:rPr>
          <w:i w:val="0"/>
        </w:rPr>
        <w:instrText>Predicted g</w:instrText>
      </w:r>
      <w:r w:rsidRPr="006B2AA4">
        <w:rPr>
          <w:i w:val="0"/>
        </w:rPr>
        <w:instrText xml:space="preserve">roundwater </w:instrText>
      </w:r>
      <w:r w:rsidR="008743D2">
        <w:rPr>
          <w:i w:val="0"/>
        </w:rPr>
        <w:instrText>salinit</w:instrText>
      </w:r>
      <w:r w:rsidRPr="006B2AA4">
        <w:rPr>
          <w:i w:val="0"/>
        </w:rPr>
        <w:instrText xml:space="preserve">y </w:instrText>
      </w:r>
      <w:r w:rsidR="004D44CA">
        <w:rPr>
          <w:i w:val="0"/>
        </w:rPr>
        <w:instrText xml:space="preserve">for the </w:instrText>
      </w:r>
      <w:r w:rsidRPr="006B2AA4">
        <w:rPr>
          <w:i w:val="0"/>
        </w:rPr>
        <w:instrText>43.5–51.5m</w:instrText>
      </w:r>
      <w:bookmarkEnd w:id="44"/>
      <w:r w:rsidR="004D44CA">
        <w:rPr>
          <w:i w:val="0"/>
        </w:rPr>
        <w:instrText xml:space="preserve"> depth slice at the Jimargil site</w:instrText>
      </w:r>
      <w:bookmarkEnd w:id="45"/>
      <w:r w:rsidRPr="006B2AA4">
        <w:rPr>
          <w:bCs w:val="0"/>
          <w:i w:val="0"/>
        </w:rPr>
        <w:instrText xml:space="preserve">" \f A \l “4” </w:instrText>
      </w:r>
      <w:r w:rsidRPr="006B2AA4">
        <w:rPr>
          <w:bCs w:val="0"/>
          <w:i w:val="0"/>
        </w:rPr>
        <w:fldChar w:fldCharType="end"/>
      </w:r>
    </w:p>
    <w:p w:rsidR="00D35ACA" w:rsidRDefault="00D35ACA" w:rsidP="004A48E6">
      <w:pPr>
        <w:pStyle w:val="BodyText1"/>
        <w:spacing w:after="120" w:line="240" w:lineRule="auto"/>
        <w:rPr>
          <w:b/>
          <w:i/>
          <w:sz w:val="20"/>
          <w:szCs w:val="20"/>
        </w:rPr>
      </w:pPr>
      <w:bookmarkStart w:id="46" w:name="_Ref325640451"/>
    </w:p>
    <w:p w:rsidR="00256855" w:rsidRDefault="00F25A1E" w:rsidP="004A48E6">
      <w:pPr>
        <w:pStyle w:val="BodyText1"/>
        <w:spacing w:after="120" w:line="240" w:lineRule="auto"/>
        <w:rPr>
          <w:b/>
          <w:i/>
          <w:sz w:val="20"/>
          <w:szCs w:val="20"/>
        </w:rPr>
      </w:pPr>
      <w:r>
        <w:rPr>
          <w:b/>
          <w:i/>
          <w:sz w:val="20"/>
          <w:szCs w:val="20"/>
        </w:rPr>
        <w:br/>
      </w:r>
    </w:p>
    <w:p w:rsidR="00256855" w:rsidRDefault="00256855" w:rsidP="004A48E6">
      <w:pPr>
        <w:pStyle w:val="BodyText1"/>
        <w:spacing w:after="120" w:line="240" w:lineRule="auto"/>
        <w:rPr>
          <w:b/>
          <w:i/>
          <w:sz w:val="20"/>
          <w:szCs w:val="20"/>
        </w:rPr>
      </w:pPr>
    </w:p>
    <w:p w:rsidR="00256855" w:rsidRDefault="00256855" w:rsidP="004A48E6">
      <w:pPr>
        <w:pStyle w:val="BodyText1"/>
        <w:spacing w:after="120" w:line="240" w:lineRule="auto"/>
        <w:rPr>
          <w:b/>
          <w:i/>
          <w:sz w:val="20"/>
          <w:szCs w:val="20"/>
        </w:rPr>
      </w:pPr>
    </w:p>
    <w:p w:rsidR="0003283C" w:rsidRPr="00666EC0" w:rsidRDefault="0003283C" w:rsidP="004A48E6">
      <w:pPr>
        <w:pStyle w:val="BodyText1"/>
        <w:spacing w:after="120" w:line="240" w:lineRule="auto"/>
        <w:rPr>
          <w:sz w:val="20"/>
          <w:szCs w:val="20"/>
        </w:rPr>
      </w:pPr>
      <w:r w:rsidRPr="001440A3">
        <w:rPr>
          <w:b/>
          <w:i/>
          <w:sz w:val="20"/>
          <w:szCs w:val="20"/>
        </w:rPr>
        <w:lastRenderedPageBreak/>
        <w:t xml:space="preserve">Table </w:t>
      </w:r>
      <w:bookmarkEnd w:id="46"/>
      <w:r>
        <w:rPr>
          <w:b/>
          <w:i/>
          <w:sz w:val="20"/>
          <w:szCs w:val="20"/>
        </w:rPr>
        <w:t>B</w:t>
      </w:r>
      <w:r w:rsidRPr="001440A3">
        <w:rPr>
          <w:b/>
          <w:i/>
          <w:sz w:val="20"/>
          <w:szCs w:val="20"/>
        </w:rPr>
        <w:t xml:space="preserve">. </w:t>
      </w:r>
      <w:r w:rsidRPr="001440A3">
        <w:rPr>
          <w:i/>
          <w:sz w:val="20"/>
          <w:szCs w:val="20"/>
        </w:rPr>
        <w:t xml:space="preserve">Indicative groundwater volume estimates for potential </w:t>
      </w:r>
      <w:r w:rsidR="00F25A1E">
        <w:rPr>
          <w:i/>
          <w:sz w:val="20"/>
          <w:szCs w:val="20"/>
        </w:rPr>
        <w:t xml:space="preserve">Jimargil </w:t>
      </w:r>
      <w:r w:rsidRPr="001440A3">
        <w:rPr>
          <w:i/>
          <w:sz w:val="20"/>
          <w:szCs w:val="20"/>
        </w:rPr>
        <w:t>borefield</w:t>
      </w:r>
      <w:r w:rsidR="00F25A1E">
        <w:rPr>
          <w:i/>
          <w:sz w:val="20"/>
          <w:szCs w:val="20"/>
        </w:rPr>
        <w:t xml:space="preserve"> site</w:t>
      </w:r>
      <w:r w:rsidRPr="001440A3">
        <w:rPr>
          <w:i/>
          <w:sz w:val="20"/>
          <w:szCs w:val="20"/>
        </w:rPr>
        <w:t xml:space="preserve"> in the GWR1 target. </w:t>
      </w:r>
      <w:r w:rsidRPr="00666EC0">
        <w:rPr>
          <w:sz w:val="20"/>
          <w:szCs w:val="20"/>
        </w:rPr>
        <w:fldChar w:fldCharType="begin"/>
      </w:r>
      <w:r w:rsidRPr="00666EC0">
        <w:rPr>
          <w:sz w:val="20"/>
          <w:szCs w:val="20"/>
        </w:rPr>
        <w:instrText xml:space="preserve"> TC "</w:instrText>
      </w:r>
      <w:bookmarkStart w:id="47" w:name="_Toc325975292"/>
      <w:bookmarkStart w:id="48" w:name="_Toc390690280"/>
      <w:r w:rsidR="00497AD3">
        <w:rPr>
          <w:sz w:val="20"/>
          <w:szCs w:val="20"/>
        </w:rPr>
        <w:instrText>Table B.</w:instrText>
      </w:r>
      <w:r w:rsidRPr="00666EC0">
        <w:rPr>
          <w:sz w:val="20"/>
          <w:szCs w:val="20"/>
        </w:rPr>
        <w:instrText xml:space="preserve"> Indicative groundwater volume estimates for potential borefields in the GWR1 target</w:instrText>
      </w:r>
      <w:bookmarkEnd w:id="47"/>
      <w:bookmarkEnd w:id="48"/>
      <w:r w:rsidRPr="00666EC0">
        <w:rPr>
          <w:sz w:val="20"/>
          <w:szCs w:val="20"/>
        </w:rPr>
        <w:instrText xml:space="preserve">" \f B \l "4" </w:instrText>
      </w:r>
      <w:r w:rsidRPr="00666EC0">
        <w:rPr>
          <w:sz w:val="20"/>
          <w:szCs w:val="2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370"/>
        <w:gridCol w:w="1800"/>
        <w:gridCol w:w="1648"/>
        <w:gridCol w:w="1639"/>
        <w:gridCol w:w="1933"/>
      </w:tblGrid>
      <w:tr w:rsidR="00DF443A" w:rsidRPr="00DF443A" w:rsidTr="00A62B47">
        <w:trPr>
          <w:trHeight w:val="509"/>
          <w:jc w:val="center"/>
        </w:trPr>
        <w:tc>
          <w:tcPr>
            <w:tcW w:w="2370" w:type="dxa"/>
            <w:tcBorders>
              <w:top w:val="single" w:sz="4" w:space="0" w:color="auto"/>
              <w:left w:val="single" w:sz="4" w:space="0" w:color="auto"/>
              <w:bottom w:val="single" w:sz="4" w:space="0" w:color="auto"/>
              <w:right w:val="single" w:sz="4" w:space="0" w:color="auto"/>
            </w:tcBorders>
            <w:shd w:val="clear" w:color="auto" w:fill="E0E0E0"/>
            <w:vAlign w:val="center"/>
          </w:tcPr>
          <w:p w:rsidR="00DF443A" w:rsidRPr="009A77C1" w:rsidRDefault="00DF443A" w:rsidP="00DF443A">
            <w:pPr>
              <w:rPr>
                <w:b/>
                <w:bCs/>
                <w:color w:val="000000"/>
                <w:sz w:val="18"/>
                <w:szCs w:val="18"/>
              </w:rPr>
            </w:pPr>
            <w:r w:rsidRPr="009A77C1">
              <w:rPr>
                <w:b/>
                <w:bCs/>
                <w:color w:val="000000"/>
                <w:sz w:val="18"/>
                <w:szCs w:val="18"/>
              </w:rPr>
              <w:t>Borefield Target</w:t>
            </w:r>
          </w:p>
        </w:tc>
        <w:tc>
          <w:tcPr>
            <w:tcW w:w="1800" w:type="dxa"/>
            <w:tcBorders>
              <w:top w:val="single" w:sz="4" w:space="0" w:color="auto"/>
              <w:left w:val="single" w:sz="4" w:space="0" w:color="auto"/>
              <w:bottom w:val="single" w:sz="4" w:space="0" w:color="auto"/>
              <w:right w:val="single" w:sz="4" w:space="0" w:color="auto"/>
            </w:tcBorders>
            <w:shd w:val="clear" w:color="auto" w:fill="E0E0E0"/>
            <w:vAlign w:val="center"/>
          </w:tcPr>
          <w:p w:rsidR="00DF443A" w:rsidRPr="009A77C1" w:rsidRDefault="00F25A1E" w:rsidP="00A15E21">
            <w:pPr>
              <w:jc w:val="center"/>
              <w:rPr>
                <w:b/>
                <w:bCs/>
                <w:color w:val="000000"/>
                <w:sz w:val="18"/>
                <w:szCs w:val="18"/>
              </w:rPr>
            </w:pPr>
            <w:r w:rsidRPr="009A77C1">
              <w:rPr>
                <w:b/>
                <w:bCs/>
                <w:color w:val="000000"/>
                <w:sz w:val="18"/>
                <w:szCs w:val="18"/>
              </w:rPr>
              <w:t xml:space="preserve">Predicted </w:t>
            </w:r>
            <w:r w:rsidR="00DF443A" w:rsidRPr="009A77C1">
              <w:rPr>
                <w:b/>
                <w:bCs/>
                <w:color w:val="000000"/>
                <w:sz w:val="18"/>
                <w:szCs w:val="18"/>
              </w:rPr>
              <w:t>Water Quality Class</w:t>
            </w:r>
          </w:p>
        </w:tc>
        <w:tc>
          <w:tcPr>
            <w:tcW w:w="1648" w:type="dxa"/>
            <w:tcBorders>
              <w:top w:val="single" w:sz="4" w:space="0" w:color="auto"/>
              <w:left w:val="single" w:sz="4" w:space="0" w:color="auto"/>
              <w:bottom w:val="single" w:sz="4" w:space="0" w:color="auto"/>
              <w:right w:val="single" w:sz="4" w:space="0" w:color="auto"/>
            </w:tcBorders>
            <w:shd w:val="clear" w:color="auto" w:fill="E0E0E0"/>
            <w:vAlign w:val="center"/>
          </w:tcPr>
          <w:p w:rsidR="001E4841" w:rsidRDefault="00DF443A" w:rsidP="00A15E21">
            <w:pPr>
              <w:jc w:val="center"/>
              <w:rPr>
                <w:b/>
                <w:bCs/>
                <w:color w:val="000000"/>
                <w:sz w:val="18"/>
                <w:szCs w:val="18"/>
              </w:rPr>
            </w:pPr>
            <w:r w:rsidRPr="009A77C1">
              <w:rPr>
                <w:b/>
                <w:bCs/>
                <w:color w:val="000000"/>
                <w:sz w:val="18"/>
                <w:szCs w:val="18"/>
              </w:rPr>
              <w:t xml:space="preserve">Lower Quartile Groundwater Volume </w:t>
            </w:r>
          </w:p>
          <w:p w:rsidR="00DF443A" w:rsidRPr="009A77C1" w:rsidRDefault="00DF443A" w:rsidP="00A15E21">
            <w:pPr>
              <w:jc w:val="center"/>
              <w:rPr>
                <w:b/>
                <w:bCs/>
                <w:color w:val="000000"/>
                <w:sz w:val="18"/>
                <w:szCs w:val="18"/>
              </w:rPr>
            </w:pPr>
            <w:r w:rsidRPr="009A77C1">
              <w:rPr>
                <w:b/>
                <w:bCs/>
                <w:color w:val="000000"/>
                <w:sz w:val="18"/>
                <w:szCs w:val="18"/>
              </w:rPr>
              <w:t>(GL)</w:t>
            </w:r>
          </w:p>
        </w:tc>
        <w:tc>
          <w:tcPr>
            <w:tcW w:w="1639" w:type="dxa"/>
            <w:tcBorders>
              <w:top w:val="single" w:sz="4" w:space="0" w:color="auto"/>
              <w:left w:val="single" w:sz="4" w:space="0" w:color="auto"/>
              <w:bottom w:val="single" w:sz="4" w:space="0" w:color="auto"/>
              <w:right w:val="single" w:sz="4" w:space="0" w:color="auto"/>
            </w:tcBorders>
            <w:shd w:val="clear" w:color="auto" w:fill="E0E0E0"/>
            <w:vAlign w:val="center"/>
          </w:tcPr>
          <w:p w:rsidR="001E4841" w:rsidRDefault="007C13E4" w:rsidP="00A15E21">
            <w:pPr>
              <w:jc w:val="center"/>
              <w:rPr>
                <w:b/>
                <w:bCs/>
                <w:color w:val="000000"/>
                <w:sz w:val="18"/>
                <w:szCs w:val="18"/>
              </w:rPr>
            </w:pPr>
            <w:r w:rsidRPr="009A77C1">
              <w:rPr>
                <w:b/>
                <w:bCs/>
                <w:color w:val="000000"/>
                <w:sz w:val="18"/>
                <w:szCs w:val="18"/>
              </w:rPr>
              <w:t xml:space="preserve">Median Groundwater Volume </w:t>
            </w:r>
          </w:p>
          <w:p w:rsidR="00DF443A" w:rsidRPr="009A77C1" w:rsidRDefault="007C13E4" w:rsidP="00A15E21">
            <w:pPr>
              <w:jc w:val="center"/>
              <w:rPr>
                <w:b/>
                <w:bCs/>
                <w:color w:val="000000"/>
                <w:sz w:val="18"/>
                <w:szCs w:val="18"/>
              </w:rPr>
            </w:pPr>
            <w:r w:rsidRPr="009A77C1">
              <w:rPr>
                <w:b/>
                <w:bCs/>
                <w:color w:val="000000"/>
                <w:sz w:val="18"/>
                <w:szCs w:val="18"/>
              </w:rPr>
              <w:t>(GL</w:t>
            </w:r>
            <w:r w:rsidR="00DF443A" w:rsidRPr="009A77C1">
              <w:rPr>
                <w:b/>
                <w:bCs/>
                <w:color w:val="000000"/>
                <w:sz w:val="18"/>
                <w:szCs w:val="18"/>
              </w:rPr>
              <w:t>)</w:t>
            </w:r>
          </w:p>
        </w:tc>
        <w:tc>
          <w:tcPr>
            <w:tcW w:w="1933" w:type="dxa"/>
            <w:tcBorders>
              <w:top w:val="single" w:sz="4" w:space="0" w:color="auto"/>
              <w:left w:val="single" w:sz="4" w:space="0" w:color="auto"/>
              <w:bottom w:val="single" w:sz="4" w:space="0" w:color="auto"/>
              <w:right w:val="single" w:sz="4" w:space="0" w:color="auto"/>
            </w:tcBorders>
            <w:shd w:val="clear" w:color="auto" w:fill="E0E0E0"/>
            <w:vAlign w:val="center"/>
          </w:tcPr>
          <w:p w:rsidR="001E4841" w:rsidRDefault="00DF443A" w:rsidP="00A15E21">
            <w:pPr>
              <w:jc w:val="center"/>
              <w:rPr>
                <w:b/>
                <w:bCs/>
                <w:color w:val="000000"/>
                <w:sz w:val="18"/>
                <w:szCs w:val="18"/>
              </w:rPr>
            </w:pPr>
            <w:r w:rsidRPr="009A77C1">
              <w:rPr>
                <w:b/>
                <w:bCs/>
                <w:color w:val="000000"/>
                <w:sz w:val="18"/>
                <w:szCs w:val="18"/>
              </w:rPr>
              <w:t xml:space="preserve">Upper Quartile Groundwater Volume </w:t>
            </w:r>
          </w:p>
          <w:p w:rsidR="001E4841" w:rsidRDefault="001E4841" w:rsidP="00A15E21">
            <w:pPr>
              <w:jc w:val="center"/>
              <w:rPr>
                <w:b/>
                <w:bCs/>
                <w:color w:val="000000"/>
                <w:sz w:val="18"/>
                <w:szCs w:val="18"/>
              </w:rPr>
            </w:pPr>
          </w:p>
          <w:p w:rsidR="00DF443A" w:rsidRPr="009A77C1" w:rsidRDefault="00DF443A" w:rsidP="00A15E21">
            <w:pPr>
              <w:jc w:val="center"/>
              <w:rPr>
                <w:b/>
                <w:bCs/>
                <w:color w:val="000000"/>
                <w:sz w:val="18"/>
                <w:szCs w:val="18"/>
              </w:rPr>
            </w:pPr>
            <w:r w:rsidRPr="009A77C1">
              <w:rPr>
                <w:b/>
                <w:bCs/>
                <w:color w:val="000000"/>
                <w:sz w:val="18"/>
                <w:szCs w:val="18"/>
              </w:rPr>
              <w:t>(GL)</w:t>
            </w:r>
          </w:p>
        </w:tc>
      </w:tr>
      <w:tr w:rsidR="00DF443A" w:rsidRPr="00DF443A" w:rsidTr="00A62B47">
        <w:trPr>
          <w:trHeight w:val="268"/>
          <w:jc w:val="center"/>
        </w:trPr>
        <w:tc>
          <w:tcPr>
            <w:tcW w:w="2370"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7C13E4" w:rsidP="00DF443A">
            <w:pPr>
              <w:rPr>
                <w:sz w:val="18"/>
                <w:szCs w:val="18"/>
              </w:rPr>
            </w:pPr>
            <w:r w:rsidRPr="009A77C1">
              <w:rPr>
                <w:sz w:val="18"/>
                <w:szCs w:val="18"/>
              </w:rPr>
              <w:t xml:space="preserve">GWR1 - </w:t>
            </w:r>
            <w:r w:rsidR="00DF443A" w:rsidRPr="009A77C1">
              <w:rPr>
                <w:sz w:val="18"/>
                <w:szCs w:val="18"/>
              </w:rPr>
              <w:t>Jimargil</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rPr>
                <w:sz w:val="18"/>
                <w:szCs w:val="18"/>
              </w:rPr>
            </w:pPr>
            <w:r w:rsidRPr="009A77C1">
              <w:rPr>
                <w:sz w:val="18"/>
                <w:szCs w:val="18"/>
              </w:rPr>
              <w:t xml:space="preserve"> &lt; 600 mg/L</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80</w:t>
            </w:r>
          </w:p>
        </w:tc>
      </w:tr>
      <w:tr w:rsidR="00DF443A" w:rsidRPr="00DF443A" w:rsidTr="00A62B47">
        <w:trPr>
          <w:trHeight w:val="345"/>
          <w:jc w:val="center"/>
        </w:trPr>
        <w:tc>
          <w:tcPr>
            <w:tcW w:w="2370"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7C13E4" w:rsidP="00DF443A">
            <w:pPr>
              <w:rPr>
                <w:sz w:val="18"/>
                <w:szCs w:val="18"/>
              </w:rPr>
            </w:pPr>
            <w:r w:rsidRPr="009A77C1">
              <w:rPr>
                <w:sz w:val="18"/>
                <w:szCs w:val="18"/>
              </w:rPr>
              <w:t xml:space="preserve">GWR1 - </w:t>
            </w:r>
            <w:r w:rsidR="00DF443A" w:rsidRPr="009A77C1">
              <w:rPr>
                <w:sz w:val="18"/>
                <w:szCs w:val="18"/>
              </w:rPr>
              <w:t>Jimargil</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rPr>
                <w:sz w:val="18"/>
                <w:szCs w:val="18"/>
              </w:rPr>
            </w:pPr>
            <w:r w:rsidRPr="009A77C1">
              <w:rPr>
                <w:sz w:val="18"/>
                <w:szCs w:val="18"/>
              </w:rPr>
              <w:t xml:space="preserve"> 600 - 1,200 mg/L</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50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80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110</w:t>
            </w:r>
          </w:p>
        </w:tc>
      </w:tr>
      <w:tr w:rsidR="00DF443A" w:rsidRPr="00DF443A" w:rsidTr="00A62B47">
        <w:trPr>
          <w:trHeight w:val="356"/>
          <w:jc w:val="center"/>
        </w:trPr>
        <w:tc>
          <w:tcPr>
            <w:tcW w:w="2370"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7C13E4" w:rsidP="00DF443A">
            <w:pPr>
              <w:rPr>
                <w:sz w:val="18"/>
                <w:szCs w:val="18"/>
              </w:rPr>
            </w:pPr>
            <w:r w:rsidRPr="009A77C1">
              <w:rPr>
                <w:sz w:val="18"/>
                <w:szCs w:val="18"/>
              </w:rPr>
              <w:t xml:space="preserve">GWR1 - </w:t>
            </w:r>
            <w:r w:rsidR="00DF443A" w:rsidRPr="009A77C1">
              <w:rPr>
                <w:sz w:val="18"/>
                <w:szCs w:val="18"/>
              </w:rPr>
              <w:t>Jimargil</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rPr>
                <w:sz w:val="18"/>
                <w:szCs w:val="18"/>
              </w:rPr>
            </w:pPr>
            <w:r w:rsidRPr="009A77C1">
              <w:rPr>
                <w:sz w:val="18"/>
                <w:szCs w:val="18"/>
              </w:rPr>
              <w:t xml:space="preserve"> 1,200 - 3,000 mg/L</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DF443A" w:rsidRPr="009A77C1" w:rsidRDefault="00DF443A" w:rsidP="00DF443A">
            <w:pPr>
              <w:jc w:val="center"/>
              <w:rPr>
                <w:sz w:val="18"/>
                <w:szCs w:val="18"/>
              </w:rPr>
            </w:pPr>
            <w:r w:rsidRPr="009A77C1">
              <w:rPr>
                <w:sz w:val="18"/>
                <w:szCs w:val="18"/>
              </w:rPr>
              <w:t>50</w:t>
            </w:r>
          </w:p>
        </w:tc>
      </w:tr>
      <w:tr w:rsidR="00DF443A" w:rsidRPr="00DF443A" w:rsidTr="00A62B47">
        <w:trPr>
          <w:trHeight w:val="509"/>
          <w:jc w:val="center"/>
        </w:trPr>
        <w:tc>
          <w:tcPr>
            <w:tcW w:w="2370" w:type="dxa"/>
            <w:tcBorders>
              <w:top w:val="single" w:sz="4" w:space="0" w:color="auto"/>
              <w:left w:val="single" w:sz="4" w:space="0" w:color="auto"/>
              <w:bottom w:val="single" w:sz="4" w:space="0" w:color="auto"/>
              <w:right w:val="single" w:sz="4" w:space="0" w:color="auto"/>
            </w:tcBorders>
            <w:shd w:val="clear" w:color="auto" w:fill="E0E0E0"/>
            <w:vAlign w:val="center"/>
          </w:tcPr>
          <w:p w:rsidR="00DF443A" w:rsidRPr="009A77C1" w:rsidRDefault="00DF443A" w:rsidP="00DF443A">
            <w:pPr>
              <w:rPr>
                <w:b/>
                <w:sz w:val="18"/>
                <w:szCs w:val="18"/>
              </w:rPr>
            </w:pPr>
            <w:r w:rsidRPr="009A77C1">
              <w:rPr>
                <w:b/>
                <w:sz w:val="18"/>
                <w:szCs w:val="18"/>
              </w:rPr>
              <w:t xml:space="preserve">Jimargil </w:t>
            </w:r>
            <w:r w:rsidR="00755ED0" w:rsidRPr="009A77C1">
              <w:rPr>
                <w:b/>
                <w:sz w:val="18"/>
                <w:szCs w:val="18"/>
              </w:rPr>
              <w:t>Borefield (Total)</w:t>
            </w:r>
          </w:p>
        </w:tc>
        <w:tc>
          <w:tcPr>
            <w:tcW w:w="1800" w:type="dxa"/>
            <w:tcBorders>
              <w:top w:val="single" w:sz="4" w:space="0" w:color="auto"/>
              <w:left w:val="single" w:sz="4" w:space="0" w:color="auto"/>
              <w:bottom w:val="single" w:sz="4" w:space="0" w:color="auto"/>
              <w:right w:val="single" w:sz="4" w:space="0" w:color="auto"/>
            </w:tcBorders>
            <w:shd w:val="clear" w:color="auto" w:fill="E0E0E0"/>
            <w:vAlign w:val="center"/>
          </w:tcPr>
          <w:p w:rsidR="00DF443A" w:rsidRPr="009A77C1" w:rsidRDefault="00DF443A" w:rsidP="00DF443A">
            <w:pPr>
              <w:rPr>
                <w:b/>
                <w:sz w:val="18"/>
                <w:szCs w:val="18"/>
              </w:rPr>
            </w:pPr>
            <w:r w:rsidRPr="009A77C1">
              <w:rPr>
                <w:b/>
                <w:sz w:val="18"/>
                <w:szCs w:val="18"/>
              </w:rPr>
              <w:t>&lt; 3</w:t>
            </w:r>
            <w:r w:rsidR="001E4841">
              <w:rPr>
                <w:b/>
                <w:sz w:val="18"/>
                <w:szCs w:val="18"/>
              </w:rPr>
              <w:t>,</w:t>
            </w:r>
            <w:r w:rsidRPr="009A77C1">
              <w:rPr>
                <w:b/>
                <w:sz w:val="18"/>
                <w:szCs w:val="18"/>
              </w:rPr>
              <w:t>000 mg/L</w:t>
            </w:r>
          </w:p>
        </w:tc>
        <w:tc>
          <w:tcPr>
            <w:tcW w:w="1648" w:type="dxa"/>
            <w:tcBorders>
              <w:top w:val="single" w:sz="4" w:space="0" w:color="auto"/>
              <w:left w:val="single" w:sz="4" w:space="0" w:color="auto"/>
              <w:bottom w:val="single" w:sz="4" w:space="0" w:color="auto"/>
              <w:right w:val="single" w:sz="4" w:space="0" w:color="auto"/>
            </w:tcBorders>
            <w:shd w:val="clear" w:color="auto" w:fill="E0E0E0"/>
            <w:vAlign w:val="center"/>
          </w:tcPr>
          <w:p w:rsidR="00DF443A" w:rsidRPr="009A77C1" w:rsidRDefault="00DF443A" w:rsidP="00DF443A">
            <w:pPr>
              <w:jc w:val="center"/>
              <w:rPr>
                <w:b/>
                <w:sz w:val="18"/>
                <w:szCs w:val="18"/>
              </w:rPr>
            </w:pPr>
            <w:r w:rsidRPr="009A77C1">
              <w:rPr>
                <w:b/>
                <w:sz w:val="18"/>
                <w:szCs w:val="18"/>
              </w:rPr>
              <w:t>110</w:t>
            </w:r>
          </w:p>
        </w:tc>
        <w:tc>
          <w:tcPr>
            <w:tcW w:w="1639" w:type="dxa"/>
            <w:tcBorders>
              <w:top w:val="single" w:sz="4" w:space="0" w:color="auto"/>
              <w:left w:val="single" w:sz="4" w:space="0" w:color="auto"/>
              <w:bottom w:val="single" w:sz="4" w:space="0" w:color="auto"/>
              <w:right w:val="single" w:sz="4" w:space="0" w:color="auto"/>
            </w:tcBorders>
            <w:shd w:val="clear" w:color="auto" w:fill="E0E0E0"/>
            <w:vAlign w:val="center"/>
          </w:tcPr>
          <w:p w:rsidR="00DF443A" w:rsidRPr="009A77C1" w:rsidRDefault="00DF443A" w:rsidP="00DF443A">
            <w:pPr>
              <w:jc w:val="center"/>
              <w:rPr>
                <w:b/>
                <w:sz w:val="18"/>
                <w:szCs w:val="18"/>
              </w:rPr>
            </w:pPr>
            <w:r w:rsidRPr="009A77C1">
              <w:rPr>
                <w:b/>
                <w:sz w:val="18"/>
                <w:szCs w:val="18"/>
              </w:rPr>
              <w:t>170</w:t>
            </w:r>
          </w:p>
        </w:tc>
        <w:tc>
          <w:tcPr>
            <w:tcW w:w="1933" w:type="dxa"/>
            <w:tcBorders>
              <w:top w:val="single" w:sz="4" w:space="0" w:color="auto"/>
              <w:left w:val="single" w:sz="4" w:space="0" w:color="auto"/>
              <w:bottom w:val="single" w:sz="4" w:space="0" w:color="auto"/>
              <w:right w:val="single" w:sz="4" w:space="0" w:color="auto"/>
            </w:tcBorders>
            <w:shd w:val="clear" w:color="auto" w:fill="E0E0E0"/>
            <w:vAlign w:val="center"/>
          </w:tcPr>
          <w:p w:rsidR="00DF443A" w:rsidRPr="009A77C1" w:rsidRDefault="00DF443A" w:rsidP="00DF443A">
            <w:pPr>
              <w:jc w:val="center"/>
              <w:rPr>
                <w:b/>
                <w:sz w:val="18"/>
                <w:szCs w:val="18"/>
              </w:rPr>
            </w:pPr>
            <w:r w:rsidRPr="009A77C1">
              <w:rPr>
                <w:b/>
                <w:sz w:val="18"/>
                <w:szCs w:val="18"/>
              </w:rPr>
              <w:t>240</w:t>
            </w:r>
          </w:p>
        </w:tc>
      </w:tr>
    </w:tbl>
    <w:p w:rsidR="00A15E21" w:rsidRPr="007F343E" w:rsidRDefault="00A15E21" w:rsidP="00A15E21">
      <w:pPr>
        <w:spacing w:before="120" w:after="120"/>
        <w:rPr>
          <w:sz w:val="20"/>
          <w:szCs w:val="20"/>
        </w:rPr>
      </w:pPr>
      <w:r w:rsidRPr="007F343E">
        <w:rPr>
          <w:sz w:val="20"/>
          <w:szCs w:val="20"/>
        </w:rPr>
        <w:t xml:space="preserve">Notes: </w:t>
      </w:r>
      <w:r>
        <w:rPr>
          <w:sz w:val="20"/>
          <w:szCs w:val="20"/>
        </w:rPr>
        <w:t xml:space="preserve">These groundwater volumes are indicative estimates only. </w:t>
      </w:r>
      <w:r w:rsidRPr="007F343E">
        <w:rPr>
          <w:sz w:val="20"/>
          <w:szCs w:val="20"/>
        </w:rPr>
        <w:t>Groundwater storage volumes do not equate to extractable</w:t>
      </w:r>
      <w:r>
        <w:rPr>
          <w:sz w:val="20"/>
          <w:szCs w:val="20"/>
        </w:rPr>
        <w:t xml:space="preserve"> groundwater volumes, which would</w:t>
      </w:r>
      <w:r w:rsidRPr="007F343E">
        <w:rPr>
          <w:sz w:val="20"/>
          <w:szCs w:val="20"/>
        </w:rPr>
        <w:t xml:space="preserve"> be smaller </w:t>
      </w:r>
      <w:r w:rsidR="00E33C41">
        <w:rPr>
          <w:sz w:val="20"/>
          <w:szCs w:val="20"/>
        </w:rPr>
        <w:t>than</w:t>
      </w:r>
      <w:r w:rsidRPr="007F343E">
        <w:rPr>
          <w:sz w:val="20"/>
          <w:szCs w:val="20"/>
        </w:rPr>
        <w:t xml:space="preserve"> these estimates</w:t>
      </w:r>
      <w:r>
        <w:rPr>
          <w:sz w:val="20"/>
          <w:szCs w:val="20"/>
        </w:rPr>
        <w:t>.</w:t>
      </w:r>
    </w:p>
    <w:p w:rsidR="00F12C87" w:rsidRDefault="00F12C87" w:rsidP="004A48E6">
      <w:pPr>
        <w:pStyle w:val="Caption"/>
        <w:spacing w:before="0" w:after="0"/>
        <w:rPr>
          <w:b/>
        </w:rPr>
      </w:pPr>
    </w:p>
    <w:p w:rsidR="00F12C87" w:rsidRPr="00B3587A" w:rsidRDefault="00F12C87" w:rsidP="00F12C87">
      <w:pPr>
        <w:pStyle w:val="BodyText1"/>
        <w:rPr>
          <w:b/>
        </w:rPr>
      </w:pPr>
      <w:r w:rsidRPr="00B3587A">
        <w:rPr>
          <w:b/>
        </w:rPr>
        <w:t>Jimargil Priority Site: ASR pre-commissioning maximal and residual risk assessments</w:t>
      </w:r>
    </w:p>
    <w:p w:rsidR="00F12C87" w:rsidRPr="0070746C" w:rsidRDefault="002248EF" w:rsidP="00F12C87">
      <w:pPr>
        <w:pStyle w:val="BodyText"/>
        <w:spacing w:before="120" w:after="0" w:line="240" w:lineRule="auto"/>
      </w:pPr>
      <w:r>
        <w:t>P</w:t>
      </w:r>
      <w:r w:rsidR="00F12C87" w:rsidRPr="0070746C">
        <w:t xml:space="preserve">re-commissioning </w:t>
      </w:r>
      <w:r>
        <w:t xml:space="preserve">maximal and residual </w:t>
      </w:r>
      <w:r w:rsidR="00F12C87" w:rsidRPr="0070746C">
        <w:t>risk assessment</w:t>
      </w:r>
      <w:r>
        <w:t>s</w:t>
      </w:r>
      <w:r w:rsidR="00F12C87" w:rsidRPr="0070746C">
        <w:t xml:space="preserve"> carried out for the Jimargil </w:t>
      </w:r>
      <w:r w:rsidR="00F12C87">
        <w:t>site, followed</w:t>
      </w:r>
      <w:r w:rsidR="00F12C87" w:rsidRPr="0070746C">
        <w:t xml:space="preserve"> </w:t>
      </w:r>
      <w:r w:rsidR="00F12C87">
        <w:t xml:space="preserve">national guidelines. </w:t>
      </w:r>
      <w:r w:rsidR="00F12C87" w:rsidRPr="0070746C">
        <w:t>Risks were a</w:t>
      </w:r>
      <w:r w:rsidR="00F12C87">
        <w:t xml:space="preserve">ssessed for twelve hazard types. </w:t>
      </w:r>
      <w:r w:rsidR="00F12C87" w:rsidRPr="0070746C">
        <w:t xml:space="preserve">Of these, several water quality hazards received increased attention as it became evident that these carried a higher level of risk. This included geochemical assessment, hydrogeological modelling and laboratory column clogging studies to assess source water treatment requirements. </w:t>
      </w:r>
    </w:p>
    <w:p w:rsidR="00F12C87" w:rsidRPr="000B4790" w:rsidRDefault="00F12C87" w:rsidP="00F12C87">
      <w:pPr>
        <w:spacing w:before="120"/>
      </w:pPr>
      <w:r w:rsidRPr="0070746C">
        <w:t xml:space="preserve">For hazards 1 to 7, for the human health end point </w:t>
      </w:r>
      <w:r w:rsidRPr="000B4790">
        <w:t xml:space="preserve">the Australian Drinking Water Guideline values were compared to the water quality data (untreated Darling River water) (Table D). For hazards 1 to 11 for the environmental endpoint, the aquifer’s beneficial use was conservatively assumed to be for irrigation supplies and for ecosystem support of the </w:t>
      </w:r>
      <w:r w:rsidR="00F25A1E">
        <w:t>shallow</w:t>
      </w:r>
      <w:r w:rsidRPr="000B4790">
        <w:t xml:space="preserve"> aquifer (Table D). For each hazard where the 95</w:t>
      </w:r>
      <w:r w:rsidRPr="000B4790">
        <w:rPr>
          <w:vertAlign w:val="superscript"/>
        </w:rPr>
        <w:t>th</w:t>
      </w:r>
      <w:r w:rsidRPr="000B4790">
        <w:t xml:space="preserve"> percentile value exceeded the water quality guideline the risk was deemed high (coloured red) and where the 95</w:t>
      </w:r>
      <w:r w:rsidRPr="00A62B47">
        <w:rPr>
          <w:vertAlign w:val="superscript"/>
        </w:rPr>
        <w:t>th</w:t>
      </w:r>
      <w:r w:rsidRPr="000B4790">
        <w:t xml:space="preserve"> percentile was below it was considered low (coloured green), and where the value was unknown it was labelled unknown (coloured orange). However, there is no difference between requirements for additional data where the maximal risk is unknown or high. For hazard 12, energy and greenhouse gas considerations the environmental endpoint is the biosphere (Table D).</w:t>
      </w:r>
    </w:p>
    <w:p w:rsidR="00F12C87" w:rsidRDefault="00F12C87" w:rsidP="00F12C87">
      <w:pPr>
        <w:pStyle w:val="BodyText"/>
        <w:spacing w:before="120" w:after="0" w:line="240" w:lineRule="auto"/>
      </w:pPr>
      <w:r w:rsidRPr="000B4790">
        <w:t xml:space="preserve">The results of the semi-quantitative </w:t>
      </w:r>
      <w:r w:rsidR="002248EF">
        <w:t>maximal</w:t>
      </w:r>
      <w:r w:rsidR="002248EF" w:rsidRPr="000B4790">
        <w:t xml:space="preserve"> </w:t>
      </w:r>
      <w:r w:rsidRPr="000B4790">
        <w:t>risk assessment are summarised in Table E. The assessment used the same approach as for the maximal risk assessment but with inclusion of all the barriers: source control; bank filtration or engineered pre-treatment (coagulation</w:t>
      </w:r>
      <w:r w:rsidRPr="0070746C">
        <w:t>/flocculation and chlorination); aquifer treatment; engineered post-treatment (coagulation/flocculation, rapid sand filtration, UV disinfection, chlorination and powdered activated carbon dosing if required).</w:t>
      </w:r>
    </w:p>
    <w:p w:rsidR="00F12C87" w:rsidRPr="00525C2A" w:rsidRDefault="00F12C87" w:rsidP="00F12C87">
      <w:pPr>
        <w:spacing w:before="120"/>
        <w:rPr>
          <w:lang w:eastAsia="zh-CN" w:bidi="th-TH"/>
        </w:rPr>
      </w:pPr>
      <w:r>
        <w:rPr>
          <w:lang w:eastAsia="zh-CN" w:bidi="th-TH"/>
        </w:rPr>
        <w:t>The</w:t>
      </w:r>
      <w:r w:rsidRPr="00834708">
        <w:rPr>
          <w:lang w:eastAsia="zh-CN" w:bidi="th-TH"/>
        </w:rPr>
        <w:t xml:space="preserve"> pre-commissioning </w:t>
      </w:r>
      <w:r w:rsidR="002248EF">
        <w:rPr>
          <w:lang w:eastAsia="zh-CN" w:bidi="th-TH"/>
        </w:rPr>
        <w:t>maximal</w:t>
      </w:r>
      <w:r w:rsidR="002248EF" w:rsidRPr="00834708">
        <w:rPr>
          <w:lang w:eastAsia="zh-CN" w:bidi="th-TH"/>
        </w:rPr>
        <w:t xml:space="preserve"> </w:t>
      </w:r>
      <w:r w:rsidRPr="00834708">
        <w:rPr>
          <w:lang w:eastAsia="zh-CN" w:bidi="th-TH"/>
        </w:rPr>
        <w:t>risk assessment has shown that the main risks to an ASR scheme at the Jimargil site are biological, physical and chemical clogging related to the mixing of oxygenated river source water with more reduced ambient groundwater (</w:t>
      </w:r>
      <w:r w:rsidRPr="000B4790">
        <w:rPr>
          <w:lang w:eastAsia="zh-CN" w:bidi="th-TH"/>
        </w:rPr>
        <w:t>Table D). More</w:t>
      </w:r>
      <w:r>
        <w:rPr>
          <w:lang w:eastAsia="zh-CN" w:bidi="th-TH"/>
        </w:rPr>
        <w:t xml:space="preserve"> specifically, the main water quality </w:t>
      </w:r>
      <w:r w:rsidRPr="00F411ED">
        <w:rPr>
          <w:b/>
          <w:lang w:eastAsia="zh-CN" w:bidi="th-TH"/>
        </w:rPr>
        <w:t>maximal risks</w:t>
      </w:r>
      <w:r>
        <w:rPr>
          <w:lang w:eastAsia="zh-CN" w:bidi="th-TH"/>
        </w:rPr>
        <w:t xml:space="preserve"> to human health and environment are:</w:t>
      </w:r>
    </w:p>
    <w:p w:rsidR="00F12C87" w:rsidRDefault="00F12C87" w:rsidP="00F12C87">
      <w:pPr>
        <w:pStyle w:val="BodyText"/>
        <w:numPr>
          <w:ilvl w:val="0"/>
          <w:numId w:val="32"/>
        </w:numPr>
        <w:tabs>
          <w:tab w:val="clear" w:pos="720"/>
          <w:tab w:val="num" w:pos="900"/>
        </w:tabs>
        <w:spacing w:before="60" w:after="0" w:line="240" w:lineRule="auto"/>
        <w:ind w:left="896" w:hanging="357"/>
      </w:pPr>
      <w:r>
        <w:t xml:space="preserve">Pathogens (particularly </w:t>
      </w:r>
      <w:r w:rsidRPr="00D565B0">
        <w:rPr>
          <w:i/>
        </w:rPr>
        <w:t>Cryptosporidium</w:t>
      </w:r>
      <w:r>
        <w:t xml:space="preserve">, </w:t>
      </w:r>
      <w:r w:rsidRPr="00D565B0">
        <w:rPr>
          <w:i/>
        </w:rPr>
        <w:t>Giardia</w:t>
      </w:r>
      <w:r>
        <w:t xml:space="preserve"> and bacteria)</w:t>
      </w:r>
    </w:p>
    <w:p w:rsidR="00F12C87" w:rsidRDefault="00F12C87" w:rsidP="00F12C87">
      <w:pPr>
        <w:pStyle w:val="BodyText"/>
        <w:numPr>
          <w:ilvl w:val="0"/>
          <w:numId w:val="32"/>
        </w:numPr>
        <w:tabs>
          <w:tab w:val="clear" w:pos="720"/>
          <w:tab w:val="num" w:pos="900"/>
        </w:tabs>
        <w:spacing w:before="60" w:after="0" w:line="240" w:lineRule="auto"/>
        <w:ind w:left="896" w:hanging="357"/>
      </w:pPr>
      <w:r>
        <w:t>Inorganic chemicals (particularly arsenic and iron)</w:t>
      </w:r>
    </w:p>
    <w:p w:rsidR="00F12C87" w:rsidRDefault="00F12C87" w:rsidP="00F12C87">
      <w:pPr>
        <w:pStyle w:val="BodyText"/>
        <w:numPr>
          <w:ilvl w:val="0"/>
          <w:numId w:val="32"/>
        </w:numPr>
        <w:tabs>
          <w:tab w:val="clear" w:pos="720"/>
          <w:tab w:val="num" w:pos="900"/>
        </w:tabs>
        <w:spacing w:before="60" w:after="0" w:line="240" w:lineRule="auto"/>
        <w:ind w:left="896" w:hanging="357"/>
      </w:pPr>
      <w:r>
        <w:t>Salinity and sodicity</w:t>
      </w:r>
    </w:p>
    <w:p w:rsidR="00F12C87" w:rsidRDefault="00F12C87" w:rsidP="00F12C87">
      <w:pPr>
        <w:pStyle w:val="BodyText"/>
        <w:numPr>
          <w:ilvl w:val="0"/>
          <w:numId w:val="32"/>
        </w:numPr>
        <w:tabs>
          <w:tab w:val="clear" w:pos="720"/>
          <w:tab w:val="num" w:pos="900"/>
        </w:tabs>
        <w:spacing w:before="60" w:after="0" w:line="240" w:lineRule="auto"/>
        <w:ind w:left="896" w:hanging="357"/>
      </w:pPr>
      <w:r>
        <w:t>Nutrients (e.g. ammonia)</w:t>
      </w:r>
    </w:p>
    <w:p w:rsidR="00F12C87" w:rsidRDefault="00F12C87" w:rsidP="00F12C87">
      <w:pPr>
        <w:pStyle w:val="BodyText"/>
        <w:numPr>
          <w:ilvl w:val="0"/>
          <w:numId w:val="32"/>
        </w:numPr>
        <w:tabs>
          <w:tab w:val="clear" w:pos="720"/>
          <w:tab w:val="num" w:pos="900"/>
        </w:tabs>
        <w:spacing w:before="60" w:after="0" w:line="240" w:lineRule="auto"/>
        <w:ind w:left="896" w:hanging="357"/>
      </w:pPr>
      <w:r>
        <w:t>Organic chemicals (e.g. cyanobacterial toxins)</w:t>
      </w:r>
    </w:p>
    <w:p w:rsidR="00D35ACA" w:rsidRDefault="00F12C87" w:rsidP="00D35ACA">
      <w:pPr>
        <w:pStyle w:val="BodyText"/>
        <w:numPr>
          <w:ilvl w:val="0"/>
          <w:numId w:val="32"/>
        </w:numPr>
        <w:tabs>
          <w:tab w:val="clear" w:pos="720"/>
          <w:tab w:val="num" w:pos="900"/>
        </w:tabs>
        <w:spacing w:before="60" w:after="0" w:line="240" w:lineRule="auto"/>
        <w:ind w:left="896" w:hanging="357"/>
      </w:pPr>
      <w:r>
        <w:t>Turbidity and particulates (affecting disinfection and also potentially causing biological and physical clogging of the ASR well).</w:t>
      </w:r>
    </w:p>
    <w:p w:rsidR="00F12C87" w:rsidRDefault="00F12C87" w:rsidP="00F12C87">
      <w:pPr>
        <w:spacing w:before="240"/>
        <w:rPr>
          <w:lang w:eastAsia="zh-CN" w:bidi="th-TH"/>
        </w:rPr>
      </w:pPr>
      <w:r>
        <w:t xml:space="preserve">Overall, </w:t>
      </w:r>
      <w:r w:rsidRPr="00834708">
        <w:t>ASR at this site has a moderate to high technical risk due to the pioneering nature of the project,</w:t>
      </w:r>
      <w:r w:rsidRPr="00834708">
        <w:rPr>
          <w:lang w:eastAsia="zh-CN" w:bidi="th-TH"/>
        </w:rPr>
        <w:t xml:space="preserve"> which is without precedent in </w:t>
      </w:r>
      <w:smartTag w:uri="urn:schemas-microsoft-com:office:smarttags" w:element="place">
        <w:smartTag w:uri="urn:schemas-microsoft-com:office:smarttags" w:element="country-region">
          <w:r w:rsidRPr="00834708">
            <w:rPr>
              <w:lang w:eastAsia="zh-CN" w:bidi="th-TH"/>
            </w:rPr>
            <w:t>Australia</w:t>
          </w:r>
        </w:smartTag>
      </w:smartTag>
      <w:r w:rsidRPr="00834708">
        <w:rPr>
          <w:lang w:eastAsia="zh-CN" w:bidi="th-TH"/>
        </w:rPr>
        <w:t xml:space="preserve">. </w:t>
      </w:r>
      <w:r>
        <w:rPr>
          <w:lang w:eastAsia="zh-CN" w:bidi="th-TH"/>
        </w:rPr>
        <w:t xml:space="preserve">However, </w:t>
      </w:r>
      <w:r w:rsidRPr="00CF7613">
        <w:rPr>
          <w:b/>
          <w:lang w:eastAsia="zh-CN" w:bidi="th-TH"/>
        </w:rPr>
        <w:t>residual risks</w:t>
      </w:r>
      <w:r w:rsidRPr="00525C2A">
        <w:rPr>
          <w:lang w:eastAsia="zh-CN" w:bidi="th-TH"/>
        </w:rPr>
        <w:t xml:space="preserve"> </w:t>
      </w:r>
      <w:r w:rsidRPr="00795774">
        <w:rPr>
          <w:lang w:eastAsia="zh-CN" w:bidi="th-TH"/>
        </w:rPr>
        <w:t>(Table E) are low</w:t>
      </w:r>
      <w:r w:rsidRPr="00525C2A">
        <w:rPr>
          <w:lang w:eastAsia="zh-CN" w:bidi="th-TH"/>
        </w:rPr>
        <w:t xml:space="preserve"> for human health and the environment </w:t>
      </w:r>
      <w:r w:rsidRPr="00E57182">
        <w:rPr>
          <w:b/>
          <w:i/>
          <w:lang w:eastAsia="zh-CN" w:bidi="th-TH"/>
        </w:rPr>
        <w:t>if the supplementary treatment trains are included</w:t>
      </w:r>
      <w:r w:rsidRPr="00525C2A">
        <w:rPr>
          <w:lang w:eastAsia="zh-CN" w:bidi="th-TH"/>
        </w:rPr>
        <w:t>. Addition of the water pre-treatment (coagulation/flocculation and activated carbon filtration) prior to injection minimises the risks of well clogging. This treatment will also be effective in reducing the risks from pathogens and organic chemicals, and greenhouse gas emissions.</w:t>
      </w:r>
    </w:p>
    <w:p w:rsidR="00F12C87" w:rsidRPr="00F12C87" w:rsidRDefault="0003283C" w:rsidP="004A48E6">
      <w:pPr>
        <w:pStyle w:val="Caption"/>
        <w:spacing w:after="120"/>
        <w:rPr>
          <w:i w:val="0"/>
          <w:szCs w:val="22"/>
        </w:rPr>
      </w:pPr>
      <w:r w:rsidRPr="00CD2825">
        <w:rPr>
          <w:b/>
        </w:rPr>
        <w:lastRenderedPageBreak/>
        <w:t xml:space="preserve">Table </w:t>
      </w:r>
      <w:r w:rsidR="00EE7B3C">
        <w:rPr>
          <w:b/>
        </w:rPr>
        <w:t>C.</w:t>
      </w:r>
      <w:r>
        <w:t xml:space="preserve"> </w:t>
      </w:r>
      <w:r w:rsidRPr="00315FF6">
        <w:t xml:space="preserve">Characteristics of </w:t>
      </w:r>
      <w:r w:rsidR="004E04FF">
        <w:t xml:space="preserve">the </w:t>
      </w:r>
      <w:r w:rsidR="00C217F0">
        <w:t>Calivil Formation</w:t>
      </w:r>
      <w:r w:rsidR="00EE7B3C">
        <w:t xml:space="preserve"> </w:t>
      </w:r>
      <w:r w:rsidR="0021723E">
        <w:t xml:space="preserve">target </w:t>
      </w:r>
      <w:r w:rsidR="00EE7B3C">
        <w:t xml:space="preserve">aquifer at </w:t>
      </w:r>
      <w:r w:rsidR="00BB2187">
        <w:t xml:space="preserve">the </w:t>
      </w:r>
      <w:r>
        <w:t xml:space="preserve">Jimargil </w:t>
      </w:r>
      <w:r w:rsidR="00EE7B3C">
        <w:t>site.</w:t>
      </w:r>
      <w:r w:rsidRPr="007808E4">
        <w:t xml:space="preserve"> </w:t>
      </w:r>
      <w:r w:rsidRPr="006B2AA4">
        <w:fldChar w:fldCharType="begin"/>
      </w:r>
      <w:r w:rsidRPr="006B2AA4">
        <w:instrText xml:space="preserve"> TC "</w:instrText>
      </w:r>
      <w:bookmarkStart w:id="49" w:name="_Toc325975293"/>
      <w:bookmarkStart w:id="50" w:name="_Toc390690281"/>
      <w:r w:rsidRPr="006B2AA4">
        <w:instrText xml:space="preserve">Table </w:instrText>
      </w:r>
      <w:r w:rsidR="00EE7B3C" w:rsidRPr="006B2AA4">
        <w:instrText>C</w:instrText>
      </w:r>
      <w:r w:rsidRPr="006B2AA4">
        <w:instrText xml:space="preserve">: Characteristics of </w:instrText>
      </w:r>
      <w:r w:rsidR="00C17659">
        <w:instrText xml:space="preserve">the </w:instrText>
      </w:r>
      <w:r w:rsidR="00C217F0">
        <w:instrText>Calivil Formation</w:instrText>
      </w:r>
      <w:r w:rsidR="00EE7B3C" w:rsidRPr="006B2AA4">
        <w:instrText xml:space="preserve"> aquifer at Jimargil site</w:instrText>
      </w:r>
      <w:r w:rsidRPr="006B2AA4">
        <w:instrText>.</w:instrText>
      </w:r>
      <w:bookmarkEnd w:id="49"/>
      <w:bookmarkEnd w:id="50"/>
      <w:r w:rsidRPr="006B2AA4">
        <w:instrText xml:space="preserve">" \f B \l "4" </w:instrText>
      </w:r>
      <w:r w:rsidRPr="006B2AA4">
        <w:fldChar w:fldCharType="end"/>
      </w:r>
    </w:p>
    <w:tbl>
      <w:tblPr>
        <w:tblW w:w="960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4001"/>
        <w:gridCol w:w="3621"/>
      </w:tblGrid>
      <w:tr w:rsidR="00F12C87" w:rsidRPr="00A62B47" w:rsidTr="00A62B47">
        <w:trPr>
          <w:jc w:val="center"/>
        </w:trPr>
        <w:tc>
          <w:tcPr>
            <w:tcW w:w="1980" w:type="dxa"/>
            <w:tcBorders>
              <w:top w:val="nil"/>
              <w:left w:val="nil"/>
              <w:bottom w:val="single" w:sz="4" w:space="0" w:color="auto"/>
            </w:tcBorders>
            <w:shd w:val="clear" w:color="auto" w:fill="auto"/>
            <w:vAlign w:val="center"/>
          </w:tcPr>
          <w:p w:rsidR="00F12C87" w:rsidRPr="009A77C1" w:rsidRDefault="00F12C87" w:rsidP="00A62B47">
            <w:pPr>
              <w:jc w:val="center"/>
              <w:rPr>
                <w:sz w:val="18"/>
                <w:szCs w:val="18"/>
              </w:rPr>
            </w:pPr>
          </w:p>
        </w:tc>
        <w:tc>
          <w:tcPr>
            <w:tcW w:w="4001" w:type="dxa"/>
            <w:shd w:val="clear" w:color="auto" w:fill="A6A6A6"/>
            <w:vAlign w:val="center"/>
          </w:tcPr>
          <w:p w:rsidR="00F12C87" w:rsidRPr="009A77C1" w:rsidRDefault="00F12C87" w:rsidP="00A62B47">
            <w:pPr>
              <w:jc w:val="center"/>
              <w:rPr>
                <w:b/>
                <w:sz w:val="18"/>
                <w:szCs w:val="18"/>
              </w:rPr>
            </w:pPr>
            <w:r w:rsidRPr="009A77C1">
              <w:rPr>
                <w:b/>
                <w:sz w:val="18"/>
                <w:szCs w:val="18"/>
              </w:rPr>
              <w:t>Description</w:t>
            </w:r>
          </w:p>
        </w:tc>
        <w:tc>
          <w:tcPr>
            <w:tcW w:w="3621" w:type="dxa"/>
            <w:shd w:val="clear" w:color="auto" w:fill="A6A6A6"/>
            <w:vAlign w:val="center"/>
          </w:tcPr>
          <w:p w:rsidR="00F12C87" w:rsidRPr="009A77C1" w:rsidRDefault="00F12C87" w:rsidP="00A62B47">
            <w:pPr>
              <w:jc w:val="center"/>
              <w:rPr>
                <w:b/>
                <w:sz w:val="18"/>
                <w:szCs w:val="18"/>
              </w:rPr>
            </w:pPr>
            <w:r w:rsidRPr="009A77C1">
              <w:rPr>
                <w:b/>
                <w:sz w:val="18"/>
                <w:szCs w:val="18"/>
              </w:rPr>
              <w:t>Comments</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sz w:val="18"/>
                <w:szCs w:val="18"/>
              </w:rPr>
            </w:pPr>
            <w:r w:rsidRPr="009A77C1">
              <w:rPr>
                <w:b/>
                <w:sz w:val="18"/>
                <w:szCs w:val="18"/>
              </w:rPr>
              <w:t>Host formation</w:t>
            </w:r>
          </w:p>
        </w:tc>
        <w:tc>
          <w:tcPr>
            <w:tcW w:w="4001" w:type="dxa"/>
            <w:shd w:val="clear" w:color="auto" w:fill="auto"/>
            <w:vAlign w:val="center"/>
          </w:tcPr>
          <w:p w:rsidR="00F12C87" w:rsidRPr="009A77C1" w:rsidRDefault="00C217F0" w:rsidP="003712E7">
            <w:pPr>
              <w:rPr>
                <w:sz w:val="18"/>
                <w:szCs w:val="18"/>
              </w:rPr>
            </w:pPr>
            <w:r w:rsidRPr="009A77C1">
              <w:rPr>
                <w:sz w:val="18"/>
                <w:szCs w:val="18"/>
              </w:rPr>
              <w:t>Calivil Formation</w:t>
            </w:r>
          </w:p>
        </w:tc>
        <w:tc>
          <w:tcPr>
            <w:tcW w:w="3621" w:type="dxa"/>
            <w:shd w:val="clear" w:color="auto" w:fill="auto"/>
            <w:vAlign w:val="center"/>
          </w:tcPr>
          <w:p w:rsidR="00F12C87" w:rsidRPr="009A77C1" w:rsidRDefault="00F12C87" w:rsidP="003712E7">
            <w:pPr>
              <w:rPr>
                <w:sz w:val="18"/>
                <w:szCs w:val="18"/>
              </w:rPr>
            </w:pP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sz w:val="18"/>
                <w:szCs w:val="18"/>
              </w:rPr>
            </w:pPr>
            <w:r w:rsidRPr="009A77C1">
              <w:rPr>
                <w:b/>
                <w:sz w:val="18"/>
                <w:szCs w:val="18"/>
              </w:rPr>
              <w:t>Aquifer type</w:t>
            </w:r>
          </w:p>
        </w:tc>
        <w:tc>
          <w:tcPr>
            <w:tcW w:w="4001" w:type="dxa"/>
            <w:shd w:val="clear" w:color="auto" w:fill="auto"/>
            <w:vAlign w:val="center"/>
          </w:tcPr>
          <w:p w:rsidR="00F12C87" w:rsidRPr="009A77C1" w:rsidRDefault="00F12C87" w:rsidP="003712E7">
            <w:pPr>
              <w:rPr>
                <w:sz w:val="18"/>
                <w:szCs w:val="18"/>
              </w:rPr>
            </w:pPr>
            <w:r w:rsidRPr="009A77C1">
              <w:rPr>
                <w:sz w:val="18"/>
                <w:szCs w:val="18"/>
              </w:rPr>
              <w:t>Confined to semi-confined</w:t>
            </w:r>
          </w:p>
        </w:tc>
        <w:tc>
          <w:tcPr>
            <w:tcW w:w="3621" w:type="dxa"/>
            <w:shd w:val="clear" w:color="auto" w:fill="auto"/>
            <w:vAlign w:val="center"/>
          </w:tcPr>
          <w:p w:rsidR="00F12C87" w:rsidRPr="009A77C1" w:rsidRDefault="00F12C87" w:rsidP="003712E7">
            <w:pPr>
              <w:rPr>
                <w:sz w:val="18"/>
                <w:szCs w:val="18"/>
              </w:rPr>
            </w:pPr>
            <w:r w:rsidRPr="009A77C1">
              <w:rPr>
                <w:sz w:val="18"/>
                <w:szCs w:val="18"/>
              </w:rPr>
              <w:t xml:space="preserve">Potential for leaky confined conditions with absence of Blanchetown Clay </w:t>
            </w:r>
            <w:r w:rsidR="00C04FFD" w:rsidRPr="009A77C1">
              <w:rPr>
                <w:sz w:val="18"/>
                <w:szCs w:val="18"/>
              </w:rPr>
              <w:t xml:space="preserve">or </w:t>
            </w:r>
            <w:r w:rsidR="00BB2187" w:rsidRPr="009A77C1">
              <w:rPr>
                <w:sz w:val="18"/>
                <w:szCs w:val="18"/>
              </w:rPr>
              <w:t xml:space="preserve">presence of </w:t>
            </w:r>
            <w:r w:rsidR="00C04FFD" w:rsidRPr="009A77C1">
              <w:rPr>
                <w:sz w:val="18"/>
                <w:szCs w:val="18"/>
              </w:rPr>
              <w:t xml:space="preserve">structural features </w:t>
            </w:r>
            <w:r w:rsidRPr="009A77C1">
              <w:rPr>
                <w:sz w:val="18"/>
                <w:szCs w:val="18"/>
              </w:rPr>
              <w:t xml:space="preserve">in areas near </w:t>
            </w:r>
            <w:smartTag w:uri="urn:schemas-microsoft-com:office:smarttags" w:element="place">
              <w:r w:rsidRPr="009A77C1">
                <w:rPr>
                  <w:sz w:val="18"/>
                  <w:szCs w:val="18"/>
                </w:rPr>
                <w:t>Darling River</w:t>
              </w:r>
            </w:smartTag>
            <w:r w:rsidRPr="009A77C1">
              <w:rPr>
                <w:sz w:val="18"/>
                <w:szCs w:val="18"/>
              </w:rPr>
              <w:t>.</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b/>
                <w:sz w:val="18"/>
                <w:szCs w:val="18"/>
              </w:rPr>
            </w:pPr>
            <w:r w:rsidRPr="009A77C1">
              <w:rPr>
                <w:b/>
                <w:sz w:val="18"/>
                <w:szCs w:val="18"/>
              </w:rPr>
              <w:t xml:space="preserve">Depth to top of aquifer </w:t>
            </w:r>
            <w:r w:rsidR="00C04FFD" w:rsidRPr="009A77C1">
              <w:rPr>
                <w:b/>
                <w:sz w:val="18"/>
                <w:szCs w:val="18"/>
              </w:rPr>
              <w:t xml:space="preserve">from ground surface </w:t>
            </w:r>
            <w:r w:rsidRPr="009A77C1">
              <w:rPr>
                <w:b/>
                <w:sz w:val="18"/>
                <w:szCs w:val="18"/>
              </w:rPr>
              <w:t>(m)</w:t>
            </w:r>
          </w:p>
        </w:tc>
        <w:tc>
          <w:tcPr>
            <w:tcW w:w="4001" w:type="dxa"/>
            <w:shd w:val="clear" w:color="auto" w:fill="auto"/>
            <w:vAlign w:val="center"/>
          </w:tcPr>
          <w:p w:rsidR="00F12C87" w:rsidRPr="009A77C1" w:rsidRDefault="00F12C87" w:rsidP="003712E7">
            <w:pPr>
              <w:rPr>
                <w:sz w:val="18"/>
                <w:szCs w:val="18"/>
              </w:rPr>
            </w:pPr>
            <w:r w:rsidRPr="009A77C1">
              <w:rPr>
                <w:sz w:val="18"/>
                <w:szCs w:val="18"/>
              </w:rPr>
              <w:t>Range: 15-43 m</w:t>
            </w:r>
          </w:p>
          <w:p w:rsidR="00F12C87" w:rsidRPr="009A77C1" w:rsidRDefault="00F12C87" w:rsidP="003712E7">
            <w:pPr>
              <w:rPr>
                <w:sz w:val="18"/>
                <w:szCs w:val="18"/>
              </w:rPr>
            </w:pPr>
            <w:r w:rsidRPr="009A77C1">
              <w:rPr>
                <w:sz w:val="18"/>
                <w:szCs w:val="18"/>
              </w:rPr>
              <w:t>Mean: 30 m</w:t>
            </w:r>
          </w:p>
        </w:tc>
        <w:tc>
          <w:tcPr>
            <w:tcW w:w="3621" w:type="dxa"/>
            <w:shd w:val="clear" w:color="auto" w:fill="auto"/>
            <w:vAlign w:val="center"/>
          </w:tcPr>
          <w:p w:rsidR="00F12C87" w:rsidRPr="009A77C1" w:rsidRDefault="00F12C87" w:rsidP="003712E7">
            <w:pPr>
              <w:rPr>
                <w:sz w:val="18"/>
                <w:szCs w:val="18"/>
              </w:rPr>
            </w:pPr>
            <w:r w:rsidRPr="009A77C1">
              <w:rPr>
                <w:sz w:val="18"/>
                <w:szCs w:val="18"/>
              </w:rPr>
              <w:t xml:space="preserve">Based on depth to base of Blanchetown Clay surface interpreted from AEM sections </w:t>
            </w:r>
            <w:r w:rsidR="00BB2187" w:rsidRPr="009A77C1">
              <w:rPr>
                <w:sz w:val="18"/>
                <w:szCs w:val="18"/>
              </w:rPr>
              <w:t>and borehole data</w:t>
            </w:r>
            <w:r w:rsidRPr="009A77C1">
              <w:rPr>
                <w:sz w:val="18"/>
                <w:szCs w:val="18"/>
              </w:rPr>
              <w:t>.</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b/>
                <w:sz w:val="18"/>
                <w:szCs w:val="18"/>
              </w:rPr>
            </w:pPr>
            <w:r w:rsidRPr="009A77C1">
              <w:rPr>
                <w:b/>
                <w:sz w:val="18"/>
                <w:szCs w:val="18"/>
              </w:rPr>
              <w:t>Aquifer thickness (m)</w:t>
            </w:r>
          </w:p>
        </w:tc>
        <w:tc>
          <w:tcPr>
            <w:tcW w:w="4001" w:type="dxa"/>
            <w:shd w:val="clear" w:color="auto" w:fill="auto"/>
            <w:vAlign w:val="center"/>
          </w:tcPr>
          <w:p w:rsidR="00F12C87" w:rsidRPr="009A77C1" w:rsidRDefault="000E5F65" w:rsidP="003712E7">
            <w:pPr>
              <w:rPr>
                <w:sz w:val="18"/>
                <w:szCs w:val="18"/>
              </w:rPr>
            </w:pPr>
            <w:r w:rsidRPr="009A77C1">
              <w:rPr>
                <w:sz w:val="18"/>
                <w:szCs w:val="18"/>
              </w:rPr>
              <w:t xml:space="preserve">Range: </w:t>
            </w:r>
            <w:r w:rsidR="00F12C87" w:rsidRPr="009A77C1">
              <w:rPr>
                <w:sz w:val="18"/>
                <w:szCs w:val="18"/>
              </w:rPr>
              <w:t>4-44 m</w:t>
            </w:r>
          </w:p>
        </w:tc>
        <w:tc>
          <w:tcPr>
            <w:tcW w:w="3621" w:type="dxa"/>
            <w:shd w:val="clear" w:color="auto" w:fill="auto"/>
            <w:vAlign w:val="center"/>
          </w:tcPr>
          <w:p w:rsidR="00F12C87" w:rsidRPr="009A77C1" w:rsidRDefault="00F12C87" w:rsidP="003712E7">
            <w:pPr>
              <w:rPr>
                <w:sz w:val="18"/>
                <w:szCs w:val="18"/>
              </w:rPr>
            </w:pPr>
            <w:r w:rsidRPr="009A77C1">
              <w:rPr>
                <w:sz w:val="18"/>
                <w:szCs w:val="18"/>
              </w:rPr>
              <w:t xml:space="preserve">Based on sonic core logging </w:t>
            </w:r>
            <w:r w:rsidR="00BB2187" w:rsidRPr="009A77C1">
              <w:rPr>
                <w:sz w:val="18"/>
                <w:szCs w:val="18"/>
              </w:rPr>
              <w:t>of Calivil Formation intervals in bores</w:t>
            </w:r>
            <w:r w:rsidRPr="009A77C1">
              <w:rPr>
                <w:sz w:val="18"/>
                <w:szCs w:val="18"/>
              </w:rPr>
              <w:t>.</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b/>
                <w:sz w:val="18"/>
                <w:szCs w:val="18"/>
              </w:rPr>
            </w:pPr>
            <w:r w:rsidRPr="009A77C1">
              <w:rPr>
                <w:b/>
                <w:sz w:val="18"/>
                <w:szCs w:val="18"/>
              </w:rPr>
              <w:t>Lithologies</w:t>
            </w:r>
          </w:p>
        </w:tc>
        <w:tc>
          <w:tcPr>
            <w:tcW w:w="4001" w:type="dxa"/>
            <w:shd w:val="clear" w:color="auto" w:fill="auto"/>
            <w:vAlign w:val="center"/>
          </w:tcPr>
          <w:p w:rsidR="00F12C87" w:rsidRPr="009A77C1" w:rsidRDefault="00F12C87" w:rsidP="003712E7">
            <w:pPr>
              <w:rPr>
                <w:sz w:val="18"/>
                <w:szCs w:val="18"/>
              </w:rPr>
            </w:pPr>
            <w:r w:rsidRPr="009A77C1">
              <w:rPr>
                <w:sz w:val="18"/>
                <w:szCs w:val="18"/>
              </w:rPr>
              <w:t>Coarse to very coarse sand (33%)</w:t>
            </w:r>
          </w:p>
          <w:p w:rsidR="00F12C87" w:rsidRPr="009A77C1" w:rsidRDefault="00F12C87" w:rsidP="003712E7">
            <w:pPr>
              <w:rPr>
                <w:sz w:val="18"/>
                <w:szCs w:val="18"/>
              </w:rPr>
            </w:pPr>
            <w:r w:rsidRPr="009A77C1">
              <w:rPr>
                <w:sz w:val="18"/>
                <w:szCs w:val="18"/>
              </w:rPr>
              <w:t>Medium sand (41%)</w:t>
            </w:r>
          </w:p>
          <w:p w:rsidR="00F12C87" w:rsidRPr="009A77C1" w:rsidRDefault="00F12C87" w:rsidP="003712E7">
            <w:pPr>
              <w:rPr>
                <w:sz w:val="18"/>
                <w:szCs w:val="18"/>
              </w:rPr>
            </w:pPr>
            <w:r w:rsidRPr="009A77C1">
              <w:rPr>
                <w:sz w:val="18"/>
                <w:szCs w:val="18"/>
              </w:rPr>
              <w:t>Fine sand (9%)</w:t>
            </w:r>
          </w:p>
          <w:p w:rsidR="00F12C87" w:rsidRPr="009A77C1" w:rsidRDefault="00F12C87" w:rsidP="003712E7">
            <w:pPr>
              <w:rPr>
                <w:sz w:val="18"/>
                <w:szCs w:val="18"/>
              </w:rPr>
            </w:pPr>
            <w:r w:rsidRPr="009A77C1">
              <w:rPr>
                <w:sz w:val="18"/>
                <w:szCs w:val="18"/>
              </w:rPr>
              <w:t>Muddy sand (15%)</w:t>
            </w:r>
          </w:p>
          <w:p w:rsidR="00F12C87" w:rsidRPr="009A77C1" w:rsidRDefault="00F12C87" w:rsidP="003712E7">
            <w:pPr>
              <w:rPr>
                <w:sz w:val="18"/>
                <w:szCs w:val="18"/>
              </w:rPr>
            </w:pPr>
            <w:r w:rsidRPr="009A77C1">
              <w:rPr>
                <w:sz w:val="18"/>
                <w:szCs w:val="18"/>
              </w:rPr>
              <w:t>Mud (1%)</w:t>
            </w:r>
          </w:p>
        </w:tc>
        <w:tc>
          <w:tcPr>
            <w:tcW w:w="3621" w:type="dxa"/>
            <w:shd w:val="clear" w:color="auto" w:fill="auto"/>
            <w:vAlign w:val="center"/>
          </w:tcPr>
          <w:p w:rsidR="00F12C87" w:rsidRPr="009A77C1" w:rsidRDefault="00F12C87" w:rsidP="003712E7">
            <w:pPr>
              <w:rPr>
                <w:sz w:val="18"/>
                <w:szCs w:val="18"/>
              </w:rPr>
            </w:pPr>
            <w:r w:rsidRPr="009A77C1">
              <w:rPr>
                <w:sz w:val="18"/>
                <w:szCs w:val="18"/>
              </w:rPr>
              <w:t xml:space="preserve">Based on sonic core logging </w:t>
            </w:r>
            <w:r w:rsidR="00BB2187" w:rsidRPr="009A77C1">
              <w:rPr>
                <w:sz w:val="18"/>
                <w:szCs w:val="18"/>
              </w:rPr>
              <w:t>of</w:t>
            </w:r>
            <w:r w:rsidRPr="009A77C1">
              <w:rPr>
                <w:sz w:val="18"/>
                <w:szCs w:val="18"/>
              </w:rPr>
              <w:t xml:space="preserve"> </w:t>
            </w:r>
            <w:r w:rsidR="00C217F0" w:rsidRPr="009A77C1">
              <w:rPr>
                <w:sz w:val="18"/>
                <w:szCs w:val="18"/>
              </w:rPr>
              <w:t>Calivil Formation</w:t>
            </w:r>
            <w:r w:rsidRPr="009A77C1">
              <w:rPr>
                <w:sz w:val="18"/>
                <w:szCs w:val="18"/>
              </w:rPr>
              <w:t xml:space="preserve"> </w:t>
            </w:r>
            <w:r w:rsidR="00BB2187" w:rsidRPr="009A77C1">
              <w:rPr>
                <w:sz w:val="18"/>
                <w:szCs w:val="18"/>
              </w:rPr>
              <w:t>intervals</w:t>
            </w:r>
            <w:r w:rsidRPr="009A77C1">
              <w:rPr>
                <w:sz w:val="18"/>
                <w:szCs w:val="18"/>
              </w:rPr>
              <w:t xml:space="preserve"> in BHMAR33-1, 33-5, 33-6, 33-8, 61-1, 72-2, 80A-2, 80B-2, 83-2, 84-2, 92-1 and 99-1.</w:t>
            </w:r>
          </w:p>
        </w:tc>
      </w:tr>
      <w:tr w:rsidR="006F43C3" w:rsidRPr="00A62B47" w:rsidTr="00A62B47">
        <w:trPr>
          <w:jc w:val="center"/>
        </w:trPr>
        <w:tc>
          <w:tcPr>
            <w:tcW w:w="1980" w:type="dxa"/>
            <w:shd w:val="clear" w:color="auto" w:fill="A6A6A6"/>
            <w:vAlign w:val="center"/>
          </w:tcPr>
          <w:p w:rsidR="006F43C3" w:rsidRPr="009A77C1" w:rsidRDefault="006F43C3" w:rsidP="00A62B47">
            <w:pPr>
              <w:jc w:val="center"/>
              <w:rPr>
                <w:b/>
                <w:sz w:val="18"/>
                <w:szCs w:val="18"/>
              </w:rPr>
            </w:pPr>
            <w:r w:rsidRPr="009A77C1">
              <w:rPr>
                <w:b/>
                <w:sz w:val="18"/>
                <w:szCs w:val="18"/>
              </w:rPr>
              <w:t>Porosity and storage coefficients</w:t>
            </w:r>
          </w:p>
        </w:tc>
        <w:tc>
          <w:tcPr>
            <w:tcW w:w="4001" w:type="dxa"/>
            <w:shd w:val="clear" w:color="auto" w:fill="auto"/>
          </w:tcPr>
          <w:p w:rsidR="006F43C3" w:rsidRPr="009A77C1" w:rsidRDefault="006F43C3" w:rsidP="006F43C3">
            <w:pPr>
              <w:pStyle w:val="TableTextLeft"/>
              <w:rPr>
                <w:sz w:val="18"/>
                <w:szCs w:val="18"/>
              </w:rPr>
            </w:pPr>
            <w:r w:rsidRPr="009A77C1">
              <w:rPr>
                <w:sz w:val="18"/>
                <w:szCs w:val="18"/>
              </w:rPr>
              <w:t xml:space="preserve">NMR </w:t>
            </w:r>
            <w:r w:rsidR="00F25A1E" w:rsidRPr="009A77C1">
              <w:rPr>
                <w:sz w:val="18"/>
                <w:szCs w:val="18"/>
              </w:rPr>
              <w:t>Mobile</w:t>
            </w:r>
            <w:r w:rsidRPr="009A77C1">
              <w:rPr>
                <w:sz w:val="18"/>
                <w:szCs w:val="18"/>
              </w:rPr>
              <w:t xml:space="preserve"> Water</w:t>
            </w:r>
          </w:p>
          <w:p w:rsidR="006F43C3" w:rsidRPr="009A77C1" w:rsidRDefault="006F43C3" w:rsidP="006F43C3">
            <w:pPr>
              <w:pStyle w:val="TableTextLeft"/>
              <w:rPr>
                <w:sz w:val="18"/>
                <w:szCs w:val="18"/>
              </w:rPr>
            </w:pPr>
            <w:r w:rsidRPr="009A77C1">
              <w:rPr>
                <w:sz w:val="18"/>
                <w:szCs w:val="18"/>
              </w:rPr>
              <w:t>P</w:t>
            </w:r>
            <w:r w:rsidRPr="009A77C1">
              <w:rPr>
                <w:sz w:val="18"/>
                <w:szCs w:val="18"/>
                <w:vertAlign w:val="subscript"/>
              </w:rPr>
              <w:t>25</w:t>
            </w:r>
            <w:r w:rsidRPr="009A77C1">
              <w:rPr>
                <w:sz w:val="18"/>
                <w:szCs w:val="18"/>
              </w:rPr>
              <w:t>: 0.08 Mean: 0.14 P</w:t>
            </w:r>
            <w:r w:rsidRPr="009A77C1">
              <w:rPr>
                <w:sz w:val="18"/>
                <w:szCs w:val="18"/>
                <w:vertAlign w:val="subscript"/>
              </w:rPr>
              <w:t>75</w:t>
            </w:r>
            <w:r w:rsidRPr="009A77C1">
              <w:rPr>
                <w:sz w:val="18"/>
                <w:szCs w:val="18"/>
              </w:rPr>
              <w:t>: 0.21</w:t>
            </w:r>
          </w:p>
          <w:p w:rsidR="006F43C3" w:rsidRPr="009A77C1" w:rsidRDefault="006F43C3" w:rsidP="006F43C3">
            <w:pPr>
              <w:pStyle w:val="TableTextLeft"/>
              <w:rPr>
                <w:sz w:val="18"/>
                <w:szCs w:val="18"/>
              </w:rPr>
            </w:pPr>
          </w:p>
          <w:p w:rsidR="006F43C3" w:rsidRPr="009A77C1" w:rsidRDefault="006F43C3" w:rsidP="006F43C3">
            <w:pPr>
              <w:pStyle w:val="TableTextLeft"/>
              <w:rPr>
                <w:sz w:val="18"/>
                <w:szCs w:val="18"/>
              </w:rPr>
            </w:pPr>
          </w:p>
          <w:p w:rsidR="006F43C3" w:rsidRPr="009A77C1" w:rsidRDefault="006F43C3" w:rsidP="006F43C3">
            <w:pPr>
              <w:pStyle w:val="TableTextLeft"/>
              <w:rPr>
                <w:sz w:val="18"/>
                <w:szCs w:val="18"/>
              </w:rPr>
            </w:pPr>
          </w:p>
          <w:p w:rsidR="006F43C3" w:rsidRPr="009A77C1" w:rsidRDefault="006F43C3" w:rsidP="006F43C3">
            <w:pPr>
              <w:pStyle w:val="TableTextLeft"/>
              <w:rPr>
                <w:sz w:val="18"/>
                <w:szCs w:val="18"/>
              </w:rPr>
            </w:pPr>
            <w:r w:rsidRPr="009A77C1">
              <w:rPr>
                <w:sz w:val="18"/>
                <w:szCs w:val="18"/>
              </w:rPr>
              <w:t>Aquifer pump tests</w:t>
            </w:r>
          </w:p>
          <w:p w:rsidR="006F43C3" w:rsidRPr="009A77C1" w:rsidRDefault="006F43C3" w:rsidP="003712E7">
            <w:pPr>
              <w:rPr>
                <w:sz w:val="18"/>
                <w:szCs w:val="18"/>
              </w:rPr>
            </w:pPr>
            <w:r w:rsidRPr="009A77C1">
              <w:rPr>
                <w:sz w:val="18"/>
                <w:szCs w:val="18"/>
              </w:rPr>
              <w:t>Storativity:</w:t>
            </w:r>
            <w:r w:rsidR="00465915" w:rsidRPr="009A77C1">
              <w:rPr>
                <w:sz w:val="18"/>
                <w:szCs w:val="18"/>
              </w:rPr>
              <w:t xml:space="preserve"> </w:t>
            </w:r>
            <w:r w:rsidRPr="009A77C1">
              <w:rPr>
                <w:sz w:val="18"/>
                <w:szCs w:val="18"/>
              </w:rPr>
              <w:t>0.002 and 0.001</w:t>
            </w:r>
          </w:p>
        </w:tc>
        <w:tc>
          <w:tcPr>
            <w:tcW w:w="3621" w:type="dxa"/>
            <w:shd w:val="clear" w:color="auto" w:fill="auto"/>
          </w:tcPr>
          <w:p w:rsidR="006F43C3" w:rsidRPr="009A77C1" w:rsidRDefault="006F43C3" w:rsidP="006F43C3">
            <w:pPr>
              <w:pStyle w:val="Tabletext1"/>
              <w:rPr>
                <w:sz w:val="18"/>
                <w:szCs w:val="18"/>
              </w:rPr>
            </w:pPr>
            <w:r w:rsidRPr="009A77C1">
              <w:rPr>
                <w:sz w:val="18"/>
                <w:szCs w:val="18"/>
              </w:rPr>
              <w:t>25</w:t>
            </w:r>
            <w:r w:rsidRPr="009A77C1">
              <w:rPr>
                <w:sz w:val="18"/>
                <w:szCs w:val="18"/>
                <w:vertAlign w:val="superscript"/>
              </w:rPr>
              <w:t>th</w:t>
            </w:r>
            <w:r w:rsidRPr="009A77C1">
              <w:rPr>
                <w:sz w:val="18"/>
                <w:szCs w:val="18"/>
              </w:rPr>
              <w:t xml:space="preserve"> percentile, mean and 75</w:t>
            </w:r>
            <w:r w:rsidRPr="009A77C1">
              <w:rPr>
                <w:sz w:val="18"/>
                <w:szCs w:val="18"/>
                <w:vertAlign w:val="superscript"/>
              </w:rPr>
              <w:t>th</w:t>
            </w:r>
            <w:r w:rsidRPr="009A77C1">
              <w:rPr>
                <w:sz w:val="18"/>
                <w:szCs w:val="18"/>
              </w:rPr>
              <w:t xml:space="preserve"> percentile of the NMR </w:t>
            </w:r>
            <w:r w:rsidR="00971C9D" w:rsidRPr="009A77C1">
              <w:rPr>
                <w:sz w:val="18"/>
                <w:szCs w:val="18"/>
              </w:rPr>
              <w:t>mobile</w:t>
            </w:r>
            <w:r w:rsidR="00F25A1E" w:rsidRPr="009A77C1">
              <w:rPr>
                <w:sz w:val="18"/>
                <w:szCs w:val="18"/>
              </w:rPr>
              <w:t xml:space="preserve"> </w:t>
            </w:r>
            <w:r w:rsidRPr="009A77C1">
              <w:rPr>
                <w:sz w:val="18"/>
                <w:szCs w:val="18"/>
              </w:rPr>
              <w:t xml:space="preserve">Water for the saturated Calivil Formation interval in NMR logged boreholes in borefield area. NMR </w:t>
            </w:r>
            <w:r w:rsidR="00F25A1E" w:rsidRPr="009A77C1">
              <w:rPr>
                <w:sz w:val="18"/>
                <w:szCs w:val="18"/>
              </w:rPr>
              <w:t>Mobile</w:t>
            </w:r>
            <w:r w:rsidRPr="009A77C1">
              <w:rPr>
                <w:sz w:val="18"/>
                <w:szCs w:val="18"/>
              </w:rPr>
              <w:t xml:space="preserve"> Water used as a surrogate for effective porosity. </w:t>
            </w:r>
          </w:p>
          <w:p w:rsidR="006F43C3" w:rsidRPr="009A77C1" w:rsidRDefault="006F43C3" w:rsidP="006F43C3">
            <w:pPr>
              <w:pStyle w:val="Tabletext1"/>
              <w:rPr>
                <w:sz w:val="18"/>
                <w:szCs w:val="18"/>
              </w:rPr>
            </w:pPr>
          </w:p>
          <w:p w:rsidR="006F43C3" w:rsidRPr="009A77C1" w:rsidRDefault="006F43C3" w:rsidP="003712E7">
            <w:pPr>
              <w:rPr>
                <w:sz w:val="18"/>
                <w:szCs w:val="18"/>
              </w:rPr>
            </w:pPr>
            <w:r w:rsidRPr="009A77C1">
              <w:rPr>
                <w:sz w:val="18"/>
                <w:szCs w:val="18"/>
              </w:rPr>
              <w:t>Storativity estimates from two Calivil Formation aquifer tests undertaken at the Jimargil site.</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b/>
                <w:sz w:val="18"/>
                <w:szCs w:val="18"/>
              </w:rPr>
            </w:pPr>
            <w:r w:rsidRPr="009A77C1">
              <w:rPr>
                <w:b/>
                <w:sz w:val="18"/>
                <w:szCs w:val="18"/>
              </w:rPr>
              <w:t>Hydraulic conductivity (</w:t>
            </w:r>
            <w:r w:rsidR="00C04FFD" w:rsidRPr="009A77C1">
              <w:rPr>
                <w:b/>
                <w:sz w:val="18"/>
                <w:szCs w:val="18"/>
              </w:rPr>
              <w:t xml:space="preserve">K, </w:t>
            </w:r>
            <w:r w:rsidRPr="009A77C1">
              <w:rPr>
                <w:b/>
                <w:sz w:val="18"/>
                <w:szCs w:val="18"/>
              </w:rPr>
              <w:t>m/d) and transmissivity (</w:t>
            </w:r>
            <w:r w:rsidR="00C04FFD" w:rsidRPr="009A77C1">
              <w:rPr>
                <w:b/>
                <w:sz w:val="18"/>
                <w:szCs w:val="18"/>
              </w:rPr>
              <w:t xml:space="preserve">T, </w:t>
            </w:r>
            <w:r w:rsidRPr="009A77C1">
              <w:rPr>
                <w:b/>
                <w:sz w:val="18"/>
                <w:szCs w:val="18"/>
              </w:rPr>
              <w:t>m</w:t>
            </w:r>
            <w:r w:rsidRPr="009A77C1">
              <w:rPr>
                <w:b/>
                <w:sz w:val="18"/>
                <w:szCs w:val="18"/>
                <w:vertAlign w:val="superscript"/>
              </w:rPr>
              <w:t>2</w:t>
            </w:r>
            <w:r w:rsidRPr="009A77C1">
              <w:rPr>
                <w:b/>
                <w:sz w:val="18"/>
                <w:szCs w:val="18"/>
              </w:rPr>
              <w:t>/d)</w:t>
            </w:r>
          </w:p>
        </w:tc>
        <w:tc>
          <w:tcPr>
            <w:tcW w:w="4001" w:type="dxa"/>
            <w:shd w:val="clear" w:color="auto" w:fill="auto"/>
          </w:tcPr>
          <w:p w:rsidR="00F12C87" w:rsidRPr="009A77C1" w:rsidRDefault="00F12C87" w:rsidP="003712E7">
            <w:pPr>
              <w:rPr>
                <w:sz w:val="18"/>
                <w:szCs w:val="18"/>
              </w:rPr>
            </w:pPr>
            <w:r w:rsidRPr="009A77C1">
              <w:rPr>
                <w:sz w:val="18"/>
                <w:szCs w:val="18"/>
              </w:rPr>
              <w:t xml:space="preserve">Slug Tests: </w:t>
            </w:r>
          </w:p>
          <w:p w:rsidR="00F12C87" w:rsidRPr="009A77C1" w:rsidRDefault="00C04FFD" w:rsidP="003712E7">
            <w:pPr>
              <w:rPr>
                <w:sz w:val="18"/>
                <w:szCs w:val="18"/>
              </w:rPr>
            </w:pPr>
            <w:r w:rsidRPr="009A77C1">
              <w:rPr>
                <w:sz w:val="18"/>
                <w:szCs w:val="18"/>
              </w:rPr>
              <w:t xml:space="preserve">K Range: </w:t>
            </w:r>
            <w:r w:rsidR="00F12C87" w:rsidRPr="009A77C1">
              <w:rPr>
                <w:sz w:val="18"/>
                <w:szCs w:val="18"/>
              </w:rPr>
              <w:t>0.4-137 m/d</w:t>
            </w:r>
            <w:r w:rsidRPr="009A77C1">
              <w:rPr>
                <w:sz w:val="18"/>
                <w:szCs w:val="18"/>
              </w:rPr>
              <w:t xml:space="preserve"> K Mean:</w:t>
            </w:r>
            <w:r w:rsidR="00F12C87" w:rsidRPr="009A77C1">
              <w:rPr>
                <w:sz w:val="18"/>
                <w:szCs w:val="18"/>
              </w:rPr>
              <w:t xml:space="preserve"> 25 m/d</w:t>
            </w:r>
          </w:p>
          <w:p w:rsidR="00F12C87" w:rsidRPr="009A77C1" w:rsidRDefault="00C04FFD" w:rsidP="003712E7">
            <w:pPr>
              <w:rPr>
                <w:sz w:val="18"/>
                <w:szCs w:val="18"/>
                <w:lang w:val="fr-FR"/>
              </w:rPr>
            </w:pPr>
            <w:r w:rsidRPr="009A77C1">
              <w:rPr>
                <w:sz w:val="18"/>
                <w:szCs w:val="18"/>
                <w:lang w:val="fr-FR"/>
              </w:rPr>
              <w:t xml:space="preserve">T Range: </w:t>
            </w:r>
            <w:r w:rsidR="00F12C87" w:rsidRPr="009A77C1">
              <w:rPr>
                <w:sz w:val="18"/>
                <w:szCs w:val="18"/>
                <w:lang w:val="fr-FR"/>
              </w:rPr>
              <w:t>2-1850 m</w:t>
            </w:r>
            <w:r w:rsidR="00F12C87" w:rsidRPr="009A77C1">
              <w:rPr>
                <w:sz w:val="18"/>
                <w:szCs w:val="18"/>
                <w:vertAlign w:val="superscript"/>
                <w:lang w:val="fr-FR"/>
              </w:rPr>
              <w:t>2</w:t>
            </w:r>
            <w:r w:rsidR="00F12C87" w:rsidRPr="009A77C1">
              <w:rPr>
                <w:sz w:val="18"/>
                <w:szCs w:val="18"/>
                <w:lang w:val="fr-FR"/>
              </w:rPr>
              <w:t>/d</w:t>
            </w:r>
            <w:r w:rsidRPr="009A77C1">
              <w:rPr>
                <w:sz w:val="18"/>
                <w:szCs w:val="18"/>
                <w:lang w:val="fr-FR"/>
              </w:rPr>
              <w:t xml:space="preserve"> T Mean: </w:t>
            </w:r>
            <w:r w:rsidR="00F12C87" w:rsidRPr="009A77C1">
              <w:rPr>
                <w:sz w:val="18"/>
                <w:szCs w:val="18"/>
                <w:lang w:val="fr-FR"/>
              </w:rPr>
              <w:t>338 m</w:t>
            </w:r>
            <w:r w:rsidR="00F12C87" w:rsidRPr="009A77C1">
              <w:rPr>
                <w:sz w:val="18"/>
                <w:szCs w:val="18"/>
                <w:vertAlign w:val="superscript"/>
                <w:lang w:val="fr-FR"/>
              </w:rPr>
              <w:t>2</w:t>
            </w:r>
            <w:r w:rsidR="00F12C87" w:rsidRPr="009A77C1">
              <w:rPr>
                <w:sz w:val="18"/>
                <w:szCs w:val="18"/>
                <w:lang w:val="fr-FR"/>
              </w:rPr>
              <w:t>/d</w:t>
            </w:r>
          </w:p>
          <w:p w:rsidR="00F12C87" w:rsidRPr="009A77C1" w:rsidRDefault="00F12C87" w:rsidP="003712E7">
            <w:pPr>
              <w:rPr>
                <w:sz w:val="18"/>
                <w:szCs w:val="18"/>
                <w:lang w:val="fr-FR"/>
              </w:rPr>
            </w:pPr>
          </w:p>
          <w:p w:rsidR="00C04FFD" w:rsidRPr="009A77C1" w:rsidRDefault="00C04FFD" w:rsidP="003712E7">
            <w:pPr>
              <w:rPr>
                <w:sz w:val="18"/>
                <w:szCs w:val="18"/>
                <w:lang w:val="fr-FR"/>
              </w:rPr>
            </w:pPr>
          </w:p>
          <w:p w:rsidR="00F12C87" w:rsidRPr="009A77C1" w:rsidRDefault="00F12C87" w:rsidP="003712E7">
            <w:pPr>
              <w:rPr>
                <w:sz w:val="18"/>
                <w:szCs w:val="18"/>
              </w:rPr>
            </w:pPr>
            <w:r w:rsidRPr="009A77C1">
              <w:rPr>
                <w:sz w:val="18"/>
                <w:szCs w:val="18"/>
              </w:rPr>
              <w:t>N</w:t>
            </w:r>
            <w:r w:rsidR="00C04FFD" w:rsidRPr="009A77C1">
              <w:rPr>
                <w:sz w:val="18"/>
                <w:szCs w:val="18"/>
              </w:rPr>
              <w:t>uclear Magnetic Resonance</w:t>
            </w:r>
            <w:r w:rsidRPr="009A77C1">
              <w:rPr>
                <w:sz w:val="18"/>
                <w:szCs w:val="18"/>
              </w:rPr>
              <w:t xml:space="preserve"> Logs: </w:t>
            </w:r>
          </w:p>
          <w:p w:rsidR="00F12C87" w:rsidRPr="009A77C1" w:rsidRDefault="00C04FFD" w:rsidP="003712E7">
            <w:pPr>
              <w:rPr>
                <w:sz w:val="18"/>
                <w:szCs w:val="18"/>
              </w:rPr>
            </w:pPr>
            <w:r w:rsidRPr="009A77C1">
              <w:rPr>
                <w:sz w:val="18"/>
                <w:szCs w:val="18"/>
              </w:rPr>
              <w:t xml:space="preserve">K Range: </w:t>
            </w:r>
            <w:r w:rsidR="00F12C87" w:rsidRPr="009A77C1">
              <w:rPr>
                <w:sz w:val="18"/>
                <w:szCs w:val="18"/>
              </w:rPr>
              <w:t>1.3-60 m/d</w:t>
            </w:r>
            <w:r w:rsidRPr="009A77C1">
              <w:rPr>
                <w:sz w:val="18"/>
                <w:szCs w:val="18"/>
              </w:rPr>
              <w:t xml:space="preserve"> K Mean: </w:t>
            </w:r>
            <w:r w:rsidR="00F12C87" w:rsidRPr="009A77C1">
              <w:rPr>
                <w:sz w:val="18"/>
                <w:szCs w:val="18"/>
              </w:rPr>
              <w:t>13 m/d</w:t>
            </w:r>
          </w:p>
          <w:p w:rsidR="00F12C87" w:rsidRPr="009A77C1" w:rsidRDefault="00C04FFD" w:rsidP="003712E7">
            <w:pPr>
              <w:rPr>
                <w:sz w:val="18"/>
                <w:szCs w:val="18"/>
                <w:lang w:val="fr-FR"/>
              </w:rPr>
            </w:pPr>
            <w:r w:rsidRPr="009A77C1">
              <w:rPr>
                <w:sz w:val="18"/>
                <w:szCs w:val="18"/>
                <w:lang w:val="fr-FR"/>
              </w:rPr>
              <w:t xml:space="preserve">T Range: </w:t>
            </w:r>
            <w:r w:rsidR="00F12C87" w:rsidRPr="009A77C1">
              <w:rPr>
                <w:sz w:val="18"/>
                <w:szCs w:val="18"/>
                <w:lang w:val="fr-FR"/>
              </w:rPr>
              <w:t>15-1630 m</w:t>
            </w:r>
            <w:r w:rsidR="00F12C87" w:rsidRPr="009A77C1">
              <w:rPr>
                <w:sz w:val="18"/>
                <w:szCs w:val="18"/>
                <w:vertAlign w:val="superscript"/>
                <w:lang w:val="fr-FR"/>
              </w:rPr>
              <w:t>2</w:t>
            </w:r>
            <w:r w:rsidR="00F12C87" w:rsidRPr="009A77C1">
              <w:rPr>
                <w:sz w:val="18"/>
                <w:szCs w:val="18"/>
                <w:lang w:val="fr-FR"/>
              </w:rPr>
              <w:t>/d</w:t>
            </w:r>
            <w:r w:rsidRPr="009A77C1">
              <w:rPr>
                <w:sz w:val="18"/>
                <w:szCs w:val="18"/>
                <w:lang w:val="fr-FR"/>
              </w:rPr>
              <w:t xml:space="preserve"> T Mean: </w:t>
            </w:r>
            <w:r w:rsidR="00F12C87" w:rsidRPr="009A77C1">
              <w:rPr>
                <w:sz w:val="18"/>
                <w:szCs w:val="18"/>
                <w:lang w:val="fr-FR"/>
              </w:rPr>
              <w:t>374 m</w:t>
            </w:r>
            <w:r w:rsidR="00F12C87" w:rsidRPr="009A77C1">
              <w:rPr>
                <w:sz w:val="18"/>
                <w:szCs w:val="18"/>
                <w:vertAlign w:val="superscript"/>
                <w:lang w:val="fr-FR"/>
              </w:rPr>
              <w:t>2</w:t>
            </w:r>
            <w:r w:rsidR="00F12C87" w:rsidRPr="009A77C1">
              <w:rPr>
                <w:sz w:val="18"/>
                <w:szCs w:val="18"/>
                <w:lang w:val="fr-FR"/>
              </w:rPr>
              <w:t>/d</w:t>
            </w:r>
          </w:p>
          <w:p w:rsidR="00C04FFD" w:rsidRPr="009A77C1" w:rsidRDefault="00C04FFD" w:rsidP="003712E7">
            <w:pPr>
              <w:rPr>
                <w:sz w:val="18"/>
                <w:szCs w:val="18"/>
                <w:lang w:val="fr-FR"/>
              </w:rPr>
            </w:pPr>
          </w:p>
          <w:p w:rsidR="00C04FFD" w:rsidRPr="009A77C1" w:rsidRDefault="00C04FFD" w:rsidP="003712E7">
            <w:pPr>
              <w:rPr>
                <w:sz w:val="18"/>
                <w:szCs w:val="18"/>
              </w:rPr>
            </w:pPr>
            <w:r w:rsidRPr="009A77C1">
              <w:rPr>
                <w:sz w:val="18"/>
                <w:szCs w:val="18"/>
              </w:rPr>
              <w:t>Aquifer Pump Tests</w:t>
            </w:r>
          </w:p>
          <w:p w:rsidR="00C04FFD" w:rsidRPr="009A77C1" w:rsidRDefault="00C04FFD" w:rsidP="003712E7">
            <w:pPr>
              <w:rPr>
                <w:sz w:val="18"/>
                <w:szCs w:val="18"/>
              </w:rPr>
            </w:pPr>
            <w:r w:rsidRPr="009A77C1">
              <w:rPr>
                <w:sz w:val="18"/>
                <w:szCs w:val="18"/>
              </w:rPr>
              <w:t>T estimates of 300 and 930 m</w:t>
            </w:r>
            <w:r w:rsidRPr="009A77C1">
              <w:rPr>
                <w:sz w:val="18"/>
                <w:szCs w:val="18"/>
                <w:vertAlign w:val="superscript"/>
              </w:rPr>
              <w:t>2</w:t>
            </w:r>
            <w:r w:rsidRPr="009A77C1">
              <w:rPr>
                <w:sz w:val="18"/>
                <w:szCs w:val="18"/>
              </w:rPr>
              <w:t>/d</w:t>
            </w:r>
          </w:p>
          <w:p w:rsidR="00C04FFD" w:rsidRPr="009A77C1" w:rsidRDefault="00C04FFD" w:rsidP="003712E7">
            <w:pPr>
              <w:rPr>
                <w:sz w:val="18"/>
                <w:szCs w:val="18"/>
              </w:rPr>
            </w:pPr>
          </w:p>
        </w:tc>
        <w:tc>
          <w:tcPr>
            <w:tcW w:w="3621" w:type="dxa"/>
            <w:shd w:val="clear" w:color="auto" w:fill="auto"/>
            <w:vAlign w:val="center"/>
          </w:tcPr>
          <w:p w:rsidR="00F12C87" w:rsidRPr="009A77C1" w:rsidRDefault="00F12C87" w:rsidP="003712E7">
            <w:pPr>
              <w:rPr>
                <w:sz w:val="18"/>
                <w:szCs w:val="18"/>
              </w:rPr>
            </w:pPr>
            <w:r w:rsidRPr="009A77C1">
              <w:rPr>
                <w:sz w:val="18"/>
                <w:szCs w:val="18"/>
              </w:rPr>
              <w:t>Range and average of slug test results for BHMAR33-2, 33-3, 33-4, 33-5, 33-6, 33-7, 33-8, 33-9, 61-2, 77-2, 77-3, 77-4, 77-5, 80A-2, 80A-5, 80A-7, 80B-2, 83-2, 84-2, 92-1 and 99-1.</w:t>
            </w:r>
          </w:p>
          <w:p w:rsidR="00F12C87" w:rsidRPr="009A77C1" w:rsidRDefault="00F12C87" w:rsidP="003712E7">
            <w:pPr>
              <w:rPr>
                <w:sz w:val="18"/>
                <w:szCs w:val="18"/>
              </w:rPr>
            </w:pPr>
            <w:r w:rsidRPr="009A77C1">
              <w:rPr>
                <w:sz w:val="18"/>
                <w:szCs w:val="18"/>
              </w:rPr>
              <w:t xml:space="preserve">Range of average K and total T for NMR logged </w:t>
            </w:r>
            <w:r w:rsidR="00C217F0" w:rsidRPr="009A77C1">
              <w:rPr>
                <w:sz w:val="18"/>
                <w:szCs w:val="18"/>
              </w:rPr>
              <w:t>Calivil Formation</w:t>
            </w:r>
            <w:r w:rsidRPr="009A77C1">
              <w:rPr>
                <w:sz w:val="18"/>
                <w:szCs w:val="18"/>
              </w:rPr>
              <w:t xml:space="preserve"> </w:t>
            </w:r>
            <w:r w:rsidR="00BB2187" w:rsidRPr="009A77C1">
              <w:rPr>
                <w:sz w:val="18"/>
                <w:szCs w:val="18"/>
              </w:rPr>
              <w:t xml:space="preserve">screened </w:t>
            </w:r>
            <w:r w:rsidRPr="009A77C1">
              <w:rPr>
                <w:sz w:val="18"/>
                <w:szCs w:val="18"/>
              </w:rPr>
              <w:t>sections in BHMAR33-1, 33-8, 77-2, 80A-2, 80B-2, 83-2, 84-2 and 99-1.</w:t>
            </w:r>
          </w:p>
          <w:p w:rsidR="00C04FFD" w:rsidRPr="009A77C1" w:rsidRDefault="00C04FFD" w:rsidP="003712E7">
            <w:pPr>
              <w:rPr>
                <w:sz w:val="18"/>
                <w:szCs w:val="18"/>
              </w:rPr>
            </w:pPr>
            <w:r w:rsidRPr="009A77C1">
              <w:rPr>
                <w:sz w:val="18"/>
                <w:szCs w:val="18"/>
              </w:rPr>
              <w:t>Aquifer tests undertaken on two test bores at the Jimargil site</w:t>
            </w:r>
            <w:r w:rsidR="00BB2187" w:rsidRPr="009A77C1">
              <w:rPr>
                <w:sz w:val="18"/>
                <w:szCs w:val="18"/>
              </w:rPr>
              <w:t>.</w:t>
            </w:r>
          </w:p>
          <w:p w:rsidR="00C04FFD" w:rsidRPr="009A77C1" w:rsidRDefault="00C04FFD" w:rsidP="003712E7">
            <w:pPr>
              <w:rPr>
                <w:sz w:val="18"/>
                <w:szCs w:val="18"/>
              </w:rPr>
            </w:pP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b/>
                <w:sz w:val="18"/>
                <w:szCs w:val="18"/>
              </w:rPr>
            </w:pPr>
            <w:r w:rsidRPr="009A77C1">
              <w:rPr>
                <w:b/>
                <w:sz w:val="18"/>
                <w:szCs w:val="18"/>
              </w:rPr>
              <w:t>Elevation of groundwater level (m AHD)</w:t>
            </w:r>
          </w:p>
        </w:tc>
        <w:tc>
          <w:tcPr>
            <w:tcW w:w="4001" w:type="dxa"/>
            <w:shd w:val="clear" w:color="auto" w:fill="auto"/>
            <w:vAlign w:val="center"/>
          </w:tcPr>
          <w:p w:rsidR="00F12C87" w:rsidRPr="009A77C1" w:rsidRDefault="00F12C87" w:rsidP="003712E7">
            <w:pPr>
              <w:rPr>
                <w:sz w:val="18"/>
                <w:szCs w:val="18"/>
              </w:rPr>
            </w:pPr>
            <w:r w:rsidRPr="009A77C1">
              <w:rPr>
                <w:sz w:val="18"/>
                <w:szCs w:val="18"/>
              </w:rPr>
              <w:t>Range: 45.3-49.8 m AHD</w:t>
            </w:r>
          </w:p>
          <w:p w:rsidR="00F12C87" w:rsidRPr="009A77C1" w:rsidRDefault="00F12C87" w:rsidP="003712E7">
            <w:pPr>
              <w:rPr>
                <w:sz w:val="18"/>
                <w:szCs w:val="18"/>
              </w:rPr>
            </w:pPr>
            <w:r w:rsidRPr="009A77C1">
              <w:rPr>
                <w:sz w:val="18"/>
                <w:szCs w:val="18"/>
              </w:rPr>
              <w:t>Mean: 47.8 m AHD</w:t>
            </w:r>
          </w:p>
        </w:tc>
        <w:tc>
          <w:tcPr>
            <w:tcW w:w="3621" w:type="dxa"/>
            <w:shd w:val="clear" w:color="auto" w:fill="auto"/>
            <w:vAlign w:val="center"/>
          </w:tcPr>
          <w:p w:rsidR="00F12C87" w:rsidRPr="009A77C1" w:rsidRDefault="00F12C87" w:rsidP="003712E7">
            <w:pPr>
              <w:rPr>
                <w:sz w:val="18"/>
                <w:szCs w:val="18"/>
              </w:rPr>
            </w:pPr>
            <w:r w:rsidRPr="009A77C1">
              <w:rPr>
                <w:sz w:val="18"/>
                <w:szCs w:val="18"/>
              </w:rPr>
              <w:t xml:space="preserve">Based on </w:t>
            </w:r>
            <w:r w:rsidR="004E04FF" w:rsidRPr="009A77C1">
              <w:rPr>
                <w:sz w:val="18"/>
                <w:szCs w:val="18"/>
              </w:rPr>
              <w:t xml:space="preserve">the </w:t>
            </w:r>
            <w:r w:rsidR="00C217F0" w:rsidRPr="009A77C1">
              <w:rPr>
                <w:sz w:val="18"/>
                <w:szCs w:val="18"/>
              </w:rPr>
              <w:t>Calivil Formation</w:t>
            </w:r>
            <w:r w:rsidRPr="009A77C1">
              <w:rPr>
                <w:sz w:val="18"/>
                <w:szCs w:val="18"/>
              </w:rPr>
              <w:t xml:space="preserve"> aquifer potentiometric surface over borefield area for December 2011</w:t>
            </w:r>
            <w:r w:rsidR="00BB2187" w:rsidRPr="009A77C1">
              <w:rPr>
                <w:sz w:val="18"/>
                <w:szCs w:val="18"/>
              </w:rPr>
              <w:t xml:space="preserve"> interpreted from borehole monitoring data.</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b/>
                <w:sz w:val="18"/>
                <w:szCs w:val="18"/>
              </w:rPr>
            </w:pPr>
            <w:r w:rsidRPr="009A77C1">
              <w:rPr>
                <w:b/>
                <w:sz w:val="18"/>
                <w:szCs w:val="18"/>
              </w:rPr>
              <w:t>Depth to groundwater level from ground surface (m)</w:t>
            </w:r>
          </w:p>
        </w:tc>
        <w:tc>
          <w:tcPr>
            <w:tcW w:w="4001" w:type="dxa"/>
            <w:shd w:val="clear" w:color="auto" w:fill="auto"/>
            <w:vAlign w:val="center"/>
          </w:tcPr>
          <w:p w:rsidR="00F12C87" w:rsidRPr="009A77C1" w:rsidRDefault="00F12C87" w:rsidP="003712E7">
            <w:pPr>
              <w:rPr>
                <w:sz w:val="18"/>
                <w:szCs w:val="18"/>
              </w:rPr>
            </w:pPr>
            <w:r w:rsidRPr="009A77C1">
              <w:rPr>
                <w:sz w:val="18"/>
                <w:szCs w:val="18"/>
              </w:rPr>
              <w:t xml:space="preserve">Range: &lt;2 – 18 m </w:t>
            </w:r>
          </w:p>
          <w:p w:rsidR="00F12C87" w:rsidRPr="009A77C1" w:rsidRDefault="00F12C87" w:rsidP="003712E7">
            <w:pPr>
              <w:rPr>
                <w:sz w:val="18"/>
                <w:szCs w:val="18"/>
              </w:rPr>
            </w:pPr>
            <w:r w:rsidRPr="009A77C1">
              <w:rPr>
                <w:sz w:val="18"/>
                <w:szCs w:val="18"/>
              </w:rPr>
              <w:t>Mean: 10</w:t>
            </w:r>
            <w:r w:rsidR="00A62B47" w:rsidRPr="009A77C1">
              <w:rPr>
                <w:sz w:val="18"/>
                <w:szCs w:val="18"/>
              </w:rPr>
              <w:t xml:space="preserve"> </w:t>
            </w:r>
            <w:r w:rsidRPr="009A77C1">
              <w:rPr>
                <w:sz w:val="18"/>
                <w:szCs w:val="18"/>
              </w:rPr>
              <w:t>m</w:t>
            </w:r>
          </w:p>
        </w:tc>
        <w:tc>
          <w:tcPr>
            <w:tcW w:w="3621" w:type="dxa"/>
            <w:shd w:val="clear" w:color="auto" w:fill="auto"/>
            <w:vAlign w:val="center"/>
          </w:tcPr>
          <w:p w:rsidR="00F12C87" w:rsidRPr="009A77C1" w:rsidRDefault="00F12C87" w:rsidP="003712E7">
            <w:pPr>
              <w:rPr>
                <w:sz w:val="18"/>
                <w:szCs w:val="18"/>
              </w:rPr>
            </w:pPr>
            <w:r w:rsidRPr="009A77C1">
              <w:rPr>
                <w:sz w:val="18"/>
                <w:szCs w:val="18"/>
              </w:rPr>
              <w:t xml:space="preserve">Based on difference grid between ground surface and </w:t>
            </w:r>
            <w:r w:rsidR="004E04FF" w:rsidRPr="009A77C1">
              <w:rPr>
                <w:sz w:val="18"/>
                <w:szCs w:val="18"/>
              </w:rPr>
              <w:t xml:space="preserve">the </w:t>
            </w:r>
            <w:r w:rsidR="00BB2187" w:rsidRPr="009A77C1">
              <w:rPr>
                <w:sz w:val="18"/>
                <w:szCs w:val="18"/>
              </w:rPr>
              <w:t xml:space="preserve">interpreted </w:t>
            </w:r>
            <w:r w:rsidR="00C217F0" w:rsidRPr="009A77C1">
              <w:rPr>
                <w:sz w:val="18"/>
                <w:szCs w:val="18"/>
              </w:rPr>
              <w:t>Calivil Formation</w:t>
            </w:r>
            <w:r w:rsidRPr="009A77C1">
              <w:rPr>
                <w:sz w:val="18"/>
                <w:szCs w:val="18"/>
              </w:rPr>
              <w:t xml:space="preserve"> potentiometric surface over target area.</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sz w:val="18"/>
                <w:szCs w:val="18"/>
              </w:rPr>
            </w:pPr>
            <w:r w:rsidRPr="009A77C1">
              <w:rPr>
                <w:b/>
                <w:sz w:val="18"/>
                <w:szCs w:val="18"/>
              </w:rPr>
              <w:t>Groundwater salinity (TDS, mg/L)</w:t>
            </w:r>
          </w:p>
        </w:tc>
        <w:tc>
          <w:tcPr>
            <w:tcW w:w="4001" w:type="dxa"/>
            <w:shd w:val="clear" w:color="auto" w:fill="auto"/>
            <w:vAlign w:val="center"/>
          </w:tcPr>
          <w:p w:rsidR="00F12C87" w:rsidRPr="009A77C1" w:rsidRDefault="00F12C87" w:rsidP="003712E7">
            <w:pPr>
              <w:rPr>
                <w:sz w:val="18"/>
                <w:szCs w:val="18"/>
              </w:rPr>
            </w:pPr>
            <w:r w:rsidRPr="009A77C1">
              <w:rPr>
                <w:sz w:val="18"/>
                <w:szCs w:val="18"/>
              </w:rPr>
              <w:t>&lt;3000 mg/L</w:t>
            </w:r>
          </w:p>
          <w:p w:rsidR="00F12C87" w:rsidRPr="009A77C1" w:rsidRDefault="00BB2187" w:rsidP="003712E7">
            <w:pPr>
              <w:rPr>
                <w:sz w:val="18"/>
                <w:szCs w:val="18"/>
              </w:rPr>
            </w:pPr>
            <w:r w:rsidRPr="009A77C1">
              <w:rPr>
                <w:sz w:val="18"/>
                <w:szCs w:val="18"/>
              </w:rPr>
              <w:t xml:space="preserve">Range: </w:t>
            </w:r>
            <w:r w:rsidR="00F12C87" w:rsidRPr="009A77C1">
              <w:rPr>
                <w:sz w:val="18"/>
                <w:szCs w:val="18"/>
              </w:rPr>
              <w:t>247-1422 mg/L</w:t>
            </w:r>
            <w:r w:rsidRPr="009A77C1">
              <w:rPr>
                <w:sz w:val="18"/>
                <w:szCs w:val="18"/>
              </w:rPr>
              <w:t xml:space="preserve"> Mean: </w:t>
            </w:r>
            <w:r w:rsidR="00F12C87" w:rsidRPr="009A77C1">
              <w:rPr>
                <w:sz w:val="18"/>
                <w:szCs w:val="18"/>
              </w:rPr>
              <w:t>566 mg/L</w:t>
            </w:r>
          </w:p>
        </w:tc>
        <w:tc>
          <w:tcPr>
            <w:tcW w:w="3621" w:type="dxa"/>
            <w:shd w:val="clear" w:color="auto" w:fill="auto"/>
            <w:vAlign w:val="center"/>
          </w:tcPr>
          <w:p w:rsidR="00F12C87" w:rsidRPr="009A77C1" w:rsidRDefault="0021723E" w:rsidP="003712E7">
            <w:pPr>
              <w:rPr>
                <w:sz w:val="18"/>
                <w:szCs w:val="18"/>
              </w:rPr>
            </w:pPr>
            <w:r w:rsidRPr="009A77C1">
              <w:rPr>
                <w:sz w:val="18"/>
                <w:szCs w:val="18"/>
              </w:rPr>
              <w:t>Total dissolved solids (</w:t>
            </w:r>
            <w:r w:rsidR="00F12C87" w:rsidRPr="009A77C1">
              <w:rPr>
                <w:sz w:val="18"/>
                <w:szCs w:val="18"/>
              </w:rPr>
              <w:t>TDS</w:t>
            </w:r>
            <w:r w:rsidRPr="009A77C1">
              <w:rPr>
                <w:sz w:val="18"/>
                <w:szCs w:val="18"/>
              </w:rPr>
              <w:t>)</w:t>
            </w:r>
            <w:r w:rsidR="00F12C87" w:rsidRPr="009A77C1">
              <w:rPr>
                <w:sz w:val="18"/>
                <w:szCs w:val="18"/>
              </w:rPr>
              <w:t xml:space="preserve"> range and average of groundwater sampling from </w:t>
            </w:r>
            <w:r w:rsidR="00C217F0" w:rsidRPr="009A77C1">
              <w:rPr>
                <w:sz w:val="18"/>
                <w:szCs w:val="18"/>
              </w:rPr>
              <w:t>Calivil Formation</w:t>
            </w:r>
            <w:r w:rsidR="00F12C87" w:rsidRPr="009A77C1">
              <w:rPr>
                <w:sz w:val="18"/>
                <w:szCs w:val="18"/>
              </w:rPr>
              <w:t xml:space="preserve"> monitoring bores in target borefield area.</w:t>
            </w:r>
            <w:r w:rsidR="00BB2187" w:rsidRPr="009A77C1">
              <w:rPr>
                <w:sz w:val="18"/>
                <w:szCs w:val="18"/>
              </w:rPr>
              <w:t xml:space="preserve"> These bores tend to target low conductivity AEM z</w:t>
            </w:r>
            <w:r w:rsidR="006F43C3" w:rsidRPr="009A77C1">
              <w:rPr>
                <w:sz w:val="18"/>
                <w:szCs w:val="18"/>
              </w:rPr>
              <w:t>o</w:t>
            </w:r>
            <w:r w:rsidR="00BB2187" w:rsidRPr="009A77C1">
              <w:rPr>
                <w:sz w:val="18"/>
                <w:szCs w:val="18"/>
              </w:rPr>
              <w:t>nes inferred to contain fresher groundwater.</w:t>
            </w:r>
          </w:p>
        </w:tc>
      </w:tr>
      <w:tr w:rsidR="00F12C87" w:rsidRPr="00A62B47" w:rsidTr="00A62B47">
        <w:trPr>
          <w:jc w:val="center"/>
        </w:trPr>
        <w:tc>
          <w:tcPr>
            <w:tcW w:w="1980" w:type="dxa"/>
            <w:shd w:val="clear" w:color="auto" w:fill="A6A6A6"/>
            <w:vAlign w:val="center"/>
          </w:tcPr>
          <w:p w:rsidR="00F12C87" w:rsidRPr="009A77C1" w:rsidRDefault="00F12C87" w:rsidP="00A62B47">
            <w:pPr>
              <w:jc w:val="center"/>
              <w:rPr>
                <w:b/>
                <w:sz w:val="18"/>
                <w:szCs w:val="18"/>
              </w:rPr>
            </w:pPr>
            <w:r w:rsidRPr="009A77C1">
              <w:rPr>
                <w:b/>
                <w:sz w:val="18"/>
                <w:szCs w:val="18"/>
              </w:rPr>
              <w:t>ADWG2011 water quality exceedances</w:t>
            </w:r>
          </w:p>
        </w:tc>
        <w:tc>
          <w:tcPr>
            <w:tcW w:w="4001" w:type="dxa"/>
            <w:shd w:val="clear" w:color="auto" w:fill="auto"/>
            <w:vAlign w:val="center"/>
          </w:tcPr>
          <w:p w:rsidR="00F12C87" w:rsidRPr="009A77C1" w:rsidRDefault="00BB2187" w:rsidP="003712E7">
            <w:pPr>
              <w:rPr>
                <w:sz w:val="18"/>
                <w:szCs w:val="18"/>
              </w:rPr>
            </w:pPr>
            <w:r w:rsidRPr="009A77C1">
              <w:rPr>
                <w:sz w:val="18"/>
                <w:szCs w:val="18"/>
              </w:rPr>
              <w:t>Total Dissolved Solids</w:t>
            </w:r>
            <w:r w:rsidR="00AA4D8A" w:rsidRPr="009A77C1">
              <w:rPr>
                <w:sz w:val="18"/>
                <w:szCs w:val="18"/>
              </w:rPr>
              <w:t xml:space="preserve"> </w:t>
            </w:r>
            <w:r w:rsidR="00F12C87" w:rsidRPr="009A77C1">
              <w:rPr>
                <w:sz w:val="18"/>
                <w:szCs w:val="18"/>
              </w:rPr>
              <w:t>TDS &gt;600 mg/L (31/44)</w:t>
            </w:r>
          </w:p>
          <w:p w:rsidR="00F12C87" w:rsidRPr="009A77C1" w:rsidRDefault="00BB2187" w:rsidP="003712E7">
            <w:pPr>
              <w:rPr>
                <w:sz w:val="18"/>
                <w:szCs w:val="18"/>
              </w:rPr>
            </w:pPr>
            <w:r w:rsidRPr="009A77C1">
              <w:rPr>
                <w:sz w:val="18"/>
                <w:szCs w:val="18"/>
              </w:rPr>
              <w:t>Total Dissolved Solids</w:t>
            </w:r>
            <w:r w:rsidR="00AA4D8A" w:rsidRPr="009A77C1">
              <w:rPr>
                <w:sz w:val="18"/>
                <w:szCs w:val="18"/>
              </w:rPr>
              <w:t xml:space="preserve"> </w:t>
            </w:r>
            <w:r w:rsidR="00F12C87" w:rsidRPr="009A77C1">
              <w:rPr>
                <w:sz w:val="18"/>
                <w:szCs w:val="18"/>
              </w:rPr>
              <w:t>TDS &gt;1200 mg/L (4/44)</w:t>
            </w:r>
          </w:p>
          <w:p w:rsidR="00F12C87" w:rsidRPr="009A77C1" w:rsidRDefault="00F12C87" w:rsidP="003712E7">
            <w:pPr>
              <w:rPr>
                <w:sz w:val="18"/>
                <w:szCs w:val="18"/>
              </w:rPr>
            </w:pPr>
            <w:r w:rsidRPr="009A77C1">
              <w:rPr>
                <w:sz w:val="18"/>
                <w:szCs w:val="18"/>
              </w:rPr>
              <w:t>pH &gt;8.5 (2/44)</w:t>
            </w:r>
          </w:p>
          <w:p w:rsidR="00F12C87" w:rsidRPr="009A77C1" w:rsidRDefault="00F12C87" w:rsidP="003712E7">
            <w:pPr>
              <w:rPr>
                <w:sz w:val="18"/>
                <w:szCs w:val="18"/>
              </w:rPr>
            </w:pPr>
            <w:r w:rsidRPr="009A77C1">
              <w:rPr>
                <w:sz w:val="18"/>
                <w:szCs w:val="18"/>
              </w:rPr>
              <w:t>C</w:t>
            </w:r>
            <w:r w:rsidR="00BB2187" w:rsidRPr="009A77C1">
              <w:rPr>
                <w:sz w:val="18"/>
                <w:szCs w:val="18"/>
              </w:rPr>
              <w:t>hloride Cl</w:t>
            </w:r>
            <w:r w:rsidRPr="009A77C1">
              <w:rPr>
                <w:sz w:val="18"/>
                <w:szCs w:val="18"/>
              </w:rPr>
              <w:t xml:space="preserve"> &gt;250 mg/L (6/44)</w:t>
            </w:r>
          </w:p>
          <w:p w:rsidR="00F12C87" w:rsidRPr="009A77C1" w:rsidRDefault="00BB2187" w:rsidP="003712E7">
            <w:pPr>
              <w:rPr>
                <w:sz w:val="18"/>
                <w:szCs w:val="18"/>
              </w:rPr>
            </w:pPr>
            <w:r w:rsidRPr="009A77C1">
              <w:rPr>
                <w:sz w:val="18"/>
                <w:szCs w:val="18"/>
              </w:rPr>
              <w:t xml:space="preserve">Sodium </w:t>
            </w:r>
            <w:r w:rsidR="00F12C87" w:rsidRPr="009A77C1">
              <w:rPr>
                <w:sz w:val="18"/>
                <w:szCs w:val="18"/>
              </w:rPr>
              <w:t>Na &gt;180 mg/L (9/44)</w:t>
            </w:r>
          </w:p>
          <w:p w:rsidR="00F12C87" w:rsidRPr="009A77C1" w:rsidRDefault="00BB2187" w:rsidP="003712E7">
            <w:pPr>
              <w:rPr>
                <w:sz w:val="18"/>
                <w:szCs w:val="18"/>
              </w:rPr>
            </w:pPr>
            <w:r w:rsidRPr="009A77C1">
              <w:rPr>
                <w:sz w:val="18"/>
                <w:szCs w:val="18"/>
              </w:rPr>
              <w:t xml:space="preserve">Sulfate </w:t>
            </w:r>
            <w:r w:rsidR="00F12C87" w:rsidRPr="009A77C1">
              <w:rPr>
                <w:sz w:val="18"/>
                <w:szCs w:val="18"/>
              </w:rPr>
              <w:t>SO</w:t>
            </w:r>
            <w:r w:rsidR="00F12C87" w:rsidRPr="009A77C1">
              <w:rPr>
                <w:sz w:val="18"/>
                <w:szCs w:val="18"/>
                <w:vertAlign w:val="subscript"/>
              </w:rPr>
              <w:t>4</w:t>
            </w:r>
            <w:r w:rsidR="00F12C87" w:rsidRPr="009A77C1">
              <w:rPr>
                <w:sz w:val="18"/>
                <w:szCs w:val="18"/>
              </w:rPr>
              <w:t xml:space="preserve"> &gt;250 mg/L (2/44)</w:t>
            </w:r>
          </w:p>
          <w:p w:rsidR="00F12C87" w:rsidRPr="009A77C1" w:rsidRDefault="00BB2187" w:rsidP="003712E7">
            <w:pPr>
              <w:rPr>
                <w:sz w:val="18"/>
                <w:szCs w:val="18"/>
                <w:lang w:val="it-IT"/>
              </w:rPr>
            </w:pPr>
            <w:r w:rsidRPr="009A77C1">
              <w:rPr>
                <w:sz w:val="18"/>
                <w:szCs w:val="18"/>
                <w:lang w:val="it-IT"/>
              </w:rPr>
              <w:t xml:space="preserve">Iron </w:t>
            </w:r>
            <w:r w:rsidR="00F12C87" w:rsidRPr="009A77C1">
              <w:rPr>
                <w:sz w:val="18"/>
                <w:szCs w:val="18"/>
                <w:lang w:val="it-IT"/>
              </w:rPr>
              <w:t>Fe &gt;0.3 mg/L (9/44)</w:t>
            </w:r>
          </w:p>
          <w:p w:rsidR="00F12C87" w:rsidRPr="009A77C1" w:rsidRDefault="00BB2187" w:rsidP="003712E7">
            <w:pPr>
              <w:rPr>
                <w:sz w:val="18"/>
                <w:szCs w:val="18"/>
                <w:lang w:val="it-IT"/>
              </w:rPr>
            </w:pPr>
            <w:r w:rsidRPr="009A77C1">
              <w:rPr>
                <w:sz w:val="18"/>
                <w:szCs w:val="18"/>
                <w:lang w:val="it-IT"/>
              </w:rPr>
              <w:t>Ma</w:t>
            </w:r>
            <w:r w:rsidR="00AA4D8A" w:rsidRPr="009A77C1">
              <w:rPr>
                <w:sz w:val="18"/>
                <w:szCs w:val="18"/>
                <w:lang w:val="it-IT"/>
              </w:rPr>
              <w:t>n</w:t>
            </w:r>
            <w:r w:rsidRPr="009A77C1">
              <w:rPr>
                <w:sz w:val="18"/>
                <w:szCs w:val="18"/>
                <w:lang w:val="it-IT"/>
              </w:rPr>
              <w:t xml:space="preserve">ganese </w:t>
            </w:r>
            <w:r w:rsidR="00F12C87" w:rsidRPr="009A77C1">
              <w:rPr>
                <w:sz w:val="18"/>
                <w:szCs w:val="18"/>
                <w:lang w:val="it-IT"/>
              </w:rPr>
              <w:t>Mn &gt;0.1 mg/L (41/44)</w:t>
            </w:r>
          </w:p>
          <w:p w:rsidR="00F12C87" w:rsidRPr="009A77C1" w:rsidRDefault="00BB2187" w:rsidP="003712E7">
            <w:pPr>
              <w:rPr>
                <w:sz w:val="18"/>
                <w:szCs w:val="18"/>
              </w:rPr>
            </w:pPr>
            <w:r w:rsidRPr="009A77C1">
              <w:rPr>
                <w:sz w:val="18"/>
                <w:szCs w:val="18"/>
              </w:rPr>
              <w:t xml:space="preserve">Arsenic </w:t>
            </w:r>
            <w:r w:rsidR="00F12C87" w:rsidRPr="009A77C1">
              <w:rPr>
                <w:sz w:val="18"/>
                <w:szCs w:val="18"/>
              </w:rPr>
              <w:t>As &gt;10 µg/L (1/44)</w:t>
            </w:r>
          </w:p>
          <w:p w:rsidR="00F12C87" w:rsidRPr="009A77C1" w:rsidRDefault="00062DCF" w:rsidP="003712E7">
            <w:pPr>
              <w:rPr>
                <w:sz w:val="18"/>
                <w:szCs w:val="18"/>
              </w:rPr>
            </w:pPr>
            <w:r w:rsidRPr="009A77C1">
              <w:rPr>
                <w:sz w:val="18"/>
                <w:szCs w:val="18"/>
              </w:rPr>
              <w:t>Ammonia</w:t>
            </w:r>
            <w:r w:rsidR="00BB2187" w:rsidRPr="009A77C1">
              <w:rPr>
                <w:sz w:val="18"/>
                <w:szCs w:val="18"/>
              </w:rPr>
              <w:t xml:space="preserve"> </w:t>
            </w:r>
            <w:r w:rsidR="00F12C87" w:rsidRPr="009A77C1">
              <w:rPr>
                <w:sz w:val="18"/>
                <w:szCs w:val="18"/>
              </w:rPr>
              <w:t>NH</w:t>
            </w:r>
            <w:r w:rsidR="00F12C87" w:rsidRPr="009A77C1">
              <w:rPr>
                <w:sz w:val="18"/>
                <w:szCs w:val="18"/>
                <w:vertAlign w:val="subscript"/>
              </w:rPr>
              <w:t xml:space="preserve">3 </w:t>
            </w:r>
            <w:r w:rsidR="00F12C87" w:rsidRPr="009A77C1">
              <w:rPr>
                <w:sz w:val="18"/>
                <w:szCs w:val="18"/>
              </w:rPr>
              <w:t>&gt;0.39 mg/L-N (12/43)</w:t>
            </w:r>
          </w:p>
        </w:tc>
        <w:tc>
          <w:tcPr>
            <w:tcW w:w="3621" w:type="dxa"/>
            <w:shd w:val="clear" w:color="auto" w:fill="auto"/>
            <w:vAlign w:val="center"/>
          </w:tcPr>
          <w:p w:rsidR="00F12C87" w:rsidRPr="009A77C1" w:rsidRDefault="00062DCF" w:rsidP="003712E7">
            <w:pPr>
              <w:rPr>
                <w:sz w:val="18"/>
                <w:szCs w:val="18"/>
              </w:rPr>
            </w:pPr>
            <w:r w:rsidRPr="009A77C1">
              <w:rPr>
                <w:sz w:val="18"/>
                <w:szCs w:val="18"/>
              </w:rPr>
              <w:t>A</w:t>
            </w:r>
            <w:r w:rsidR="00B81A6B" w:rsidRPr="009A77C1">
              <w:rPr>
                <w:sz w:val="18"/>
                <w:szCs w:val="18"/>
              </w:rPr>
              <w:t>ustralian Drinking Water Guidelines</w:t>
            </w:r>
            <w:r w:rsidRPr="009A77C1">
              <w:rPr>
                <w:sz w:val="18"/>
                <w:szCs w:val="18"/>
              </w:rPr>
              <w:t xml:space="preserve"> (ADWG2011) exceedances for 44 g</w:t>
            </w:r>
            <w:r w:rsidR="00F12C87" w:rsidRPr="009A77C1">
              <w:rPr>
                <w:sz w:val="18"/>
                <w:szCs w:val="18"/>
              </w:rPr>
              <w:t>roundwater sampl</w:t>
            </w:r>
            <w:r w:rsidRPr="009A77C1">
              <w:rPr>
                <w:sz w:val="18"/>
                <w:szCs w:val="18"/>
              </w:rPr>
              <w:t>es</w:t>
            </w:r>
            <w:r w:rsidR="00F12C87" w:rsidRPr="009A77C1">
              <w:rPr>
                <w:sz w:val="18"/>
                <w:szCs w:val="18"/>
              </w:rPr>
              <w:t xml:space="preserve"> from BHMAR33-2, 33-3, 33-4, 33-5, 33-6, 33-7, 33-8, 33-9, 61-2, 77-2, 77-3, 77-4, 77-5, 80A-2, 80A-5, 80A-7, 80B-2, 83-2, 84-2, 92-1 and 99-1.</w:t>
            </w:r>
          </w:p>
        </w:tc>
      </w:tr>
    </w:tbl>
    <w:p w:rsidR="00EE7B3C" w:rsidRPr="00C17659" w:rsidRDefault="00B349DB" w:rsidP="006F43C3">
      <w:pPr>
        <w:pStyle w:val="BodyText2Notes"/>
        <w:rPr>
          <w:bCs/>
          <w:szCs w:val="18"/>
        </w:rPr>
      </w:pPr>
      <w:r>
        <w:t>N</w:t>
      </w:r>
      <w:r w:rsidR="000C090A">
        <w:t>ote: The NMR data in this table</w:t>
      </w:r>
      <w:r>
        <w:t xml:space="preserve"> were collected in 2011 using the Javelin tool with an inter-echo spacing of 2.5 ms. Subsequent laboratory and field tests have demonstrated that this setting underestimates the free and total water content, and derived porosities, and should only be used on a semi-quantitative comparative basis. The NMR data may also be unreliable in zones where there is significant iron-(hematite) coating of quartz grains.</w:t>
      </w:r>
      <w:r w:rsidR="004A48E6">
        <w:rPr>
          <w:b/>
        </w:rPr>
        <w:br w:type="page"/>
      </w:r>
      <w:r w:rsidR="00EE7B3C" w:rsidRPr="00F25A1E">
        <w:rPr>
          <w:b/>
          <w:bCs/>
          <w:i/>
          <w:szCs w:val="18"/>
        </w:rPr>
        <w:lastRenderedPageBreak/>
        <w:t xml:space="preserve">Table </w:t>
      </w:r>
      <w:r w:rsidR="00160912" w:rsidRPr="00F25A1E">
        <w:rPr>
          <w:b/>
          <w:bCs/>
          <w:i/>
          <w:szCs w:val="18"/>
        </w:rPr>
        <w:t>D</w:t>
      </w:r>
      <w:r w:rsidR="00EE7B3C" w:rsidRPr="00F25A1E">
        <w:rPr>
          <w:b/>
          <w:bCs/>
          <w:i/>
          <w:szCs w:val="18"/>
        </w:rPr>
        <w:t>.</w:t>
      </w:r>
      <w:r w:rsidR="00EE7B3C" w:rsidRPr="00F25A1E">
        <w:rPr>
          <w:bCs/>
          <w:i/>
          <w:szCs w:val="18"/>
        </w:rPr>
        <w:t xml:space="preserve"> Maximal risk assessment summary</w:t>
      </w:r>
      <w:r w:rsidR="001A311F">
        <w:rPr>
          <w:bCs/>
          <w:i/>
          <w:szCs w:val="18"/>
        </w:rPr>
        <w:t xml:space="preserve"> for Jimargil site</w:t>
      </w:r>
      <w:r w:rsidR="00EE7B3C" w:rsidRPr="00F25A1E">
        <w:rPr>
          <w:bCs/>
          <w:i/>
          <w:szCs w:val="18"/>
        </w:rPr>
        <w:t>. For each hazard where the 95</w:t>
      </w:r>
      <w:r w:rsidR="00EE7B3C" w:rsidRPr="0001688B">
        <w:rPr>
          <w:bCs/>
          <w:i/>
          <w:szCs w:val="18"/>
          <w:vertAlign w:val="superscript"/>
        </w:rPr>
        <w:t>th</w:t>
      </w:r>
      <w:r w:rsidR="00EE7B3C" w:rsidRPr="00F25A1E">
        <w:rPr>
          <w:bCs/>
          <w:i/>
          <w:szCs w:val="18"/>
        </w:rPr>
        <w:t xml:space="preserve"> percentile value exceeded the water quality guideline the risk was deemed high (coloured red); where the 95</w:t>
      </w:r>
      <w:r w:rsidR="00EE7B3C" w:rsidRPr="0001688B">
        <w:rPr>
          <w:bCs/>
          <w:i/>
          <w:szCs w:val="18"/>
          <w:vertAlign w:val="superscript"/>
        </w:rPr>
        <w:t>th</w:t>
      </w:r>
      <w:r w:rsidR="00EE7B3C" w:rsidRPr="00F25A1E">
        <w:rPr>
          <w:bCs/>
          <w:i/>
          <w:szCs w:val="18"/>
        </w:rPr>
        <w:t xml:space="preserve"> percentile was below it was considered low (coloured green); and where the value was unknown it was labelled unknown (coloured orange). </w:t>
      </w:r>
      <w:r w:rsidR="00EE7B3C" w:rsidRPr="00C17659">
        <w:rPr>
          <w:bCs/>
          <w:szCs w:val="18"/>
        </w:rPr>
        <w:fldChar w:fldCharType="begin"/>
      </w:r>
      <w:r w:rsidR="00EE7B3C" w:rsidRPr="00C17659">
        <w:rPr>
          <w:bCs/>
          <w:szCs w:val="18"/>
        </w:rPr>
        <w:instrText xml:space="preserve"> TC "</w:instrText>
      </w:r>
      <w:bookmarkStart w:id="51" w:name="_Toc325975294"/>
      <w:bookmarkStart w:id="52" w:name="_Toc390690282"/>
      <w:r w:rsidR="00EE7B3C" w:rsidRPr="00C17659">
        <w:rPr>
          <w:bCs/>
          <w:szCs w:val="18"/>
        </w:rPr>
        <w:instrText xml:space="preserve">Table </w:instrText>
      </w:r>
      <w:r w:rsidR="00160912" w:rsidRPr="00C17659">
        <w:rPr>
          <w:bCs/>
          <w:szCs w:val="18"/>
        </w:rPr>
        <w:instrText>D</w:instrText>
      </w:r>
      <w:r w:rsidR="00497AD3" w:rsidRPr="00C17659">
        <w:rPr>
          <w:bCs/>
          <w:szCs w:val="18"/>
        </w:rPr>
        <w:instrText>.</w:instrText>
      </w:r>
      <w:r w:rsidR="00EE7B3C" w:rsidRPr="00C17659">
        <w:rPr>
          <w:bCs/>
          <w:szCs w:val="18"/>
        </w:rPr>
        <w:instrText xml:space="preserve"> Maximal risk assessment summary</w:instrText>
      </w:r>
      <w:bookmarkEnd w:id="51"/>
      <w:r w:rsidR="001A311F">
        <w:rPr>
          <w:bCs/>
          <w:szCs w:val="18"/>
        </w:rPr>
        <w:instrText xml:space="preserve"> for Jimargil site</w:instrText>
      </w:r>
      <w:bookmarkEnd w:id="52"/>
      <w:r w:rsidR="00EE7B3C" w:rsidRPr="00C17659">
        <w:rPr>
          <w:bCs/>
          <w:szCs w:val="18"/>
        </w:rPr>
        <w:instrText xml:space="preserve">" \f B \l "4" </w:instrText>
      </w:r>
      <w:r w:rsidR="00EE7B3C" w:rsidRPr="00C17659">
        <w:rPr>
          <w:bCs/>
          <w:szCs w:val="18"/>
        </w:rPr>
        <w:fldChar w:fldCharType="end"/>
      </w:r>
    </w:p>
    <w:tbl>
      <w:tblPr>
        <w:tblW w:w="9180" w:type="dxa"/>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8"/>
        <w:gridCol w:w="1876"/>
        <w:gridCol w:w="1876"/>
      </w:tblGrid>
      <w:tr w:rsidR="00EE7B3C" w:rsidRPr="00A62B47" w:rsidTr="00001EDC">
        <w:trPr>
          <w:cantSplit/>
          <w:trHeight w:val="342"/>
          <w:jc w:val="center"/>
        </w:trPr>
        <w:tc>
          <w:tcPr>
            <w:tcW w:w="5428" w:type="dxa"/>
            <w:vMerge w:val="restart"/>
            <w:shd w:val="clear" w:color="auto" w:fill="E6E6E6"/>
            <w:vAlign w:val="center"/>
          </w:tcPr>
          <w:p w:rsidR="00EE7B3C" w:rsidRPr="00A62B47" w:rsidRDefault="00EE7B3C" w:rsidP="00160912">
            <w:pPr>
              <w:spacing w:before="60"/>
              <w:rPr>
                <w:sz w:val="20"/>
                <w:szCs w:val="20"/>
              </w:rPr>
            </w:pPr>
            <w:r w:rsidRPr="00A62B47">
              <w:br w:type="page"/>
            </w:r>
            <w:r w:rsidRPr="00A62B47">
              <w:br w:type="page"/>
            </w:r>
            <w:r w:rsidRPr="00A62B47">
              <w:rPr>
                <w:b/>
                <w:sz w:val="20"/>
                <w:szCs w:val="20"/>
              </w:rPr>
              <w:t xml:space="preserve">MAR Hazards </w:t>
            </w:r>
          </w:p>
        </w:tc>
        <w:tc>
          <w:tcPr>
            <w:tcW w:w="3752" w:type="dxa"/>
            <w:gridSpan w:val="2"/>
            <w:shd w:val="clear" w:color="auto" w:fill="E6E6E6"/>
            <w:vAlign w:val="center"/>
          </w:tcPr>
          <w:p w:rsidR="00EE7B3C" w:rsidRPr="00A62B47" w:rsidRDefault="00EE7B3C" w:rsidP="00160912">
            <w:pPr>
              <w:spacing w:before="60"/>
              <w:jc w:val="center"/>
              <w:rPr>
                <w:b/>
                <w:sz w:val="20"/>
                <w:szCs w:val="20"/>
              </w:rPr>
            </w:pPr>
            <w:r w:rsidRPr="00A62B47">
              <w:rPr>
                <w:b/>
                <w:sz w:val="20"/>
                <w:szCs w:val="20"/>
              </w:rPr>
              <w:t>End points</w:t>
            </w:r>
          </w:p>
        </w:tc>
      </w:tr>
      <w:tr w:rsidR="00EE7B3C" w:rsidRPr="00A62B47" w:rsidTr="00001EDC">
        <w:trPr>
          <w:cantSplit/>
          <w:trHeight w:val="352"/>
          <w:jc w:val="center"/>
        </w:trPr>
        <w:tc>
          <w:tcPr>
            <w:tcW w:w="5428" w:type="dxa"/>
            <w:vMerge/>
            <w:shd w:val="clear" w:color="auto" w:fill="E6E6E6"/>
            <w:vAlign w:val="center"/>
          </w:tcPr>
          <w:p w:rsidR="00EE7B3C" w:rsidRPr="00A62B47" w:rsidRDefault="00EE7B3C" w:rsidP="00160912">
            <w:pPr>
              <w:spacing w:before="60"/>
              <w:rPr>
                <w:sz w:val="20"/>
                <w:szCs w:val="20"/>
              </w:rPr>
            </w:pPr>
          </w:p>
        </w:tc>
        <w:tc>
          <w:tcPr>
            <w:tcW w:w="1876" w:type="dxa"/>
            <w:shd w:val="clear" w:color="auto" w:fill="E6E6E6"/>
            <w:vAlign w:val="center"/>
          </w:tcPr>
          <w:p w:rsidR="00EE7B3C" w:rsidRPr="00A62B47" w:rsidRDefault="00EE7B3C" w:rsidP="00160912">
            <w:pPr>
              <w:spacing w:before="60"/>
              <w:jc w:val="center"/>
              <w:rPr>
                <w:b/>
                <w:sz w:val="20"/>
                <w:szCs w:val="20"/>
              </w:rPr>
            </w:pPr>
            <w:r w:rsidRPr="00A62B47">
              <w:rPr>
                <w:b/>
                <w:sz w:val="20"/>
                <w:szCs w:val="20"/>
              </w:rPr>
              <w:t>Human</w:t>
            </w:r>
          </w:p>
        </w:tc>
        <w:tc>
          <w:tcPr>
            <w:tcW w:w="1876" w:type="dxa"/>
            <w:shd w:val="clear" w:color="auto" w:fill="E6E6E6"/>
            <w:vAlign w:val="center"/>
          </w:tcPr>
          <w:p w:rsidR="00EE7B3C" w:rsidRPr="00A62B47" w:rsidRDefault="00EE7B3C" w:rsidP="00160912">
            <w:pPr>
              <w:spacing w:before="60"/>
              <w:jc w:val="center"/>
              <w:rPr>
                <w:b/>
                <w:sz w:val="20"/>
                <w:szCs w:val="20"/>
              </w:rPr>
            </w:pPr>
            <w:r w:rsidRPr="00A62B47">
              <w:rPr>
                <w:b/>
                <w:sz w:val="20"/>
                <w:szCs w:val="20"/>
              </w:rPr>
              <w:t>Environmental</w:t>
            </w:r>
          </w:p>
        </w:tc>
      </w:tr>
      <w:tr w:rsidR="00EE7B3C" w:rsidRPr="00A62B47" w:rsidTr="00001EDC">
        <w:trPr>
          <w:jc w:val="center"/>
        </w:trPr>
        <w:tc>
          <w:tcPr>
            <w:tcW w:w="5428" w:type="dxa"/>
          </w:tcPr>
          <w:p w:rsidR="00EE7B3C" w:rsidRPr="00A62B47" w:rsidRDefault="00EE7B3C" w:rsidP="00160912">
            <w:pPr>
              <w:spacing w:before="60"/>
              <w:rPr>
                <w:sz w:val="18"/>
                <w:szCs w:val="18"/>
              </w:rPr>
            </w:pPr>
            <w:r w:rsidRPr="00A62B47">
              <w:rPr>
                <w:sz w:val="18"/>
                <w:szCs w:val="18"/>
              </w:rPr>
              <w:t>1. Pathogens</w:t>
            </w:r>
          </w:p>
        </w:tc>
        <w:tc>
          <w:tcPr>
            <w:tcW w:w="1876" w:type="dxa"/>
            <w:shd w:val="clear" w:color="auto" w:fill="FF0000"/>
          </w:tcPr>
          <w:p w:rsidR="00EE7B3C" w:rsidRPr="00A62B47" w:rsidRDefault="00EE7B3C" w:rsidP="00160912">
            <w:pPr>
              <w:spacing w:before="60"/>
              <w:jc w:val="center"/>
              <w:rPr>
                <w:b/>
                <w:color w:val="FFFFFF"/>
                <w:sz w:val="18"/>
                <w:szCs w:val="18"/>
              </w:rPr>
            </w:pPr>
            <w:r w:rsidRPr="00A62B47">
              <w:rPr>
                <w:b/>
                <w:color w:val="FFFFFF"/>
                <w:sz w:val="18"/>
                <w:szCs w:val="18"/>
              </w:rPr>
              <w:t>High</w:t>
            </w:r>
          </w:p>
        </w:tc>
        <w:tc>
          <w:tcPr>
            <w:tcW w:w="1876" w:type="dxa"/>
            <w:shd w:val="clear" w:color="auto" w:fill="99FF33"/>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2. Inorganic chemicals</w:t>
            </w:r>
          </w:p>
        </w:tc>
        <w:tc>
          <w:tcPr>
            <w:tcW w:w="1876" w:type="dxa"/>
            <w:shd w:val="clear" w:color="auto" w:fill="FF0000"/>
            <w:vAlign w:val="center"/>
          </w:tcPr>
          <w:p w:rsidR="00EE7B3C" w:rsidRPr="00A62B47" w:rsidRDefault="00EE7B3C" w:rsidP="00160912">
            <w:pPr>
              <w:spacing w:before="60"/>
              <w:jc w:val="center"/>
              <w:rPr>
                <w:color w:val="FFFFFF"/>
                <w:sz w:val="18"/>
                <w:szCs w:val="18"/>
              </w:rPr>
            </w:pPr>
            <w:r w:rsidRPr="00A62B47">
              <w:rPr>
                <w:b/>
                <w:color w:val="FFFFFF"/>
                <w:sz w:val="18"/>
                <w:szCs w:val="18"/>
              </w:rPr>
              <w:t>High</w:t>
            </w:r>
          </w:p>
        </w:tc>
        <w:tc>
          <w:tcPr>
            <w:tcW w:w="1876" w:type="dxa"/>
            <w:shd w:val="clear" w:color="auto" w:fill="FF9900"/>
            <w:vAlign w:val="center"/>
          </w:tcPr>
          <w:p w:rsidR="00EE7B3C" w:rsidRPr="00A62B47" w:rsidRDefault="00EE7B3C" w:rsidP="00160912">
            <w:pPr>
              <w:spacing w:before="60"/>
              <w:jc w:val="center"/>
              <w:rPr>
                <w:sz w:val="18"/>
                <w:szCs w:val="18"/>
              </w:rPr>
            </w:pPr>
            <w:r w:rsidRPr="00A62B47">
              <w:rPr>
                <w:b/>
                <w:sz w:val="18"/>
                <w:szCs w:val="18"/>
              </w:rPr>
              <w:t>Unknown</w:t>
            </w:r>
          </w:p>
        </w:tc>
      </w:tr>
      <w:tr w:rsidR="00EE7B3C" w:rsidRPr="00A62B47" w:rsidTr="00001EDC">
        <w:trPr>
          <w:jc w:val="center"/>
        </w:trPr>
        <w:tc>
          <w:tcPr>
            <w:tcW w:w="5428" w:type="dxa"/>
          </w:tcPr>
          <w:p w:rsidR="00EE7B3C" w:rsidRPr="00A62B47" w:rsidRDefault="00EE7B3C" w:rsidP="00160912">
            <w:pPr>
              <w:spacing w:before="60"/>
              <w:rPr>
                <w:sz w:val="18"/>
                <w:szCs w:val="18"/>
              </w:rPr>
            </w:pPr>
            <w:r w:rsidRPr="00A62B47">
              <w:rPr>
                <w:sz w:val="18"/>
                <w:szCs w:val="18"/>
              </w:rPr>
              <w:t>3. Salinity and sodicity</w:t>
            </w:r>
          </w:p>
        </w:tc>
        <w:tc>
          <w:tcPr>
            <w:tcW w:w="1876" w:type="dxa"/>
            <w:shd w:val="clear" w:color="auto" w:fill="FF0000"/>
          </w:tcPr>
          <w:p w:rsidR="00EE7B3C" w:rsidRPr="00A62B47" w:rsidRDefault="00EE7B3C" w:rsidP="00160912">
            <w:pPr>
              <w:spacing w:before="60"/>
              <w:jc w:val="center"/>
              <w:rPr>
                <w:b/>
                <w:color w:val="FFFFFF"/>
                <w:sz w:val="18"/>
                <w:szCs w:val="18"/>
              </w:rPr>
            </w:pPr>
            <w:r w:rsidRPr="00A62B47">
              <w:rPr>
                <w:b/>
                <w:color w:val="FFFFFF"/>
                <w:sz w:val="18"/>
                <w:szCs w:val="18"/>
              </w:rPr>
              <w:t>High</w:t>
            </w:r>
          </w:p>
        </w:tc>
        <w:tc>
          <w:tcPr>
            <w:tcW w:w="1876" w:type="dxa"/>
            <w:shd w:val="clear" w:color="auto" w:fill="FF9900"/>
          </w:tcPr>
          <w:p w:rsidR="00EE7B3C" w:rsidRPr="00A62B47" w:rsidRDefault="00EE7B3C" w:rsidP="00160912">
            <w:pPr>
              <w:spacing w:before="60"/>
              <w:jc w:val="center"/>
              <w:rPr>
                <w:b/>
                <w:sz w:val="18"/>
                <w:szCs w:val="18"/>
                <w:highlight w:val="red"/>
              </w:rPr>
            </w:pPr>
            <w:r w:rsidRPr="00A62B47">
              <w:rPr>
                <w:b/>
                <w:sz w:val="18"/>
                <w:szCs w:val="18"/>
              </w:rPr>
              <w:t>Unknown</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4. Nutrients: nitrogen, phosphorous and organic carbon</w:t>
            </w:r>
          </w:p>
        </w:tc>
        <w:tc>
          <w:tcPr>
            <w:tcW w:w="1876" w:type="dxa"/>
            <w:shd w:val="clear" w:color="auto" w:fill="FF9900"/>
            <w:vAlign w:val="center"/>
          </w:tcPr>
          <w:p w:rsidR="00EE7B3C" w:rsidRPr="00A62B47" w:rsidRDefault="00EE7B3C" w:rsidP="00160912">
            <w:pPr>
              <w:spacing w:before="60"/>
              <w:jc w:val="center"/>
              <w:rPr>
                <w:sz w:val="18"/>
                <w:szCs w:val="18"/>
              </w:rPr>
            </w:pPr>
            <w:r w:rsidRPr="00A62B47">
              <w:rPr>
                <w:b/>
                <w:sz w:val="18"/>
                <w:szCs w:val="18"/>
              </w:rPr>
              <w:t>Unknown</w:t>
            </w:r>
          </w:p>
        </w:tc>
        <w:tc>
          <w:tcPr>
            <w:tcW w:w="1876" w:type="dxa"/>
            <w:shd w:val="clear" w:color="auto" w:fill="FF9900"/>
            <w:vAlign w:val="center"/>
          </w:tcPr>
          <w:p w:rsidR="00EE7B3C" w:rsidRPr="00A62B47" w:rsidRDefault="00EE7B3C" w:rsidP="00160912">
            <w:pPr>
              <w:spacing w:before="60"/>
              <w:jc w:val="center"/>
              <w:rPr>
                <w:sz w:val="18"/>
                <w:szCs w:val="18"/>
              </w:rPr>
            </w:pPr>
            <w:r w:rsidRPr="00A62B47">
              <w:rPr>
                <w:b/>
                <w:sz w:val="18"/>
                <w:szCs w:val="18"/>
              </w:rPr>
              <w:t>Unknown</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5. Organic chemicals</w:t>
            </w:r>
          </w:p>
        </w:tc>
        <w:tc>
          <w:tcPr>
            <w:tcW w:w="1876" w:type="dxa"/>
            <w:shd w:val="clear" w:color="auto" w:fill="FF9900"/>
            <w:vAlign w:val="center"/>
          </w:tcPr>
          <w:p w:rsidR="00EE7B3C" w:rsidRPr="00A62B47" w:rsidRDefault="00EE7B3C" w:rsidP="00160912">
            <w:pPr>
              <w:spacing w:before="60"/>
              <w:jc w:val="center"/>
              <w:rPr>
                <w:sz w:val="18"/>
                <w:szCs w:val="18"/>
              </w:rPr>
            </w:pPr>
            <w:r w:rsidRPr="00A62B47">
              <w:rPr>
                <w:b/>
                <w:sz w:val="18"/>
                <w:szCs w:val="18"/>
              </w:rPr>
              <w:t>Unknown</w:t>
            </w:r>
          </w:p>
        </w:tc>
        <w:tc>
          <w:tcPr>
            <w:tcW w:w="1876" w:type="dxa"/>
            <w:shd w:val="clear" w:color="auto" w:fill="FF9900"/>
            <w:vAlign w:val="center"/>
          </w:tcPr>
          <w:p w:rsidR="00EE7B3C" w:rsidRPr="00A62B47" w:rsidRDefault="00EE7B3C" w:rsidP="00160912">
            <w:pPr>
              <w:spacing w:before="60"/>
              <w:jc w:val="center"/>
              <w:rPr>
                <w:sz w:val="18"/>
                <w:szCs w:val="18"/>
              </w:rPr>
            </w:pPr>
            <w:r w:rsidRPr="00A62B47">
              <w:rPr>
                <w:b/>
                <w:sz w:val="18"/>
                <w:szCs w:val="18"/>
              </w:rPr>
              <w:t>Unknown</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6. Turbidity and particulates</w:t>
            </w:r>
          </w:p>
        </w:tc>
        <w:tc>
          <w:tcPr>
            <w:tcW w:w="1876" w:type="dxa"/>
            <w:shd w:val="clear" w:color="auto" w:fill="FF0000"/>
            <w:vAlign w:val="center"/>
          </w:tcPr>
          <w:p w:rsidR="00EE7B3C" w:rsidRPr="00A62B47" w:rsidRDefault="00EE7B3C" w:rsidP="00160912">
            <w:pPr>
              <w:spacing w:before="60"/>
              <w:jc w:val="center"/>
              <w:rPr>
                <w:color w:val="FFFFFF"/>
                <w:sz w:val="18"/>
                <w:szCs w:val="18"/>
              </w:rPr>
            </w:pPr>
            <w:r w:rsidRPr="00A62B47">
              <w:rPr>
                <w:b/>
                <w:color w:val="FFFFFF"/>
                <w:sz w:val="18"/>
                <w:szCs w:val="18"/>
              </w:rPr>
              <w:t>High</w:t>
            </w:r>
          </w:p>
        </w:tc>
        <w:tc>
          <w:tcPr>
            <w:tcW w:w="1876" w:type="dxa"/>
            <w:shd w:val="clear" w:color="auto" w:fill="FF9900"/>
            <w:vAlign w:val="center"/>
          </w:tcPr>
          <w:p w:rsidR="00EE7B3C" w:rsidRPr="00A62B47" w:rsidRDefault="00EE7B3C" w:rsidP="00160912">
            <w:pPr>
              <w:spacing w:before="60"/>
              <w:jc w:val="center"/>
              <w:rPr>
                <w:sz w:val="18"/>
                <w:szCs w:val="18"/>
              </w:rPr>
            </w:pPr>
            <w:r w:rsidRPr="00A62B47">
              <w:rPr>
                <w:b/>
                <w:sz w:val="18"/>
                <w:szCs w:val="18"/>
              </w:rPr>
              <w:t>Unknown</w:t>
            </w:r>
          </w:p>
        </w:tc>
      </w:tr>
      <w:tr w:rsidR="00EE7B3C" w:rsidRPr="00A62B47" w:rsidTr="00001EDC">
        <w:trPr>
          <w:jc w:val="center"/>
        </w:trPr>
        <w:tc>
          <w:tcPr>
            <w:tcW w:w="5428" w:type="dxa"/>
          </w:tcPr>
          <w:p w:rsidR="00EE7B3C" w:rsidRPr="00A62B47" w:rsidRDefault="00EE7B3C" w:rsidP="00160912">
            <w:pPr>
              <w:spacing w:before="60"/>
              <w:rPr>
                <w:sz w:val="18"/>
                <w:szCs w:val="18"/>
              </w:rPr>
            </w:pPr>
            <w:r w:rsidRPr="00A62B47">
              <w:rPr>
                <w:sz w:val="18"/>
                <w:szCs w:val="18"/>
              </w:rPr>
              <w:t>7. Radionuclides</w:t>
            </w:r>
          </w:p>
        </w:tc>
        <w:tc>
          <w:tcPr>
            <w:tcW w:w="1876" w:type="dxa"/>
            <w:shd w:val="clear" w:color="auto" w:fill="99FF33"/>
          </w:tcPr>
          <w:p w:rsidR="00EE7B3C" w:rsidRPr="00A62B47" w:rsidRDefault="00EE7B3C" w:rsidP="00160912">
            <w:pPr>
              <w:spacing w:before="60"/>
              <w:jc w:val="center"/>
              <w:rPr>
                <w:sz w:val="18"/>
                <w:szCs w:val="18"/>
              </w:rPr>
            </w:pPr>
            <w:r w:rsidRPr="00A62B47">
              <w:rPr>
                <w:b/>
                <w:sz w:val="18"/>
                <w:szCs w:val="18"/>
              </w:rPr>
              <w:t>Low</w:t>
            </w:r>
          </w:p>
        </w:tc>
        <w:tc>
          <w:tcPr>
            <w:tcW w:w="1876" w:type="dxa"/>
            <w:shd w:val="clear" w:color="auto" w:fill="99FF33"/>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jc w:val="center"/>
        </w:trPr>
        <w:tc>
          <w:tcPr>
            <w:tcW w:w="5428" w:type="dxa"/>
          </w:tcPr>
          <w:p w:rsidR="00EE7B3C" w:rsidRPr="00A62B47" w:rsidRDefault="00EE7B3C" w:rsidP="00160912">
            <w:pPr>
              <w:spacing w:before="60"/>
              <w:rPr>
                <w:sz w:val="18"/>
                <w:szCs w:val="18"/>
              </w:rPr>
            </w:pPr>
            <w:r w:rsidRPr="00A62B47">
              <w:rPr>
                <w:sz w:val="18"/>
                <w:szCs w:val="18"/>
              </w:rPr>
              <w:t>8. Pressure, flow rates, volumes and groundwater levels</w:t>
            </w:r>
          </w:p>
        </w:tc>
        <w:tc>
          <w:tcPr>
            <w:tcW w:w="1876" w:type="dxa"/>
          </w:tcPr>
          <w:p w:rsidR="00EE7B3C" w:rsidRPr="00A62B47" w:rsidRDefault="00EE7B3C" w:rsidP="00160912">
            <w:pPr>
              <w:spacing w:before="60"/>
              <w:jc w:val="center"/>
              <w:rPr>
                <w:sz w:val="18"/>
                <w:szCs w:val="18"/>
              </w:rPr>
            </w:pPr>
          </w:p>
        </w:tc>
        <w:tc>
          <w:tcPr>
            <w:tcW w:w="1876" w:type="dxa"/>
            <w:shd w:val="clear" w:color="auto" w:fill="FF9900"/>
          </w:tcPr>
          <w:p w:rsidR="00EE7B3C" w:rsidRPr="00A62B47" w:rsidRDefault="00EE7B3C" w:rsidP="00160912">
            <w:pPr>
              <w:spacing w:before="60"/>
              <w:jc w:val="center"/>
              <w:rPr>
                <w:sz w:val="18"/>
                <w:szCs w:val="18"/>
              </w:rPr>
            </w:pPr>
            <w:r w:rsidRPr="00A62B47">
              <w:rPr>
                <w:b/>
                <w:sz w:val="18"/>
                <w:szCs w:val="18"/>
              </w:rPr>
              <w:t>Unknown</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9. Contaminant migration in fractured rock and karstic aquifers</w:t>
            </w:r>
          </w:p>
        </w:tc>
        <w:tc>
          <w:tcPr>
            <w:tcW w:w="1876" w:type="dxa"/>
            <w:vAlign w:val="center"/>
          </w:tcPr>
          <w:p w:rsidR="00EE7B3C" w:rsidRPr="00A62B47" w:rsidRDefault="00EE7B3C" w:rsidP="00160912">
            <w:pPr>
              <w:spacing w:before="60"/>
              <w:jc w:val="center"/>
              <w:rPr>
                <w:sz w:val="18"/>
                <w:szCs w:val="18"/>
              </w:rPr>
            </w:pP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 xml:space="preserve">10. Aquifer dissolution and stability of well and aquitard </w:t>
            </w:r>
          </w:p>
        </w:tc>
        <w:tc>
          <w:tcPr>
            <w:tcW w:w="1876" w:type="dxa"/>
            <w:vAlign w:val="center"/>
          </w:tcPr>
          <w:p w:rsidR="00EE7B3C" w:rsidRPr="00A62B47" w:rsidRDefault="00EE7B3C" w:rsidP="00160912">
            <w:pPr>
              <w:spacing w:before="60"/>
              <w:jc w:val="center"/>
              <w:rPr>
                <w:sz w:val="18"/>
                <w:szCs w:val="18"/>
              </w:rPr>
            </w:pP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jc w:val="center"/>
        </w:trPr>
        <w:tc>
          <w:tcPr>
            <w:tcW w:w="5428" w:type="dxa"/>
          </w:tcPr>
          <w:p w:rsidR="00EE7B3C" w:rsidRPr="00A62B47" w:rsidRDefault="00EE7B3C" w:rsidP="00160912">
            <w:pPr>
              <w:spacing w:before="60"/>
              <w:rPr>
                <w:sz w:val="18"/>
                <w:szCs w:val="18"/>
              </w:rPr>
            </w:pPr>
            <w:r w:rsidRPr="00A62B47">
              <w:rPr>
                <w:sz w:val="18"/>
                <w:szCs w:val="18"/>
              </w:rPr>
              <w:t>11. Aquifer and groundwater-dependent ecosystems</w:t>
            </w:r>
          </w:p>
        </w:tc>
        <w:tc>
          <w:tcPr>
            <w:tcW w:w="1876" w:type="dxa"/>
          </w:tcPr>
          <w:p w:rsidR="00EE7B3C" w:rsidRPr="00A62B47" w:rsidRDefault="00EE7B3C" w:rsidP="00160912">
            <w:pPr>
              <w:spacing w:before="60"/>
              <w:jc w:val="center"/>
              <w:rPr>
                <w:sz w:val="18"/>
                <w:szCs w:val="18"/>
              </w:rPr>
            </w:pPr>
          </w:p>
        </w:tc>
        <w:tc>
          <w:tcPr>
            <w:tcW w:w="1876" w:type="dxa"/>
            <w:shd w:val="clear" w:color="auto" w:fill="FF9900"/>
          </w:tcPr>
          <w:p w:rsidR="00EE7B3C" w:rsidRPr="00A62B47" w:rsidRDefault="00EE7B3C" w:rsidP="00160912">
            <w:pPr>
              <w:spacing w:before="60"/>
              <w:jc w:val="center"/>
              <w:rPr>
                <w:sz w:val="18"/>
                <w:szCs w:val="18"/>
              </w:rPr>
            </w:pPr>
            <w:r w:rsidRPr="00A62B47">
              <w:rPr>
                <w:b/>
                <w:sz w:val="18"/>
                <w:szCs w:val="18"/>
              </w:rPr>
              <w:t>Unknown</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12. Energy and greenhouse gas considerations</w:t>
            </w:r>
          </w:p>
        </w:tc>
        <w:tc>
          <w:tcPr>
            <w:tcW w:w="1876" w:type="dxa"/>
            <w:vAlign w:val="center"/>
          </w:tcPr>
          <w:p w:rsidR="00EE7B3C" w:rsidRPr="00A62B47" w:rsidRDefault="00EE7B3C" w:rsidP="00160912">
            <w:pPr>
              <w:spacing w:before="60"/>
              <w:jc w:val="center"/>
              <w:rPr>
                <w:sz w:val="18"/>
                <w:szCs w:val="18"/>
              </w:rPr>
            </w:pPr>
          </w:p>
        </w:tc>
        <w:tc>
          <w:tcPr>
            <w:tcW w:w="1876" w:type="dxa"/>
            <w:shd w:val="clear" w:color="auto" w:fill="FF9900"/>
            <w:vAlign w:val="center"/>
          </w:tcPr>
          <w:p w:rsidR="00EE7B3C" w:rsidRPr="00A62B47" w:rsidRDefault="00EE7B3C" w:rsidP="00160912">
            <w:pPr>
              <w:spacing w:before="60"/>
              <w:jc w:val="center"/>
              <w:rPr>
                <w:sz w:val="18"/>
                <w:szCs w:val="18"/>
              </w:rPr>
            </w:pPr>
            <w:r w:rsidRPr="00A62B47">
              <w:rPr>
                <w:b/>
                <w:sz w:val="18"/>
                <w:szCs w:val="18"/>
              </w:rPr>
              <w:t>Unknown</w:t>
            </w:r>
          </w:p>
        </w:tc>
      </w:tr>
    </w:tbl>
    <w:p w:rsidR="00F12C87" w:rsidRDefault="00F12C87" w:rsidP="00EE7B3C">
      <w:pPr>
        <w:pStyle w:val="Caption"/>
        <w:rPr>
          <w:b/>
        </w:rPr>
      </w:pPr>
      <w:bookmarkStart w:id="53" w:name="_Ref325640541"/>
    </w:p>
    <w:p w:rsidR="00EE7B3C" w:rsidRPr="00914618" w:rsidRDefault="00EE7B3C" w:rsidP="00EE7B3C">
      <w:pPr>
        <w:pStyle w:val="Caption"/>
        <w:rPr>
          <w:i w:val="0"/>
          <w:szCs w:val="20"/>
        </w:rPr>
      </w:pPr>
      <w:r w:rsidRPr="00666EC0">
        <w:rPr>
          <w:b/>
        </w:rPr>
        <w:t xml:space="preserve">Table </w:t>
      </w:r>
      <w:bookmarkEnd w:id="53"/>
      <w:r w:rsidR="00160912">
        <w:rPr>
          <w:b/>
        </w:rPr>
        <w:t>E</w:t>
      </w:r>
      <w:r w:rsidRPr="00666EC0">
        <w:rPr>
          <w:b/>
          <w:szCs w:val="20"/>
        </w:rPr>
        <w:t>.</w:t>
      </w:r>
      <w:r w:rsidRPr="00914618">
        <w:rPr>
          <w:i w:val="0"/>
          <w:szCs w:val="20"/>
        </w:rPr>
        <w:t xml:space="preserve"> </w:t>
      </w:r>
      <w:r w:rsidRPr="001E3931">
        <w:rPr>
          <w:szCs w:val="20"/>
        </w:rPr>
        <w:t>Residual risk assessment summary</w:t>
      </w:r>
      <w:r w:rsidR="001A311F">
        <w:rPr>
          <w:szCs w:val="20"/>
        </w:rPr>
        <w:t xml:space="preserve"> for Jimargil site</w:t>
      </w:r>
      <w:r w:rsidRPr="001E3931">
        <w:rPr>
          <w:szCs w:val="20"/>
        </w:rPr>
        <w:t>. A low residual risk is indicated if all the supplementary treatment trains are included.</w:t>
      </w:r>
      <w:r w:rsidRPr="00914618">
        <w:rPr>
          <w:i w:val="0"/>
          <w:szCs w:val="20"/>
        </w:rPr>
        <w:t xml:space="preserve"> </w:t>
      </w:r>
      <w:r w:rsidRPr="00666EC0">
        <w:rPr>
          <w:i w:val="0"/>
        </w:rPr>
        <w:fldChar w:fldCharType="begin"/>
      </w:r>
      <w:r w:rsidRPr="00666EC0">
        <w:rPr>
          <w:i w:val="0"/>
        </w:rPr>
        <w:instrText xml:space="preserve"> TC "</w:instrText>
      </w:r>
      <w:bookmarkStart w:id="54" w:name="_Toc325975295"/>
      <w:bookmarkStart w:id="55" w:name="_Toc390690283"/>
      <w:r w:rsidRPr="00666EC0">
        <w:rPr>
          <w:i w:val="0"/>
        </w:rPr>
        <w:instrText xml:space="preserve">Table </w:instrText>
      </w:r>
      <w:r w:rsidR="00160912">
        <w:rPr>
          <w:i w:val="0"/>
        </w:rPr>
        <w:instrText>E</w:instrText>
      </w:r>
      <w:r w:rsidR="00497AD3">
        <w:rPr>
          <w:i w:val="0"/>
        </w:rPr>
        <w:instrText>.</w:instrText>
      </w:r>
      <w:r w:rsidRPr="00666EC0">
        <w:rPr>
          <w:i w:val="0"/>
        </w:rPr>
        <w:instrText xml:space="preserve"> </w:instrText>
      </w:r>
      <w:r>
        <w:rPr>
          <w:i w:val="0"/>
        </w:rPr>
        <w:instrText>Residual</w:instrText>
      </w:r>
      <w:r w:rsidRPr="00666EC0">
        <w:rPr>
          <w:i w:val="0"/>
        </w:rPr>
        <w:instrText xml:space="preserve"> risk assessment summary</w:instrText>
      </w:r>
      <w:bookmarkEnd w:id="54"/>
      <w:r w:rsidR="001A311F">
        <w:rPr>
          <w:i w:val="0"/>
        </w:rPr>
        <w:instrText xml:space="preserve"> for Jimargil site</w:instrText>
      </w:r>
      <w:bookmarkEnd w:id="55"/>
      <w:r w:rsidRPr="00666EC0">
        <w:rPr>
          <w:i w:val="0"/>
        </w:rPr>
        <w:instrText xml:space="preserve">" \f B \l "4" </w:instrText>
      </w:r>
      <w:r w:rsidRPr="00666EC0">
        <w:rPr>
          <w:i w:val="0"/>
        </w:rPr>
        <w:fldChar w:fldCharType="end"/>
      </w:r>
    </w:p>
    <w:tbl>
      <w:tblPr>
        <w:tblW w:w="9180" w:type="dxa"/>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8"/>
        <w:gridCol w:w="1876"/>
        <w:gridCol w:w="1876"/>
      </w:tblGrid>
      <w:tr w:rsidR="00EE7B3C" w:rsidRPr="00A62B47" w:rsidTr="00001EDC">
        <w:trPr>
          <w:cantSplit/>
          <w:trHeight w:val="342"/>
          <w:jc w:val="center"/>
        </w:trPr>
        <w:tc>
          <w:tcPr>
            <w:tcW w:w="5428" w:type="dxa"/>
            <w:vMerge w:val="restart"/>
            <w:shd w:val="clear" w:color="auto" w:fill="E6E6E6"/>
            <w:vAlign w:val="center"/>
          </w:tcPr>
          <w:p w:rsidR="00EE7B3C" w:rsidRPr="00A62B47" w:rsidRDefault="00EE7B3C" w:rsidP="00160912">
            <w:pPr>
              <w:spacing w:before="60"/>
              <w:rPr>
                <w:sz w:val="20"/>
                <w:szCs w:val="20"/>
              </w:rPr>
            </w:pPr>
            <w:smartTag w:uri="urn:schemas-microsoft-com:office:smarttags" w:element="stockticker">
              <w:r w:rsidRPr="00A62B47">
                <w:rPr>
                  <w:b/>
                  <w:sz w:val="20"/>
                  <w:szCs w:val="20"/>
                </w:rPr>
                <w:t>MAR</w:t>
              </w:r>
            </w:smartTag>
            <w:r w:rsidRPr="00A62B47">
              <w:rPr>
                <w:b/>
                <w:sz w:val="20"/>
                <w:szCs w:val="20"/>
              </w:rPr>
              <w:t xml:space="preserve"> Hazards</w:t>
            </w:r>
          </w:p>
        </w:tc>
        <w:tc>
          <w:tcPr>
            <w:tcW w:w="3752" w:type="dxa"/>
            <w:gridSpan w:val="2"/>
            <w:tcBorders>
              <w:bottom w:val="single" w:sz="4" w:space="0" w:color="auto"/>
            </w:tcBorders>
            <w:shd w:val="clear" w:color="auto" w:fill="E6E6E6"/>
            <w:vAlign w:val="center"/>
          </w:tcPr>
          <w:p w:rsidR="00EE7B3C" w:rsidRPr="00A62B47" w:rsidRDefault="00EE7B3C" w:rsidP="00160912">
            <w:pPr>
              <w:spacing w:before="60"/>
              <w:jc w:val="center"/>
              <w:rPr>
                <w:b/>
                <w:sz w:val="20"/>
                <w:szCs w:val="20"/>
              </w:rPr>
            </w:pPr>
            <w:r w:rsidRPr="00A62B47">
              <w:rPr>
                <w:b/>
                <w:sz w:val="20"/>
                <w:szCs w:val="20"/>
              </w:rPr>
              <w:t>End Points</w:t>
            </w:r>
          </w:p>
        </w:tc>
      </w:tr>
      <w:tr w:rsidR="00EE7B3C" w:rsidRPr="00A62B47" w:rsidTr="00001EDC">
        <w:trPr>
          <w:cantSplit/>
          <w:trHeight w:val="352"/>
          <w:jc w:val="center"/>
        </w:trPr>
        <w:tc>
          <w:tcPr>
            <w:tcW w:w="5428" w:type="dxa"/>
            <w:vMerge/>
            <w:shd w:val="clear" w:color="auto" w:fill="E6E6E6"/>
            <w:vAlign w:val="center"/>
          </w:tcPr>
          <w:p w:rsidR="00EE7B3C" w:rsidRPr="00A62B47" w:rsidRDefault="00EE7B3C" w:rsidP="00160912">
            <w:pPr>
              <w:spacing w:before="60"/>
              <w:rPr>
                <w:sz w:val="20"/>
                <w:szCs w:val="20"/>
              </w:rPr>
            </w:pPr>
          </w:p>
        </w:tc>
        <w:tc>
          <w:tcPr>
            <w:tcW w:w="1876" w:type="dxa"/>
            <w:tcBorders>
              <w:bottom w:val="single" w:sz="4" w:space="0" w:color="auto"/>
            </w:tcBorders>
            <w:shd w:val="clear" w:color="auto" w:fill="E6E6E6"/>
            <w:vAlign w:val="center"/>
          </w:tcPr>
          <w:p w:rsidR="00EE7B3C" w:rsidRPr="00A62B47" w:rsidRDefault="00EE7B3C" w:rsidP="00160912">
            <w:pPr>
              <w:spacing w:before="60"/>
              <w:jc w:val="center"/>
              <w:rPr>
                <w:b/>
                <w:sz w:val="20"/>
                <w:szCs w:val="20"/>
              </w:rPr>
            </w:pPr>
            <w:r w:rsidRPr="00A62B47">
              <w:rPr>
                <w:b/>
                <w:sz w:val="20"/>
                <w:szCs w:val="20"/>
              </w:rPr>
              <w:t>Human</w:t>
            </w:r>
          </w:p>
        </w:tc>
        <w:tc>
          <w:tcPr>
            <w:tcW w:w="1876" w:type="dxa"/>
            <w:tcBorders>
              <w:bottom w:val="single" w:sz="4" w:space="0" w:color="auto"/>
            </w:tcBorders>
            <w:shd w:val="clear" w:color="auto" w:fill="E6E6E6"/>
            <w:vAlign w:val="center"/>
          </w:tcPr>
          <w:p w:rsidR="00EE7B3C" w:rsidRPr="00A62B47" w:rsidRDefault="00EE7B3C" w:rsidP="00160912">
            <w:pPr>
              <w:spacing w:before="60"/>
              <w:jc w:val="center"/>
              <w:rPr>
                <w:b/>
                <w:sz w:val="20"/>
                <w:szCs w:val="20"/>
              </w:rPr>
            </w:pPr>
            <w:r w:rsidRPr="00A62B47">
              <w:rPr>
                <w:b/>
                <w:sz w:val="20"/>
                <w:szCs w:val="20"/>
              </w:rPr>
              <w:t>Environmental</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1. Pathogens</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2. Inorganic chemicals</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b/>
                <w:sz w:val="18"/>
                <w:szCs w:val="18"/>
              </w:rPr>
            </w:pPr>
            <w:r w:rsidRPr="00A62B47">
              <w:rPr>
                <w:b/>
                <w:sz w:val="18"/>
                <w:szCs w:val="18"/>
              </w:rPr>
              <w:t>Low</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3. Salinity and sodicity</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4. Nutrients: nitrogen, phosphorous and organic carbon</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5. Organic chemicals</w:t>
            </w:r>
          </w:p>
        </w:tc>
        <w:tc>
          <w:tcPr>
            <w:tcW w:w="1876" w:type="dxa"/>
            <w:shd w:val="clear" w:color="auto" w:fill="99FF33"/>
            <w:vAlign w:val="center"/>
          </w:tcPr>
          <w:p w:rsidR="00EE7B3C" w:rsidRPr="00A62B47" w:rsidRDefault="00EE7B3C" w:rsidP="00160912">
            <w:pPr>
              <w:spacing w:before="60"/>
              <w:jc w:val="center"/>
              <w:rPr>
                <w:b/>
                <w:sz w:val="18"/>
                <w:szCs w:val="18"/>
              </w:rPr>
            </w:pPr>
            <w:r w:rsidRPr="00A62B47">
              <w:rPr>
                <w:b/>
                <w:sz w:val="18"/>
                <w:szCs w:val="18"/>
              </w:rPr>
              <w:t>Low</w:t>
            </w: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6. Turbidity and particulates</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7. Radionuclides</w:t>
            </w: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8. Pressure, flow rates, volumes and groundwater levels</w:t>
            </w:r>
          </w:p>
        </w:tc>
        <w:tc>
          <w:tcPr>
            <w:tcW w:w="1876" w:type="dxa"/>
            <w:vAlign w:val="center"/>
          </w:tcPr>
          <w:p w:rsidR="00EE7B3C" w:rsidRPr="00A62B47" w:rsidRDefault="00EE7B3C" w:rsidP="00160912">
            <w:pPr>
              <w:spacing w:before="60"/>
              <w:jc w:val="center"/>
              <w:rPr>
                <w:sz w:val="18"/>
                <w:szCs w:val="18"/>
              </w:rPr>
            </w:pP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9. Contaminant migration in fractured rock and karstic aquifers</w:t>
            </w:r>
          </w:p>
        </w:tc>
        <w:tc>
          <w:tcPr>
            <w:tcW w:w="1876" w:type="dxa"/>
            <w:vAlign w:val="center"/>
          </w:tcPr>
          <w:p w:rsidR="00EE7B3C" w:rsidRPr="00A62B47" w:rsidRDefault="00EE7B3C" w:rsidP="00160912">
            <w:pPr>
              <w:spacing w:before="60"/>
              <w:jc w:val="center"/>
              <w:rPr>
                <w:sz w:val="18"/>
                <w:szCs w:val="18"/>
              </w:rPr>
            </w:pP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 xml:space="preserve">10. Aquifer dissolution and stability of well and aquitard </w:t>
            </w:r>
          </w:p>
        </w:tc>
        <w:tc>
          <w:tcPr>
            <w:tcW w:w="1876" w:type="dxa"/>
            <w:vAlign w:val="center"/>
          </w:tcPr>
          <w:p w:rsidR="00EE7B3C" w:rsidRPr="00A62B47" w:rsidRDefault="00EE7B3C" w:rsidP="00160912">
            <w:pPr>
              <w:spacing w:before="60"/>
              <w:jc w:val="center"/>
              <w:rPr>
                <w:sz w:val="18"/>
                <w:szCs w:val="18"/>
              </w:rPr>
            </w:pPr>
          </w:p>
        </w:tc>
        <w:tc>
          <w:tcPr>
            <w:tcW w:w="1876" w:type="dxa"/>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11. Aquifer and groundwater-dependent ecosystems</w:t>
            </w:r>
          </w:p>
        </w:tc>
        <w:tc>
          <w:tcPr>
            <w:tcW w:w="1876" w:type="dxa"/>
            <w:tcBorders>
              <w:bottom w:val="single" w:sz="4" w:space="0" w:color="auto"/>
            </w:tcBorders>
            <w:vAlign w:val="center"/>
          </w:tcPr>
          <w:p w:rsidR="00EE7B3C" w:rsidRPr="00A62B47" w:rsidRDefault="00EE7B3C" w:rsidP="00160912">
            <w:pPr>
              <w:spacing w:before="60"/>
              <w:jc w:val="center"/>
              <w:rPr>
                <w:sz w:val="18"/>
                <w:szCs w:val="18"/>
              </w:rPr>
            </w:pPr>
          </w:p>
        </w:tc>
        <w:tc>
          <w:tcPr>
            <w:tcW w:w="1876" w:type="dxa"/>
            <w:tcBorders>
              <w:bottom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r w:rsidR="00EE7B3C" w:rsidRPr="00A62B47" w:rsidTr="00001EDC">
        <w:trPr>
          <w:cantSplit/>
          <w:jc w:val="center"/>
        </w:trPr>
        <w:tc>
          <w:tcPr>
            <w:tcW w:w="5428" w:type="dxa"/>
            <w:vAlign w:val="center"/>
          </w:tcPr>
          <w:p w:rsidR="00EE7B3C" w:rsidRPr="00A62B47" w:rsidRDefault="00EE7B3C" w:rsidP="00160912">
            <w:pPr>
              <w:spacing w:before="60"/>
              <w:rPr>
                <w:sz w:val="18"/>
                <w:szCs w:val="18"/>
              </w:rPr>
            </w:pPr>
            <w:r w:rsidRPr="00A62B47">
              <w:rPr>
                <w:sz w:val="18"/>
                <w:szCs w:val="18"/>
              </w:rPr>
              <w:t>12. Energy and greenhouse gas considerations</w:t>
            </w:r>
          </w:p>
        </w:tc>
        <w:tc>
          <w:tcPr>
            <w:tcW w:w="1876" w:type="dxa"/>
            <w:tcBorders>
              <w:right w:val="single" w:sz="4" w:space="0" w:color="auto"/>
            </w:tcBorders>
            <w:vAlign w:val="center"/>
          </w:tcPr>
          <w:p w:rsidR="00EE7B3C" w:rsidRPr="00A62B47" w:rsidRDefault="00EE7B3C" w:rsidP="00160912">
            <w:pPr>
              <w:spacing w:before="60"/>
              <w:jc w:val="center"/>
              <w:rPr>
                <w:sz w:val="18"/>
                <w:szCs w:val="18"/>
              </w:rPr>
            </w:pPr>
          </w:p>
        </w:tc>
        <w:tc>
          <w:tcPr>
            <w:tcW w:w="1876" w:type="dxa"/>
            <w:tcBorders>
              <w:left w:val="single" w:sz="4" w:space="0" w:color="auto"/>
              <w:right w:val="single" w:sz="4" w:space="0" w:color="auto"/>
            </w:tcBorders>
            <w:shd w:val="clear" w:color="auto" w:fill="99FF33"/>
            <w:vAlign w:val="center"/>
          </w:tcPr>
          <w:p w:rsidR="00EE7B3C" w:rsidRPr="00A62B47" w:rsidRDefault="00EE7B3C" w:rsidP="00160912">
            <w:pPr>
              <w:spacing w:before="60"/>
              <w:jc w:val="center"/>
              <w:rPr>
                <w:sz w:val="18"/>
                <w:szCs w:val="18"/>
              </w:rPr>
            </w:pPr>
            <w:r w:rsidRPr="00A62B47">
              <w:rPr>
                <w:b/>
                <w:sz w:val="18"/>
                <w:szCs w:val="18"/>
              </w:rPr>
              <w:t>Low</w:t>
            </w:r>
          </w:p>
        </w:tc>
      </w:tr>
    </w:tbl>
    <w:p w:rsidR="00EE7B3C" w:rsidRDefault="00EE7B3C" w:rsidP="00EE7B3C"/>
    <w:p w:rsidR="00E57182" w:rsidRPr="00E57182" w:rsidRDefault="00F25A1E" w:rsidP="00F25A1E">
      <w:pPr>
        <w:pStyle w:val="BodyText"/>
        <w:spacing w:before="120" w:after="0" w:line="240" w:lineRule="auto"/>
      </w:pPr>
      <w:r>
        <w:t>With i</w:t>
      </w:r>
      <w:r w:rsidR="00E57182" w:rsidRPr="00E57182">
        <w:t xml:space="preserve">njection of treated </w:t>
      </w:r>
      <w:smartTag w:uri="urn:schemas-microsoft-com:office:smarttags" w:element="place">
        <w:r w:rsidR="00E57182" w:rsidRPr="00E57182">
          <w:t>Darling River</w:t>
        </w:r>
      </w:smartTag>
      <w:r w:rsidR="00E57182" w:rsidRPr="00E57182">
        <w:t xml:space="preserve"> water i</w:t>
      </w:r>
      <w:r>
        <w:t>t is</w:t>
      </w:r>
      <w:r w:rsidR="00E57182" w:rsidRPr="00E57182">
        <w:t xml:space="preserve"> necessary to assess the impact on the quality of recovered water on subsurface processes, particularly redox reactions and the aquifer’s capacity to remove turbidity, pathogens and organic chemicals such as those produced by cyanobacteria. Aquifer tests by pumping should be undertaken on each prospective ASR well to determine the competence and confinement of the storage zone followed by commissioning trials for the preferred set of ASR wells to determine the water quality of recovered water prior to use of recovered water in drinking water supplies.</w:t>
      </w:r>
      <w:r w:rsidR="00465915">
        <w:t xml:space="preserve"> </w:t>
      </w:r>
    </w:p>
    <w:p w:rsidR="00E57182" w:rsidRPr="00E57182" w:rsidRDefault="00E57182" w:rsidP="00F25A1E">
      <w:pPr>
        <w:pStyle w:val="BodyText"/>
        <w:spacing w:before="120" w:after="0" w:line="240" w:lineRule="auto"/>
      </w:pPr>
      <w:r w:rsidRPr="00E57182">
        <w:t xml:space="preserve">It is recommended that monitoring and acquiring information to refine the risk assessment is undertaken during construction and testing of additional wells to characterise the groundwater system and design the layout of ASR wells. Establishing, testing and commissioning of ASR wells will allow evaluation of their combined operation on the groundwater system, and a calibrated groundwater model used to define operations so that pressures in the area of influence remain in an acceptable range. This would need to be verified by monitoring during operation. </w:t>
      </w:r>
    </w:p>
    <w:p w:rsidR="0070746C" w:rsidRDefault="00E57182" w:rsidP="00F25A1E">
      <w:pPr>
        <w:pStyle w:val="BodyText"/>
        <w:spacing w:before="120" w:after="0" w:line="240" w:lineRule="auto"/>
        <w:rPr>
          <w:lang w:eastAsia="zh-CN" w:bidi="th-TH"/>
        </w:rPr>
      </w:pPr>
      <w:r w:rsidRPr="00E57182">
        <w:t>The treatment steps identified are expected to ensure drinking water quality requirements are met and verification monitoring will be required. Unless otherwise indicated by further geochemical assessment and</w:t>
      </w:r>
      <w:r w:rsidRPr="00E57182">
        <w:rPr>
          <w:lang w:eastAsia="zh-CN" w:bidi="th-TH"/>
        </w:rPr>
        <w:t xml:space="preserve"> </w:t>
      </w:r>
      <w:r w:rsidRPr="00E57182">
        <w:rPr>
          <w:lang w:eastAsia="zh-CN" w:bidi="th-TH"/>
        </w:rPr>
        <w:lastRenderedPageBreak/>
        <w:t xml:space="preserve">modelling of native groundwater, provision should be made for iron removal in recovered water. Additionally, an evaluation of recovered water quality during commissioning will determine whether such treatment is required before this water is used in drinking water supplies. The identified treatment processes for source water, coagulation/flocculation and activated carbon filtration systems, will be required to reduce the risk of physical clogging of the injection wells. This could involve use of the existing treatment system at </w:t>
      </w:r>
      <w:r w:rsidR="00C217F0">
        <w:rPr>
          <w:lang w:eastAsia="zh-CN" w:bidi="th-TH"/>
        </w:rPr>
        <w:t>Menindee</w:t>
      </w:r>
      <w:r w:rsidRPr="00E57182">
        <w:rPr>
          <w:lang w:eastAsia="zh-CN" w:bidi="th-TH"/>
        </w:rPr>
        <w:t>, supplemented by activated carbon filtration.</w:t>
      </w:r>
    </w:p>
    <w:p w:rsidR="00EE7B3C" w:rsidRDefault="00EE7B3C" w:rsidP="00354E6D"/>
    <w:p w:rsidR="00EE7B3C" w:rsidRPr="00EE7B3C" w:rsidRDefault="00EA28D1" w:rsidP="00EE7B3C">
      <w:pPr>
        <w:pStyle w:val="BodyText1"/>
        <w:rPr>
          <w:b/>
        </w:rPr>
      </w:pPr>
      <w:r>
        <w:rPr>
          <w:b/>
        </w:rPr>
        <w:t>Conceptual Conjunctive Water Management S</w:t>
      </w:r>
      <w:r w:rsidR="00EE7B3C" w:rsidRPr="00EE7B3C">
        <w:rPr>
          <w:b/>
        </w:rPr>
        <w:t>trategy</w:t>
      </w:r>
      <w:r w:rsidR="00EE7B3C">
        <w:rPr>
          <w:b/>
        </w:rPr>
        <w:t xml:space="preserve"> for the Jimargil site</w:t>
      </w:r>
    </w:p>
    <w:p w:rsidR="00C45F9D" w:rsidRDefault="00C45F9D" w:rsidP="00C45F9D">
      <w:r>
        <w:t xml:space="preserve">Figure L </w:t>
      </w:r>
      <w:r w:rsidRPr="00EF07F3">
        <w:t>shows conce</w:t>
      </w:r>
      <w:r>
        <w:t xml:space="preserve">ptually a conjunctive water management strategy. In this scenario, extra components have been added to the existing surface water storage and pipeline infrastructure at </w:t>
      </w:r>
      <w:r w:rsidR="00C217F0">
        <w:t>Menindee</w:t>
      </w:r>
      <w:r>
        <w:t>. This includes an array of aquifer storage and recovery (</w:t>
      </w:r>
      <w:smartTag w:uri="urn:schemas-microsoft-com:office:smarttags" w:element="stockticker">
        <w:r>
          <w:t>ASR</w:t>
        </w:r>
      </w:smartTag>
      <w:r>
        <w:t xml:space="preserve">) wells that enable the injection of treated surface water into the underground aquifer storage identified in sands and gravels of the </w:t>
      </w:r>
      <w:r w:rsidR="00C217F0">
        <w:t>Calivil Formation</w:t>
      </w:r>
      <w:r>
        <w:t xml:space="preserve">. These bores are dual purpose – they are also used to pump the water from the aquifer storage when required. A pipeline connects the </w:t>
      </w:r>
      <w:smartTag w:uri="urn:schemas-microsoft-com:office:smarttags" w:element="stockticker">
        <w:r>
          <w:t>ASR</w:t>
        </w:r>
      </w:smartTag>
      <w:r>
        <w:t xml:space="preserve"> borefield to the existing treatment plant and Broken Hill supply pipeline at </w:t>
      </w:r>
      <w:r w:rsidR="00C217F0">
        <w:t>Menindee</w:t>
      </w:r>
      <w:r>
        <w:t>. The water treatment facility would be upgraded to treat the surface water prior to injection into the aquifer, and to manage the risk of clogging due to high turbidity and nutrient levels. Upon recovery, treatment of pumped groundwater is likely to occur at the Broken Hill treatment plant before reticulation.</w:t>
      </w:r>
    </w:p>
    <w:p w:rsidR="00C45F9D" w:rsidRDefault="00C45F9D" w:rsidP="00C45F9D"/>
    <w:p w:rsidR="00C45F9D" w:rsidRDefault="00C45F9D" w:rsidP="00C45F9D">
      <w:r>
        <w:t xml:space="preserve">Operationally, the new conjunctive water infrastructure at </w:t>
      </w:r>
      <w:r w:rsidR="00C217F0">
        <w:t xml:space="preserve">Menindee </w:t>
      </w:r>
      <w:r>
        <w:t xml:space="preserve">is used differently depending on hydrological conditions. During high flows in the </w:t>
      </w:r>
      <w:smartTag w:uri="urn:schemas-microsoft-com:office:smarttags" w:element="place">
        <w:r>
          <w:t>Darling River</w:t>
        </w:r>
      </w:smartTag>
      <w:r>
        <w:t xml:space="preserve">, the flood water is diverted into the MLS, as is the current practice. This allows replenishment of the surface water storages and the opportunity to harvest episodic flood events in the </w:t>
      </w:r>
      <w:smartTag w:uri="urn:schemas-microsoft-com:office:smarttags" w:element="place">
        <w:r>
          <w:t>Darling River</w:t>
        </w:r>
      </w:smartTag>
      <w:r>
        <w:t xml:space="preserve">. The scouring of river bank muds during high flows also facilitates natural recharge of the alluvial aquifers. During and following these events, Broken Hill water supply and treatment is identical to the existing situation with the water source being the </w:t>
      </w:r>
      <w:smartTag w:uri="urn:schemas-microsoft-com:office:smarttags" w:element="place">
        <w:r>
          <w:t>Darling River</w:t>
        </w:r>
      </w:smartTag>
      <w:r>
        <w:t xml:space="preserve"> weir pool </w:t>
      </w:r>
      <w:r w:rsidRPr="00EF07F3">
        <w:t>(</w:t>
      </w:r>
      <w:r>
        <w:t>Figure L</w:t>
      </w:r>
      <w:r w:rsidRPr="00E823BA">
        <w:t>a). In</w:t>
      </w:r>
      <w:r w:rsidRPr="00EF07F3">
        <w:t xml:space="preserve"> this replenishment phase, the major difference to existing arrangements is that the weir pool</w:t>
      </w:r>
      <w:r>
        <w:t xml:space="preserve"> is also the source for water that is treated, piped and injected into the </w:t>
      </w:r>
      <w:r w:rsidR="00C217F0">
        <w:t>Calivil Formation</w:t>
      </w:r>
      <w:r w:rsidR="00F65D51">
        <w:t xml:space="preserve"> </w:t>
      </w:r>
      <w:r>
        <w:t xml:space="preserve">aquifer. High flows in the </w:t>
      </w:r>
      <w:smartTag w:uri="urn:schemas-microsoft-com:office:smarttags" w:element="place">
        <w:r>
          <w:t>Darling River</w:t>
        </w:r>
      </w:smartTag>
      <w:r>
        <w:t xml:space="preserve"> tend to have relatively low salinities when compared to when flow in the river is low. This means that replenishing aquifer storage during high-flow river conditions will have a </w:t>
      </w:r>
      <w:r w:rsidR="00F326F2">
        <w:t>water-</w:t>
      </w:r>
      <w:r>
        <w:t xml:space="preserve">quality benefit from a </w:t>
      </w:r>
      <w:r w:rsidR="00F326F2">
        <w:t>source-</w:t>
      </w:r>
      <w:r>
        <w:t xml:space="preserve">water salinity perspective. The </w:t>
      </w:r>
      <w:r w:rsidR="00F326F2">
        <w:t>bank-</w:t>
      </w:r>
      <w:r>
        <w:t xml:space="preserve">filtration option is also shown in </w:t>
      </w:r>
      <w:smartTag w:uri="urn:schemas-microsoft-com:office:smarttags" w:element="Street">
        <w:smartTag w:uri="urn:schemas-microsoft-com:office:smarttags" w:element="address">
          <w:r>
            <w:t>Figure L</w:t>
          </w:r>
          <w:r w:rsidRPr="00E823BA">
            <w:t>a</w:t>
          </w:r>
          <w:r>
            <w:t>.</w:t>
          </w:r>
        </w:smartTag>
      </w:smartTag>
      <w:r>
        <w:t xml:space="preserve"> During periods of high river flow, pumping of near-river bores in the shallow aquifer could also provide source water for injection into the ASR borefield. Natural filtration provided by the shallow aquifer could offset treatment costs in reducing turbidity and nutrient levels in the source water.</w:t>
      </w:r>
    </w:p>
    <w:p w:rsidR="00C45F9D" w:rsidRDefault="00C45F9D" w:rsidP="00C45F9D"/>
    <w:p w:rsidR="00C45F9D" w:rsidRDefault="00C45F9D" w:rsidP="00C45F9D">
      <w:r>
        <w:t xml:space="preserve">The second regulation phase is triggered after ASR injection has allowed sufficient water of suitable salinity to be stored underground to meet the defined security requirements </w:t>
      </w:r>
      <w:r w:rsidRPr="00EF07F3">
        <w:t>(</w:t>
      </w:r>
      <w:r>
        <w:t>Figure L</w:t>
      </w:r>
      <w:r w:rsidRPr="00E823BA">
        <w:t>b). The</w:t>
      </w:r>
      <w:r>
        <w:t xml:space="preserve"> </w:t>
      </w:r>
      <w:smartTag w:uri="urn:schemas-microsoft-com:office:smarttags" w:element="stockticker">
        <w:r>
          <w:t>ASR</w:t>
        </w:r>
      </w:smartTag>
      <w:r>
        <w:t xml:space="preserve"> borefield design, the groundwater flow and solute transport modelling and monitoring of groundwater conditions (such as water levels, pressures and salinity) would be used to define this threshold, and to decide when aquifer injection has been adequate. This provision of a drought reserve that has negligible evaporative losses provides the opportunity for regulated releases from the </w:t>
      </w:r>
      <w:r w:rsidR="00C217F0">
        <w:t xml:space="preserve">Menindee </w:t>
      </w:r>
      <w:r>
        <w:t xml:space="preserve">surface storages to also include the previous reserve allocated to Broken Hill. Hence, this surface water can be made available to downstream users or to provide environmental benefits rather than be lost by evaporation from the </w:t>
      </w:r>
      <w:r w:rsidR="007D1583">
        <w:t>Menindee Lakes</w:t>
      </w:r>
      <w:r>
        <w:t xml:space="preserve">. In this phase of regulated flows from the MLS, the water supply to Broken Hill will mostly be from the Darling weir pool, with the possibility of drawing upon the groundwater storage if dictated by operational requirements (such as short-term declines in </w:t>
      </w:r>
      <w:r w:rsidR="00F326F2">
        <w:t>river-</w:t>
      </w:r>
      <w:r>
        <w:t xml:space="preserve">water quality such as algal blooms). Monitoring of the </w:t>
      </w:r>
      <w:smartTag w:uri="urn:schemas-microsoft-com:office:smarttags" w:element="place">
        <w:r>
          <w:t>Darling River</w:t>
        </w:r>
      </w:smartTag>
      <w:r>
        <w:t xml:space="preserve"> during this phase would define opportunities when additional aquifer injection could occur. Minor flood events may also provide opportunities for the operation of the </w:t>
      </w:r>
      <w:r w:rsidR="00F326F2">
        <w:t>bank-</w:t>
      </w:r>
      <w:r>
        <w:t xml:space="preserve">filtration bores to provide source water for injection into the </w:t>
      </w:r>
      <w:r w:rsidR="00C217F0">
        <w:t>Calivil Formation</w:t>
      </w:r>
      <w:r w:rsidR="00F65D51">
        <w:t xml:space="preserve"> </w:t>
      </w:r>
      <w:r>
        <w:t xml:space="preserve">aquifer. </w:t>
      </w:r>
    </w:p>
    <w:p w:rsidR="00C45F9D" w:rsidRDefault="00C45F9D" w:rsidP="00C45F9D"/>
    <w:p w:rsidR="00C45F9D" w:rsidRDefault="00C45F9D" w:rsidP="00C45F9D">
      <w:r>
        <w:t xml:space="preserve">With prolonged dry conditions, the infrastructure is operated in a drought response mode. The </w:t>
      </w:r>
      <w:r w:rsidR="00F326F2">
        <w:t>surface-</w:t>
      </w:r>
      <w:r>
        <w:t xml:space="preserve">water storages have largely been drawn down, and </w:t>
      </w:r>
      <w:r w:rsidR="00F326F2">
        <w:t>low-</w:t>
      </w:r>
      <w:r>
        <w:t xml:space="preserve">flow conditions exist for the </w:t>
      </w:r>
      <w:smartTag w:uri="urn:schemas-microsoft-com:office:smarttags" w:element="place">
        <w:r>
          <w:t>Darling River</w:t>
        </w:r>
      </w:smartTag>
      <w:r>
        <w:t xml:space="preserve">. </w:t>
      </w:r>
      <w:smartTag w:uri="urn:schemas-microsoft-com:office:smarttags" w:element="PersonName">
        <w:r>
          <w:t>Groundwater</w:t>
        </w:r>
      </w:smartTag>
      <w:r>
        <w:t xml:space="preserve"> recharge by river leakage is minimal due to the riverbank mud veneer. In this groundwater recovery </w:t>
      </w:r>
      <w:r w:rsidRPr="00EF07F3">
        <w:t>phase (</w:t>
      </w:r>
      <w:r>
        <w:t>Figure L</w:t>
      </w:r>
      <w:r w:rsidRPr="00EF07F3">
        <w:t>c), the</w:t>
      </w:r>
      <w:r>
        <w:t xml:space="preserve"> water supply for Broken Hill is secured by extraction from the </w:t>
      </w:r>
      <w:smartTag w:uri="urn:schemas-microsoft-com:office:smarttags" w:element="stockticker">
        <w:r>
          <w:t>ASR</w:t>
        </w:r>
      </w:smartTag>
      <w:r>
        <w:t xml:space="preserve"> borefield. Hence, the supply is </w:t>
      </w:r>
      <w:smartTag w:uri="urn:schemas-microsoft-com:office:smarttags" w:element="PersonName">
        <w:r>
          <w:t>groundwater</w:t>
        </w:r>
      </w:smartTag>
      <w:r>
        <w:t xml:space="preserve">-dominated, accessing the water added to the </w:t>
      </w:r>
      <w:r w:rsidR="00C217F0">
        <w:t>Calivil Formation</w:t>
      </w:r>
      <w:r w:rsidR="00F65D51">
        <w:t xml:space="preserve"> </w:t>
      </w:r>
      <w:r>
        <w:t xml:space="preserve">aquifer during post-flood replenishment. </w:t>
      </w:r>
    </w:p>
    <w:p w:rsidR="00354E6D" w:rsidRPr="00CF7613" w:rsidRDefault="00354E6D" w:rsidP="00354E6D">
      <w:pPr>
        <w:rPr>
          <w:rStyle w:val="StyleItalic"/>
        </w:rPr>
      </w:pPr>
    </w:p>
    <w:p w:rsidR="00DA329F" w:rsidRPr="000B4790" w:rsidRDefault="00DA329F" w:rsidP="00DA329F">
      <w:r w:rsidRPr="000B4790">
        <w:lastRenderedPageBreak/>
        <w:t xml:space="preserve">There are a number of potential pipeline routes between a nominal site for a pumping facility located above maximum flood level at East Bootingee and the existing Country Water treatment plant/pumping facility at the eastern margin of </w:t>
      </w:r>
      <w:r w:rsidR="007D1583">
        <w:t>Menindee township</w:t>
      </w:r>
      <w:r w:rsidR="00160912" w:rsidRPr="000B4790">
        <w:t xml:space="preserve"> (</w:t>
      </w:r>
      <w:r w:rsidR="000B4790" w:rsidRPr="000B4790">
        <w:t>Figure M</w:t>
      </w:r>
      <w:r w:rsidR="00160912" w:rsidRPr="000B4790">
        <w:t>)</w:t>
      </w:r>
      <w:r w:rsidRPr="000B4790">
        <w:t>. These routes range from about 14 to 18 km in length (</w:t>
      </w:r>
      <w:r w:rsidR="000B4790" w:rsidRPr="000B4790">
        <w:t>Figure M</w:t>
      </w:r>
      <w:r w:rsidRPr="000B4790">
        <w:t xml:space="preserve">) and pose a variety of potential issues with respect to channel crossings, flood risk, and roads and infrastructure crossings, as discussed below. The </w:t>
      </w:r>
      <w:smartTag w:uri="urn:schemas-microsoft-com:office:smarttags" w:element="place">
        <w:r w:rsidRPr="000B4790">
          <w:t>Darling River</w:t>
        </w:r>
      </w:smartTag>
      <w:r w:rsidRPr="000B4790">
        <w:t xml:space="preserve"> must be crossed and all the routes assume that the railway bridge, conveniently located just downstream from the water treatment plant, provides the most convenient and cheapest option. Alternatively, the pipeline could utilise the road bridge and then follow a floodplain route south of </w:t>
      </w:r>
      <w:r w:rsidR="00C217F0">
        <w:t xml:space="preserve">Menindee </w:t>
      </w:r>
      <w:r w:rsidRPr="000B4790">
        <w:t xml:space="preserve">across the railway line to the Water treatment plant (Figure </w:t>
      </w:r>
      <w:r w:rsidR="000B4790" w:rsidRPr="000B4790">
        <w:t>M</w:t>
      </w:r>
      <w:r w:rsidRPr="000B4790">
        <w:t>). All routes must also cross Talyawalka Creek and Charlie Stones Creek. The latter is a relatively narrow but deeply incised flood channel connected to both the Darling and Talyawalka main channels by relatively low sills and floods commonly. There are no bridges across Charlie Stones Creek.</w:t>
      </w:r>
    </w:p>
    <w:p w:rsidR="00DA329F" w:rsidRPr="000B4790" w:rsidRDefault="00DA329F" w:rsidP="00DA329F"/>
    <w:p w:rsidR="00DA329F" w:rsidRDefault="00DA329F" w:rsidP="00DA329F">
      <w:r w:rsidRPr="000B4790">
        <w:t xml:space="preserve">All routes must cross channels of the </w:t>
      </w:r>
      <w:smartTag w:uri="urn:schemas-microsoft-com:office:smarttags" w:element="place">
        <w:r w:rsidRPr="000B4790">
          <w:t>Darling River</w:t>
        </w:r>
      </w:smartTag>
      <w:r w:rsidRPr="000B4790">
        <w:t>, Talyawalka Creek and Charlie Stones Creek, which will contain flows whenever the Darling system is at moderate to high channel flood levels. This will require the pipeline to bridge these channels at a level higher than the maximum flood level. The highest flood levels in the Darling system can inundate the whole flood plain and within the valley only the aeolian sand landforms (</w:t>
      </w:r>
      <w:r w:rsidR="000B4790" w:rsidRPr="000B4790">
        <w:t>Figure M</w:t>
      </w:r>
      <w:r w:rsidRPr="000B4790">
        <w:t xml:space="preserve">) are always above maximum flood level. The chosen routes are designed to maximise the distance above flood level but all routes cross sections of the flood plain with an inherent flood risk. The flood risk mapping undertaken by GA for the BHMAR Project can provide detailed analysis of this risk, for each potential pipeline route. </w:t>
      </w:r>
      <w:r w:rsidR="00160912" w:rsidRPr="000B4790">
        <w:t xml:space="preserve">Figure </w:t>
      </w:r>
      <w:r w:rsidR="000B4790" w:rsidRPr="000B4790">
        <w:t>M</w:t>
      </w:r>
      <w:r w:rsidRPr="000B4790">
        <w:t xml:space="preserve"> also shows the possible pipeline routes superimposed on the highest known flood level (~8 m at Weir 32 in 1976) respectively. At the highest known flood level, flood risk extends to considerable lengths of the pipeline routes.</w:t>
      </w:r>
    </w:p>
    <w:p w:rsidR="00FC1053" w:rsidRDefault="00FC1053" w:rsidP="00DA329F"/>
    <w:p w:rsidR="00154578" w:rsidRPr="00744752" w:rsidRDefault="002D4C74" w:rsidP="007D5510">
      <w:pPr>
        <w:spacing w:before="120" w:after="60"/>
        <w:jc w:val="center"/>
        <w:rPr>
          <w:szCs w:val="22"/>
        </w:rPr>
      </w:pPr>
      <w:r>
        <w:br w:type="page"/>
      </w:r>
      <w:r w:rsidR="00706A3B">
        <w:rPr>
          <w:noProof/>
          <w:szCs w:val="22"/>
        </w:rPr>
        <w:lastRenderedPageBreak/>
        <w:drawing>
          <wp:inline distT="0" distB="0" distL="0" distR="0" wp14:anchorId="5C2DEE06" wp14:editId="69114454">
            <wp:extent cx="4965700" cy="7757609"/>
            <wp:effectExtent l="19050" t="19050" r="2540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2-6308-2_MARPhases_updated_resampled"/>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965700" cy="7757609"/>
                    </a:xfrm>
                    <a:prstGeom prst="rect">
                      <a:avLst/>
                    </a:prstGeom>
                    <a:noFill/>
                    <a:ln w="6350" cmpd="sng">
                      <a:solidFill>
                        <a:srgbClr val="000000"/>
                      </a:solidFill>
                      <a:miter lim="800000"/>
                      <a:headEnd/>
                      <a:tailEnd/>
                    </a:ln>
                    <a:effectLst/>
                  </pic:spPr>
                </pic:pic>
              </a:graphicData>
            </a:graphic>
          </wp:inline>
        </w:drawing>
      </w:r>
    </w:p>
    <w:p w:rsidR="00306885" w:rsidRPr="00666EC0" w:rsidRDefault="0009420D" w:rsidP="0009420D">
      <w:pPr>
        <w:pStyle w:val="Caption"/>
        <w:rPr>
          <w:i w:val="0"/>
          <w:szCs w:val="20"/>
        </w:rPr>
      </w:pPr>
      <w:bookmarkStart w:id="56" w:name="_Ref325641714"/>
      <w:r w:rsidRPr="00666EC0">
        <w:rPr>
          <w:b/>
        </w:rPr>
        <w:t xml:space="preserve">Figure </w:t>
      </w:r>
      <w:bookmarkEnd w:id="56"/>
      <w:r w:rsidR="000B4790">
        <w:rPr>
          <w:b/>
        </w:rPr>
        <w:t>L</w:t>
      </w:r>
      <w:r w:rsidRPr="00666EC0">
        <w:rPr>
          <w:b/>
          <w:szCs w:val="20"/>
        </w:rPr>
        <w:t>.</w:t>
      </w:r>
      <w:r w:rsidR="00306885" w:rsidRPr="0009420D">
        <w:rPr>
          <w:b/>
          <w:i w:val="0"/>
          <w:szCs w:val="20"/>
        </w:rPr>
        <w:t xml:space="preserve"> </w:t>
      </w:r>
      <w:r w:rsidRPr="001440A3">
        <w:rPr>
          <w:szCs w:val="20"/>
        </w:rPr>
        <w:t xml:space="preserve">Conceptual diagram of a </w:t>
      </w:r>
      <w:r w:rsidR="00306885" w:rsidRPr="001440A3">
        <w:rPr>
          <w:szCs w:val="20"/>
        </w:rPr>
        <w:t xml:space="preserve">conjunctive water management strategy. </w:t>
      </w:r>
      <w:r w:rsidRPr="001440A3">
        <w:rPr>
          <w:szCs w:val="20"/>
        </w:rPr>
        <w:t>A</w:t>
      </w:r>
      <w:r w:rsidR="00306885" w:rsidRPr="001440A3">
        <w:rPr>
          <w:szCs w:val="20"/>
        </w:rPr>
        <w:t>n array of aquifer storage and recovery (</w:t>
      </w:r>
      <w:smartTag w:uri="urn:schemas-microsoft-com:office:smarttags" w:element="stockticker">
        <w:r w:rsidR="00306885" w:rsidRPr="001440A3">
          <w:rPr>
            <w:szCs w:val="20"/>
          </w:rPr>
          <w:t>ASR</w:t>
        </w:r>
      </w:smartTag>
      <w:r w:rsidR="00306885" w:rsidRPr="001440A3">
        <w:rPr>
          <w:szCs w:val="20"/>
        </w:rPr>
        <w:t xml:space="preserve">) bores enable the injection of treated surface water into the underground aquifer storage identified in sands and gravels of the </w:t>
      </w:r>
      <w:r w:rsidR="00C217F0">
        <w:rPr>
          <w:szCs w:val="20"/>
        </w:rPr>
        <w:t>Calivil Formation</w:t>
      </w:r>
      <w:r w:rsidR="00306885" w:rsidRPr="001440A3">
        <w:rPr>
          <w:szCs w:val="20"/>
        </w:rPr>
        <w:t xml:space="preserve">. These bores are dual purpose – they are also used to pump the water from the aquifer storage when required. A pipeline connects the </w:t>
      </w:r>
      <w:smartTag w:uri="urn:schemas-microsoft-com:office:smarttags" w:element="stockticker">
        <w:r w:rsidR="00306885" w:rsidRPr="001440A3">
          <w:rPr>
            <w:szCs w:val="20"/>
          </w:rPr>
          <w:t>ASR</w:t>
        </w:r>
      </w:smartTag>
      <w:r w:rsidR="00306885" w:rsidRPr="001440A3">
        <w:rPr>
          <w:szCs w:val="20"/>
        </w:rPr>
        <w:t xml:space="preserve"> borefield to the existing treatment plant and Broken Hill supply pipeline at </w:t>
      </w:r>
      <w:r w:rsidR="00C217F0">
        <w:rPr>
          <w:szCs w:val="20"/>
        </w:rPr>
        <w:t>Menindee</w:t>
      </w:r>
      <w:r w:rsidR="00306885" w:rsidRPr="001440A3">
        <w:rPr>
          <w:szCs w:val="20"/>
        </w:rPr>
        <w:t>.</w:t>
      </w:r>
      <w:r w:rsidR="00BE08AB" w:rsidRPr="00BE08AB">
        <w:rPr>
          <w:bCs w:val="0"/>
          <w:i w:val="0"/>
        </w:rPr>
        <w:t xml:space="preserve"> </w:t>
      </w:r>
      <w:r w:rsidR="00BE08AB" w:rsidRPr="00666EC0">
        <w:rPr>
          <w:bCs w:val="0"/>
          <w:i w:val="0"/>
        </w:rPr>
        <w:fldChar w:fldCharType="begin"/>
      </w:r>
      <w:r w:rsidR="00BE08AB" w:rsidRPr="00666EC0">
        <w:rPr>
          <w:bCs w:val="0"/>
          <w:i w:val="0"/>
        </w:rPr>
        <w:instrText xml:space="preserve"> TC "</w:instrText>
      </w:r>
      <w:bookmarkStart w:id="57" w:name="_Toc325975196"/>
      <w:bookmarkStart w:id="58" w:name="_Toc390690201"/>
      <w:r w:rsidR="000B4790">
        <w:rPr>
          <w:bCs w:val="0"/>
          <w:i w:val="0"/>
        </w:rPr>
        <w:instrText>Figure L</w:instrText>
      </w:r>
      <w:r w:rsidR="00497AD3">
        <w:rPr>
          <w:bCs w:val="0"/>
          <w:i w:val="0"/>
        </w:rPr>
        <w:instrText>.</w:instrText>
      </w:r>
      <w:r w:rsidR="00BE08AB" w:rsidRPr="00666EC0">
        <w:rPr>
          <w:bCs w:val="0"/>
          <w:i w:val="0"/>
        </w:rPr>
        <w:instrText xml:space="preserve"> </w:instrText>
      </w:r>
      <w:r w:rsidR="00666EC0" w:rsidRPr="00666EC0">
        <w:rPr>
          <w:i w:val="0"/>
          <w:szCs w:val="20"/>
        </w:rPr>
        <w:instrText>Conceptual diagram of a conjunctive water management strategy</w:instrText>
      </w:r>
      <w:bookmarkEnd w:id="57"/>
      <w:bookmarkEnd w:id="58"/>
      <w:r w:rsidR="00BE08AB" w:rsidRPr="00666EC0">
        <w:rPr>
          <w:bCs w:val="0"/>
          <w:i w:val="0"/>
        </w:rPr>
        <w:instrText xml:space="preserve">" \f A \l “4” </w:instrText>
      </w:r>
      <w:r w:rsidR="00BE08AB" w:rsidRPr="00666EC0">
        <w:rPr>
          <w:bCs w:val="0"/>
          <w:i w:val="0"/>
        </w:rPr>
        <w:fldChar w:fldCharType="end"/>
      </w:r>
    </w:p>
    <w:p w:rsidR="00C45F9D" w:rsidRDefault="00C45F9D" w:rsidP="00C45F9D">
      <w:pPr>
        <w:spacing w:before="120" w:after="120"/>
        <w:rPr>
          <w:szCs w:val="22"/>
        </w:rPr>
      </w:pPr>
    </w:p>
    <w:p w:rsidR="00160912" w:rsidRDefault="00706A3B" w:rsidP="007D5510">
      <w:pPr>
        <w:pStyle w:val="Caption"/>
        <w:spacing w:after="60"/>
        <w:jc w:val="center"/>
      </w:pPr>
      <w:r>
        <w:rPr>
          <w:noProof/>
        </w:rPr>
        <w:lastRenderedPageBreak/>
        <w:drawing>
          <wp:inline distT="0" distB="0" distL="0" distR="0" wp14:anchorId="567736C9" wp14:editId="367DA8EB">
            <wp:extent cx="5773420" cy="7985125"/>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l="4062" t="1555" r="2823"/>
                    <a:stretch>
                      <a:fillRect/>
                    </a:stretch>
                  </pic:blipFill>
                  <pic:spPr bwMode="auto">
                    <a:xfrm>
                      <a:off x="0" y="0"/>
                      <a:ext cx="5773420" cy="7985125"/>
                    </a:xfrm>
                    <a:prstGeom prst="rect">
                      <a:avLst/>
                    </a:prstGeom>
                    <a:noFill/>
                    <a:ln w="6350" cmpd="sng">
                      <a:solidFill>
                        <a:srgbClr val="000000"/>
                      </a:solidFill>
                      <a:miter lim="800000"/>
                      <a:headEnd/>
                      <a:tailEnd/>
                    </a:ln>
                    <a:effectLst/>
                  </pic:spPr>
                </pic:pic>
              </a:graphicData>
            </a:graphic>
          </wp:inline>
        </w:drawing>
      </w:r>
    </w:p>
    <w:p w:rsidR="00306885" w:rsidRPr="006B2AA4" w:rsidRDefault="00160912" w:rsidP="00666EC0">
      <w:pPr>
        <w:pStyle w:val="Caption"/>
        <w:rPr>
          <w:i w:val="0"/>
        </w:rPr>
      </w:pPr>
      <w:r>
        <w:t>F</w:t>
      </w:r>
      <w:r w:rsidR="00666EC0" w:rsidRPr="0009420D">
        <w:rPr>
          <w:b/>
        </w:rPr>
        <w:t xml:space="preserve">igure </w:t>
      </w:r>
      <w:r w:rsidR="000B4790">
        <w:rPr>
          <w:b/>
        </w:rPr>
        <w:t>M</w:t>
      </w:r>
      <w:r w:rsidR="00666EC0" w:rsidRPr="0009420D">
        <w:rPr>
          <w:b/>
        </w:rPr>
        <w:t>.</w:t>
      </w:r>
      <w:r w:rsidR="00666EC0" w:rsidRPr="00666EC0">
        <w:t xml:space="preserve"> Possible location of bores and pipeline routes </w:t>
      </w:r>
      <w:r w:rsidR="00F25A1E">
        <w:t xml:space="preserve">for </w:t>
      </w:r>
      <w:r w:rsidR="00666EC0" w:rsidRPr="00666EC0">
        <w:t>the Jimargil site. Modelled flood extent is also shown highlighting areas that may be subject to inundation during flood events</w:t>
      </w:r>
      <w:r w:rsidR="00666EC0" w:rsidRPr="001440A3">
        <w:t>.</w:t>
      </w:r>
      <w:r w:rsidR="00666EC0" w:rsidRPr="00BE08AB">
        <w:t xml:space="preserve"> </w:t>
      </w:r>
      <w:r w:rsidR="00666EC0" w:rsidRPr="006B2AA4">
        <w:rPr>
          <w:i w:val="0"/>
        </w:rPr>
        <w:fldChar w:fldCharType="begin"/>
      </w:r>
      <w:r w:rsidR="00666EC0" w:rsidRPr="006B2AA4">
        <w:rPr>
          <w:i w:val="0"/>
        </w:rPr>
        <w:instrText xml:space="preserve"> TC "</w:instrText>
      </w:r>
      <w:bookmarkStart w:id="59" w:name="_Toc325975197"/>
      <w:bookmarkStart w:id="60" w:name="_Toc390690202"/>
      <w:r w:rsidR="00666EC0" w:rsidRPr="006B2AA4">
        <w:rPr>
          <w:i w:val="0"/>
        </w:rPr>
        <w:instrText xml:space="preserve">Figure </w:instrText>
      </w:r>
      <w:r w:rsidR="000B4790" w:rsidRPr="006B2AA4">
        <w:rPr>
          <w:i w:val="0"/>
        </w:rPr>
        <w:instrText>M</w:instrText>
      </w:r>
      <w:r w:rsidR="00497AD3">
        <w:rPr>
          <w:i w:val="0"/>
        </w:rPr>
        <w:instrText>.</w:instrText>
      </w:r>
      <w:r w:rsidR="00666EC0" w:rsidRPr="006B2AA4">
        <w:rPr>
          <w:i w:val="0"/>
        </w:rPr>
        <w:instrText xml:space="preserve"> Possible location of bores and pipeline routes </w:instrText>
      </w:r>
      <w:r w:rsidR="0067778F">
        <w:rPr>
          <w:i w:val="0"/>
        </w:rPr>
        <w:instrText>for</w:instrText>
      </w:r>
      <w:r w:rsidR="00666EC0" w:rsidRPr="006B2AA4">
        <w:rPr>
          <w:i w:val="0"/>
        </w:rPr>
        <w:instrText xml:space="preserve"> the Jimargil site</w:instrText>
      </w:r>
      <w:bookmarkEnd w:id="59"/>
      <w:bookmarkEnd w:id="60"/>
      <w:r w:rsidR="00666EC0" w:rsidRPr="006B2AA4">
        <w:rPr>
          <w:i w:val="0"/>
        </w:rPr>
        <w:instrText xml:space="preserve"> " \f A \l “4” </w:instrText>
      </w:r>
      <w:r w:rsidR="00666EC0" w:rsidRPr="006B2AA4">
        <w:rPr>
          <w:i w:val="0"/>
        </w:rPr>
        <w:fldChar w:fldCharType="end"/>
      </w:r>
    </w:p>
    <w:p w:rsidR="002D4C74" w:rsidRDefault="002D4C74" w:rsidP="00F91116">
      <w:pPr>
        <w:spacing w:before="120" w:after="120"/>
        <w:rPr>
          <w:b/>
          <w:color w:val="3366FF"/>
          <w:sz w:val="32"/>
          <w:szCs w:val="32"/>
          <w:lang w:eastAsia="en-US"/>
        </w:rPr>
      </w:pPr>
    </w:p>
    <w:p w:rsidR="002F7F6A" w:rsidRPr="00DD1E35" w:rsidRDefault="001D5ABC" w:rsidP="00F91116">
      <w:pPr>
        <w:spacing w:before="120" w:after="120"/>
        <w:rPr>
          <w:b/>
          <w:color w:val="3366FF"/>
          <w:sz w:val="32"/>
          <w:szCs w:val="32"/>
          <w:lang w:eastAsia="en-US"/>
        </w:rPr>
      </w:pPr>
      <w:r>
        <w:rPr>
          <w:b/>
          <w:color w:val="3366FF"/>
          <w:sz w:val="32"/>
          <w:szCs w:val="32"/>
          <w:lang w:eastAsia="en-US"/>
        </w:rPr>
        <w:br w:type="page"/>
      </w:r>
      <w:r w:rsidR="00DD1E35" w:rsidRPr="00DD1E35">
        <w:rPr>
          <w:b/>
          <w:color w:val="3366FF"/>
          <w:sz w:val="32"/>
          <w:szCs w:val="32"/>
          <w:lang w:eastAsia="en-US"/>
        </w:rPr>
        <w:lastRenderedPageBreak/>
        <w:t>BROADER IMPLICATIONS FROM THIS STUDY</w:t>
      </w:r>
    </w:p>
    <w:p w:rsidR="00C45F9D" w:rsidRPr="001440A3" w:rsidRDefault="00C45F9D" w:rsidP="00C45F9D">
      <w:pPr>
        <w:tabs>
          <w:tab w:val="num" w:pos="2517"/>
        </w:tabs>
        <w:spacing w:before="240" w:after="120"/>
        <w:rPr>
          <w:b/>
          <w:sz w:val="24"/>
        </w:rPr>
      </w:pPr>
      <w:r>
        <w:rPr>
          <w:b/>
          <w:sz w:val="24"/>
        </w:rPr>
        <w:t xml:space="preserve">Regional </w:t>
      </w:r>
      <w:smartTag w:uri="urn:schemas-microsoft-com:office:smarttags" w:element="PersonName">
        <w:r w:rsidRPr="001440A3">
          <w:rPr>
            <w:b/>
            <w:sz w:val="24"/>
          </w:rPr>
          <w:t>Groundwater</w:t>
        </w:r>
      </w:smartTag>
      <w:r w:rsidRPr="001440A3">
        <w:rPr>
          <w:b/>
          <w:sz w:val="24"/>
        </w:rPr>
        <w:t xml:space="preserve"> </w:t>
      </w:r>
      <w:r>
        <w:rPr>
          <w:b/>
          <w:sz w:val="24"/>
        </w:rPr>
        <w:t>Management</w:t>
      </w:r>
    </w:p>
    <w:p w:rsidR="00C45F9D" w:rsidRDefault="00C45F9D" w:rsidP="00C45F9D">
      <w:r>
        <w:t>The BHMAR project outputs will provide a significant scientific base to support groundwater management in the region, some examples being:</w:t>
      </w:r>
      <w:r w:rsidR="00465915">
        <w:t xml:space="preserve"> </w:t>
      </w:r>
    </w:p>
    <w:p w:rsidR="00C45F9D" w:rsidRDefault="00C45F9D" w:rsidP="00C45F9D">
      <w:pPr>
        <w:numPr>
          <w:ilvl w:val="0"/>
          <w:numId w:val="19"/>
        </w:numPr>
        <w:tabs>
          <w:tab w:val="clear" w:pos="720"/>
          <w:tab w:val="num" w:pos="-3420"/>
        </w:tabs>
        <w:ind w:left="540" w:hanging="540"/>
      </w:pPr>
      <w:r>
        <w:t xml:space="preserve">Better definition of the stratigraphic, structural, hydrogeological and hydrochemical framework of the alluvial groundwater systems. For example, there is no stratigraphic definition (e.g. </w:t>
      </w:r>
      <w:r w:rsidR="00C217F0">
        <w:t>Coonambidgal Formation</w:t>
      </w:r>
      <w:r>
        <w:t>), geomorphic mapping or a nominal aquifer depth criterion in the existing NSW plan for the shallow alluvial groundwater resource.</w:t>
      </w:r>
    </w:p>
    <w:p w:rsidR="00C45F9D" w:rsidRPr="001A76F3" w:rsidRDefault="00C45F9D" w:rsidP="00C45F9D">
      <w:pPr>
        <w:numPr>
          <w:ilvl w:val="0"/>
          <w:numId w:val="19"/>
        </w:numPr>
        <w:tabs>
          <w:tab w:val="clear" w:pos="720"/>
          <w:tab w:val="num" w:pos="-3420"/>
        </w:tabs>
        <w:ind w:left="540" w:hanging="540"/>
      </w:pPr>
      <w:r>
        <w:t xml:space="preserve">Better definition of the extent and geometry of the </w:t>
      </w:r>
      <w:r w:rsidR="00C217F0">
        <w:t>Calivil Formation</w:t>
      </w:r>
      <w:r w:rsidR="00F65D51">
        <w:t xml:space="preserve"> </w:t>
      </w:r>
      <w:r>
        <w:t>aquifer, as well as the level of confinement defined by the overlying Blanchetown Clay and the potentiometric surface.</w:t>
      </w:r>
      <w:r w:rsidR="005A16EE">
        <w:t xml:space="preserve"> </w:t>
      </w:r>
      <w:r w:rsidR="00534656">
        <w:t xml:space="preserve">The BHMAR project has identified areas with higher-yielding coarse sands hosted in palaeochannel deposits in the sequence. </w:t>
      </w:r>
      <w:r w:rsidR="005A16EE">
        <w:t xml:space="preserve">The </w:t>
      </w:r>
      <w:r w:rsidR="00534656">
        <w:t xml:space="preserve">overlying </w:t>
      </w:r>
      <w:r w:rsidR="005A16EE">
        <w:t>Blanchetown Clay and also a near-surface aquitard have been found to be more regionally extensive than previously mapped, which would reduce the potential for diffuse rainfall recharge to the aquifer.</w:t>
      </w:r>
    </w:p>
    <w:p w:rsidR="00C45F9D" w:rsidRPr="001A76F3" w:rsidRDefault="00C45F9D" w:rsidP="00C45F9D">
      <w:pPr>
        <w:numPr>
          <w:ilvl w:val="0"/>
          <w:numId w:val="19"/>
        </w:numPr>
        <w:tabs>
          <w:tab w:val="clear" w:pos="720"/>
          <w:tab w:val="num" w:pos="-3420"/>
        </w:tabs>
        <w:ind w:left="540" w:hanging="540"/>
      </w:pPr>
      <w:r>
        <w:t xml:space="preserve">Identifying the beneficial uses of the </w:t>
      </w:r>
      <w:r w:rsidR="00C217F0">
        <w:t>Calivil Formation</w:t>
      </w:r>
      <w:r w:rsidR="00F65D51">
        <w:t xml:space="preserve"> </w:t>
      </w:r>
      <w:r>
        <w:t>aquifer, particularly</w:t>
      </w:r>
      <w:r w:rsidR="005A16EE">
        <w:t xml:space="preserve"> more detailed </w:t>
      </w:r>
      <w:r>
        <w:t>mapping of the zones of fresh to brackish groundwater resources. Such mapping helps target future areas of development, the siting of monitoring bores and other infrastructure, and the assessment of potential risks associated with groundwater pumping (such as ingress of saline groundwater).</w:t>
      </w:r>
    </w:p>
    <w:p w:rsidR="00C45F9D" w:rsidRDefault="00C45F9D" w:rsidP="00C45F9D"/>
    <w:p w:rsidR="00C45F9D" w:rsidRDefault="00C45F9D" w:rsidP="00C45F9D">
      <w:r>
        <w:t xml:space="preserve">The BHMAR project has also significantly revised the understanding of key groundwater processes, such as recharge. Existing extraction limits for the </w:t>
      </w:r>
      <w:r w:rsidR="00C217F0">
        <w:t>Calivil Formation</w:t>
      </w:r>
      <w:r w:rsidR="00F65D51">
        <w:t xml:space="preserve"> t</w:t>
      </w:r>
      <w:r>
        <w:t xml:space="preserve">arget aquifer, in both State and Basin plans, are based on the assumption that rainfall is the key recharge mechanism. However, the BHMAR project provides several lines of evidence that </w:t>
      </w:r>
      <w:r w:rsidR="00C43323">
        <w:t xml:space="preserve">episodic </w:t>
      </w:r>
      <w:r>
        <w:t xml:space="preserve">leakage from the river (and lakes) is the dominant recharge. There is also evidence of fresh </w:t>
      </w:r>
      <w:r w:rsidR="00F65D51">
        <w:t xml:space="preserve">groundwater within the </w:t>
      </w:r>
      <w:r w:rsidR="00C217F0">
        <w:t>Calivil Formation</w:t>
      </w:r>
      <w:r w:rsidR="00F65D51">
        <w:t xml:space="preserve"> in areas</w:t>
      </w:r>
      <w:r>
        <w:t xml:space="preserve"> distal </w:t>
      </w:r>
      <w:r w:rsidR="00F65D51">
        <w:t>to</w:t>
      </w:r>
      <w:r>
        <w:t xml:space="preserve"> the rivers and lakes that have no indicators of modern recharge. </w:t>
      </w:r>
      <w:r w:rsidR="00F65D51">
        <w:t xml:space="preserve">These resources are considered ‘fossil’ resources. </w:t>
      </w:r>
      <w:r>
        <w:t>This means that the current management paradigm for recharge is not valid.</w:t>
      </w:r>
      <w:r w:rsidR="00C43323">
        <w:t xml:space="preserve"> For the Western Murray Porous Rock Groundwater Source, using a recharge volume based on a percentage of annual rainfall across the entire management area does not take into account the salinity range evident in the Calivil Formation (and Renmark Group) aquifer.</w:t>
      </w:r>
    </w:p>
    <w:p w:rsidR="00F567C5" w:rsidRPr="001440A3" w:rsidRDefault="00F567C5" w:rsidP="001440A3">
      <w:pPr>
        <w:tabs>
          <w:tab w:val="num" w:pos="2517"/>
        </w:tabs>
        <w:spacing w:before="240" w:after="120"/>
        <w:rPr>
          <w:b/>
          <w:sz w:val="24"/>
        </w:rPr>
      </w:pPr>
      <w:smartTag w:uri="urn:schemas-microsoft-com:office:smarttags" w:element="PersonName">
        <w:r w:rsidRPr="001440A3">
          <w:rPr>
            <w:b/>
            <w:sz w:val="24"/>
          </w:rPr>
          <w:t>Groundwater</w:t>
        </w:r>
      </w:smartTag>
      <w:r w:rsidRPr="001440A3">
        <w:rPr>
          <w:b/>
          <w:sz w:val="24"/>
        </w:rPr>
        <w:t xml:space="preserve"> Resource and MAR Potential in the </w:t>
      </w:r>
      <w:smartTag w:uri="urn:schemas-microsoft-com:office:smarttags" w:element="place">
        <w:r w:rsidRPr="001440A3">
          <w:rPr>
            <w:b/>
            <w:sz w:val="24"/>
          </w:rPr>
          <w:t>Darling River</w:t>
        </w:r>
      </w:smartTag>
      <w:r w:rsidRPr="001440A3">
        <w:rPr>
          <w:b/>
          <w:sz w:val="24"/>
        </w:rPr>
        <w:t xml:space="preserve"> </w:t>
      </w:r>
      <w:r w:rsidR="00CB381B">
        <w:rPr>
          <w:b/>
          <w:sz w:val="24"/>
        </w:rPr>
        <w:t>S</w:t>
      </w:r>
      <w:r w:rsidRPr="001440A3">
        <w:rPr>
          <w:b/>
          <w:sz w:val="24"/>
        </w:rPr>
        <w:t>ystem</w:t>
      </w:r>
    </w:p>
    <w:p w:rsidR="00306885" w:rsidRPr="007000DB" w:rsidRDefault="00306885" w:rsidP="00306885">
      <w:pPr>
        <w:rPr>
          <w:szCs w:val="22"/>
        </w:rPr>
      </w:pPr>
      <w:r>
        <w:rPr>
          <w:szCs w:val="22"/>
        </w:rPr>
        <w:t>The</w:t>
      </w:r>
      <w:r w:rsidRPr="007000DB">
        <w:rPr>
          <w:szCs w:val="22"/>
        </w:rPr>
        <w:t xml:space="preserve"> </w:t>
      </w:r>
      <w:r>
        <w:rPr>
          <w:szCs w:val="22"/>
        </w:rPr>
        <w:t>identification of significant</w:t>
      </w:r>
      <w:r w:rsidRPr="007000DB">
        <w:rPr>
          <w:szCs w:val="22"/>
        </w:rPr>
        <w:t xml:space="preserve"> volume</w:t>
      </w:r>
      <w:r>
        <w:rPr>
          <w:szCs w:val="22"/>
        </w:rPr>
        <w:t>s</w:t>
      </w:r>
      <w:r w:rsidRPr="007000DB">
        <w:rPr>
          <w:szCs w:val="22"/>
        </w:rPr>
        <w:t xml:space="preserve"> </w:t>
      </w:r>
      <w:r>
        <w:rPr>
          <w:szCs w:val="22"/>
        </w:rPr>
        <w:t>of good quality, largely un</w:t>
      </w:r>
      <w:r w:rsidR="006C2C03">
        <w:rPr>
          <w:szCs w:val="22"/>
        </w:rPr>
        <w:t>derutilised</w:t>
      </w:r>
      <w:r>
        <w:rPr>
          <w:szCs w:val="22"/>
        </w:rPr>
        <w:t xml:space="preserve"> </w:t>
      </w:r>
      <w:r w:rsidRPr="007000DB">
        <w:rPr>
          <w:szCs w:val="22"/>
        </w:rPr>
        <w:t xml:space="preserve">groundwater resources in the </w:t>
      </w:r>
      <w:r>
        <w:rPr>
          <w:szCs w:val="22"/>
        </w:rPr>
        <w:t xml:space="preserve">BHMAR </w:t>
      </w:r>
      <w:r w:rsidR="00A56C85">
        <w:rPr>
          <w:szCs w:val="22"/>
        </w:rPr>
        <w:t>project</w:t>
      </w:r>
      <w:r>
        <w:rPr>
          <w:szCs w:val="22"/>
        </w:rPr>
        <w:t xml:space="preserve"> area</w:t>
      </w:r>
      <w:r w:rsidDel="004E466D">
        <w:rPr>
          <w:szCs w:val="22"/>
        </w:rPr>
        <w:t xml:space="preserve"> </w:t>
      </w:r>
      <w:r>
        <w:rPr>
          <w:szCs w:val="22"/>
        </w:rPr>
        <w:t xml:space="preserve">highlights the likelihood of similar opportunities further upstream in the Darling-Barwon system, and in other data-poor river systems </w:t>
      </w:r>
      <w:r w:rsidRPr="007000DB">
        <w:rPr>
          <w:szCs w:val="22"/>
        </w:rPr>
        <w:t xml:space="preserve">within the </w:t>
      </w:r>
      <w:r>
        <w:rPr>
          <w:szCs w:val="22"/>
        </w:rPr>
        <w:t>Basin</w:t>
      </w:r>
      <w:r w:rsidRPr="007000DB">
        <w:rPr>
          <w:szCs w:val="22"/>
        </w:rPr>
        <w:t xml:space="preserve">. </w:t>
      </w:r>
      <w:r>
        <w:rPr>
          <w:szCs w:val="22"/>
        </w:rPr>
        <w:t>The key drivers are</w:t>
      </w:r>
      <w:r w:rsidR="00E823BA">
        <w:rPr>
          <w:szCs w:val="22"/>
        </w:rPr>
        <w:t xml:space="preserve"> </w:t>
      </w:r>
      <w:r>
        <w:rPr>
          <w:szCs w:val="22"/>
        </w:rPr>
        <w:t xml:space="preserve">increasing drought security for regional communities and industries </w:t>
      </w:r>
      <w:r w:rsidRPr="007000DB">
        <w:rPr>
          <w:szCs w:val="22"/>
        </w:rPr>
        <w:t xml:space="preserve">such as mining or </w:t>
      </w:r>
      <w:r>
        <w:rPr>
          <w:szCs w:val="22"/>
        </w:rPr>
        <w:t>agriculture and increasing</w:t>
      </w:r>
      <w:r w:rsidRPr="007000DB">
        <w:rPr>
          <w:szCs w:val="22"/>
        </w:rPr>
        <w:t xml:space="preserve"> local employment opportunities. </w:t>
      </w:r>
    </w:p>
    <w:p w:rsidR="00306885" w:rsidRDefault="00306885" w:rsidP="00306885">
      <w:pPr>
        <w:rPr>
          <w:szCs w:val="22"/>
        </w:rPr>
      </w:pPr>
    </w:p>
    <w:p w:rsidR="00306885" w:rsidRPr="00306885" w:rsidRDefault="00306885" w:rsidP="00306885">
      <w:pPr>
        <w:rPr>
          <w:szCs w:val="22"/>
        </w:rPr>
      </w:pPr>
      <w:r w:rsidRPr="00306885">
        <w:rPr>
          <w:szCs w:val="22"/>
        </w:rPr>
        <w:t xml:space="preserve">To this end, a rapid assessment was applied to the </w:t>
      </w:r>
      <w:smartTag w:uri="urn:schemas-microsoft-com:office:smarttags" w:element="place">
        <w:r w:rsidRPr="00306885">
          <w:rPr>
            <w:szCs w:val="22"/>
          </w:rPr>
          <w:t>Upper Darling River</w:t>
        </w:r>
      </w:smartTag>
      <w:r w:rsidRPr="00306885">
        <w:rPr>
          <w:szCs w:val="22"/>
        </w:rPr>
        <w:t xml:space="preserve"> between Bourke and Wilcannia. Current estimates of groundwater availability in this area do not account for potential recharge by river leakage. Significant generic losses from the river system have been predicted by river modelling under average conditions, although the proportion attributable to leakage has not been determined due to lack of data. The BHMAR study has demonstrated that river leakage is significantly enhanced during high-flow events, so an average river budget may significantly underestimate potential transfers from the river to the shallow groundwater resource. A comparison of annual flows for specific wet years show examples of large (and unattributed) downstream reduction of flows between gauging stations, much greater than for average conditions. Recent mapping of stream-aquifer connectivity has identified medium to high losing reaches.</w:t>
      </w:r>
    </w:p>
    <w:p w:rsidR="00306885" w:rsidRPr="00306885" w:rsidRDefault="00306885" w:rsidP="00306885">
      <w:pPr>
        <w:rPr>
          <w:szCs w:val="22"/>
        </w:rPr>
      </w:pPr>
    </w:p>
    <w:p w:rsidR="00306885" w:rsidRPr="00306885" w:rsidRDefault="00306885" w:rsidP="00306885">
      <w:pPr>
        <w:rPr>
          <w:szCs w:val="22"/>
        </w:rPr>
      </w:pPr>
      <w:r w:rsidRPr="00306885">
        <w:rPr>
          <w:szCs w:val="22"/>
        </w:rPr>
        <w:t xml:space="preserve">In addition, there are a number of similarities in geomorphology, tectonics and stratigraphy between 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sidRPr="00306885">
        <w:rPr>
          <w:szCs w:val="22"/>
        </w:rPr>
        <w:t xml:space="preserve"> region and the Upper Darling. </w:t>
      </w:r>
      <w:smartTag w:uri="urn:schemas-microsoft-com:office:smarttags" w:element="PersonName">
        <w:r w:rsidRPr="00306885">
          <w:rPr>
            <w:szCs w:val="22"/>
          </w:rPr>
          <w:t>Groundwater</w:t>
        </w:r>
      </w:smartTag>
      <w:r w:rsidRPr="00306885">
        <w:rPr>
          <w:szCs w:val="22"/>
        </w:rPr>
        <w:t xml:space="preserve"> resources within the Darling Floodplain alluvium are likely to occur where recharge pathways (i.e. faults or holes in the upper confining aquitard) connect scroll-plain tracts to suitable (i.e. </w:t>
      </w:r>
      <w:r w:rsidR="00C217F0">
        <w:rPr>
          <w:szCs w:val="22"/>
        </w:rPr>
        <w:t>Calivil Formation</w:t>
      </w:r>
      <w:r w:rsidRPr="00306885">
        <w:rPr>
          <w:szCs w:val="22"/>
        </w:rPr>
        <w:t xml:space="preserve"> equivalent) aquifer cells. Accordingly, groundwater investigations in the Darling upstream of </w:t>
      </w:r>
      <w:r w:rsidR="00C217F0">
        <w:rPr>
          <w:szCs w:val="22"/>
        </w:rPr>
        <w:t xml:space="preserve">Menindee </w:t>
      </w:r>
      <w:r w:rsidRPr="00306885">
        <w:rPr>
          <w:szCs w:val="22"/>
        </w:rPr>
        <w:t>should be concentrated along both coincident and separate scroll-plain tracts, in particular where the two scroll plain tracts intersect. Fundamental data acquisition is required to characterise confining aquitards, semi-confined and surficial unconfined aquifers and zones of preferential river leakage</w:t>
      </w:r>
      <w:r w:rsidR="001E1E35">
        <w:rPr>
          <w:szCs w:val="22"/>
        </w:rPr>
        <w:t>.</w:t>
      </w:r>
    </w:p>
    <w:p w:rsidR="00F6666A" w:rsidRPr="001440A3" w:rsidRDefault="0021580E" w:rsidP="001440A3">
      <w:pPr>
        <w:tabs>
          <w:tab w:val="num" w:pos="2517"/>
        </w:tabs>
        <w:spacing w:before="240" w:after="120"/>
        <w:rPr>
          <w:b/>
          <w:sz w:val="24"/>
        </w:rPr>
      </w:pPr>
      <w:r>
        <w:rPr>
          <w:b/>
          <w:sz w:val="24"/>
        </w:rPr>
        <w:lastRenderedPageBreak/>
        <w:t>Basin and National Implications</w:t>
      </w:r>
      <w:r w:rsidR="00F6666A" w:rsidRPr="001440A3">
        <w:rPr>
          <w:b/>
          <w:sz w:val="24"/>
        </w:rPr>
        <w:t xml:space="preserve"> </w:t>
      </w:r>
    </w:p>
    <w:p w:rsidR="009F3C58" w:rsidRDefault="00D026C7" w:rsidP="00D026C7">
      <w:pPr>
        <w:rPr>
          <w:szCs w:val="22"/>
        </w:rPr>
      </w:pPr>
      <w:r>
        <w:rPr>
          <w:szCs w:val="22"/>
        </w:rPr>
        <w:t xml:space="preserve">The BHMAR study has demonstrated that a </w:t>
      </w:r>
      <w:r w:rsidR="006C2C03">
        <w:rPr>
          <w:szCs w:val="22"/>
        </w:rPr>
        <w:t>trans</w:t>
      </w:r>
      <w:r>
        <w:rPr>
          <w:szCs w:val="22"/>
        </w:rPr>
        <w:t xml:space="preserve">-disciplinary </w:t>
      </w:r>
      <w:r w:rsidRPr="00306885">
        <w:rPr>
          <w:szCs w:val="22"/>
        </w:rPr>
        <w:t>systems approach</w:t>
      </w:r>
      <w:r>
        <w:rPr>
          <w:szCs w:val="22"/>
        </w:rPr>
        <w:t>,</w:t>
      </w:r>
      <w:r w:rsidRPr="00306885">
        <w:rPr>
          <w:szCs w:val="22"/>
        </w:rPr>
        <w:t xml:space="preserve"> and </w:t>
      </w:r>
      <w:r>
        <w:rPr>
          <w:szCs w:val="22"/>
        </w:rPr>
        <w:t xml:space="preserve">the </w:t>
      </w:r>
      <w:r w:rsidRPr="00306885">
        <w:rPr>
          <w:szCs w:val="22"/>
        </w:rPr>
        <w:t xml:space="preserve">integrated workflows developed in the </w:t>
      </w:r>
      <w:r w:rsidR="00E655C7">
        <w:rPr>
          <w:szCs w:val="22"/>
        </w:rPr>
        <w:t>p</w:t>
      </w:r>
      <w:r w:rsidRPr="00306885">
        <w:rPr>
          <w:szCs w:val="22"/>
        </w:rPr>
        <w:t>roject</w:t>
      </w:r>
      <w:r>
        <w:rPr>
          <w:szCs w:val="22"/>
        </w:rPr>
        <w:t>,</w:t>
      </w:r>
      <w:r w:rsidRPr="00306885">
        <w:rPr>
          <w:szCs w:val="22"/>
        </w:rPr>
        <w:t xml:space="preserve"> </w:t>
      </w:r>
      <w:r>
        <w:rPr>
          <w:szCs w:val="22"/>
        </w:rPr>
        <w:t>can</w:t>
      </w:r>
      <w:r w:rsidRPr="00306885">
        <w:rPr>
          <w:szCs w:val="22"/>
        </w:rPr>
        <w:t xml:space="preserve"> </w:t>
      </w:r>
      <w:r>
        <w:rPr>
          <w:szCs w:val="22"/>
        </w:rPr>
        <w:t xml:space="preserve">provide rapid and comprehensive assessments </w:t>
      </w:r>
      <w:r w:rsidR="009F3C58">
        <w:rPr>
          <w:szCs w:val="22"/>
        </w:rPr>
        <w:t xml:space="preserve">of </w:t>
      </w:r>
      <w:r>
        <w:rPr>
          <w:szCs w:val="22"/>
        </w:rPr>
        <w:t xml:space="preserve">groundwater resources and </w:t>
      </w:r>
      <w:r w:rsidRPr="00306885">
        <w:rPr>
          <w:szCs w:val="22"/>
        </w:rPr>
        <w:t>MAR options</w:t>
      </w:r>
      <w:r>
        <w:rPr>
          <w:szCs w:val="22"/>
        </w:rPr>
        <w:t>, in comparison with more traditional methods</w:t>
      </w:r>
      <w:r w:rsidRPr="00306885">
        <w:rPr>
          <w:szCs w:val="22"/>
        </w:rPr>
        <w:t>.</w:t>
      </w:r>
      <w:r>
        <w:rPr>
          <w:szCs w:val="22"/>
        </w:rPr>
        <w:t xml:space="preserve"> In particular, the integrated use of AEM, ground electrical methods, and borehole NMR, enables the rapid characterisation of complex hydrogeological systems, including the key groundwater </w:t>
      </w:r>
      <w:r w:rsidR="00E655C7">
        <w:rPr>
          <w:szCs w:val="22"/>
        </w:rPr>
        <w:t xml:space="preserve">quality and aquifer </w:t>
      </w:r>
      <w:r>
        <w:rPr>
          <w:szCs w:val="22"/>
        </w:rPr>
        <w:t xml:space="preserve">storage parameters necessary for assessing MAR options. </w:t>
      </w:r>
      <w:r w:rsidR="00E655C7" w:rsidRPr="00E655C7">
        <w:rPr>
          <w:szCs w:val="22"/>
        </w:rPr>
        <w:t xml:space="preserve">The </w:t>
      </w:r>
      <w:r w:rsidR="00884690">
        <w:rPr>
          <w:szCs w:val="22"/>
        </w:rPr>
        <w:t>trans-</w:t>
      </w:r>
      <w:r w:rsidR="00E655C7" w:rsidRPr="00E655C7">
        <w:rPr>
          <w:szCs w:val="22"/>
        </w:rPr>
        <w:t>disciplinary approach has the potential for applicati</w:t>
      </w:r>
      <w:r w:rsidR="00E655C7">
        <w:rPr>
          <w:szCs w:val="22"/>
        </w:rPr>
        <w:t>on in many Australian landscapes, and internationally.</w:t>
      </w:r>
    </w:p>
    <w:p w:rsidR="009F3C58" w:rsidRDefault="009F3C58" w:rsidP="00D026C7">
      <w:pPr>
        <w:rPr>
          <w:szCs w:val="22"/>
        </w:rPr>
      </w:pPr>
    </w:p>
    <w:p w:rsidR="0088363D" w:rsidRDefault="0021580E" w:rsidP="0021580E">
      <w:pPr>
        <w:rPr>
          <w:szCs w:val="22"/>
        </w:rPr>
      </w:pPr>
      <w:r>
        <w:rPr>
          <w:szCs w:val="22"/>
        </w:rPr>
        <w:t>The new understanding of recharge mechanisms during flood events h</w:t>
      </w:r>
      <w:r w:rsidR="00E655C7">
        <w:rPr>
          <w:szCs w:val="22"/>
        </w:rPr>
        <w:t>as broader implications for the</w:t>
      </w:r>
      <w:r>
        <w:rPr>
          <w:szCs w:val="22"/>
        </w:rPr>
        <w:t xml:space="preserve"> assessment </w:t>
      </w:r>
      <w:r w:rsidR="00E655C7">
        <w:rPr>
          <w:szCs w:val="22"/>
        </w:rPr>
        <w:t xml:space="preserve">and modelling </w:t>
      </w:r>
      <w:r>
        <w:rPr>
          <w:szCs w:val="22"/>
        </w:rPr>
        <w:t>of surface-groundwater interaction</w:t>
      </w:r>
      <w:r w:rsidR="0022709D">
        <w:rPr>
          <w:szCs w:val="22"/>
        </w:rPr>
        <w:t>s</w:t>
      </w:r>
      <w:r>
        <w:rPr>
          <w:szCs w:val="22"/>
        </w:rPr>
        <w:t xml:space="preserve"> </w:t>
      </w:r>
      <w:r w:rsidR="00E655C7">
        <w:rPr>
          <w:szCs w:val="22"/>
        </w:rPr>
        <w:t xml:space="preserve">and the determination of </w:t>
      </w:r>
      <w:r w:rsidR="006C2C03">
        <w:rPr>
          <w:szCs w:val="22"/>
        </w:rPr>
        <w:t xml:space="preserve">groundwater extraction </w:t>
      </w:r>
      <w:r w:rsidR="001C0090">
        <w:rPr>
          <w:szCs w:val="22"/>
        </w:rPr>
        <w:t>limits</w:t>
      </w:r>
      <w:r w:rsidR="00E655C7">
        <w:rPr>
          <w:szCs w:val="22"/>
        </w:rPr>
        <w:t xml:space="preserve"> for many aquifers </w:t>
      </w:r>
      <w:r>
        <w:rPr>
          <w:szCs w:val="22"/>
        </w:rPr>
        <w:t xml:space="preserve">in the Basin, and more broadly. </w:t>
      </w:r>
      <w:r w:rsidR="0088363D">
        <w:rPr>
          <w:szCs w:val="22"/>
        </w:rPr>
        <w:t>Recognition that Neogene-to-Recent deformation is more extensive than previously recognised in the Murray-Darling Catchment, has significance for the identification and assessment of unconventional oil and gas resources in the underlying geological basins. Studies of Neogene-to-Recent intraplate deformation are required to identify and characterise key structures (including the Darling River Lineament and related structures), and to refine models of present-day and neotectonic palaeostress trends and partitioning.</w:t>
      </w:r>
    </w:p>
    <w:p w:rsidR="0088363D" w:rsidRDefault="0088363D" w:rsidP="0021580E">
      <w:pPr>
        <w:rPr>
          <w:szCs w:val="22"/>
        </w:rPr>
      </w:pPr>
    </w:p>
    <w:p w:rsidR="0021580E" w:rsidRDefault="0021580E" w:rsidP="0021580E">
      <w:r>
        <w:t xml:space="preserve">The new geological, geophysical, geochemical and hydrogeological datasets and understanding acquired in this project also have broader implications for </w:t>
      </w:r>
      <w:r w:rsidR="00E655C7">
        <w:t xml:space="preserve">environmental assessments including the calculation of salt loads to the </w:t>
      </w:r>
      <w:smartTag w:uri="urn:schemas-microsoft-com:office:smarttags" w:element="place">
        <w:r w:rsidR="00E655C7">
          <w:t>Darling River</w:t>
        </w:r>
      </w:smartTag>
      <w:r w:rsidR="00E655C7">
        <w:t xml:space="preserve">, as well as fundamental geomorphological and </w:t>
      </w:r>
      <w:r>
        <w:t>geological studies, includin</w:t>
      </w:r>
      <w:r w:rsidR="00E655C7">
        <w:t xml:space="preserve">g neotectonics risk assessment. The new datasets and knowledge are likely to be of use for </w:t>
      </w:r>
      <w:r>
        <w:t xml:space="preserve">mineral exploration. </w:t>
      </w:r>
    </w:p>
    <w:p w:rsidR="0021580E" w:rsidRDefault="0021580E" w:rsidP="0021580E"/>
    <w:p w:rsidR="00256855" w:rsidRDefault="00256855" w:rsidP="00256855">
      <w:pPr>
        <w:rPr>
          <w:rFonts w:cs="Arial"/>
          <w:color w:val="000000"/>
          <w:szCs w:val="18"/>
        </w:rPr>
      </w:pPr>
      <w:r>
        <w:rPr>
          <w:rFonts w:cs="Arial"/>
          <w:color w:val="000000"/>
          <w:szCs w:val="18"/>
        </w:rPr>
        <w:t xml:space="preserve">This study has also shown that </w:t>
      </w:r>
      <w:r w:rsidR="002248EF">
        <w:rPr>
          <w:rFonts w:cs="Arial"/>
          <w:color w:val="000000"/>
          <w:szCs w:val="18"/>
        </w:rPr>
        <w:t xml:space="preserve">in more remote areas, </w:t>
      </w:r>
      <w:r>
        <w:rPr>
          <w:rFonts w:cs="Arial"/>
          <w:color w:val="000000"/>
          <w:szCs w:val="18"/>
        </w:rPr>
        <w:t>e</w:t>
      </w:r>
      <w:r w:rsidR="006C2C03">
        <w:rPr>
          <w:rFonts w:cs="Arial"/>
          <w:color w:val="000000"/>
          <w:szCs w:val="18"/>
        </w:rPr>
        <w:t>c</w:t>
      </w:r>
      <w:r>
        <w:rPr>
          <w:rFonts w:cs="Arial"/>
          <w:color w:val="000000"/>
          <w:szCs w:val="18"/>
        </w:rPr>
        <w:t xml:space="preserve">onomic factors </w:t>
      </w:r>
      <w:r w:rsidR="002248EF">
        <w:rPr>
          <w:rFonts w:cs="Arial"/>
          <w:color w:val="000000"/>
          <w:szCs w:val="18"/>
        </w:rPr>
        <w:t xml:space="preserve">may </w:t>
      </w:r>
      <w:r>
        <w:rPr>
          <w:rFonts w:cs="Arial"/>
          <w:color w:val="000000"/>
          <w:szCs w:val="18"/>
        </w:rPr>
        <w:t>limit MAR investigations to shallow (&lt;200</w:t>
      </w:r>
      <w:r w:rsidR="0008529C">
        <w:rPr>
          <w:rFonts w:cs="Arial"/>
          <w:color w:val="000000"/>
          <w:szCs w:val="18"/>
        </w:rPr>
        <w:t xml:space="preserve"> </w:t>
      </w:r>
      <w:r>
        <w:rPr>
          <w:rFonts w:cs="Arial"/>
          <w:color w:val="000000"/>
          <w:szCs w:val="18"/>
        </w:rPr>
        <w:t>m depth) groundwater systems near existing infrastructure</w:t>
      </w:r>
      <w:r w:rsidR="002248EF">
        <w:rPr>
          <w:rFonts w:cs="Arial"/>
          <w:color w:val="000000"/>
          <w:szCs w:val="18"/>
        </w:rPr>
        <w:t>, although the economics of energy and mining-related projects may increase the range of options</w:t>
      </w:r>
      <w:r>
        <w:rPr>
          <w:rFonts w:cs="Arial"/>
          <w:color w:val="000000"/>
          <w:szCs w:val="18"/>
        </w:rPr>
        <w:t xml:space="preserve">. In the near-surface environment in inland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 xml:space="preserve">, MAR storage potential lies primarily in shallow palaeo-channel and alluvial fans systems. Sands deposited in marine environments have a more restricted distribution, but generally have more consistent hydraulic properties. </w:t>
      </w:r>
    </w:p>
    <w:p w:rsidR="00256855" w:rsidRDefault="00256855" w:rsidP="00256855">
      <w:pPr>
        <w:rPr>
          <w:rFonts w:cs="Arial"/>
          <w:color w:val="000000"/>
          <w:szCs w:val="18"/>
        </w:rPr>
      </w:pPr>
    </w:p>
    <w:p w:rsidR="00256855" w:rsidRPr="00FF7DC6" w:rsidRDefault="00256855" w:rsidP="00256855">
      <w:pPr>
        <w:rPr>
          <w:rFonts w:cs="Arial"/>
          <w:color w:val="000000"/>
          <w:szCs w:val="18"/>
        </w:rPr>
      </w:pPr>
      <w:r>
        <w:rPr>
          <w:rFonts w:cs="Arial"/>
          <w:szCs w:val="18"/>
        </w:rPr>
        <w:t xml:space="preserve">Some of the challenges for </w:t>
      </w:r>
      <w:r>
        <w:rPr>
          <w:rFonts w:cs="Arial"/>
          <w:color w:val="000000"/>
          <w:szCs w:val="18"/>
        </w:rPr>
        <w:t xml:space="preserve">MAR projects in inland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 xml:space="preserve"> include:</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There is a general paucity of relevant spatial and temporal hydrogeological data;</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 xml:space="preserve">Hydrogeological and hydrogeochemical processes in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’s shallow aquifer systems are generally poorly understood at all scales relevant to MAR assessments;</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 xml:space="preserve">Many of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 xml:space="preserve">’s inland depositional landscapes are characterised by fining-upwards sedimentary systems, limiting surface infiltration options; </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 xml:space="preserve">Palaeo-channel systems are difficult investigative targets, with highly variable hydraulic properties; </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Confining aquitards (lacustrine or marine clays) have a restricted distribution, and are poorly understood;</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Post-depositional weathering of sedimentary sequences is significant but highly variable, modifying hydraulic and geochemical properties, with implications for aquifer clogging potential;</w:t>
      </w:r>
      <w:r w:rsidR="00465915">
        <w:rPr>
          <w:rFonts w:cs="Arial"/>
          <w:color w:val="000000"/>
          <w:szCs w:val="18"/>
        </w:rPr>
        <w:t xml:space="preserve"> </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Faults in sediments and geological basement may be MAR targets and/or play a role in recharge, but their distribution and hydraulic properties are poorly understood;</w:t>
      </w:r>
    </w:p>
    <w:p w:rsidR="00256855" w:rsidRDefault="00256855" w:rsidP="00256855">
      <w:pPr>
        <w:numPr>
          <w:ilvl w:val="0"/>
          <w:numId w:val="63"/>
        </w:numPr>
        <w:overflowPunct w:val="0"/>
        <w:autoSpaceDE w:val="0"/>
        <w:autoSpaceDN w:val="0"/>
        <w:adjustRightInd w:val="0"/>
        <w:spacing w:before="60"/>
        <w:ind w:hanging="539"/>
        <w:jc w:val="both"/>
        <w:textAlignment w:val="baseline"/>
        <w:rPr>
          <w:rFonts w:cs="Arial"/>
          <w:color w:val="000000"/>
          <w:szCs w:val="18"/>
        </w:rPr>
      </w:pPr>
      <w:r>
        <w:rPr>
          <w:rFonts w:cs="Arial"/>
          <w:color w:val="000000"/>
          <w:szCs w:val="18"/>
        </w:rPr>
        <w:t>Water quality in aquifers (e.g. salinities and trace metals), important for recovery efficiencies, is poorly understood.</w:t>
      </w:r>
    </w:p>
    <w:p w:rsidR="00256855" w:rsidRDefault="00256855" w:rsidP="00256855">
      <w:pPr>
        <w:rPr>
          <w:rFonts w:cs="Arial"/>
          <w:color w:val="000000"/>
          <w:szCs w:val="18"/>
        </w:rPr>
      </w:pPr>
    </w:p>
    <w:p w:rsidR="00256855" w:rsidRDefault="00256855" w:rsidP="00256855">
      <w:pPr>
        <w:rPr>
          <w:rFonts w:cs="Arial"/>
          <w:szCs w:val="18"/>
        </w:rPr>
      </w:pPr>
      <w:r>
        <w:rPr>
          <w:rFonts w:cs="Arial"/>
          <w:szCs w:val="18"/>
        </w:rPr>
        <w:t xml:space="preserve">Overall, there are significant scientific, technical, economic and social challenges to be overcome to develop MAR options in inland </w:t>
      </w:r>
      <w:smartTag w:uri="urn:schemas-microsoft-com:office:smarttags" w:element="place">
        <w:smartTag w:uri="urn:schemas-microsoft-com:office:smarttags" w:element="country-region">
          <w:r>
            <w:rPr>
              <w:rFonts w:cs="Arial"/>
              <w:szCs w:val="18"/>
            </w:rPr>
            <w:t>Australia</w:t>
          </w:r>
        </w:smartTag>
      </w:smartTag>
      <w:r>
        <w:rPr>
          <w:rFonts w:cs="Arial"/>
          <w:szCs w:val="18"/>
        </w:rPr>
        <w:t xml:space="preserve">. However, significant expertise, capacity, </w:t>
      </w:r>
      <w:r w:rsidR="001C0090">
        <w:rPr>
          <w:rFonts w:cs="Arial"/>
          <w:szCs w:val="18"/>
        </w:rPr>
        <w:t>workflows</w:t>
      </w:r>
      <w:r>
        <w:rPr>
          <w:rFonts w:cs="Arial"/>
          <w:szCs w:val="18"/>
        </w:rPr>
        <w:t xml:space="preserve"> and methodologies have been developed in</w:t>
      </w:r>
      <w:r w:rsidR="006C2C03">
        <w:rPr>
          <w:rFonts w:cs="Arial"/>
          <w:szCs w:val="18"/>
        </w:rPr>
        <w:t xml:space="preserve"> </w:t>
      </w:r>
      <w:r>
        <w:rPr>
          <w:rFonts w:cs="Arial"/>
          <w:szCs w:val="18"/>
        </w:rPr>
        <w:t>th</w:t>
      </w:r>
      <w:r w:rsidR="006C2C03">
        <w:rPr>
          <w:rFonts w:cs="Arial"/>
          <w:szCs w:val="18"/>
        </w:rPr>
        <w:t xml:space="preserve">e </w:t>
      </w:r>
      <w:r>
        <w:rPr>
          <w:rFonts w:cs="Arial"/>
          <w:szCs w:val="18"/>
        </w:rPr>
        <w:t xml:space="preserve">BHMAR project which could be applied to the identification and assessment of MAR opportunities across </w:t>
      </w:r>
      <w:smartTag w:uri="urn:schemas-microsoft-com:office:smarttags" w:element="place">
        <w:smartTag w:uri="urn:schemas-microsoft-com:office:smarttags" w:element="country-region">
          <w:r>
            <w:rPr>
              <w:rFonts w:cs="Arial"/>
              <w:szCs w:val="18"/>
            </w:rPr>
            <w:t>Australia</w:t>
          </w:r>
        </w:smartTag>
      </w:smartTag>
      <w:r>
        <w:rPr>
          <w:rFonts w:cs="Arial"/>
          <w:szCs w:val="18"/>
        </w:rPr>
        <w:t>. A</w:t>
      </w:r>
      <w:r w:rsidRPr="00FD310D">
        <w:rPr>
          <w:rFonts w:cs="Arial"/>
          <w:szCs w:val="18"/>
        </w:rPr>
        <w:t xml:space="preserve"> stringent </w:t>
      </w:r>
      <w:r>
        <w:rPr>
          <w:rFonts w:cs="Arial"/>
          <w:szCs w:val="18"/>
        </w:rPr>
        <w:t xml:space="preserve">national </w:t>
      </w:r>
      <w:r w:rsidRPr="00FD310D">
        <w:rPr>
          <w:rFonts w:cs="Arial"/>
          <w:szCs w:val="18"/>
        </w:rPr>
        <w:t xml:space="preserve">risk assessment framework </w:t>
      </w:r>
      <w:r>
        <w:rPr>
          <w:rFonts w:cs="Arial"/>
          <w:szCs w:val="18"/>
        </w:rPr>
        <w:t>greatly assists with guiding the</w:t>
      </w:r>
      <w:r w:rsidRPr="00FD310D">
        <w:rPr>
          <w:rFonts w:cs="Arial"/>
          <w:szCs w:val="18"/>
        </w:rPr>
        <w:t xml:space="preserve"> investigative effort </w:t>
      </w:r>
      <w:r>
        <w:rPr>
          <w:rFonts w:cs="Arial"/>
          <w:szCs w:val="18"/>
        </w:rPr>
        <w:t>required</w:t>
      </w:r>
      <w:r w:rsidRPr="00FD310D">
        <w:rPr>
          <w:rFonts w:cs="Arial"/>
          <w:szCs w:val="18"/>
        </w:rPr>
        <w:t xml:space="preserve"> to assess proposed schemes.</w:t>
      </w:r>
      <w:r>
        <w:rPr>
          <w:rFonts w:cs="Arial"/>
          <w:szCs w:val="18"/>
        </w:rPr>
        <w:t xml:space="preserve"> </w:t>
      </w:r>
    </w:p>
    <w:p w:rsidR="00256855" w:rsidRDefault="00256855" w:rsidP="00256855">
      <w:pPr>
        <w:rPr>
          <w:szCs w:val="22"/>
        </w:rPr>
      </w:pPr>
    </w:p>
    <w:p w:rsidR="0021580E" w:rsidRDefault="0021580E" w:rsidP="0021580E">
      <w:pPr>
        <w:rPr>
          <w:szCs w:val="22"/>
        </w:rPr>
      </w:pPr>
    </w:p>
    <w:p w:rsidR="008F097B" w:rsidRDefault="0083013D" w:rsidP="008F097B">
      <w:pPr>
        <w:rPr>
          <w:rFonts w:ascii="Arial" w:hAnsi="Arial" w:cs="Arial"/>
          <w:sz w:val="40"/>
          <w:szCs w:val="40"/>
        </w:rPr>
      </w:pPr>
      <w:r>
        <w:br w:type="page"/>
      </w:r>
      <w:bookmarkEnd w:id="11"/>
      <w:r w:rsidR="00153CBA" w:rsidRPr="00474EE1">
        <w:rPr>
          <w:rFonts w:ascii="Arial" w:hAnsi="Arial" w:cs="Arial"/>
          <w:sz w:val="40"/>
          <w:szCs w:val="40"/>
        </w:rPr>
        <w:lastRenderedPageBreak/>
        <w:t>C</w:t>
      </w:r>
      <w:r w:rsidR="00474EE1">
        <w:rPr>
          <w:rFonts w:ascii="Arial" w:hAnsi="Arial" w:cs="Arial"/>
          <w:sz w:val="40"/>
          <w:szCs w:val="40"/>
        </w:rPr>
        <w:t>ontents</w:t>
      </w:r>
    </w:p>
    <w:p w:rsidR="00474EE1" w:rsidRPr="002632FB" w:rsidRDefault="00474EE1" w:rsidP="00474EE1">
      <w:pPr>
        <w:rPr>
          <w:sz w:val="10"/>
          <w:szCs w:val="10"/>
        </w:rPr>
      </w:pPr>
    </w:p>
    <w:p w:rsidR="00966532" w:rsidRDefault="00851E1E">
      <w:pPr>
        <w:pStyle w:val="TOC1"/>
        <w:rPr>
          <w:rFonts w:asciiTheme="minorHAnsi" w:eastAsiaTheme="minorEastAsia" w:hAnsiTheme="minorHAnsi" w:cstheme="minorBidi"/>
          <w:noProof/>
        </w:rPr>
      </w:pPr>
      <w:r>
        <w:fldChar w:fldCharType="begin"/>
      </w:r>
      <w:r>
        <w:instrText xml:space="preserve"> TOC \o "1-3" \h \z \u </w:instrText>
      </w:r>
      <w:r>
        <w:fldChar w:fldCharType="separate"/>
      </w:r>
      <w:hyperlink w:anchor="_Toc390690077" w:history="1">
        <w:r w:rsidR="00966532" w:rsidRPr="009D4978">
          <w:rPr>
            <w:rStyle w:val="Hyperlink"/>
            <w:rFonts w:ascii="Arial Bold" w:hAnsi="Arial Bold"/>
            <w:caps/>
            <w:noProof/>
          </w:rPr>
          <w:t>Summary</w:t>
        </w:r>
        <w:r w:rsidR="00966532">
          <w:rPr>
            <w:noProof/>
            <w:webHidden/>
          </w:rPr>
          <w:tab/>
        </w:r>
        <w:r w:rsidR="00966532">
          <w:rPr>
            <w:noProof/>
            <w:webHidden/>
          </w:rPr>
          <w:fldChar w:fldCharType="begin"/>
        </w:r>
        <w:r w:rsidR="00966532">
          <w:rPr>
            <w:noProof/>
            <w:webHidden/>
          </w:rPr>
          <w:instrText xml:space="preserve"> PAGEREF _Toc390690077 \h </w:instrText>
        </w:r>
        <w:r w:rsidR="00966532">
          <w:rPr>
            <w:noProof/>
            <w:webHidden/>
          </w:rPr>
        </w:r>
        <w:r w:rsidR="00966532">
          <w:rPr>
            <w:noProof/>
            <w:webHidden/>
          </w:rPr>
          <w:fldChar w:fldCharType="separate"/>
        </w:r>
        <w:r w:rsidR="00966532">
          <w:rPr>
            <w:noProof/>
            <w:webHidden/>
          </w:rPr>
          <w:t>i</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078" w:history="1">
        <w:r w:rsidR="00966532" w:rsidRPr="009D4978">
          <w:rPr>
            <w:rStyle w:val="Hyperlink"/>
            <w:noProof/>
          </w:rPr>
          <w:t>1.</w:t>
        </w:r>
        <w:r w:rsidR="00966532">
          <w:rPr>
            <w:rFonts w:asciiTheme="minorHAnsi" w:eastAsiaTheme="minorEastAsia" w:hAnsiTheme="minorHAnsi" w:cstheme="minorBidi"/>
            <w:noProof/>
          </w:rPr>
          <w:tab/>
        </w:r>
        <w:r w:rsidR="00966532" w:rsidRPr="009D4978">
          <w:rPr>
            <w:rStyle w:val="Hyperlink"/>
            <w:noProof/>
          </w:rPr>
          <w:t>Introduction</w:t>
        </w:r>
        <w:r w:rsidR="00966532">
          <w:rPr>
            <w:noProof/>
            <w:webHidden/>
          </w:rPr>
          <w:tab/>
        </w:r>
        <w:r w:rsidR="00966532">
          <w:rPr>
            <w:noProof/>
            <w:webHidden/>
          </w:rPr>
          <w:fldChar w:fldCharType="begin"/>
        </w:r>
        <w:r w:rsidR="00966532">
          <w:rPr>
            <w:noProof/>
            <w:webHidden/>
          </w:rPr>
          <w:instrText xml:space="preserve"> PAGEREF _Toc390690078 \h </w:instrText>
        </w:r>
        <w:r w:rsidR="00966532">
          <w:rPr>
            <w:noProof/>
            <w:webHidden/>
          </w:rPr>
        </w:r>
        <w:r w:rsidR="00966532">
          <w:rPr>
            <w:noProof/>
            <w:webHidden/>
          </w:rPr>
          <w:fldChar w:fldCharType="separate"/>
        </w:r>
        <w:r w:rsidR="00966532">
          <w:rPr>
            <w:noProof/>
            <w:webHidden/>
          </w:rPr>
          <w:t>1</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79" w:history="1">
        <w:r w:rsidR="00966532" w:rsidRPr="009D4978">
          <w:rPr>
            <w:rStyle w:val="Hyperlink"/>
            <w:noProof/>
          </w:rPr>
          <w:t>1.1</w:t>
        </w:r>
        <w:r w:rsidR="00966532">
          <w:rPr>
            <w:rFonts w:asciiTheme="minorHAnsi" w:eastAsiaTheme="minorEastAsia" w:hAnsiTheme="minorHAnsi" w:cstheme="minorBidi"/>
            <w:noProof/>
          </w:rPr>
          <w:tab/>
        </w:r>
        <w:r w:rsidR="00966532" w:rsidRPr="009D4978">
          <w:rPr>
            <w:rStyle w:val="Hyperlink"/>
            <w:noProof/>
          </w:rPr>
          <w:t>Background</w:t>
        </w:r>
        <w:r w:rsidR="00966532">
          <w:rPr>
            <w:noProof/>
            <w:webHidden/>
          </w:rPr>
          <w:tab/>
        </w:r>
        <w:r w:rsidR="00966532">
          <w:rPr>
            <w:noProof/>
            <w:webHidden/>
          </w:rPr>
          <w:fldChar w:fldCharType="begin"/>
        </w:r>
        <w:r w:rsidR="00966532">
          <w:rPr>
            <w:noProof/>
            <w:webHidden/>
          </w:rPr>
          <w:instrText xml:space="preserve"> PAGEREF _Toc390690079 \h </w:instrText>
        </w:r>
        <w:r w:rsidR="00966532">
          <w:rPr>
            <w:noProof/>
            <w:webHidden/>
          </w:rPr>
        </w:r>
        <w:r w:rsidR="00966532">
          <w:rPr>
            <w:noProof/>
            <w:webHidden/>
          </w:rPr>
          <w:fldChar w:fldCharType="separate"/>
        </w:r>
        <w:r w:rsidR="00966532">
          <w:rPr>
            <w:noProof/>
            <w:webHidden/>
          </w:rPr>
          <w:t>1</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80" w:history="1">
        <w:r w:rsidR="00966532" w:rsidRPr="009D4978">
          <w:rPr>
            <w:rStyle w:val="Hyperlink"/>
            <w:noProof/>
          </w:rPr>
          <w:t>1.2</w:t>
        </w:r>
        <w:r w:rsidR="00966532">
          <w:rPr>
            <w:rFonts w:asciiTheme="minorHAnsi" w:eastAsiaTheme="minorEastAsia" w:hAnsiTheme="minorHAnsi" w:cstheme="minorBidi"/>
            <w:noProof/>
          </w:rPr>
          <w:tab/>
        </w:r>
        <w:r w:rsidR="00966532" w:rsidRPr="009D4978">
          <w:rPr>
            <w:rStyle w:val="Hyperlink"/>
            <w:noProof/>
          </w:rPr>
          <w:t>Recent Research into Securing Broken Hill’s Water Supply and Identifying Significant Water Savings</w:t>
        </w:r>
        <w:r w:rsidR="00966532">
          <w:rPr>
            <w:noProof/>
            <w:webHidden/>
          </w:rPr>
          <w:tab/>
        </w:r>
        <w:r w:rsidR="00966532">
          <w:rPr>
            <w:noProof/>
            <w:webHidden/>
          </w:rPr>
          <w:fldChar w:fldCharType="begin"/>
        </w:r>
        <w:r w:rsidR="00966532">
          <w:rPr>
            <w:noProof/>
            <w:webHidden/>
          </w:rPr>
          <w:instrText xml:space="preserve"> PAGEREF _Toc390690080 \h </w:instrText>
        </w:r>
        <w:r w:rsidR="00966532">
          <w:rPr>
            <w:noProof/>
            <w:webHidden/>
          </w:rPr>
        </w:r>
        <w:r w:rsidR="00966532">
          <w:rPr>
            <w:noProof/>
            <w:webHidden/>
          </w:rPr>
          <w:fldChar w:fldCharType="separate"/>
        </w:r>
        <w:r w:rsidR="00966532">
          <w:rPr>
            <w:noProof/>
            <w:webHidden/>
          </w:rPr>
          <w:t>2</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81" w:history="1">
        <w:r w:rsidR="00966532" w:rsidRPr="009D4978">
          <w:rPr>
            <w:rStyle w:val="Hyperlink"/>
            <w:noProof/>
            <w14:scene3d>
              <w14:camera w14:prst="orthographicFront"/>
              <w14:lightRig w14:rig="threePt" w14:dir="t">
                <w14:rot w14:lat="0" w14:lon="0" w14:rev="0"/>
              </w14:lightRig>
            </w14:scene3d>
          </w:rPr>
          <w:t>1.2.1</w:t>
        </w:r>
        <w:r w:rsidR="00966532">
          <w:rPr>
            <w:rFonts w:asciiTheme="minorHAnsi" w:eastAsiaTheme="minorEastAsia" w:hAnsiTheme="minorHAnsi" w:cstheme="minorBidi"/>
            <w:noProof/>
            <w:szCs w:val="22"/>
          </w:rPr>
          <w:tab/>
        </w:r>
        <w:r w:rsidR="00966532" w:rsidRPr="009D4978">
          <w:rPr>
            <w:rStyle w:val="Hyperlink"/>
            <w:noProof/>
          </w:rPr>
          <w:t>Hydrology and Evaporation Studies</w:t>
        </w:r>
        <w:r w:rsidR="00966532">
          <w:rPr>
            <w:noProof/>
            <w:webHidden/>
          </w:rPr>
          <w:tab/>
        </w:r>
        <w:r w:rsidR="00966532">
          <w:rPr>
            <w:noProof/>
            <w:webHidden/>
          </w:rPr>
          <w:fldChar w:fldCharType="begin"/>
        </w:r>
        <w:r w:rsidR="00966532">
          <w:rPr>
            <w:noProof/>
            <w:webHidden/>
          </w:rPr>
          <w:instrText xml:space="preserve"> PAGEREF _Toc390690081 \h </w:instrText>
        </w:r>
        <w:r w:rsidR="00966532">
          <w:rPr>
            <w:noProof/>
            <w:webHidden/>
          </w:rPr>
        </w:r>
        <w:r w:rsidR="00966532">
          <w:rPr>
            <w:noProof/>
            <w:webHidden/>
          </w:rPr>
          <w:fldChar w:fldCharType="separate"/>
        </w:r>
        <w:r w:rsidR="00966532">
          <w:rPr>
            <w:noProof/>
            <w:webHidden/>
          </w:rPr>
          <w:t>3</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82" w:history="1">
        <w:r w:rsidR="00966532" w:rsidRPr="009D4978">
          <w:rPr>
            <w:rStyle w:val="Hyperlink"/>
            <w:noProof/>
            <w14:scene3d>
              <w14:camera w14:prst="orthographicFront"/>
              <w14:lightRig w14:rig="threePt" w14:dir="t">
                <w14:rot w14:lat="0" w14:lon="0" w14:rev="0"/>
              </w14:lightRig>
            </w14:scene3d>
          </w:rPr>
          <w:t>1.2.2</w:t>
        </w:r>
        <w:r w:rsidR="00966532">
          <w:rPr>
            <w:rFonts w:asciiTheme="minorHAnsi" w:eastAsiaTheme="minorEastAsia" w:hAnsiTheme="minorHAnsi" w:cstheme="minorBidi"/>
            <w:noProof/>
            <w:szCs w:val="22"/>
          </w:rPr>
          <w:tab/>
        </w:r>
        <w:r w:rsidR="00966532" w:rsidRPr="009D4978">
          <w:rPr>
            <w:rStyle w:val="Hyperlink"/>
            <w:noProof/>
          </w:rPr>
          <w:t>Geoscience Australia Hydrogeological Investigations</w:t>
        </w:r>
        <w:r w:rsidR="00966532">
          <w:rPr>
            <w:noProof/>
            <w:webHidden/>
          </w:rPr>
          <w:tab/>
        </w:r>
        <w:r w:rsidR="00966532">
          <w:rPr>
            <w:noProof/>
            <w:webHidden/>
          </w:rPr>
          <w:fldChar w:fldCharType="begin"/>
        </w:r>
        <w:r w:rsidR="00966532">
          <w:rPr>
            <w:noProof/>
            <w:webHidden/>
          </w:rPr>
          <w:instrText xml:space="preserve"> PAGEREF _Toc390690082 \h </w:instrText>
        </w:r>
        <w:r w:rsidR="00966532">
          <w:rPr>
            <w:noProof/>
            <w:webHidden/>
          </w:rPr>
        </w:r>
        <w:r w:rsidR="00966532">
          <w:rPr>
            <w:noProof/>
            <w:webHidden/>
          </w:rPr>
          <w:fldChar w:fldCharType="separate"/>
        </w:r>
        <w:r w:rsidR="00966532">
          <w:rPr>
            <w:noProof/>
            <w:webHidden/>
          </w:rPr>
          <w:t>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83" w:history="1">
        <w:r w:rsidR="00966532" w:rsidRPr="009D4978">
          <w:rPr>
            <w:rStyle w:val="Hyperlink"/>
            <w:noProof/>
          </w:rPr>
          <w:t>1.3</w:t>
        </w:r>
        <w:r w:rsidR="00966532">
          <w:rPr>
            <w:rFonts w:asciiTheme="minorHAnsi" w:eastAsiaTheme="minorEastAsia" w:hAnsiTheme="minorHAnsi" w:cstheme="minorBidi"/>
            <w:noProof/>
          </w:rPr>
          <w:tab/>
        </w:r>
        <w:r w:rsidR="00966532" w:rsidRPr="009D4978">
          <w:rPr>
            <w:rStyle w:val="Hyperlink"/>
            <w:noProof/>
          </w:rPr>
          <w:t>Purpose and Scope of this Report</w:t>
        </w:r>
        <w:r w:rsidR="00966532">
          <w:rPr>
            <w:noProof/>
            <w:webHidden/>
          </w:rPr>
          <w:tab/>
        </w:r>
        <w:r w:rsidR="00966532">
          <w:rPr>
            <w:noProof/>
            <w:webHidden/>
          </w:rPr>
          <w:fldChar w:fldCharType="begin"/>
        </w:r>
        <w:r w:rsidR="00966532">
          <w:rPr>
            <w:noProof/>
            <w:webHidden/>
          </w:rPr>
          <w:instrText xml:space="preserve"> PAGEREF _Toc390690083 \h </w:instrText>
        </w:r>
        <w:r w:rsidR="00966532">
          <w:rPr>
            <w:noProof/>
            <w:webHidden/>
          </w:rPr>
        </w:r>
        <w:r w:rsidR="00966532">
          <w:rPr>
            <w:noProof/>
            <w:webHidden/>
          </w:rPr>
          <w:fldChar w:fldCharType="separate"/>
        </w:r>
        <w:r w:rsidR="00966532">
          <w:rPr>
            <w:noProof/>
            <w:webHidden/>
          </w:rPr>
          <w:t>7</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084" w:history="1">
        <w:r w:rsidR="00966532" w:rsidRPr="009D4978">
          <w:rPr>
            <w:rStyle w:val="Hyperlink"/>
            <w:noProof/>
          </w:rPr>
          <w:t>2.</w:t>
        </w:r>
        <w:r w:rsidR="00966532">
          <w:rPr>
            <w:rFonts w:asciiTheme="minorHAnsi" w:eastAsiaTheme="minorEastAsia" w:hAnsiTheme="minorHAnsi" w:cstheme="minorBidi"/>
            <w:noProof/>
          </w:rPr>
          <w:tab/>
        </w:r>
        <w:r w:rsidR="00966532" w:rsidRPr="009D4978">
          <w:rPr>
            <w:rStyle w:val="Hyperlink"/>
            <w:noProof/>
          </w:rPr>
          <w:t>Regional Setting</w:t>
        </w:r>
        <w:r w:rsidR="00966532">
          <w:rPr>
            <w:noProof/>
            <w:webHidden/>
          </w:rPr>
          <w:tab/>
        </w:r>
        <w:r w:rsidR="00966532">
          <w:rPr>
            <w:noProof/>
            <w:webHidden/>
          </w:rPr>
          <w:fldChar w:fldCharType="begin"/>
        </w:r>
        <w:r w:rsidR="00966532">
          <w:rPr>
            <w:noProof/>
            <w:webHidden/>
          </w:rPr>
          <w:instrText xml:space="preserve"> PAGEREF _Toc390690084 \h </w:instrText>
        </w:r>
        <w:r w:rsidR="00966532">
          <w:rPr>
            <w:noProof/>
            <w:webHidden/>
          </w:rPr>
        </w:r>
        <w:r w:rsidR="00966532">
          <w:rPr>
            <w:noProof/>
            <w:webHidden/>
          </w:rPr>
          <w:fldChar w:fldCharType="separate"/>
        </w:r>
        <w:r w:rsidR="00966532">
          <w:rPr>
            <w:noProof/>
            <w:webHidden/>
          </w:rPr>
          <w:t>9</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85" w:history="1">
        <w:r w:rsidR="00966532" w:rsidRPr="009D4978">
          <w:rPr>
            <w:rStyle w:val="Hyperlink"/>
            <w:noProof/>
          </w:rPr>
          <w:t>2.1</w:t>
        </w:r>
        <w:r w:rsidR="00966532">
          <w:rPr>
            <w:rFonts w:asciiTheme="minorHAnsi" w:eastAsiaTheme="minorEastAsia" w:hAnsiTheme="minorHAnsi" w:cstheme="minorBidi"/>
            <w:noProof/>
          </w:rPr>
          <w:tab/>
        </w:r>
        <w:r w:rsidR="00966532" w:rsidRPr="009D4978">
          <w:rPr>
            <w:rStyle w:val="Hyperlink"/>
            <w:noProof/>
          </w:rPr>
          <w:t>Study Area</w:t>
        </w:r>
        <w:r w:rsidR="00966532">
          <w:rPr>
            <w:noProof/>
            <w:webHidden/>
          </w:rPr>
          <w:tab/>
        </w:r>
        <w:r w:rsidR="00966532">
          <w:rPr>
            <w:noProof/>
            <w:webHidden/>
          </w:rPr>
          <w:fldChar w:fldCharType="begin"/>
        </w:r>
        <w:r w:rsidR="00966532">
          <w:rPr>
            <w:noProof/>
            <w:webHidden/>
          </w:rPr>
          <w:instrText xml:space="preserve"> PAGEREF _Toc390690085 \h </w:instrText>
        </w:r>
        <w:r w:rsidR="00966532">
          <w:rPr>
            <w:noProof/>
            <w:webHidden/>
          </w:rPr>
        </w:r>
        <w:r w:rsidR="00966532">
          <w:rPr>
            <w:noProof/>
            <w:webHidden/>
          </w:rPr>
          <w:fldChar w:fldCharType="separate"/>
        </w:r>
        <w:r w:rsidR="00966532">
          <w:rPr>
            <w:noProof/>
            <w:webHidden/>
          </w:rPr>
          <w:t>9</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86" w:history="1">
        <w:r w:rsidR="00966532" w:rsidRPr="009D4978">
          <w:rPr>
            <w:rStyle w:val="Hyperlink"/>
            <w:noProof/>
          </w:rPr>
          <w:t>2.2</w:t>
        </w:r>
        <w:r w:rsidR="00966532">
          <w:rPr>
            <w:rFonts w:asciiTheme="minorHAnsi" w:eastAsiaTheme="minorEastAsia" w:hAnsiTheme="minorHAnsi" w:cstheme="minorBidi"/>
            <w:noProof/>
          </w:rPr>
          <w:tab/>
        </w:r>
        <w:r w:rsidR="00966532" w:rsidRPr="009D4978">
          <w:rPr>
            <w:rStyle w:val="Hyperlink"/>
            <w:noProof/>
          </w:rPr>
          <w:t>Darling River and Floodplain Hydrology</w:t>
        </w:r>
        <w:r w:rsidR="00966532">
          <w:rPr>
            <w:noProof/>
            <w:webHidden/>
          </w:rPr>
          <w:tab/>
        </w:r>
        <w:r w:rsidR="00966532">
          <w:rPr>
            <w:noProof/>
            <w:webHidden/>
          </w:rPr>
          <w:fldChar w:fldCharType="begin"/>
        </w:r>
        <w:r w:rsidR="00966532">
          <w:rPr>
            <w:noProof/>
            <w:webHidden/>
          </w:rPr>
          <w:instrText xml:space="preserve"> PAGEREF _Toc390690086 \h </w:instrText>
        </w:r>
        <w:r w:rsidR="00966532">
          <w:rPr>
            <w:noProof/>
            <w:webHidden/>
          </w:rPr>
        </w:r>
        <w:r w:rsidR="00966532">
          <w:rPr>
            <w:noProof/>
            <w:webHidden/>
          </w:rPr>
          <w:fldChar w:fldCharType="separate"/>
        </w:r>
        <w:r w:rsidR="00966532">
          <w:rPr>
            <w:noProof/>
            <w:webHidden/>
          </w:rPr>
          <w:t>9</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87" w:history="1">
        <w:r w:rsidR="00966532" w:rsidRPr="009D4978">
          <w:rPr>
            <w:rStyle w:val="Hyperlink"/>
            <w:noProof/>
            <w14:scene3d>
              <w14:camera w14:prst="orthographicFront"/>
              <w14:lightRig w14:rig="threePt" w14:dir="t">
                <w14:rot w14:lat="0" w14:lon="0" w14:rev="0"/>
              </w14:lightRig>
            </w14:scene3d>
          </w:rPr>
          <w:t>2.2.1</w:t>
        </w:r>
        <w:r w:rsidR="00966532">
          <w:rPr>
            <w:rFonts w:asciiTheme="minorHAnsi" w:eastAsiaTheme="minorEastAsia" w:hAnsiTheme="minorHAnsi" w:cstheme="minorBidi"/>
            <w:noProof/>
            <w:szCs w:val="22"/>
          </w:rPr>
          <w:tab/>
        </w:r>
        <w:r w:rsidR="00966532" w:rsidRPr="009D4978">
          <w:rPr>
            <w:rStyle w:val="Hyperlink"/>
            <w:noProof/>
          </w:rPr>
          <w:t>Darling River Hydrology</w:t>
        </w:r>
        <w:r w:rsidR="00966532">
          <w:rPr>
            <w:noProof/>
            <w:webHidden/>
          </w:rPr>
          <w:tab/>
        </w:r>
        <w:r w:rsidR="00966532">
          <w:rPr>
            <w:noProof/>
            <w:webHidden/>
          </w:rPr>
          <w:fldChar w:fldCharType="begin"/>
        </w:r>
        <w:r w:rsidR="00966532">
          <w:rPr>
            <w:noProof/>
            <w:webHidden/>
          </w:rPr>
          <w:instrText xml:space="preserve"> PAGEREF _Toc390690087 \h </w:instrText>
        </w:r>
        <w:r w:rsidR="00966532">
          <w:rPr>
            <w:noProof/>
            <w:webHidden/>
          </w:rPr>
        </w:r>
        <w:r w:rsidR="00966532">
          <w:rPr>
            <w:noProof/>
            <w:webHidden/>
          </w:rPr>
          <w:fldChar w:fldCharType="separate"/>
        </w:r>
        <w:r w:rsidR="00966532">
          <w:rPr>
            <w:noProof/>
            <w:webHidden/>
          </w:rPr>
          <w:t>9</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88" w:history="1">
        <w:r w:rsidR="00966532" w:rsidRPr="009D4978">
          <w:rPr>
            <w:rStyle w:val="Hyperlink"/>
            <w:noProof/>
            <w14:scene3d>
              <w14:camera w14:prst="orthographicFront"/>
              <w14:lightRig w14:rig="threePt" w14:dir="t">
                <w14:rot w14:lat="0" w14:lon="0" w14:rev="0"/>
              </w14:lightRig>
            </w14:scene3d>
          </w:rPr>
          <w:t>2.2.2</w:t>
        </w:r>
        <w:r w:rsidR="00966532">
          <w:rPr>
            <w:rFonts w:asciiTheme="minorHAnsi" w:eastAsiaTheme="minorEastAsia" w:hAnsiTheme="minorHAnsi" w:cstheme="minorBidi"/>
            <w:noProof/>
            <w:szCs w:val="22"/>
          </w:rPr>
          <w:tab/>
        </w:r>
        <w:r w:rsidR="00966532" w:rsidRPr="009D4978">
          <w:rPr>
            <w:rStyle w:val="Hyperlink"/>
            <w:noProof/>
          </w:rPr>
          <w:t>Menindee Lakes Storages (MLS)</w:t>
        </w:r>
        <w:r w:rsidR="00966532">
          <w:rPr>
            <w:noProof/>
            <w:webHidden/>
          </w:rPr>
          <w:tab/>
        </w:r>
        <w:r w:rsidR="00966532">
          <w:rPr>
            <w:noProof/>
            <w:webHidden/>
          </w:rPr>
          <w:fldChar w:fldCharType="begin"/>
        </w:r>
        <w:r w:rsidR="00966532">
          <w:rPr>
            <w:noProof/>
            <w:webHidden/>
          </w:rPr>
          <w:instrText xml:space="preserve"> PAGEREF _Toc390690088 \h </w:instrText>
        </w:r>
        <w:r w:rsidR="00966532">
          <w:rPr>
            <w:noProof/>
            <w:webHidden/>
          </w:rPr>
        </w:r>
        <w:r w:rsidR="00966532">
          <w:rPr>
            <w:noProof/>
            <w:webHidden/>
          </w:rPr>
          <w:fldChar w:fldCharType="separate"/>
        </w:r>
        <w:r w:rsidR="00966532">
          <w:rPr>
            <w:noProof/>
            <w:webHidden/>
          </w:rPr>
          <w:t>13</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89" w:history="1">
        <w:r w:rsidR="00966532" w:rsidRPr="009D4978">
          <w:rPr>
            <w:rStyle w:val="Hyperlink"/>
            <w:noProof/>
          </w:rPr>
          <w:t>2.3</w:t>
        </w:r>
        <w:r w:rsidR="00966532">
          <w:rPr>
            <w:rFonts w:asciiTheme="minorHAnsi" w:eastAsiaTheme="minorEastAsia" w:hAnsiTheme="minorHAnsi" w:cstheme="minorBidi"/>
            <w:noProof/>
          </w:rPr>
          <w:tab/>
        </w:r>
        <w:r w:rsidR="00966532" w:rsidRPr="009D4978">
          <w:rPr>
            <w:rStyle w:val="Hyperlink"/>
            <w:noProof/>
          </w:rPr>
          <w:t>Climate, Climate Variability and Predicted Climate Change</w:t>
        </w:r>
        <w:r w:rsidR="00966532">
          <w:rPr>
            <w:noProof/>
            <w:webHidden/>
          </w:rPr>
          <w:tab/>
        </w:r>
        <w:r w:rsidR="00966532">
          <w:rPr>
            <w:noProof/>
            <w:webHidden/>
          </w:rPr>
          <w:fldChar w:fldCharType="begin"/>
        </w:r>
        <w:r w:rsidR="00966532">
          <w:rPr>
            <w:noProof/>
            <w:webHidden/>
          </w:rPr>
          <w:instrText xml:space="preserve"> PAGEREF _Toc390690089 \h </w:instrText>
        </w:r>
        <w:r w:rsidR="00966532">
          <w:rPr>
            <w:noProof/>
            <w:webHidden/>
          </w:rPr>
        </w:r>
        <w:r w:rsidR="00966532">
          <w:rPr>
            <w:noProof/>
            <w:webHidden/>
          </w:rPr>
          <w:fldChar w:fldCharType="separate"/>
        </w:r>
        <w:r w:rsidR="00966532">
          <w:rPr>
            <w:noProof/>
            <w:webHidden/>
          </w:rPr>
          <w:t>14</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90" w:history="1">
        <w:r w:rsidR="00966532" w:rsidRPr="009D4978">
          <w:rPr>
            <w:rStyle w:val="Hyperlink"/>
            <w:noProof/>
            <w14:scene3d>
              <w14:camera w14:prst="orthographicFront"/>
              <w14:lightRig w14:rig="threePt" w14:dir="t">
                <w14:rot w14:lat="0" w14:lon="0" w14:rev="0"/>
              </w14:lightRig>
            </w14:scene3d>
          </w:rPr>
          <w:t>2.3.1</w:t>
        </w:r>
        <w:r w:rsidR="00966532">
          <w:rPr>
            <w:rFonts w:asciiTheme="minorHAnsi" w:eastAsiaTheme="minorEastAsia" w:hAnsiTheme="minorHAnsi" w:cstheme="minorBidi"/>
            <w:noProof/>
            <w:szCs w:val="22"/>
          </w:rPr>
          <w:tab/>
        </w:r>
        <w:r w:rsidR="00966532" w:rsidRPr="009D4978">
          <w:rPr>
            <w:rStyle w:val="Hyperlink"/>
            <w:noProof/>
          </w:rPr>
          <w:t>Present-day Climate</w:t>
        </w:r>
        <w:r w:rsidR="00966532">
          <w:rPr>
            <w:noProof/>
            <w:webHidden/>
          </w:rPr>
          <w:tab/>
        </w:r>
        <w:r w:rsidR="00966532">
          <w:rPr>
            <w:noProof/>
            <w:webHidden/>
          </w:rPr>
          <w:fldChar w:fldCharType="begin"/>
        </w:r>
        <w:r w:rsidR="00966532">
          <w:rPr>
            <w:noProof/>
            <w:webHidden/>
          </w:rPr>
          <w:instrText xml:space="preserve"> PAGEREF _Toc390690090 \h </w:instrText>
        </w:r>
        <w:r w:rsidR="00966532">
          <w:rPr>
            <w:noProof/>
            <w:webHidden/>
          </w:rPr>
        </w:r>
        <w:r w:rsidR="00966532">
          <w:rPr>
            <w:noProof/>
            <w:webHidden/>
          </w:rPr>
          <w:fldChar w:fldCharType="separate"/>
        </w:r>
        <w:r w:rsidR="00966532">
          <w:rPr>
            <w:noProof/>
            <w:webHidden/>
          </w:rPr>
          <w:t>14</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91" w:history="1">
        <w:r w:rsidR="00966532" w:rsidRPr="009D4978">
          <w:rPr>
            <w:rStyle w:val="Hyperlink"/>
            <w:noProof/>
            <w14:scene3d>
              <w14:camera w14:prst="orthographicFront"/>
              <w14:lightRig w14:rig="threePt" w14:dir="t">
                <w14:rot w14:lat="0" w14:lon="0" w14:rev="0"/>
              </w14:lightRig>
            </w14:scene3d>
          </w:rPr>
          <w:t>2.3.2</w:t>
        </w:r>
        <w:r w:rsidR="00966532">
          <w:rPr>
            <w:rFonts w:asciiTheme="minorHAnsi" w:eastAsiaTheme="minorEastAsia" w:hAnsiTheme="minorHAnsi" w:cstheme="minorBidi"/>
            <w:noProof/>
            <w:szCs w:val="22"/>
          </w:rPr>
          <w:tab/>
        </w:r>
        <w:r w:rsidR="00966532" w:rsidRPr="009D4978">
          <w:rPr>
            <w:rStyle w:val="Hyperlink"/>
            <w:noProof/>
          </w:rPr>
          <w:t>Palaeo-climate and Implications for Stream Flows and Recharge</w:t>
        </w:r>
        <w:r w:rsidR="00966532">
          <w:rPr>
            <w:noProof/>
            <w:webHidden/>
          </w:rPr>
          <w:tab/>
        </w:r>
        <w:r w:rsidR="00966532">
          <w:rPr>
            <w:noProof/>
            <w:webHidden/>
          </w:rPr>
          <w:fldChar w:fldCharType="begin"/>
        </w:r>
        <w:r w:rsidR="00966532">
          <w:rPr>
            <w:noProof/>
            <w:webHidden/>
          </w:rPr>
          <w:instrText xml:space="preserve"> PAGEREF _Toc390690091 \h </w:instrText>
        </w:r>
        <w:r w:rsidR="00966532">
          <w:rPr>
            <w:noProof/>
            <w:webHidden/>
          </w:rPr>
        </w:r>
        <w:r w:rsidR="00966532">
          <w:rPr>
            <w:noProof/>
            <w:webHidden/>
          </w:rPr>
          <w:fldChar w:fldCharType="separate"/>
        </w:r>
        <w:r w:rsidR="00966532">
          <w:rPr>
            <w:noProof/>
            <w:webHidden/>
          </w:rPr>
          <w:t>16</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92" w:history="1">
        <w:r w:rsidR="00966532" w:rsidRPr="009D4978">
          <w:rPr>
            <w:rStyle w:val="Hyperlink"/>
            <w:noProof/>
            <w14:scene3d>
              <w14:camera w14:prst="orthographicFront"/>
              <w14:lightRig w14:rig="threePt" w14:dir="t">
                <w14:rot w14:lat="0" w14:lon="0" w14:rev="0"/>
              </w14:lightRig>
            </w14:scene3d>
          </w:rPr>
          <w:t>2.3.3</w:t>
        </w:r>
        <w:r w:rsidR="00966532">
          <w:rPr>
            <w:rFonts w:asciiTheme="minorHAnsi" w:eastAsiaTheme="minorEastAsia" w:hAnsiTheme="minorHAnsi" w:cstheme="minorBidi"/>
            <w:noProof/>
            <w:szCs w:val="22"/>
          </w:rPr>
          <w:tab/>
        </w:r>
        <w:r w:rsidR="00966532" w:rsidRPr="009D4978">
          <w:rPr>
            <w:rStyle w:val="Hyperlink"/>
            <w:noProof/>
          </w:rPr>
          <w:t>Predicted Climate Change</w:t>
        </w:r>
        <w:r w:rsidR="00966532">
          <w:rPr>
            <w:noProof/>
            <w:webHidden/>
          </w:rPr>
          <w:tab/>
        </w:r>
        <w:r w:rsidR="00966532">
          <w:rPr>
            <w:noProof/>
            <w:webHidden/>
          </w:rPr>
          <w:fldChar w:fldCharType="begin"/>
        </w:r>
        <w:r w:rsidR="00966532">
          <w:rPr>
            <w:noProof/>
            <w:webHidden/>
          </w:rPr>
          <w:instrText xml:space="preserve"> PAGEREF _Toc390690092 \h </w:instrText>
        </w:r>
        <w:r w:rsidR="00966532">
          <w:rPr>
            <w:noProof/>
            <w:webHidden/>
          </w:rPr>
        </w:r>
        <w:r w:rsidR="00966532">
          <w:rPr>
            <w:noProof/>
            <w:webHidden/>
          </w:rPr>
          <w:fldChar w:fldCharType="separate"/>
        </w:r>
        <w:r w:rsidR="00966532">
          <w:rPr>
            <w:noProof/>
            <w:webHidden/>
          </w:rPr>
          <w:t>16</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93" w:history="1">
        <w:r w:rsidR="00966532" w:rsidRPr="009D4978">
          <w:rPr>
            <w:rStyle w:val="Hyperlink"/>
            <w:noProof/>
          </w:rPr>
          <w:t>2.4</w:t>
        </w:r>
        <w:r w:rsidR="00966532">
          <w:rPr>
            <w:rFonts w:asciiTheme="minorHAnsi" w:eastAsiaTheme="minorEastAsia" w:hAnsiTheme="minorHAnsi" w:cstheme="minorBidi"/>
            <w:noProof/>
          </w:rPr>
          <w:tab/>
        </w:r>
        <w:r w:rsidR="00966532" w:rsidRPr="009D4978">
          <w:rPr>
            <w:rStyle w:val="Hyperlink"/>
            <w:noProof/>
          </w:rPr>
          <w:t>Land Use and Cultural Heritage</w:t>
        </w:r>
        <w:r w:rsidR="00966532">
          <w:rPr>
            <w:noProof/>
            <w:webHidden/>
          </w:rPr>
          <w:tab/>
        </w:r>
        <w:r w:rsidR="00966532">
          <w:rPr>
            <w:noProof/>
            <w:webHidden/>
          </w:rPr>
          <w:fldChar w:fldCharType="begin"/>
        </w:r>
        <w:r w:rsidR="00966532">
          <w:rPr>
            <w:noProof/>
            <w:webHidden/>
          </w:rPr>
          <w:instrText xml:space="preserve"> PAGEREF _Toc390690093 \h </w:instrText>
        </w:r>
        <w:r w:rsidR="00966532">
          <w:rPr>
            <w:noProof/>
            <w:webHidden/>
          </w:rPr>
        </w:r>
        <w:r w:rsidR="00966532">
          <w:rPr>
            <w:noProof/>
            <w:webHidden/>
          </w:rPr>
          <w:fldChar w:fldCharType="separate"/>
        </w:r>
        <w:r w:rsidR="00966532">
          <w:rPr>
            <w:noProof/>
            <w:webHidden/>
          </w:rPr>
          <w:t>16</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094" w:history="1">
        <w:r w:rsidR="00966532" w:rsidRPr="009D4978">
          <w:rPr>
            <w:rStyle w:val="Hyperlink"/>
            <w:noProof/>
          </w:rPr>
          <w:t>3.</w:t>
        </w:r>
        <w:r w:rsidR="00966532">
          <w:rPr>
            <w:rFonts w:asciiTheme="minorHAnsi" w:eastAsiaTheme="minorEastAsia" w:hAnsiTheme="minorHAnsi" w:cstheme="minorBidi"/>
            <w:noProof/>
          </w:rPr>
          <w:tab/>
        </w:r>
        <w:r w:rsidR="00966532" w:rsidRPr="009D4978">
          <w:rPr>
            <w:rStyle w:val="Hyperlink"/>
            <w:noProof/>
          </w:rPr>
          <w:t>Project Data Acquisition</w:t>
        </w:r>
        <w:r w:rsidR="00966532">
          <w:rPr>
            <w:noProof/>
            <w:webHidden/>
          </w:rPr>
          <w:tab/>
        </w:r>
        <w:r w:rsidR="00966532">
          <w:rPr>
            <w:noProof/>
            <w:webHidden/>
          </w:rPr>
          <w:fldChar w:fldCharType="begin"/>
        </w:r>
        <w:r w:rsidR="00966532">
          <w:rPr>
            <w:noProof/>
            <w:webHidden/>
          </w:rPr>
          <w:instrText xml:space="preserve"> PAGEREF _Toc390690094 \h </w:instrText>
        </w:r>
        <w:r w:rsidR="00966532">
          <w:rPr>
            <w:noProof/>
            <w:webHidden/>
          </w:rPr>
        </w:r>
        <w:r w:rsidR="00966532">
          <w:rPr>
            <w:noProof/>
            <w:webHidden/>
          </w:rPr>
          <w:fldChar w:fldCharType="separate"/>
        </w:r>
        <w:r w:rsidR="00966532">
          <w:rPr>
            <w:noProof/>
            <w:webHidden/>
          </w:rPr>
          <w:t>17</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95" w:history="1">
        <w:r w:rsidR="00966532" w:rsidRPr="009D4978">
          <w:rPr>
            <w:rStyle w:val="Hyperlink"/>
            <w:noProof/>
          </w:rPr>
          <w:t>3.1</w:t>
        </w:r>
        <w:r w:rsidR="00966532">
          <w:rPr>
            <w:rFonts w:asciiTheme="minorHAnsi" w:eastAsiaTheme="minorEastAsia" w:hAnsiTheme="minorHAnsi" w:cstheme="minorBidi"/>
            <w:noProof/>
          </w:rPr>
          <w:tab/>
        </w:r>
        <w:r w:rsidR="00966532" w:rsidRPr="009D4978">
          <w:rPr>
            <w:rStyle w:val="Hyperlink"/>
            <w:noProof/>
          </w:rPr>
          <w:t>New Data Acquisition</w:t>
        </w:r>
        <w:r w:rsidR="00966532">
          <w:rPr>
            <w:noProof/>
            <w:webHidden/>
          </w:rPr>
          <w:tab/>
        </w:r>
        <w:r w:rsidR="00966532">
          <w:rPr>
            <w:noProof/>
            <w:webHidden/>
          </w:rPr>
          <w:fldChar w:fldCharType="begin"/>
        </w:r>
        <w:r w:rsidR="00966532">
          <w:rPr>
            <w:noProof/>
            <w:webHidden/>
          </w:rPr>
          <w:instrText xml:space="preserve"> PAGEREF _Toc390690095 \h </w:instrText>
        </w:r>
        <w:r w:rsidR="00966532">
          <w:rPr>
            <w:noProof/>
            <w:webHidden/>
          </w:rPr>
        </w:r>
        <w:r w:rsidR="00966532">
          <w:rPr>
            <w:noProof/>
            <w:webHidden/>
          </w:rPr>
          <w:fldChar w:fldCharType="separate"/>
        </w:r>
        <w:r w:rsidR="00966532">
          <w:rPr>
            <w:noProof/>
            <w:webHidden/>
          </w:rPr>
          <w:t>17</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96" w:history="1">
        <w:r w:rsidR="00966532" w:rsidRPr="009D4978">
          <w:rPr>
            <w:rStyle w:val="Hyperlink"/>
            <w:noProof/>
          </w:rPr>
          <w:t>3.2</w:t>
        </w:r>
        <w:r w:rsidR="00966532">
          <w:rPr>
            <w:rFonts w:asciiTheme="minorHAnsi" w:eastAsiaTheme="minorEastAsia" w:hAnsiTheme="minorHAnsi" w:cstheme="minorBidi"/>
            <w:noProof/>
          </w:rPr>
          <w:tab/>
        </w:r>
        <w:r w:rsidR="00966532" w:rsidRPr="009D4978">
          <w:rPr>
            <w:rStyle w:val="Hyperlink"/>
            <w:noProof/>
          </w:rPr>
          <w:t>Research Methodology and Project Management</w:t>
        </w:r>
        <w:r w:rsidR="00966532">
          <w:rPr>
            <w:noProof/>
            <w:webHidden/>
          </w:rPr>
          <w:tab/>
        </w:r>
        <w:r w:rsidR="00966532">
          <w:rPr>
            <w:noProof/>
            <w:webHidden/>
          </w:rPr>
          <w:fldChar w:fldCharType="begin"/>
        </w:r>
        <w:r w:rsidR="00966532">
          <w:rPr>
            <w:noProof/>
            <w:webHidden/>
          </w:rPr>
          <w:instrText xml:space="preserve"> PAGEREF _Toc390690096 \h </w:instrText>
        </w:r>
        <w:r w:rsidR="00966532">
          <w:rPr>
            <w:noProof/>
            <w:webHidden/>
          </w:rPr>
        </w:r>
        <w:r w:rsidR="00966532">
          <w:rPr>
            <w:noProof/>
            <w:webHidden/>
          </w:rPr>
          <w:fldChar w:fldCharType="separate"/>
        </w:r>
        <w:r w:rsidR="00966532">
          <w:rPr>
            <w:noProof/>
            <w:webHidden/>
          </w:rPr>
          <w:t>18</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097" w:history="1">
        <w:r w:rsidR="00966532" w:rsidRPr="009D4978">
          <w:rPr>
            <w:rStyle w:val="Hyperlink"/>
            <w:noProof/>
          </w:rPr>
          <w:t>3.3</w:t>
        </w:r>
        <w:r w:rsidR="00966532">
          <w:rPr>
            <w:rFonts w:asciiTheme="minorHAnsi" w:eastAsiaTheme="minorEastAsia" w:hAnsiTheme="minorHAnsi" w:cstheme="minorBidi"/>
            <w:noProof/>
          </w:rPr>
          <w:tab/>
        </w:r>
        <w:r w:rsidR="00966532" w:rsidRPr="009D4978">
          <w:rPr>
            <w:rStyle w:val="Hyperlink"/>
            <w:noProof/>
          </w:rPr>
          <w:t>Using AEM to Map MAR and Groundwater Resource Targets</w:t>
        </w:r>
        <w:r w:rsidR="00966532">
          <w:rPr>
            <w:noProof/>
            <w:webHidden/>
          </w:rPr>
          <w:tab/>
        </w:r>
        <w:r w:rsidR="00966532">
          <w:rPr>
            <w:noProof/>
            <w:webHidden/>
          </w:rPr>
          <w:fldChar w:fldCharType="begin"/>
        </w:r>
        <w:r w:rsidR="00966532">
          <w:rPr>
            <w:noProof/>
            <w:webHidden/>
          </w:rPr>
          <w:instrText xml:space="preserve"> PAGEREF _Toc390690097 \h </w:instrText>
        </w:r>
        <w:r w:rsidR="00966532">
          <w:rPr>
            <w:noProof/>
            <w:webHidden/>
          </w:rPr>
        </w:r>
        <w:r w:rsidR="00966532">
          <w:rPr>
            <w:noProof/>
            <w:webHidden/>
          </w:rPr>
          <w:fldChar w:fldCharType="separate"/>
        </w:r>
        <w:r w:rsidR="00966532">
          <w:rPr>
            <w:noProof/>
            <w:webHidden/>
          </w:rPr>
          <w:t>20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98" w:history="1">
        <w:r w:rsidR="00966532" w:rsidRPr="009D4978">
          <w:rPr>
            <w:rStyle w:val="Hyperlink"/>
            <w:noProof/>
            <w14:scene3d>
              <w14:camera w14:prst="orthographicFront"/>
              <w14:lightRig w14:rig="threePt" w14:dir="t">
                <w14:rot w14:lat="0" w14:lon="0" w14:rev="0"/>
              </w14:lightRig>
            </w14:scene3d>
          </w:rPr>
          <w:t>3.3.1</w:t>
        </w:r>
        <w:r w:rsidR="00966532">
          <w:rPr>
            <w:rFonts w:asciiTheme="minorHAnsi" w:eastAsiaTheme="minorEastAsia" w:hAnsiTheme="minorHAnsi" w:cstheme="minorBidi"/>
            <w:noProof/>
            <w:szCs w:val="22"/>
          </w:rPr>
          <w:tab/>
        </w:r>
        <w:r w:rsidR="00966532" w:rsidRPr="009D4978">
          <w:rPr>
            <w:rStyle w:val="Hyperlink"/>
            <w:noProof/>
          </w:rPr>
          <w:t>3D Mapping of Hydrostratigraphy, Structure and Groundwater Salinity</w:t>
        </w:r>
        <w:r w:rsidR="00966532">
          <w:rPr>
            <w:noProof/>
            <w:webHidden/>
          </w:rPr>
          <w:tab/>
        </w:r>
        <w:r w:rsidR="00966532">
          <w:rPr>
            <w:noProof/>
            <w:webHidden/>
          </w:rPr>
          <w:fldChar w:fldCharType="begin"/>
        </w:r>
        <w:r w:rsidR="00966532">
          <w:rPr>
            <w:noProof/>
            <w:webHidden/>
          </w:rPr>
          <w:instrText xml:space="preserve"> PAGEREF _Toc390690098 \h </w:instrText>
        </w:r>
        <w:r w:rsidR="00966532">
          <w:rPr>
            <w:noProof/>
            <w:webHidden/>
          </w:rPr>
        </w:r>
        <w:r w:rsidR="00966532">
          <w:rPr>
            <w:noProof/>
            <w:webHidden/>
          </w:rPr>
          <w:fldChar w:fldCharType="separate"/>
        </w:r>
        <w:r w:rsidR="00966532">
          <w:rPr>
            <w:noProof/>
            <w:webHidden/>
          </w:rPr>
          <w:t>24</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099" w:history="1">
        <w:r w:rsidR="00966532" w:rsidRPr="009D4978">
          <w:rPr>
            <w:rStyle w:val="Hyperlink"/>
            <w:noProof/>
            <w14:scene3d>
              <w14:camera w14:prst="orthographicFront"/>
              <w14:lightRig w14:rig="threePt" w14:dir="t">
                <w14:rot w14:lat="0" w14:lon="0" w14:rev="0"/>
              </w14:lightRig>
            </w14:scene3d>
          </w:rPr>
          <w:t>3.3.2</w:t>
        </w:r>
        <w:r w:rsidR="00966532">
          <w:rPr>
            <w:rFonts w:asciiTheme="minorHAnsi" w:eastAsiaTheme="minorEastAsia" w:hAnsiTheme="minorHAnsi" w:cstheme="minorBidi"/>
            <w:noProof/>
            <w:szCs w:val="22"/>
          </w:rPr>
          <w:tab/>
        </w:r>
        <w:r w:rsidR="00966532" w:rsidRPr="009D4978">
          <w:rPr>
            <w:rStyle w:val="Hyperlink"/>
            <w:noProof/>
          </w:rPr>
          <w:t>How Reliable are the Final AEM Inversions?</w:t>
        </w:r>
        <w:r w:rsidR="00966532">
          <w:rPr>
            <w:noProof/>
            <w:webHidden/>
          </w:rPr>
          <w:tab/>
        </w:r>
        <w:r w:rsidR="00966532">
          <w:rPr>
            <w:noProof/>
            <w:webHidden/>
          </w:rPr>
          <w:fldChar w:fldCharType="begin"/>
        </w:r>
        <w:r w:rsidR="00966532">
          <w:rPr>
            <w:noProof/>
            <w:webHidden/>
          </w:rPr>
          <w:instrText xml:space="preserve"> PAGEREF _Toc390690099 \h </w:instrText>
        </w:r>
        <w:r w:rsidR="00966532">
          <w:rPr>
            <w:noProof/>
            <w:webHidden/>
          </w:rPr>
        </w:r>
        <w:r w:rsidR="00966532">
          <w:rPr>
            <w:noProof/>
            <w:webHidden/>
          </w:rPr>
          <w:fldChar w:fldCharType="separate"/>
        </w:r>
        <w:r w:rsidR="00966532">
          <w:rPr>
            <w:noProof/>
            <w:webHidden/>
          </w:rPr>
          <w:t>29</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00" w:history="1">
        <w:r w:rsidR="00966532" w:rsidRPr="009D4978">
          <w:rPr>
            <w:rStyle w:val="Hyperlink"/>
            <w:noProof/>
            <w14:scene3d>
              <w14:camera w14:prst="orthographicFront"/>
              <w14:lightRig w14:rig="threePt" w14:dir="t">
                <w14:rot w14:lat="0" w14:lon="0" w14:rev="0"/>
              </w14:lightRig>
            </w14:scene3d>
          </w:rPr>
          <w:t>3.3.3</w:t>
        </w:r>
        <w:r w:rsidR="00966532">
          <w:rPr>
            <w:rFonts w:asciiTheme="minorHAnsi" w:eastAsiaTheme="minorEastAsia" w:hAnsiTheme="minorHAnsi" w:cstheme="minorBidi"/>
            <w:noProof/>
            <w:szCs w:val="22"/>
          </w:rPr>
          <w:tab/>
        </w:r>
        <w:r w:rsidR="00966532" w:rsidRPr="009D4978">
          <w:rPr>
            <w:rStyle w:val="Hyperlink"/>
            <w:noProof/>
          </w:rPr>
          <w:t>Customised Interpretation Products</w:t>
        </w:r>
        <w:r w:rsidR="00966532">
          <w:rPr>
            <w:noProof/>
            <w:webHidden/>
          </w:rPr>
          <w:tab/>
        </w:r>
        <w:r w:rsidR="00966532">
          <w:rPr>
            <w:noProof/>
            <w:webHidden/>
          </w:rPr>
          <w:fldChar w:fldCharType="begin"/>
        </w:r>
        <w:r w:rsidR="00966532">
          <w:rPr>
            <w:noProof/>
            <w:webHidden/>
          </w:rPr>
          <w:instrText xml:space="preserve"> PAGEREF _Toc390690100 \h </w:instrText>
        </w:r>
        <w:r w:rsidR="00966532">
          <w:rPr>
            <w:noProof/>
            <w:webHidden/>
          </w:rPr>
        </w:r>
        <w:r w:rsidR="00966532">
          <w:rPr>
            <w:noProof/>
            <w:webHidden/>
          </w:rPr>
          <w:fldChar w:fldCharType="separate"/>
        </w:r>
        <w:r w:rsidR="00966532">
          <w:rPr>
            <w:noProof/>
            <w:webHidden/>
          </w:rPr>
          <w:t>33</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01" w:history="1">
        <w:r w:rsidR="00966532" w:rsidRPr="009D4978">
          <w:rPr>
            <w:rStyle w:val="Hyperlink"/>
            <w:noProof/>
          </w:rPr>
          <w:t>4.</w:t>
        </w:r>
        <w:r w:rsidR="00966532">
          <w:rPr>
            <w:rFonts w:asciiTheme="minorHAnsi" w:eastAsiaTheme="minorEastAsia" w:hAnsiTheme="minorHAnsi" w:cstheme="minorBidi"/>
            <w:noProof/>
          </w:rPr>
          <w:tab/>
        </w:r>
        <w:r w:rsidR="00966532" w:rsidRPr="009D4978">
          <w:rPr>
            <w:rStyle w:val="Hyperlink"/>
            <w:noProof/>
          </w:rPr>
          <w:t>MAR and MAR Risk Assessment Framework</w:t>
        </w:r>
        <w:r w:rsidR="00966532">
          <w:rPr>
            <w:noProof/>
            <w:webHidden/>
          </w:rPr>
          <w:tab/>
        </w:r>
        <w:r w:rsidR="00966532">
          <w:rPr>
            <w:noProof/>
            <w:webHidden/>
          </w:rPr>
          <w:fldChar w:fldCharType="begin"/>
        </w:r>
        <w:r w:rsidR="00966532">
          <w:rPr>
            <w:noProof/>
            <w:webHidden/>
          </w:rPr>
          <w:instrText xml:space="preserve"> PAGEREF _Toc390690101 \h </w:instrText>
        </w:r>
        <w:r w:rsidR="00966532">
          <w:rPr>
            <w:noProof/>
            <w:webHidden/>
          </w:rPr>
        </w:r>
        <w:r w:rsidR="00966532">
          <w:rPr>
            <w:noProof/>
            <w:webHidden/>
          </w:rPr>
          <w:fldChar w:fldCharType="separate"/>
        </w:r>
        <w:r w:rsidR="00966532">
          <w:rPr>
            <w:noProof/>
            <w:webHidden/>
          </w:rPr>
          <w:t>34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02" w:history="1">
        <w:r w:rsidR="00966532" w:rsidRPr="009D4978">
          <w:rPr>
            <w:rStyle w:val="Hyperlink"/>
            <w:noProof/>
          </w:rPr>
          <w:t>4.1</w:t>
        </w:r>
        <w:r w:rsidR="00966532">
          <w:rPr>
            <w:rFonts w:asciiTheme="minorHAnsi" w:eastAsiaTheme="minorEastAsia" w:hAnsiTheme="minorHAnsi" w:cstheme="minorBidi"/>
            <w:noProof/>
          </w:rPr>
          <w:tab/>
        </w:r>
        <w:r w:rsidR="00966532" w:rsidRPr="009D4978">
          <w:rPr>
            <w:rStyle w:val="Hyperlink"/>
            <w:noProof/>
          </w:rPr>
          <w:t>Managed Aquifer Recharge (MAR)</w:t>
        </w:r>
        <w:r w:rsidR="00966532">
          <w:rPr>
            <w:noProof/>
            <w:webHidden/>
          </w:rPr>
          <w:tab/>
        </w:r>
        <w:r w:rsidR="00966532">
          <w:rPr>
            <w:noProof/>
            <w:webHidden/>
          </w:rPr>
          <w:fldChar w:fldCharType="begin"/>
        </w:r>
        <w:r w:rsidR="00966532">
          <w:rPr>
            <w:noProof/>
            <w:webHidden/>
          </w:rPr>
          <w:instrText xml:space="preserve"> PAGEREF _Toc390690102 \h </w:instrText>
        </w:r>
        <w:r w:rsidR="00966532">
          <w:rPr>
            <w:noProof/>
            <w:webHidden/>
          </w:rPr>
        </w:r>
        <w:r w:rsidR="00966532">
          <w:rPr>
            <w:noProof/>
            <w:webHidden/>
          </w:rPr>
          <w:fldChar w:fldCharType="separate"/>
        </w:r>
        <w:r w:rsidR="00966532">
          <w:rPr>
            <w:noProof/>
            <w:webHidden/>
          </w:rPr>
          <w:t>34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03" w:history="1">
        <w:r w:rsidR="00966532" w:rsidRPr="009D4978">
          <w:rPr>
            <w:rStyle w:val="Hyperlink"/>
            <w:noProof/>
          </w:rPr>
          <w:t>4.2</w:t>
        </w:r>
        <w:r w:rsidR="00966532">
          <w:rPr>
            <w:rFonts w:asciiTheme="minorHAnsi" w:eastAsiaTheme="minorEastAsia" w:hAnsiTheme="minorHAnsi" w:cstheme="minorBidi"/>
            <w:noProof/>
          </w:rPr>
          <w:tab/>
        </w:r>
        <w:r w:rsidR="00966532" w:rsidRPr="009D4978">
          <w:rPr>
            <w:rStyle w:val="Hyperlink"/>
            <w:noProof/>
          </w:rPr>
          <w:t>MAR Options Considered in the BHMAR Project</w:t>
        </w:r>
        <w:r w:rsidR="00966532">
          <w:rPr>
            <w:noProof/>
            <w:webHidden/>
          </w:rPr>
          <w:tab/>
        </w:r>
        <w:r w:rsidR="00966532">
          <w:rPr>
            <w:noProof/>
            <w:webHidden/>
          </w:rPr>
          <w:fldChar w:fldCharType="begin"/>
        </w:r>
        <w:r w:rsidR="00966532">
          <w:rPr>
            <w:noProof/>
            <w:webHidden/>
          </w:rPr>
          <w:instrText xml:space="preserve"> PAGEREF _Toc390690103 \h </w:instrText>
        </w:r>
        <w:r w:rsidR="00966532">
          <w:rPr>
            <w:noProof/>
            <w:webHidden/>
          </w:rPr>
        </w:r>
        <w:r w:rsidR="00966532">
          <w:rPr>
            <w:noProof/>
            <w:webHidden/>
          </w:rPr>
          <w:fldChar w:fldCharType="separate"/>
        </w:r>
        <w:r w:rsidR="00966532">
          <w:rPr>
            <w:noProof/>
            <w:webHidden/>
          </w:rPr>
          <w:t>35</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04" w:history="1">
        <w:r w:rsidR="00966532" w:rsidRPr="009D4978">
          <w:rPr>
            <w:rStyle w:val="Hyperlink"/>
            <w:noProof/>
            <w14:scene3d>
              <w14:camera w14:prst="orthographicFront"/>
              <w14:lightRig w14:rig="threePt" w14:dir="t">
                <w14:rot w14:lat="0" w14:lon="0" w14:rev="0"/>
              </w14:lightRig>
            </w14:scene3d>
          </w:rPr>
          <w:t>4.2.1</w:t>
        </w:r>
        <w:r w:rsidR="00966532">
          <w:rPr>
            <w:rFonts w:asciiTheme="minorHAnsi" w:eastAsiaTheme="minorEastAsia" w:hAnsiTheme="minorHAnsi" w:cstheme="minorBidi"/>
            <w:noProof/>
            <w:szCs w:val="22"/>
          </w:rPr>
          <w:tab/>
        </w:r>
        <w:r w:rsidR="00966532" w:rsidRPr="009D4978">
          <w:rPr>
            <w:rStyle w:val="Hyperlink"/>
            <w:noProof/>
          </w:rPr>
          <w:t>MAR Risk Assessment Framework used in BHMAR Phase 1</w:t>
        </w:r>
        <w:r w:rsidR="00966532">
          <w:rPr>
            <w:noProof/>
            <w:webHidden/>
          </w:rPr>
          <w:tab/>
        </w:r>
        <w:r w:rsidR="00966532">
          <w:rPr>
            <w:noProof/>
            <w:webHidden/>
          </w:rPr>
          <w:fldChar w:fldCharType="begin"/>
        </w:r>
        <w:r w:rsidR="00966532">
          <w:rPr>
            <w:noProof/>
            <w:webHidden/>
          </w:rPr>
          <w:instrText xml:space="preserve"> PAGEREF _Toc390690104 \h </w:instrText>
        </w:r>
        <w:r w:rsidR="00966532">
          <w:rPr>
            <w:noProof/>
            <w:webHidden/>
          </w:rPr>
        </w:r>
        <w:r w:rsidR="00966532">
          <w:rPr>
            <w:noProof/>
            <w:webHidden/>
          </w:rPr>
          <w:fldChar w:fldCharType="separate"/>
        </w:r>
        <w:r w:rsidR="00966532">
          <w:rPr>
            <w:noProof/>
            <w:webHidden/>
          </w:rPr>
          <w:t>36</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05" w:history="1">
        <w:r w:rsidR="00966532" w:rsidRPr="009D4978">
          <w:rPr>
            <w:rStyle w:val="Hyperlink"/>
            <w:noProof/>
            <w14:scene3d>
              <w14:camera w14:prst="orthographicFront"/>
              <w14:lightRig w14:rig="threePt" w14:dir="t">
                <w14:rot w14:lat="0" w14:lon="0" w14:rev="0"/>
              </w14:lightRig>
            </w14:scene3d>
          </w:rPr>
          <w:t>4.2.2</w:t>
        </w:r>
        <w:r w:rsidR="00966532">
          <w:rPr>
            <w:rFonts w:asciiTheme="minorHAnsi" w:eastAsiaTheme="minorEastAsia" w:hAnsiTheme="minorHAnsi" w:cstheme="minorBidi"/>
            <w:noProof/>
            <w:szCs w:val="22"/>
          </w:rPr>
          <w:tab/>
        </w:r>
        <w:r w:rsidR="00966532" w:rsidRPr="009D4978">
          <w:rPr>
            <w:rStyle w:val="Hyperlink"/>
            <w:noProof/>
          </w:rPr>
          <w:t>MAR Risk Assessment Framework for BHMAR Phases 2-5</w:t>
        </w:r>
        <w:r w:rsidR="00966532">
          <w:rPr>
            <w:noProof/>
            <w:webHidden/>
          </w:rPr>
          <w:tab/>
        </w:r>
        <w:r w:rsidR="00966532">
          <w:rPr>
            <w:noProof/>
            <w:webHidden/>
          </w:rPr>
          <w:fldChar w:fldCharType="begin"/>
        </w:r>
        <w:r w:rsidR="00966532">
          <w:rPr>
            <w:noProof/>
            <w:webHidden/>
          </w:rPr>
          <w:instrText xml:space="preserve"> PAGEREF _Toc390690105 \h </w:instrText>
        </w:r>
        <w:r w:rsidR="00966532">
          <w:rPr>
            <w:noProof/>
            <w:webHidden/>
          </w:rPr>
        </w:r>
        <w:r w:rsidR="00966532">
          <w:rPr>
            <w:noProof/>
            <w:webHidden/>
          </w:rPr>
          <w:fldChar w:fldCharType="separate"/>
        </w:r>
        <w:r w:rsidR="00966532">
          <w:rPr>
            <w:noProof/>
            <w:webHidden/>
          </w:rPr>
          <w:t>37</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06" w:history="1">
        <w:r w:rsidR="00966532" w:rsidRPr="009D4978">
          <w:rPr>
            <w:rStyle w:val="Hyperlink"/>
            <w:noProof/>
            <w14:scene3d>
              <w14:camera w14:prst="orthographicFront"/>
              <w14:lightRig w14:rig="threePt" w14:dir="t">
                <w14:rot w14:lat="0" w14:lon="0" w14:rev="0"/>
              </w14:lightRig>
            </w14:scene3d>
          </w:rPr>
          <w:t>4.2.3</w:t>
        </w:r>
        <w:r w:rsidR="00966532">
          <w:rPr>
            <w:rFonts w:asciiTheme="minorHAnsi" w:eastAsiaTheme="minorEastAsia" w:hAnsiTheme="minorHAnsi" w:cstheme="minorBidi"/>
            <w:noProof/>
            <w:szCs w:val="22"/>
          </w:rPr>
          <w:tab/>
        </w:r>
        <w:r w:rsidR="00966532" w:rsidRPr="009D4978">
          <w:rPr>
            <w:rStyle w:val="Hyperlink"/>
            <w:noProof/>
          </w:rPr>
          <w:t>BHMAR Project Phase 2-3 MAR Risk Assessments</w:t>
        </w:r>
        <w:r w:rsidR="00966532">
          <w:rPr>
            <w:noProof/>
            <w:webHidden/>
          </w:rPr>
          <w:tab/>
        </w:r>
        <w:r w:rsidR="00966532">
          <w:rPr>
            <w:noProof/>
            <w:webHidden/>
          </w:rPr>
          <w:fldChar w:fldCharType="begin"/>
        </w:r>
        <w:r w:rsidR="00966532">
          <w:rPr>
            <w:noProof/>
            <w:webHidden/>
          </w:rPr>
          <w:instrText xml:space="preserve"> PAGEREF _Toc390690106 \h </w:instrText>
        </w:r>
        <w:r w:rsidR="00966532">
          <w:rPr>
            <w:noProof/>
            <w:webHidden/>
          </w:rPr>
        </w:r>
        <w:r w:rsidR="00966532">
          <w:rPr>
            <w:noProof/>
            <w:webHidden/>
          </w:rPr>
          <w:fldChar w:fldCharType="separate"/>
        </w:r>
        <w:r w:rsidR="00966532">
          <w:rPr>
            <w:noProof/>
            <w:webHidden/>
          </w:rPr>
          <w:t>43</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07" w:history="1">
        <w:r w:rsidR="00966532" w:rsidRPr="009D4978">
          <w:rPr>
            <w:rStyle w:val="Hyperlink"/>
            <w:noProof/>
          </w:rPr>
          <w:t>5.</w:t>
        </w:r>
        <w:r w:rsidR="00966532">
          <w:rPr>
            <w:rFonts w:asciiTheme="minorHAnsi" w:eastAsiaTheme="minorEastAsia" w:hAnsiTheme="minorHAnsi" w:cstheme="minorBidi"/>
            <w:noProof/>
          </w:rPr>
          <w:tab/>
        </w:r>
        <w:r w:rsidR="00966532" w:rsidRPr="009D4978">
          <w:rPr>
            <w:rStyle w:val="Hyperlink"/>
            <w:noProof/>
          </w:rPr>
          <w:t>Geological and Geomorphic Framework</w:t>
        </w:r>
        <w:r w:rsidR="00966532">
          <w:rPr>
            <w:noProof/>
            <w:webHidden/>
          </w:rPr>
          <w:tab/>
        </w:r>
        <w:r w:rsidR="00966532">
          <w:rPr>
            <w:noProof/>
            <w:webHidden/>
          </w:rPr>
          <w:fldChar w:fldCharType="begin"/>
        </w:r>
        <w:r w:rsidR="00966532">
          <w:rPr>
            <w:noProof/>
            <w:webHidden/>
          </w:rPr>
          <w:instrText xml:space="preserve"> PAGEREF _Toc390690107 \h </w:instrText>
        </w:r>
        <w:r w:rsidR="00966532">
          <w:rPr>
            <w:noProof/>
            <w:webHidden/>
          </w:rPr>
        </w:r>
        <w:r w:rsidR="00966532">
          <w:rPr>
            <w:noProof/>
            <w:webHidden/>
          </w:rPr>
          <w:fldChar w:fldCharType="separate"/>
        </w:r>
        <w:r w:rsidR="00966532">
          <w:rPr>
            <w:noProof/>
            <w:webHidden/>
          </w:rPr>
          <w:t>45</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08" w:history="1">
        <w:r w:rsidR="00966532" w:rsidRPr="009D4978">
          <w:rPr>
            <w:rStyle w:val="Hyperlink"/>
            <w:noProof/>
          </w:rPr>
          <w:t>5.1</w:t>
        </w:r>
        <w:r w:rsidR="00966532">
          <w:rPr>
            <w:rFonts w:asciiTheme="minorHAnsi" w:eastAsiaTheme="minorEastAsia" w:hAnsiTheme="minorHAnsi" w:cstheme="minorBidi"/>
            <w:noProof/>
          </w:rPr>
          <w:tab/>
        </w:r>
        <w:r w:rsidR="00966532" w:rsidRPr="009D4978">
          <w:rPr>
            <w:rStyle w:val="Hyperlink"/>
            <w:noProof/>
          </w:rPr>
          <w:t>Geomorphology, Stratigraphy and Landscape Evolution</w:t>
        </w:r>
        <w:r w:rsidR="00966532">
          <w:rPr>
            <w:noProof/>
            <w:webHidden/>
          </w:rPr>
          <w:tab/>
        </w:r>
        <w:r w:rsidR="00966532">
          <w:rPr>
            <w:noProof/>
            <w:webHidden/>
          </w:rPr>
          <w:fldChar w:fldCharType="begin"/>
        </w:r>
        <w:r w:rsidR="00966532">
          <w:rPr>
            <w:noProof/>
            <w:webHidden/>
          </w:rPr>
          <w:instrText xml:space="preserve"> PAGEREF _Toc390690108 \h </w:instrText>
        </w:r>
        <w:r w:rsidR="00966532">
          <w:rPr>
            <w:noProof/>
            <w:webHidden/>
          </w:rPr>
        </w:r>
        <w:r w:rsidR="00966532">
          <w:rPr>
            <w:noProof/>
            <w:webHidden/>
          </w:rPr>
          <w:fldChar w:fldCharType="separate"/>
        </w:r>
        <w:r w:rsidR="00966532">
          <w:rPr>
            <w:noProof/>
            <w:webHidden/>
          </w:rPr>
          <w:t>45</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09" w:history="1">
        <w:r w:rsidR="00966532" w:rsidRPr="009D4978">
          <w:rPr>
            <w:rStyle w:val="Hyperlink"/>
            <w:noProof/>
            <w14:scene3d>
              <w14:camera w14:prst="orthographicFront"/>
              <w14:lightRig w14:rig="threePt" w14:dir="t">
                <w14:rot w14:lat="0" w14:lon="0" w14:rev="0"/>
              </w14:lightRig>
            </w14:scene3d>
          </w:rPr>
          <w:t>5.1.1</w:t>
        </w:r>
        <w:r w:rsidR="00966532">
          <w:rPr>
            <w:rFonts w:asciiTheme="minorHAnsi" w:eastAsiaTheme="minorEastAsia" w:hAnsiTheme="minorHAnsi" w:cstheme="minorBidi"/>
            <w:noProof/>
            <w:szCs w:val="22"/>
          </w:rPr>
          <w:tab/>
        </w:r>
        <w:r w:rsidR="00966532" w:rsidRPr="009D4978">
          <w:rPr>
            <w:rStyle w:val="Hyperlink"/>
            <w:noProof/>
          </w:rPr>
          <w:t>Menindee Lakes</w:t>
        </w:r>
        <w:r w:rsidR="00966532">
          <w:rPr>
            <w:noProof/>
            <w:webHidden/>
          </w:rPr>
          <w:tab/>
        </w:r>
        <w:r w:rsidR="00966532">
          <w:rPr>
            <w:noProof/>
            <w:webHidden/>
          </w:rPr>
          <w:fldChar w:fldCharType="begin"/>
        </w:r>
        <w:r w:rsidR="00966532">
          <w:rPr>
            <w:noProof/>
            <w:webHidden/>
          </w:rPr>
          <w:instrText xml:space="preserve"> PAGEREF _Toc390690109 \h </w:instrText>
        </w:r>
        <w:r w:rsidR="00966532">
          <w:rPr>
            <w:noProof/>
            <w:webHidden/>
          </w:rPr>
        </w:r>
        <w:r w:rsidR="00966532">
          <w:rPr>
            <w:noProof/>
            <w:webHidden/>
          </w:rPr>
          <w:fldChar w:fldCharType="separate"/>
        </w:r>
        <w:r w:rsidR="00966532">
          <w:rPr>
            <w:noProof/>
            <w:webHidden/>
          </w:rPr>
          <w:t>45</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0" w:history="1">
        <w:r w:rsidR="00966532" w:rsidRPr="009D4978">
          <w:rPr>
            <w:rStyle w:val="Hyperlink"/>
            <w:noProof/>
            <w14:scene3d>
              <w14:camera w14:prst="orthographicFront"/>
              <w14:lightRig w14:rig="threePt" w14:dir="t">
                <w14:rot w14:lat="0" w14:lon="0" w14:rev="0"/>
              </w14:lightRig>
            </w14:scene3d>
          </w:rPr>
          <w:t>5.1.2</w:t>
        </w:r>
        <w:r w:rsidR="00966532">
          <w:rPr>
            <w:rFonts w:asciiTheme="minorHAnsi" w:eastAsiaTheme="minorEastAsia" w:hAnsiTheme="minorHAnsi" w:cstheme="minorBidi"/>
            <w:noProof/>
            <w:szCs w:val="22"/>
          </w:rPr>
          <w:tab/>
        </w:r>
        <w:r w:rsidR="00966532" w:rsidRPr="009D4978">
          <w:rPr>
            <w:rStyle w:val="Hyperlink"/>
            <w:noProof/>
          </w:rPr>
          <w:t>Quaternary Fluvial Units and Geomorphology, Lower Darling Valley</w:t>
        </w:r>
        <w:r w:rsidR="00966532">
          <w:rPr>
            <w:noProof/>
            <w:webHidden/>
          </w:rPr>
          <w:tab/>
        </w:r>
        <w:r w:rsidR="00966532">
          <w:rPr>
            <w:noProof/>
            <w:webHidden/>
          </w:rPr>
          <w:fldChar w:fldCharType="begin"/>
        </w:r>
        <w:r w:rsidR="00966532">
          <w:rPr>
            <w:noProof/>
            <w:webHidden/>
          </w:rPr>
          <w:instrText xml:space="preserve"> PAGEREF _Toc390690110 \h </w:instrText>
        </w:r>
        <w:r w:rsidR="00966532">
          <w:rPr>
            <w:noProof/>
            <w:webHidden/>
          </w:rPr>
        </w:r>
        <w:r w:rsidR="00966532">
          <w:rPr>
            <w:noProof/>
            <w:webHidden/>
          </w:rPr>
          <w:fldChar w:fldCharType="separate"/>
        </w:r>
        <w:r w:rsidR="00966532">
          <w:rPr>
            <w:noProof/>
            <w:webHidden/>
          </w:rPr>
          <w:t>45</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1" w:history="1">
        <w:r w:rsidR="00966532" w:rsidRPr="009D4978">
          <w:rPr>
            <w:rStyle w:val="Hyperlink"/>
            <w:noProof/>
            <w14:scene3d>
              <w14:camera w14:prst="orthographicFront"/>
              <w14:lightRig w14:rig="threePt" w14:dir="t">
                <w14:rot w14:lat="0" w14:lon="0" w14:rev="0"/>
              </w14:lightRig>
            </w14:scene3d>
          </w:rPr>
          <w:t>5.1.3</w:t>
        </w:r>
        <w:r w:rsidR="00966532">
          <w:rPr>
            <w:rFonts w:asciiTheme="minorHAnsi" w:eastAsiaTheme="minorEastAsia" w:hAnsiTheme="minorHAnsi" w:cstheme="minorBidi"/>
            <w:noProof/>
            <w:szCs w:val="22"/>
          </w:rPr>
          <w:tab/>
        </w:r>
        <w:r w:rsidR="00966532" w:rsidRPr="009D4978">
          <w:rPr>
            <w:rStyle w:val="Hyperlink"/>
            <w:noProof/>
          </w:rPr>
          <w:t>Willotia beds</w:t>
        </w:r>
        <w:r w:rsidR="00966532">
          <w:rPr>
            <w:noProof/>
            <w:webHidden/>
          </w:rPr>
          <w:tab/>
        </w:r>
        <w:r w:rsidR="00966532">
          <w:rPr>
            <w:noProof/>
            <w:webHidden/>
          </w:rPr>
          <w:fldChar w:fldCharType="begin"/>
        </w:r>
        <w:r w:rsidR="00966532">
          <w:rPr>
            <w:noProof/>
            <w:webHidden/>
          </w:rPr>
          <w:instrText xml:space="preserve"> PAGEREF _Toc390690111 \h </w:instrText>
        </w:r>
        <w:r w:rsidR="00966532">
          <w:rPr>
            <w:noProof/>
            <w:webHidden/>
          </w:rPr>
        </w:r>
        <w:r w:rsidR="00966532">
          <w:rPr>
            <w:noProof/>
            <w:webHidden/>
          </w:rPr>
          <w:fldChar w:fldCharType="separate"/>
        </w:r>
        <w:r w:rsidR="00966532">
          <w:rPr>
            <w:noProof/>
            <w:webHidden/>
          </w:rPr>
          <w:t>49</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2" w:history="1">
        <w:r w:rsidR="00966532" w:rsidRPr="009D4978">
          <w:rPr>
            <w:rStyle w:val="Hyperlink"/>
            <w:noProof/>
            <w14:scene3d>
              <w14:camera w14:prst="orthographicFront"/>
              <w14:lightRig w14:rig="threePt" w14:dir="t">
                <w14:rot w14:lat="0" w14:lon="0" w14:rev="0"/>
              </w14:lightRig>
            </w14:scene3d>
          </w:rPr>
          <w:t>5.1.4</w:t>
        </w:r>
        <w:r w:rsidR="00966532">
          <w:rPr>
            <w:rFonts w:asciiTheme="minorHAnsi" w:eastAsiaTheme="minorEastAsia" w:hAnsiTheme="minorHAnsi" w:cstheme="minorBidi"/>
            <w:noProof/>
            <w:szCs w:val="22"/>
          </w:rPr>
          <w:tab/>
        </w:r>
        <w:r w:rsidR="00966532" w:rsidRPr="009D4978">
          <w:rPr>
            <w:rStyle w:val="Hyperlink"/>
            <w:noProof/>
          </w:rPr>
          <w:t>Menindee Formation</w:t>
        </w:r>
        <w:r w:rsidR="00966532">
          <w:rPr>
            <w:noProof/>
            <w:webHidden/>
          </w:rPr>
          <w:tab/>
        </w:r>
        <w:r w:rsidR="00966532">
          <w:rPr>
            <w:noProof/>
            <w:webHidden/>
          </w:rPr>
          <w:fldChar w:fldCharType="begin"/>
        </w:r>
        <w:r w:rsidR="00966532">
          <w:rPr>
            <w:noProof/>
            <w:webHidden/>
          </w:rPr>
          <w:instrText xml:space="preserve"> PAGEREF _Toc390690112 \h </w:instrText>
        </w:r>
        <w:r w:rsidR="00966532">
          <w:rPr>
            <w:noProof/>
            <w:webHidden/>
          </w:rPr>
        </w:r>
        <w:r w:rsidR="00966532">
          <w:rPr>
            <w:noProof/>
            <w:webHidden/>
          </w:rPr>
          <w:fldChar w:fldCharType="separate"/>
        </w:r>
        <w:r w:rsidR="00966532">
          <w:rPr>
            <w:noProof/>
            <w:webHidden/>
          </w:rPr>
          <w:t>50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3" w:history="1">
        <w:r w:rsidR="00966532" w:rsidRPr="009D4978">
          <w:rPr>
            <w:rStyle w:val="Hyperlink"/>
            <w:noProof/>
            <w14:scene3d>
              <w14:camera w14:prst="orthographicFront"/>
              <w14:lightRig w14:rig="threePt" w14:dir="t">
                <w14:rot w14:lat="0" w14:lon="0" w14:rev="0"/>
              </w14:lightRig>
            </w14:scene3d>
          </w:rPr>
          <w:t>5.1.5</w:t>
        </w:r>
        <w:r w:rsidR="00966532">
          <w:rPr>
            <w:rFonts w:asciiTheme="minorHAnsi" w:eastAsiaTheme="minorEastAsia" w:hAnsiTheme="minorHAnsi" w:cstheme="minorBidi"/>
            <w:noProof/>
            <w:szCs w:val="22"/>
          </w:rPr>
          <w:tab/>
        </w:r>
        <w:r w:rsidR="00966532" w:rsidRPr="009D4978">
          <w:rPr>
            <w:rStyle w:val="Hyperlink"/>
            <w:noProof/>
          </w:rPr>
          <w:t>Coonambidgal Formation</w:t>
        </w:r>
        <w:r w:rsidR="00966532">
          <w:rPr>
            <w:noProof/>
            <w:webHidden/>
          </w:rPr>
          <w:tab/>
        </w:r>
        <w:r w:rsidR="00966532">
          <w:rPr>
            <w:noProof/>
            <w:webHidden/>
          </w:rPr>
          <w:fldChar w:fldCharType="begin"/>
        </w:r>
        <w:r w:rsidR="00966532">
          <w:rPr>
            <w:noProof/>
            <w:webHidden/>
          </w:rPr>
          <w:instrText xml:space="preserve"> PAGEREF _Toc390690113 \h </w:instrText>
        </w:r>
        <w:r w:rsidR="00966532">
          <w:rPr>
            <w:noProof/>
            <w:webHidden/>
          </w:rPr>
        </w:r>
        <w:r w:rsidR="00966532">
          <w:rPr>
            <w:noProof/>
            <w:webHidden/>
          </w:rPr>
          <w:fldChar w:fldCharType="separate"/>
        </w:r>
        <w:r w:rsidR="00966532">
          <w:rPr>
            <w:noProof/>
            <w:webHidden/>
          </w:rPr>
          <w:t>50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4" w:history="1">
        <w:r w:rsidR="00966532" w:rsidRPr="009D4978">
          <w:rPr>
            <w:rStyle w:val="Hyperlink"/>
            <w:noProof/>
            <w14:scene3d>
              <w14:camera w14:prst="orthographicFront"/>
              <w14:lightRig w14:rig="threePt" w14:dir="t">
                <w14:rot w14:lat="0" w14:lon="0" w14:rev="0"/>
              </w14:lightRig>
            </w14:scene3d>
          </w:rPr>
          <w:t>5.1.6</w:t>
        </w:r>
        <w:r w:rsidR="00966532">
          <w:rPr>
            <w:rFonts w:asciiTheme="minorHAnsi" w:eastAsiaTheme="minorEastAsia" w:hAnsiTheme="minorHAnsi" w:cstheme="minorBidi"/>
            <w:noProof/>
            <w:szCs w:val="22"/>
          </w:rPr>
          <w:tab/>
        </w:r>
        <w:r w:rsidR="00966532" w:rsidRPr="009D4978">
          <w:rPr>
            <w:rStyle w:val="Hyperlink"/>
            <w:noProof/>
          </w:rPr>
          <w:t>Blanchetown Clay</w:t>
        </w:r>
        <w:r w:rsidR="00966532">
          <w:rPr>
            <w:noProof/>
            <w:webHidden/>
          </w:rPr>
          <w:tab/>
        </w:r>
        <w:r w:rsidR="00966532">
          <w:rPr>
            <w:noProof/>
            <w:webHidden/>
          </w:rPr>
          <w:fldChar w:fldCharType="begin"/>
        </w:r>
        <w:r w:rsidR="00966532">
          <w:rPr>
            <w:noProof/>
            <w:webHidden/>
          </w:rPr>
          <w:instrText xml:space="preserve"> PAGEREF _Toc390690114 \h </w:instrText>
        </w:r>
        <w:r w:rsidR="00966532">
          <w:rPr>
            <w:noProof/>
            <w:webHidden/>
          </w:rPr>
        </w:r>
        <w:r w:rsidR="00966532">
          <w:rPr>
            <w:noProof/>
            <w:webHidden/>
          </w:rPr>
          <w:fldChar w:fldCharType="separate"/>
        </w:r>
        <w:r w:rsidR="00966532">
          <w:rPr>
            <w:noProof/>
            <w:webHidden/>
          </w:rPr>
          <w:t>51</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5" w:history="1">
        <w:r w:rsidR="00966532" w:rsidRPr="009D4978">
          <w:rPr>
            <w:rStyle w:val="Hyperlink"/>
            <w:noProof/>
            <w14:scene3d>
              <w14:camera w14:prst="orthographicFront"/>
              <w14:lightRig w14:rig="threePt" w14:dir="t">
                <w14:rot w14:lat="0" w14:lon="0" w14:rev="0"/>
              </w14:lightRig>
            </w14:scene3d>
          </w:rPr>
          <w:t>5.1.7</w:t>
        </w:r>
        <w:r w:rsidR="00966532">
          <w:rPr>
            <w:rFonts w:asciiTheme="minorHAnsi" w:eastAsiaTheme="minorEastAsia" w:hAnsiTheme="minorHAnsi" w:cstheme="minorBidi"/>
            <w:noProof/>
            <w:szCs w:val="22"/>
          </w:rPr>
          <w:tab/>
        </w:r>
        <w:r w:rsidR="00966532" w:rsidRPr="009D4978">
          <w:rPr>
            <w:rStyle w:val="Hyperlink"/>
            <w:noProof/>
          </w:rPr>
          <w:t>Calivil Formation and Loxton-Parilla Sands</w:t>
        </w:r>
        <w:r w:rsidR="00966532">
          <w:rPr>
            <w:noProof/>
            <w:webHidden/>
          </w:rPr>
          <w:tab/>
        </w:r>
        <w:r w:rsidR="00966532">
          <w:rPr>
            <w:noProof/>
            <w:webHidden/>
          </w:rPr>
          <w:fldChar w:fldCharType="begin"/>
        </w:r>
        <w:r w:rsidR="00966532">
          <w:rPr>
            <w:noProof/>
            <w:webHidden/>
          </w:rPr>
          <w:instrText xml:space="preserve"> PAGEREF _Toc390690115 \h </w:instrText>
        </w:r>
        <w:r w:rsidR="00966532">
          <w:rPr>
            <w:noProof/>
            <w:webHidden/>
          </w:rPr>
        </w:r>
        <w:r w:rsidR="00966532">
          <w:rPr>
            <w:noProof/>
            <w:webHidden/>
          </w:rPr>
          <w:fldChar w:fldCharType="separate"/>
        </w:r>
        <w:r w:rsidR="00966532">
          <w:rPr>
            <w:noProof/>
            <w:webHidden/>
          </w:rPr>
          <w:t>54</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6" w:history="1">
        <w:r w:rsidR="00966532" w:rsidRPr="009D4978">
          <w:rPr>
            <w:rStyle w:val="Hyperlink"/>
            <w:noProof/>
            <w14:scene3d>
              <w14:camera w14:prst="orthographicFront"/>
              <w14:lightRig w14:rig="threePt" w14:dir="t">
                <w14:rot w14:lat="0" w14:lon="0" w14:rev="0"/>
              </w14:lightRig>
            </w14:scene3d>
          </w:rPr>
          <w:t>5.1.8</w:t>
        </w:r>
        <w:r w:rsidR="00966532">
          <w:rPr>
            <w:rFonts w:asciiTheme="minorHAnsi" w:eastAsiaTheme="minorEastAsia" w:hAnsiTheme="minorHAnsi" w:cstheme="minorBidi"/>
            <w:noProof/>
            <w:szCs w:val="22"/>
          </w:rPr>
          <w:tab/>
        </w:r>
        <w:r w:rsidR="00966532" w:rsidRPr="009D4978">
          <w:rPr>
            <w:rStyle w:val="Hyperlink"/>
            <w:noProof/>
          </w:rPr>
          <w:t>Renmark Group</w:t>
        </w:r>
        <w:r w:rsidR="00966532">
          <w:rPr>
            <w:noProof/>
            <w:webHidden/>
          </w:rPr>
          <w:tab/>
        </w:r>
        <w:r w:rsidR="00966532">
          <w:rPr>
            <w:noProof/>
            <w:webHidden/>
          </w:rPr>
          <w:fldChar w:fldCharType="begin"/>
        </w:r>
        <w:r w:rsidR="00966532">
          <w:rPr>
            <w:noProof/>
            <w:webHidden/>
          </w:rPr>
          <w:instrText xml:space="preserve"> PAGEREF _Toc390690116 \h </w:instrText>
        </w:r>
        <w:r w:rsidR="00966532">
          <w:rPr>
            <w:noProof/>
            <w:webHidden/>
          </w:rPr>
        </w:r>
        <w:r w:rsidR="00966532">
          <w:rPr>
            <w:noProof/>
            <w:webHidden/>
          </w:rPr>
          <w:fldChar w:fldCharType="separate"/>
        </w:r>
        <w:r w:rsidR="00966532">
          <w:rPr>
            <w:noProof/>
            <w:webHidden/>
          </w:rPr>
          <w:t>55</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17" w:history="1">
        <w:r w:rsidR="00966532" w:rsidRPr="009D4978">
          <w:rPr>
            <w:rStyle w:val="Hyperlink"/>
            <w:noProof/>
          </w:rPr>
          <w:t>5.2</w:t>
        </w:r>
        <w:r w:rsidR="00966532">
          <w:rPr>
            <w:rFonts w:asciiTheme="minorHAnsi" w:eastAsiaTheme="minorEastAsia" w:hAnsiTheme="minorHAnsi" w:cstheme="minorBidi"/>
            <w:noProof/>
          </w:rPr>
          <w:tab/>
        </w:r>
        <w:r w:rsidR="00966532" w:rsidRPr="009D4978">
          <w:rPr>
            <w:rStyle w:val="Hyperlink"/>
            <w:noProof/>
          </w:rPr>
          <w:t>Tectonic Framework</w:t>
        </w:r>
        <w:r w:rsidR="00966532">
          <w:rPr>
            <w:noProof/>
            <w:webHidden/>
          </w:rPr>
          <w:tab/>
        </w:r>
        <w:r w:rsidR="00966532">
          <w:rPr>
            <w:noProof/>
            <w:webHidden/>
          </w:rPr>
          <w:fldChar w:fldCharType="begin"/>
        </w:r>
        <w:r w:rsidR="00966532">
          <w:rPr>
            <w:noProof/>
            <w:webHidden/>
          </w:rPr>
          <w:instrText xml:space="preserve"> PAGEREF _Toc390690117 \h </w:instrText>
        </w:r>
        <w:r w:rsidR="00966532">
          <w:rPr>
            <w:noProof/>
            <w:webHidden/>
          </w:rPr>
        </w:r>
        <w:r w:rsidR="00966532">
          <w:rPr>
            <w:noProof/>
            <w:webHidden/>
          </w:rPr>
          <w:fldChar w:fldCharType="separate"/>
        </w:r>
        <w:r w:rsidR="00966532">
          <w:rPr>
            <w:noProof/>
            <w:webHidden/>
          </w:rPr>
          <w:t>55</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8" w:history="1">
        <w:r w:rsidR="00966532" w:rsidRPr="009D4978">
          <w:rPr>
            <w:rStyle w:val="Hyperlink"/>
            <w:noProof/>
            <w14:scene3d>
              <w14:camera w14:prst="orthographicFront"/>
              <w14:lightRig w14:rig="threePt" w14:dir="t">
                <w14:rot w14:lat="0" w14:lon="0" w14:rev="0"/>
              </w14:lightRig>
            </w14:scene3d>
          </w:rPr>
          <w:t>5.2.1</w:t>
        </w:r>
        <w:r w:rsidR="00966532">
          <w:rPr>
            <w:rFonts w:asciiTheme="minorHAnsi" w:eastAsiaTheme="minorEastAsia" w:hAnsiTheme="minorHAnsi" w:cstheme="minorBidi"/>
            <w:noProof/>
            <w:szCs w:val="22"/>
          </w:rPr>
          <w:tab/>
        </w:r>
        <w:r w:rsidR="00966532" w:rsidRPr="009D4978">
          <w:rPr>
            <w:rStyle w:val="Hyperlink"/>
            <w:noProof/>
          </w:rPr>
          <w:t>Tectonics in the BHMAR Project Area</w:t>
        </w:r>
        <w:r w:rsidR="00966532">
          <w:rPr>
            <w:noProof/>
            <w:webHidden/>
          </w:rPr>
          <w:tab/>
        </w:r>
        <w:r w:rsidR="00966532">
          <w:rPr>
            <w:noProof/>
            <w:webHidden/>
          </w:rPr>
          <w:fldChar w:fldCharType="begin"/>
        </w:r>
        <w:r w:rsidR="00966532">
          <w:rPr>
            <w:noProof/>
            <w:webHidden/>
          </w:rPr>
          <w:instrText xml:space="preserve"> PAGEREF _Toc390690118 \h </w:instrText>
        </w:r>
        <w:r w:rsidR="00966532">
          <w:rPr>
            <w:noProof/>
            <w:webHidden/>
          </w:rPr>
        </w:r>
        <w:r w:rsidR="00966532">
          <w:rPr>
            <w:noProof/>
            <w:webHidden/>
          </w:rPr>
          <w:fldChar w:fldCharType="separate"/>
        </w:r>
        <w:r w:rsidR="00966532">
          <w:rPr>
            <w:noProof/>
            <w:webHidden/>
          </w:rPr>
          <w:t>55</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19" w:history="1">
        <w:r w:rsidR="00966532" w:rsidRPr="009D4978">
          <w:rPr>
            <w:rStyle w:val="Hyperlink"/>
            <w:noProof/>
            <w14:scene3d>
              <w14:camera w14:prst="orthographicFront"/>
              <w14:lightRig w14:rig="threePt" w14:dir="t">
                <w14:rot w14:lat="0" w14:lon="0" w14:rev="0"/>
              </w14:lightRig>
            </w14:scene3d>
          </w:rPr>
          <w:t>5.2.2</w:t>
        </w:r>
        <w:r w:rsidR="00966532">
          <w:rPr>
            <w:rFonts w:asciiTheme="minorHAnsi" w:eastAsiaTheme="minorEastAsia" w:hAnsiTheme="minorHAnsi" w:cstheme="minorBidi"/>
            <w:noProof/>
            <w:szCs w:val="22"/>
          </w:rPr>
          <w:tab/>
        </w:r>
        <w:r w:rsidR="00966532" w:rsidRPr="009D4978">
          <w:rPr>
            <w:rStyle w:val="Hyperlink"/>
            <w:noProof/>
          </w:rPr>
          <w:t>Evidence for Tectonics in the Unconsolidated Alluvial Sediments</w:t>
        </w:r>
        <w:r w:rsidR="00966532">
          <w:rPr>
            <w:noProof/>
            <w:webHidden/>
          </w:rPr>
          <w:tab/>
        </w:r>
        <w:r w:rsidR="00966532">
          <w:rPr>
            <w:noProof/>
            <w:webHidden/>
          </w:rPr>
          <w:fldChar w:fldCharType="begin"/>
        </w:r>
        <w:r w:rsidR="00966532">
          <w:rPr>
            <w:noProof/>
            <w:webHidden/>
          </w:rPr>
          <w:instrText xml:space="preserve"> PAGEREF _Toc390690119 \h </w:instrText>
        </w:r>
        <w:r w:rsidR="00966532">
          <w:rPr>
            <w:noProof/>
            <w:webHidden/>
          </w:rPr>
        </w:r>
        <w:r w:rsidR="00966532">
          <w:rPr>
            <w:noProof/>
            <w:webHidden/>
          </w:rPr>
          <w:fldChar w:fldCharType="separate"/>
        </w:r>
        <w:r w:rsidR="00966532">
          <w:rPr>
            <w:noProof/>
            <w:webHidden/>
          </w:rPr>
          <w:t>56</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20" w:history="1">
        <w:r w:rsidR="00966532" w:rsidRPr="009D4978">
          <w:rPr>
            <w:rStyle w:val="Hyperlink"/>
            <w:noProof/>
            <w14:scene3d>
              <w14:camera w14:prst="orthographicFront"/>
              <w14:lightRig w14:rig="threePt" w14:dir="t">
                <w14:rot w14:lat="0" w14:lon="0" w14:rev="0"/>
              </w14:lightRig>
            </w14:scene3d>
          </w:rPr>
          <w:t>5.2.3</w:t>
        </w:r>
        <w:r w:rsidR="00966532">
          <w:rPr>
            <w:rFonts w:asciiTheme="minorHAnsi" w:eastAsiaTheme="minorEastAsia" w:hAnsiTheme="minorHAnsi" w:cstheme="minorBidi"/>
            <w:noProof/>
            <w:szCs w:val="22"/>
          </w:rPr>
          <w:tab/>
        </w:r>
        <w:r w:rsidR="00966532" w:rsidRPr="009D4978">
          <w:rPr>
            <w:rStyle w:val="Hyperlink"/>
            <w:noProof/>
          </w:rPr>
          <w:t>Summary of the Geological and Landscape Evolution of the BHMAR Study Area</w:t>
        </w:r>
        <w:r w:rsidR="00966532">
          <w:rPr>
            <w:noProof/>
            <w:webHidden/>
          </w:rPr>
          <w:tab/>
        </w:r>
        <w:r w:rsidR="00966532">
          <w:rPr>
            <w:noProof/>
            <w:webHidden/>
          </w:rPr>
          <w:fldChar w:fldCharType="begin"/>
        </w:r>
        <w:r w:rsidR="00966532">
          <w:rPr>
            <w:noProof/>
            <w:webHidden/>
          </w:rPr>
          <w:instrText xml:space="preserve"> PAGEREF _Toc390690120 \h </w:instrText>
        </w:r>
        <w:r w:rsidR="00966532">
          <w:rPr>
            <w:noProof/>
            <w:webHidden/>
          </w:rPr>
        </w:r>
        <w:r w:rsidR="00966532">
          <w:rPr>
            <w:noProof/>
            <w:webHidden/>
          </w:rPr>
          <w:fldChar w:fldCharType="separate"/>
        </w:r>
        <w:r w:rsidR="00966532">
          <w:rPr>
            <w:noProof/>
            <w:webHidden/>
          </w:rPr>
          <w:t>71</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21" w:history="1">
        <w:r w:rsidR="00966532" w:rsidRPr="009D4978">
          <w:rPr>
            <w:rStyle w:val="Hyperlink"/>
            <w:noProof/>
            <w14:scene3d>
              <w14:camera w14:prst="orthographicFront"/>
              <w14:lightRig w14:rig="threePt" w14:dir="t">
                <w14:rot w14:lat="0" w14:lon="0" w14:rev="0"/>
              </w14:lightRig>
            </w14:scene3d>
          </w:rPr>
          <w:t>5.2.4</w:t>
        </w:r>
        <w:r w:rsidR="00966532">
          <w:rPr>
            <w:rFonts w:asciiTheme="minorHAnsi" w:eastAsiaTheme="minorEastAsia" w:hAnsiTheme="minorHAnsi" w:cstheme="minorBidi"/>
            <w:noProof/>
            <w:szCs w:val="22"/>
          </w:rPr>
          <w:tab/>
        </w:r>
        <w:r w:rsidR="00966532" w:rsidRPr="009D4978">
          <w:rPr>
            <w:rStyle w:val="Hyperlink"/>
            <w:noProof/>
          </w:rPr>
          <w:t>The Role of Faults in the Hydrogeological Conceptual Model</w:t>
        </w:r>
        <w:r w:rsidR="00966532">
          <w:rPr>
            <w:noProof/>
            <w:webHidden/>
          </w:rPr>
          <w:tab/>
        </w:r>
        <w:r w:rsidR="00966532">
          <w:rPr>
            <w:noProof/>
            <w:webHidden/>
          </w:rPr>
          <w:fldChar w:fldCharType="begin"/>
        </w:r>
        <w:r w:rsidR="00966532">
          <w:rPr>
            <w:noProof/>
            <w:webHidden/>
          </w:rPr>
          <w:instrText xml:space="preserve"> PAGEREF _Toc390690121 \h </w:instrText>
        </w:r>
        <w:r w:rsidR="00966532">
          <w:rPr>
            <w:noProof/>
            <w:webHidden/>
          </w:rPr>
        </w:r>
        <w:r w:rsidR="00966532">
          <w:rPr>
            <w:noProof/>
            <w:webHidden/>
          </w:rPr>
          <w:fldChar w:fldCharType="separate"/>
        </w:r>
        <w:r w:rsidR="00966532">
          <w:rPr>
            <w:noProof/>
            <w:webHidden/>
          </w:rPr>
          <w:t>72</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22" w:history="1">
        <w:r w:rsidR="00966532" w:rsidRPr="009D4978">
          <w:rPr>
            <w:rStyle w:val="Hyperlink"/>
            <w:noProof/>
          </w:rPr>
          <w:t>6.</w:t>
        </w:r>
        <w:r w:rsidR="00966532">
          <w:rPr>
            <w:rFonts w:asciiTheme="minorHAnsi" w:eastAsiaTheme="minorEastAsia" w:hAnsiTheme="minorHAnsi" w:cstheme="minorBidi"/>
            <w:noProof/>
          </w:rPr>
          <w:tab/>
        </w:r>
        <w:r w:rsidR="00966532" w:rsidRPr="009D4978">
          <w:rPr>
            <w:rStyle w:val="Hyperlink"/>
            <w:noProof/>
          </w:rPr>
          <w:t>Hydrogeology</w:t>
        </w:r>
        <w:r w:rsidR="00966532">
          <w:rPr>
            <w:noProof/>
            <w:webHidden/>
          </w:rPr>
          <w:tab/>
        </w:r>
        <w:r w:rsidR="00966532">
          <w:rPr>
            <w:noProof/>
            <w:webHidden/>
          </w:rPr>
          <w:fldChar w:fldCharType="begin"/>
        </w:r>
        <w:r w:rsidR="00966532">
          <w:rPr>
            <w:noProof/>
            <w:webHidden/>
          </w:rPr>
          <w:instrText xml:space="preserve"> PAGEREF _Toc390690122 \h </w:instrText>
        </w:r>
        <w:r w:rsidR="00966532">
          <w:rPr>
            <w:noProof/>
            <w:webHidden/>
          </w:rPr>
        </w:r>
        <w:r w:rsidR="00966532">
          <w:rPr>
            <w:noProof/>
            <w:webHidden/>
          </w:rPr>
          <w:fldChar w:fldCharType="separate"/>
        </w:r>
        <w:r w:rsidR="00966532">
          <w:rPr>
            <w:noProof/>
            <w:webHidden/>
          </w:rPr>
          <w:t>74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23" w:history="1">
        <w:r w:rsidR="00966532" w:rsidRPr="009D4978">
          <w:rPr>
            <w:rStyle w:val="Hyperlink"/>
            <w:noProof/>
          </w:rPr>
          <w:t>6.1</w:t>
        </w:r>
        <w:r w:rsidR="00966532">
          <w:rPr>
            <w:rFonts w:asciiTheme="minorHAnsi" w:eastAsiaTheme="minorEastAsia" w:hAnsiTheme="minorHAnsi" w:cstheme="minorBidi"/>
            <w:noProof/>
          </w:rPr>
          <w:tab/>
        </w:r>
        <w:r w:rsidR="00966532" w:rsidRPr="009D4978">
          <w:rPr>
            <w:rStyle w:val="Hyperlink"/>
            <w:noProof/>
          </w:rPr>
          <w:t>Groundwater Salinity Distribution</w:t>
        </w:r>
        <w:r w:rsidR="00966532">
          <w:rPr>
            <w:noProof/>
            <w:webHidden/>
          </w:rPr>
          <w:tab/>
        </w:r>
        <w:r w:rsidR="00966532">
          <w:rPr>
            <w:noProof/>
            <w:webHidden/>
          </w:rPr>
          <w:fldChar w:fldCharType="begin"/>
        </w:r>
        <w:r w:rsidR="00966532">
          <w:rPr>
            <w:noProof/>
            <w:webHidden/>
          </w:rPr>
          <w:instrText xml:space="preserve"> PAGEREF _Toc390690123 \h </w:instrText>
        </w:r>
        <w:r w:rsidR="00966532">
          <w:rPr>
            <w:noProof/>
            <w:webHidden/>
          </w:rPr>
        </w:r>
        <w:r w:rsidR="00966532">
          <w:rPr>
            <w:noProof/>
            <w:webHidden/>
          </w:rPr>
          <w:fldChar w:fldCharType="separate"/>
        </w:r>
        <w:r w:rsidR="00966532">
          <w:rPr>
            <w:noProof/>
            <w:webHidden/>
          </w:rPr>
          <w:t>74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24" w:history="1">
        <w:r w:rsidR="00966532" w:rsidRPr="009D4978">
          <w:rPr>
            <w:rStyle w:val="Hyperlink"/>
            <w:noProof/>
          </w:rPr>
          <w:t>6.2</w:t>
        </w:r>
        <w:r w:rsidR="00966532">
          <w:rPr>
            <w:rFonts w:asciiTheme="minorHAnsi" w:eastAsiaTheme="minorEastAsia" w:hAnsiTheme="minorHAnsi" w:cstheme="minorBidi"/>
            <w:noProof/>
          </w:rPr>
          <w:tab/>
        </w:r>
        <w:r w:rsidR="00966532" w:rsidRPr="009D4978">
          <w:rPr>
            <w:rStyle w:val="Hyperlink"/>
            <w:noProof/>
          </w:rPr>
          <w:t>Aquifer Potentiometry</w:t>
        </w:r>
        <w:r w:rsidR="00966532">
          <w:rPr>
            <w:noProof/>
            <w:webHidden/>
          </w:rPr>
          <w:tab/>
        </w:r>
        <w:r w:rsidR="00966532">
          <w:rPr>
            <w:noProof/>
            <w:webHidden/>
          </w:rPr>
          <w:fldChar w:fldCharType="begin"/>
        </w:r>
        <w:r w:rsidR="00966532">
          <w:rPr>
            <w:noProof/>
            <w:webHidden/>
          </w:rPr>
          <w:instrText xml:space="preserve"> PAGEREF _Toc390690124 \h </w:instrText>
        </w:r>
        <w:r w:rsidR="00966532">
          <w:rPr>
            <w:noProof/>
            <w:webHidden/>
          </w:rPr>
        </w:r>
        <w:r w:rsidR="00966532">
          <w:rPr>
            <w:noProof/>
            <w:webHidden/>
          </w:rPr>
          <w:fldChar w:fldCharType="separate"/>
        </w:r>
        <w:r w:rsidR="00966532">
          <w:rPr>
            <w:noProof/>
            <w:webHidden/>
          </w:rPr>
          <w:t>74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25" w:history="1">
        <w:r w:rsidR="00966532" w:rsidRPr="009D4978">
          <w:rPr>
            <w:rStyle w:val="Hyperlink"/>
            <w:noProof/>
          </w:rPr>
          <w:t>6.3</w:t>
        </w:r>
        <w:r w:rsidR="00966532">
          <w:rPr>
            <w:rFonts w:asciiTheme="minorHAnsi" w:eastAsiaTheme="minorEastAsia" w:hAnsiTheme="minorHAnsi" w:cstheme="minorBidi"/>
            <w:noProof/>
          </w:rPr>
          <w:tab/>
        </w:r>
        <w:r w:rsidR="00966532" w:rsidRPr="009D4978">
          <w:rPr>
            <w:rStyle w:val="Hyperlink"/>
            <w:noProof/>
          </w:rPr>
          <w:t>Hydrographic Analysis</w:t>
        </w:r>
        <w:r w:rsidR="00966532">
          <w:rPr>
            <w:noProof/>
            <w:webHidden/>
          </w:rPr>
          <w:tab/>
        </w:r>
        <w:r w:rsidR="00966532">
          <w:rPr>
            <w:noProof/>
            <w:webHidden/>
          </w:rPr>
          <w:fldChar w:fldCharType="begin"/>
        </w:r>
        <w:r w:rsidR="00966532">
          <w:rPr>
            <w:noProof/>
            <w:webHidden/>
          </w:rPr>
          <w:instrText xml:space="preserve"> PAGEREF _Toc390690125 \h </w:instrText>
        </w:r>
        <w:r w:rsidR="00966532">
          <w:rPr>
            <w:noProof/>
            <w:webHidden/>
          </w:rPr>
        </w:r>
        <w:r w:rsidR="00966532">
          <w:rPr>
            <w:noProof/>
            <w:webHidden/>
          </w:rPr>
          <w:fldChar w:fldCharType="separate"/>
        </w:r>
        <w:r w:rsidR="00966532">
          <w:rPr>
            <w:noProof/>
            <w:webHidden/>
          </w:rPr>
          <w:t>80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26" w:history="1">
        <w:r w:rsidR="00966532" w:rsidRPr="009D4978">
          <w:rPr>
            <w:rStyle w:val="Hyperlink"/>
            <w:noProof/>
            <w14:scene3d>
              <w14:camera w14:prst="orthographicFront"/>
              <w14:lightRig w14:rig="threePt" w14:dir="t">
                <w14:rot w14:lat="0" w14:lon="0" w14:rev="0"/>
              </w14:lightRig>
            </w14:scene3d>
          </w:rPr>
          <w:t>6.3.1</w:t>
        </w:r>
        <w:r w:rsidR="00966532">
          <w:rPr>
            <w:rFonts w:asciiTheme="minorHAnsi" w:eastAsiaTheme="minorEastAsia" w:hAnsiTheme="minorHAnsi" w:cstheme="minorBidi"/>
            <w:noProof/>
            <w:szCs w:val="22"/>
          </w:rPr>
          <w:tab/>
        </w:r>
        <w:r w:rsidR="00966532" w:rsidRPr="009D4978">
          <w:rPr>
            <w:rStyle w:val="Hyperlink"/>
            <w:noProof/>
          </w:rPr>
          <w:t>Unconfined Aquifers</w:t>
        </w:r>
        <w:r w:rsidR="00966532">
          <w:rPr>
            <w:noProof/>
            <w:webHidden/>
          </w:rPr>
          <w:tab/>
        </w:r>
        <w:r w:rsidR="00966532">
          <w:rPr>
            <w:noProof/>
            <w:webHidden/>
          </w:rPr>
          <w:fldChar w:fldCharType="begin"/>
        </w:r>
        <w:r w:rsidR="00966532">
          <w:rPr>
            <w:noProof/>
            <w:webHidden/>
          </w:rPr>
          <w:instrText xml:space="preserve"> PAGEREF _Toc390690126 \h </w:instrText>
        </w:r>
        <w:r w:rsidR="00966532">
          <w:rPr>
            <w:noProof/>
            <w:webHidden/>
          </w:rPr>
        </w:r>
        <w:r w:rsidR="00966532">
          <w:rPr>
            <w:noProof/>
            <w:webHidden/>
          </w:rPr>
          <w:fldChar w:fldCharType="separate"/>
        </w:r>
        <w:r w:rsidR="00966532">
          <w:rPr>
            <w:noProof/>
            <w:webHidden/>
          </w:rPr>
          <w:t>80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27" w:history="1">
        <w:r w:rsidR="00966532" w:rsidRPr="009D4978">
          <w:rPr>
            <w:rStyle w:val="Hyperlink"/>
            <w:noProof/>
            <w14:scene3d>
              <w14:camera w14:prst="orthographicFront"/>
              <w14:lightRig w14:rig="threePt" w14:dir="t">
                <w14:rot w14:lat="0" w14:lon="0" w14:rev="0"/>
              </w14:lightRig>
            </w14:scene3d>
          </w:rPr>
          <w:t>6.3.2</w:t>
        </w:r>
        <w:r w:rsidR="00966532">
          <w:rPr>
            <w:rFonts w:asciiTheme="minorHAnsi" w:eastAsiaTheme="minorEastAsia" w:hAnsiTheme="minorHAnsi" w:cstheme="minorBidi"/>
            <w:noProof/>
            <w:szCs w:val="22"/>
          </w:rPr>
          <w:tab/>
        </w:r>
        <w:r w:rsidR="00966532" w:rsidRPr="009D4978">
          <w:rPr>
            <w:rStyle w:val="Hyperlink"/>
            <w:noProof/>
          </w:rPr>
          <w:t>Semi-confined Calivil Formation Aquifer</w:t>
        </w:r>
        <w:r w:rsidR="00966532">
          <w:rPr>
            <w:noProof/>
            <w:webHidden/>
          </w:rPr>
          <w:tab/>
        </w:r>
        <w:r w:rsidR="00966532">
          <w:rPr>
            <w:noProof/>
            <w:webHidden/>
          </w:rPr>
          <w:fldChar w:fldCharType="begin"/>
        </w:r>
        <w:r w:rsidR="00966532">
          <w:rPr>
            <w:noProof/>
            <w:webHidden/>
          </w:rPr>
          <w:instrText xml:space="preserve"> PAGEREF _Toc390690127 \h </w:instrText>
        </w:r>
        <w:r w:rsidR="00966532">
          <w:rPr>
            <w:noProof/>
            <w:webHidden/>
          </w:rPr>
        </w:r>
        <w:r w:rsidR="00966532">
          <w:rPr>
            <w:noProof/>
            <w:webHidden/>
          </w:rPr>
          <w:fldChar w:fldCharType="separate"/>
        </w:r>
        <w:r w:rsidR="00966532">
          <w:rPr>
            <w:noProof/>
            <w:webHidden/>
          </w:rPr>
          <w:t>82</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28" w:history="1">
        <w:r w:rsidR="00966532" w:rsidRPr="009D4978">
          <w:rPr>
            <w:rStyle w:val="Hyperlink"/>
            <w:noProof/>
            <w14:scene3d>
              <w14:camera w14:prst="orthographicFront"/>
              <w14:lightRig w14:rig="threePt" w14:dir="t">
                <w14:rot w14:lat="0" w14:lon="0" w14:rev="0"/>
              </w14:lightRig>
            </w14:scene3d>
          </w:rPr>
          <w:t>6.3.3</w:t>
        </w:r>
        <w:r w:rsidR="00966532">
          <w:rPr>
            <w:rFonts w:asciiTheme="minorHAnsi" w:eastAsiaTheme="minorEastAsia" w:hAnsiTheme="minorHAnsi" w:cstheme="minorBidi"/>
            <w:noProof/>
            <w:szCs w:val="22"/>
          </w:rPr>
          <w:tab/>
        </w:r>
        <w:r w:rsidR="00966532" w:rsidRPr="009D4978">
          <w:rPr>
            <w:rStyle w:val="Hyperlink"/>
            <w:noProof/>
          </w:rPr>
          <w:t>Confined Renmark Group Aquifer</w:t>
        </w:r>
        <w:r w:rsidR="00966532">
          <w:rPr>
            <w:noProof/>
            <w:webHidden/>
          </w:rPr>
          <w:tab/>
        </w:r>
        <w:r w:rsidR="00966532">
          <w:rPr>
            <w:noProof/>
            <w:webHidden/>
          </w:rPr>
          <w:fldChar w:fldCharType="begin"/>
        </w:r>
        <w:r w:rsidR="00966532">
          <w:rPr>
            <w:noProof/>
            <w:webHidden/>
          </w:rPr>
          <w:instrText xml:space="preserve"> PAGEREF _Toc390690128 \h </w:instrText>
        </w:r>
        <w:r w:rsidR="00966532">
          <w:rPr>
            <w:noProof/>
            <w:webHidden/>
          </w:rPr>
        </w:r>
        <w:r w:rsidR="00966532">
          <w:rPr>
            <w:noProof/>
            <w:webHidden/>
          </w:rPr>
          <w:fldChar w:fldCharType="separate"/>
        </w:r>
        <w:r w:rsidR="00966532">
          <w:rPr>
            <w:noProof/>
            <w:webHidden/>
          </w:rPr>
          <w:t>84</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29" w:history="1">
        <w:r w:rsidR="00966532" w:rsidRPr="009D4978">
          <w:rPr>
            <w:rStyle w:val="Hyperlink"/>
            <w:noProof/>
            <w14:scene3d>
              <w14:camera w14:prst="orthographicFront"/>
              <w14:lightRig w14:rig="threePt" w14:dir="t">
                <w14:rot w14:lat="0" w14:lon="0" w14:rev="0"/>
              </w14:lightRig>
            </w14:scene3d>
          </w:rPr>
          <w:t>6.3.4</w:t>
        </w:r>
        <w:r w:rsidR="00966532">
          <w:rPr>
            <w:rFonts w:asciiTheme="minorHAnsi" w:eastAsiaTheme="minorEastAsia" w:hAnsiTheme="minorHAnsi" w:cstheme="minorBidi"/>
            <w:noProof/>
            <w:szCs w:val="22"/>
          </w:rPr>
          <w:tab/>
        </w:r>
        <w:r w:rsidR="00966532" w:rsidRPr="009D4978">
          <w:rPr>
            <w:rStyle w:val="Hyperlink"/>
            <w:noProof/>
          </w:rPr>
          <w:t>General Hydrographic Trends</w:t>
        </w:r>
        <w:r w:rsidR="00966532">
          <w:rPr>
            <w:noProof/>
            <w:webHidden/>
          </w:rPr>
          <w:tab/>
        </w:r>
        <w:r w:rsidR="00966532">
          <w:rPr>
            <w:noProof/>
            <w:webHidden/>
          </w:rPr>
          <w:fldChar w:fldCharType="begin"/>
        </w:r>
        <w:r w:rsidR="00966532">
          <w:rPr>
            <w:noProof/>
            <w:webHidden/>
          </w:rPr>
          <w:instrText xml:space="preserve"> PAGEREF _Toc390690129 \h </w:instrText>
        </w:r>
        <w:r w:rsidR="00966532">
          <w:rPr>
            <w:noProof/>
            <w:webHidden/>
          </w:rPr>
        </w:r>
        <w:r w:rsidR="00966532">
          <w:rPr>
            <w:noProof/>
            <w:webHidden/>
          </w:rPr>
          <w:fldChar w:fldCharType="separate"/>
        </w:r>
        <w:r w:rsidR="00966532">
          <w:rPr>
            <w:noProof/>
            <w:webHidden/>
          </w:rPr>
          <w:t>84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30" w:history="1">
        <w:r w:rsidR="00966532" w:rsidRPr="009D4978">
          <w:rPr>
            <w:rStyle w:val="Hyperlink"/>
            <w:noProof/>
          </w:rPr>
          <w:t>6.4</w:t>
        </w:r>
        <w:r w:rsidR="00966532">
          <w:rPr>
            <w:rFonts w:asciiTheme="minorHAnsi" w:eastAsiaTheme="minorEastAsia" w:hAnsiTheme="minorHAnsi" w:cstheme="minorBidi"/>
            <w:noProof/>
          </w:rPr>
          <w:tab/>
        </w:r>
        <w:r w:rsidR="00966532" w:rsidRPr="009D4978">
          <w:rPr>
            <w:rStyle w:val="Hyperlink"/>
            <w:noProof/>
          </w:rPr>
          <w:t>Hydrochemistry</w:t>
        </w:r>
        <w:r w:rsidR="00966532">
          <w:rPr>
            <w:noProof/>
            <w:webHidden/>
          </w:rPr>
          <w:tab/>
        </w:r>
        <w:r w:rsidR="00966532">
          <w:rPr>
            <w:noProof/>
            <w:webHidden/>
          </w:rPr>
          <w:fldChar w:fldCharType="begin"/>
        </w:r>
        <w:r w:rsidR="00966532">
          <w:rPr>
            <w:noProof/>
            <w:webHidden/>
          </w:rPr>
          <w:instrText xml:space="preserve"> PAGEREF _Toc390690130 \h </w:instrText>
        </w:r>
        <w:r w:rsidR="00966532">
          <w:rPr>
            <w:noProof/>
            <w:webHidden/>
          </w:rPr>
        </w:r>
        <w:r w:rsidR="00966532">
          <w:rPr>
            <w:noProof/>
            <w:webHidden/>
          </w:rPr>
          <w:fldChar w:fldCharType="separate"/>
        </w:r>
        <w:r w:rsidR="00966532">
          <w:rPr>
            <w:noProof/>
            <w:webHidden/>
          </w:rPr>
          <w:t>85</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31" w:history="1">
        <w:r w:rsidR="00966532" w:rsidRPr="009D4978">
          <w:rPr>
            <w:rStyle w:val="Hyperlink"/>
            <w:noProof/>
            <w14:scene3d>
              <w14:camera w14:prst="orthographicFront"/>
              <w14:lightRig w14:rig="threePt" w14:dir="t">
                <w14:rot w14:lat="0" w14:lon="0" w14:rev="0"/>
              </w14:lightRig>
            </w14:scene3d>
          </w:rPr>
          <w:t>6.4.1</w:t>
        </w:r>
        <w:r w:rsidR="00966532">
          <w:rPr>
            <w:rFonts w:asciiTheme="minorHAnsi" w:eastAsiaTheme="minorEastAsia" w:hAnsiTheme="minorHAnsi" w:cstheme="minorBidi"/>
            <w:noProof/>
            <w:szCs w:val="22"/>
          </w:rPr>
          <w:tab/>
        </w:r>
        <w:r w:rsidR="00966532" w:rsidRPr="009D4978">
          <w:rPr>
            <w:rStyle w:val="Hyperlink"/>
            <w:noProof/>
          </w:rPr>
          <w:t>Major Ion Chemistry</w:t>
        </w:r>
        <w:r w:rsidR="00966532">
          <w:rPr>
            <w:noProof/>
            <w:webHidden/>
          </w:rPr>
          <w:tab/>
        </w:r>
        <w:r w:rsidR="00966532">
          <w:rPr>
            <w:noProof/>
            <w:webHidden/>
          </w:rPr>
          <w:fldChar w:fldCharType="begin"/>
        </w:r>
        <w:r w:rsidR="00966532">
          <w:rPr>
            <w:noProof/>
            <w:webHidden/>
          </w:rPr>
          <w:instrText xml:space="preserve"> PAGEREF _Toc390690131 \h </w:instrText>
        </w:r>
        <w:r w:rsidR="00966532">
          <w:rPr>
            <w:noProof/>
            <w:webHidden/>
          </w:rPr>
        </w:r>
        <w:r w:rsidR="00966532">
          <w:rPr>
            <w:noProof/>
            <w:webHidden/>
          </w:rPr>
          <w:fldChar w:fldCharType="separate"/>
        </w:r>
        <w:r w:rsidR="00966532">
          <w:rPr>
            <w:noProof/>
            <w:webHidden/>
          </w:rPr>
          <w:t>86</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32" w:history="1">
        <w:r w:rsidR="00966532" w:rsidRPr="009D4978">
          <w:rPr>
            <w:rStyle w:val="Hyperlink"/>
            <w:noProof/>
            <w14:scene3d>
              <w14:camera w14:prst="orthographicFront"/>
              <w14:lightRig w14:rig="threePt" w14:dir="t">
                <w14:rot w14:lat="0" w14:lon="0" w14:rev="0"/>
              </w14:lightRig>
            </w14:scene3d>
          </w:rPr>
          <w:t>6.4.2</w:t>
        </w:r>
        <w:r w:rsidR="00966532">
          <w:rPr>
            <w:rFonts w:asciiTheme="minorHAnsi" w:eastAsiaTheme="minorEastAsia" w:hAnsiTheme="minorHAnsi" w:cstheme="minorBidi"/>
            <w:noProof/>
            <w:szCs w:val="22"/>
          </w:rPr>
          <w:tab/>
        </w:r>
        <w:r w:rsidR="00966532" w:rsidRPr="009D4978">
          <w:rPr>
            <w:rStyle w:val="Hyperlink"/>
            <w:noProof/>
          </w:rPr>
          <w:t>Fuzzy k-means Analysis</w:t>
        </w:r>
        <w:r w:rsidR="00966532">
          <w:rPr>
            <w:noProof/>
            <w:webHidden/>
          </w:rPr>
          <w:tab/>
        </w:r>
        <w:r w:rsidR="00966532">
          <w:rPr>
            <w:noProof/>
            <w:webHidden/>
          </w:rPr>
          <w:fldChar w:fldCharType="begin"/>
        </w:r>
        <w:r w:rsidR="00966532">
          <w:rPr>
            <w:noProof/>
            <w:webHidden/>
          </w:rPr>
          <w:instrText xml:space="preserve"> PAGEREF _Toc390690132 \h </w:instrText>
        </w:r>
        <w:r w:rsidR="00966532">
          <w:rPr>
            <w:noProof/>
            <w:webHidden/>
          </w:rPr>
        </w:r>
        <w:r w:rsidR="00966532">
          <w:rPr>
            <w:noProof/>
            <w:webHidden/>
          </w:rPr>
          <w:fldChar w:fldCharType="separate"/>
        </w:r>
        <w:r w:rsidR="00966532">
          <w:rPr>
            <w:noProof/>
            <w:webHidden/>
          </w:rPr>
          <w:t>88</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33" w:history="1">
        <w:r w:rsidR="00966532" w:rsidRPr="009D4978">
          <w:rPr>
            <w:rStyle w:val="Hyperlink"/>
            <w:noProof/>
            <w14:scene3d>
              <w14:camera w14:prst="orthographicFront"/>
              <w14:lightRig w14:rig="threePt" w14:dir="t">
                <w14:rot w14:lat="0" w14:lon="0" w14:rev="0"/>
              </w14:lightRig>
            </w14:scene3d>
          </w:rPr>
          <w:t>6.4.3</w:t>
        </w:r>
        <w:r w:rsidR="00966532">
          <w:rPr>
            <w:rFonts w:asciiTheme="minorHAnsi" w:eastAsiaTheme="minorEastAsia" w:hAnsiTheme="minorHAnsi" w:cstheme="minorBidi"/>
            <w:noProof/>
            <w:szCs w:val="22"/>
          </w:rPr>
          <w:tab/>
        </w:r>
        <w:r w:rsidR="00966532" w:rsidRPr="009D4978">
          <w:rPr>
            <w:rStyle w:val="Hyperlink"/>
            <w:noProof/>
          </w:rPr>
          <w:t>Stable Isotope Analysis</w:t>
        </w:r>
        <w:r w:rsidR="00966532">
          <w:rPr>
            <w:noProof/>
            <w:webHidden/>
          </w:rPr>
          <w:tab/>
        </w:r>
        <w:r w:rsidR="00966532">
          <w:rPr>
            <w:noProof/>
            <w:webHidden/>
          </w:rPr>
          <w:fldChar w:fldCharType="begin"/>
        </w:r>
        <w:r w:rsidR="00966532">
          <w:rPr>
            <w:noProof/>
            <w:webHidden/>
          </w:rPr>
          <w:instrText xml:space="preserve"> PAGEREF _Toc390690133 \h </w:instrText>
        </w:r>
        <w:r w:rsidR="00966532">
          <w:rPr>
            <w:noProof/>
            <w:webHidden/>
          </w:rPr>
        </w:r>
        <w:r w:rsidR="00966532">
          <w:rPr>
            <w:noProof/>
            <w:webHidden/>
          </w:rPr>
          <w:fldChar w:fldCharType="separate"/>
        </w:r>
        <w:r w:rsidR="00966532">
          <w:rPr>
            <w:noProof/>
            <w:webHidden/>
          </w:rPr>
          <w:t>90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34" w:history="1">
        <w:r w:rsidR="00966532" w:rsidRPr="009D4978">
          <w:rPr>
            <w:rStyle w:val="Hyperlink"/>
            <w:noProof/>
            <w14:scene3d>
              <w14:camera w14:prst="orthographicFront"/>
              <w14:lightRig w14:rig="threePt" w14:dir="t">
                <w14:rot w14:lat="0" w14:lon="0" w14:rev="0"/>
              </w14:lightRig>
            </w14:scene3d>
          </w:rPr>
          <w:t>6.4.4</w:t>
        </w:r>
        <w:r w:rsidR="00966532">
          <w:rPr>
            <w:rFonts w:asciiTheme="minorHAnsi" w:eastAsiaTheme="minorEastAsia" w:hAnsiTheme="minorHAnsi" w:cstheme="minorBidi"/>
            <w:noProof/>
            <w:szCs w:val="22"/>
          </w:rPr>
          <w:tab/>
        </w:r>
        <w:r w:rsidR="00966532" w:rsidRPr="009D4978">
          <w:rPr>
            <w:rStyle w:val="Hyperlink"/>
            <w:noProof/>
          </w:rPr>
          <w:t>Radiocarbon Analysis</w:t>
        </w:r>
        <w:r w:rsidR="00966532">
          <w:rPr>
            <w:noProof/>
            <w:webHidden/>
          </w:rPr>
          <w:tab/>
        </w:r>
        <w:r w:rsidR="00966532">
          <w:rPr>
            <w:noProof/>
            <w:webHidden/>
          </w:rPr>
          <w:fldChar w:fldCharType="begin"/>
        </w:r>
        <w:r w:rsidR="00966532">
          <w:rPr>
            <w:noProof/>
            <w:webHidden/>
          </w:rPr>
          <w:instrText xml:space="preserve"> PAGEREF _Toc390690134 \h </w:instrText>
        </w:r>
        <w:r w:rsidR="00966532">
          <w:rPr>
            <w:noProof/>
            <w:webHidden/>
          </w:rPr>
        </w:r>
        <w:r w:rsidR="00966532">
          <w:rPr>
            <w:noProof/>
            <w:webHidden/>
          </w:rPr>
          <w:fldChar w:fldCharType="separate"/>
        </w:r>
        <w:r w:rsidR="00966532">
          <w:rPr>
            <w:noProof/>
            <w:webHidden/>
          </w:rPr>
          <w:t>91</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35" w:history="1">
        <w:r w:rsidR="00966532" w:rsidRPr="009D4978">
          <w:rPr>
            <w:rStyle w:val="Hyperlink"/>
            <w:noProof/>
          </w:rPr>
          <w:t>6.5</w:t>
        </w:r>
        <w:r w:rsidR="00966532">
          <w:rPr>
            <w:rFonts w:asciiTheme="minorHAnsi" w:eastAsiaTheme="minorEastAsia" w:hAnsiTheme="minorHAnsi" w:cstheme="minorBidi"/>
            <w:noProof/>
          </w:rPr>
          <w:tab/>
        </w:r>
        <w:r w:rsidR="00966532" w:rsidRPr="009D4978">
          <w:rPr>
            <w:rStyle w:val="Hyperlink"/>
            <w:noProof/>
          </w:rPr>
          <w:t>New Hydrogeological Conceptual Model</w:t>
        </w:r>
        <w:r w:rsidR="00966532">
          <w:rPr>
            <w:noProof/>
            <w:webHidden/>
          </w:rPr>
          <w:tab/>
        </w:r>
        <w:r w:rsidR="00966532">
          <w:rPr>
            <w:noProof/>
            <w:webHidden/>
          </w:rPr>
          <w:fldChar w:fldCharType="begin"/>
        </w:r>
        <w:r w:rsidR="00966532">
          <w:rPr>
            <w:noProof/>
            <w:webHidden/>
          </w:rPr>
          <w:instrText xml:space="preserve"> PAGEREF _Toc390690135 \h </w:instrText>
        </w:r>
        <w:r w:rsidR="00966532">
          <w:rPr>
            <w:noProof/>
            <w:webHidden/>
          </w:rPr>
        </w:r>
        <w:r w:rsidR="00966532">
          <w:rPr>
            <w:noProof/>
            <w:webHidden/>
          </w:rPr>
          <w:fldChar w:fldCharType="separate"/>
        </w:r>
        <w:r w:rsidR="00966532">
          <w:rPr>
            <w:noProof/>
            <w:webHidden/>
          </w:rPr>
          <w:t>94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36" w:history="1">
        <w:r w:rsidR="00966532" w:rsidRPr="009D4978">
          <w:rPr>
            <w:rStyle w:val="Hyperlink"/>
            <w:noProof/>
          </w:rPr>
          <w:t>6.6</w:t>
        </w:r>
        <w:r w:rsidR="00966532">
          <w:rPr>
            <w:rFonts w:asciiTheme="minorHAnsi" w:eastAsiaTheme="minorEastAsia" w:hAnsiTheme="minorHAnsi" w:cstheme="minorBidi"/>
            <w:noProof/>
          </w:rPr>
          <w:tab/>
        </w:r>
        <w:r w:rsidR="00966532" w:rsidRPr="009D4978">
          <w:rPr>
            <w:rStyle w:val="Hyperlink"/>
            <w:noProof/>
          </w:rPr>
          <w:t>Recharge Estimation</w:t>
        </w:r>
        <w:r w:rsidR="00966532">
          <w:rPr>
            <w:noProof/>
            <w:webHidden/>
          </w:rPr>
          <w:tab/>
        </w:r>
        <w:r w:rsidR="00966532">
          <w:rPr>
            <w:noProof/>
            <w:webHidden/>
          </w:rPr>
          <w:fldChar w:fldCharType="begin"/>
        </w:r>
        <w:r w:rsidR="00966532">
          <w:rPr>
            <w:noProof/>
            <w:webHidden/>
          </w:rPr>
          <w:instrText xml:space="preserve"> PAGEREF _Toc390690136 \h </w:instrText>
        </w:r>
        <w:r w:rsidR="00966532">
          <w:rPr>
            <w:noProof/>
            <w:webHidden/>
          </w:rPr>
        </w:r>
        <w:r w:rsidR="00966532">
          <w:rPr>
            <w:noProof/>
            <w:webHidden/>
          </w:rPr>
          <w:fldChar w:fldCharType="separate"/>
        </w:r>
        <w:r w:rsidR="00966532">
          <w:rPr>
            <w:noProof/>
            <w:webHidden/>
          </w:rPr>
          <w:t>96</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37" w:history="1">
        <w:r w:rsidR="00966532" w:rsidRPr="009D4978">
          <w:rPr>
            <w:rStyle w:val="Hyperlink"/>
            <w:noProof/>
            <w14:scene3d>
              <w14:camera w14:prst="orthographicFront"/>
              <w14:lightRig w14:rig="threePt" w14:dir="t">
                <w14:rot w14:lat="0" w14:lon="0" w14:rev="0"/>
              </w14:lightRig>
            </w14:scene3d>
          </w:rPr>
          <w:t>6.6.1</w:t>
        </w:r>
        <w:r w:rsidR="00966532">
          <w:rPr>
            <w:rFonts w:asciiTheme="minorHAnsi" w:eastAsiaTheme="minorEastAsia" w:hAnsiTheme="minorHAnsi" w:cstheme="minorBidi"/>
            <w:noProof/>
            <w:szCs w:val="22"/>
          </w:rPr>
          <w:tab/>
        </w:r>
        <w:r w:rsidR="00966532" w:rsidRPr="009D4978">
          <w:rPr>
            <w:rStyle w:val="Hyperlink"/>
            <w:noProof/>
          </w:rPr>
          <w:t>Palaeo-recharge</w:t>
        </w:r>
        <w:r w:rsidR="00966532">
          <w:rPr>
            <w:noProof/>
            <w:webHidden/>
          </w:rPr>
          <w:tab/>
        </w:r>
        <w:r w:rsidR="00966532">
          <w:rPr>
            <w:noProof/>
            <w:webHidden/>
          </w:rPr>
          <w:fldChar w:fldCharType="begin"/>
        </w:r>
        <w:r w:rsidR="00966532">
          <w:rPr>
            <w:noProof/>
            <w:webHidden/>
          </w:rPr>
          <w:instrText xml:space="preserve"> PAGEREF _Toc390690137 \h </w:instrText>
        </w:r>
        <w:r w:rsidR="00966532">
          <w:rPr>
            <w:noProof/>
            <w:webHidden/>
          </w:rPr>
        </w:r>
        <w:r w:rsidR="00966532">
          <w:rPr>
            <w:noProof/>
            <w:webHidden/>
          </w:rPr>
          <w:fldChar w:fldCharType="separate"/>
        </w:r>
        <w:r w:rsidR="00966532">
          <w:rPr>
            <w:noProof/>
            <w:webHidden/>
          </w:rPr>
          <w:t>100</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38" w:history="1">
        <w:r w:rsidR="00966532" w:rsidRPr="009D4978">
          <w:rPr>
            <w:rStyle w:val="Hyperlink"/>
            <w:noProof/>
          </w:rPr>
          <w:t>7.</w:t>
        </w:r>
        <w:r w:rsidR="00966532">
          <w:rPr>
            <w:rFonts w:asciiTheme="minorHAnsi" w:eastAsiaTheme="minorEastAsia" w:hAnsiTheme="minorHAnsi" w:cstheme="minorBidi"/>
            <w:noProof/>
          </w:rPr>
          <w:tab/>
        </w:r>
        <w:r w:rsidR="00966532" w:rsidRPr="009D4978">
          <w:rPr>
            <w:rStyle w:val="Hyperlink"/>
            <w:noProof/>
          </w:rPr>
          <w:t>A Conjunctive Approach to Water Management at the MLS</w:t>
        </w:r>
        <w:r w:rsidR="00966532">
          <w:rPr>
            <w:noProof/>
            <w:webHidden/>
          </w:rPr>
          <w:tab/>
        </w:r>
        <w:r w:rsidR="00966532">
          <w:rPr>
            <w:noProof/>
            <w:webHidden/>
          </w:rPr>
          <w:fldChar w:fldCharType="begin"/>
        </w:r>
        <w:r w:rsidR="00966532">
          <w:rPr>
            <w:noProof/>
            <w:webHidden/>
          </w:rPr>
          <w:instrText xml:space="preserve"> PAGEREF _Toc390690138 \h </w:instrText>
        </w:r>
        <w:r w:rsidR="00966532">
          <w:rPr>
            <w:noProof/>
            <w:webHidden/>
          </w:rPr>
        </w:r>
        <w:r w:rsidR="00966532">
          <w:rPr>
            <w:noProof/>
            <w:webHidden/>
          </w:rPr>
          <w:fldChar w:fldCharType="separate"/>
        </w:r>
        <w:r w:rsidR="00966532">
          <w:rPr>
            <w:noProof/>
            <w:webHidden/>
          </w:rPr>
          <w:t>102</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39" w:history="1">
        <w:r w:rsidR="00966532" w:rsidRPr="009D4978">
          <w:rPr>
            <w:rStyle w:val="Hyperlink"/>
            <w:noProof/>
          </w:rPr>
          <w:t>7.1</w:t>
        </w:r>
        <w:r w:rsidR="00966532">
          <w:rPr>
            <w:rFonts w:asciiTheme="minorHAnsi" w:eastAsiaTheme="minorEastAsia" w:hAnsiTheme="minorHAnsi" w:cstheme="minorBidi"/>
            <w:noProof/>
          </w:rPr>
          <w:tab/>
        </w:r>
        <w:r w:rsidR="00966532" w:rsidRPr="009D4978">
          <w:rPr>
            <w:rStyle w:val="Hyperlink"/>
            <w:noProof/>
          </w:rPr>
          <w:t>Conjunctive Water Management at MLS Involving Groundwater Extraction</w:t>
        </w:r>
        <w:r w:rsidR="00966532">
          <w:rPr>
            <w:noProof/>
            <w:webHidden/>
          </w:rPr>
          <w:tab/>
        </w:r>
        <w:r w:rsidR="00966532">
          <w:rPr>
            <w:noProof/>
            <w:webHidden/>
          </w:rPr>
          <w:fldChar w:fldCharType="begin"/>
        </w:r>
        <w:r w:rsidR="00966532">
          <w:rPr>
            <w:noProof/>
            <w:webHidden/>
          </w:rPr>
          <w:instrText xml:space="preserve"> PAGEREF _Toc390690139 \h </w:instrText>
        </w:r>
        <w:r w:rsidR="00966532">
          <w:rPr>
            <w:noProof/>
            <w:webHidden/>
          </w:rPr>
        </w:r>
        <w:r w:rsidR="00966532">
          <w:rPr>
            <w:noProof/>
            <w:webHidden/>
          </w:rPr>
          <w:fldChar w:fldCharType="separate"/>
        </w:r>
        <w:r w:rsidR="00966532">
          <w:rPr>
            <w:noProof/>
            <w:webHidden/>
          </w:rPr>
          <w:t>102</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40" w:history="1">
        <w:r w:rsidR="00966532" w:rsidRPr="009D4978">
          <w:rPr>
            <w:rStyle w:val="Hyperlink"/>
            <w:noProof/>
          </w:rPr>
          <w:t>7.2</w:t>
        </w:r>
        <w:r w:rsidR="00966532">
          <w:rPr>
            <w:rFonts w:asciiTheme="minorHAnsi" w:eastAsiaTheme="minorEastAsia" w:hAnsiTheme="minorHAnsi" w:cstheme="minorBidi"/>
            <w:noProof/>
          </w:rPr>
          <w:tab/>
        </w:r>
        <w:r w:rsidR="00966532" w:rsidRPr="009D4978">
          <w:rPr>
            <w:rStyle w:val="Hyperlink"/>
            <w:noProof/>
          </w:rPr>
          <w:t>Conjunctive Water Management Involving MAR</w:t>
        </w:r>
        <w:r w:rsidR="00966532">
          <w:rPr>
            <w:noProof/>
            <w:webHidden/>
          </w:rPr>
          <w:tab/>
        </w:r>
        <w:r w:rsidR="00966532">
          <w:rPr>
            <w:noProof/>
            <w:webHidden/>
          </w:rPr>
          <w:fldChar w:fldCharType="begin"/>
        </w:r>
        <w:r w:rsidR="00966532">
          <w:rPr>
            <w:noProof/>
            <w:webHidden/>
          </w:rPr>
          <w:instrText xml:space="preserve"> PAGEREF _Toc390690140 \h </w:instrText>
        </w:r>
        <w:r w:rsidR="00966532">
          <w:rPr>
            <w:noProof/>
            <w:webHidden/>
          </w:rPr>
        </w:r>
        <w:r w:rsidR="00966532">
          <w:rPr>
            <w:noProof/>
            <w:webHidden/>
          </w:rPr>
          <w:fldChar w:fldCharType="separate"/>
        </w:r>
        <w:r w:rsidR="00966532">
          <w:rPr>
            <w:noProof/>
            <w:webHidden/>
          </w:rPr>
          <w:t>103</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41" w:history="1">
        <w:r w:rsidR="00966532" w:rsidRPr="009D4978">
          <w:rPr>
            <w:rStyle w:val="Hyperlink"/>
            <w:noProof/>
          </w:rPr>
          <w:t>7.3</w:t>
        </w:r>
        <w:r w:rsidR="00966532">
          <w:rPr>
            <w:rFonts w:asciiTheme="minorHAnsi" w:eastAsiaTheme="minorEastAsia" w:hAnsiTheme="minorHAnsi" w:cstheme="minorBidi"/>
            <w:noProof/>
          </w:rPr>
          <w:tab/>
        </w:r>
        <w:r w:rsidR="00966532" w:rsidRPr="009D4978">
          <w:rPr>
            <w:rStyle w:val="Hyperlink"/>
            <w:noProof/>
          </w:rPr>
          <w:t>Water Quality Benefits from a Conjunctive Approach</w:t>
        </w:r>
        <w:r w:rsidR="00966532">
          <w:rPr>
            <w:noProof/>
            <w:webHidden/>
          </w:rPr>
          <w:tab/>
        </w:r>
        <w:r w:rsidR="00966532">
          <w:rPr>
            <w:noProof/>
            <w:webHidden/>
          </w:rPr>
          <w:fldChar w:fldCharType="begin"/>
        </w:r>
        <w:r w:rsidR="00966532">
          <w:rPr>
            <w:noProof/>
            <w:webHidden/>
          </w:rPr>
          <w:instrText xml:space="preserve"> PAGEREF _Toc390690141 \h </w:instrText>
        </w:r>
        <w:r w:rsidR="00966532">
          <w:rPr>
            <w:noProof/>
            <w:webHidden/>
          </w:rPr>
        </w:r>
        <w:r w:rsidR="00966532">
          <w:rPr>
            <w:noProof/>
            <w:webHidden/>
          </w:rPr>
          <w:fldChar w:fldCharType="separate"/>
        </w:r>
        <w:r w:rsidR="00966532">
          <w:rPr>
            <w:noProof/>
            <w:webHidden/>
          </w:rPr>
          <w:t>107</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42" w:history="1">
        <w:r w:rsidR="00966532" w:rsidRPr="009D4978">
          <w:rPr>
            <w:rStyle w:val="Hyperlink"/>
            <w:noProof/>
          </w:rPr>
          <w:t>8.</w:t>
        </w:r>
        <w:r w:rsidR="00966532">
          <w:rPr>
            <w:rFonts w:asciiTheme="minorHAnsi" w:eastAsiaTheme="minorEastAsia" w:hAnsiTheme="minorHAnsi" w:cstheme="minorBidi"/>
            <w:noProof/>
          </w:rPr>
          <w:tab/>
        </w:r>
        <w:r w:rsidR="00966532" w:rsidRPr="009D4978">
          <w:rPr>
            <w:rStyle w:val="Hyperlink"/>
            <w:noProof/>
          </w:rPr>
          <w:t>MAR and Groundwater Extraction Options at the Priority Jimargil Site</w:t>
        </w:r>
        <w:r w:rsidR="00966532">
          <w:rPr>
            <w:noProof/>
            <w:webHidden/>
          </w:rPr>
          <w:tab/>
        </w:r>
        <w:r w:rsidR="00966532">
          <w:rPr>
            <w:noProof/>
            <w:webHidden/>
          </w:rPr>
          <w:fldChar w:fldCharType="begin"/>
        </w:r>
        <w:r w:rsidR="00966532">
          <w:rPr>
            <w:noProof/>
            <w:webHidden/>
          </w:rPr>
          <w:instrText xml:space="preserve"> PAGEREF _Toc390690142 \h </w:instrText>
        </w:r>
        <w:r w:rsidR="00966532">
          <w:rPr>
            <w:noProof/>
            <w:webHidden/>
          </w:rPr>
        </w:r>
        <w:r w:rsidR="00966532">
          <w:rPr>
            <w:noProof/>
            <w:webHidden/>
          </w:rPr>
          <w:fldChar w:fldCharType="separate"/>
        </w:r>
        <w:r w:rsidR="00966532">
          <w:rPr>
            <w:noProof/>
            <w:webHidden/>
          </w:rPr>
          <w:t>110</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43" w:history="1">
        <w:r w:rsidR="00966532" w:rsidRPr="009D4978">
          <w:rPr>
            <w:rStyle w:val="Hyperlink"/>
            <w:noProof/>
          </w:rPr>
          <w:t>8.1</w:t>
        </w:r>
        <w:r w:rsidR="00966532">
          <w:rPr>
            <w:rFonts w:asciiTheme="minorHAnsi" w:eastAsiaTheme="minorEastAsia" w:hAnsiTheme="minorHAnsi" w:cstheme="minorBidi"/>
            <w:noProof/>
          </w:rPr>
          <w:tab/>
        </w:r>
        <w:r w:rsidR="00966532" w:rsidRPr="009D4978">
          <w:rPr>
            <w:rStyle w:val="Hyperlink"/>
            <w:noProof/>
          </w:rPr>
          <w:t>Jimargil Site Characterisation</w:t>
        </w:r>
        <w:r w:rsidR="00966532">
          <w:rPr>
            <w:noProof/>
            <w:webHidden/>
          </w:rPr>
          <w:tab/>
        </w:r>
        <w:r w:rsidR="00966532">
          <w:rPr>
            <w:noProof/>
            <w:webHidden/>
          </w:rPr>
          <w:fldChar w:fldCharType="begin"/>
        </w:r>
        <w:r w:rsidR="00966532">
          <w:rPr>
            <w:noProof/>
            <w:webHidden/>
          </w:rPr>
          <w:instrText xml:space="preserve"> PAGEREF _Toc390690143 \h </w:instrText>
        </w:r>
        <w:r w:rsidR="00966532">
          <w:rPr>
            <w:noProof/>
            <w:webHidden/>
          </w:rPr>
        </w:r>
        <w:r w:rsidR="00966532">
          <w:rPr>
            <w:noProof/>
            <w:webHidden/>
          </w:rPr>
          <w:fldChar w:fldCharType="separate"/>
        </w:r>
        <w:r w:rsidR="00966532">
          <w:rPr>
            <w:noProof/>
            <w:webHidden/>
          </w:rPr>
          <w:t>110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44" w:history="1">
        <w:r w:rsidR="00966532" w:rsidRPr="009D4978">
          <w:rPr>
            <w:rStyle w:val="Hyperlink"/>
            <w:noProof/>
            <w14:scene3d>
              <w14:camera w14:prst="orthographicFront"/>
              <w14:lightRig w14:rig="threePt" w14:dir="t">
                <w14:rot w14:lat="0" w14:lon="0" w14:rev="0"/>
              </w14:lightRig>
            </w14:scene3d>
          </w:rPr>
          <w:t>8.1.1</w:t>
        </w:r>
        <w:r w:rsidR="00966532">
          <w:rPr>
            <w:rFonts w:asciiTheme="minorHAnsi" w:eastAsiaTheme="minorEastAsia" w:hAnsiTheme="minorHAnsi" w:cstheme="minorBidi"/>
            <w:noProof/>
            <w:szCs w:val="22"/>
          </w:rPr>
          <w:tab/>
        </w:r>
        <w:r w:rsidR="00966532" w:rsidRPr="009D4978">
          <w:rPr>
            <w:rStyle w:val="Hyperlink"/>
            <w:noProof/>
          </w:rPr>
          <w:t>Estimates of Hydraulic Conductivity/Transmissivity and Storativity</w:t>
        </w:r>
        <w:r w:rsidR="00966532">
          <w:rPr>
            <w:noProof/>
            <w:webHidden/>
          </w:rPr>
          <w:tab/>
        </w:r>
        <w:r w:rsidR="00966532">
          <w:rPr>
            <w:noProof/>
            <w:webHidden/>
          </w:rPr>
          <w:fldChar w:fldCharType="begin"/>
        </w:r>
        <w:r w:rsidR="00966532">
          <w:rPr>
            <w:noProof/>
            <w:webHidden/>
          </w:rPr>
          <w:instrText xml:space="preserve"> PAGEREF _Toc390690144 \h </w:instrText>
        </w:r>
        <w:r w:rsidR="00966532">
          <w:rPr>
            <w:noProof/>
            <w:webHidden/>
          </w:rPr>
        </w:r>
        <w:r w:rsidR="00966532">
          <w:rPr>
            <w:noProof/>
            <w:webHidden/>
          </w:rPr>
          <w:fldChar w:fldCharType="separate"/>
        </w:r>
        <w:r w:rsidR="00966532">
          <w:rPr>
            <w:noProof/>
            <w:webHidden/>
          </w:rPr>
          <w:t>132</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45" w:history="1">
        <w:r w:rsidR="00966532" w:rsidRPr="009D4978">
          <w:rPr>
            <w:rStyle w:val="Hyperlink"/>
            <w:noProof/>
            <w14:scene3d>
              <w14:camera w14:prst="orthographicFront"/>
              <w14:lightRig w14:rig="threePt" w14:dir="t">
                <w14:rot w14:lat="0" w14:lon="0" w14:rev="0"/>
              </w14:lightRig>
            </w14:scene3d>
          </w:rPr>
          <w:t>8.1.2</w:t>
        </w:r>
        <w:r w:rsidR="00966532">
          <w:rPr>
            <w:rFonts w:asciiTheme="minorHAnsi" w:eastAsiaTheme="minorEastAsia" w:hAnsiTheme="minorHAnsi" w:cstheme="minorBidi"/>
            <w:noProof/>
            <w:szCs w:val="22"/>
          </w:rPr>
          <w:tab/>
        </w:r>
        <w:r w:rsidR="00966532" w:rsidRPr="009D4978">
          <w:rPr>
            <w:rStyle w:val="Hyperlink"/>
            <w:noProof/>
          </w:rPr>
          <w:t>Groundwater Quality Assessment</w:t>
        </w:r>
        <w:r w:rsidR="00966532">
          <w:rPr>
            <w:noProof/>
            <w:webHidden/>
          </w:rPr>
          <w:tab/>
        </w:r>
        <w:r w:rsidR="00966532">
          <w:rPr>
            <w:noProof/>
            <w:webHidden/>
          </w:rPr>
          <w:fldChar w:fldCharType="begin"/>
        </w:r>
        <w:r w:rsidR="00966532">
          <w:rPr>
            <w:noProof/>
            <w:webHidden/>
          </w:rPr>
          <w:instrText xml:space="preserve"> PAGEREF _Toc390690145 \h </w:instrText>
        </w:r>
        <w:r w:rsidR="00966532">
          <w:rPr>
            <w:noProof/>
            <w:webHidden/>
          </w:rPr>
        </w:r>
        <w:r w:rsidR="00966532">
          <w:rPr>
            <w:noProof/>
            <w:webHidden/>
          </w:rPr>
          <w:fldChar w:fldCharType="separate"/>
        </w:r>
        <w:r w:rsidR="00966532">
          <w:rPr>
            <w:noProof/>
            <w:webHidden/>
          </w:rPr>
          <w:t>136</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46" w:history="1">
        <w:r w:rsidR="00966532" w:rsidRPr="009D4978">
          <w:rPr>
            <w:rStyle w:val="Hyperlink"/>
            <w:noProof/>
          </w:rPr>
          <w:t>8.2</w:t>
        </w:r>
        <w:r w:rsidR="00966532">
          <w:rPr>
            <w:rFonts w:asciiTheme="minorHAnsi" w:eastAsiaTheme="minorEastAsia" w:hAnsiTheme="minorHAnsi" w:cstheme="minorBidi"/>
            <w:noProof/>
          </w:rPr>
          <w:tab/>
        </w:r>
        <w:r w:rsidR="00966532" w:rsidRPr="009D4978">
          <w:rPr>
            <w:rStyle w:val="Hyperlink"/>
            <w:noProof/>
          </w:rPr>
          <w:t>Option 1: Aquifer Storage and Recovery</w:t>
        </w:r>
        <w:r w:rsidR="00966532">
          <w:rPr>
            <w:noProof/>
            <w:webHidden/>
          </w:rPr>
          <w:tab/>
        </w:r>
        <w:r w:rsidR="00966532">
          <w:rPr>
            <w:noProof/>
            <w:webHidden/>
          </w:rPr>
          <w:fldChar w:fldCharType="begin"/>
        </w:r>
        <w:r w:rsidR="00966532">
          <w:rPr>
            <w:noProof/>
            <w:webHidden/>
          </w:rPr>
          <w:instrText xml:space="preserve"> PAGEREF _Toc390690146 \h </w:instrText>
        </w:r>
        <w:r w:rsidR="00966532">
          <w:rPr>
            <w:noProof/>
            <w:webHidden/>
          </w:rPr>
        </w:r>
        <w:r w:rsidR="00966532">
          <w:rPr>
            <w:noProof/>
            <w:webHidden/>
          </w:rPr>
          <w:fldChar w:fldCharType="separate"/>
        </w:r>
        <w:r w:rsidR="00966532">
          <w:rPr>
            <w:noProof/>
            <w:webHidden/>
          </w:rPr>
          <w:t>140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47" w:history="1">
        <w:r w:rsidR="00966532" w:rsidRPr="009D4978">
          <w:rPr>
            <w:rStyle w:val="Hyperlink"/>
            <w:noProof/>
            <w14:scene3d>
              <w14:camera w14:prst="orthographicFront"/>
              <w14:lightRig w14:rig="threePt" w14:dir="t">
                <w14:rot w14:lat="0" w14:lon="0" w14:rev="0"/>
              </w14:lightRig>
            </w14:scene3d>
          </w:rPr>
          <w:t>8.2.1</w:t>
        </w:r>
        <w:r w:rsidR="00966532">
          <w:rPr>
            <w:rFonts w:asciiTheme="minorHAnsi" w:eastAsiaTheme="minorEastAsia" w:hAnsiTheme="minorHAnsi" w:cstheme="minorBidi"/>
            <w:noProof/>
            <w:szCs w:val="22"/>
          </w:rPr>
          <w:tab/>
        </w:r>
        <w:r w:rsidR="00966532" w:rsidRPr="009D4978">
          <w:rPr>
            <w:rStyle w:val="Hyperlink"/>
            <w:noProof/>
          </w:rPr>
          <w:t>Phase 2 Entry Level Viability and Degree of Difficulty Assessments</w:t>
        </w:r>
        <w:r w:rsidR="00966532">
          <w:rPr>
            <w:noProof/>
            <w:webHidden/>
          </w:rPr>
          <w:tab/>
        </w:r>
        <w:r w:rsidR="00966532">
          <w:rPr>
            <w:noProof/>
            <w:webHidden/>
          </w:rPr>
          <w:fldChar w:fldCharType="begin"/>
        </w:r>
        <w:r w:rsidR="00966532">
          <w:rPr>
            <w:noProof/>
            <w:webHidden/>
          </w:rPr>
          <w:instrText xml:space="preserve"> PAGEREF _Toc390690147 \h </w:instrText>
        </w:r>
        <w:r w:rsidR="00966532">
          <w:rPr>
            <w:noProof/>
            <w:webHidden/>
          </w:rPr>
        </w:r>
        <w:r w:rsidR="00966532">
          <w:rPr>
            <w:noProof/>
            <w:webHidden/>
          </w:rPr>
          <w:fldChar w:fldCharType="separate"/>
        </w:r>
        <w:r w:rsidR="00966532">
          <w:rPr>
            <w:noProof/>
            <w:webHidden/>
          </w:rPr>
          <w:t>140</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48" w:history="1">
        <w:r w:rsidR="00966532" w:rsidRPr="009D4978">
          <w:rPr>
            <w:rStyle w:val="Hyperlink"/>
            <w:noProof/>
            <w14:scene3d>
              <w14:camera w14:prst="orthographicFront"/>
              <w14:lightRig w14:rig="threePt" w14:dir="t">
                <w14:rot w14:lat="0" w14:lon="0" w14:rev="0"/>
              </w14:lightRig>
            </w14:scene3d>
          </w:rPr>
          <w:t>8.2.2</w:t>
        </w:r>
        <w:r w:rsidR="00966532">
          <w:rPr>
            <w:rFonts w:asciiTheme="minorHAnsi" w:eastAsiaTheme="minorEastAsia" w:hAnsiTheme="minorHAnsi" w:cstheme="minorBidi"/>
            <w:noProof/>
            <w:szCs w:val="22"/>
          </w:rPr>
          <w:tab/>
        </w:r>
        <w:r w:rsidR="00966532" w:rsidRPr="009D4978">
          <w:rPr>
            <w:rStyle w:val="Hyperlink"/>
            <w:noProof/>
          </w:rPr>
          <w:t>BHMAR Phase 3: Pre-Commissioning Maximal and Residual Risk Assessments for ASR at Jimargil</w:t>
        </w:r>
        <w:r w:rsidR="00966532">
          <w:rPr>
            <w:noProof/>
            <w:webHidden/>
          </w:rPr>
          <w:tab/>
        </w:r>
        <w:r w:rsidR="00966532">
          <w:rPr>
            <w:noProof/>
            <w:webHidden/>
          </w:rPr>
          <w:fldChar w:fldCharType="begin"/>
        </w:r>
        <w:r w:rsidR="00966532">
          <w:rPr>
            <w:noProof/>
            <w:webHidden/>
          </w:rPr>
          <w:instrText xml:space="preserve"> PAGEREF _Toc390690148 \h </w:instrText>
        </w:r>
        <w:r w:rsidR="00966532">
          <w:rPr>
            <w:noProof/>
            <w:webHidden/>
          </w:rPr>
        </w:r>
        <w:r w:rsidR="00966532">
          <w:rPr>
            <w:noProof/>
            <w:webHidden/>
          </w:rPr>
          <w:fldChar w:fldCharType="separate"/>
        </w:r>
        <w:r w:rsidR="00966532">
          <w:rPr>
            <w:noProof/>
            <w:webHidden/>
          </w:rPr>
          <w:t>140</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49" w:history="1">
        <w:r w:rsidR="00966532" w:rsidRPr="009D4978">
          <w:rPr>
            <w:rStyle w:val="Hyperlink"/>
            <w:noProof/>
          </w:rPr>
          <w:t>8.3</w:t>
        </w:r>
        <w:r w:rsidR="00966532">
          <w:rPr>
            <w:rFonts w:asciiTheme="minorHAnsi" w:eastAsiaTheme="minorEastAsia" w:hAnsiTheme="minorHAnsi" w:cstheme="minorBidi"/>
            <w:noProof/>
          </w:rPr>
          <w:tab/>
        </w:r>
        <w:r w:rsidR="00966532" w:rsidRPr="009D4978">
          <w:rPr>
            <w:rStyle w:val="Hyperlink"/>
            <w:noProof/>
          </w:rPr>
          <w:t>Option 2: MAR Involving Bank Filtration and Aquifer Storage and Recovery</w:t>
        </w:r>
        <w:r w:rsidR="00966532">
          <w:rPr>
            <w:noProof/>
            <w:webHidden/>
          </w:rPr>
          <w:tab/>
        </w:r>
        <w:r w:rsidR="00966532">
          <w:rPr>
            <w:noProof/>
            <w:webHidden/>
          </w:rPr>
          <w:fldChar w:fldCharType="begin"/>
        </w:r>
        <w:r w:rsidR="00966532">
          <w:rPr>
            <w:noProof/>
            <w:webHidden/>
          </w:rPr>
          <w:instrText xml:space="preserve"> PAGEREF _Toc390690149 \h </w:instrText>
        </w:r>
        <w:r w:rsidR="00966532">
          <w:rPr>
            <w:noProof/>
            <w:webHidden/>
          </w:rPr>
        </w:r>
        <w:r w:rsidR="00966532">
          <w:rPr>
            <w:noProof/>
            <w:webHidden/>
          </w:rPr>
          <w:fldChar w:fldCharType="separate"/>
        </w:r>
        <w:r w:rsidR="00966532">
          <w:rPr>
            <w:noProof/>
            <w:webHidden/>
          </w:rPr>
          <w:t>150</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50" w:history="1">
        <w:r w:rsidR="00966532" w:rsidRPr="009D4978">
          <w:rPr>
            <w:rStyle w:val="Hyperlink"/>
            <w:noProof/>
          </w:rPr>
          <w:t>8.4</w:t>
        </w:r>
        <w:r w:rsidR="00966532">
          <w:rPr>
            <w:rFonts w:asciiTheme="minorHAnsi" w:eastAsiaTheme="minorEastAsia" w:hAnsiTheme="minorHAnsi" w:cstheme="minorBidi"/>
            <w:noProof/>
          </w:rPr>
          <w:tab/>
        </w:r>
        <w:r w:rsidR="00966532" w:rsidRPr="009D4978">
          <w:rPr>
            <w:rStyle w:val="Hyperlink"/>
            <w:noProof/>
          </w:rPr>
          <w:t>Option 3: Groundwater Resource Extraction-only</w:t>
        </w:r>
        <w:r w:rsidR="00966532">
          <w:rPr>
            <w:noProof/>
            <w:webHidden/>
          </w:rPr>
          <w:tab/>
        </w:r>
        <w:r w:rsidR="00966532">
          <w:rPr>
            <w:noProof/>
            <w:webHidden/>
          </w:rPr>
          <w:fldChar w:fldCharType="begin"/>
        </w:r>
        <w:r w:rsidR="00966532">
          <w:rPr>
            <w:noProof/>
            <w:webHidden/>
          </w:rPr>
          <w:instrText xml:space="preserve"> PAGEREF _Toc390690150 \h </w:instrText>
        </w:r>
        <w:r w:rsidR="00966532">
          <w:rPr>
            <w:noProof/>
            <w:webHidden/>
          </w:rPr>
        </w:r>
        <w:r w:rsidR="00966532">
          <w:rPr>
            <w:noProof/>
            <w:webHidden/>
          </w:rPr>
          <w:fldChar w:fldCharType="separate"/>
        </w:r>
        <w:r w:rsidR="00966532">
          <w:rPr>
            <w:noProof/>
            <w:webHidden/>
          </w:rPr>
          <w:t>150</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51" w:history="1">
        <w:r w:rsidR="00966532" w:rsidRPr="009D4978">
          <w:rPr>
            <w:rStyle w:val="Hyperlink"/>
            <w:noProof/>
          </w:rPr>
          <w:t>8.5</w:t>
        </w:r>
        <w:r w:rsidR="00966532">
          <w:rPr>
            <w:rFonts w:asciiTheme="minorHAnsi" w:eastAsiaTheme="minorEastAsia" w:hAnsiTheme="minorHAnsi" w:cstheme="minorBidi"/>
            <w:noProof/>
          </w:rPr>
          <w:tab/>
        </w:r>
        <w:r w:rsidR="00966532" w:rsidRPr="009D4978">
          <w:rPr>
            <w:rStyle w:val="Hyperlink"/>
            <w:noProof/>
          </w:rPr>
          <w:t>Flood Risks and Other Issues Associated with Establishing a Pipeline from Jimargil to Menindee Water Treatment Plant</w:t>
        </w:r>
        <w:r w:rsidR="00966532">
          <w:rPr>
            <w:noProof/>
            <w:webHidden/>
          </w:rPr>
          <w:tab/>
        </w:r>
        <w:r w:rsidR="00966532">
          <w:rPr>
            <w:noProof/>
            <w:webHidden/>
          </w:rPr>
          <w:fldChar w:fldCharType="begin"/>
        </w:r>
        <w:r w:rsidR="00966532">
          <w:rPr>
            <w:noProof/>
            <w:webHidden/>
          </w:rPr>
          <w:instrText xml:space="preserve"> PAGEREF _Toc390690151 \h </w:instrText>
        </w:r>
        <w:r w:rsidR="00966532">
          <w:rPr>
            <w:noProof/>
            <w:webHidden/>
          </w:rPr>
        </w:r>
        <w:r w:rsidR="00966532">
          <w:rPr>
            <w:noProof/>
            <w:webHidden/>
          </w:rPr>
          <w:fldChar w:fldCharType="separate"/>
        </w:r>
        <w:r w:rsidR="00966532">
          <w:rPr>
            <w:noProof/>
            <w:webHidden/>
          </w:rPr>
          <w:t>151</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52" w:history="1">
        <w:r w:rsidR="00966532" w:rsidRPr="009D4978">
          <w:rPr>
            <w:rStyle w:val="Hyperlink"/>
            <w:noProof/>
          </w:rPr>
          <w:t>8.6</w:t>
        </w:r>
        <w:r w:rsidR="00966532">
          <w:rPr>
            <w:rFonts w:asciiTheme="minorHAnsi" w:eastAsiaTheme="minorEastAsia" w:hAnsiTheme="minorHAnsi" w:cstheme="minorBidi"/>
            <w:noProof/>
          </w:rPr>
          <w:tab/>
        </w:r>
        <w:r w:rsidR="00966532" w:rsidRPr="009D4978">
          <w:rPr>
            <w:rStyle w:val="Hyperlink"/>
            <w:noProof/>
          </w:rPr>
          <w:t>Potential Cultural and Heritage Issues Associated with Future Borefield Development and Pipeline Routes</w:t>
        </w:r>
        <w:r w:rsidR="00966532">
          <w:rPr>
            <w:noProof/>
            <w:webHidden/>
          </w:rPr>
          <w:tab/>
        </w:r>
        <w:r w:rsidR="00966532">
          <w:rPr>
            <w:noProof/>
            <w:webHidden/>
          </w:rPr>
          <w:fldChar w:fldCharType="begin"/>
        </w:r>
        <w:r w:rsidR="00966532">
          <w:rPr>
            <w:noProof/>
            <w:webHidden/>
          </w:rPr>
          <w:instrText xml:space="preserve"> PAGEREF _Toc390690152 \h </w:instrText>
        </w:r>
        <w:r w:rsidR="00966532">
          <w:rPr>
            <w:noProof/>
            <w:webHidden/>
          </w:rPr>
        </w:r>
        <w:r w:rsidR="00966532">
          <w:rPr>
            <w:noProof/>
            <w:webHidden/>
          </w:rPr>
          <w:fldChar w:fldCharType="separate"/>
        </w:r>
        <w:r w:rsidR="00966532">
          <w:rPr>
            <w:noProof/>
            <w:webHidden/>
          </w:rPr>
          <w:t>151</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53" w:history="1">
        <w:r w:rsidR="00966532" w:rsidRPr="009D4978">
          <w:rPr>
            <w:rStyle w:val="Hyperlink"/>
            <w:noProof/>
          </w:rPr>
          <w:t>8.7</w:t>
        </w:r>
        <w:r w:rsidR="00966532">
          <w:rPr>
            <w:rFonts w:asciiTheme="minorHAnsi" w:eastAsiaTheme="minorEastAsia" w:hAnsiTheme="minorHAnsi" w:cstheme="minorBidi"/>
            <w:noProof/>
          </w:rPr>
          <w:tab/>
        </w:r>
        <w:r w:rsidR="00966532" w:rsidRPr="009D4978">
          <w:rPr>
            <w:rStyle w:val="Hyperlink"/>
            <w:noProof/>
          </w:rPr>
          <w:t>Securing Broken Hill’s Water Supply: Summary of Options</w:t>
        </w:r>
        <w:r w:rsidR="00966532">
          <w:rPr>
            <w:noProof/>
            <w:webHidden/>
          </w:rPr>
          <w:tab/>
        </w:r>
        <w:r w:rsidR="00966532">
          <w:rPr>
            <w:noProof/>
            <w:webHidden/>
          </w:rPr>
          <w:fldChar w:fldCharType="begin"/>
        </w:r>
        <w:r w:rsidR="00966532">
          <w:rPr>
            <w:noProof/>
            <w:webHidden/>
          </w:rPr>
          <w:instrText xml:space="preserve"> PAGEREF _Toc390690153 \h </w:instrText>
        </w:r>
        <w:r w:rsidR="00966532">
          <w:rPr>
            <w:noProof/>
            <w:webHidden/>
          </w:rPr>
        </w:r>
        <w:r w:rsidR="00966532">
          <w:rPr>
            <w:noProof/>
            <w:webHidden/>
          </w:rPr>
          <w:fldChar w:fldCharType="separate"/>
        </w:r>
        <w:r w:rsidR="00966532">
          <w:rPr>
            <w:noProof/>
            <w:webHidden/>
          </w:rPr>
          <w:t>152</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54" w:history="1">
        <w:r w:rsidR="00966532" w:rsidRPr="009D4978">
          <w:rPr>
            <w:rStyle w:val="Hyperlink"/>
            <w:noProof/>
          </w:rPr>
          <w:t>9.</w:t>
        </w:r>
        <w:r w:rsidR="00966532">
          <w:rPr>
            <w:rFonts w:asciiTheme="minorHAnsi" w:eastAsiaTheme="minorEastAsia" w:hAnsiTheme="minorHAnsi" w:cstheme="minorBidi"/>
            <w:noProof/>
          </w:rPr>
          <w:tab/>
        </w:r>
        <w:r w:rsidR="00966532" w:rsidRPr="009D4978">
          <w:rPr>
            <w:rStyle w:val="Hyperlink"/>
            <w:noProof/>
          </w:rPr>
          <w:t>Alternative Sites and Options to Secure Broken Hill’s Water Supply</w:t>
        </w:r>
        <w:r w:rsidR="00966532">
          <w:rPr>
            <w:noProof/>
            <w:webHidden/>
          </w:rPr>
          <w:tab/>
        </w:r>
        <w:r w:rsidR="00966532">
          <w:rPr>
            <w:noProof/>
            <w:webHidden/>
          </w:rPr>
          <w:fldChar w:fldCharType="begin"/>
        </w:r>
        <w:r w:rsidR="00966532">
          <w:rPr>
            <w:noProof/>
            <w:webHidden/>
          </w:rPr>
          <w:instrText xml:space="preserve"> PAGEREF _Toc390690154 \h </w:instrText>
        </w:r>
        <w:r w:rsidR="00966532">
          <w:rPr>
            <w:noProof/>
            <w:webHidden/>
          </w:rPr>
        </w:r>
        <w:r w:rsidR="00966532">
          <w:rPr>
            <w:noProof/>
            <w:webHidden/>
          </w:rPr>
          <w:fldChar w:fldCharType="separate"/>
        </w:r>
        <w:r w:rsidR="00966532">
          <w:rPr>
            <w:noProof/>
            <w:webHidden/>
          </w:rPr>
          <w:t>154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55" w:history="1">
        <w:r w:rsidR="00966532" w:rsidRPr="009D4978">
          <w:rPr>
            <w:rStyle w:val="Hyperlink"/>
            <w:noProof/>
          </w:rPr>
          <w:t>9.1</w:t>
        </w:r>
        <w:r w:rsidR="00966532">
          <w:rPr>
            <w:rFonts w:asciiTheme="minorHAnsi" w:eastAsiaTheme="minorEastAsia" w:hAnsiTheme="minorHAnsi" w:cstheme="minorBidi"/>
            <w:noProof/>
          </w:rPr>
          <w:tab/>
        </w:r>
        <w:r w:rsidR="00966532" w:rsidRPr="009D4978">
          <w:rPr>
            <w:rStyle w:val="Hyperlink"/>
            <w:noProof/>
          </w:rPr>
          <w:t>Priority Site 2: Northern Lake Menindee</w:t>
        </w:r>
        <w:r w:rsidR="00966532">
          <w:rPr>
            <w:noProof/>
            <w:webHidden/>
          </w:rPr>
          <w:tab/>
        </w:r>
        <w:r w:rsidR="00966532">
          <w:rPr>
            <w:noProof/>
            <w:webHidden/>
          </w:rPr>
          <w:fldChar w:fldCharType="begin"/>
        </w:r>
        <w:r w:rsidR="00966532">
          <w:rPr>
            <w:noProof/>
            <w:webHidden/>
          </w:rPr>
          <w:instrText xml:space="preserve"> PAGEREF _Toc390690155 \h </w:instrText>
        </w:r>
        <w:r w:rsidR="00966532">
          <w:rPr>
            <w:noProof/>
            <w:webHidden/>
          </w:rPr>
        </w:r>
        <w:r w:rsidR="00966532">
          <w:rPr>
            <w:noProof/>
            <w:webHidden/>
          </w:rPr>
          <w:fldChar w:fldCharType="separate"/>
        </w:r>
        <w:r w:rsidR="00966532">
          <w:rPr>
            <w:noProof/>
            <w:webHidden/>
          </w:rPr>
          <w:t>154</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56" w:history="1">
        <w:r w:rsidR="00966532" w:rsidRPr="009D4978">
          <w:rPr>
            <w:rStyle w:val="Hyperlink"/>
            <w:noProof/>
            <w14:scene3d>
              <w14:camera w14:prst="orthographicFront"/>
              <w14:lightRig w14:rig="threePt" w14:dir="t">
                <w14:rot w14:lat="0" w14:lon="0" w14:rev="0"/>
              </w14:lightRig>
            </w14:scene3d>
          </w:rPr>
          <w:t>9.1.1</w:t>
        </w:r>
        <w:r w:rsidR="00966532">
          <w:rPr>
            <w:rFonts w:asciiTheme="minorHAnsi" w:eastAsiaTheme="minorEastAsia" w:hAnsiTheme="minorHAnsi" w:cstheme="minorBidi"/>
            <w:noProof/>
            <w:szCs w:val="22"/>
          </w:rPr>
          <w:tab/>
        </w:r>
        <w:r w:rsidR="00966532" w:rsidRPr="009D4978">
          <w:rPr>
            <w:rStyle w:val="Hyperlink"/>
            <w:noProof/>
          </w:rPr>
          <w:t>Option 2A: Managed Aquifer Recharge Involving Infiltration Basins or Wicks</w:t>
        </w:r>
        <w:r w:rsidR="00966532">
          <w:rPr>
            <w:noProof/>
            <w:webHidden/>
          </w:rPr>
          <w:tab/>
        </w:r>
        <w:r w:rsidR="00966532">
          <w:rPr>
            <w:noProof/>
            <w:webHidden/>
          </w:rPr>
          <w:fldChar w:fldCharType="begin"/>
        </w:r>
        <w:r w:rsidR="00966532">
          <w:rPr>
            <w:noProof/>
            <w:webHidden/>
          </w:rPr>
          <w:instrText xml:space="preserve"> PAGEREF _Toc390690156 \h </w:instrText>
        </w:r>
        <w:r w:rsidR="00966532">
          <w:rPr>
            <w:noProof/>
            <w:webHidden/>
          </w:rPr>
        </w:r>
        <w:r w:rsidR="00966532">
          <w:rPr>
            <w:noProof/>
            <w:webHidden/>
          </w:rPr>
          <w:fldChar w:fldCharType="separate"/>
        </w:r>
        <w:r w:rsidR="00966532">
          <w:rPr>
            <w:noProof/>
            <w:webHidden/>
          </w:rPr>
          <w:t>156</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57" w:history="1">
        <w:r w:rsidR="00966532" w:rsidRPr="009D4978">
          <w:rPr>
            <w:rStyle w:val="Hyperlink"/>
            <w:noProof/>
            <w14:scene3d>
              <w14:camera w14:prst="orthographicFront"/>
              <w14:lightRig w14:rig="threePt" w14:dir="t">
                <w14:rot w14:lat="0" w14:lon="0" w14:rev="0"/>
              </w14:lightRig>
            </w14:scene3d>
          </w:rPr>
          <w:t>9.1.2</w:t>
        </w:r>
        <w:r w:rsidR="00966532">
          <w:rPr>
            <w:rFonts w:asciiTheme="minorHAnsi" w:eastAsiaTheme="minorEastAsia" w:hAnsiTheme="minorHAnsi" w:cstheme="minorBidi"/>
            <w:noProof/>
            <w:szCs w:val="22"/>
          </w:rPr>
          <w:tab/>
        </w:r>
        <w:r w:rsidR="00966532" w:rsidRPr="009D4978">
          <w:rPr>
            <w:rStyle w:val="Hyperlink"/>
            <w:noProof/>
          </w:rPr>
          <w:t>Option 2B: Managed Aquifer Recharge Involving Aquifer Storage (Transport) and Recovery</w:t>
        </w:r>
        <w:r w:rsidR="00966532">
          <w:rPr>
            <w:noProof/>
            <w:webHidden/>
          </w:rPr>
          <w:tab/>
        </w:r>
        <w:r w:rsidR="00966532">
          <w:rPr>
            <w:noProof/>
            <w:webHidden/>
          </w:rPr>
          <w:fldChar w:fldCharType="begin"/>
        </w:r>
        <w:r w:rsidR="00966532">
          <w:rPr>
            <w:noProof/>
            <w:webHidden/>
          </w:rPr>
          <w:instrText xml:space="preserve"> PAGEREF _Toc390690157 \h </w:instrText>
        </w:r>
        <w:r w:rsidR="00966532">
          <w:rPr>
            <w:noProof/>
            <w:webHidden/>
          </w:rPr>
        </w:r>
        <w:r w:rsidR="00966532">
          <w:rPr>
            <w:noProof/>
            <w:webHidden/>
          </w:rPr>
          <w:fldChar w:fldCharType="separate"/>
        </w:r>
        <w:r w:rsidR="00966532">
          <w:rPr>
            <w:noProof/>
            <w:webHidden/>
          </w:rPr>
          <w:t>156</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58" w:history="1">
        <w:r w:rsidR="00966532" w:rsidRPr="009D4978">
          <w:rPr>
            <w:rStyle w:val="Hyperlink"/>
            <w:noProof/>
            <w14:scene3d>
              <w14:camera w14:prst="orthographicFront"/>
              <w14:lightRig w14:rig="threePt" w14:dir="t">
                <w14:rot w14:lat="0" w14:lon="0" w14:rev="0"/>
              </w14:lightRig>
            </w14:scene3d>
          </w:rPr>
          <w:t>9.1.3</w:t>
        </w:r>
        <w:r w:rsidR="00966532">
          <w:rPr>
            <w:rFonts w:asciiTheme="minorHAnsi" w:eastAsiaTheme="minorEastAsia" w:hAnsiTheme="minorHAnsi" w:cstheme="minorBidi"/>
            <w:noProof/>
            <w:szCs w:val="22"/>
          </w:rPr>
          <w:tab/>
        </w:r>
        <w:r w:rsidR="00966532" w:rsidRPr="009D4978">
          <w:rPr>
            <w:rStyle w:val="Hyperlink"/>
            <w:noProof/>
          </w:rPr>
          <w:t>Option 2C: Groundwater Extraction</w:t>
        </w:r>
        <w:r w:rsidR="00966532">
          <w:rPr>
            <w:noProof/>
            <w:webHidden/>
          </w:rPr>
          <w:tab/>
        </w:r>
        <w:r w:rsidR="00966532">
          <w:rPr>
            <w:noProof/>
            <w:webHidden/>
          </w:rPr>
          <w:fldChar w:fldCharType="begin"/>
        </w:r>
        <w:r w:rsidR="00966532">
          <w:rPr>
            <w:noProof/>
            <w:webHidden/>
          </w:rPr>
          <w:instrText xml:space="preserve"> PAGEREF _Toc390690158 \h </w:instrText>
        </w:r>
        <w:r w:rsidR="00966532">
          <w:rPr>
            <w:noProof/>
            <w:webHidden/>
          </w:rPr>
        </w:r>
        <w:r w:rsidR="00966532">
          <w:rPr>
            <w:noProof/>
            <w:webHidden/>
          </w:rPr>
          <w:fldChar w:fldCharType="separate"/>
        </w:r>
        <w:r w:rsidR="00966532">
          <w:rPr>
            <w:noProof/>
            <w:webHidden/>
          </w:rPr>
          <w:t>156</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59" w:history="1">
        <w:r w:rsidR="00966532" w:rsidRPr="009D4978">
          <w:rPr>
            <w:rStyle w:val="Hyperlink"/>
            <w:noProof/>
          </w:rPr>
          <w:t>9.2</w:t>
        </w:r>
        <w:r w:rsidR="00966532">
          <w:rPr>
            <w:rFonts w:asciiTheme="minorHAnsi" w:eastAsiaTheme="minorEastAsia" w:hAnsiTheme="minorHAnsi" w:cstheme="minorBidi"/>
            <w:noProof/>
          </w:rPr>
          <w:tab/>
        </w:r>
        <w:r w:rsidR="00966532" w:rsidRPr="009D4978">
          <w:rPr>
            <w:rStyle w:val="Hyperlink"/>
            <w:noProof/>
          </w:rPr>
          <w:t>GWR4 Target- Larloona Palaeochannel Site</w:t>
        </w:r>
        <w:r w:rsidR="00966532">
          <w:rPr>
            <w:noProof/>
            <w:webHidden/>
          </w:rPr>
          <w:tab/>
        </w:r>
        <w:r w:rsidR="00966532">
          <w:rPr>
            <w:noProof/>
            <w:webHidden/>
          </w:rPr>
          <w:fldChar w:fldCharType="begin"/>
        </w:r>
        <w:r w:rsidR="00966532">
          <w:rPr>
            <w:noProof/>
            <w:webHidden/>
          </w:rPr>
          <w:instrText xml:space="preserve"> PAGEREF _Toc390690159 \h </w:instrText>
        </w:r>
        <w:r w:rsidR="00966532">
          <w:rPr>
            <w:noProof/>
            <w:webHidden/>
          </w:rPr>
        </w:r>
        <w:r w:rsidR="00966532">
          <w:rPr>
            <w:noProof/>
            <w:webHidden/>
          </w:rPr>
          <w:fldChar w:fldCharType="separate"/>
        </w:r>
        <w:r w:rsidR="00966532">
          <w:rPr>
            <w:noProof/>
            <w:webHidden/>
          </w:rPr>
          <w:t>164</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60" w:history="1">
        <w:r w:rsidR="00966532" w:rsidRPr="009D4978">
          <w:rPr>
            <w:rStyle w:val="Hyperlink"/>
            <w:noProof/>
          </w:rPr>
          <w:t>9.3</w:t>
        </w:r>
        <w:r w:rsidR="00966532">
          <w:rPr>
            <w:rFonts w:asciiTheme="minorHAnsi" w:eastAsiaTheme="minorEastAsia" w:hAnsiTheme="minorHAnsi" w:cstheme="minorBidi"/>
            <w:noProof/>
          </w:rPr>
          <w:tab/>
        </w:r>
        <w:r w:rsidR="00966532" w:rsidRPr="009D4978">
          <w:rPr>
            <w:rStyle w:val="Hyperlink"/>
            <w:noProof/>
          </w:rPr>
          <w:t>Kinchega National Park Site</w:t>
        </w:r>
        <w:r w:rsidR="00966532">
          <w:rPr>
            <w:noProof/>
            <w:webHidden/>
          </w:rPr>
          <w:tab/>
        </w:r>
        <w:r w:rsidR="00966532">
          <w:rPr>
            <w:noProof/>
            <w:webHidden/>
          </w:rPr>
          <w:fldChar w:fldCharType="begin"/>
        </w:r>
        <w:r w:rsidR="00966532">
          <w:rPr>
            <w:noProof/>
            <w:webHidden/>
          </w:rPr>
          <w:instrText xml:space="preserve"> PAGEREF _Toc390690160 \h </w:instrText>
        </w:r>
        <w:r w:rsidR="00966532">
          <w:rPr>
            <w:noProof/>
            <w:webHidden/>
          </w:rPr>
        </w:r>
        <w:r w:rsidR="00966532">
          <w:rPr>
            <w:noProof/>
            <w:webHidden/>
          </w:rPr>
          <w:fldChar w:fldCharType="separate"/>
        </w:r>
        <w:r w:rsidR="00966532">
          <w:rPr>
            <w:noProof/>
            <w:webHidden/>
          </w:rPr>
          <w:t>171</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61" w:history="1">
        <w:r w:rsidR="00966532" w:rsidRPr="009D4978">
          <w:rPr>
            <w:rStyle w:val="Hyperlink"/>
            <w:noProof/>
            <w14:scene3d>
              <w14:camera w14:prst="orthographicFront"/>
              <w14:lightRig w14:rig="threePt" w14:dir="t">
                <w14:rot w14:lat="0" w14:lon="0" w14:rev="0"/>
              </w14:lightRig>
            </w14:scene3d>
          </w:rPr>
          <w:t>9.3.1</w:t>
        </w:r>
        <w:r w:rsidR="00966532">
          <w:rPr>
            <w:rFonts w:asciiTheme="minorHAnsi" w:eastAsiaTheme="minorEastAsia" w:hAnsiTheme="minorHAnsi" w:cstheme="minorBidi"/>
            <w:noProof/>
            <w:szCs w:val="22"/>
          </w:rPr>
          <w:tab/>
        </w:r>
        <w:r w:rsidR="00966532" w:rsidRPr="009D4978">
          <w:rPr>
            <w:rStyle w:val="Hyperlink"/>
            <w:noProof/>
          </w:rPr>
          <w:t>Kinchega National Park Site Groundwater Extraction Options</w:t>
        </w:r>
        <w:r w:rsidR="00966532">
          <w:rPr>
            <w:noProof/>
            <w:webHidden/>
          </w:rPr>
          <w:tab/>
        </w:r>
        <w:r w:rsidR="00966532">
          <w:rPr>
            <w:noProof/>
            <w:webHidden/>
          </w:rPr>
          <w:fldChar w:fldCharType="begin"/>
        </w:r>
        <w:r w:rsidR="00966532">
          <w:rPr>
            <w:noProof/>
            <w:webHidden/>
          </w:rPr>
          <w:instrText xml:space="preserve"> PAGEREF _Toc390690161 \h </w:instrText>
        </w:r>
        <w:r w:rsidR="00966532">
          <w:rPr>
            <w:noProof/>
            <w:webHidden/>
          </w:rPr>
        </w:r>
        <w:r w:rsidR="00966532">
          <w:rPr>
            <w:noProof/>
            <w:webHidden/>
          </w:rPr>
          <w:fldChar w:fldCharType="separate"/>
        </w:r>
        <w:r w:rsidR="00966532">
          <w:rPr>
            <w:noProof/>
            <w:webHidden/>
          </w:rPr>
          <w:t>171</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62" w:history="1">
        <w:r w:rsidR="00966532" w:rsidRPr="009D4978">
          <w:rPr>
            <w:rStyle w:val="Hyperlink"/>
            <w:noProof/>
            <w14:scene3d>
              <w14:camera w14:prst="orthographicFront"/>
              <w14:lightRig w14:rig="threePt" w14:dir="t">
                <w14:rot w14:lat="0" w14:lon="0" w14:rev="0"/>
              </w14:lightRig>
            </w14:scene3d>
          </w:rPr>
          <w:t>9.3.2</w:t>
        </w:r>
        <w:r w:rsidR="00966532">
          <w:rPr>
            <w:rFonts w:asciiTheme="minorHAnsi" w:eastAsiaTheme="minorEastAsia" w:hAnsiTheme="minorHAnsi" w:cstheme="minorBidi"/>
            <w:noProof/>
            <w:szCs w:val="22"/>
          </w:rPr>
          <w:tab/>
        </w:r>
        <w:r w:rsidR="00966532" w:rsidRPr="009D4978">
          <w:rPr>
            <w:rStyle w:val="Hyperlink"/>
            <w:noProof/>
          </w:rPr>
          <w:t>Kinchega National Park Site MAR Options</w:t>
        </w:r>
        <w:r w:rsidR="00966532">
          <w:rPr>
            <w:noProof/>
            <w:webHidden/>
          </w:rPr>
          <w:tab/>
        </w:r>
        <w:r w:rsidR="00966532">
          <w:rPr>
            <w:noProof/>
            <w:webHidden/>
          </w:rPr>
          <w:fldChar w:fldCharType="begin"/>
        </w:r>
        <w:r w:rsidR="00966532">
          <w:rPr>
            <w:noProof/>
            <w:webHidden/>
          </w:rPr>
          <w:instrText xml:space="preserve"> PAGEREF _Toc390690162 \h </w:instrText>
        </w:r>
        <w:r w:rsidR="00966532">
          <w:rPr>
            <w:noProof/>
            <w:webHidden/>
          </w:rPr>
        </w:r>
        <w:r w:rsidR="00966532">
          <w:rPr>
            <w:noProof/>
            <w:webHidden/>
          </w:rPr>
          <w:fldChar w:fldCharType="separate"/>
        </w:r>
        <w:r w:rsidR="00966532">
          <w:rPr>
            <w:noProof/>
            <w:webHidden/>
          </w:rPr>
          <w:t>171</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63" w:history="1">
        <w:r w:rsidR="00966532" w:rsidRPr="009D4978">
          <w:rPr>
            <w:rStyle w:val="Hyperlink"/>
            <w:noProof/>
            <w14:scene3d>
              <w14:camera w14:prst="orthographicFront"/>
              <w14:lightRig w14:rig="threePt" w14:dir="t">
                <w14:rot w14:lat="0" w14:lon="0" w14:rev="0"/>
              </w14:lightRig>
            </w14:scene3d>
          </w:rPr>
          <w:t>9.3.3</w:t>
        </w:r>
        <w:r w:rsidR="00966532">
          <w:rPr>
            <w:rFonts w:asciiTheme="minorHAnsi" w:eastAsiaTheme="minorEastAsia" w:hAnsiTheme="minorHAnsi" w:cstheme="minorBidi"/>
            <w:noProof/>
            <w:szCs w:val="22"/>
          </w:rPr>
          <w:tab/>
        </w:r>
        <w:r w:rsidR="00966532" w:rsidRPr="009D4978">
          <w:rPr>
            <w:rStyle w:val="Hyperlink"/>
            <w:noProof/>
          </w:rPr>
          <w:t>Kinchega National Park 1a Borefield (KNP1a) Site Description</w:t>
        </w:r>
        <w:r w:rsidR="00966532">
          <w:rPr>
            <w:noProof/>
            <w:webHidden/>
          </w:rPr>
          <w:tab/>
        </w:r>
        <w:r w:rsidR="00966532">
          <w:rPr>
            <w:noProof/>
            <w:webHidden/>
          </w:rPr>
          <w:fldChar w:fldCharType="begin"/>
        </w:r>
        <w:r w:rsidR="00966532">
          <w:rPr>
            <w:noProof/>
            <w:webHidden/>
          </w:rPr>
          <w:instrText xml:space="preserve"> PAGEREF _Toc390690163 \h </w:instrText>
        </w:r>
        <w:r w:rsidR="00966532">
          <w:rPr>
            <w:noProof/>
            <w:webHidden/>
          </w:rPr>
        </w:r>
        <w:r w:rsidR="00966532">
          <w:rPr>
            <w:noProof/>
            <w:webHidden/>
          </w:rPr>
          <w:fldChar w:fldCharType="separate"/>
        </w:r>
        <w:r w:rsidR="00966532">
          <w:rPr>
            <w:noProof/>
            <w:webHidden/>
          </w:rPr>
          <w:t>172</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64" w:history="1">
        <w:r w:rsidR="00966532" w:rsidRPr="009D4978">
          <w:rPr>
            <w:rStyle w:val="Hyperlink"/>
            <w:noProof/>
            <w14:scene3d>
              <w14:camera w14:prst="orthographicFront"/>
              <w14:lightRig w14:rig="threePt" w14:dir="t">
                <w14:rot w14:lat="0" w14:lon="0" w14:rev="0"/>
              </w14:lightRig>
            </w14:scene3d>
          </w:rPr>
          <w:t>9.3.4</w:t>
        </w:r>
        <w:r w:rsidR="00966532">
          <w:rPr>
            <w:rFonts w:asciiTheme="minorHAnsi" w:eastAsiaTheme="minorEastAsia" w:hAnsiTheme="minorHAnsi" w:cstheme="minorBidi"/>
            <w:noProof/>
            <w:szCs w:val="22"/>
          </w:rPr>
          <w:tab/>
        </w:r>
        <w:r w:rsidR="00966532" w:rsidRPr="009D4978">
          <w:rPr>
            <w:rStyle w:val="Hyperlink"/>
            <w:noProof/>
          </w:rPr>
          <w:t>Kinchega National Park 1b Borefield (KNP1b) Site Description</w:t>
        </w:r>
        <w:r w:rsidR="00966532">
          <w:rPr>
            <w:noProof/>
            <w:webHidden/>
          </w:rPr>
          <w:tab/>
        </w:r>
        <w:r w:rsidR="00966532">
          <w:rPr>
            <w:noProof/>
            <w:webHidden/>
          </w:rPr>
          <w:fldChar w:fldCharType="begin"/>
        </w:r>
        <w:r w:rsidR="00966532">
          <w:rPr>
            <w:noProof/>
            <w:webHidden/>
          </w:rPr>
          <w:instrText xml:space="preserve"> PAGEREF _Toc390690164 \h </w:instrText>
        </w:r>
        <w:r w:rsidR="00966532">
          <w:rPr>
            <w:noProof/>
            <w:webHidden/>
          </w:rPr>
        </w:r>
        <w:r w:rsidR="00966532">
          <w:rPr>
            <w:noProof/>
            <w:webHidden/>
          </w:rPr>
          <w:fldChar w:fldCharType="separate"/>
        </w:r>
        <w:r w:rsidR="00966532">
          <w:rPr>
            <w:noProof/>
            <w:webHidden/>
          </w:rPr>
          <w:t>172</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65" w:history="1">
        <w:r w:rsidR="00966532" w:rsidRPr="009D4978">
          <w:rPr>
            <w:rStyle w:val="Hyperlink"/>
            <w:noProof/>
            <w14:scene3d>
              <w14:camera w14:prst="orthographicFront"/>
              <w14:lightRig w14:rig="threePt" w14:dir="t">
                <w14:rot w14:lat="0" w14:lon="0" w14:rev="0"/>
              </w14:lightRig>
            </w14:scene3d>
          </w:rPr>
          <w:t>9.3.5</w:t>
        </w:r>
        <w:r w:rsidR="00966532">
          <w:rPr>
            <w:rFonts w:asciiTheme="minorHAnsi" w:eastAsiaTheme="minorEastAsia" w:hAnsiTheme="minorHAnsi" w:cstheme="minorBidi"/>
            <w:noProof/>
            <w:szCs w:val="22"/>
          </w:rPr>
          <w:tab/>
        </w:r>
        <w:r w:rsidR="00966532" w:rsidRPr="009D4978">
          <w:rPr>
            <w:rStyle w:val="Hyperlink"/>
            <w:noProof/>
          </w:rPr>
          <w:t>Kinchega National Park 2a Borefield (KNP2a) Site Description</w:t>
        </w:r>
        <w:r w:rsidR="00966532">
          <w:rPr>
            <w:noProof/>
            <w:webHidden/>
          </w:rPr>
          <w:tab/>
        </w:r>
        <w:r w:rsidR="00966532">
          <w:rPr>
            <w:noProof/>
            <w:webHidden/>
          </w:rPr>
          <w:fldChar w:fldCharType="begin"/>
        </w:r>
        <w:r w:rsidR="00966532">
          <w:rPr>
            <w:noProof/>
            <w:webHidden/>
          </w:rPr>
          <w:instrText xml:space="preserve"> PAGEREF _Toc390690165 \h </w:instrText>
        </w:r>
        <w:r w:rsidR="00966532">
          <w:rPr>
            <w:noProof/>
            <w:webHidden/>
          </w:rPr>
        </w:r>
        <w:r w:rsidR="00966532">
          <w:rPr>
            <w:noProof/>
            <w:webHidden/>
          </w:rPr>
          <w:fldChar w:fldCharType="separate"/>
        </w:r>
        <w:r w:rsidR="00966532">
          <w:rPr>
            <w:noProof/>
            <w:webHidden/>
          </w:rPr>
          <w:t>172</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66" w:history="1">
        <w:r w:rsidR="00966532" w:rsidRPr="009D4978">
          <w:rPr>
            <w:rStyle w:val="Hyperlink"/>
            <w:noProof/>
            <w14:scene3d>
              <w14:camera w14:prst="orthographicFront"/>
              <w14:lightRig w14:rig="threePt" w14:dir="t">
                <w14:rot w14:lat="0" w14:lon="0" w14:rev="0"/>
              </w14:lightRig>
            </w14:scene3d>
          </w:rPr>
          <w:t>9.3.6</w:t>
        </w:r>
        <w:r w:rsidR="00966532">
          <w:rPr>
            <w:rFonts w:asciiTheme="minorHAnsi" w:eastAsiaTheme="minorEastAsia" w:hAnsiTheme="minorHAnsi" w:cstheme="minorBidi"/>
            <w:noProof/>
            <w:szCs w:val="22"/>
          </w:rPr>
          <w:tab/>
        </w:r>
        <w:r w:rsidR="00966532" w:rsidRPr="009D4978">
          <w:rPr>
            <w:rStyle w:val="Hyperlink"/>
            <w:noProof/>
          </w:rPr>
          <w:t>Kinchega National Park 2b Borefield (KNP2b) Site Description</w:t>
        </w:r>
        <w:r w:rsidR="00966532">
          <w:rPr>
            <w:noProof/>
            <w:webHidden/>
          </w:rPr>
          <w:tab/>
        </w:r>
        <w:r w:rsidR="00966532">
          <w:rPr>
            <w:noProof/>
            <w:webHidden/>
          </w:rPr>
          <w:fldChar w:fldCharType="begin"/>
        </w:r>
        <w:r w:rsidR="00966532">
          <w:rPr>
            <w:noProof/>
            <w:webHidden/>
          </w:rPr>
          <w:instrText xml:space="preserve"> PAGEREF _Toc390690166 \h </w:instrText>
        </w:r>
        <w:r w:rsidR="00966532">
          <w:rPr>
            <w:noProof/>
            <w:webHidden/>
          </w:rPr>
        </w:r>
        <w:r w:rsidR="00966532">
          <w:rPr>
            <w:noProof/>
            <w:webHidden/>
          </w:rPr>
          <w:fldChar w:fldCharType="separate"/>
        </w:r>
        <w:r w:rsidR="00966532">
          <w:rPr>
            <w:noProof/>
            <w:webHidden/>
          </w:rPr>
          <w:t>172</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67" w:history="1">
        <w:r w:rsidR="00966532" w:rsidRPr="009D4978">
          <w:rPr>
            <w:rStyle w:val="Hyperlink"/>
            <w:noProof/>
          </w:rPr>
          <w:t>10.</w:t>
        </w:r>
        <w:r w:rsidR="00966532">
          <w:rPr>
            <w:rFonts w:asciiTheme="minorHAnsi" w:eastAsiaTheme="minorEastAsia" w:hAnsiTheme="minorHAnsi" w:cstheme="minorBidi"/>
            <w:noProof/>
          </w:rPr>
          <w:tab/>
        </w:r>
        <w:r w:rsidR="00966532" w:rsidRPr="009D4978">
          <w:rPr>
            <w:rStyle w:val="Hyperlink"/>
            <w:noProof/>
          </w:rPr>
          <w:t>Regional Groundwater Targets</w:t>
        </w:r>
        <w:r w:rsidR="00966532">
          <w:rPr>
            <w:noProof/>
            <w:webHidden/>
          </w:rPr>
          <w:tab/>
        </w:r>
        <w:r w:rsidR="00966532">
          <w:rPr>
            <w:noProof/>
            <w:webHidden/>
          </w:rPr>
          <w:fldChar w:fldCharType="begin"/>
        </w:r>
        <w:r w:rsidR="00966532">
          <w:rPr>
            <w:noProof/>
            <w:webHidden/>
          </w:rPr>
          <w:instrText xml:space="preserve"> PAGEREF _Toc390690167 \h </w:instrText>
        </w:r>
        <w:r w:rsidR="00966532">
          <w:rPr>
            <w:noProof/>
            <w:webHidden/>
          </w:rPr>
        </w:r>
        <w:r w:rsidR="00966532">
          <w:rPr>
            <w:noProof/>
            <w:webHidden/>
          </w:rPr>
          <w:fldChar w:fldCharType="separate"/>
        </w:r>
        <w:r w:rsidR="00966532">
          <w:rPr>
            <w:noProof/>
            <w:webHidden/>
          </w:rPr>
          <w:t>178</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68" w:history="1">
        <w:r w:rsidR="00966532" w:rsidRPr="009D4978">
          <w:rPr>
            <w:rStyle w:val="Hyperlink"/>
            <w:noProof/>
          </w:rPr>
          <w:t>10.1</w:t>
        </w:r>
        <w:r w:rsidR="00966532">
          <w:rPr>
            <w:rFonts w:asciiTheme="minorHAnsi" w:eastAsiaTheme="minorEastAsia" w:hAnsiTheme="minorHAnsi" w:cstheme="minorBidi"/>
            <w:noProof/>
          </w:rPr>
          <w:tab/>
        </w:r>
        <w:r w:rsidR="00966532" w:rsidRPr="009D4978">
          <w:rPr>
            <w:rStyle w:val="Hyperlink"/>
            <w:noProof/>
          </w:rPr>
          <w:t>Introduction</w:t>
        </w:r>
        <w:r w:rsidR="00966532">
          <w:rPr>
            <w:noProof/>
            <w:webHidden/>
          </w:rPr>
          <w:tab/>
        </w:r>
        <w:r w:rsidR="00966532">
          <w:rPr>
            <w:noProof/>
            <w:webHidden/>
          </w:rPr>
          <w:fldChar w:fldCharType="begin"/>
        </w:r>
        <w:r w:rsidR="00966532">
          <w:rPr>
            <w:noProof/>
            <w:webHidden/>
          </w:rPr>
          <w:instrText xml:space="preserve"> PAGEREF _Toc390690168 \h </w:instrText>
        </w:r>
        <w:r w:rsidR="00966532">
          <w:rPr>
            <w:noProof/>
            <w:webHidden/>
          </w:rPr>
        </w:r>
        <w:r w:rsidR="00966532">
          <w:rPr>
            <w:noProof/>
            <w:webHidden/>
          </w:rPr>
          <w:fldChar w:fldCharType="separate"/>
        </w:r>
        <w:r w:rsidR="00966532">
          <w:rPr>
            <w:noProof/>
            <w:webHidden/>
          </w:rPr>
          <w:t>178</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69" w:history="1">
        <w:r w:rsidR="00966532" w:rsidRPr="009D4978">
          <w:rPr>
            <w:rStyle w:val="Hyperlink"/>
            <w:noProof/>
          </w:rPr>
          <w:t>10.2</w:t>
        </w:r>
        <w:r w:rsidR="00966532">
          <w:rPr>
            <w:rFonts w:asciiTheme="minorHAnsi" w:eastAsiaTheme="minorEastAsia" w:hAnsiTheme="minorHAnsi" w:cstheme="minorBidi"/>
            <w:noProof/>
          </w:rPr>
          <w:tab/>
        </w:r>
        <w:r w:rsidR="00966532" w:rsidRPr="009D4978">
          <w:rPr>
            <w:rStyle w:val="Hyperlink"/>
            <w:noProof/>
          </w:rPr>
          <w:t>Groundwater Resource Mapping</w:t>
        </w:r>
        <w:r w:rsidR="00966532">
          <w:rPr>
            <w:noProof/>
            <w:webHidden/>
          </w:rPr>
          <w:tab/>
        </w:r>
        <w:r w:rsidR="00966532">
          <w:rPr>
            <w:noProof/>
            <w:webHidden/>
          </w:rPr>
          <w:fldChar w:fldCharType="begin"/>
        </w:r>
        <w:r w:rsidR="00966532">
          <w:rPr>
            <w:noProof/>
            <w:webHidden/>
          </w:rPr>
          <w:instrText xml:space="preserve"> PAGEREF _Toc390690169 \h </w:instrText>
        </w:r>
        <w:r w:rsidR="00966532">
          <w:rPr>
            <w:noProof/>
            <w:webHidden/>
          </w:rPr>
        </w:r>
        <w:r w:rsidR="00966532">
          <w:rPr>
            <w:noProof/>
            <w:webHidden/>
          </w:rPr>
          <w:fldChar w:fldCharType="separate"/>
        </w:r>
        <w:r w:rsidR="00966532">
          <w:rPr>
            <w:noProof/>
            <w:webHidden/>
          </w:rPr>
          <w:t>178</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0" w:history="1">
        <w:r w:rsidR="00966532" w:rsidRPr="009D4978">
          <w:rPr>
            <w:rStyle w:val="Hyperlink"/>
            <w:noProof/>
            <w14:scene3d>
              <w14:camera w14:prst="orthographicFront"/>
              <w14:lightRig w14:rig="threePt" w14:dir="t">
                <w14:rot w14:lat="0" w14:lon="0" w14:rev="0"/>
              </w14:lightRig>
            </w14:scene3d>
          </w:rPr>
          <w:t>10.2.1</w:t>
        </w:r>
        <w:r w:rsidR="00966532">
          <w:rPr>
            <w:rFonts w:asciiTheme="minorHAnsi" w:eastAsiaTheme="minorEastAsia" w:hAnsiTheme="minorHAnsi" w:cstheme="minorBidi"/>
            <w:noProof/>
            <w:szCs w:val="22"/>
          </w:rPr>
          <w:tab/>
        </w:r>
        <w:r w:rsidR="00966532" w:rsidRPr="009D4978">
          <w:rPr>
            <w:rStyle w:val="Hyperlink"/>
            <w:noProof/>
          </w:rPr>
          <w:t>Groundwater Salinity Thresholds</w:t>
        </w:r>
        <w:r w:rsidR="00966532">
          <w:rPr>
            <w:noProof/>
            <w:webHidden/>
          </w:rPr>
          <w:tab/>
        </w:r>
        <w:r w:rsidR="00966532">
          <w:rPr>
            <w:noProof/>
            <w:webHidden/>
          </w:rPr>
          <w:fldChar w:fldCharType="begin"/>
        </w:r>
        <w:r w:rsidR="00966532">
          <w:rPr>
            <w:noProof/>
            <w:webHidden/>
          </w:rPr>
          <w:instrText xml:space="preserve"> PAGEREF _Toc390690170 \h </w:instrText>
        </w:r>
        <w:r w:rsidR="00966532">
          <w:rPr>
            <w:noProof/>
            <w:webHidden/>
          </w:rPr>
        </w:r>
        <w:r w:rsidR="00966532">
          <w:rPr>
            <w:noProof/>
            <w:webHidden/>
          </w:rPr>
          <w:fldChar w:fldCharType="separate"/>
        </w:r>
        <w:r w:rsidR="00966532">
          <w:rPr>
            <w:noProof/>
            <w:webHidden/>
          </w:rPr>
          <w:t>179</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1" w:history="1">
        <w:r w:rsidR="00966532" w:rsidRPr="009D4978">
          <w:rPr>
            <w:rStyle w:val="Hyperlink"/>
            <w:noProof/>
            <w14:scene3d>
              <w14:camera w14:prst="orthographicFront"/>
              <w14:lightRig w14:rig="threePt" w14:dir="t">
                <w14:rot w14:lat="0" w14:lon="0" w14:rev="0"/>
              </w14:lightRig>
            </w14:scene3d>
          </w:rPr>
          <w:t>10.2.2</w:t>
        </w:r>
        <w:r w:rsidR="00966532">
          <w:rPr>
            <w:rFonts w:asciiTheme="minorHAnsi" w:eastAsiaTheme="minorEastAsia" w:hAnsiTheme="minorHAnsi" w:cstheme="minorBidi"/>
            <w:noProof/>
            <w:szCs w:val="22"/>
          </w:rPr>
          <w:tab/>
        </w:r>
        <w:r w:rsidR="00966532" w:rsidRPr="009D4978">
          <w:rPr>
            <w:rStyle w:val="Hyperlink"/>
            <w:noProof/>
          </w:rPr>
          <w:t>Bulk Volumes</w:t>
        </w:r>
        <w:r w:rsidR="00966532">
          <w:rPr>
            <w:noProof/>
            <w:webHidden/>
          </w:rPr>
          <w:tab/>
        </w:r>
        <w:r w:rsidR="00966532">
          <w:rPr>
            <w:noProof/>
            <w:webHidden/>
          </w:rPr>
          <w:fldChar w:fldCharType="begin"/>
        </w:r>
        <w:r w:rsidR="00966532">
          <w:rPr>
            <w:noProof/>
            <w:webHidden/>
          </w:rPr>
          <w:instrText xml:space="preserve"> PAGEREF _Toc390690171 \h </w:instrText>
        </w:r>
        <w:r w:rsidR="00966532">
          <w:rPr>
            <w:noProof/>
            <w:webHidden/>
          </w:rPr>
        </w:r>
        <w:r w:rsidR="00966532">
          <w:rPr>
            <w:noProof/>
            <w:webHidden/>
          </w:rPr>
          <w:fldChar w:fldCharType="separate"/>
        </w:r>
        <w:r w:rsidR="00966532">
          <w:rPr>
            <w:noProof/>
            <w:webHidden/>
          </w:rPr>
          <w:t>181</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2" w:history="1">
        <w:r w:rsidR="00966532" w:rsidRPr="009D4978">
          <w:rPr>
            <w:rStyle w:val="Hyperlink"/>
            <w:noProof/>
            <w14:scene3d>
              <w14:camera w14:prst="orthographicFront"/>
              <w14:lightRig w14:rig="threePt" w14:dir="t">
                <w14:rot w14:lat="0" w14:lon="0" w14:rev="0"/>
              </w14:lightRig>
            </w14:scene3d>
          </w:rPr>
          <w:t>10.2.3</w:t>
        </w:r>
        <w:r w:rsidR="00966532">
          <w:rPr>
            <w:rFonts w:asciiTheme="minorHAnsi" w:eastAsiaTheme="minorEastAsia" w:hAnsiTheme="minorHAnsi" w:cstheme="minorBidi"/>
            <w:noProof/>
            <w:szCs w:val="22"/>
          </w:rPr>
          <w:tab/>
        </w:r>
        <w:r w:rsidR="00966532" w:rsidRPr="009D4978">
          <w:rPr>
            <w:rStyle w:val="Hyperlink"/>
            <w:noProof/>
          </w:rPr>
          <w:t>Effective Porosity</w:t>
        </w:r>
        <w:r w:rsidR="00966532">
          <w:rPr>
            <w:noProof/>
            <w:webHidden/>
          </w:rPr>
          <w:tab/>
        </w:r>
        <w:r w:rsidR="00966532">
          <w:rPr>
            <w:noProof/>
            <w:webHidden/>
          </w:rPr>
          <w:fldChar w:fldCharType="begin"/>
        </w:r>
        <w:r w:rsidR="00966532">
          <w:rPr>
            <w:noProof/>
            <w:webHidden/>
          </w:rPr>
          <w:instrText xml:space="preserve"> PAGEREF _Toc390690172 \h </w:instrText>
        </w:r>
        <w:r w:rsidR="00966532">
          <w:rPr>
            <w:noProof/>
            <w:webHidden/>
          </w:rPr>
        </w:r>
        <w:r w:rsidR="00966532">
          <w:rPr>
            <w:noProof/>
            <w:webHidden/>
          </w:rPr>
          <w:fldChar w:fldCharType="separate"/>
        </w:r>
        <w:r w:rsidR="00966532">
          <w:rPr>
            <w:noProof/>
            <w:webHidden/>
          </w:rPr>
          <w:t>182</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3" w:history="1">
        <w:r w:rsidR="00966532" w:rsidRPr="009D4978">
          <w:rPr>
            <w:rStyle w:val="Hyperlink"/>
            <w:noProof/>
            <w14:scene3d>
              <w14:camera w14:prst="orthographicFront"/>
              <w14:lightRig w14:rig="threePt" w14:dir="t">
                <w14:rot w14:lat="0" w14:lon="0" w14:rev="0"/>
              </w14:lightRig>
            </w14:scene3d>
          </w:rPr>
          <w:t>10.2.4</w:t>
        </w:r>
        <w:r w:rsidR="00966532">
          <w:rPr>
            <w:rFonts w:asciiTheme="minorHAnsi" w:eastAsiaTheme="minorEastAsia" w:hAnsiTheme="minorHAnsi" w:cstheme="minorBidi"/>
            <w:noProof/>
            <w:szCs w:val="22"/>
          </w:rPr>
          <w:tab/>
        </w:r>
        <w:r w:rsidR="00966532" w:rsidRPr="009D4978">
          <w:rPr>
            <w:rStyle w:val="Hyperlink"/>
            <w:noProof/>
          </w:rPr>
          <w:t>Uncertainty Analysis of Groundwater Volume Estimates</w:t>
        </w:r>
        <w:r w:rsidR="00966532">
          <w:rPr>
            <w:noProof/>
            <w:webHidden/>
          </w:rPr>
          <w:tab/>
        </w:r>
        <w:r w:rsidR="00966532">
          <w:rPr>
            <w:noProof/>
            <w:webHidden/>
          </w:rPr>
          <w:fldChar w:fldCharType="begin"/>
        </w:r>
        <w:r w:rsidR="00966532">
          <w:rPr>
            <w:noProof/>
            <w:webHidden/>
          </w:rPr>
          <w:instrText xml:space="preserve"> PAGEREF _Toc390690173 \h </w:instrText>
        </w:r>
        <w:r w:rsidR="00966532">
          <w:rPr>
            <w:noProof/>
            <w:webHidden/>
          </w:rPr>
        </w:r>
        <w:r w:rsidR="00966532">
          <w:rPr>
            <w:noProof/>
            <w:webHidden/>
          </w:rPr>
          <w:fldChar w:fldCharType="separate"/>
        </w:r>
        <w:r w:rsidR="00966532">
          <w:rPr>
            <w:noProof/>
            <w:webHidden/>
          </w:rPr>
          <w:t>182</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74" w:history="1">
        <w:r w:rsidR="00966532" w:rsidRPr="009D4978">
          <w:rPr>
            <w:rStyle w:val="Hyperlink"/>
            <w:noProof/>
          </w:rPr>
          <w:t>11.</w:t>
        </w:r>
        <w:r w:rsidR="00966532">
          <w:rPr>
            <w:rFonts w:asciiTheme="minorHAnsi" w:eastAsiaTheme="minorEastAsia" w:hAnsiTheme="minorHAnsi" w:cstheme="minorBidi"/>
            <w:noProof/>
          </w:rPr>
          <w:tab/>
        </w:r>
        <w:r w:rsidR="00966532" w:rsidRPr="009D4978">
          <w:rPr>
            <w:rStyle w:val="Hyperlink"/>
            <w:noProof/>
          </w:rPr>
          <w:t>BHMAR Hydrogeological Investigations- Broader Implications</w:t>
        </w:r>
        <w:r w:rsidR="00966532">
          <w:rPr>
            <w:noProof/>
            <w:webHidden/>
          </w:rPr>
          <w:tab/>
        </w:r>
        <w:r w:rsidR="00966532">
          <w:rPr>
            <w:noProof/>
            <w:webHidden/>
          </w:rPr>
          <w:fldChar w:fldCharType="begin"/>
        </w:r>
        <w:r w:rsidR="00966532">
          <w:rPr>
            <w:noProof/>
            <w:webHidden/>
          </w:rPr>
          <w:instrText xml:space="preserve"> PAGEREF _Toc390690174 \h </w:instrText>
        </w:r>
        <w:r w:rsidR="00966532">
          <w:rPr>
            <w:noProof/>
            <w:webHidden/>
          </w:rPr>
        </w:r>
        <w:r w:rsidR="00966532">
          <w:rPr>
            <w:noProof/>
            <w:webHidden/>
          </w:rPr>
          <w:fldChar w:fldCharType="separate"/>
        </w:r>
        <w:r w:rsidR="00966532">
          <w:rPr>
            <w:noProof/>
            <w:webHidden/>
          </w:rPr>
          <w:t>187</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75" w:history="1">
        <w:r w:rsidR="00966532" w:rsidRPr="009D4978">
          <w:rPr>
            <w:rStyle w:val="Hyperlink"/>
            <w:noProof/>
          </w:rPr>
          <w:t>11.1</w:t>
        </w:r>
        <w:r w:rsidR="00966532">
          <w:rPr>
            <w:rFonts w:asciiTheme="minorHAnsi" w:eastAsiaTheme="minorEastAsia" w:hAnsiTheme="minorHAnsi" w:cstheme="minorBidi"/>
            <w:noProof/>
          </w:rPr>
          <w:tab/>
        </w:r>
        <w:r w:rsidR="00966532" w:rsidRPr="009D4978">
          <w:rPr>
            <w:rStyle w:val="Hyperlink"/>
            <w:noProof/>
          </w:rPr>
          <w:t>Implications for Regional and Basin Groundwater Management</w:t>
        </w:r>
        <w:r w:rsidR="00966532">
          <w:rPr>
            <w:noProof/>
            <w:webHidden/>
          </w:rPr>
          <w:tab/>
        </w:r>
        <w:r w:rsidR="00966532">
          <w:rPr>
            <w:noProof/>
            <w:webHidden/>
          </w:rPr>
          <w:fldChar w:fldCharType="begin"/>
        </w:r>
        <w:r w:rsidR="00966532">
          <w:rPr>
            <w:noProof/>
            <w:webHidden/>
          </w:rPr>
          <w:instrText xml:space="preserve"> PAGEREF _Toc390690175 \h </w:instrText>
        </w:r>
        <w:r w:rsidR="00966532">
          <w:rPr>
            <w:noProof/>
            <w:webHidden/>
          </w:rPr>
        </w:r>
        <w:r w:rsidR="00966532">
          <w:rPr>
            <w:noProof/>
            <w:webHidden/>
          </w:rPr>
          <w:fldChar w:fldCharType="separate"/>
        </w:r>
        <w:r w:rsidR="00966532">
          <w:rPr>
            <w:noProof/>
            <w:webHidden/>
          </w:rPr>
          <w:t>187</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6" w:history="1">
        <w:r w:rsidR="00966532" w:rsidRPr="009D4978">
          <w:rPr>
            <w:rStyle w:val="Hyperlink"/>
            <w:noProof/>
            <w14:scene3d>
              <w14:camera w14:prst="orthographicFront"/>
              <w14:lightRig w14:rig="threePt" w14:dir="t">
                <w14:rot w14:lat="0" w14:lon="0" w14:rev="0"/>
              </w14:lightRig>
            </w14:scene3d>
          </w:rPr>
          <w:t>11.1.1</w:t>
        </w:r>
        <w:r w:rsidR="00966532">
          <w:rPr>
            <w:rFonts w:asciiTheme="minorHAnsi" w:eastAsiaTheme="minorEastAsia" w:hAnsiTheme="minorHAnsi" w:cstheme="minorBidi"/>
            <w:noProof/>
            <w:szCs w:val="22"/>
          </w:rPr>
          <w:tab/>
        </w:r>
        <w:r w:rsidR="00966532" w:rsidRPr="009D4978">
          <w:rPr>
            <w:rStyle w:val="Hyperlink"/>
            <w:bCs/>
            <w:noProof/>
          </w:rPr>
          <w:t>Lower Darling Alluvial Groundwater Source</w:t>
        </w:r>
        <w:r w:rsidR="00966532">
          <w:rPr>
            <w:noProof/>
            <w:webHidden/>
          </w:rPr>
          <w:tab/>
        </w:r>
        <w:r w:rsidR="00966532">
          <w:rPr>
            <w:noProof/>
            <w:webHidden/>
          </w:rPr>
          <w:fldChar w:fldCharType="begin"/>
        </w:r>
        <w:r w:rsidR="00966532">
          <w:rPr>
            <w:noProof/>
            <w:webHidden/>
          </w:rPr>
          <w:instrText xml:space="preserve"> PAGEREF _Toc390690176 \h </w:instrText>
        </w:r>
        <w:r w:rsidR="00966532">
          <w:rPr>
            <w:noProof/>
            <w:webHidden/>
          </w:rPr>
        </w:r>
        <w:r w:rsidR="00966532">
          <w:rPr>
            <w:noProof/>
            <w:webHidden/>
          </w:rPr>
          <w:fldChar w:fldCharType="separate"/>
        </w:r>
        <w:r w:rsidR="00966532">
          <w:rPr>
            <w:noProof/>
            <w:webHidden/>
          </w:rPr>
          <w:t>187</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7" w:history="1">
        <w:r w:rsidR="00966532" w:rsidRPr="009D4978">
          <w:rPr>
            <w:rStyle w:val="Hyperlink"/>
            <w:noProof/>
            <w14:scene3d>
              <w14:camera w14:prst="orthographicFront"/>
              <w14:lightRig w14:rig="threePt" w14:dir="t">
                <w14:rot w14:lat="0" w14:lon="0" w14:rev="0"/>
              </w14:lightRig>
            </w14:scene3d>
          </w:rPr>
          <w:t>11.1.2</w:t>
        </w:r>
        <w:r w:rsidR="00966532">
          <w:rPr>
            <w:rFonts w:asciiTheme="minorHAnsi" w:eastAsiaTheme="minorEastAsia" w:hAnsiTheme="minorHAnsi" w:cstheme="minorBidi"/>
            <w:noProof/>
            <w:szCs w:val="22"/>
          </w:rPr>
          <w:tab/>
        </w:r>
        <w:r w:rsidR="00966532" w:rsidRPr="009D4978">
          <w:rPr>
            <w:rStyle w:val="Hyperlink"/>
            <w:bCs/>
            <w:noProof/>
          </w:rPr>
          <w:t>Upper Darling Alluvial Groundwater Source</w:t>
        </w:r>
        <w:r w:rsidR="00966532">
          <w:rPr>
            <w:noProof/>
            <w:webHidden/>
          </w:rPr>
          <w:tab/>
        </w:r>
        <w:r w:rsidR="00966532">
          <w:rPr>
            <w:noProof/>
            <w:webHidden/>
          </w:rPr>
          <w:fldChar w:fldCharType="begin"/>
        </w:r>
        <w:r w:rsidR="00966532">
          <w:rPr>
            <w:noProof/>
            <w:webHidden/>
          </w:rPr>
          <w:instrText xml:space="preserve"> PAGEREF _Toc390690177 \h </w:instrText>
        </w:r>
        <w:r w:rsidR="00966532">
          <w:rPr>
            <w:noProof/>
            <w:webHidden/>
          </w:rPr>
        </w:r>
        <w:r w:rsidR="00966532">
          <w:rPr>
            <w:noProof/>
            <w:webHidden/>
          </w:rPr>
          <w:fldChar w:fldCharType="separate"/>
        </w:r>
        <w:r w:rsidR="00966532">
          <w:rPr>
            <w:noProof/>
            <w:webHidden/>
          </w:rPr>
          <w:t>187</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8" w:history="1">
        <w:r w:rsidR="00966532" w:rsidRPr="009D4978">
          <w:rPr>
            <w:rStyle w:val="Hyperlink"/>
            <w:noProof/>
            <w14:scene3d>
              <w14:camera w14:prst="orthographicFront"/>
              <w14:lightRig w14:rig="threePt" w14:dir="t">
                <w14:rot w14:lat="0" w14:lon="0" w14:rev="0"/>
              </w14:lightRig>
            </w14:scene3d>
          </w:rPr>
          <w:t>11.1.3</w:t>
        </w:r>
        <w:r w:rsidR="00966532">
          <w:rPr>
            <w:rFonts w:asciiTheme="minorHAnsi" w:eastAsiaTheme="minorEastAsia" w:hAnsiTheme="minorHAnsi" w:cstheme="minorBidi"/>
            <w:noProof/>
            <w:szCs w:val="22"/>
          </w:rPr>
          <w:tab/>
        </w:r>
        <w:r w:rsidR="00966532" w:rsidRPr="009D4978">
          <w:rPr>
            <w:rStyle w:val="Hyperlink"/>
            <w:bCs/>
            <w:noProof/>
          </w:rPr>
          <w:t>Western Murray Porous Groundwater Source</w:t>
        </w:r>
        <w:r w:rsidR="00966532">
          <w:rPr>
            <w:noProof/>
            <w:webHidden/>
          </w:rPr>
          <w:tab/>
        </w:r>
        <w:r w:rsidR="00966532">
          <w:rPr>
            <w:noProof/>
            <w:webHidden/>
          </w:rPr>
          <w:fldChar w:fldCharType="begin"/>
        </w:r>
        <w:r w:rsidR="00966532">
          <w:rPr>
            <w:noProof/>
            <w:webHidden/>
          </w:rPr>
          <w:instrText xml:space="preserve"> PAGEREF _Toc390690178 \h </w:instrText>
        </w:r>
        <w:r w:rsidR="00966532">
          <w:rPr>
            <w:noProof/>
            <w:webHidden/>
          </w:rPr>
        </w:r>
        <w:r w:rsidR="00966532">
          <w:rPr>
            <w:noProof/>
            <w:webHidden/>
          </w:rPr>
          <w:fldChar w:fldCharType="separate"/>
        </w:r>
        <w:r w:rsidR="00966532">
          <w:rPr>
            <w:noProof/>
            <w:webHidden/>
          </w:rPr>
          <w:t>188</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79" w:history="1">
        <w:r w:rsidR="00966532" w:rsidRPr="009D4978">
          <w:rPr>
            <w:rStyle w:val="Hyperlink"/>
            <w:noProof/>
            <w14:scene3d>
              <w14:camera w14:prst="orthographicFront"/>
              <w14:lightRig w14:rig="threePt" w14:dir="t">
                <w14:rot w14:lat="0" w14:lon="0" w14:rev="0"/>
              </w14:lightRig>
            </w14:scene3d>
          </w:rPr>
          <w:t>11.1.4</w:t>
        </w:r>
        <w:r w:rsidR="00966532">
          <w:rPr>
            <w:rFonts w:asciiTheme="minorHAnsi" w:eastAsiaTheme="minorEastAsia" w:hAnsiTheme="minorHAnsi" w:cstheme="minorBidi"/>
            <w:noProof/>
            <w:szCs w:val="22"/>
          </w:rPr>
          <w:tab/>
        </w:r>
        <w:r w:rsidR="00966532" w:rsidRPr="009D4978">
          <w:rPr>
            <w:rStyle w:val="Hyperlink"/>
            <w:bCs/>
            <w:noProof/>
          </w:rPr>
          <w:t>Murray-Darling Basin Plan</w:t>
        </w:r>
        <w:r w:rsidR="00966532">
          <w:rPr>
            <w:noProof/>
            <w:webHidden/>
          </w:rPr>
          <w:tab/>
        </w:r>
        <w:r w:rsidR="00966532">
          <w:rPr>
            <w:noProof/>
            <w:webHidden/>
          </w:rPr>
          <w:fldChar w:fldCharType="begin"/>
        </w:r>
        <w:r w:rsidR="00966532">
          <w:rPr>
            <w:noProof/>
            <w:webHidden/>
          </w:rPr>
          <w:instrText xml:space="preserve"> PAGEREF _Toc390690179 \h </w:instrText>
        </w:r>
        <w:r w:rsidR="00966532">
          <w:rPr>
            <w:noProof/>
            <w:webHidden/>
          </w:rPr>
        </w:r>
        <w:r w:rsidR="00966532">
          <w:rPr>
            <w:noProof/>
            <w:webHidden/>
          </w:rPr>
          <w:fldChar w:fldCharType="separate"/>
        </w:r>
        <w:r w:rsidR="00966532">
          <w:rPr>
            <w:noProof/>
            <w:webHidden/>
          </w:rPr>
          <w:t>188</w:t>
        </w:r>
        <w:r w:rsidR="00966532">
          <w:rPr>
            <w:noProof/>
            <w:webHidden/>
          </w:rPr>
          <w:fldChar w:fldCharType="end"/>
        </w:r>
      </w:hyperlink>
    </w:p>
    <w:p w:rsidR="00966532" w:rsidRDefault="00F035E2">
      <w:pPr>
        <w:pStyle w:val="TOC3"/>
        <w:rPr>
          <w:rFonts w:asciiTheme="minorHAnsi" w:eastAsiaTheme="minorEastAsia" w:hAnsiTheme="minorHAnsi" w:cstheme="minorBidi"/>
          <w:noProof/>
          <w:szCs w:val="22"/>
        </w:rPr>
      </w:pPr>
      <w:hyperlink w:anchor="_Toc390690180" w:history="1">
        <w:r w:rsidR="00966532" w:rsidRPr="009D4978">
          <w:rPr>
            <w:rStyle w:val="Hyperlink"/>
            <w:noProof/>
            <w14:scene3d>
              <w14:camera w14:prst="orthographicFront"/>
              <w14:lightRig w14:rig="threePt" w14:dir="t">
                <w14:rot w14:lat="0" w14:lon="0" w14:rev="0"/>
              </w14:lightRig>
            </w14:scene3d>
          </w:rPr>
          <w:t>11.1.5</w:t>
        </w:r>
        <w:r w:rsidR="00966532">
          <w:rPr>
            <w:rFonts w:asciiTheme="minorHAnsi" w:eastAsiaTheme="minorEastAsia" w:hAnsiTheme="minorHAnsi" w:cstheme="minorBidi"/>
            <w:noProof/>
            <w:szCs w:val="22"/>
          </w:rPr>
          <w:tab/>
        </w:r>
        <w:r w:rsidR="00966532" w:rsidRPr="009D4978">
          <w:rPr>
            <w:rStyle w:val="Hyperlink"/>
            <w:bCs/>
            <w:noProof/>
          </w:rPr>
          <w:t>Implications of the BHMAR Study to Regional Groundwater Management</w:t>
        </w:r>
        <w:r w:rsidR="00966532">
          <w:rPr>
            <w:noProof/>
            <w:webHidden/>
          </w:rPr>
          <w:tab/>
        </w:r>
        <w:r w:rsidR="00966532">
          <w:rPr>
            <w:noProof/>
            <w:webHidden/>
          </w:rPr>
          <w:fldChar w:fldCharType="begin"/>
        </w:r>
        <w:r w:rsidR="00966532">
          <w:rPr>
            <w:noProof/>
            <w:webHidden/>
          </w:rPr>
          <w:instrText xml:space="preserve"> PAGEREF _Toc390690180 \h </w:instrText>
        </w:r>
        <w:r w:rsidR="00966532">
          <w:rPr>
            <w:noProof/>
            <w:webHidden/>
          </w:rPr>
        </w:r>
        <w:r w:rsidR="00966532">
          <w:rPr>
            <w:noProof/>
            <w:webHidden/>
          </w:rPr>
          <w:fldChar w:fldCharType="separate"/>
        </w:r>
        <w:r w:rsidR="00966532">
          <w:rPr>
            <w:noProof/>
            <w:webHidden/>
          </w:rPr>
          <w:t>189</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81" w:history="1">
        <w:r w:rsidR="00966532" w:rsidRPr="009D4978">
          <w:rPr>
            <w:rStyle w:val="Hyperlink"/>
            <w:noProof/>
          </w:rPr>
          <w:t>11.2</w:t>
        </w:r>
        <w:r w:rsidR="00966532">
          <w:rPr>
            <w:rFonts w:asciiTheme="minorHAnsi" w:eastAsiaTheme="minorEastAsia" w:hAnsiTheme="minorHAnsi" w:cstheme="minorBidi"/>
            <w:noProof/>
          </w:rPr>
          <w:tab/>
        </w:r>
        <w:r w:rsidR="00966532" w:rsidRPr="009D4978">
          <w:rPr>
            <w:rStyle w:val="Hyperlink"/>
            <w:noProof/>
          </w:rPr>
          <w:t>Upper Darling Groundwater Resource Potential</w:t>
        </w:r>
        <w:r w:rsidR="00966532">
          <w:rPr>
            <w:noProof/>
            <w:webHidden/>
          </w:rPr>
          <w:tab/>
        </w:r>
        <w:r w:rsidR="00966532">
          <w:rPr>
            <w:noProof/>
            <w:webHidden/>
          </w:rPr>
          <w:fldChar w:fldCharType="begin"/>
        </w:r>
        <w:r w:rsidR="00966532">
          <w:rPr>
            <w:noProof/>
            <w:webHidden/>
          </w:rPr>
          <w:instrText xml:space="preserve"> PAGEREF _Toc390690181 \h </w:instrText>
        </w:r>
        <w:r w:rsidR="00966532">
          <w:rPr>
            <w:noProof/>
            <w:webHidden/>
          </w:rPr>
        </w:r>
        <w:r w:rsidR="00966532">
          <w:rPr>
            <w:noProof/>
            <w:webHidden/>
          </w:rPr>
          <w:fldChar w:fldCharType="separate"/>
        </w:r>
        <w:r w:rsidR="00966532">
          <w:rPr>
            <w:noProof/>
            <w:webHidden/>
          </w:rPr>
          <w:t>192</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82" w:history="1">
        <w:r w:rsidR="00966532" w:rsidRPr="009D4978">
          <w:rPr>
            <w:rStyle w:val="Hyperlink"/>
            <w:noProof/>
          </w:rPr>
          <w:t>11.3</w:t>
        </w:r>
        <w:r w:rsidR="00966532">
          <w:rPr>
            <w:rFonts w:asciiTheme="minorHAnsi" w:eastAsiaTheme="minorEastAsia" w:hAnsiTheme="minorHAnsi" w:cstheme="minorBidi"/>
            <w:noProof/>
          </w:rPr>
          <w:tab/>
        </w:r>
        <w:r w:rsidR="00966532" w:rsidRPr="009D4978">
          <w:rPr>
            <w:rStyle w:val="Hyperlink"/>
            <w:noProof/>
          </w:rPr>
          <w:t>Broader Implications</w:t>
        </w:r>
        <w:r w:rsidR="00966532">
          <w:rPr>
            <w:noProof/>
            <w:webHidden/>
          </w:rPr>
          <w:tab/>
        </w:r>
        <w:r w:rsidR="00966532">
          <w:rPr>
            <w:noProof/>
            <w:webHidden/>
          </w:rPr>
          <w:fldChar w:fldCharType="begin"/>
        </w:r>
        <w:r w:rsidR="00966532">
          <w:rPr>
            <w:noProof/>
            <w:webHidden/>
          </w:rPr>
          <w:instrText xml:space="preserve"> PAGEREF _Toc390690182 \h </w:instrText>
        </w:r>
        <w:r w:rsidR="00966532">
          <w:rPr>
            <w:noProof/>
            <w:webHidden/>
          </w:rPr>
        </w:r>
        <w:r w:rsidR="00966532">
          <w:rPr>
            <w:noProof/>
            <w:webHidden/>
          </w:rPr>
          <w:fldChar w:fldCharType="separate"/>
        </w:r>
        <w:r w:rsidR="00966532">
          <w:rPr>
            <w:noProof/>
            <w:webHidden/>
          </w:rPr>
          <w:t>195</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83" w:history="1">
        <w:r w:rsidR="00966532" w:rsidRPr="009D4978">
          <w:rPr>
            <w:rStyle w:val="Hyperlink"/>
            <w:noProof/>
          </w:rPr>
          <w:t>12.</w:t>
        </w:r>
        <w:r w:rsidR="00966532">
          <w:rPr>
            <w:rFonts w:asciiTheme="minorHAnsi" w:eastAsiaTheme="minorEastAsia" w:hAnsiTheme="minorHAnsi" w:cstheme="minorBidi"/>
            <w:noProof/>
          </w:rPr>
          <w:tab/>
        </w:r>
        <w:r w:rsidR="00966532" w:rsidRPr="009D4978">
          <w:rPr>
            <w:rStyle w:val="Hyperlink"/>
            <w:noProof/>
          </w:rPr>
          <w:t>Conclusions</w:t>
        </w:r>
        <w:r w:rsidR="00966532">
          <w:rPr>
            <w:noProof/>
            <w:webHidden/>
          </w:rPr>
          <w:tab/>
        </w:r>
        <w:r w:rsidR="00966532">
          <w:rPr>
            <w:noProof/>
            <w:webHidden/>
          </w:rPr>
          <w:fldChar w:fldCharType="begin"/>
        </w:r>
        <w:r w:rsidR="00966532">
          <w:rPr>
            <w:noProof/>
            <w:webHidden/>
          </w:rPr>
          <w:instrText xml:space="preserve"> PAGEREF _Toc390690183 \h </w:instrText>
        </w:r>
        <w:r w:rsidR="00966532">
          <w:rPr>
            <w:noProof/>
            <w:webHidden/>
          </w:rPr>
        </w:r>
        <w:r w:rsidR="00966532">
          <w:rPr>
            <w:noProof/>
            <w:webHidden/>
          </w:rPr>
          <w:fldChar w:fldCharType="separate"/>
        </w:r>
        <w:r w:rsidR="00966532">
          <w:rPr>
            <w:noProof/>
            <w:webHidden/>
          </w:rPr>
          <w:t>196</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84" w:history="1">
        <w:r w:rsidR="00966532" w:rsidRPr="009D4978">
          <w:rPr>
            <w:rStyle w:val="Hyperlink"/>
            <w:noProof/>
          </w:rPr>
          <w:t>12.1</w:t>
        </w:r>
        <w:r w:rsidR="00966532">
          <w:rPr>
            <w:rFonts w:asciiTheme="minorHAnsi" w:eastAsiaTheme="minorEastAsia" w:hAnsiTheme="minorHAnsi" w:cstheme="minorBidi"/>
            <w:noProof/>
          </w:rPr>
          <w:tab/>
        </w:r>
        <w:r w:rsidR="00966532" w:rsidRPr="009D4978">
          <w:rPr>
            <w:rStyle w:val="Hyperlink"/>
            <w:noProof/>
          </w:rPr>
          <w:t>BHMAR Study</w:t>
        </w:r>
        <w:r w:rsidR="00966532">
          <w:rPr>
            <w:noProof/>
            <w:webHidden/>
          </w:rPr>
          <w:tab/>
        </w:r>
        <w:r w:rsidR="00966532">
          <w:rPr>
            <w:noProof/>
            <w:webHidden/>
          </w:rPr>
          <w:fldChar w:fldCharType="begin"/>
        </w:r>
        <w:r w:rsidR="00966532">
          <w:rPr>
            <w:noProof/>
            <w:webHidden/>
          </w:rPr>
          <w:instrText xml:space="preserve"> PAGEREF _Toc390690184 \h </w:instrText>
        </w:r>
        <w:r w:rsidR="00966532">
          <w:rPr>
            <w:noProof/>
            <w:webHidden/>
          </w:rPr>
        </w:r>
        <w:r w:rsidR="00966532">
          <w:rPr>
            <w:noProof/>
            <w:webHidden/>
          </w:rPr>
          <w:fldChar w:fldCharType="separate"/>
        </w:r>
        <w:r w:rsidR="00966532">
          <w:rPr>
            <w:noProof/>
            <w:webHidden/>
          </w:rPr>
          <w:t>196</w:t>
        </w:r>
        <w:r w:rsidR="00966532">
          <w:rPr>
            <w:noProof/>
            <w:webHidden/>
          </w:rPr>
          <w:fldChar w:fldCharType="end"/>
        </w:r>
      </w:hyperlink>
    </w:p>
    <w:p w:rsidR="00966532" w:rsidRDefault="00F035E2">
      <w:pPr>
        <w:pStyle w:val="TOC2"/>
        <w:rPr>
          <w:rFonts w:asciiTheme="minorHAnsi" w:eastAsiaTheme="minorEastAsia" w:hAnsiTheme="minorHAnsi" w:cstheme="minorBidi"/>
          <w:noProof/>
        </w:rPr>
      </w:pPr>
      <w:hyperlink w:anchor="_Toc390690185" w:history="1">
        <w:r w:rsidR="00966532" w:rsidRPr="009D4978">
          <w:rPr>
            <w:rStyle w:val="Hyperlink"/>
            <w:noProof/>
          </w:rPr>
          <w:t>12.2</w:t>
        </w:r>
        <w:r w:rsidR="00966532">
          <w:rPr>
            <w:rFonts w:asciiTheme="minorHAnsi" w:eastAsiaTheme="minorEastAsia" w:hAnsiTheme="minorHAnsi" w:cstheme="minorBidi"/>
            <w:noProof/>
          </w:rPr>
          <w:tab/>
        </w:r>
        <w:r w:rsidR="00966532" w:rsidRPr="009D4978">
          <w:rPr>
            <w:rStyle w:val="Hyperlink"/>
            <w:noProof/>
          </w:rPr>
          <w:t>Managed Aquifer Recharge More Broadly in Inland Australia: Some Opportunities and Challenges</w:t>
        </w:r>
        <w:r w:rsidR="00966532">
          <w:rPr>
            <w:noProof/>
            <w:webHidden/>
          </w:rPr>
          <w:tab/>
        </w:r>
        <w:r w:rsidR="00966532">
          <w:rPr>
            <w:noProof/>
            <w:webHidden/>
          </w:rPr>
          <w:fldChar w:fldCharType="begin"/>
        </w:r>
        <w:r w:rsidR="00966532">
          <w:rPr>
            <w:noProof/>
            <w:webHidden/>
          </w:rPr>
          <w:instrText xml:space="preserve"> PAGEREF _Toc390690185 \h </w:instrText>
        </w:r>
        <w:r w:rsidR="00966532">
          <w:rPr>
            <w:noProof/>
            <w:webHidden/>
          </w:rPr>
        </w:r>
        <w:r w:rsidR="00966532">
          <w:rPr>
            <w:noProof/>
            <w:webHidden/>
          </w:rPr>
          <w:fldChar w:fldCharType="separate"/>
        </w:r>
        <w:r w:rsidR="00966532">
          <w:rPr>
            <w:noProof/>
            <w:webHidden/>
          </w:rPr>
          <w:t>198</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86" w:history="1">
        <w:r w:rsidR="00966532" w:rsidRPr="009D4978">
          <w:rPr>
            <w:rStyle w:val="Hyperlink"/>
            <w:noProof/>
          </w:rPr>
          <w:t>13.</w:t>
        </w:r>
        <w:r w:rsidR="00966532">
          <w:rPr>
            <w:rFonts w:asciiTheme="minorHAnsi" w:eastAsiaTheme="minorEastAsia" w:hAnsiTheme="minorHAnsi" w:cstheme="minorBidi"/>
            <w:noProof/>
          </w:rPr>
          <w:tab/>
        </w:r>
        <w:r w:rsidR="00966532" w:rsidRPr="009D4978">
          <w:rPr>
            <w:rStyle w:val="Hyperlink"/>
            <w:noProof/>
          </w:rPr>
          <w:t>Recommendations</w:t>
        </w:r>
        <w:r w:rsidR="00966532">
          <w:rPr>
            <w:noProof/>
            <w:webHidden/>
          </w:rPr>
          <w:tab/>
        </w:r>
        <w:r w:rsidR="00966532">
          <w:rPr>
            <w:noProof/>
            <w:webHidden/>
          </w:rPr>
          <w:fldChar w:fldCharType="begin"/>
        </w:r>
        <w:r w:rsidR="00966532">
          <w:rPr>
            <w:noProof/>
            <w:webHidden/>
          </w:rPr>
          <w:instrText xml:space="preserve"> PAGEREF _Toc390690186 \h </w:instrText>
        </w:r>
        <w:r w:rsidR="00966532">
          <w:rPr>
            <w:noProof/>
            <w:webHidden/>
          </w:rPr>
        </w:r>
        <w:r w:rsidR="00966532">
          <w:rPr>
            <w:noProof/>
            <w:webHidden/>
          </w:rPr>
          <w:fldChar w:fldCharType="separate"/>
        </w:r>
        <w:r w:rsidR="00966532">
          <w:rPr>
            <w:noProof/>
            <w:webHidden/>
          </w:rPr>
          <w:t>200</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87" w:history="1">
        <w:r w:rsidR="00966532" w:rsidRPr="009D4978">
          <w:rPr>
            <w:rStyle w:val="Hyperlink"/>
            <w:noProof/>
          </w:rPr>
          <w:t>14.</w:t>
        </w:r>
        <w:r w:rsidR="00966532">
          <w:rPr>
            <w:rFonts w:asciiTheme="minorHAnsi" w:eastAsiaTheme="minorEastAsia" w:hAnsiTheme="minorHAnsi" w:cstheme="minorBidi"/>
            <w:noProof/>
          </w:rPr>
          <w:tab/>
        </w:r>
        <w:r w:rsidR="00966532" w:rsidRPr="009D4978">
          <w:rPr>
            <w:rStyle w:val="Hyperlink"/>
            <w:noProof/>
          </w:rPr>
          <w:t>References</w:t>
        </w:r>
        <w:r w:rsidR="00966532">
          <w:rPr>
            <w:noProof/>
            <w:webHidden/>
          </w:rPr>
          <w:tab/>
        </w:r>
        <w:r w:rsidR="00966532">
          <w:rPr>
            <w:noProof/>
            <w:webHidden/>
          </w:rPr>
          <w:fldChar w:fldCharType="begin"/>
        </w:r>
        <w:r w:rsidR="00966532">
          <w:rPr>
            <w:noProof/>
            <w:webHidden/>
          </w:rPr>
          <w:instrText xml:space="preserve"> PAGEREF _Toc390690187 \h </w:instrText>
        </w:r>
        <w:r w:rsidR="00966532">
          <w:rPr>
            <w:noProof/>
            <w:webHidden/>
          </w:rPr>
        </w:r>
        <w:r w:rsidR="00966532">
          <w:rPr>
            <w:noProof/>
            <w:webHidden/>
          </w:rPr>
          <w:fldChar w:fldCharType="separate"/>
        </w:r>
        <w:r w:rsidR="00966532">
          <w:rPr>
            <w:noProof/>
            <w:webHidden/>
          </w:rPr>
          <w:t>202</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88" w:history="1">
        <w:r w:rsidR="00966532" w:rsidRPr="009D4978">
          <w:rPr>
            <w:rStyle w:val="Hyperlink"/>
            <w:noProof/>
          </w:rPr>
          <w:t>Acknowledgements</w:t>
        </w:r>
        <w:r w:rsidR="00966532">
          <w:rPr>
            <w:noProof/>
            <w:webHidden/>
          </w:rPr>
          <w:tab/>
        </w:r>
        <w:r w:rsidR="00966532">
          <w:rPr>
            <w:noProof/>
            <w:webHidden/>
          </w:rPr>
          <w:fldChar w:fldCharType="begin"/>
        </w:r>
        <w:r w:rsidR="00966532">
          <w:rPr>
            <w:noProof/>
            <w:webHidden/>
          </w:rPr>
          <w:instrText xml:space="preserve"> PAGEREF _Toc390690188 \h </w:instrText>
        </w:r>
        <w:r w:rsidR="00966532">
          <w:rPr>
            <w:noProof/>
            <w:webHidden/>
          </w:rPr>
        </w:r>
        <w:r w:rsidR="00966532">
          <w:rPr>
            <w:noProof/>
            <w:webHidden/>
          </w:rPr>
          <w:fldChar w:fldCharType="separate"/>
        </w:r>
        <w:r w:rsidR="00966532">
          <w:rPr>
            <w:noProof/>
            <w:webHidden/>
          </w:rPr>
          <w:t>212</w:t>
        </w:r>
        <w:r w:rsidR="00966532">
          <w:rPr>
            <w:noProof/>
            <w:webHidden/>
          </w:rPr>
          <w:fldChar w:fldCharType="end"/>
        </w:r>
      </w:hyperlink>
    </w:p>
    <w:p w:rsidR="00966532" w:rsidRDefault="00F035E2">
      <w:pPr>
        <w:pStyle w:val="TOC1"/>
        <w:rPr>
          <w:rFonts w:asciiTheme="minorHAnsi" w:eastAsiaTheme="minorEastAsia" w:hAnsiTheme="minorHAnsi" w:cstheme="minorBidi"/>
          <w:noProof/>
        </w:rPr>
      </w:pPr>
      <w:hyperlink w:anchor="_Toc390690189" w:history="1">
        <w:r w:rsidR="00966532" w:rsidRPr="009D4978">
          <w:rPr>
            <w:rStyle w:val="Hyperlink"/>
            <w:noProof/>
          </w:rPr>
          <w:t>Glossary</w:t>
        </w:r>
        <w:r w:rsidR="00966532">
          <w:rPr>
            <w:noProof/>
            <w:webHidden/>
          </w:rPr>
          <w:tab/>
        </w:r>
        <w:r w:rsidR="00966532">
          <w:rPr>
            <w:noProof/>
            <w:webHidden/>
          </w:rPr>
          <w:fldChar w:fldCharType="begin"/>
        </w:r>
        <w:r w:rsidR="00966532">
          <w:rPr>
            <w:noProof/>
            <w:webHidden/>
          </w:rPr>
          <w:instrText xml:space="preserve"> PAGEREF _Toc390690189 \h </w:instrText>
        </w:r>
        <w:r w:rsidR="00966532">
          <w:rPr>
            <w:noProof/>
            <w:webHidden/>
          </w:rPr>
        </w:r>
        <w:r w:rsidR="00966532">
          <w:rPr>
            <w:noProof/>
            <w:webHidden/>
          </w:rPr>
          <w:fldChar w:fldCharType="separate"/>
        </w:r>
        <w:r w:rsidR="00966532">
          <w:rPr>
            <w:noProof/>
            <w:webHidden/>
          </w:rPr>
          <w:t>216</w:t>
        </w:r>
        <w:r w:rsidR="00966532">
          <w:rPr>
            <w:noProof/>
            <w:webHidden/>
          </w:rPr>
          <w:fldChar w:fldCharType="end"/>
        </w:r>
      </w:hyperlink>
    </w:p>
    <w:p w:rsidR="00474EE1" w:rsidRPr="00CB7EA6" w:rsidRDefault="00851E1E" w:rsidP="00CB7EA6">
      <w:pPr>
        <w:spacing w:after="120"/>
        <w:rPr>
          <w:rFonts w:ascii="Arial" w:hAnsi="Arial" w:cs="Arial"/>
          <w:b/>
          <w:sz w:val="28"/>
          <w:szCs w:val="28"/>
        </w:rPr>
      </w:pPr>
      <w:r>
        <w:rPr>
          <w:szCs w:val="22"/>
        </w:rPr>
        <w:fldChar w:fldCharType="end"/>
      </w:r>
      <w:r w:rsidR="00474EE1">
        <w:rPr>
          <w:rFonts w:ascii="Arial" w:hAnsi="Arial" w:cs="Arial"/>
          <w:b/>
          <w:sz w:val="28"/>
          <w:szCs w:val="28"/>
        </w:rPr>
        <w:br w:type="page"/>
      </w:r>
      <w:r w:rsidR="00474EE1" w:rsidRPr="00EF6433">
        <w:rPr>
          <w:rFonts w:ascii="Arial" w:hAnsi="Arial" w:cs="Arial"/>
          <w:b/>
          <w:sz w:val="28"/>
          <w:szCs w:val="28"/>
        </w:rPr>
        <w:lastRenderedPageBreak/>
        <w:t>List of Figures</w:t>
      </w:r>
    </w:p>
    <w:p w:rsidR="00966532" w:rsidRDefault="00474EE1">
      <w:pPr>
        <w:pStyle w:val="TOC4"/>
        <w:rPr>
          <w:rFonts w:asciiTheme="minorHAnsi" w:eastAsiaTheme="minorEastAsia" w:hAnsiTheme="minorHAnsi" w:cstheme="minorBidi"/>
          <w:bCs w:val="0"/>
          <w:szCs w:val="22"/>
          <w:lang w:val="en-AU" w:eastAsia="en-AU"/>
        </w:rPr>
      </w:pPr>
      <w:r w:rsidRPr="00BB2261">
        <w:fldChar w:fldCharType="begin"/>
      </w:r>
      <w:r w:rsidRPr="00BB2261">
        <w:instrText xml:space="preserve"> TOC \f A </w:instrText>
      </w:r>
      <w:r w:rsidRPr="00BB2261">
        <w:fldChar w:fldCharType="separate"/>
      </w:r>
      <w:r w:rsidR="00966532" w:rsidRPr="004918BB">
        <w:rPr>
          <w:bCs w:val="0"/>
        </w:rPr>
        <w:t xml:space="preserve">Figure A. </w:t>
      </w:r>
      <w:r w:rsidR="00966532" w:rsidRPr="004918BB">
        <w:t>Map of the groundwater resource and MAR targets in Pliocene aquifers within 20km of Menindee.</w:t>
      </w:r>
      <w:r w:rsidR="00966532">
        <w:tab/>
      </w:r>
      <w:r w:rsidR="00966532">
        <w:fldChar w:fldCharType="begin"/>
      </w:r>
      <w:r w:rsidR="00966532">
        <w:instrText xml:space="preserve"> PAGEREF _Toc390690190 \h </w:instrText>
      </w:r>
      <w:r w:rsidR="00966532">
        <w:fldChar w:fldCharType="separate"/>
      </w:r>
      <w:r w:rsidR="00966532">
        <w:t>viii</w:t>
      </w:r>
      <w:r w:rsidR="00966532">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B. </w:t>
      </w:r>
      <w:r w:rsidRPr="004918BB">
        <w:t>Map of the BHMAR project area showing the distribution of groundwater resource (GWR) targets</w:t>
      </w:r>
      <w:r>
        <w:tab/>
      </w:r>
      <w:r>
        <w:fldChar w:fldCharType="begin"/>
      </w:r>
      <w:r>
        <w:instrText xml:space="preserve"> PAGEREF _Toc390690191 \h </w:instrText>
      </w:r>
      <w:r>
        <w:fldChar w:fldCharType="separate"/>
      </w:r>
      <w:r>
        <w:t>ix</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C. </w:t>
      </w:r>
      <w:r w:rsidRPr="004918BB">
        <w:t>Location of the BHMAR project area</w:t>
      </w:r>
      <w:r>
        <w:tab/>
      </w:r>
      <w:r>
        <w:fldChar w:fldCharType="begin"/>
      </w:r>
      <w:r>
        <w:instrText xml:space="preserve"> PAGEREF _Toc390690192 \h </w:instrText>
      </w:r>
      <w:r>
        <w:fldChar w:fldCharType="separate"/>
      </w:r>
      <w:r>
        <w:t>x</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D. </w:t>
      </w:r>
      <w:r w:rsidRPr="004918BB">
        <w:t>Photograph of night-time sonic drilling operations</w:t>
      </w:r>
      <w:r>
        <w:tab/>
      </w:r>
      <w:r>
        <w:fldChar w:fldCharType="begin"/>
      </w:r>
      <w:r>
        <w:instrText xml:space="preserve"> PAGEREF _Toc390690193 \h </w:instrText>
      </w:r>
      <w:r>
        <w:fldChar w:fldCharType="separate"/>
      </w:r>
      <w:r>
        <w:t>xiii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E. </w:t>
      </w:r>
      <w:r w:rsidRPr="004918BB">
        <w:t>Oblique perspective view of AEM-derived conductivity data, looking NE across the central and northern half of the BHMAR project area.</w:t>
      </w:r>
      <w:r>
        <w:tab/>
      </w:r>
      <w:r>
        <w:fldChar w:fldCharType="begin"/>
      </w:r>
      <w:r>
        <w:instrText xml:space="preserve"> PAGEREF _Toc390690194 \h </w:instrText>
      </w:r>
      <w:r>
        <w:fldChar w:fldCharType="separate"/>
      </w:r>
      <w:r>
        <w:t>xv</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F. </w:t>
      </w:r>
      <w:r w:rsidRPr="004918BB">
        <w:t>Geological cross-section NNW-SSE across the project area from north of Lake Menindee to Larloona Station</w:t>
      </w:r>
      <w:r>
        <w:t>..</w:t>
      </w:r>
      <w:r>
        <w:tab/>
      </w:r>
      <w:r>
        <w:fldChar w:fldCharType="begin"/>
      </w:r>
      <w:r>
        <w:instrText xml:space="preserve"> PAGEREF _Toc390690195 \h </w:instrText>
      </w:r>
      <w:r>
        <w:fldChar w:fldCharType="separate"/>
      </w:r>
      <w:r>
        <w:t>xvi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G. </w:t>
      </w:r>
      <w:r w:rsidRPr="004918BB">
        <w:t>Elevation of top of the Upper Confining Aquitard in metres AHD</w:t>
      </w:r>
      <w:r>
        <w:tab/>
      </w:r>
      <w:r>
        <w:fldChar w:fldCharType="begin"/>
      </w:r>
      <w:r>
        <w:instrText xml:space="preserve"> PAGEREF _Toc390690196 \h </w:instrText>
      </w:r>
      <w:r>
        <w:fldChar w:fldCharType="separate"/>
      </w:r>
      <w:r>
        <w:t>xix</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H. </w:t>
      </w:r>
      <w:r w:rsidRPr="004918BB">
        <w:t>Conceptual model for groundwater recharge in the Lower Darling Floodplain alluvial sediments</w:t>
      </w:r>
      <w:r>
        <w:tab/>
      </w:r>
      <w:r>
        <w:fldChar w:fldCharType="begin"/>
      </w:r>
      <w:r>
        <w:instrText xml:space="preserve"> PAGEREF _Toc390690197 \h </w:instrText>
      </w:r>
      <w:r>
        <w:fldChar w:fldCharType="separate"/>
      </w:r>
      <w:r>
        <w:t>xxiv</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I. Recharge potential and pathway classification applied to the 14 groundwater resource targets.</w:t>
      </w:r>
      <w:r>
        <w:tab/>
      </w:r>
      <w:r>
        <w:fldChar w:fldCharType="begin"/>
      </w:r>
      <w:r>
        <w:instrText xml:space="preserve"> PAGEREF _Toc390690198 \h </w:instrText>
      </w:r>
      <w:r>
        <w:fldChar w:fldCharType="separate"/>
      </w:r>
      <w:r>
        <w:t>xxvi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J. </w:t>
      </w:r>
      <w:r w:rsidRPr="004918BB">
        <w:t>Predicted groundwater salinity for the 43.5-51.5m depth slice within 20km of Menindee.</w:t>
      </w:r>
      <w:r>
        <w:tab/>
      </w:r>
      <w:r>
        <w:fldChar w:fldCharType="begin"/>
      </w:r>
      <w:r>
        <w:instrText xml:space="preserve"> PAGEREF _Toc390690199 \h </w:instrText>
      </w:r>
      <w:r>
        <w:fldChar w:fldCharType="separate"/>
      </w:r>
      <w:r>
        <w:t>xxviii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K. </w:t>
      </w:r>
      <w:r w:rsidRPr="004918BB">
        <w:t>Predicted groundwater salinity for the 43.5–51.5m depth slice at the Jimargil site</w:t>
      </w:r>
      <w:r>
        <w:tab/>
      </w:r>
      <w:r>
        <w:fldChar w:fldCharType="begin"/>
      </w:r>
      <w:r>
        <w:instrText xml:space="preserve"> PAGEREF _Toc390690200 \h </w:instrText>
      </w:r>
      <w:r>
        <w:fldChar w:fldCharType="separate"/>
      </w:r>
      <w:r>
        <w:t>xxx</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L. </w:t>
      </w:r>
      <w:r w:rsidRPr="004918BB">
        <w:t>Conceptual diagram of a conjunctive water management strategy</w:t>
      </w:r>
      <w:r>
        <w:tab/>
      </w:r>
      <w:r>
        <w:fldChar w:fldCharType="begin"/>
      </w:r>
      <w:r>
        <w:instrText xml:space="preserve"> PAGEREF _Toc390690201 \h </w:instrText>
      </w:r>
      <w:r>
        <w:fldChar w:fldCharType="separate"/>
      </w:r>
      <w:r>
        <w:t>xxxvi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M. Possible location of bores and pipeline routes for the Jimargil site</w:t>
      </w:r>
      <w:r>
        <w:tab/>
      </w:r>
      <w:r>
        <w:fldChar w:fldCharType="begin"/>
      </w:r>
      <w:r>
        <w:instrText xml:space="preserve"> PAGEREF _Toc390690202 \h </w:instrText>
      </w:r>
      <w:r>
        <w:fldChar w:fldCharType="separate"/>
      </w:r>
      <w:r>
        <w:t>xxxvii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1-1. Location of the BHMAR project area relative to the Murray-Darling Drainage Basin.</w:t>
      </w:r>
      <w:r>
        <w:tab/>
      </w:r>
      <w:r>
        <w:fldChar w:fldCharType="begin"/>
      </w:r>
      <w:r>
        <w:instrText xml:space="preserve"> PAGEREF _Toc390690203 \h </w:instrText>
      </w:r>
      <w:r>
        <w:fldChar w:fldCharType="separate"/>
      </w:r>
      <w:r>
        <w:t>2</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2-1. Location of the BHMAR project area relative to Menindee and Broken Hill.</w:t>
      </w:r>
      <w:r>
        <w:tab/>
      </w:r>
      <w:r>
        <w:fldChar w:fldCharType="begin"/>
      </w:r>
      <w:r>
        <w:instrText xml:space="preserve"> PAGEREF _Toc390690204 \h </w:instrText>
      </w:r>
      <w:r>
        <w:fldChar w:fldCharType="separate"/>
      </w:r>
      <w:r>
        <w:t>11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2-2. Location of the Menindee Lakes.</w:t>
      </w:r>
      <w:r>
        <w:tab/>
      </w:r>
      <w:r>
        <w:fldChar w:fldCharType="begin"/>
      </w:r>
      <w:r>
        <w:instrText xml:space="preserve"> PAGEREF _Toc390690205 \h </w:instrText>
      </w:r>
      <w:r>
        <w:fldChar w:fldCharType="separate"/>
      </w:r>
      <w:r>
        <w:t>12</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2-3. </w:t>
      </w:r>
      <w:r w:rsidRPr="004918BB">
        <w:t>Average monthly percent capacity for three Menindee Lakes compared to monthly stream flow of the Darling River</w:t>
      </w:r>
      <w:r>
        <w:tab/>
      </w:r>
      <w:r>
        <w:fldChar w:fldCharType="begin"/>
      </w:r>
      <w:r>
        <w:instrText xml:space="preserve"> PAGEREF _Toc390690206 \h </w:instrText>
      </w:r>
      <w:r>
        <w:fldChar w:fldCharType="separate"/>
      </w:r>
      <w:r>
        <w:t>15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3-1. </w:t>
      </w:r>
      <w:r w:rsidRPr="004918BB">
        <w:t>Datasets acquired during the project, grouped by theme.</w:t>
      </w:r>
      <w:r>
        <w:tab/>
      </w:r>
      <w:r>
        <w:fldChar w:fldCharType="begin"/>
      </w:r>
      <w:r>
        <w:instrText xml:space="preserve"> PAGEREF _Toc390690207 \h </w:instrText>
      </w:r>
      <w:r>
        <w:fldChar w:fldCharType="separate"/>
      </w:r>
      <w:r>
        <w:t>22</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3-2. </w:t>
      </w:r>
      <w:r w:rsidRPr="004918BB">
        <w:t>Simplified project workflow</w:t>
      </w:r>
      <w:r w:rsidRPr="004918BB">
        <w:rPr>
          <w:bCs w:val="0"/>
        </w:rPr>
        <w:t>.</w:t>
      </w:r>
      <w:r>
        <w:tab/>
      </w:r>
      <w:r>
        <w:fldChar w:fldCharType="begin"/>
      </w:r>
      <w:r>
        <w:instrText xml:space="preserve"> PAGEREF _Toc390690208 \h </w:instrText>
      </w:r>
      <w:r>
        <w:fldChar w:fldCharType="separate"/>
      </w:r>
      <w:r>
        <w:t>23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3-3. AEM inversion comparison</w:t>
      </w:r>
      <w:r>
        <w:tab/>
      </w:r>
      <w:r>
        <w:fldChar w:fldCharType="begin"/>
      </w:r>
      <w:r>
        <w:instrText xml:space="preserve"> PAGEREF _Toc390690209 \h </w:instrText>
      </w:r>
      <w:r>
        <w:fldChar w:fldCharType="separate"/>
      </w:r>
      <w:r>
        <w:t>26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3-4. Comparison between tight and loose WANDA inversions</w:t>
      </w:r>
      <w:r>
        <w:tab/>
      </w:r>
      <w:r>
        <w:fldChar w:fldCharType="begin"/>
      </w:r>
      <w:r>
        <w:instrText xml:space="preserve"> PAGEREF _Toc390690210 \h </w:instrText>
      </w:r>
      <w:r>
        <w:fldChar w:fldCharType="separate"/>
      </w:r>
      <w:r>
        <w:t>27</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3-5. Conductivity depth slice generated using the lateral parameter correlation method</w:t>
      </w:r>
      <w:r>
        <w:tab/>
      </w:r>
      <w:r>
        <w:fldChar w:fldCharType="begin"/>
      </w:r>
      <w:r>
        <w:instrText xml:space="preserve"> PAGEREF _Toc390690211 \h </w:instrText>
      </w:r>
      <w:r>
        <w:fldChar w:fldCharType="separate"/>
      </w:r>
      <w:r>
        <w:t>28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3-6. AEM conductivity depth slice of Blanchetown Clay with fault offset</w:t>
      </w:r>
      <w:r>
        <w:tab/>
      </w:r>
      <w:r>
        <w:fldChar w:fldCharType="begin"/>
      </w:r>
      <w:r>
        <w:instrText xml:space="preserve"> PAGEREF _Toc390690212 \h </w:instrText>
      </w:r>
      <w:r>
        <w:fldChar w:fldCharType="separate"/>
      </w:r>
      <w:r>
        <w:t>28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3-7. Perspective view of BHMAR Project AEM 3D conductivity model.</w:t>
      </w:r>
      <w:r>
        <w:tab/>
      </w:r>
      <w:r>
        <w:fldChar w:fldCharType="begin"/>
      </w:r>
      <w:r>
        <w:instrText xml:space="preserve"> PAGEREF _Toc390690213 \h </w:instrText>
      </w:r>
      <w:r>
        <w:fldChar w:fldCharType="separate"/>
      </w:r>
      <w:r>
        <w:t>29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3-8. </w:t>
      </w:r>
      <w:r w:rsidRPr="004918BB">
        <w:t>ModMod and DatDat comparison plots for the GW36812 borehole.</w:t>
      </w:r>
      <w:r>
        <w:tab/>
      </w:r>
      <w:r>
        <w:fldChar w:fldCharType="begin"/>
      </w:r>
      <w:r>
        <w:instrText xml:space="preserve"> PAGEREF _Toc390690214 \h </w:instrText>
      </w:r>
      <w:r>
        <w:fldChar w:fldCharType="separate"/>
      </w:r>
      <w:r>
        <w:t>31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3-9. </w:t>
      </w:r>
      <w:r w:rsidRPr="004918BB">
        <w:t>Cross plots on a logarithmic scale of the AEM model conductivity</w:t>
      </w:r>
      <w:r w:rsidRPr="004918BB">
        <w:rPr>
          <w:bCs w:val="0"/>
        </w:rPr>
        <w:t>.</w:t>
      </w:r>
      <w:r>
        <w:tab/>
      </w:r>
      <w:r>
        <w:fldChar w:fldCharType="begin"/>
      </w:r>
      <w:r>
        <w:instrText xml:space="preserve"> PAGEREF _Toc390690215 \h </w:instrText>
      </w:r>
      <w:r>
        <w:fldChar w:fldCharType="separate"/>
      </w:r>
      <w:r>
        <w:t>32</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3-10. Reversible jump Markov Chain Monte Carlo (RJ-McMC) inversion of one of 9 representative sections in the AEM data (near borehole BHMAR08-1).</w:t>
      </w:r>
      <w:r>
        <w:tab/>
      </w:r>
      <w:r>
        <w:fldChar w:fldCharType="begin"/>
      </w:r>
      <w:r>
        <w:instrText xml:space="preserve"> PAGEREF _Toc390690216 \h </w:instrText>
      </w:r>
      <w:r>
        <w:fldChar w:fldCharType="separate"/>
      </w:r>
      <w:r>
        <w:t>32</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4-1. </w:t>
      </w:r>
      <w:r w:rsidRPr="004918BB">
        <w:t>Schematic diagrams showing MAR options</w:t>
      </w:r>
      <w:r w:rsidRPr="004918BB">
        <w:rPr>
          <w:bCs w:val="0"/>
        </w:rPr>
        <w:t>.</w:t>
      </w:r>
      <w:r>
        <w:tab/>
      </w:r>
      <w:r>
        <w:fldChar w:fldCharType="begin"/>
      </w:r>
      <w:r>
        <w:instrText xml:space="preserve"> PAGEREF _Toc390690217 \h </w:instrText>
      </w:r>
      <w:r>
        <w:fldChar w:fldCharType="separate"/>
      </w:r>
      <w:r>
        <w:t>35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4-2. </w:t>
      </w:r>
      <w:r w:rsidRPr="004918BB">
        <w:t>Stages in establishing a MAR project to meet human health and environmental needs</w:t>
      </w:r>
      <w:r w:rsidRPr="004918BB">
        <w:rPr>
          <w:bCs w:val="0"/>
        </w:rPr>
        <w:t>.</w:t>
      </w:r>
      <w:r>
        <w:tab/>
      </w:r>
      <w:r>
        <w:fldChar w:fldCharType="begin"/>
      </w:r>
      <w:r>
        <w:instrText xml:space="preserve"> PAGEREF _Toc390690218 \h </w:instrText>
      </w:r>
      <w:r>
        <w:fldChar w:fldCharType="separate"/>
      </w:r>
      <w:r>
        <w:t>38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4-3. </w:t>
      </w:r>
      <w:r w:rsidRPr="004918BB">
        <w:t>Viability Assessment decision flow chart.</w:t>
      </w:r>
      <w:r>
        <w:tab/>
      </w:r>
      <w:r>
        <w:fldChar w:fldCharType="begin"/>
      </w:r>
      <w:r>
        <w:instrText xml:space="preserve"> PAGEREF _Toc390690219 \h </w:instrText>
      </w:r>
      <w:r>
        <w:fldChar w:fldCharType="separate"/>
      </w:r>
      <w:r>
        <w:t>41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5-1. Surface landforms mapped at a regional scale in the BHMAR project area.</w:t>
      </w:r>
      <w:r>
        <w:tab/>
      </w:r>
      <w:r>
        <w:fldChar w:fldCharType="begin"/>
      </w:r>
      <w:r>
        <w:instrText xml:space="preserve"> PAGEREF _Toc390690220 \h </w:instrText>
      </w:r>
      <w:r>
        <w:fldChar w:fldCharType="separate"/>
      </w:r>
      <w:r>
        <w:t>48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5-2. </w:t>
      </w:r>
      <w:r w:rsidRPr="004918BB">
        <w:t>Schematic diagram of the stratigraphic relationship between Quaternary fluvial units in the Darling River tract of the project area</w:t>
      </w:r>
      <w:r w:rsidRPr="004918BB">
        <w:rPr>
          <w:bCs w:val="0"/>
        </w:rPr>
        <w:t>.</w:t>
      </w:r>
      <w:r>
        <w:tab/>
      </w:r>
      <w:r>
        <w:fldChar w:fldCharType="begin"/>
      </w:r>
      <w:r>
        <w:instrText xml:space="preserve"> PAGEREF _Toc390690221 \h </w:instrText>
      </w:r>
      <w:r>
        <w:fldChar w:fldCharType="separate"/>
      </w:r>
      <w:r>
        <w:t>49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5-3. Elevation of </w:t>
      </w:r>
      <w:r w:rsidRPr="004918BB">
        <w:t>top of the Upper Confining Aquitard in metres AHD.</w:t>
      </w:r>
      <w:r>
        <w:tab/>
      </w:r>
      <w:r>
        <w:fldChar w:fldCharType="begin"/>
      </w:r>
      <w:r>
        <w:instrText xml:space="preserve"> PAGEREF _Toc390690222 \h </w:instrText>
      </w:r>
      <w:r>
        <w:fldChar w:fldCharType="separate"/>
      </w:r>
      <w:r>
        <w:t>53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5-4 </w:t>
      </w:r>
      <w:r w:rsidRPr="004918BB">
        <w:t>Map showing location of the major geological basement features relative to the BHMAR project</w:t>
      </w:r>
      <w:r>
        <w:t xml:space="preserve"> </w:t>
      </w:r>
      <w:r w:rsidRPr="004918BB">
        <w:t>area.</w:t>
      </w:r>
      <w:r>
        <w:tab/>
      </w:r>
      <w:r>
        <w:fldChar w:fldCharType="begin"/>
      </w:r>
      <w:r>
        <w:instrText xml:space="preserve"> PAGEREF _Toc390690223 \h </w:instrText>
      </w:r>
      <w:r>
        <w:fldChar w:fldCharType="separate"/>
      </w:r>
      <w:r>
        <w:t>57</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5-5. Blanchetown Clay surface (m AHD) for an area NE of Jimargil, including mapped structural features</w:t>
      </w:r>
      <w:r>
        <w:tab/>
      </w:r>
      <w:r>
        <w:fldChar w:fldCharType="begin"/>
      </w:r>
      <w:r>
        <w:instrText xml:space="preserve"> PAGEREF _Toc390690224 \h </w:instrText>
      </w:r>
      <w:r>
        <w:fldChar w:fldCharType="separate"/>
      </w:r>
      <w:r>
        <w:t>60</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5-6. Tiled conductivity depth sections with 200 m spacing between flight lines for an area near Menindee.</w:t>
      </w:r>
      <w:r>
        <w:tab/>
      </w:r>
      <w:r>
        <w:fldChar w:fldCharType="begin"/>
      </w:r>
      <w:r>
        <w:instrText xml:space="preserve"> PAGEREF _Toc390690225 \h </w:instrText>
      </w:r>
      <w:r>
        <w:fldChar w:fldCharType="separate"/>
      </w:r>
      <w:r>
        <w:t>61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5-7. Depth to top of upper confining aquitard including structural features and stress fields south of the Jimargil borefield</w:t>
      </w:r>
      <w:r>
        <w:tab/>
      </w:r>
      <w:r>
        <w:fldChar w:fldCharType="begin"/>
      </w:r>
      <w:r>
        <w:instrText xml:space="preserve"> PAGEREF _Toc390690226 \h </w:instrText>
      </w:r>
      <w:r>
        <w:fldChar w:fldCharType="separate"/>
      </w:r>
      <w:r>
        <w:t>63</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5-8. Elevation of top of Blanchetown Clay aquitard in m AHD for the area northeast of Jimargil, including detailed structural interpretation</w:t>
      </w:r>
      <w:r>
        <w:tab/>
      </w:r>
      <w:r>
        <w:fldChar w:fldCharType="begin"/>
      </w:r>
      <w:r>
        <w:instrText xml:space="preserve"> PAGEREF _Toc390690227 \h </w:instrText>
      </w:r>
      <w:r>
        <w:fldChar w:fldCharType="separate"/>
      </w:r>
      <w:r>
        <w:t>65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5-9. </w:t>
      </w:r>
      <w:r w:rsidRPr="004918BB">
        <w:t>Maps of first vertical derivative of total magnetic intensity and regional gravity, with major faults delineated</w:t>
      </w:r>
      <w:r w:rsidRPr="004918BB">
        <w:rPr>
          <w:bCs w:val="0"/>
        </w:rPr>
        <w:t>.</w:t>
      </w:r>
      <w:r>
        <w:tab/>
      </w:r>
      <w:r>
        <w:fldChar w:fldCharType="begin"/>
      </w:r>
      <w:r>
        <w:instrText xml:space="preserve"> PAGEREF _Toc390690228 \h </w:instrText>
      </w:r>
      <w:r>
        <w:fldChar w:fldCharType="separate"/>
      </w:r>
      <w:r>
        <w:t>66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5-10. Structural features shown on the LiDAR DEM including Talyawalka Scarp</w:t>
      </w:r>
      <w:r>
        <w:tab/>
      </w:r>
      <w:r>
        <w:fldChar w:fldCharType="begin"/>
      </w:r>
      <w:r>
        <w:instrText xml:space="preserve"> PAGEREF _Toc390690229 \h </w:instrText>
      </w:r>
      <w:r>
        <w:fldChar w:fldCharType="separate"/>
      </w:r>
      <w:r>
        <w:t>68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lastRenderedPageBreak/>
        <w:t>Figure 5-11. LiDAR DEM image of the Darling River near Bootingee showing unusual drainage patterns, including straight line segments and box-like patterns.</w:t>
      </w:r>
      <w:r>
        <w:tab/>
      </w:r>
      <w:r>
        <w:fldChar w:fldCharType="begin"/>
      </w:r>
      <w:r>
        <w:instrText xml:space="preserve"> PAGEREF _Toc390690230 \h </w:instrText>
      </w:r>
      <w:r>
        <w:fldChar w:fldCharType="separate"/>
      </w:r>
      <w:r>
        <w:t>68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5-12. Lineaments evident on the LiDAR and magnetic TMI</w:t>
      </w:r>
      <w:r>
        <w:tab/>
      </w:r>
      <w:r>
        <w:fldChar w:fldCharType="begin"/>
      </w:r>
      <w:r>
        <w:instrText xml:space="preserve"> PAGEREF _Toc390690231 \h </w:instrText>
      </w:r>
      <w:r>
        <w:fldChar w:fldCharType="separate"/>
      </w:r>
      <w:r>
        <w:t>69</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5-13. A diagrammatic representation of the structural strain pattern produced by a sinistral shear couple, as occurs within the Menindee Fault System (MFS).</w:t>
      </w:r>
      <w:r>
        <w:tab/>
      </w:r>
      <w:r>
        <w:fldChar w:fldCharType="begin"/>
      </w:r>
      <w:r>
        <w:instrText xml:space="preserve"> PAGEREF _Toc390690232 \h </w:instrText>
      </w:r>
      <w:r>
        <w:fldChar w:fldCharType="separate"/>
      </w:r>
      <w:r>
        <w:t>71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5-14. Blanchetown Clay surface and associated structural features for the northern portion of Jimargil</w:t>
      </w:r>
      <w:r>
        <w:tab/>
      </w:r>
      <w:r>
        <w:fldChar w:fldCharType="begin"/>
      </w:r>
      <w:r>
        <w:instrText xml:space="preserve"> PAGEREF _Toc390690233 \h </w:instrText>
      </w:r>
      <w:r>
        <w:fldChar w:fldCharType="separate"/>
      </w:r>
      <w:r>
        <w:t>73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6-1. </w:t>
      </w:r>
      <w:r w:rsidRPr="004918BB">
        <w:t>Predicted groundwater salinity (mg/L) for the AEM conductivity depth slice 43.5- 51.5m in the Pliocene aquifer, derived from the AEM and pore fluid data</w:t>
      </w:r>
      <w:r>
        <w:t>.</w:t>
      </w:r>
      <w:r>
        <w:tab/>
      </w:r>
      <w:r>
        <w:fldChar w:fldCharType="begin"/>
      </w:r>
      <w:r>
        <w:instrText xml:space="preserve"> PAGEREF _Toc390690234 \h </w:instrText>
      </w:r>
      <w:r>
        <w:fldChar w:fldCharType="separate"/>
      </w:r>
      <w:r>
        <w:t>76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6-2. </w:t>
      </w:r>
      <w:r w:rsidRPr="004918BB">
        <w:t>Groundwater resource targets (GWR1 -14) in Pliocene (Calivil Formation and Loxton-Parilla Sand) aquifers</w:t>
      </w:r>
      <w:r w:rsidRPr="004918BB">
        <w:rPr>
          <w:bCs w:val="0"/>
        </w:rPr>
        <w:t>.</w:t>
      </w:r>
      <w:r>
        <w:tab/>
      </w:r>
      <w:r>
        <w:fldChar w:fldCharType="begin"/>
      </w:r>
      <w:r>
        <w:instrText xml:space="preserve"> PAGEREF _Toc390690235 \h </w:instrText>
      </w:r>
      <w:r>
        <w:fldChar w:fldCharType="separate"/>
      </w:r>
      <w:r>
        <w:t>77</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6-3. Interpreted elevation (m AHD) of the watertable surface in the BHMAR project area.</w:t>
      </w:r>
      <w:r>
        <w:tab/>
      </w:r>
      <w:r>
        <w:fldChar w:fldCharType="begin"/>
      </w:r>
      <w:r>
        <w:instrText xml:space="preserve"> PAGEREF _Toc390690236 \h </w:instrText>
      </w:r>
      <w:r>
        <w:fldChar w:fldCharType="separate"/>
      </w:r>
      <w:r>
        <w:t>78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6-4. Interpreted elevation (m AHD) of the Calivil Formation aquifer potentiometric surface in the BHMAR project area.</w:t>
      </w:r>
      <w:r>
        <w:tab/>
      </w:r>
      <w:r>
        <w:fldChar w:fldCharType="begin"/>
      </w:r>
      <w:r>
        <w:instrText xml:space="preserve"> PAGEREF _Toc390690237 \h </w:instrText>
      </w:r>
      <w:r>
        <w:fldChar w:fldCharType="separate"/>
      </w:r>
      <w:r>
        <w:t>79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6-5. </w:t>
      </w:r>
      <w:r w:rsidRPr="004918BB">
        <w:t>Hydrographs for BHMAR84-3 and 84-4 screened in the Coonambidgal Formation aquifer at Jimargil.</w:t>
      </w:r>
      <w:r>
        <w:tab/>
      </w:r>
      <w:r>
        <w:fldChar w:fldCharType="begin"/>
      </w:r>
      <w:r>
        <w:instrText xml:space="preserve"> PAGEREF _Toc390690238 \h </w:instrText>
      </w:r>
      <w:r>
        <w:fldChar w:fldCharType="separate"/>
      </w:r>
      <w:r>
        <w:t>81</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6-6. Hydrographs for BHMAR77-3 and 92-2 screened in Menindee Formation aquifer at East Bootingee.</w:t>
      </w:r>
      <w:r>
        <w:tab/>
      </w:r>
      <w:r>
        <w:fldChar w:fldCharType="begin"/>
      </w:r>
      <w:r>
        <w:instrText xml:space="preserve"> PAGEREF _Toc390690239 \h </w:instrText>
      </w:r>
      <w:r>
        <w:fldChar w:fldCharType="separate"/>
      </w:r>
      <w:r>
        <w:t>81</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6-7. Hydrographs for BHMAR80A-2, 80A-7 and 80B-2 screened in Calivil Formation aquifer at East Bootingee</w:t>
      </w:r>
      <w:r>
        <w:tab/>
      </w:r>
      <w:r>
        <w:fldChar w:fldCharType="begin"/>
      </w:r>
      <w:r>
        <w:instrText xml:space="preserve"> PAGEREF _Toc390690240 \h </w:instrText>
      </w:r>
      <w:r>
        <w:fldChar w:fldCharType="separate"/>
      </w:r>
      <w:r>
        <w:t>83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6-8. </w:t>
      </w:r>
      <w:r w:rsidRPr="004918BB">
        <w:t>Hydrograph for BHMAR23-2 screened in the Calivil Formation aquifer at northeast margin of Lake Menindee</w:t>
      </w:r>
      <w:r w:rsidRPr="004918BB">
        <w:rPr>
          <w:bCs w:val="0"/>
        </w:rPr>
        <w:t>.</w:t>
      </w:r>
      <w:r>
        <w:tab/>
      </w:r>
      <w:r>
        <w:fldChar w:fldCharType="begin"/>
      </w:r>
      <w:r>
        <w:instrText xml:space="preserve"> PAGEREF _Toc390690241 \h </w:instrText>
      </w:r>
      <w:r>
        <w:fldChar w:fldCharType="separate"/>
      </w:r>
      <w:r>
        <w:t>83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6-9. </w:t>
      </w:r>
      <w:r w:rsidRPr="004918BB">
        <w:t>Piper diagram of major ion analyses of rainfall, surface water and groundwater samples</w:t>
      </w:r>
      <w:r w:rsidRPr="004918BB">
        <w:rPr>
          <w:bCs w:val="0"/>
        </w:rPr>
        <w:t>.</w:t>
      </w:r>
      <w:r>
        <w:tab/>
      </w:r>
      <w:r>
        <w:fldChar w:fldCharType="begin"/>
      </w:r>
      <w:r>
        <w:instrText xml:space="preserve"> PAGEREF _Toc390690242 \h </w:instrText>
      </w:r>
      <w:r>
        <w:fldChar w:fldCharType="separate"/>
      </w:r>
      <w:r>
        <w:t>87</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6-10. </w:t>
      </w:r>
      <w:r w:rsidRPr="004918BB">
        <w:t>Piper diagram of major ion analyses of pore fluid samples</w:t>
      </w:r>
      <w:r w:rsidRPr="004918BB">
        <w:rPr>
          <w:bCs w:val="0"/>
        </w:rPr>
        <w:t>.</w:t>
      </w:r>
      <w:r>
        <w:tab/>
      </w:r>
      <w:r>
        <w:fldChar w:fldCharType="begin"/>
      </w:r>
      <w:r>
        <w:instrText xml:space="preserve"> PAGEREF _Toc390690243 \h </w:instrText>
      </w:r>
      <w:r>
        <w:fldChar w:fldCharType="separate"/>
      </w:r>
      <w:r>
        <w:t>87</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6-11. </w:t>
      </w:r>
      <w:r w:rsidRPr="004918BB">
        <w:t>Scatter plots of sodium and potassium for BHMAR water samples.</w:t>
      </w:r>
      <w:r>
        <w:tab/>
      </w:r>
      <w:r>
        <w:fldChar w:fldCharType="begin"/>
      </w:r>
      <w:r>
        <w:instrText xml:space="preserve"> PAGEREF _Toc390690244 \h </w:instrText>
      </w:r>
      <w:r>
        <w:fldChar w:fldCharType="separate"/>
      </w:r>
      <w:r>
        <w:t>88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6-12. </w:t>
      </w:r>
      <w:r w:rsidRPr="004918BB">
        <w:t>Downhole plots of fuzzy k-means classification of pore fluids for selected BHMAR boreholes.</w:t>
      </w:r>
      <w:r>
        <w:tab/>
      </w:r>
      <w:r>
        <w:fldChar w:fldCharType="begin"/>
      </w:r>
      <w:r>
        <w:instrText xml:space="preserve"> PAGEREF _Toc390690245 \h </w:instrText>
      </w:r>
      <w:r>
        <w:fldChar w:fldCharType="separate"/>
      </w:r>
      <w:r>
        <w:t>89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6-13. </w:t>
      </w:r>
      <w:r w:rsidRPr="004918BB">
        <w:t>Stable isotope plot of oxygen-18 (δ</w:t>
      </w:r>
      <w:r w:rsidRPr="004918BB">
        <w:rPr>
          <w:vertAlign w:val="superscript"/>
        </w:rPr>
        <w:t>18</w:t>
      </w:r>
      <w:r w:rsidRPr="004918BB">
        <w:t>O) and deuterium (δ</w:t>
      </w:r>
      <w:r w:rsidRPr="004918BB">
        <w:rPr>
          <w:vertAlign w:val="superscript"/>
        </w:rPr>
        <w:t>2</w:t>
      </w:r>
      <w:r w:rsidRPr="004918BB">
        <w:t>H) for BHMAR groundwater samples</w:t>
      </w:r>
      <w:r w:rsidRPr="004918BB">
        <w:rPr>
          <w:bCs w:val="0"/>
        </w:rPr>
        <w:t>.</w:t>
      </w:r>
      <w:r>
        <w:tab/>
      </w:r>
      <w:r>
        <w:fldChar w:fldCharType="begin"/>
      </w:r>
      <w:r>
        <w:instrText xml:space="preserve"> PAGEREF _Toc390690246 \h </w:instrText>
      </w:r>
      <w:r>
        <w:fldChar w:fldCharType="separate"/>
      </w:r>
      <w:r>
        <w:t>91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6-14. </w:t>
      </w:r>
      <w:r w:rsidRPr="004918BB">
        <w:t>Percent modern carbon (pMC) scatter plots for BHMAR groundwater samples.</w:t>
      </w:r>
      <w:r>
        <w:tab/>
      </w:r>
      <w:r>
        <w:fldChar w:fldCharType="begin"/>
      </w:r>
      <w:r>
        <w:instrText xml:space="preserve"> PAGEREF _Toc390690247 \h </w:instrText>
      </w:r>
      <w:r>
        <w:fldChar w:fldCharType="separate"/>
      </w:r>
      <w:r>
        <w:t>92</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6-15. </w:t>
      </w:r>
      <w:r w:rsidRPr="004918BB">
        <w:t>Percent modern carbon (pMC) of sampled groundwaters in the Calivil Formation aquifer</w:t>
      </w:r>
      <w:r w:rsidRPr="004918BB">
        <w:rPr>
          <w:bCs w:val="0"/>
        </w:rPr>
        <w:t>.</w:t>
      </w:r>
      <w:r>
        <w:tab/>
      </w:r>
      <w:r>
        <w:fldChar w:fldCharType="begin"/>
      </w:r>
      <w:r>
        <w:instrText xml:space="preserve"> PAGEREF _Toc390690248 \h </w:instrText>
      </w:r>
      <w:r>
        <w:fldChar w:fldCharType="separate"/>
      </w:r>
      <w:r>
        <w:t>93</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6-16. Conceptual model for groundwater recharge in the Darling Floodplain alluvial sediments.</w:t>
      </w:r>
      <w:r>
        <w:tab/>
      </w:r>
      <w:r>
        <w:fldChar w:fldCharType="begin"/>
      </w:r>
      <w:r>
        <w:instrText xml:space="preserve"> PAGEREF _Toc390690249 \h </w:instrText>
      </w:r>
      <w:r>
        <w:fldChar w:fldCharType="separate"/>
      </w:r>
      <w:r>
        <w:t>95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6-17. Recharge potential and pathway classification applied to the 14 groundwater resource targets.</w:t>
      </w:r>
      <w:r>
        <w:tab/>
      </w:r>
      <w:r>
        <w:fldChar w:fldCharType="begin"/>
      </w:r>
      <w:r>
        <w:instrText xml:space="preserve"> PAGEREF _Toc390690250 \h </w:instrText>
      </w:r>
      <w:r>
        <w:fldChar w:fldCharType="separate"/>
      </w:r>
      <w:r>
        <w:t>101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7-1. </w:t>
      </w:r>
      <w:r w:rsidRPr="004918BB">
        <w:t>Conjunctive water management approach integrating existing Menindee Lakes surface storages with additional aquifer storage</w:t>
      </w:r>
      <w:r w:rsidRPr="004918BB">
        <w:rPr>
          <w:bCs w:val="0"/>
        </w:rPr>
        <w:t>.</w:t>
      </w:r>
      <w:r>
        <w:tab/>
      </w:r>
      <w:r>
        <w:fldChar w:fldCharType="begin"/>
      </w:r>
      <w:r>
        <w:instrText xml:space="preserve"> PAGEREF _Toc390690251 \h </w:instrText>
      </w:r>
      <w:r>
        <w:fldChar w:fldCharType="separate"/>
      </w:r>
      <w:r>
        <w:t>106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7-2. </w:t>
      </w:r>
      <w:r w:rsidRPr="004918BB">
        <w:t>Time series of flow and salinity (electrical conductivity) of the Darling River at the Weir 32 gauging station</w:t>
      </w:r>
      <w:r w:rsidRPr="004918BB">
        <w:rPr>
          <w:bCs w:val="0"/>
        </w:rPr>
        <w:t>.</w:t>
      </w:r>
      <w:r>
        <w:tab/>
      </w:r>
      <w:r>
        <w:fldChar w:fldCharType="begin"/>
      </w:r>
      <w:r>
        <w:instrText xml:space="preserve"> PAGEREF _Toc390690252 \h </w:instrText>
      </w:r>
      <w:r>
        <w:fldChar w:fldCharType="separate"/>
      </w:r>
      <w:r>
        <w:t>108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7-3. </w:t>
      </w:r>
      <w:r w:rsidRPr="004918BB">
        <w:t>Exceedance curve for salinity measured in the Darling River at Weir 32 during 1992-2010.</w:t>
      </w:r>
      <w:r>
        <w:tab/>
      </w:r>
      <w:r>
        <w:fldChar w:fldCharType="begin"/>
      </w:r>
      <w:r>
        <w:instrText xml:space="preserve"> PAGEREF _Toc390690253 \h </w:instrText>
      </w:r>
      <w:r>
        <w:fldChar w:fldCharType="separate"/>
      </w:r>
      <w:r>
        <w:t>109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8-1. </w:t>
      </w:r>
      <w:r w:rsidRPr="004918BB">
        <w:t>Predicted groundwater salinity in the 43.1-51.5 m depth slice at the Jimargil site</w:t>
      </w:r>
      <w:r w:rsidRPr="004918BB">
        <w:rPr>
          <w:bCs w:val="0"/>
        </w:rPr>
        <w:t>.</w:t>
      </w:r>
      <w:r>
        <w:tab/>
      </w:r>
      <w:r>
        <w:fldChar w:fldCharType="begin"/>
      </w:r>
      <w:r>
        <w:instrText xml:space="preserve"> PAGEREF _Toc390690254 \h </w:instrText>
      </w:r>
      <w:r>
        <w:fldChar w:fldCharType="separate"/>
      </w:r>
      <w:r>
        <w:t>113</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8-2. Map showing faults offsetting the upper confining aquitard at the Jimargil site.</w:t>
      </w:r>
      <w:r>
        <w:tab/>
      </w:r>
      <w:r>
        <w:fldChar w:fldCharType="begin"/>
      </w:r>
      <w:r>
        <w:instrText xml:space="preserve"> PAGEREF _Toc390690255 \h </w:instrText>
      </w:r>
      <w:r>
        <w:fldChar w:fldCharType="separate"/>
      </w:r>
      <w:r>
        <w:t>114</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8-3. L</w:t>
      </w:r>
      <w:r w:rsidRPr="004918BB">
        <w:t>ocal geological cross section through the northern end of the Jimargil site</w:t>
      </w:r>
      <w:r w:rsidRPr="004918BB">
        <w:rPr>
          <w:bCs w:val="0"/>
        </w:rPr>
        <w:t>.</w:t>
      </w:r>
      <w:r>
        <w:tab/>
      </w:r>
      <w:r>
        <w:fldChar w:fldCharType="begin"/>
      </w:r>
      <w:r>
        <w:instrText xml:space="preserve"> PAGEREF _Toc390690256 \h </w:instrText>
      </w:r>
      <w:r>
        <w:fldChar w:fldCharType="separate"/>
      </w:r>
      <w:r>
        <w:t>116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Figure 8-4. L</w:t>
      </w:r>
      <w:r w:rsidRPr="004918BB">
        <w:t>ocal hydrogeological cross section through the northern end of the Jimargil site</w:t>
      </w:r>
      <w:r w:rsidRPr="004918BB">
        <w:rPr>
          <w:bCs w:val="0"/>
        </w:rPr>
        <w:t>.</w:t>
      </w:r>
      <w:r>
        <w:tab/>
      </w:r>
      <w:r>
        <w:fldChar w:fldCharType="begin"/>
      </w:r>
      <w:r>
        <w:instrText xml:space="preserve"> PAGEREF _Toc390690257 \h </w:instrText>
      </w:r>
      <w:r>
        <w:fldChar w:fldCharType="separate"/>
      </w:r>
      <w:r>
        <w:t>118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8-5. Local east-west hydrogeological cross section through the Jimargil site</w:t>
      </w:r>
      <w:r>
        <w:tab/>
      </w:r>
      <w:r>
        <w:fldChar w:fldCharType="begin"/>
      </w:r>
      <w:r>
        <w:instrText xml:space="preserve"> PAGEREF _Toc390690258 \h </w:instrText>
      </w:r>
      <w:r>
        <w:fldChar w:fldCharType="separate"/>
      </w:r>
      <w:r>
        <w:t>120</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8-6. </w:t>
      </w:r>
      <w:r w:rsidRPr="004918BB">
        <w:t>Maps showing the geomorphology and topography of the Jimargil site.</w:t>
      </w:r>
      <w:r>
        <w:tab/>
      </w:r>
      <w:r>
        <w:fldChar w:fldCharType="begin"/>
      </w:r>
      <w:r>
        <w:instrText xml:space="preserve"> PAGEREF _Toc390690259 \h </w:instrText>
      </w:r>
      <w:r>
        <w:fldChar w:fldCharType="separate"/>
      </w:r>
      <w:r>
        <w:t>122</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8-7. Maps showing </w:t>
      </w:r>
      <w:r w:rsidRPr="004918BB">
        <w:t>mud drape thickness and the distribution of the Coonambidgal and Menindee Formation unconfined aquifers at the Jimargil site.</w:t>
      </w:r>
      <w:r>
        <w:tab/>
      </w:r>
      <w:r>
        <w:fldChar w:fldCharType="begin"/>
      </w:r>
      <w:r>
        <w:instrText xml:space="preserve"> PAGEREF _Toc390690260 \h </w:instrText>
      </w:r>
      <w:r>
        <w:fldChar w:fldCharType="separate"/>
      </w:r>
      <w:r>
        <w:t>124</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8-8. Upper aquitard thickness and </w:t>
      </w:r>
      <w:r w:rsidRPr="004918BB">
        <w:t>mapped textural classes at 51.5-61m depth at the Jimargil site.</w:t>
      </w:r>
      <w:r>
        <w:tab/>
      </w:r>
      <w:r>
        <w:fldChar w:fldCharType="begin"/>
      </w:r>
      <w:r>
        <w:instrText xml:space="preserve"> PAGEREF _Toc390690261 \h </w:instrText>
      </w:r>
      <w:r>
        <w:fldChar w:fldCharType="separate"/>
      </w:r>
      <w:r>
        <w:t>126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8-9. Textural classes for the </w:t>
      </w:r>
      <w:r w:rsidRPr="004918BB">
        <w:t>61.0-72.3m depth slice, and thickness of the Calivil Formation aquifer, at the Jimargil site</w:t>
      </w:r>
      <w:r w:rsidRPr="004918BB">
        <w:rPr>
          <w:bCs w:val="0"/>
        </w:rPr>
        <w:t>.</w:t>
      </w:r>
      <w:r>
        <w:tab/>
      </w:r>
      <w:r>
        <w:fldChar w:fldCharType="begin"/>
      </w:r>
      <w:r>
        <w:instrText xml:space="preserve"> PAGEREF _Toc390690262 \h </w:instrText>
      </w:r>
      <w:r>
        <w:fldChar w:fldCharType="separate"/>
      </w:r>
      <w:r>
        <w:t>128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8-10. </w:t>
      </w:r>
      <w:r w:rsidRPr="004918BB">
        <w:t>Condition of woody vegetation in 2009 and dominant water source for vegetation for the Jimargil borefield</w:t>
      </w:r>
      <w:r w:rsidRPr="004918BB">
        <w:rPr>
          <w:bCs w:val="0"/>
        </w:rPr>
        <w:t>.</w:t>
      </w:r>
      <w:r>
        <w:tab/>
      </w:r>
      <w:r>
        <w:fldChar w:fldCharType="begin"/>
      </w:r>
      <w:r>
        <w:instrText xml:space="preserve"> PAGEREF _Toc390690263 \h </w:instrText>
      </w:r>
      <w:r>
        <w:fldChar w:fldCharType="separate"/>
      </w:r>
      <w:r>
        <w:t>130</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8-11. </w:t>
      </w:r>
      <w:r w:rsidRPr="004918BB">
        <w:t>Log plots of NMR bound-water, free-water and the K</w:t>
      </w:r>
      <w:r w:rsidRPr="004918BB">
        <w:rPr>
          <w:vertAlign w:val="subscript"/>
        </w:rPr>
        <w:t>SDR</w:t>
      </w:r>
      <w:r w:rsidRPr="004918BB">
        <w:t xml:space="preserve"> for BHMAR58-1.</w:t>
      </w:r>
      <w:r>
        <w:tab/>
      </w:r>
      <w:r>
        <w:fldChar w:fldCharType="begin"/>
      </w:r>
      <w:r>
        <w:instrText xml:space="preserve"> PAGEREF _Toc390690264 \h </w:instrText>
      </w:r>
      <w:r>
        <w:fldChar w:fldCharType="separate"/>
      </w:r>
      <w:r>
        <w:t>133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8-12. </w:t>
      </w:r>
      <w:r w:rsidRPr="004918BB">
        <w:t>Calculated transmissivity (T</w:t>
      </w:r>
      <w:r w:rsidRPr="004918BB">
        <w:rPr>
          <w:vertAlign w:val="subscript"/>
        </w:rPr>
        <w:t>SDR</w:t>
      </w:r>
      <w:r w:rsidRPr="004918BB">
        <w:t>) based on the final hydraulic classes NMR derived C</w:t>
      </w:r>
      <w:r w:rsidRPr="004918BB">
        <w:rPr>
          <w:vertAlign w:val="subscript"/>
        </w:rPr>
        <w:t>ave</w:t>
      </w:r>
      <w:r w:rsidRPr="004918BB">
        <w:t xml:space="preserve"> values, versus transmissivity (T</w:t>
      </w:r>
      <w:r w:rsidRPr="004918BB">
        <w:rPr>
          <w:vertAlign w:val="subscript"/>
        </w:rPr>
        <w:t>Slug</w:t>
      </w:r>
      <w:r w:rsidRPr="004918BB">
        <w:t>) from the slug tests</w:t>
      </w:r>
      <w:r w:rsidRPr="004918BB">
        <w:rPr>
          <w:bCs w:val="0"/>
        </w:rPr>
        <w:t>.</w:t>
      </w:r>
      <w:r>
        <w:tab/>
      </w:r>
      <w:r>
        <w:fldChar w:fldCharType="begin"/>
      </w:r>
      <w:r>
        <w:instrText xml:space="preserve"> PAGEREF _Toc390690265 \h </w:instrText>
      </w:r>
      <w:r>
        <w:fldChar w:fldCharType="separate"/>
      </w:r>
      <w:r>
        <w:t>134</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8-13. </w:t>
      </w:r>
      <w:r w:rsidRPr="004918BB">
        <w:t>GWR1 target showing NMR-derived hydraulic conductivities for the Calivil Formation relative to predicted groundwater salinity.</w:t>
      </w:r>
      <w:r>
        <w:tab/>
      </w:r>
      <w:r>
        <w:fldChar w:fldCharType="begin"/>
      </w:r>
      <w:r>
        <w:instrText xml:space="preserve"> PAGEREF _Toc390690266 \h </w:instrText>
      </w:r>
      <w:r>
        <w:fldChar w:fldCharType="separate"/>
      </w:r>
      <w:r>
        <w:t>135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lastRenderedPageBreak/>
        <w:t xml:space="preserve">Figure 8-14. </w:t>
      </w:r>
      <w:r w:rsidRPr="004918BB">
        <w:t>Box and whisker plots of groundwater quality parameters for samples from bores in the Jimargil site</w:t>
      </w:r>
      <w:r w:rsidRPr="004918BB">
        <w:rPr>
          <w:bCs w:val="0"/>
        </w:rPr>
        <w:t>.</w:t>
      </w:r>
      <w:r>
        <w:tab/>
      </w:r>
      <w:r>
        <w:fldChar w:fldCharType="begin"/>
      </w:r>
      <w:r>
        <w:instrText xml:space="preserve"> PAGEREF _Toc390690267 \h </w:instrText>
      </w:r>
      <w:r>
        <w:fldChar w:fldCharType="separate"/>
      </w:r>
      <w:r>
        <w:t>138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8-15. </w:t>
      </w:r>
      <w:r w:rsidRPr="004918BB">
        <w:t>Potential borefields at the Jimargil (EB-J-W) site, showing locations of potential ASR or groundwater extraction-only bores relative to predicted water depth at maximum recorded flood levels.</w:t>
      </w:r>
      <w:r>
        <w:tab/>
      </w:r>
      <w:r>
        <w:fldChar w:fldCharType="begin"/>
      </w:r>
      <w:r>
        <w:instrText xml:space="preserve"> PAGEREF _Toc390690268 \h </w:instrText>
      </w:r>
      <w:r>
        <w:fldChar w:fldCharType="separate"/>
      </w:r>
      <w:r>
        <w:t>153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9-1. </w:t>
      </w:r>
      <w:r w:rsidRPr="004918BB">
        <w:t>Predicted groundwater salinity for the 43.5-51m depth slice within 20km of Menindee.</w:t>
      </w:r>
      <w:r>
        <w:tab/>
      </w:r>
      <w:r>
        <w:fldChar w:fldCharType="begin"/>
      </w:r>
      <w:r>
        <w:instrText xml:space="preserve"> PAGEREF _Toc390690269 \h </w:instrText>
      </w:r>
      <w:r>
        <w:fldChar w:fldCharType="separate"/>
      </w:r>
      <w:r>
        <w:t>155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9-2. Predicted groundwater salinity for the 22-26.1m depth slice at Lake Menindee.</w:t>
      </w:r>
      <w:r>
        <w:tab/>
      </w:r>
      <w:r>
        <w:fldChar w:fldCharType="begin"/>
      </w:r>
      <w:r>
        <w:instrText xml:space="preserve"> PAGEREF _Toc390690270 \h </w:instrText>
      </w:r>
      <w:r>
        <w:fldChar w:fldCharType="separate"/>
      </w:r>
      <w:r>
        <w:t>158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9-3. </w:t>
      </w:r>
      <w:r w:rsidRPr="004918BB">
        <w:t>Mapped dominant water source for vegetation at Lake Menindee back up site</w:t>
      </w:r>
      <w:r w:rsidRPr="004918BB">
        <w:rPr>
          <w:bCs w:val="0"/>
        </w:rPr>
        <w:t>.</w:t>
      </w:r>
      <w:r>
        <w:tab/>
      </w:r>
      <w:r>
        <w:fldChar w:fldCharType="begin"/>
      </w:r>
      <w:r>
        <w:instrText xml:space="preserve"> PAGEREF _Toc390690271 \h </w:instrText>
      </w:r>
      <w:r>
        <w:fldChar w:fldCharType="separate"/>
      </w:r>
      <w:r>
        <w:t>159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9-4. </w:t>
      </w:r>
      <w:r w:rsidRPr="004918BB">
        <w:t>Predicted groundwater salinity for the 43.5-51.5 m depth slice at Larloona</w:t>
      </w:r>
      <w:r w:rsidRPr="004918BB">
        <w:rPr>
          <w:bCs w:val="0"/>
        </w:rPr>
        <w:t>.</w:t>
      </w:r>
      <w:r>
        <w:tab/>
      </w:r>
      <w:r>
        <w:fldChar w:fldCharType="begin"/>
      </w:r>
      <w:r>
        <w:instrText xml:space="preserve"> PAGEREF _Toc390690272 \h </w:instrText>
      </w:r>
      <w:r>
        <w:fldChar w:fldCharType="separate"/>
      </w:r>
      <w:r>
        <w:t>165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9-5. Predicted </w:t>
      </w:r>
      <w:r w:rsidRPr="004918BB">
        <w:t>groundwater salinity for the 43.5-51.5m depth slice at Kinchega National Park</w:t>
      </w:r>
      <w:r w:rsidRPr="004918BB">
        <w:rPr>
          <w:bCs w:val="0"/>
        </w:rPr>
        <w:t>.</w:t>
      </w:r>
      <w:r>
        <w:tab/>
      </w:r>
      <w:r>
        <w:fldChar w:fldCharType="begin"/>
      </w:r>
      <w:r>
        <w:instrText xml:space="preserve"> PAGEREF _Toc390690273 \h </w:instrText>
      </w:r>
      <w:r>
        <w:fldChar w:fldCharType="separate"/>
      </w:r>
      <w:r>
        <w:t>173</w:t>
      </w:r>
      <w:r>
        <w:fldChar w:fldCharType="end"/>
      </w:r>
    </w:p>
    <w:p w:rsidR="00966532" w:rsidRDefault="00966532">
      <w:pPr>
        <w:pStyle w:val="TOC4"/>
        <w:rPr>
          <w:rFonts w:asciiTheme="minorHAnsi" w:eastAsiaTheme="minorEastAsia" w:hAnsiTheme="minorHAnsi" w:cstheme="minorBidi"/>
          <w:bCs w:val="0"/>
          <w:szCs w:val="22"/>
          <w:lang w:val="en-AU" w:eastAsia="en-AU"/>
        </w:rPr>
      </w:pPr>
      <w:r>
        <w:t>Figure 10-1. Workflow for estimating target/borefield groundwater storage volumes for salinity thresholds.</w:t>
      </w:r>
      <w:r>
        <w:tab/>
      </w:r>
      <w:r>
        <w:fldChar w:fldCharType="begin"/>
      </w:r>
      <w:r>
        <w:instrText xml:space="preserve"> PAGEREF _Toc390690274 \h </w:instrText>
      </w:r>
      <w:r>
        <w:fldChar w:fldCharType="separate"/>
      </w:r>
      <w:r>
        <w:t>180</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10-2. </w:t>
      </w:r>
      <w:r w:rsidRPr="004918BB">
        <w:t>Relationship between average pore fluid salinity and depth slice AEM conductivity, for Calivil Formation-dominant AEM depth slices</w:t>
      </w:r>
      <w:r w:rsidRPr="004918BB">
        <w:rPr>
          <w:bCs w:val="0"/>
        </w:rPr>
        <w:t>.</w:t>
      </w:r>
      <w:r>
        <w:tab/>
      </w:r>
      <w:r>
        <w:fldChar w:fldCharType="begin"/>
      </w:r>
      <w:r>
        <w:instrText xml:space="preserve"> PAGEREF _Toc390690275 \h </w:instrText>
      </w:r>
      <w:r>
        <w:fldChar w:fldCharType="separate"/>
      </w:r>
      <w:r>
        <w:t>181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rPr>
          <w:bCs w:val="0"/>
        </w:rPr>
        <w:t xml:space="preserve">Figure 10-3. </w:t>
      </w:r>
      <w:r w:rsidRPr="004918BB">
        <w:t>Groundwater resource targets (GWR1 -14) in Pliocene (Calivil Formation and Loxton-Parilla Sand) aquifers</w:t>
      </w:r>
      <w:r w:rsidRPr="004918BB">
        <w:rPr>
          <w:bCs w:val="0"/>
        </w:rPr>
        <w:t>.</w:t>
      </w:r>
      <w:r>
        <w:tab/>
      </w:r>
      <w:r>
        <w:fldChar w:fldCharType="begin"/>
      </w:r>
      <w:r>
        <w:instrText xml:space="preserve"> PAGEREF _Toc390690276 \h </w:instrText>
      </w:r>
      <w:r>
        <w:fldChar w:fldCharType="separate"/>
      </w:r>
      <w:r>
        <w:t>184</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11-1. Regional salinity-yield mapping for the Pliocene Sands (Calivil Formation and Loxton-Parilla Sands) aquifer.</w:t>
      </w:r>
      <w:r>
        <w:tab/>
      </w:r>
      <w:r>
        <w:fldChar w:fldCharType="begin"/>
      </w:r>
      <w:r>
        <w:instrText xml:space="preserve"> PAGEREF _Toc390690277 \h </w:instrText>
      </w:r>
      <w:r>
        <w:fldChar w:fldCharType="separate"/>
      </w:r>
      <w:r>
        <w:t>191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4918BB">
        <w:t>Figure 11-2. Image showing the upper reaches of the Darling River, marked to show the gaining and losing reaches (from CSIRO, 2008).</w:t>
      </w:r>
      <w:r>
        <w:tab/>
      </w:r>
      <w:r>
        <w:fldChar w:fldCharType="begin"/>
      </w:r>
      <w:r>
        <w:instrText xml:space="preserve"> PAGEREF _Toc390690278 \h </w:instrText>
      </w:r>
      <w:r>
        <w:fldChar w:fldCharType="separate"/>
      </w:r>
      <w:r>
        <w:t>195</w:t>
      </w:r>
      <w:r>
        <w:fldChar w:fldCharType="end"/>
      </w:r>
    </w:p>
    <w:p w:rsidR="00474EE1" w:rsidRPr="00CB7EA6" w:rsidRDefault="00474EE1" w:rsidP="00867A20">
      <w:pPr>
        <w:pStyle w:val="TOC4"/>
      </w:pPr>
      <w:r w:rsidRPr="00BB2261">
        <w:fldChar w:fldCharType="end"/>
      </w:r>
    </w:p>
    <w:p w:rsidR="00474EE1" w:rsidRPr="00EF6433" w:rsidRDefault="00474EE1" w:rsidP="00CB7EA6">
      <w:pPr>
        <w:spacing w:after="120"/>
        <w:rPr>
          <w:rFonts w:ascii="Arial" w:hAnsi="Arial" w:cs="Arial"/>
          <w:b/>
          <w:sz w:val="28"/>
          <w:szCs w:val="28"/>
        </w:rPr>
      </w:pPr>
      <w:r w:rsidRPr="00EF6433">
        <w:rPr>
          <w:rFonts w:ascii="Arial" w:hAnsi="Arial" w:cs="Arial"/>
          <w:b/>
          <w:sz w:val="28"/>
          <w:szCs w:val="28"/>
        </w:rPr>
        <w:t>List of Tables</w:t>
      </w:r>
    </w:p>
    <w:p w:rsidR="00966532" w:rsidRDefault="00474EE1">
      <w:pPr>
        <w:pStyle w:val="TOC4"/>
        <w:rPr>
          <w:rFonts w:asciiTheme="minorHAnsi" w:eastAsiaTheme="minorEastAsia" w:hAnsiTheme="minorHAnsi" w:cstheme="minorBidi"/>
          <w:bCs w:val="0"/>
          <w:szCs w:val="22"/>
          <w:lang w:val="en-AU" w:eastAsia="en-AU"/>
        </w:rPr>
      </w:pPr>
      <w:r w:rsidRPr="00BB2261">
        <w:rPr>
          <w:szCs w:val="22"/>
        </w:rPr>
        <w:fldChar w:fldCharType="begin"/>
      </w:r>
      <w:r w:rsidRPr="00BB2261">
        <w:rPr>
          <w:szCs w:val="22"/>
        </w:rPr>
        <w:instrText xml:space="preserve"> TOC \f B \* MERGEFORMAT </w:instrText>
      </w:r>
      <w:r w:rsidRPr="00BB2261">
        <w:rPr>
          <w:szCs w:val="22"/>
        </w:rPr>
        <w:fldChar w:fldCharType="separate"/>
      </w:r>
      <w:r w:rsidR="00966532" w:rsidRPr="00ED43F3">
        <w:t>Table A. Indicative groundwater volume estimates for regional targets in the BHMAR project area</w:t>
      </w:r>
      <w:r w:rsidR="00966532">
        <w:tab/>
      </w:r>
      <w:r w:rsidR="00966532">
        <w:fldChar w:fldCharType="begin"/>
      </w:r>
      <w:r w:rsidR="00966532">
        <w:instrText xml:space="preserve"> PAGEREF _Toc390690279 \h </w:instrText>
      </w:r>
      <w:r w:rsidR="00966532">
        <w:fldChar w:fldCharType="separate"/>
      </w:r>
      <w:r w:rsidR="00966532">
        <w:t>x</w:t>
      </w:r>
      <w:r w:rsidR="00966532">
        <w:fldChar w:fldCharType="end"/>
      </w:r>
    </w:p>
    <w:p w:rsidR="00966532" w:rsidRDefault="00966532">
      <w:pPr>
        <w:pStyle w:val="TOC4"/>
        <w:rPr>
          <w:rFonts w:asciiTheme="minorHAnsi" w:eastAsiaTheme="minorEastAsia" w:hAnsiTheme="minorHAnsi" w:cstheme="minorBidi"/>
          <w:bCs w:val="0"/>
          <w:szCs w:val="22"/>
          <w:lang w:val="en-AU" w:eastAsia="en-AU"/>
        </w:rPr>
      </w:pPr>
      <w:r>
        <w:t>Table B. Indicative groundwater volume estimates for potential borefields in the GWR1 target</w:t>
      </w:r>
      <w:r>
        <w:tab/>
      </w:r>
      <w:r>
        <w:fldChar w:fldCharType="begin"/>
      </w:r>
      <w:r>
        <w:instrText xml:space="preserve"> PAGEREF _Toc390690280 \h </w:instrText>
      </w:r>
      <w:r>
        <w:fldChar w:fldCharType="separate"/>
      </w:r>
      <w:r>
        <w:t>xxxi</w:t>
      </w:r>
      <w:r>
        <w:fldChar w:fldCharType="end"/>
      </w:r>
    </w:p>
    <w:p w:rsidR="00966532" w:rsidRDefault="00966532">
      <w:pPr>
        <w:pStyle w:val="TOC4"/>
        <w:rPr>
          <w:rFonts w:asciiTheme="minorHAnsi" w:eastAsiaTheme="minorEastAsia" w:hAnsiTheme="minorHAnsi" w:cstheme="minorBidi"/>
          <w:bCs w:val="0"/>
          <w:szCs w:val="22"/>
          <w:lang w:val="en-AU" w:eastAsia="en-AU"/>
        </w:rPr>
      </w:pPr>
      <w:r>
        <w:t>Table C: Characteristics of the Calivil Formation aquifer at Jimargil site.</w:t>
      </w:r>
      <w:r>
        <w:tab/>
      </w:r>
      <w:r>
        <w:fldChar w:fldCharType="begin"/>
      </w:r>
      <w:r>
        <w:instrText xml:space="preserve"> PAGEREF _Toc390690281 \h </w:instrText>
      </w:r>
      <w:r>
        <w:fldChar w:fldCharType="separate"/>
      </w:r>
      <w:r>
        <w:t>xxxii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D. Maximal risk assessment summary for Jimargil site</w:t>
      </w:r>
      <w:r>
        <w:tab/>
      </w:r>
      <w:r>
        <w:fldChar w:fldCharType="begin"/>
      </w:r>
      <w:r>
        <w:instrText xml:space="preserve"> PAGEREF _Toc390690282 \h </w:instrText>
      </w:r>
      <w:r>
        <w:fldChar w:fldCharType="separate"/>
      </w:r>
      <w:r>
        <w:t>xxxiii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E. Residual risk assessment summary for Jimargil site</w:t>
      </w:r>
      <w:r>
        <w:tab/>
      </w:r>
      <w:r>
        <w:fldChar w:fldCharType="begin"/>
      </w:r>
      <w:r>
        <w:instrText xml:space="preserve"> PAGEREF _Toc390690283 \h </w:instrText>
      </w:r>
      <w:r>
        <w:fldChar w:fldCharType="separate"/>
      </w:r>
      <w:r>
        <w:t>xxxiii</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2-1. Elevations, depths, areas and capacities of MLS lakes.</w:t>
      </w:r>
      <w:r>
        <w:tab/>
      </w:r>
      <w:r>
        <w:fldChar w:fldCharType="begin"/>
      </w:r>
      <w:r>
        <w:instrText xml:space="preserve"> PAGEREF _Toc390690284 \h </w:instrText>
      </w:r>
      <w:r>
        <w:fldChar w:fldCharType="separate"/>
      </w:r>
      <w:r>
        <w:t>14</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3-1. Definitions of scientific orientation of research teams</w:t>
      </w:r>
      <w:r>
        <w:tab/>
      </w:r>
      <w:r>
        <w:fldChar w:fldCharType="begin"/>
      </w:r>
      <w:r>
        <w:instrText xml:space="preserve"> PAGEREF _Toc390690285 \h </w:instrText>
      </w:r>
      <w:r>
        <w:fldChar w:fldCharType="separate"/>
      </w:r>
      <w:r>
        <w:t>19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4-1. Summary of the 4-stage approach for assessing risks in MAR projects.</w:t>
      </w:r>
      <w:r>
        <w:tab/>
      </w:r>
      <w:r>
        <w:fldChar w:fldCharType="begin"/>
      </w:r>
      <w:r>
        <w:instrText xml:space="preserve"> PAGEREF _Toc390690286 \h </w:instrText>
      </w:r>
      <w:r>
        <w:fldChar w:fldCharType="separate"/>
      </w:r>
      <w:r>
        <w:t>39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4-2. Details of the activities proposed to be undertaken in the 4-stage approach for assessing risks in MAR projects.</w:t>
      </w:r>
      <w:r>
        <w:tab/>
      </w:r>
      <w:r>
        <w:fldChar w:fldCharType="begin"/>
      </w:r>
      <w:r>
        <w:instrText xml:space="preserve"> PAGEREF _Toc390690287 \h </w:instrText>
      </w:r>
      <w:r>
        <w:fldChar w:fldCharType="separate"/>
      </w:r>
      <w:r>
        <w:t>40</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4-3. Entry-level assessment, indicating relative degree of difficulty in relation to specific environmental values of the aquifer and intended uses of recovered water.</w:t>
      </w:r>
      <w:r>
        <w:tab/>
      </w:r>
      <w:r>
        <w:fldChar w:fldCharType="begin"/>
      </w:r>
      <w:r>
        <w:instrText xml:space="preserve"> PAGEREF _Toc390690288 \h </w:instrText>
      </w:r>
      <w:r>
        <w:fldChar w:fldCharType="separate"/>
      </w:r>
      <w:r>
        <w:t>43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5-1. Stratigraphic column showing the relationships between geological units.</w:t>
      </w:r>
      <w:r>
        <w:tab/>
      </w:r>
      <w:r>
        <w:fldChar w:fldCharType="begin"/>
      </w:r>
      <w:r>
        <w:instrText xml:space="preserve"> PAGEREF _Toc390690289 \h </w:instrText>
      </w:r>
      <w:r>
        <w:fldChar w:fldCharType="separate"/>
      </w:r>
      <w:r>
        <w:t>47</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5-2. Quaternary fluvial formations recognised in the lower Darling Valley.</w:t>
      </w:r>
      <w:r>
        <w:tab/>
      </w:r>
      <w:r>
        <w:fldChar w:fldCharType="begin"/>
      </w:r>
      <w:r>
        <w:instrText xml:space="preserve"> PAGEREF _Toc390690290 \h </w:instrText>
      </w:r>
      <w:r>
        <w:fldChar w:fldCharType="separate"/>
      </w:r>
      <w:r>
        <w:t>51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6-1. Summary of groundwater responses in BHMAR bores with onset of flood from 14/10/2010.</w:t>
      </w:r>
      <w:r>
        <w:tab/>
      </w:r>
      <w:r>
        <w:fldChar w:fldCharType="begin"/>
      </w:r>
      <w:r>
        <w:instrText xml:space="preserve"> PAGEREF _Toc390690291 \h </w:instrText>
      </w:r>
      <w:r>
        <w:fldChar w:fldCharType="separate"/>
      </w:r>
      <w:r>
        <w:t>84</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6-2. Summary of BHMAR hydrochemical analyses.</w:t>
      </w:r>
      <w:r>
        <w:tab/>
      </w:r>
      <w:r>
        <w:fldChar w:fldCharType="begin"/>
      </w:r>
      <w:r>
        <w:instrText xml:space="preserve"> PAGEREF _Toc390690292 \h </w:instrText>
      </w:r>
      <w:r>
        <w:fldChar w:fldCharType="separate"/>
      </w:r>
      <w:r>
        <w:t>85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6-3. Summary of events exceeding flow thresholds for the Darling River at Weir 32 gauge record (1974-2012).</w:t>
      </w:r>
      <w:r>
        <w:tab/>
      </w:r>
      <w:r>
        <w:fldChar w:fldCharType="begin"/>
      </w:r>
      <w:r>
        <w:instrText xml:space="preserve"> PAGEREF _Toc390690293 \h </w:instrText>
      </w:r>
      <w:r>
        <w:fldChar w:fldCharType="separate"/>
      </w:r>
      <w:r>
        <w:t>96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6-4. Recharge estimates for unconfined aquifers based on watertable fluctuation method.</w:t>
      </w:r>
      <w:r>
        <w:tab/>
      </w:r>
      <w:r>
        <w:fldChar w:fldCharType="begin"/>
      </w:r>
      <w:r>
        <w:instrText xml:space="preserve"> PAGEREF _Toc390690294 \h </w:instrText>
      </w:r>
      <w:r>
        <w:fldChar w:fldCharType="separate"/>
      </w:r>
      <w:r>
        <w:t>98</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6-5. Comparison of recharge estimates using different methods for sites at Jimargil.</w:t>
      </w:r>
      <w:r>
        <w:tab/>
      </w:r>
      <w:r>
        <w:fldChar w:fldCharType="begin"/>
      </w:r>
      <w:r>
        <w:instrText xml:space="preserve"> PAGEREF _Toc390690295 \h </w:instrText>
      </w:r>
      <w:r>
        <w:fldChar w:fldCharType="separate"/>
      </w:r>
      <w:r>
        <w:t>99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8-1. Indicative groundwater volume estimates for Jimargil potential borefield in the GWR1 target.</w:t>
      </w:r>
      <w:r>
        <w:tab/>
      </w:r>
      <w:r>
        <w:fldChar w:fldCharType="begin"/>
      </w:r>
      <w:r>
        <w:instrText xml:space="preserve"> PAGEREF _Toc390690296 \h </w:instrText>
      </w:r>
      <w:r>
        <w:fldChar w:fldCharType="separate"/>
      </w:r>
      <w:r>
        <w:t>111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 xml:space="preserve">Table 8-2: </w:t>
      </w:r>
      <w:r w:rsidRPr="00ED43F3">
        <w:rPr>
          <w:lang w:eastAsia="zh-CN" w:bidi="th-TH"/>
        </w:rPr>
        <w:t>Summary of Phase 3a aquifer pump tests in Calivil Formation target aquifer</w:t>
      </w:r>
      <w:r w:rsidRPr="00ED43F3">
        <w:t>.</w:t>
      </w:r>
      <w:r>
        <w:tab/>
      </w:r>
      <w:r>
        <w:fldChar w:fldCharType="begin"/>
      </w:r>
      <w:r>
        <w:instrText xml:space="preserve"> PAGEREF _Toc390690297 \h </w:instrText>
      </w:r>
      <w:r>
        <w:fldChar w:fldCharType="separate"/>
      </w:r>
      <w:r>
        <w:t>132</w:t>
      </w:r>
      <w:r>
        <w:fldChar w:fldCharType="end"/>
      </w:r>
    </w:p>
    <w:p w:rsidR="00966532" w:rsidRDefault="00966532">
      <w:pPr>
        <w:pStyle w:val="TOC4"/>
        <w:rPr>
          <w:rFonts w:asciiTheme="minorHAnsi" w:eastAsiaTheme="minorEastAsia" w:hAnsiTheme="minorHAnsi" w:cstheme="minorBidi"/>
          <w:bCs w:val="0"/>
          <w:szCs w:val="22"/>
          <w:lang w:val="en-AU" w:eastAsia="en-AU"/>
        </w:rPr>
      </w:pPr>
      <w:r>
        <w:t>Table 8-3. Characteristics of Calivil Formation target aquifer at the Jimargil site.</w:t>
      </w:r>
      <w:r>
        <w:tab/>
      </w:r>
      <w:r>
        <w:fldChar w:fldCharType="begin"/>
      </w:r>
      <w:r>
        <w:instrText xml:space="preserve"> PAGEREF _Toc390690298 \h </w:instrText>
      </w:r>
      <w:r>
        <w:fldChar w:fldCharType="separate"/>
      </w:r>
      <w:r>
        <w:t>139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 xml:space="preserve">Table 8-4. </w:t>
      </w:r>
      <w:r w:rsidRPr="00ED43F3">
        <w:rPr>
          <w:rFonts w:cs="Arial"/>
        </w:rPr>
        <w:t>Entry-level risk assessment for the BHMAR ASR borefield site at Jimargil (EBJW)</w:t>
      </w:r>
      <w:r>
        <w:tab/>
      </w:r>
      <w:r>
        <w:fldChar w:fldCharType="begin"/>
      </w:r>
      <w:r>
        <w:instrText xml:space="preserve"> PAGEREF _Toc390690299 \h </w:instrText>
      </w:r>
      <w:r>
        <w:fldChar w:fldCharType="separate"/>
      </w:r>
      <w:r>
        <w:t>146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8-5. Maximal risk assessment summary for Jimargil site.</w:t>
      </w:r>
      <w:r>
        <w:tab/>
      </w:r>
      <w:r>
        <w:fldChar w:fldCharType="begin"/>
      </w:r>
      <w:r>
        <w:instrText xml:space="preserve"> PAGEREF _Toc390690300 \h </w:instrText>
      </w:r>
      <w:r>
        <w:fldChar w:fldCharType="separate"/>
      </w:r>
      <w:r>
        <w:t>149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 xml:space="preserve">Table 8-6. </w:t>
      </w:r>
      <w:r w:rsidRPr="00ED43F3">
        <w:rPr>
          <w:rFonts w:cs="Arial"/>
        </w:rPr>
        <w:t>Residual risk assessment summary</w:t>
      </w:r>
      <w:r w:rsidRPr="00ED43F3">
        <w:t>.</w:t>
      </w:r>
      <w:r>
        <w:tab/>
      </w:r>
      <w:r>
        <w:fldChar w:fldCharType="begin"/>
      </w:r>
      <w:r>
        <w:instrText xml:space="preserve"> PAGEREF _Toc390690301 \h </w:instrText>
      </w:r>
      <w:r>
        <w:fldChar w:fldCharType="separate"/>
      </w:r>
      <w:r>
        <w:t>149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9-1. Indicative groundwater volume estimates for the Lake Menindee potential borefield in the GWR2 target.</w:t>
      </w:r>
      <w:r>
        <w:tab/>
      </w:r>
      <w:r>
        <w:fldChar w:fldCharType="begin"/>
      </w:r>
      <w:r>
        <w:instrText xml:space="preserve"> PAGEREF _Toc390690302 \h </w:instrText>
      </w:r>
      <w:r>
        <w:fldChar w:fldCharType="separate"/>
      </w:r>
      <w:r>
        <w:t>159</w:t>
      </w:r>
      <w:r>
        <w:fldChar w:fldCharType="end"/>
      </w:r>
    </w:p>
    <w:p w:rsidR="00966532" w:rsidRDefault="00966532">
      <w:pPr>
        <w:pStyle w:val="TOC4"/>
        <w:rPr>
          <w:rFonts w:asciiTheme="minorHAnsi" w:eastAsiaTheme="minorEastAsia" w:hAnsiTheme="minorHAnsi" w:cstheme="minorBidi"/>
          <w:bCs w:val="0"/>
          <w:szCs w:val="22"/>
          <w:lang w:val="en-AU" w:eastAsia="en-AU"/>
        </w:rPr>
      </w:pPr>
      <w:r>
        <w:t>Table 9-2. Characteristics of Lake Menindee target aquifers.</w:t>
      </w:r>
      <w:r>
        <w:tab/>
      </w:r>
      <w:r>
        <w:fldChar w:fldCharType="begin"/>
      </w:r>
      <w:r>
        <w:instrText xml:space="preserve"> PAGEREF _Toc390690303 \h </w:instrText>
      </w:r>
      <w:r>
        <w:fldChar w:fldCharType="separate"/>
      </w:r>
      <w:r>
        <w:t>160</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 xml:space="preserve">Table 9-3. </w:t>
      </w:r>
      <w:r w:rsidRPr="00ED43F3">
        <w:rPr>
          <w:rFonts w:cs="Arial"/>
        </w:rPr>
        <w:t>Entry-level risk assessment for the BHMAR ASR site at Lake Menindee</w:t>
      </w:r>
      <w:r w:rsidRPr="00ED43F3">
        <w:t>.</w:t>
      </w:r>
      <w:r>
        <w:tab/>
      </w:r>
      <w:r>
        <w:fldChar w:fldCharType="begin"/>
      </w:r>
      <w:r>
        <w:instrText xml:space="preserve"> PAGEREF _Toc390690304 \h </w:instrText>
      </w:r>
      <w:r>
        <w:fldChar w:fldCharType="separate"/>
      </w:r>
      <w:r>
        <w:t>161</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9-4. Indicative groundwater volume estimates for the Larloona palaeochannel potential borefield in the GWR4 target.</w:t>
      </w:r>
      <w:r>
        <w:tab/>
      </w:r>
      <w:r>
        <w:fldChar w:fldCharType="begin"/>
      </w:r>
      <w:r>
        <w:instrText xml:space="preserve"> PAGEREF _Toc390690305 \h </w:instrText>
      </w:r>
      <w:r>
        <w:fldChar w:fldCharType="separate"/>
      </w:r>
      <w:r>
        <w:t>166</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lastRenderedPageBreak/>
        <w:t>Table 9-5. Aquifer characteristics for the Larloona palaeochannel potential borefield in the GWR4 target.</w:t>
      </w:r>
      <w:r>
        <w:tab/>
      </w:r>
      <w:r>
        <w:fldChar w:fldCharType="begin"/>
      </w:r>
      <w:r>
        <w:instrText xml:space="preserve"> PAGEREF _Toc390690306 \h </w:instrText>
      </w:r>
      <w:r>
        <w:fldChar w:fldCharType="separate"/>
      </w:r>
      <w:r>
        <w:t>167</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 xml:space="preserve">Table 9-6. </w:t>
      </w:r>
      <w:r w:rsidRPr="00ED43F3">
        <w:rPr>
          <w:rFonts w:cs="Arial"/>
        </w:rPr>
        <w:t>Entry-level risk assessment for the BHMAR ASR sites at the Larloona Site</w:t>
      </w:r>
      <w:r w:rsidRPr="00ED43F3">
        <w:t>.</w:t>
      </w:r>
      <w:r>
        <w:tab/>
      </w:r>
      <w:r>
        <w:fldChar w:fldCharType="begin"/>
      </w:r>
      <w:r>
        <w:instrText xml:space="preserve"> PAGEREF _Toc390690307 \h </w:instrText>
      </w:r>
      <w:r>
        <w:fldChar w:fldCharType="separate"/>
      </w:r>
      <w:r>
        <w:t>168</w:t>
      </w:r>
      <w:r>
        <w:fldChar w:fldCharType="end"/>
      </w:r>
    </w:p>
    <w:p w:rsidR="00966532" w:rsidRDefault="00966532">
      <w:pPr>
        <w:pStyle w:val="TOC4"/>
        <w:rPr>
          <w:rFonts w:asciiTheme="minorHAnsi" w:eastAsiaTheme="minorEastAsia" w:hAnsiTheme="minorHAnsi" w:cstheme="minorBidi"/>
          <w:bCs w:val="0"/>
          <w:szCs w:val="22"/>
          <w:lang w:val="en-AU" w:eastAsia="en-AU"/>
        </w:rPr>
      </w:pPr>
      <w:r>
        <w:t>Table 9-7. Indicative groundwater volume estimates for potential borefields at the KNP site.</w:t>
      </w:r>
      <w:r>
        <w:tab/>
      </w:r>
      <w:r>
        <w:fldChar w:fldCharType="begin"/>
      </w:r>
      <w:r>
        <w:instrText xml:space="preserve"> PAGEREF _Toc390690308 \h </w:instrText>
      </w:r>
      <w:r>
        <w:fldChar w:fldCharType="separate"/>
      </w:r>
      <w:r>
        <w:t>174</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 xml:space="preserve">Table 9-8. </w:t>
      </w:r>
      <w:r w:rsidRPr="00ED43F3">
        <w:rPr>
          <w:rFonts w:cs="Arial"/>
        </w:rPr>
        <w:t>Entry-level risk assessment for the BHMAR ASR sites at Kinchega National Park.</w:t>
      </w:r>
      <w:r>
        <w:tab/>
      </w:r>
      <w:r>
        <w:fldChar w:fldCharType="begin"/>
      </w:r>
      <w:r>
        <w:instrText xml:space="preserve"> PAGEREF _Toc390690309 \h </w:instrText>
      </w:r>
      <w:r>
        <w:fldChar w:fldCharType="separate"/>
      </w:r>
      <w:r>
        <w:t>175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10-1. Indicative groundwater volume estimates for regional targets in the BHMAR project area.</w:t>
      </w:r>
      <w:r>
        <w:tab/>
      </w:r>
      <w:r>
        <w:fldChar w:fldCharType="begin"/>
      </w:r>
      <w:r>
        <w:instrText xml:space="preserve"> PAGEREF _Toc390690310 \h </w:instrText>
      </w:r>
      <w:r>
        <w:fldChar w:fldCharType="separate"/>
      </w:r>
      <w:r>
        <w:t>185</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11-1. Summary of the Western Murray Porous Rock Groundwater Source (NoW, 2012c).</w:t>
      </w:r>
      <w:r>
        <w:tab/>
      </w:r>
      <w:r>
        <w:fldChar w:fldCharType="begin"/>
      </w:r>
      <w:r>
        <w:instrText xml:space="preserve"> PAGEREF _Toc390690311 \h </w:instrText>
      </w:r>
      <w:r>
        <w:fldChar w:fldCharType="separate"/>
      </w:r>
      <w:r>
        <w:t>188</w:t>
      </w:r>
      <w:r>
        <w:fldChar w:fldCharType="end"/>
      </w:r>
    </w:p>
    <w:p w:rsidR="00966532" w:rsidRDefault="00966532">
      <w:pPr>
        <w:pStyle w:val="TOC4"/>
        <w:rPr>
          <w:rFonts w:asciiTheme="minorHAnsi" w:eastAsiaTheme="minorEastAsia" w:hAnsiTheme="minorHAnsi" w:cstheme="minorBidi"/>
          <w:bCs w:val="0"/>
          <w:szCs w:val="22"/>
          <w:lang w:val="en-AU" w:eastAsia="en-AU"/>
        </w:rPr>
      </w:pPr>
      <w:r>
        <w:t>Table 11-2. Diversion Limits for BHMAR groundwater resource units under the Basin Plan (MDBA, 2012c).</w:t>
      </w:r>
      <w:r>
        <w:tab/>
      </w:r>
      <w:r>
        <w:fldChar w:fldCharType="begin"/>
      </w:r>
      <w:r>
        <w:instrText xml:space="preserve"> PAGEREF _Toc390690312 \h </w:instrText>
      </w:r>
      <w:r>
        <w:fldChar w:fldCharType="separate"/>
      </w:r>
      <w:r>
        <w:t>189</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11-3. Water balances using river system modelling and monthly accounting approaches for two Darling River reaches.</w:t>
      </w:r>
      <w:r>
        <w:tab/>
      </w:r>
      <w:r>
        <w:fldChar w:fldCharType="begin"/>
      </w:r>
      <w:r>
        <w:instrText xml:space="preserve"> PAGEREF _Toc390690313 \h </w:instrText>
      </w:r>
      <w:r>
        <w:fldChar w:fldCharType="separate"/>
      </w:r>
      <w:r>
        <w:t>193</w:t>
      </w:r>
      <w:r>
        <w:fldChar w:fldCharType="end"/>
      </w:r>
    </w:p>
    <w:p w:rsidR="00966532" w:rsidRDefault="00966532">
      <w:pPr>
        <w:pStyle w:val="TOC4"/>
        <w:rPr>
          <w:rFonts w:asciiTheme="minorHAnsi" w:eastAsiaTheme="minorEastAsia" w:hAnsiTheme="minorHAnsi" w:cstheme="minorBidi"/>
          <w:bCs w:val="0"/>
          <w:szCs w:val="22"/>
          <w:lang w:val="en-AU" w:eastAsia="en-AU"/>
        </w:rPr>
      </w:pPr>
      <w:r w:rsidRPr="00ED43F3">
        <w:t>Table 11-4. Comparison of Darling River main stem inflows and outflows for specific wet years.</w:t>
      </w:r>
      <w:r>
        <w:tab/>
      </w:r>
      <w:r>
        <w:fldChar w:fldCharType="begin"/>
      </w:r>
      <w:r>
        <w:instrText xml:space="preserve"> PAGEREF _Toc390690314 \h </w:instrText>
      </w:r>
      <w:r>
        <w:fldChar w:fldCharType="separate"/>
      </w:r>
      <w:r>
        <w:t>194</w:t>
      </w:r>
      <w:r>
        <w:fldChar w:fldCharType="end"/>
      </w:r>
    </w:p>
    <w:p w:rsidR="00CB381B" w:rsidRDefault="00474EE1" w:rsidP="008F097B">
      <w:r w:rsidRPr="00BB2261">
        <w:rPr>
          <w:szCs w:val="22"/>
        </w:rPr>
        <w:fldChar w:fldCharType="end"/>
      </w:r>
    </w:p>
    <w:p w:rsidR="00153CBA" w:rsidRDefault="00153CBA" w:rsidP="00CB7EA6">
      <w:pPr>
        <w:pStyle w:val="Heading1"/>
        <w:numPr>
          <w:ilvl w:val="0"/>
          <w:numId w:val="0"/>
        </w:numPr>
        <w:sectPr w:rsidR="00153CBA" w:rsidSect="00C6706D">
          <w:headerReference w:type="even" r:id="rId36"/>
          <w:headerReference w:type="default" r:id="rId37"/>
          <w:footerReference w:type="default" r:id="rId38"/>
          <w:headerReference w:type="first" r:id="rId39"/>
          <w:pgSz w:w="11906" w:h="16838" w:code="9"/>
          <w:pgMar w:top="1134" w:right="1134" w:bottom="1134" w:left="1134" w:header="709" w:footer="709" w:gutter="0"/>
          <w:pgNumType w:fmt="lowerRoman"/>
          <w:cols w:space="708"/>
          <w:docGrid w:linePitch="360"/>
        </w:sectPr>
      </w:pPr>
      <w:bookmarkStart w:id="61" w:name="_Toc279005453"/>
    </w:p>
    <w:p w:rsidR="002D20F0" w:rsidRPr="00827C9C" w:rsidRDefault="002A6779" w:rsidP="00DD022A">
      <w:pPr>
        <w:pStyle w:val="Heading1"/>
        <w:tabs>
          <w:tab w:val="clear" w:pos="360"/>
          <w:tab w:val="num" w:pos="720"/>
        </w:tabs>
        <w:ind w:left="720" w:hanging="720"/>
      </w:pPr>
      <w:bookmarkStart w:id="62" w:name="_Ref325644791"/>
      <w:bookmarkStart w:id="63" w:name="_Toc325700065"/>
      <w:bookmarkStart w:id="64" w:name="_Toc325700408"/>
      <w:bookmarkStart w:id="65" w:name="_Toc325975089"/>
      <w:bookmarkStart w:id="66" w:name="_Toc390690078"/>
      <w:r w:rsidRPr="002D20F0">
        <w:lastRenderedPageBreak/>
        <w:t>Introduction</w:t>
      </w:r>
      <w:bookmarkEnd w:id="61"/>
      <w:bookmarkEnd w:id="62"/>
      <w:bookmarkEnd w:id="63"/>
      <w:bookmarkEnd w:id="64"/>
      <w:bookmarkEnd w:id="65"/>
      <w:bookmarkEnd w:id="66"/>
    </w:p>
    <w:p w:rsidR="008B7CA7" w:rsidRPr="008B7CA7" w:rsidRDefault="008B7CA7" w:rsidP="00B712A4">
      <w:pPr>
        <w:pStyle w:val="Heading2"/>
        <w:tabs>
          <w:tab w:val="left" w:pos="720"/>
        </w:tabs>
        <w:spacing w:before="320"/>
      </w:pPr>
      <w:bookmarkStart w:id="67" w:name="_Toc325700066"/>
      <w:bookmarkStart w:id="68" w:name="_Toc325700409"/>
      <w:bookmarkStart w:id="69" w:name="_Toc325975090"/>
      <w:bookmarkStart w:id="70" w:name="_Toc390690079"/>
      <w:r w:rsidRPr="008B7CA7">
        <w:t>Background</w:t>
      </w:r>
      <w:bookmarkEnd w:id="67"/>
      <w:bookmarkEnd w:id="68"/>
      <w:bookmarkEnd w:id="69"/>
      <w:bookmarkEnd w:id="70"/>
    </w:p>
    <w:p w:rsidR="00E11F4C" w:rsidRPr="00E11F4C" w:rsidRDefault="009A102C" w:rsidP="00005604">
      <w:pPr>
        <w:pStyle w:val="Level11"/>
        <w:numPr>
          <w:ilvl w:val="0"/>
          <w:numId w:val="0"/>
        </w:numPr>
        <w:spacing w:before="0"/>
        <w:rPr>
          <w:rFonts w:ascii="Times New Roman" w:hAnsi="Times New Roman"/>
          <w:sz w:val="22"/>
          <w:szCs w:val="22"/>
          <w:lang w:eastAsia="en-AU"/>
        </w:rPr>
      </w:pPr>
      <w:r w:rsidRPr="009A102C">
        <w:rPr>
          <w:rFonts w:ascii="Times New Roman" w:hAnsi="Times New Roman"/>
          <w:sz w:val="22"/>
          <w:szCs w:val="22"/>
        </w:rPr>
        <w:t>Re</w:t>
      </w:r>
      <w:bookmarkStart w:id="71" w:name="OLE_LINK1"/>
      <w:bookmarkStart w:id="72" w:name="OLE_LINK4"/>
      <w:r w:rsidRPr="009A102C">
        <w:rPr>
          <w:rFonts w:ascii="Times New Roman" w:hAnsi="Times New Roman"/>
          <w:sz w:val="22"/>
          <w:szCs w:val="22"/>
        </w:rPr>
        <w:t xml:space="preserve">cent periods of prolonged drought and predictions of a drier future for </w:t>
      </w:r>
      <w:r w:rsidR="00673A75">
        <w:rPr>
          <w:rFonts w:ascii="Times New Roman" w:hAnsi="Times New Roman"/>
          <w:sz w:val="22"/>
          <w:szCs w:val="22"/>
        </w:rPr>
        <w:t xml:space="preserve">the southern half of </w:t>
      </w:r>
      <w:smartTag w:uri="urn:schemas-microsoft-com:office:smarttags" w:element="country-region">
        <w:smartTag w:uri="urn:schemas-microsoft-com:office:smarttags" w:element="place">
          <w:r>
            <w:rPr>
              <w:rFonts w:ascii="Times New Roman" w:hAnsi="Times New Roman"/>
              <w:sz w:val="22"/>
              <w:szCs w:val="22"/>
            </w:rPr>
            <w:t>Australia</w:t>
          </w:r>
        </w:smartTag>
      </w:smartTag>
      <w:r w:rsidRPr="009A102C">
        <w:rPr>
          <w:rFonts w:ascii="Times New Roman" w:hAnsi="Times New Roman"/>
          <w:sz w:val="22"/>
          <w:szCs w:val="22"/>
        </w:rPr>
        <w:t xml:space="preserve"> under a number of climate change scenarios </w:t>
      </w:r>
      <w:r>
        <w:rPr>
          <w:rFonts w:ascii="Times New Roman" w:hAnsi="Times New Roman"/>
          <w:sz w:val="22"/>
          <w:szCs w:val="22"/>
        </w:rPr>
        <w:t>(</w:t>
      </w:r>
      <w:r w:rsidR="00831C85">
        <w:rPr>
          <w:rFonts w:ascii="Times New Roman" w:hAnsi="Times New Roman"/>
          <w:sz w:val="22"/>
          <w:szCs w:val="22"/>
        </w:rPr>
        <w:t>Barron</w:t>
      </w:r>
      <w:r w:rsidR="008A5F7D" w:rsidRPr="008A5F7D">
        <w:rPr>
          <w:rFonts w:ascii="Times New Roman" w:hAnsi="Times New Roman"/>
          <w:i/>
          <w:sz w:val="22"/>
          <w:szCs w:val="22"/>
        </w:rPr>
        <w:t xml:space="preserve"> et al</w:t>
      </w:r>
      <w:r w:rsidR="00831C85">
        <w:rPr>
          <w:rFonts w:ascii="Times New Roman" w:hAnsi="Times New Roman"/>
          <w:sz w:val="22"/>
          <w:szCs w:val="22"/>
        </w:rPr>
        <w:t>., 2011</w:t>
      </w:r>
      <w:r>
        <w:rPr>
          <w:rFonts w:ascii="Times New Roman" w:hAnsi="Times New Roman"/>
          <w:sz w:val="22"/>
          <w:szCs w:val="22"/>
        </w:rPr>
        <w:t xml:space="preserve">) </w:t>
      </w:r>
      <w:r w:rsidR="00E11F4C" w:rsidRPr="009A102C">
        <w:rPr>
          <w:rFonts w:ascii="Times New Roman" w:hAnsi="Times New Roman"/>
          <w:sz w:val="22"/>
          <w:szCs w:val="22"/>
          <w:lang w:eastAsia="en-AU"/>
        </w:rPr>
        <w:t>have le</w:t>
      </w:r>
      <w:bookmarkEnd w:id="71"/>
      <w:bookmarkEnd w:id="72"/>
      <w:r w:rsidR="00E11F4C" w:rsidRPr="009A102C">
        <w:rPr>
          <w:rFonts w:ascii="Times New Roman" w:hAnsi="Times New Roman"/>
          <w:sz w:val="22"/>
          <w:szCs w:val="22"/>
          <w:lang w:eastAsia="en-AU"/>
        </w:rPr>
        <w:t xml:space="preserve">d to the search for innovative strategies to identify more secure water supplies for regional communities and industries, while also delivering environmental benefits to threatened river systems. These issues are particularly pressing in </w:t>
      </w:r>
      <w:r>
        <w:rPr>
          <w:rFonts w:ascii="Times New Roman" w:hAnsi="Times New Roman"/>
          <w:sz w:val="22"/>
          <w:szCs w:val="22"/>
          <w:lang w:eastAsia="en-AU"/>
        </w:rPr>
        <w:t>the</w:t>
      </w:r>
      <w:r w:rsidR="00E11F4C" w:rsidRPr="009A102C">
        <w:rPr>
          <w:rFonts w:ascii="Times New Roman" w:hAnsi="Times New Roman"/>
          <w:sz w:val="22"/>
          <w:szCs w:val="22"/>
          <w:lang w:eastAsia="en-AU"/>
        </w:rPr>
        <w:t xml:space="preserve"> </w:t>
      </w:r>
      <w:smartTag w:uri="urn:schemas-microsoft-com:office:smarttags" w:element="place">
        <w:smartTag w:uri="urn:schemas-microsoft-com:office:smarttags" w:element="PlaceName">
          <w:r w:rsidR="00E11F4C" w:rsidRPr="009A102C">
            <w:rPr>
              <w:rFonts w:ascii="Times New Roman" w:hAnsi="Times New Roman"/>
              <w:sz w:val="22"/>
              <w:szCs w:val="22"/>
              <w:lang w:eastAsia="en-AU"/>
            </w:rPr>
            <w:t>Murray-Darling</w:t>
          </w:r>
        </w:smartTag>
        <w:r w:rsidR="00E11F4C" w:rsidRPr="009A102C">
          <w:rPr>
            <w:rFonts w:ascii="Times New Roman" w:hAnsi="Times New Roman"/>
            <w:sz w:val="22"/>
            <w:szCs w:val="22"/>
            <w:lang w:eastAsia="en-AU"/>
          </w:rPr>
          <w:t xml:space="preserve"> </w:t>
        </w:r>
        <w:smartTag w:uri="urn:schemas-microsoft-com:office:smarttags" w:element="PlaceType">
          <w:r w:rsidR="00E11F4C" w:rsidRPr="009A102C">
            <w:rPr>
              <w:rFonts w:ascii="Times New Roman" w:hAnsi="Times New Roman"/>
              <w:sz w:val="22"/>
              <w:szCs w:val="22"/>
              <w:lang w:eastAsia="en-AU"/>
            </w:rPr>
            <w:t>Basin</w:t>
          </w:r>
        </w:smartTag>
      </w:smartTag>
      <w:r w:rsidR="00E11F4C" w:rsidRPr="009A102C">
        <w:rPr>
          <w:rFonts w:ascii="Times New Roman" w:hAnsi="Times New Roman"/>
          <w:sz w:val="22"/>
          <w:szCs w:val="22"/>
          <w:lang w:eastAsia="en-AU"/>
        </w:rPr>
        <w:t xml:space="preserve"> (the Basin), where the recent Millen</w:t>
      </w:r>
      <w:r>
        <w:rPr>
          <w:rFonts w:ascii="Times New Roman" w:hAnsi="Times New Roman"/>
          <w:sz w:val="22"/>
          <w:szCs w:val="22"/>
          <w:lang w:eastAsia="en-AU"/>
        </w:rPr>
        <w:t>n</w:t>
      </w:r>
      <w:r w:rsidR="00E11F4C" w:rsidRPr="009A102C">
        <w:rPr>
          <w:rFonts w:ascii="Times New Roman" w:hAnsi="Times New Roman"/>
          <w:sz w:val="22"/>
          <w:szCs w:val="22"/>
          <w:lang w:eastAsia="en-AU"/>
        </w:rPr>
        <w:t>ium Drought (late 1990’s - 2010) adversely affected many communities, industries and</w:t>
      </w:r>
      <w:r w:rsidR="00E11F4C" w:rsidRPr="00E11F4C">
        <w:rPr>
          <w:rFonts w:ascii="Times New Roman" w:hAnsi="Times New Roman"/>
          <w:sz w:val="22"/>
          <w:szCs w:val="22"/>
          <w:lang w:eastAsia="en-AU"/>
        </w:rPr>
        <w:t xml:space="preserve"> the environment</w:t>
      </w:r>
      <w:r>
        <w:rPr>
          <w:rFonts w:ascii="Times New Roman" w:hAnsi="Times New Roman"/>
          <w:sz w:val="22"/>
          <w:szCs w:val="22"/>
          <w:lang w:eastAsia="en-AU"/>
        </w:rPr>
        <w:t xml:space="preserve"> (</w:t>
      </w:r>
      <w:r w:rsidR="00EE1082">
        <w:rPr>
          <w:rFonts w:ascii="Times New Roman" w:hAnsi="Times New Roman"/>
          <w:sz w:val="22"/>
          <w:szCs w:val="22"/>
          <w:lang w:eastAsia="en-AU"/>
        </w:rPr>
        <w:t>MDBA, 2010a, b</w:t>
      </w:r>
      <w:r>
        <w:rPr>
          <w:rFonts w:ascii="Times New Roman" w:hAnsi="Times New Roman"/>
          <w:sz w:val="22"/>
          <w:szCs w:val="22"/>
          <w:lang w:eastAsia="en-AU"/>
        </w:rPr>
        <w:t>)</w:t>
      </w:r>
      <w:r w:rsidR="00E11F4C" w:rsidRPr="00E11F4C">
        <w:rPr>
          <w:rFonts w:ascii="Times New Roman" w:hAnsi="Times New Roman"/>
          <w:sz w:val="22"/>
          <w:szCs w:val="22"/>
          <w:lang w:eastAsia="en-AU"/>
        </w:rPr>
        <w:t>. While subsequent heavy rains and flooding associated with La Ni</w:t>
      </w:r>
      <w:r w:rsidR="00C60D18">
        <w:rPr>
          <w:rFonts w:ascii="Times New Roman" w:hAnsi="Times New Roman"/>
          <w:sz w:val="22"/>
          <w:szCs w:val="22"/>
          <w:lang w:eastAsia="en-AU"/>
        </w:rPr>
        <w:t>ñ</w:t>
      </w:r>
      <w:r w:rsidR="00E11F4C" w:rsidRPr="00E11F4C">
        <w:rPr>
          <w:rFonts w:ascii="Times New Roman" w:hAnsi="Times New Roman"/>
          <w:sz w:val="22"/>
          <w:szCs w:val="22"/>
          <w:lang w:eastAsia="en-AU"/>
        </w:rPr>
        <w:t>a cycles broke the drought in late 2010-2012, there is general recognition of the need to provide longer-term strategic solutions to achieve a healthier working Basin (</w:t>
      </w:r>
      <w:r w:rsidR="00EE1082">
        <w:rPr>
          <w:rFonts w:ascii="Times New Roman" w:hAnsi="Times New Roman"/>
          <w:sz w:val="22"/>
          <w:szCs w:val="22"/>
          <w:lang w:eastAsia="en-AU"/>
        </w:rPr>
        <w:t>MDBA, 2010b; 2011; 2012</w:t>
      </w:r>
      <w:r w:rsidR="00364F6D">
        <w:rPr>
          <w:rFonts w:ascii="Times New Roman" w:hAnsi="Times New Roman"/>
          <w:sz w:val="22"/>
          <w:szCs w:val="22"/>
          <w:lang w:eastAsia="en-AU"/>
        </w:rPr>
        <w:t>a</w:t>
      </w:r>
      <w:r w:rsidR="00A447A6">
        <w:rPr>
          <w:rFonts w:ascii="Times New Roman" w:hAnsi="Times New Roman"/>
          <w:sz w:val="22"/>
          <w:szCs w:val="22"/>
          <w:lang w:eastAsia="en-AU"/>
        </w:rPr>
        <w:t>).</w:t>
      </w:r>
    </w:p>
    <w:p w:rsidR="00E11F4C" w:rsidRPr="00E11F4C" w:rsidRDefault="00E11F4C" w:rsidP="00005604">
      <w:pPr>
        <w:pStyle w:val="Level11"/>
        <w:numPr>
          <w:ilvl w:val="0"/>
          <w:numId w:val="0"/>
        </w:numPr>
        <w:spacing w:before="0"/>
        <w:rPr>
          <w:rFonts w:ascii="Times New Roman" w:hAnsi="Times New Roman"/>
          <w:sz w:val="22"/>
          <w:szCs w:val="22"/>
          <w:lang w:eastAsia="en-AU"/>
        </w:rPr>
      </w:pPr>
    </w:p>
    <w:p w:rsidR="00942A42" w:rsidRPr="00795774" w:rsidRDefault="001A3D78" w:rsidP="0009420D">
      <w:r>
        <w:t xml:space="preserve">It has long been </w:t>
      </w:r>
      <w:r w:rsidR="00E11F4C" w:rsidRPr="00E11F4C">
        <w:t xml:space="preserve">recognised that one of the areas with the greatest potential to contribute water savings in the Basin is at the </w:t>
      </w:r>
      <w:r w:rsidR="007D1583">
        <w:t>Menindee Lakes</w:t>
      </w:r>
      <w:r w:rsidR="00E11F4C" w:rsidRPr="00E11F4C">
        <w:t xml:space="preserve"> Storages (MLS), located on </w:t>
      </w:r>
      <w:r w:rsidR="00E11F4C" w:rsidRPr="00795774">
        <w:t xml:space="preserve">the lower section of the Darling River in far western </w:t>
      </w:r>
      <w:smartTag w:uri="urn:schemas-microsoft-com:office:smarttags" w:element="State">
        <w:r w:rsidR="00E11F4C" w:rsidRPr="00795774">
          <w:t>New South Wales</w:t>
        </w:r>
      </w:smartTag>
      <w:r w:rsidR="00E11F4C" w:rsidRPr="00795774">
        <w:t xml:space="preserve">, adjacent to the </w:t>
      </w:r>
      <w:smartTag w:uri="urn:schemas-microsoft-com:office:smarttags" w:element="place">
        <w:smartTag w:uri="urn:schemas-microsoft-com:office:smarttags" w:element="PlaceType">
          <w:r w:rsidR="00E11F4C" w:rsidRPr="00795774">
            <w:t>township</w:t>
          </w:r>
        </w:smartTag>
        <w:r w:rsidR="00E11F4C" w:rsidRPr="00795774">
          <w:t xml:space="preserve"> of </w:t>
        </w:r>
        <w:smartTag w:uri="urn:schemas-microsoft-com:office:smarttags" w:element="PlaceName">
          <w:r w:rsidR="00C217F0">
            <w:t>Menindee</w:t>
          </w:r>
        </w:smartTag>
      </w:smartTag>
      <w:r w:rsidR="00C217F0">
        <w:t xml:space="preserve"> </w:t>
      </w:r>
      <w:r w:rsidR="00E11F4C" w:rsidRPr="00795774">
        <w:t>(</w:t>
      </w:r>
      <w:r w:rsidR="001741E7" w:rsidRPr="00795774">
        <w:fldChar w:fldCharType="begin"/>
      </w:r>
      <w:r w:rsidR="001741E7" w:rsidRPr="00795774">
        <w:instrText xml:space="preserve"> REF _Ref325642490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1</w:t>
      </w:r>
      <w:r w:rsidR="00966532" w:rsidRPr="00966532">
        <w:rPr>
          <w:noProof/>
        </w:rPr>
        <w:noBreakHyphen/>
        <w:t>1</w:t>
      </w:r>
      <w:r w:rsidR="001741E7" w:rsidRPr="00795774">
        <w:fldChar w:fldCharType="end"/>
      </w:r>
      <w:r w:rsidR="00E11F4C" w:rsidRPr="00795774">
        <w:t xml:space="preserve">). The MLS provide the main water supply storage </w:t>
      </w:r>
      <w:r w:rsidR="00F1254A">
        <w:t>(up to 2,100 gigalitres, GL</w:t>
      </w:r>
      <w:r w:rsidR="00F1254A" w:rsidRPr="00795774">
        <w:t xml:space="preserve">) </w:t>
      </w:r>
      <w:r w:rsidR="00E11F4C" w:rsidRPr="00795774">
        <w:t xml:space="preserve">in the lower </w:t>
      </w:r>
      <w:smartTag w:uri="urn:schemas-microsoft-com:office:smarttags" w:element="PlaceName">
        <w:r w:rsidR="00E11F4C" w:rsidRPr="00795774">
          <w:t>Murray-Darling</w:t>
        </w:r>
      </w:smartTag>
      <w:r w:rsidR="00E11F4C" w:rsidRPr="00795774">
        <w:t xml:space="preserve"> </w:t>
      </w:r>
      <w:smartTag w:uri="urn:schemas-microsoft-com:office:smarttags" w:element="PlaceType">
        <w:r w:rsidR="00E11F4C" w:rsidRPr="00795774">
          <w:t>River</w:t>
        </w:r>
      </w:smartTag>
      <w:r w:rsidR="00E11F4C" w:rsidRPr="00795774">
        <w:t xml:space="preserve"> system, and play a significant role in meeting </w:t>
      </w:r>
      <w:smartTag w:uri="urn:schemas-microsoft-com:office:smarttags" w:element="place">
        <w:smartTag w:uri="urn:schemas-microsoft-com:office:smarttags" w:element="State">
          <w:r w:rsidR="00E11F4C" w:rsidRPr="00795774">
            <w:t>South Australia</w:t>
          </w:r>
        </w:smartTag>
      </w:smartTag>
      <w:r w:rsidR="00E11F4C" w:rsidRPr="00795774">
        <w:t>’s water requirements. The MLS are also the principal water supply storage for the City of Broken Hill, which is supplied via a 110</w:t>
      </w:r>
      <w:r w:rsidR="0008529C">
        <w:t xml:space="preserve"> </w:t>
      </w:r>
      <w:r w:rsidR="00E11F4C" w:rsidRPr="00795774">
        <w:t>km pipeline (</w:t>
      </w:r>
      <w:r w:rsidR="001741E7" w:rsidRPr="00795774">
        <w:fldChar w:fldCharType="begin"/>
      </w:r>
      <w:r w:rsidR="001741E7" w:rsidRPr="00795774">
        <w:instrText xml:space="preserve"> REF _Ref325642490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1</w:t>
      </w:r>
      <w:r w:rsidR="00966532" w:rsidRPr="00966532">
        <w:rPr>
          <w:noProof/>
        </w:rPr>
        <w:noBreakHyphen/>
        <w:t>1</w:t>
      </w:r>
      <w:r w:rsidR="001741E7" w:rsidRPr="00795774">
        <w:fldChar w:fldCharType="end"/>
      </w:r>
      <w:r w:rsidR="00E11F4C" w:rsidRPr="00795774">
        <w:t xml:space="preserve">). The MLS also provide water locally near </w:t>
      </w:r>
      <w:r w:rsidR="00C217F0">
        <w:t xml:space="preserve">Menindee </w:t>
      </w:r>
      <w:r w:rsidR="00E11F4C" w:rsidRPr="00795774">
        <w:t xml:space="preserve">for irrigators and stock and domestic use. </w:t>
      </w:r>
    </w:p>
    <w:p w:rsidR="00942A42" w:rsidRDefault="00942A42" w:rsidP="00005604">
      <w:pPr>
        <w:pStyle w:val="Level11"/>
        <w:numPr>
          <w:ilvl w:val="0"/>
          <w:numId w:val="0"/>
        </w:numPr>
        <w:spacing w:before="0"/>
        <w:rPr>
          <w:rFonts w:ascii="Times New Roman" w:hAnsi="Times New Roman"/>
          <w:sz w:val="22"/>
          <w:szCs w:val="22"/>
          <w:lang w:eastAsia="en-AU"/>
        </w:rPr>
      </w:pPr>
    </w:p>
    <w:p w:rsidR="00E11F4C" w:rsidRPr="00E11F4C" w:rsidRDefault="00942A42" w:rsidP="00005604">
      <w:pPr>
        <w:pStyle w:val="Level11"/>
        <w:numPr>
          <w:ilvl w:val="0"/>
          <w:numId w:val="0"/>
        </w:numPr>
        <w:spacing w:before="0"/>
        <w:rPr>
          <w:rFonts w:ascii="Times New Roman" w:hAnsi="Times New Roman"/>
          <w:sz w:val="22"/>
          <w:szCs w:val="22"/>
          <w:lang w:eastAsia="en-AU"/>
        </w:rPr>
      </w:pPr>
      <w:r>
        <w:rPr>
          <w:rFonts w:ascii="Times New Roman" w:hAnsi="Times New Roman"/>
          <w:sz w:val="22"/>
          <w:szCs w:val="22"/>
          <w:lang w:eastAsia="en-AU"/>
        </w:rPr>
        <w:t>T</w:t>
      </w:r>
      <w:r w:rsidR="00E11F4C" w:rsidRPr="00E11F4C">
        <w:rPr>
          <w:rFonts w:ascii="Times New Roman" w:hAnsi="Times New Roman"/>
          <w:sz w:val="22"/>
          <w:szCs w:val="22"/>
          <w:lang w:eastAsia="en-AU"/>
        </w:rPr>
        <w:t xml:space="preserve">he shallow nature of the lakes in this hot </w:t>
      </w:r>
      <w:r w:rsidR="00E11F4C" w:rsidRPr="00DC3EB9">
        <w:rPr>
          <w:rFonts w:ascii="Times New Roman" w:hAnsi="Times New Roman"/>
          <w:sz w:val="22"/>
          <w:szCs w:val="22"/>
          <w:lang w:eastAsia="en-AU"/>
        </w:rPr>
        <w:t xml:space="preserve">and windy semi-arid environment results in </w:t>
      </w:r>
      <w:r w:rsidR="006264CC" w:rsidRPr="00DC3EB9">
        <w:rPr>
          <w:rFonts w:ascii="Times New Roman" w:hAnsi="Times New Roman"/>
          <w:sz w:val="22"/>
          <w:szCs w:val="22"/>
          <w:lang w:eastAsia="en-AU"/>
        </w:rPr>
        <w:t xml:space="preserve">significant </w:t>
      </w:r>
      <w:r w:rsidR="00E11F4C" w:rsidRPr="00DC3EB9">
        <w:rPr>
          <w:rFonts w:ascii="Times New Roman" w:hAnsi="Times New Roman"/>
          <w:sz w:val="22"/>
          <w:szCs w:val="22"/>
          <w:lang w:eastAsia="en-AU"/>
        </w:rPr>
        <w:t>evaporation (</w:t>
      </w:r>
      <w:r w:rsidR="00097B59" w:rsidRPr="00DC3EB9">
        <w:rPr>
          <w:rFonts w:ascii="Times New Roman" w:hAnsi="Times New Roman"/>
          <w:sz w:val="22"/>
          <w:szCs w:val="22"/>
          <w:lang w:eastAsia="en-AU"/>
        </w:rPr>
        <w:t>Evans</w:t>
      </w:r>
      <w:r w:rsidR="008A5F7D" w:rsidRPr="008A5F7D">
        <w:rPr>
          <w:rFonts w:ascii="Times New Roman" w:hAnsi="Times New Roman"/>
          <w:i/>
          <w:sz w:val="22"/>
          <w:szCs w:val="22"/>
          <w:lang w:eastAsia="en-AU"/>
        </w:rPr>
        <w:t xml:space="preserve"> et al</w:t>
      </w:r>
      <w:r w:rsidR="00097B59" w:rsidRPr="00DC3EB9">
        <w:rPr>
          <w:rFonts w:ascii="Times New Roman" w:hAnsi="Times New Roman"/>
          <w:sz w:val="22"/>
          <w:szCs w:val="22"/>
          <w:lang w:eastAsia="en-AU"/>
        </w:rPr>
        <w:t>., 2009</w:t>
      </w:r>
      <w:r w:rsidR="00E11F4C" w:rsidRPr="00DC3EB9">
        <w:rPr>
          <w:rFonts w:ascii="Times New Roman" w:hAnsi="Times New Roman"/>
          <w:sz w:val="22"/>
          <w:szCs w:val="22"/>
          <w:lang w:eastAsia="en-AU"/>
        </w:rPr>
        <w:t xml:space="preserve">; </w:t>
      </w:r>
      <w:r w:rsidR="00EE1082">
        <w:rPr>
          <w:rFonts w:ascii="Times New Roman" w:hAnsi="Times New Roman"/>
          <w:sz w:val="22"/>
          <w:szCs w:val="22"/>
          <w:lang w:eastAsia="en-AU"/>
        </w:rPr>
        <w:t>MDBA, 2010a</w:t>
      </w:r>
      <w:r w:rsidR="00E11F4C" w:rsidRPr="00DC3EB9">
        <w:rPr>
          <w:rFonts w:ascii="Times New Roman" w:hAnsi="Times New Roman"/>
          <w:sz w:val="22"/>
          <w:szCs w:val="22"/>
          <w:lang w:eastAsia="en-AU"/>
        </w:rPr>
        <w:t xml:space="preserve">). </w:t>
      </w:r>
      <w:r w:rsidR="006264CC" w:rsidRPr="00DC3EB9">
        <w:rPr>
          <w:rFonts w:ascii="Times New Roman" w:hAnsi="Times New Roman"/>
          <w:sz w:val="22"/>
          <w:szCs w:val="22"/>
          <w:lang w:eastAsia="en-AU"/>
        </w:rPr>
        <w:t>It is estimated that the</w:t>
      </w:r>
      <w:r w:rsidR="00E11F4C" w:rsidRPr="00DC3EB9">
        <w:rPr>
          <w:rFonts w:ascii="Times New Roman" w:hAnsi="Times New Roman"/>
          <w:sz w:val="22"/>
          <w:szCs w:val="22"/>
          <w:lang w:eastAsia="en-AU"/>
        </w:rPr>
        <w:t xml:space="preserve"> average evaporation loss </w:t>
      </w:r>
      <w:r w:rsidR="006264CC" w:rsidRPr="00DC3EB9">
        <w:rPr>
          <w:rFonts w:ascii="Times New Roman" w:hAnsi="Times New Roman"/>
          <w:sz w:val="22"/>
          <w:szCs w:val="22"/>
          <w:lang w:eastAsia="en-AU"/>
        </w:rPr>
        <w:t xml:space="preserve">for the MLS as a whole is in the order </w:t>
      </w:r>
      <w:r w:rsidR="00E11F4C" w:rsidRPr="00DC3EB9">
        <w:rPr>
          <w:rFonts w:ascii="Times New Roman" w:hAnsi="Times New Roman"/>
          <w:sz w:val="22"/>
          <w:szCs w:val="22"/>
          <w:lang w:eastAsia="en-AU"/>
        </w:rPr>
        <w:t>of 420 GL per year,</w:t>
      </w:r>
      <w:r w:rsidR="007F0CB1">
        <w:rPr>
          <w:rFonts w:ascii="Times New Roman" w:hAnsi="Times New Roman"/>
          <w:sz w:val="22"/>
          <w:szCs w:val="22"/>
          <w:lang w:eastAsia="en-AU"/>
        </w:rPr>
        <w:t xml:space="preserve"> with</w:t>
      </w:r>
      <w:r w:rsidR="00E11F4C" w:rsidRPr="00DC3EB9">
        <w:rPr>
          <w:rFonts w:ascii="Times New Roman" w:hAnsi="Times New Roman"/>
          <w:sz w:val="22"/>
          <w:szCs w:val="22"/>
          <w:lang w:eastAsia="en-AU"/>
        </w:rPr>
        <w:t xml:space="preserve"> a nomi</w:t>
      </w:r>
      <w:r w:rsidR="006264CC" w:rsidRPr="00DC3EB9">
        <w:rPr>
          <w:rFonts w:ascii="Times New Roman" w:hAnsi="Times New Roman"/>
          <w:sz w:val="22"/>
          <w:szCs w:val="22"/>
          <w:lang w:eastAsia="en-AU"/>
        </w:rPr>
        <w:t>nal market value of some $420 m</w:t>
      </w:r>
      <w:r w:rsidR="00E11F4C" w:rsidRPr="00DC3EB9">
        <w:rPr>
          <w:rFonts w:ascii="Times New Roman" w:hAnsi="Times New Roman"/>
          <w:sz w:val="22"/>
          <w:szCs w:val="22"/>
          <w:lang w:eastAsia="en-AU"/>
        </w:rPr>
        <w:t xml:space="preserve">. </w:t>
      </w:r>
      <w:r>
        <w:rPr>
          <w:rFonts w:ascii="Times New Roman" w:hAnsi="Times New Roman"/>
          <w:sz w:val="22"/>
          <w:szCs w:val="22"/>
          <w:lang w:eastAsia="en-AU"/>
        </w:rPr>
        <w:t>This quantity is nearly 10</w:t>
      </w:r>
      <w:r w:rsidR="006568D0">
        <w:rPr>
          <w:rFonts w:ascii="Times New Roman" w:hAnsi="Times New Roman"/>
          <w:sz w:val="22"/>
          <w:szCs w:val="22"/>
          <w:lang w:eastAsia="en-AU"/>
        </w:rPr>
        <w:t xml:space="preserve"> </w:t>
      </w:r>
      <w:r>
        <w:rPr>
          <w:rFonts w:ascii="Times New Roman" w:hAnsi="Times New Roman"/>
          <w:sz w:val="22"/>
          <w:szCs w:val="22"/>
          <w:lang w:eastAsia="en-AU"/>
        </w:rPr>
        <w:t>% of the entire surface water diversion in the Basin for the last three years (</w:t>
      </w:r>
      <w:r w:rsidR="00EE1082">
        <w:rPr>
          <w:rFonts w:ascii="Times New Roman" w:hAnsi="Times New Roman"/>
          <w:sz w:val="22"/>
          <w:szCs w:val="22"/>
          <w:lang w:eastAsia="en-AU"/>
        </w:rPr>
        <w:t>MDBA, 2010a</w:t>
      </w:r>
      <w:r>
        <w:rPr>
          <w:rFonts w:ascii="Times New Roman" w:hAnsi="Times New Roman"/>
          <w:sz w:val="22"/>
          <w:szCs w:val="22"/>
          <w:lang w:eastAsia="en-AU"/>
        </w:rPr>
        <w:t xml:space="preserve">), and </w:t>
      </w:r>
      <w:r w:rsidR="00F1254A">
        <w:rPr>
          <w:rFonts w:ascii="Times New Roman" w:hAnsi="Times New Roman"/>
          <w:sz w:val="22"/>
          <w:szCs w:val="22"/>
          <w:lang w:eastAsia="en-AU"/>
        </w:rPr>
        <w:t>is similar</w:t>
      </w:r>
      <w:r>
        <w:rPr>
          <w:rFonts w:ascii="Times New Roman" w:hAnsi="Times New Roman"/>
          <w:sz w:val="22"/>
          <w:szCs w:val="22"/>
          <w:lang w:eastAsia="en-AU"/>
        </w:rPr>
        <w:t xml:space="preserve"> to the </w:t>
      </w:r>
      <w:r w:rsidR="00831C85">
        <w:rPr>
          <w:rFonts w:ascii="Times New Roman" w:hAnsi="Times New Roman"/>
          <w:sz w:val="22"/>
          <w:szCs w:val="22"/>
          <w:lang w:eastAsia="en-AU"/>
        </w:rPr>
        <w:t>500</w:t>
      </w:r>
      <w:r w:rsidR="006568D0">
        <w:rPr>
          <w:rFonts w:ascii="Times New Roman" w:hAnsi="Times New Roman"/>
          <w:sz w:val="22"/>
          <w:szCs w:val="22"/>
          <w:lang w:eastAsia="en-AU"/>
        </w:rPr>
        <w:t xml:space="preserve"> </w:t>
      </w:r>
      <w:r w:rsidR="00831C85">
        <w:rPr>
          <w:rFonts w:ascii="Times New Roman" w:hAnsi="Times New Roman"/>
          <w:sz w:val="22"/>
          <w:szCs w:val="22"/>
          <w:lang w:eastAsia="en-AU"/>
        </w:rPr>
        <w:t>GL</w:t>
      </w:r>
      <w:r>
        <w:rPr>
          <w:rFonts w:ascii="Times New Roman" w:hAnsi="Times New Roman"/>
          <w:sz w:val="22"/>
          <w:szCs w:val="22"/>
          <w:lang w:eastAsia="en-AU"/>
        </w:rPr>
        <w:t>/yr</w:t>
      </w:r>
      <w:r w:rsidR="00F1254A">
        <w:rPr>
          <w:rFonts w:ascii="Times New Roman" w:hAnsi="Times New Roman"/>
          <w:sz w:val="22"/>
          <w:szCs w:val="22"/>
          <w:lang w:eastAsia="en-AU"/>
        </w:rPr>
        <w:t xml:space="preserve"> figure</w:t>
      </w:r>
      <w:r>
        <w:rPr>
          <w:rFonts w:ascii="Times New Roman" w:hAnsi="Times New Roman"/>
          <w:sz w:val="22"/>
          <w:szCs w:val="22"/>
          <w:lang w:eastAsia="en-AU"/>
        </w:rPr>
        <w:t xml:space="preserve"> identified for recovery under the Living Murray Program (</w:t>
      </w:r>
      <w:r w:rsidR="00EE1082">
        <w:rPr>
          <w:rFonts w:ascii="Times New Roman" w:hAnsi="Times New Roman"/>
          <w:sz w:val="22"/>
          <w:szCs w:val="22"/>
          <w:lang w:eastAsia="en-AU"/>
        </w:rPr>
        <w:t>MDBA, 2010a</w:t>
      </w:r>
      <w:r>
        <w:rPr>
          <w:rFonts w:ascii="Times New Roman" w:hAnsi="Times New Roman"/>
          <w:sz w:val="22"/>
          <w:szCs w:val="22"/>
          <w:lang w:eastAsia="en-AU"/>
        </w:rPr>
        <w:t xml:space="preserve">). </w:t>
      </w:r>
      <w:r>
        <w:rPr>
          <w:rFonts w:ascii="Times New Roman" w:hAnsi="Times New Roman"/>
          <w:color w:val="000000"/>
          <w:sz w:val="22"/>
          <w:szCs w:val="22"/>
        </w:rPr>
        <w:t xml:space="preserve">Moreover, evaporative losses </w:t>
      </w:r>
      <w:r w:rsidR="00DC3EB9" w:rsidRPr="00DC3EB9">
        <w:rPr>
          <w:rFonts w:ascii="Times New Roman" w:hAnsi="Times New Roman"/>
          <w:color w:val="000000"/>
          <w:sz w:val="22"/>
          <w:szCs w:val="22"/>
        </w:rPr>
        <w:t xml:space="preserve">increase to approximately 700 GL/yr when the Lakes are full (Maunsell, 2007). </w:t>
      </w:r>
      <w:r w:rsidR="00E11F4C" w:rsidRPr="00DC3EB9">
        <w:rPr>
          <w:rFonts w:ascii="Times New Roman" w:hAnsi="Times New Roman"/>
          <w:sz w:val="22"/>
          <w:szCs w:val="22"/>
          <w:lang w:eastAsia="en-AU"/>
        </w:rPr>
        <w:t>The opportunity cost of this water evaporating each year is realised by downstream irrigators, communities and ecosystems.</w:t>
      </w:r>
      <w:r w:rsidR="00E11F4C" w:rsidRPr="00E11F4C">
        <w:rPr>
          <w:rFonts w:ascii="Times New Roman" w:hAnsi="Times New Roman"/>
          <w:sz w:val="22"/>
          <w:szCs w:val="22"/>
          <w:lang w:eastAsia="en-AU"/>
        </w:rPr>
        <w:t xml:space="preserve"> </w:t>
      </w:r>
    </w:p>
    <w:p w:rsidR="00E11F4C" w:rsidRPr="00E11F4C" w:rsidRDefault="00E11F4C" w:rsidP="00005604">
      <w:pPr>
        <w:pStyle w:val="Level11"/>
        <w:numPr>
          <w:ilvl w:val="0"/>
          <w:numId w:val="0"/>
        </w:numPr>
        <w:spacing w:before="0"/>
        <w:rPr>
          <w:rFonts w:ascii="Times New Roman" w:hAnsi="Times New Roman"/>
          <w:sz w:val="22"/>
          <w:szCs w:val="22"/>
          <w:lang w:eastAsia="en-AU"/>
        </w:rPr>
      </w:pPr>
    </w:p>
    <w:p w:rsidR="00E11F4C" w:rsidRPr="00E11F4C" w:rsidRDefault="00E11F4C" w:rsidP="00005604">
      <w:pPr>
        <w:pStyle w:val="Level11"/>
        <w:numPr>
          <w:ilvl w:val="0"/>
          <w:numId w:val="0"/>
        </w:numPr>
        <w:spacing w:before="0"/>
        <w:rPr>
          <w:rFonts w:ascii="Times New Roman" w:hAnsi="Times New Roman"/>
          <w:sz w:val="22"/>
          <w:szCs w:val="22"/>
        </w:rPr>
      </w:pPr>
      <w:r w:rsidRPr="00147991">
        <w:rPr>
          <w:rFonts w:ascii="Times New Roman" w:hAnsi="Times New Roman"/>
          <w:sz w:val="22"/>
          <w:szCs w:val="22"/>
          <w:lang w:eastAsia="en-AU"/>
        </w:rPr>
        <w:t xml:space="preserve">Currently, management of the MLS </w:t>
      </w:r>
      <w:r w:rsidR="002D4551">
        <w:rPr>
          <w:rFonts w:ascii="Times New Roman" w:hAnsi="Times New Roman"/>
          <w:sz w:val="22"/>
          <w:szCs w:val="22"/>
          <w:lang w:eastAsia="en-AU"/>
        </w:rPr>
        <w:t>aims</w:t>
      </w:r>
      <w:r w:rsidRPr="00147991">
        <w:rPr>
          <w:rFonts w:ascii="Times New Roman" w:hAnsi="Times New Roman"/>
          <w:sz w:val="22"/>
          <w:szCs w:val="22"/>
          <w:lang w:eastAsia="en-AU"/>
        </w:rPr>
        <w:t xml:space="preserve"> to maintain a minimum storage of 300</w:t>
      </w:r>
      <w:r w:rsidR="006568D0">
        <w:rPr>
          <w:rFonts w:ascii="Times New Roman" w:hAnsi="Times New Roman"/>
          <w:sz w:val="22"/>
          <w:szCs w:val="22"/>
          <w:lang w:eastAsia="en-AU"/>
        </w:rPr>
        <w:t xml:space="preserve"> </w:t>
      </w:r>
      <w:r w:rsidRPr="00147991">
        <w:rPr>
          <w:rFonts w:ascii="Times New Roman" w:hAnsi="Times New Roman"/>
          <w:sz w:val="22"/>
          <w:szCs w:val="22"/>
          <w:lang w:eastAsia="en-AU"/>
        </w:rPr>
        <w:t>GL in order to secure Broken Hill’s water requirements (</w:t>
      </w:r>
      <w:r w:rsidR="002D4551">
        <w:rPr>
          <w:rFonts w:ascii="Times New Roman" w:hAnsi="Times New Roman"/>
          <w:sz w:val="22"/>
          <w:szCs w:val="22"/>
          <w:lang w:eastAsia="en-AU"/>
        </w:rPr>
        <w:t xml:space="preserve">of </w:t>
      </w:r>
      <w:r w:rsidRPr="00147991">
        <w:rPr>
          <w:rFonts w:ascii="Times New Roman" w:hAnsi="Times New Roman"/>
          <w:sz w:val="22"/>
          <w:szCs w:val="22"/>
          <w:lang w:eastAsia="en-AU"/>
        </w:rPr>
        <w:t xml:space="preserve">&lt;10 GL/yr) in times of drought. </w:t>
      </w:r>
      <w:r w:rsidR="00147991" w:rsidRPr="00147991">
        <w:rPr>
          <w:rFonts w:ascii="Times New Roman" w:hAnsi="Times New Roman"/>
          <w:sz w:val="22"/>
          <w:szCs w:val="22"/>
        </w:rPr>
        <w:t xml:space="preserve">This volume is estimated to guarantee a 21 month supply, and when </w:t>
      </w:r>
      <w:r w:rsidR="00F1254A">
        <w:rPr>
          <w:rFonts w:ascii="Times New Roman" w:hAnsi="Times New Roman"/>
          <w:sz w:val="22"/>
          <w:szCs w:val="22"/>
        </w:rPr>
        <w:t xml:space="preserve">the </w:t>
      </w:r>
      <w:r w:rsidR="00147991" w:rsidRPr="00147991">
        <w:rPr>
          <w:rFonts w:ascii="Times New Roman" w:hAnsi="Times New Roman"/>
          <w:sz w:val="22"/>
          <w:szCs w:val="22"/>
        </w:rPr>
        <w:t>supply is</w:t>
      </w:r>
      <w:r w:rsidR="00F1254A">
        <w:rPr>
          <w:rFonts w:ascii="Times New Roman" w:hAnsi="Times New Roman"/>
          <w:sz w:val="22"/>
          <w:szCs w:val="22"/>
        </w:rPr>
        <w:t xml:space="preserve"> depleted to 18 months the</w:t>
      </w:r>
      <w:r w:rsidR="00147991" w:rsidRPr="00147991">
        <w:rPr>
          <w:rFonts w:ascii="Times New Roman" w:hAnsi="Times New Roman"/>
          <w:sz w:val="22"/>
          <w:szCs w:val="22"/>
        </w:rPr>
        <w:t xml:space="preserve"> upper river intakes are managed to attempt to re</w:t>
      </w:r>
      <w:r w:rsidR="00F1254A">
        <w:rPr>
          <w:rFonts w:ascii="Times New Roman" w:hAnsi="Times New Roman"/>
          <w:sz w:val="22"/>
          <w:szCs w:val="22"/>
        </w:rPr>
        <w:t>g</w:t>
      </w:r>
      <w:r w:rsidR="00147991" w:rsidRPr="00147991">
        <w:rPr>
          <w:rFonts w:ascii="Times New Roman" w:hAnsi="Times New Roman"/>
          <w:sz w:val="22"/>
          <w:szCs w:val="22"/>
        </w:rPr>
        <w:t xml:space="preserve">ain the 21 month supply. </w:t>
      </w:r>
      <w:r w:rsidRPr="00147991">
        <w:rPr>
          <w:rFonts w:ascii="Times New Roman" w:hAnsi="Times New Roman"/>
          <w:sz w:val="22"/>
          <w:szCs w:val="22"/>
          <w:lang w:eastAsia="en-AU"/>
        </w:rPr>
        <w:t>However, during the recent Mille</w:t>
      </w:r>
      <w:r w:rsidR="00942A42">
        <w:rPr>
          <w:rFonts w:ascii="Times New Roman" w:hAnsi="Times New Roman"/>
          <w:sz w:val="22"/>
          <w:szCs w:val="22"/>
          <w:lang w:eastAsia="en-AU"/>
        </w:rPr>
        <w:t>n</w:t>
      </w:r>
      <w:r w:rsidRPr="00147991">
        <w:rPr>
          <w:rFonts w:ascii="Times New Roman" w:hAnsi="Times New Roman"/>
          <w:sz w:val="22"/>
          <w:szCs w:val="22"/>
          <w:lang w:eastAsia="en-AU"/>
        </w:rPr>
        <w:t xml:space="preserve">nium Drought even this storage has proven insufficient to provide </w:t>
      </w:r>
      <w:r w:rsidR="00F1254A">
        <w:rPr>
          <w:rFonts w:ascii="Times New Roman" w:hAnsi="Times New Roman"/>
          <w:sz w:val="22"/>
          <w:szCs w:val="22"/>
          <w:lang w:eastAsia="en-AU"/>
        </w:rPr>
        <w:t xml:space="preserve">a </w:t>
      </w:r>
      <w:r w:rsidRPr="00147991">
        <w:rPr>
          <w:rFonts w:ascii="Times New Roman" w:hAnsi="Times New Roman"/>
          <w:sz w:val="22"/>
          <w:szCs w:val="22"/>
          <w:lang w:eastAsia="en-AU"/>
        </w:rPr>
        <w:t>secur</w:t>
      </w:r>
      <w:r w:rsidR="00F1254A">
        <w:rPr>
          <w:rFonts w:ascii="Times New Roman" w:hAnsi="Times New Roman"/>
          <w:sz w:val="22"/>
          <w:szCs w:val="22"/>
          <w:lang w:eastAsia="en-AU"/>
        </w:rPr>
        <w:t>e</w:t>
      </w:r>
      <w:r w:rsidRPr="00E11F4C">
        <w:rPr>
          <w:rFonts w:ascii="Times New Roman" w:hAnsi="Times New Roman"/>
          <w:sz w:val="22"/>
          <w:szCs w:val="22"/>
          <w:lang w:eastAsia="en-AU"/>
        </w:rPr>
        <w:t xml:space="preserve"> supply of suitable quality </w:t>
      </w:r>
      <w:r w:rsidR="00F1254A">
        <w:rPr>
          <w:rFonts w:ascii="Times New Roman" w:hAnsi="Times New Roman"/>
          <w:sz w:val="22"/>
          <w:szCs w:val="22"/>
          <w:lang w:eastAsia="en-AU"/>
        </w:rPr>
        <w:t xml:space="preserve">water </w:t>
      </w:r>
      <w:r w:rsidRPr="00E11F4C">
        <w:rPr>
          <w:rFonts w:ascii="Times New Roman" w:hAnsi="Times New Roman"/>
          <w:sz w:val="22"/>
          <w:szCs w:val="22"/>
          <w:lang w:eastAsia="en-AU"/>
        </w:rPr>
        <w:t xml:space="preserve">to Broken Hill. For example, in 2002-2003, reservoirs at Broken Hill were empty, and there was insufficient storage in </w:t>
      </w:r>
      <w:smartTag w:uri="urn:schemas-microsoft-com:office:smarttags" w:element="place">
        <w:smartTag w:uri="urn:schemas-microsoft-com:office:smarttags" w:element="PlaceType">
          <w:r w:rsidRPr="00E11F4C">
            <w:rPr>
              <w:rFonts w:ascii="Times New Roman" w:hAnsi="Times New Roman"/>
              <w:sz w:val="22"/>
              <w:szCs w:val="22"/>
              <w:lang w:eastAsia="en-AU"/>
            </w:rPr>
            <w:t>Lake</w:t>
          </w:r>
        </w:smartTag>
        <w:r w:rsidRPr="00E11F4C">
          <w:rPr>
            <w:rFonts w:ascii="Times New Roman" w:hAnsi="Times New Roman"/>
            <w:sz w:val="22"/>
            <w:szCs w:val="22"/>
            <w:lang w:eastAsia="en-AU"/>
          </w:rPr>
          <w:t xml:space="preserve"> </w:t>
        </w:r>
        <w:smartTag w:uri="urn:schemas-microsoft-com:office:smarttags" w:element="PlaceName">
          <w:r w:rsidRPr="00E11F4C">
            <w:rPr>
              <w:rFonts w:ascii="Times New Roman" w:hAnsi="Times New Roman"/>
              <w:sz w:val="22"/>
              <w:szCs w:val="22"/>
              <w:lang w:eastAsia="en-AU"/>
            </w:rPr>
            <w:t>Wetherell</w:t>
          </w:r>
        </w:smartTag>
      </w:smartTag>
      <w:r w:rsidRPr="00E11F4C">
        <w:rPr>
          <w:rFonts w:ascii="Times New Roman" w:hAnsi="Times New Roman"/>
          <w:sz w:val="22"/>
          <w:szCs w:val="22"/>
          <w:lang w:eastAsia="en-AU"/>
        </w:rPr>
        <w:t xml:space="preserve"> in the </w:t>
      </w:r>
      <w:smartTag w:uri="urn:schemas-microsoft-com:office:smarttags" w:element="stockticker">
        <w:r w:rsidRPr="00E11F4C">
          <w:rPr>
            <w:rFonts w:ascii="Times New Roman" w:hAnsi="Times New Roman"/>
            <w:sz w:val="22"/>
            <w:szCs w:val="22"/>
            <w:lang w:eastAsia="en-AU"/>
          </w:rPr>
          <w:t>MLS</w:t>
        </w:r>
      </w:smartTag>
      <w:r w:rsidRPr="00E11F4C">
        <w:rPr>
          <w:rFonts w:ascii="Times New Roman" w:hAnsi="Times New Roman"/>
          <w:sz w:val="22"/>
          <w:szCs w:val="22"/>
          <w:lang w:eastAsia="en-AU"/>
        </w:rPr>
        <w:t xml:space="preserve"> (Country Water, pers. comm., 2009). This led to sourcing of water from the residual pool of water at </w:t>
      </w:r>
      <w:smartTag w:uri="urn:schemas-microsoft-com:office:smarttags" w:element="place">
        <w:smartTag w:uri="urn:schemas-microsoft-com:office:smarttags" w:element="PlaceType">
          <w:r w:rsidR="00C217F0">
            <w:rPr>
              <w:rFonts w:ascii="Times New Roman" w:hAnsi="Times New Roman"/>
              <w:sz w:val="22"/>
              <w:szCs w:val="22"/>
              <w:lang w:eastAsia="en-AU"/>
            </w:rPr>
            <w:t>Lake</w:t>
          </w:r>
        </w:smartTag>
        <w:r w:rsidR="00C217F0">
          <w:rPr>
            <w:rFonts w:ascii="Times New Roman" w:hAnsi="Times New Roman"/>
            <w:sz w:val="22"/>
            <w:szCs w:val="22"/>
            <w:lang w:eastAsia="en-AU"/>
          </w:rPr>
          <w:t xml:space="preserve"> </w:t>
        </w:r>
        <w:smartTag w:uri="urn:schemas-microsoft-com:office:smarttags" w:element="PlaceName">
          <w:r w:rsidR="00C217F0">
            <w:rPr>
              <w:rFonts w:ascii="Times New Roman" w:hAnsi="Times New Roman"/>
              <w:sz w:val="22"/>
              <w:szCs w:val="22"/>
              <w:lang w:eastAsia="en-AU"/>
            </w:rPr>
            <w:t>Menindee</w:t>
          </w:r>
        </w:smartTag>
      </w:smartTag>
      <w:r w:rsidRPr="00E11F4C">
        <w:rPr>
          <w:rFonts w:ascii="Times New Roman" w:hAnsi="Times New Roman"/>
          <w:sz w:val="22"/>
          <w:szCs w:val="22"/>
          <w:lang w:eastAsia="en-AU"/>
        </w:rPr>
        <w:t xml:space="preserve">. This water was of poor quality (2,300 EC), yet was supplied to the residents of Broken Hill, despite being significantly above the 1500 EC limit deemed acceptable for human consumption (Country Water, pers. comm., 2009). With even that source in danger of running dry, plans were made to bring in water supplies by train at significant cost, while a Reverse Osmosis (RO) plant was constructed (but never commissioned). The situation was only saved when floodwaters came down the </w:t>
      </w:r>
      <w:smartTag w:uri="urn:schemas-microsoft-com:office:smarttags" w:element="place">
        <w:r w:rsidRPr="00E11F4C">
          <w:rPr>
            <w:rFonts w:ascii="Times New Roman" w:hAnsi="Times New Roman"/>
            <w:sz w:val="22"/>
            <w:szCs w:val="22"/>
            <w:lang w:eastAsia="en-AU"/>
          </w:rPr>
          <w:t>Darling River</w:t>
        </w:r>
      </w:smartTag>
      <w:r w:rsidRPr="00E11F4C">
        <w:rPr>
          <w:rFonts w:ascii="Times New Roman" w:hAnsi="Times New Roman"/>
          <w:sz w:val="22"/>
          <w:szCs w:val="22"/>
          <w:lang w:eastAsia="en-AU"/>
        </w:rPr>
        <w:t xml:space="preserve"> (Country Water, pers. comm., 2009).</w:t>
      </w:r>
    </w:p>
    <w:p w:rsidR="00E11F4C" w:rsidRPr="00E11F4C" w:rsidRDefault="00E11F4C" w:rsidP="00005604">
      <w:pPr>
        <w:pStyle w:val="Level11"/>
        <w:numPr>
          <w:ilvl w:val="0"/>
          <w:numId w:val="0"/>
        </w:numPr>
        <w:spacing w:before="0"/>
        <w:rPr>
          <w:rFonts w:ascii="Times New Roman" w:hAnsi="Times New Roman"/>
          <w:sz w:val="22"/>
          <w:szCs w:val="22"/>
          <w:lang w:eastAsia="en-AU"/>
        </w:rPr>
      </w:pPr>
    </w:p>
    <w:p w:rsidR="00E11F4C" w:rsidRDefault="00E11F4C" w:rsidP="00005604">
      <w:pPr>
        <w:pStyle w:val="Level11"/>
        <w:numPr>
          <w:ilvl w:val="0"/>
          <w:numId w:val="0"/>
        </w:numPr>
        <w:spacing w:before="0"/>
        <w:rPr>
          <w:rFonts w:ascii="Times New Roman" w:hAnsi="Times New Roman"/>
          <w:sz w:val="22"/>
          <w:szCs w:val="22"/>
          <w:lang w:eastAsia="en-AU"/>
        </w:rPr>
      </w:pPr>
      <w:r w:rsidRPr="00E11F4C">
        <w:rPr>
          <w:rFonts w:ascii="Times New Roman" w:hAnsi="Times New Roman"/>
          <w:sz w:val="22"/>
          <w:szCs w:val="22"/>
        </w:rPr>
        <w:t xml:space="preserve">Changing the management of the MLS to provide enhanced water security for Broken Hill, reduce these evaporative losses, and provide downstream economic and environmental benefits is possible, but Broken Hill’s water supply would first need to become less reliant on the </w:t>
      </w:r>
      <w:smartTag w:uri="urn:schemas-microsoft-com:office:smarttags" w:element="stockticker">
        <w:r w:rsidRPr="00E11F4C">
          <w:rPr>
            <w:rFonts w:ascii="Times New Roman" w:hAnsi="Times New Roman"/>
            <w:sz w:val="22"/>
            <w:szCs w:val="22"/>
          </w:rPr>
          <w:t>MLS</w:t>
        </w:r>
      </w:smartTag>
      <w:r w:rsidRPr="00E11F4C">
        <w:rPr>
          <w:rFonts w:ascii="Times New Roman" w:hAnsi="Times New Roman"/>
          <w:sz w:val="22"/>
          <w:szCs w:val="22"/>
        </w:rPr>
        <w:t xml:space="preserve">. </w:t>
      </w:r>
      <w:r w:rsidRPr="00E11F4C">
        <w:rPr>
          <w:rFonts w:ascii="Times New Roman" w:hAnsi="Times New Roman"/>
          <w:sz w:val="22"/>
          <w:szCs w:val="22"/>
          <w:lang w:eastAsia="en-AU"/>
        </w:rPr>
        <w:t xml:space="preserve">To address these issues, in 2008 the Australian Government confirmed its 2007 election policy commitment to “invest in water saving infrastructure from the National Plan for Water Security and to invest up to $400 million to reduce evaporation and improve water efficiency at </w:t>
      </w:r>
      <w:r w:rsidR="007D1583">
        <w:rPr>
          <w:rFonts w:ascii="Times New Roman" w:hAnsi="Times New Roman"/>
          <w:sz w:val="22"/>
          <w:szCs w:val="22"/>
          <w:lang w:eastAsia="en-AU"/>
        </w:rPr>
        <w:t>Menindee Lakes</w:t>
      </w:r>
      <w:r w:rsidRPr="00E11F4C">
        <w:rPr>
          <w:rFonts w:ascii="Times New Roman" w:hAnsi="Times New Roman"/>
          <w:sz w:val="22"/>
          <w:szCs w:val="22"/>
          <w:lang w:eastAsia="en-AU"/>
        </w:rPr>
        <w:t xml:space="preserve"> on the Darling River in Western </w:t>
      </w:r>
      <w:smartTag w:uri="urn:schemas-microsoft-com:office:smarttags" w:element="State">
        <w:r w:rsidRPr="00E11F4C">
          <w:rPr>
            <w:rFonts w:ascii="Times New Roman" w:hAnsi="Times New Roman"/>
            <w:sz w:val="22"/>
            <w:szCs w:val="22"/>
            <w:lang w:eastAsia="en-AU"/>
          </w:rPr>
          <w:t>New South Wales</w:t>
        </w:r>
      </w:smartTag>
      <w:r w:rsidRPr="00E11F4C">
        <w:rPr>
          <w:rFonts w:ascii="Times New Roman" w:hAnsi="Times New Roman"/>
          <w:sz w:val="22"/>
          <w:szCs w:val="22"/>
          <w:lang w:eastAsia="en-AU"/>
        </w:rPr>
        <w:t xml:space="preserve">, secure Broken Hill’s water supply, protect the local environment and heritage and return up to 200 billion litres to the </w:t>
      </w:r>
      <w:smartTag w:uri="urn:schemas-microsoft-com:office:smarttags" w:element="place">
        <w:smartTag w:uri="urn:schemas-microsoft-com:office:smarttags" w:element="PlaceName">
          <w:r w:rsidRPr="00E11F4C">
            <w:rPr>
              <w:rFonts w:ascii="Times New Roman" w:hAnsi="Times New Roman"/>
              <w:sz w:val="22"/>
              <w:szCs w:val="22"/>
              <w:lang w:eastAsia="en-AU"/>
            </w:rPr>
            <w:t>Murray</w:t>
          </w:r>
        </w:smartTag>
        <w:r w:rsidRPr="00E11F4C">
          <w:rPr>
            <w:rFonts w:ascii="Times New Roman" w:hAnsi="Times New Roman"/>
            <w:sz w:val="22"/>
            <w:szCs w:val="22"/>
            <w:lang w:eastAsia="en-AU"/>
          </w:rPr>
          <w:t xml:space="preserve"> </w:t>
        </w:r>
        <w:smartTag w:uri="urn:schemas-microsoft-com:office:smarttags" w:element="PlaceName">
          <w:r w:rsidRPr="00E11F4C">
            <w:rPr>
              <w:rFonts w:ascii="Times New Roman" w:hAnsi="Times New Roman"/>
              <w:sz w:val="22"/>
              <w:szCs w:val="22"/>
              <w:lang w:eastAsia="en-AU"/>
            </w:rPr>
            <w:t>Darling</w:t>
          </w:r>
        </w:smartTag>
        <w:r w:rsidRPr="00E11F4C">
          <w:rPr>
            <w:rFonts w:ascii="Times New Roman" w:hAnsi="Times New Roman"/>
            <w:sz w:val="22"/>
            <w:szCs w:val="22"/>
            <w:lang w:eastAsia="en-AU"/>
          </w:rPr>
          <w:t xml:space="preserve"> </w:t>
        </w:r>
        <w:smartTag w:uri="urn:schemas-microsoft-com:office:smarttags" w:element="PlaceType">
          <w:r w:rsidRPr="00E11F4C">
            <w:rPr>
              <w:rFonts w:ascii="Times New Roman" w:hAnsi="Times New Roman"/>
              <w:sz w:val="22"/>
              <w:szCs w:val="22"/>
              <w:lang w:eastAsia="en-AU"/>
            </w:rPr>
            <w:t>Basin</w:t>
          </w:r>
        </w:smartTag>
      </w:smartTag>
      <w:r w:rsidRPr="00E11F4C">
        <w:rPr>
          <w:rFonts w:ascii="Times New Roman" w:hAnsi="Times New Roman"/>
          <w:sz w:val="22"/>
          <w:szCs w:val="22"/>
          <w:lang w:eastAsia="en-AU"/>
        </w:rPr>
        <w:t xml:space="preserve">”. This included a commitment to work with the </w:t>
      </w:r>
      <w:r w:rsidR="00F1254A">
        <w:rPr>
          <w:rFonts w:ascii="Times New Roman" w:hAnsi="Times New Roman"/>
          <w:sz w:val="22"/>
          <w:szCs w:val="22"/>
          <w:lang w:eastAsia="en-AU"/>
        </w:rPr>
        <w:t>New South Wales (</w:t>
      </w:r>
      <w:r w:rsidRPr="00E11F4C">
        <w:rPr>
          <w:rFonts w:ascii="Times New Roman" w:hAnsi="Times New Roman"/>
          <w:sz w:val="22"/>
          <w:szCs w:val="22"/>
          <w:lang w:eastAsia="en-AU"/>
        </w:rPr>
        <w:t>NSW</w:t>
      </w:r>
      <w:r w:rsidR="00F1254A">
        <w:rPr>
          <w:rFonts w:ascii="Times New Roman" w:hAnsi="Times New Roman"/>
          <w:sz w:val="22"/>
          <w:szCs w:val="22"/>
          <w:lang w:eastAsia="en-AU"/>
        </w:rPr>
        <w:t>)</w:t>
      </w:r>
      <w:r w:rsidRPr="00E11F4C">
        <w:rPr>
          <w:rFonts w:ascii="Times New Roman" w:hAnsi="Times New Roman"/>
          <w:sz w:val="22"/>
          <w:szCs w:val="22"/>
          <w:lang w:eastAsia="en-AU"/>
        </w:rPr>
        <w:t xml:space="preserve"> Government and the local community to improve the </w:t>
      </w:r>
      <w:smartTag w:uri="urn:schemas-microsoft-com:office:smarttags" w:element="place">
        <w:smartTag w:uri="urn:schemas-microsoft-com:office:smarttags" w:element="PlaceName">
          <w:r w:rsidR="007D1583">
            <w:rPr>
              <w:rFonts w:ascii="Times New Roman" w:hAnsi="Times New Roman"/>
              <w:sz w:val="22"/>
              <w:szCs w:val="22"/>
              <w:lang w:eastAsia="en-AU"/>
            </w:rPr>
            <w:t>Menindee</w:t>
          </w:r>
        </w:smartTag>
        <w:r w:rsidR="007D1583">
          <w:rPr>
            <w:rFonts w:ascii="Times New Roman" w:hAnsi="Times New Roman"/>
            <w:sz w:val="22"/>
            <w:szCs w:val="22"/>
            <w:lang w:eastAsia="en-AU"/>
          </w:rPr>
          <w:t xml:space="preserve"> </w:t>
        </w:r>
        <w:smartTag w:uri="urn:schemas-microsoft-com:office:smarttags" w:element="PlaceType">
          <w:r w:rsidR="007D1583">
            <w:rPr>
              <w:rFonts w:ascii="Times New Roman" w:hAnsi="Times New Roman"/>
              <w:sz w:val="22"/>
              <w:szCs w:val="22"/>
              <w:lang w:eastAsia="en-AU"/>
            </w:rPr>
            <w:t>Lakes</w:t>
          </w:r>
        </w:smartTag>
      </w:smartTag>
      <w:r w:rsidRPr="00E11F4C">
        <w:rPr>
          <w:rFonts w:ascii="Times New Roman" w:hAnsi="Times New Roman"/>
          <w:sz w:val="22"/>
          <w:szCs w:val="22"/>
          <w:lang w:eastAsia="en-AU"/>
        </w:rPr>
        <w:t xml:space="preserve"> water storage system.</w:t>
      </w:r>
    </w:p>
    <w:p w:rsidR="002B69F0" w:rsidRDefault="002B69F0" w:rsidP="002B69F0"/>
    <w:p w:rsidR="001968EF" w:rsidRDefault="001968EF" w:rsidP="002B69F0"/>
    <w:p w:rsidR="00B70E05" w:rsidRPr="00DC5B52" w:rsidRDefault="00B70E05" w:rsidP="007D5510">
      <w:pPr>
        <w:autoSpaceDE w:val="0"/>
        <w:autoSpaceDN w:val="0"/>
        <w:adjustRightInd w:val="0"/>
        <w:spacing w:before="240" w:after="60"/>
        <w:rPr>
          <w:b/>
          <w:bCs/>
          <w:i/>
          <w:sz w:val="20"/>
        </w:rPr>
      </w:pPr>
      <w:r>
        <w:rPr>
          <w:szCs w:val="22"/>
        </w:rPr>
        <w:br w:type="page"/>
      </w:r>
      <w:r w:rsidR="00706A3B">
        <w:rPr>
          <w:noProof/>
        </w:rPr>
        <w:lastRenderedPageBreak/>
        <w:drawing>
          <wp:inline distT="0" distB="0" distL="0" distR="0" wp14:anchorId="0DC6086E" wp14:editId="013E1B43">
            <wp:extent cx="6028690" cy="4072255"/>
            <wp:effectExtent l="19050" t="19050" r="0" b="4445"/>
            <wp:docPr id="20" name="Picture 20" descr="Fig1_location_regional_MDB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1_location_regional_MDB_v2"/>
                    <pic:cNvPicPr>
                      <a:picLocks noChangeAspect="1" noChangeArrowheads="1"/>
                    </pic:cNvPicPr>
                  </pic:nvPicPr>
                  <pic:blipFill>
                    <a:blip r:embed="rId40" cstate="print">
                      <a:extLst>
                        <a:ext uri="{28A0092B-C50C-407E-A947-70E740481C1C}">
                          <a14:useLocalDpi xmlns:a14="http://schemas.microsoft.com/office/drawing/2010/main" val="0"/>
                        </a:ext>
                      </a:extLst>
                    </a:blip>
                    <a:srcRect l="8972" t="6343" r="9103" b="54475"/>
                    <a:stretch>
                      <a:fillRect/>
                    </a:stretch>
                  </pic:blipFill>
                  <pic:spPr bwMode="auto">
                    <a:xfrm>
                      <a:off x="0" y="0"/>
                      <a:ext cx="6028690" cy="4072255"/>
                    </a:xfrm>
                    <a:prstGeom prst="rect">
                      <a:avLst/>
                    </a:prstGeom>
                    <a:noFill/>
                    <a:ln w="12700" cmpd="sng">
                      <a:solidFill>
                        <a:srgbClr val="000000"/>
                      </a:solidFill>
                      <a:miter lim="800000"/>
                      <a:headEnd/>
                      <a:tailEnd/>
                    </a:ln>
                    <a:effectLst/>
                  </pic:spPr>
                </pic:pic>
              </a:graphicData>
            </a:graphic>
          </wp:inline>
        </w:drawing>
      </w:r>
    </w:p>
    <w:p w:rsidR="00B70E05" w:rsidRDefault="001741E7" w:rsidP="001741E7">
      <w:pPr>
        <w:pStyle w:val="Caption"/>
        <w:rPr>
          <w:szCs w:val="22"/>
        </w:rPr>
      </w:pPr>
      <w:bookmarkStart w:id="73" w:name="_Ref32564249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1</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73"/>
      <w:r>
        <w:rPr>
          <w:b/>
        </w:rPr>
        <w:t>.</w:t>
      </w:r>
      <w:r>
        <w:rPr>
          <w:b/>
          <w:szCs w:val="22"/>
        </w:rPr>
        <w:t xml:space="preserve"> </w:t>
      </w:r>
      <w:r w:rsidR="002D4551" w:rsidRPr="001741E7">
        <w:rPr>
          <w:szCs w:val="22"/>
        </w:rPr>
        <w:t xml:space="preserve">Location of the </w:t>
      </w:r>
      <w:r w:rsidR="00A56C85">
        <w:rPr>
          <w:szCs w:val="22"/>
        </w:rPr>
        <w:t>BHMAR project</w:t>
      </w:r>
      <w:r w:rsidR="002D4551" w:rsidRPr="001741E7">
        <w:rPr>
          <w:szCs w:val="22"/>
        </w:rPr>
        <w:t xml:space="preserve"> area in relation to the Murray-Darling </w:t>
      </w:r>
      <w:r w:rsidR="00514F56">
        <w:rPr>
          <w:szCs w:val="22"/>
        </w:rPr>
        <w:t>Drainage</w:t>
      </w:r>
      <w:r w:rsidR="002D4551" w:rsidRPr="001741E7">
        <w:rPr>
          <w:szCs w:val="22"/>
        </w:rPr>
        <w:t xml:space="preserve"> Basin in south-eastern </w:t>
      </w:r>
      <w:smartTag w:uri="urn:schemas-microsoft-com:office:smarttags" w:element="place">
        <w:smartTag w:uri="urn:schemas-microsoft-com:office:smarttags" w:element="country-region">
          <w:r w:rsidR="002D4551" w:rsidRPr="001741E7">
            <w:rPr>
              <w:szCs w:val="22"/>
            </w:rPr>
            <w:t>Australia</w:t>
          </w:r>
        </w:smartTag>
      </w:smartTag>
      <w:r w:rsidR="00B70E05" w:rsidRPr="001741E7">
        <w:rPr>
          <w:szCs w:val="22"/>
        </w:rPr>
        <w:t>.</w:t>
      </w:r>
      <w:r w:rsidR="00BE08AB" w:rsidRPr="001741E7">
        <w:rPr>
          <w:szCs w:val="22"/>
        </w:rPr>
        <w:t xml:space="preserve"> </w:t>
      </w:r>
      <w:r w:rsidR="00BE08AB" w:rsidRPr="00216027">
        <w:rPr>
          <w:i w:val="0"/>
          <w:szCs w:val="22"/>
        </w:rPr>
        <w:fldChar w:fldCharType="begin"/>
      </w:r>
      <w:r w:rsidR="00BE08AB" w:rsidRPr="00216027">
        <w:rPr>
          <w:i w:val="0"/>
          <w:szCs w:val="22"/>
        </w:rPr>
        <w:instrText xml:space="preserve"> TC "</w:instrText>
      </w:r>
      <w:bookmarkStart w:id="74" w:name="_Toc325975198"/>
      <w:bookmarkStart w:id="75" w:name="_Toc390690203"/>
      <w:r w:rsidR="001D6650">
        <w:rPr>
          <w:i w:val="0"/>
          <w:szCs w:val="22"/>
        </w:rPr>
        <w:instrText>Figure 1-1</w:instrText>
      </w:r>
      <w:r w:rsidR="00497AD3">
        <w:rPr>
          <w:i w:val="0"/>
          <w:szCs w:val="22"/>
        </w:rPr>
        <w:instrText>.</w:instrText>
      </w:r>
      <w:r w:rsidR="00BE08AB" w:rsidRPr="00216027">
        <w:rPr>
          <w:i w:val="0"/>
          <w:szCs w:val="22"/>
        </w:rPr>
        <w:instrText xml:space="preserve"> </w:instrText>
      </w:r>
      <w:r w:rsidR="009F303B" w:rsidRPr="00216027">
        <w:rPr>
          <w:i w:val="0"/>
          <w:szCs w:val="22"/>
        </w:rPr>
        <w:instrText xml:space="preserve">Location of the </w:instrText>
      </w:r>
      <w:r w:rsidR="00A56C85">
        <w:rPr>
          <w:i w:val="0"/>
          <w:szCs w:val="22"/>
        </w:rPr>
        <w:instrText>BHMAR project</w:instrText>
      </w:r>
      <w:r w:rsidR="00FD35D4">
        <w:rPr>
          <w:i w:val="0"/>
          <w:szCs w:val="22"/>
        </w:rPr>
        <w:instrText xml:space="preserve"> area relative</w:instrText>
      </w:r>
      <w:r w:rsidR="009F303B" w:rsidRPr="00216027">
        <w:rPr>
          <w:i w:val="0"/>
          <w:szCs w:val="22"/>
        </w:rPr>
        <w:instrText xml:space="preserve"> to the Murray-Darling </w:instrText>
      </w:r>
      <w:r w:rsidR="00514F56">
        <w:rPr>
          <w:i w:val="0"/>
          <w:szCs w:val="22"/>
        </w:rPr>
        <w:instrText>Drainage</w:instrText>
      </w:r>
      <w:r w:rsidR="009F303B" w:rsidRPr="00216027">
        <w:rPr>
          <w:i w:val="0"/>
          <w:szCs w:val="22"/>
        </w:rPr>
        <w:instrText xml:space="preserve"> Basin</w:instrText>
      </w:r>
      <w:bookmarkEnd w:id="74"/>
      <w:r w:rsidR="005E4B77">
        <w:rPr>
          <w:i w:val="0"/>
          <w:szCs w:val="22"/>
        </w:rPr>
        <w:instrText>.</w:instrText>
      </w:r>
      <w:bookmarkEnd w:id="75"/>
      <w:r w:rsidR="00BE08AB" w:rsidRPr="00216027">
        <w:rPr>
          <w:i w:val="0"/>
          <w:szCs w:val="22"/>
        </w:rPr>
        <w:instrText xml:space="preserve">" \f A \l “4” </w:instrText>
      </w:r>
      <w:r w:rsidR="00BE08AB" w:rsidRPr="00216027">
        <w:rPr>
          <w:i w:val="0"/>
          <w:szCs w:val="22"/>
        </w:rPr>
        <w:fldChar w:fldCharType="end"/>
      </w:r>
    </w:p>
    <w:p w:rsidR="00E11F4C" w:rsidRPr="000F3897" w:rsidRDefault="00C6655F" w:rsidP="00B712A4">
      <w:pPr>
        <w:pStyle w:val="Heading2"/>
        <w:tabs>
          <w:tab w:val="left" w:pos="720"/>
        </w:tabs>
        <w:spacing w:before="320"/>
      </w:pPr>
      <w:bookmarkStart w:id="76" w:name="_Toc317423790"/>
      <w:bookmarkStart w:id="77" w:name="_Toc325700067"/>
      <w:bookmarkStart w:id="78" w:name="_Toc325700410"/>
      <w:bookmarkStart w:id="79" w:name="_Toc325975091"/>
      <w:bookmarkStart w:id="80" w:name="_Toc390690080"/>
      <w:r>
        <w:t>Recent Research into S</w:t>
      </w:r>
      <w:r w:rsidR="00E11F4C">
        <w:t xml:space="preserve">ecuring Broken Hill’s </w:t>
      </w:r>
      <w:r>
        <w:t>W</w:t>
      </w:r>
      <w:r w:rsidR="00E11F4C">
        <w:t xml:space="preserve">ater </w:t>
      </w:r>
      <w:r>
        <w:t>S</w:t>
      </w:r>
      <w:r w:rsidR="00E11F4C">
        <w:t xml:space="preserve">upply and </w:t>
      </w:r>
      <w:r>
        <w:t>I</w:t>
      </w:r>
      <w:r w:rsidR="00E11F4C">
        <w:t xml:space="preserve">dentifying </w:t>
      </w:r>
      <w:r>
        <w:t>S</w:t>
      </w:r>
      <w:r w:rsidR="00E11F4C">
        <w:t xml:space="preserve">ignificant </w:t>
      </w:r>
      <w:r>
        <w:t>W</w:t>
      </w:r>
      <w:r w:rsidR="00E11F4C">
        <w:t xml:space="preserve">ater </w:t>
      </w:r>
      <w:r>
        <w:t>S</w:t>
      </w:r>
      <w:r w:rsidR="00E11F4C">
        <w:t>avings</w:t>
      </w:r>
      <w:bookmarkEnd w:id="76"/>
      <w:bookmarkEnd w:id="77"/>
      <w:bookmarkEnd w:id="78"/>
      <w:bookmarkEnd w:id="79"/>
      <w:bookmarkEnd w:id="80"/>
    </w:p>
    <w:p w:rsidR="00EA57FF" w:rsidRPr="00D271D5" w:rsidRDefault="00EA57FF" w:rsidP="00EA57FF">
      <w:pPr>
        <w:rPr>
          <w:szCs w:val="22"/>
        </w:rPr>
      </w:pPr>
      <w:r w:rsidRPr="00D271D5">
        <w:rPr>
          <w:szCs w:val="22"/>
        </w:rPr>
        <w:t>In 2006</w:t>
      </w:r>
      <w:r>
        <w:rPr>
          <w:szCs w:val="22"/>
        </w:rPr>
        <w:t>,</w:t>
      </w:r>
      <w:r w:rsidRPr="00D271D5">
        <w:rPr>
          <w:szCs w:val="22"/>
        </w:rPr>
        <w:t xml:space="preserve"> </w:t>
      </w:r>
      <w:r w:rsidR="002D4551">
        <w:rPr>
          <w:szCs w:val="22"/>
        </w:rPr>
        <w:t xml:space="preserve">Australian and </w:t>
      </w:r>
      <w:r w:rsidRPr="00D271D5">
        <w:rPr>
          <w:szCs w:val="22"/>
        </w:rPr>
        <w:t>N</w:t>
      </w:r>
      <w:r w:rsidR="00F1254A">
        <w:rPr>
          <w:szCs w:val="22"/>
        </w:rPr>
        <w:t>SW</w:t>
      </w:r>
      <w:r w:rsidRPr="00D271D5">
        <w:rPr>
          <w:szCs w:val="22"/>
        </w:rPr>
        <w:t xml:space="preserve"> Government</w:t>
      </w:r>
      <w:r w:rsidR="002D4551">
        <w:rPr>
          <w:szCs w:val="22"/>
        </w:rPr>
        <w:t>s</w:t>
      </w:r>
      <w:r w:rsidRPr="00D271D5">
        <w:rPr>
          <w:szCs w:val="22"/>
        </w:rPr>
        <w:t xml:space="preserve"> jointly funded investigations </w:t>
      </w:r>
      <w:r w:rsidR="006568D0">
        <w:rPr>
          <w:szCs w:val="22"/>
        </w:rPr>
        <w:t xml:space="preserve">(Maunsell, 2007; SKM, 2009, 2010) </w:t>
      </w:r>
      <w:r w:rsidRPr="00D271D5">
        <w:rPr>
          <w:szCs w:val="22"/>
        </w:rPr>
        <w:t xml:space="preserve">to identify opportunities for substantial water savings in the Darling River System, including 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Pr>
          <w:szCs w:val="22"/>
        </w:rPr>
        <w:t>. The outcome was to be a 20-</w:t>
      </w:r>
      <w:r w:rsidRPr="00D271D5">
        <w:rPr>
          <w:szCs w:val="22"/>
        </w:rPr>
        <w:t>year Strategic Plan for water savings, based on an integrated approach of structural works, river and storage operating strategi</w:t>
      </w:r>
      <w:r>
        <w:rPr>
          <w:szCs w:val="22"/>
        </w:rPr>
        <w:t>es and water market activities.</w:t>
      </w:r>
      <w:r w:rsidRPr="00D271D5">
        <w:rPr>
          <w:szCs w:val="22"/>
        </w:rPr>
        <w:t xml:space="preserve"> The study was organised in two parts:</w:t>
      </w:r>
      <w:r w:rsidR="00E823BA">
        <w:rPr>
          <w:szCs w:val="22"/>
        </w:rPr>
        <w:t xml:space="preserve"> </w:t>
      </w:r>
    </w:p>
    <w:p w:rsidR="00EA57FF" w:rsidRPr="00D271D5" w:rsidRDefault="00EA57FF" w:rsidP="008F097B">
      <w:pPr>
        <w:numPr>
          <w:ilvl w:val="0"/>
          <w:numId w:val="29"/>
        </w:numPr>
        <w:tabs>
          <w:tab w:val="clear" w:pos="360"/>
          <w:tab w:val="num" w:pos="720"/>
        </w:tabs>
        <w:spacing w:before="60" w:after="60"/>
        <w:ind w:left="720"/>
        <w:rPr>
          <w:szCs w:val="22"/>
        </w:rPr>
      </w:pPr>
      <w:r w:rsidRPr="00D271D5">
        <w:rPr>
          <w:szCs w:val="22"/>
        </w:rPr>
        <w:t xml:space="preserve">Part A, aimed at generating and broadly screening a large number of options and </w:t>
      </w:r>
      <w:r w:rsidR="00F1254A">
        <w:rPr>
          <w:szCs w:val="22"/>
        </w:rPr>
        <w:t xml:space="preserve">then </w:t>
      </w:r>
      <w:r w:rsidRPr="00D271D5">
        <w:rPr>
          <w:szCs w:val="22"/>
        </w:rPr>
        <w:t>compiling from these a manageable number of alternate, integrated water saving schemes.</w:t>
      </w:r>
      <w:r w:rsidR="00E823BA">
        <w:rPr>
          <w:szCs w:val="22"/>
        </w:rPr>
        <w:t xml:space="preserve"> </w:t>
      </w:r>
    </w:p>
    <w:p w:rsidR="00EA57FF" w:rsidRPr="00D271D5" w:rsidRDefault="00EA57FF" w:rsidP="008F097B">
      <w:pPr>
        <w:numPr>
          <w:ilvl w:val="0"/>
          <w:numId w:val="29"/>
        </w:numPr>
        <w:tabs>
          <w:tab w:val="clear" w:pos="360"/>
          <w:tab w:val="num" w:pos="720"/>
        </w:tabs>
        <w:spacing w:before="60" w:after="60"/>
        <w:ind w:left="720"/>
        <w:rPr>
          <w:szCs w:val="22"/>
        </w:rPr>
      </w:pPr>
      <w:r w:rsidRPr="00D271D5">
        <w:rPr>
          <w:szCs w:val="22"/>
        </w:rPr>
        <w:t>Part B, developing the Darlin</w:t>
      </w:r>
      <w:r>
        <w:rPr>
          <w:szCs w:val="22"/>
        </w:rPr>
        <w:t xml:space="preserve">g River System Strategic Plan. </w:t>
      </w:r>
      <w:r w:rsidRPr="00D271D5">
        <w:rPr>
          <w:szCs w:val="22"/>
        </w:rPr>
        <w:t>This was to follow a benefit/cost analysis of short-listed schemes and a preliminary environmental assessment.</w:t>
      </w:r>
      <w:r w:rsidR="00E823BA">
        <w:rPr>
          <w:szCs w:val="22"/>
        </w:rPr>
        <w:t xml:space="preserve"> </w:t>
      </w:r>
    </w:p>
    <w:p w:rsidR="00EA57FF" w:rsidRPr="00097B59" w:rsidRDefault="00EA57FF" w:rsidP="008F097B">
      <w:pPr>
        <w:spacing w:before="60"/>
        <w:rPr>
          <w:szCs w:val="22"/>
        </w:rPr>
      </w:pPr>
      <w:r w:rsidRPr="00097B59">
        <w:rPr>
          <w:szCs w:val="22"/>
        </w:rPr>
        <w:t>In April 2007, Part A of the feasibility study entitled ‘Darling River Water Savings Project (DRWSP)’ was published (Maunsell, 2007). The Part A study modelled a number of options from which the most promising were used to develop six different integrated water saving schemes. These were considered to be core options for reconfiguration of the MLS to reduce evaporative losses and achieve significant water savings. It was on the basis of the Part A findings that the 2007 Australian Government funding commitment was made.</w:t>
      </w:r>
    </w:p>
    <w:p w:rsidR="00EA57FF" w:rsidRPr="00097B59" w:rsidRDefault="00EA57FF" w:rsidP="00EA57FF">
      <w:pPr>
        <w:rPr>
          <w:szCs w:val="22"/>
        </w:rPr>
      </w:pPr>
    </w:p>
    <w:p w:rsidR="00EA57FF" w:rsidRPr="0004729A" w:rsidRDefault="00EA57FF" w:rsidP="00EA57FF">
      <w:pPr>
        <w:rPr>
          <w:szCs w:val="22"/>
        </w:rPr>
      </w:pPr>
      <w:r w:rsidRPr="00097B59">
        <w:rPr>
          <w:szCs w:val="22"/>
        </w:rPr>
        <w:t>Following the November 2007 election, the DRWSP Part B study was jointly funded by the Australian and NSW governments to provide detailed information and analysis needed to assess the technical feasibility and further development of the proposed water saving schemes. The Part B study further refined the basic options identified in the Part A Report, in particular, focusing more on storage management options rather than engineering solutions such as partitioning the Lakes. Extensive hydrological modelling was undertaken across some 90 options to evaluate the impact of different infrastructure and operational rules. The Part B Final Report, completed in March 2010 (</w:t>
      </w:r>
      <w:smartTag w:uri="urn:schemas-microsoft-com:office:smarttags" w:element="stockticker">
        <w:r w:rsidRPr="00097B59">
          <w:rPr>
            <w:szCs w:val="22"/>
          </w:rPr>
          <w:t>SKM</w:t>
        </w:r>
      </w:smartTag>
      <w:r w:rsidRPr="00097B59">
        <w:rPr>
          <w:szCs w:val="22"/>
        </w:rPr>
        <w:t>, 2009, 2010), focussed on</w:t>
      </w:r>
      <w:r w:rsidRPr="00D271D5">
        <w:rPr>
          <w:szCs w:val="22"/>
        </w:rPr>
        <w:t xml:space="preserve"> </w:t>
      </w:r>
      <w:r w:rsidR="002D4551">
        <w:rPr>
          <w:szCs w:val="22"/>
        </w:rPr>
        <w:t>six options ranging from minimal</w:t>
      </w:r>
      <w:r w:rsidRPr="00D271D5">
        <w:rPr>
          <w:szCs w:val="22"/>
        </w:rPr>
        <w:t xml:space="preserve"> changes to significant change, and generating a wide range of water savings at </w:t>
      </w:r>
      <w:r w:rsidR="007D1583">
        <w:rPr>
          <w:szCs w:val="22"/>
        </w:rPr>
        <w:t>Menindee Lakes</w:t>
      </w:r>
      <w:r w:rsidRPr="00D271D5">
        <w:rPr>
          <w:szCs w:val="22"/>
        </w:rPr>
        <w:t>.</w:t>
      </w:r>
    </w:p>
    <w:p w:rsidR="00EA57FF" w:rsidRDefault="00EA57FF" w:rsidP="00EA57FF">
      <w:pPr>
        <w:rPr>
          <w:szCs w:val="22"/>
        </w:rPr>
      </w:pPr>
    </w:p>
    <w:p w:rsidR="00EA57FF" w:rsidRPr="00D271D5" w:rsidRDefault="00EA57FF" w:rsidP="00EA57FF">
      <w:pPr>
        <w:rPr>
          <w:szCs w:val="22"/>
        </w:rPr>
      </w:pPr>
      <w:r w:rsidRPr="00D271D5">
        <w:rPr>
          <w:szCs w:val="22"/>
        </w:rPr>
        <w:t xml:space="preserve">In July 2010, following the completion of the DRWSP, the NSW and Australian Governments signed a Memorandum of Understanding (MOU) to guide cooperative investigation and subsequent implementation of key water reform initiatives in NSW, including for Broken Hill’s water supply and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sidRPr="00D271D5">
        <w:rPr>
          <w:szCs w:val="22"/>
        </w:rPr>
        <w:t xml:space="preserve">’ operational arrangements. The MOU committed the </w:t>
      </w:r>
      <w:r>
        <w:rPr>
          <w:szCs w:val="22"/>
        </w:rPr>
        <w:t xml:space="preserve">two </w:t>
      </w:r>
      <w:r w:rsidRPr="00D271D5">
        <w:rPr>
          <w:szCs w:val="22"/>
        </w:rPr>
        <w:t>governments to a program of joint work up to the end of 2010 including:</w:t>
      </w:r>
    </w:p>
    <w:p w:rsidR="00EA57FF" w:rsidRPr="00D271D5" w:rsidRDefault="00EA57FF" w:rsidP="00EA57FF">
      <w:pPr>
        <w:rPr>
          <w:szCs w:val="22"/>
        </w:rPr>
      </w:pPr>
    </w:p>
    <w:p w:rsidR="00EA57FF" w:rsidRPr="00D271D5" w:rsidRDefault="002F7481" w:rsidP="00381FA9">
      <w:pPr>
        <w:numPr>
          <w:ilvl w:val="0"/>
          <w:numId w:val="29"/>
        </w:numPr>
        <w:tabs>
          <w:tab w:val="clear" w:pos="360"/>
          <w:tab w:val="num" w:pos="720"/>
        </w:tabs>
        <w:ind w:left="720"/>
        <w:rPr>
          <w:szCs w:val="22"/>
        </w:rPr>
      </w:pPr>
      <w:r>
        <w:rPr>
          <w:szCs w:val="22"/>
        </w:rPr>
        <w:t>A</w:t>
      </w:r>
      <w:r w:rsidR="00EA57FF" w:rsidRPr="00D271D5">
        <w:rPr>
          <w:szCs w:val="22"/>
        </w:rPr>
        <w:t>dditional technical investigations to establish the feasibility (and cost) of using local aquifers to secure Broken Hill’s water supply in drought periods;</w:t>
      </w:r>
    </w:p>
    <w:p w:rsidR="00EA57FF" w:rsidRPr="00D271D5" w:rsidRDefault="002F7481" w:rsidP="00381FA9">
      <w:pPr>
        <w:numPr>
          <w:ilvl w:val="0"/>
          <w:numId w:val="29"/>
        </w:numPr>
        <w:tabs>
          <w:tab w:val="clear" w:pos="360"/>
          <w:tab w:val="num" w:pos="720"/>
        </w:tabs>
        <w:ind w:left="720"/>
        <w:rPr>
          <w:szCs w:val="22"/>
        </w:rPr>
      </w:pPr>
      <w:r>
        <w:rPr>
          <w:szCs w:val="22"/>
        </w:rPr>
        <w:t>F</w:t>
      </w:r>
      <w:r w:rsidR="00EA57FF" w:rsidRPr="00D271D5">
        <w:rPr>
          <w:szCs w:val="22"/>
        </w:rPr>
        <w:t xml:space="preserve">urther analysis (including modelling) of infrastructure and operational changes at </w:t>
      </w:r>
      <w:r w:rsidR="007D1583">
        <w:rPr>
          <w:szCs w:val="22"/>
        </w:rPr>
        <w:t>Menindee Lakes</w:t>
      </w:r>
      <w:r w:rsidR="00EA57FF" w:rsidRPr="00D271D5">
        <w:rPr>
          <w:szCs w:val="22"/>
        </w:rPr>
        <w:t xml:space="preserve"> to deliver substantial water savings, while protecting the local environment and heritage, and ensuring no directly attributable adverse impact on water entitlement security of irrigators at </w:t>
      </w:r>
      <w:r w:rsidR="007D1583">
        <w:rPr>
          <w:szCs w:val="22"/>
        </w:rPr>
        <w:t>Menindee Lakes</w:t>
      </w:r>
      <w:r w:rsidR="00EA57FF" w:rsidRPr="00D271D5">
        <w:rPr>
          <w:szCs w:val="22"/>
        </w:rPr>
        <w:t>, and in the Lower Darling and Murray Rivers.</w:t>
      </w:r>
    </w:p>
    <w:p w:rsidR="003804B4" w:rsidRDefault="002F7481" w:rsidP="00381FA9">
      <w:pPr>
        <w:numPr>
          <w:ilvl w:val="0"/>
          <w:numId w:val="29"/>
        </w:numPr>
        <w:tabs>
          <w:tab w:val="clear" w:pos="360"/>
          <w:tab w:val="num" w:pos="720"/>
        </w:tabs>
        <w:ind w:left="720"/>
        <w:rPr>
          <w:szCs w:val="22"/>
        </w:rPr>
      </w:pPr>
      <w:r>
        <w:rPr>
          <w:szCs w:val="22"/>
        </w:rPr>
        <w:t>P</w:t>
      </w:r>
      <w:r w:rsidR="00EA57FF" w:rsidRPr="00D271D5">
        <w:rPr>
          <w:szCs w:val="22"/>
        </w:rPr>
        <w:t xml:space="preserve">ublic consultation on changed arrangements at </w:t>
      </w:r>
      <w:r w:rsidR="007D1583">
        <w:rPr>
          <w:szCs w:val="22"/>
        </w:rPr>
        <w:t>Menindee Lakes</w:t>
      </w:r>
      <w:r w:rsidR="00EA57FF" w:rsidRPr="00D271D5">
        <w:rPr>
          <w:szCs w:val="22"/>
        </w:rPr>
        <w:t xml:space="preserve"> and the proposal for Broken Hill’s water supply to be made less reliant on supplies from </w:t>
      </w:r>
      <w:r w:rsidR="007D1583">
        <w:rPr>
          <w:szCs w:val="22"/>
        </w:rPr>
        <w:t>Menindee Lakes</w:t>
      </w:r>
      <w:r w:rsidR="00EA57FF" w:rsidRPr="00D271D5">
        <w:rPr>
          <w:szCs w:val="22"/>
        </w:rPr>
        <w:t>.</w:t>
      </w:r>
    </w:p>
    <w:p w:rsidR="003804B4" w:rsidRDefault="008A634D" w:rsidP="00EF7E00">
      <w:pPr>
        <w:pStyle w:val="Heading3"/>
        <w:tabs>
          <w:tab w:val="left" w:pos="1080"/>
        </w:tabs>
        <w:spacing w:before="320"/>
        <w:ind w:left="1080" w:hanging="1080"/>
      </w:pPr>
      <w:bookmarkStart w:id="81" w:name="_Toc325700068"/>
      <w:bookmarkStart w:id="82" w:name="_Toc325700411"/>
      <w:bookmarkStart w:id="83" w:name="_Toc325975092"/>
      <w:bookmarkStart w:id="84" w:name="_Toc390690081"/>
      <w:r>
        <w:t>Hydrology and Evaporation Studies</w:t>
      </w:r>
      <w:bookmarkEnd w:id="81"/>
      <w:bookmarkEnd w:id="82"/>
      <w:bookmarkEnd w:id="83"/>
      <w:bookmarkEnd w:id="84"/>
      <w:r w:rsidR="003804B4" w:rsidRPr="007B0FA8">
        <w:t xml:space="preserve"> </w:t>
      </w:r>
    </w:p>
    <w:p w:rsidR="009A102C" w:rsidRPr="007F3F45" w:rsidRDefault="009A102C" w:rsidP="00EF7E00">
      <w:pPr>
        <w:pStyle w:val="Heading4"/>
        <w:spacing w:before="320"/>
        <w:rPr>
          <w:sz w:val="22"/>
        </w:rPr>
      </w:pPr>
      <w:r>
        <w:rPr>
          <w:sz w:val="22"/>
        </w:rPr>
        <w:t xml:space="preserve">MLS </w:t>
      </w:r>
      <w:r w:rsidRPr="007F3F45">
        <w:rPr>
          <w:sz w:val="22"/>
        </w:rPr>
        <w:t>Evaporation Estimation</w:t>
      </w:r>
      <w:r>
        <w:rPr>
          <w:sz w:val="22"/>
        </w:rPr>
        <w:t xml:space="preserve"> (SKM)</w:t>
      </w:r>
    </w:p>
    <w:p w:rsidR="009A102C" w:rsidRDefault="009A102C" w:rsidP="009A102C">
      <w:pPr>
        <w:autoSpaceDE w:val="0"/>
        <w:autoSpaceDN w:val="0"/>
        <w:adjustRightInd w:val="0"/>
        <w:rPr>
          <w:iCs/>
          <w:color w:val="000000"/>
          <w:szCs w:val="22"/>
        </w:rPr>
      </w:pPr>
      <w:r>
        <w:rPr>
          <w:iCs/>
          <w:color w:val="000000"/>
          <w:szCs w:val="22"/>
        </w:rPr>
        <w:t xml:space="preserve">In hot, windy, semi-arid environments like the </w:t>
      </w:r>
      <w:smartTag w:uri="urn:schemas-microsoft-com:office:smarttags" w:element="place">
        <w:r>
          <w:rPr>
            <w:iCs/>
            <w:color w:val="000000"/>
            <w:szCs w:val="22"/>
          </w:rPr>
          <w:t>Darling River</w:t>
        </w:r>
      </w:smartTag>
      <w:r>
        <w:rPr>
          <w:iCs/>
          <w:color w:val="000000"/>
          <w:szCs w:val="22"/>
        </w:rPr>
        <w:t xml:space="preserve"> floodplain, evaporation from shallow reservoirs like the MLS is often a significant component of the water balance, although accurate </w:t>
      </w:r>
      <w:r w:rsidRPr="007F3F45">
        <w:rPr>
          <w:iCs/>
          <w:color w:val="000000"/>
          <w:szCs w:val="22"/>
        </w:rPr>
        <w:t>quantification is often limited. E</w:t>
      </w:r>
      <w:r w:rsidR="002D4551">
        <w:rPr>
          <w:iCs/>
          <w:color w:val="000000"/>
          <w:szCs w:val="22"/>
        </w:rPr>
        <w:t xml:space="preserve">stimating the amount of </w:t>
      </w:r>
      <w:r>
        <w:rPr>
          <w:iCs/>
          <w:color w:val="000000"/>
          <w:szCs w:val="22"/>
        </w:rPr>
        <w:t>e</w:t>
      </w:r>
      <w:r w:rsidRPr="007F3F45">
        <w:rPr>
          <w:iCs/>
          <w:color w:val="000000"/>
          <w:szCs w:val="22"/>
        </w:rPr>
        <w:t xml:space="preserve">vaporation from the MLS </w:t>
      </w:r>
      <w:r>
        <w:rPr>
          <w:iCs/>
          <w:color w:val="000000"/>
          <w:szCs w:val="22"/>
        </w:rPr>
        <w:t xml:space="preserve">has been a </w:t>
      </w:r>
      <w:r w:rsidR="001E1E35">
        <w:rPr>
          <w:iCs/>
          <w:color w:val="000000"/>
          <w:szCs w:val="22"/>
        </w:rPr>
        <w:t>particularly</w:t>
      </w:r>
      <w:r>
        <w:rPr>
          <w:iCs/>
          <w:color w:val="000000"/>
          <w:szCs w:val="22"/>
        </w:rPr>
        <w:t xml:space="preserve"> contentious issue, given the debate about possible changes to the MLS operating regime to reduce evaporative losses. </w:t>
      </w:r>
    </w:p>
    <w:p w:rsidR="009A102C" w:rsidRDefault="009A102C" w:rsidP="009A102C">
      <w:pPr>
        <w:autoSpaceDE w:val="0"/>
        <w:autoSpaceDN w:val="0"/>
        <w:adjustRightInd w:val="0"/>
        <w:rPr>
          <w:iCs/>
          <w:color w:val="000000"/>
          <w:szCs w:val="22"/>
        </w:rPr>
      </w:pPr>
    </w:p>
    <w:p w:rsidR="009A102C" w:rsidRDefault="009A102C" w:rsidP="009A102C">
      <w:pPr>
        <w:autoSpaceDE w:val="0"/>
        <w:autoSpaceDN w:val="0"/>
        <w:adjustRightInd w:val="0"/>
        <w:rPr>
          <w:iCs/>
          <w:color w:val="000000"/>
          <w:szCs w:val="22"/>
        </w:rPr>
      </w:pPr>
      <w:r>
        <w:rPr>
          <w:iCs/>
          <w:color w:val="000000"/>
          <w:szCs w:val="22"/>
        </w:rPr>
        <w:t>Several m</w:t>
      </w:r>
      <w:r w:rsidRPr="007F3F45">
        <w:rPr>
          <w:iCs/>
          <w:color w:val="000000"/>
          <w:szCs w:val="22"/>
        </w:rPr>
        <w:t>ethods exist to estimate evaporation from reservoirs</w:t>
      </w:r>
      <w:r>
        <w:rPr>
          <w:iCs/>
          <w:color w:val="000000"/>
          <w:szCs w:val="22"/>
        </w:rPr>
        <w:t>, h</w:t>
      </w:r>
      <w:r w:rsidRPr="007F3F45">
        <w:rPr>
          <w:iCs/>
          <w:color w:val="000000"/>
          <w:szCs w:val="22"/>
        </w:rPr>
        <w:t>owever</w:t>
      </w:r>
      <w:r>
        <w:rPr>
          <w:iCs/>
          <w:color w:val="000000"/>
          <w:szCs w:val="22"/>
        </w:rPr>
        <w:t>, these</w:t>
      </w:r>
      <w:r w:rsidRPr="007F3F45">
        <w:rPr>
          <w:iCs/>
          <w:color w:val="000000"/>
          <w:szCs w:val="22"/>
        </w:rPr>
        <w:t xml:space="preserve"> are often data intensive</w:t>
      </w:r>
      <w:r>
        <w:rPr>
          <w:iCs/>
          <w:color w:val="000000"/>
          <w:szCs w:val="22"/>
        </w:rPr>
        <w:t xml:space="preserve"> and not considered cost-effective. In the Broken Hill region, the </w:t>
      </w:r>
      <w:r w:rsidRPr="007F3F45">
        <w:rPr>
          <w:iCs/>
          <w:color w:val="000000"/>
          <w:szCs w:val="22"/>
        </w:rPr>
        <w:t>pan coefficient method</w:t>
      </w:r>
      <w:r>
        <w:rPr>
          <w:iCs/>
          <w:color w:val="000000"/>
          <w:szCs w:val="22"/>
        </w:rPr>
        <w:t>, which is considered to be the least accurate of these methods (Evans</w:t>
      </w:r>
      <w:r w:rsidR="008A5F7D" w:rsidRPr="008A5F7D">
        <w:rPr>
          <w:i/>
          <w:iCs/>
          <w:color w:val="000000"/>
          <w:szCs w:val="22"/>
        </w:rPr>
        <w:t xml:space="preserve"> et al</w:t>
      </w:r>
      <w:r>
        <w:rPr>
          <w:iCs/>
          <w:color w:val="000000"/>
          <w:szCs w:val="22"/>
        </w:rPr>
        <w:t>., 2009), has traditionally been used to measure evaporation at the MLS and other local reservoirs (Country Water, pers. comm., 2010).</w:t>
      </w:r>
      <w:r w:rsidRPr="007F3F45">
        <w:rPr>
          <w:iCs/>
          <w:color w:val="000000"/>
          <w:szCs w:val="22"/>
        </w:rPr>
        <w:t xml:space="preserve"> </w:t>
      </w:r>
    </w:p>
    <w:p w:rsidR="009A102C" w:rsidRDefault="009A102C" w:rsidP="009A102C">
      <w:pPr>
        <w:autoSpaceDE w:val="0"/>
        <w:autoSpaceDN w:val="0"/>
        <w:adjustRightInd w:val="0"/>
        <w:rPr>
          <w:iCs/>
          <w:color w:val="000000"/>
          <w:szCs w:val="22"/>
        </w:rPr>
      </w:pPr>
    </w:p>
    <w:p w:rsidR="009A102C" w:rsidRPr="008854BC" w:rsidRDefault="009A102C" w:rsidP="009A102C">
      <w:pPr>
        <w:autoSpaceDE w:val="0"/>
        <w:autoSpaceDN w:val="0"/>
        <w:adjustRightInd w:val="0"/>
        <w:rPr>
          <w:color w:val="000000"/>
          <w:szCs w:val="22"/>
        </w:rPr>
      </w:pPr>
      <w:r>
        <w:rPr>
          <w:color w:val="000000"/>
          <w:szCs w:val="22"/>
        </w:rPr>
        <w:t>There have been several previous studies that have attempted to estimate evaporative losses from the MLS. I</w:t>
      </w:r>
      <w:r w:rsidRPr="008854BC">
        <w:rPr>
          <w:color w:val="000000"/>
          <w:szCs w:val="22"/>
        </w:rPr>
        <w:t xml:space="preserve">n the State of the Darling Interim Hydrology Report </w:t>
      </w:r>
      <w:r>
        <w:rPr>
          <w:color w:val="000000"/>
          <w:szCs w:val="22"/>
        </w:rPr>
        <w:t>(</w:t>
      </w:r>
      <w:r w:rsidR="00364F6D" w:rsidRPr="008854BC">
        <w:rPr>
          <w:color w:val="000000"/>
          <w:szCs w:val="22"/>
        </w:rPr>
        <w:t>Webb McKeown,</w:t>
      </w:r>
      <w:r w:rsidR="00364F6D">
        <w:rPr>
          <w:color w:val="000000"/>
          <w:szCs w:val="22"/>
        </w:rPr>
        <w:t xml:space="preserve"> </w:t>
      </w:r>
      <w:r>
        <w:rPr>
          <w:color w:val="000000"/>
          <w:szCs w:val="22"/>
        </w:rPr>
        <w:t xml:space="preserve">2007) the average annual net evaporation loss from the MLS was estimated at </w:t>
      </w:r>
      <w:r w:rsidRPr="001A3D78">
        <w:rPr>
          <w:color w:val="000000"/>
          <w:szCs w:val="22"/>
        </w:rPr>
        <w:t>393 GL/yr</w:t>
      </w:r>
      <w:r>
        <w:rPr>
          <w:color w:val="000000"/>
          <w:szCs w:val="22"/>
        </w:rPr>
        <w:t>, based on</w:t>
      </w:r>
      <w:r w:rsidRPr="001A3D78">
        <w:rPr>
          <w:color w:val="000000"/>
          <w:szCs w:val="22"/>
        </w:rPr>
        <w:t xml:space="preserve"> pan to open water</w:t>
      </w:r>
      <w:r>
        <w:rPr>
          <w:color w:val="000000"/>
          <w:szCs w:val="22"/>
        </w:rPr>
        <w:t xml:space="preserve"> </w:t>
      </w:r>
      <w:r w:rsidRPr="001A3D78">
        <w:rPr>
          <w:color w:val="000000"/>
          <w:szCs w:val="22"/>
        </w:rPr>
        <w:t>surface coefficients and calculate</w:t>
      </w:r>
      <w:r w:rsidR="00364F6D">
        <w:rPr>
          <w:color w:val="000000"/>
          <w:szCs w:val="22"/>
        </w:rPr>
        <w:t>d</w:t>
      </w:r>
      <w:r w:rsidRPr="001A3D78">
        <w:rPr>
          <w:color w:val="000000"/>
          <w:szCs w:val="22"/>
        </w:rPr>
        <w:t xml:space="preserve"> l</w:t>
      </w:r>
      <w:r>
        <w:rPr>
          <w:color w:val="000000"/>
          <w:szCs w:val="22"/>
        </w:rPr>
        <w:t xml:space="preserve">osses based on storage volumes </w:t>
      </w:r>
      <w:r w:rsidRPr="008854BC">
        <w:rPr>
          <w:color w:val="000000"/>
          <w:szCs w:val="22"/>
        </w:rPr>
        <w:t>(Webb McKeown, 2007)</w:t>
      </w:r>
      <w:r>
        <w:rPr>
          <w:color w:val="000000"/>
          <w:szCs w:val="22"/>
        </w:rPr>
        <w:t>. However,</w:t>
      </w:r>
      <w:r w:rsidRPr="001A3D78">
        <w:rPr>
          <w:color w:val="000000"/>
          <w:szCs w:val="22"/>
        </w:rPr>
        <w:t xml:space="preserve"> </w:t>
      </w:r>
      <w:r>
        <w:rPr>
          <w:color w:val="000000"/>
          <w:szCs w:val="22"/>
        </w:rPr>
        <w:t>modelling of &gt;</w:t>
      </w:r>
      <w:r w:rsidRPr="001A3D78">
        <w:rPr>
          <w:color w:val="000000"/>
          <w:szCs w:val="22"/>
        </w:rPr>
        <w:t xml:space="preserve">100 years of inflow data </w:t>
      </w:r>
      <w:r>
        <w:rPr>
          <w:color w:val="000000"/>
          <w:szCs w:val="22"/>
        </w:rPr>
        <w:t xml:space="preserve">have estimated the </w:t>
      </w:r>
      <w:r w:rsidRPr="001A3D78">
        <w:rPr>
          <w:color w:val="000000"/>
          <w:szCs w:val="22"/>
        </w:rPr>
        <w:t>average annual evaporation loss</w:t>
      </w:r>
      <w:r>
        <w:rPr>
          <w:color w:val="000000"/>
          <w:szCs w:val="22"/>
        </w:rPr>
        <w:t xml:space="preserve"> from the MLS </w:t>
      </w:r>
      <w:r w:rsidRPr="001A3D78">
        <w:rPr>
          <w:color w:val="000000"/>
          <w:szCs w:val="22"/>
        </w:rPr>
        <w:t>to be 426</w:t>
      </w:r>
      <w:r w:rsidR="00DB488F">
        <w:rPr>
          <w:color w:val="000000"/>
          <w:szCs w:val="22"/>
        </w:rPr>
        <w:t xml:space="preserve"> </w:t>
      </w:r>
      <w:r w:rsidRPr="001A3D78">
        <w:rPr>
          <w:color w:val="000000"/>
          <w:szCs w:val="22"/>
        </w:rPr>
        <w:t xml:space="preserve">GL/yr. </w:t>
      </w:r>
      <w:r w:rsidR="002D4551">
        <w:rPr>
          <w:color w:val="000000"/>
          <w:szCs w:val="22"/>
        </w:rPr>
        <w:t>Moreover</w:t>
      </w:r>
      <w:r w:rsidRPr="001A3D78">
        <w:rPr>
          <w:color w:val="000000"/>
          <w:szCs w:val="22"/>
        </w:rPr>
        <w:t>, this can increase to approximately 700 GL/yr when the Lakes are full (Maunsell, 2007)</w:t>
      </w:r>
      <w:r>
        <w:rPr>
          <w:color w:val="000000"/>
          <w:szCs w:val="22"/>
        </w:rPr>
        <w:t>.</w:t>
      </w:r>
    </w:p>
    <w:p w:rsidR="009A102C" w:rsidRDefault="009A102C" w:rsidP="009A102C">
      <w:pPr>
        <w:autoSpaceDE w:val="0"/>
        <w:autoSpaceDN w:val="0"/>
        <w:adjustRightInd w:val="0"/>
        <w:rPr>
          <w:iCs/>
          <w:color w:val="000000"/>
          <w:szCs w:val="22"/>
        </w:rPr>
      </w:pPr>
    </w:p>
    <w:p w:rsidR="009A102C" w:rsidRDefault="009A102C" w:rsidP="009A102C">
      <w:pPr>
        <w:rPr>
          <w:color w:val="000000"/>
          <w:szCs w:val="22"/>
        </w:rPr>
      </w:pPr>
      <w:r>
        <w:rPr>
          <w:iCs/>
          <w:color w:val="000000"/>
          <w:szCs w:val="22"/>
        </w:rPr>
        <w:t>Recently, the</w:t>
      </w:r>
      <w:r w:rsidRPr="007F3F45">
        <w:rPr>
          <w:iCs/>
          <w:color w:val="000000"/>
          <w:szCs w:val="22"/>
        </w:rPr>
        <w:t xml:space="preserve"> SEBAL (Surface Energy Balance Algorithm for Land) </w:t>
      </w:r>
      <w:r>
        <w:rPr>
          <w:iCs/>
          <w:color w:val="000000"/>
          <w:szCs w:val="22"/>
        </w:rPr>
        <w:t xml:space="preserve">method, which was initially developed </w:t>
      </w:r>
      <w:r w:rsidRPr="007F3F45">
        <w:rPr>
          <w:iCs/>
          <w:color w:val="000000"/>
          <w:szCs w:val="22"/>
        </w:rPr>
        <w:t xml:space="preserve">for estimating evapotranspiration from land at large scales </w:t>
      </w:r>
      <w:r>
        <w:rPr>
          <w:iCs/>
          <w:color w:val="000000"/>
          <w:szCs w:val="22"/>
        </w:rPr>
        <w:t xml:space="preserve">using satellite </w:t>
      </w:r>
      <w:r w:rsidRPr="002D4551">
        <w:rPr>
          <w:iCs/>
          <w:color w:val="000000"/>
          <w:szCs w:val="22"/>
        </w:rPr>
        <w:t>imagery (</w:t>
      </w:r>
      <w:r w:rsidR="002D4551" w:rsidRPr="002D4551">
        <w:rPr>
          <w:iCs/>
          <w:color w:val="000000"/>
          <w:szCs w:val="22"/>
        </w:rPr>
        <w:t>Ba</w:t>
      </w:r>
      <w:r w:rsidR="00400003">
        <w:rPr>
          <w:iCs/>
          <w:color w:val="000000"/>
          <w:szCs w:val="22"/>
        </w:rPr>
        <w:t>s</w:t>
      </w:r>
      <w:r w:rsidR="002D4551" w:rsidRPr="002D4551">
        <w:rPr>
          <w:iCs/>
          <w:color w:val="000000"/>
          <w:szCs w:val="22"/>
        </w:rPr>
        <w:t>tia</w:t>
      </w:r>
      <w:r w:rsidR="00AA4D8A">
        <w:rPr>
          <w:iCs/>
          <w:color w:val="000000"/>
          <w:szCs w:val="22"/>
        </w:rPr>
        <w:t>a</w:t>
      </w:r>
      <w:r w:rsidR="002D4551" w:rsidRPr="002D4551">
        <w:rPr>
          <w:iCs/>
          <w:color w:val="000000"/>
          <w:szCs w:val="22"/>
        </w:rPr>
        <w:t>n</w:t>
      </w:r>
      <w:r w:rsidR="00AA4D8A">
        <w:rPr>
          <w:iCs/>
          <w:color w:val="000000"/>
          <w:szCs w:val="22"/>
        </w:rPr>
        <w:t>s</w:t>
      </w:r>
      <w:r w:rsidR="002D4551" w:rsidRPr="002D4551">
        <w:rPr>
          <w:iCs/>
          <w:color w:val="000000"/>
          <w:szCs w:val="22"/>
        </w:rPr>
        <w:t>sen</w:t>
      </w:r>
      <w:r w:rsidR="008A5F7D" w:rsidRPr="008A5F7D">
        <w:rPr>
          <w:i/>
          <w:iCs/>
          <w:color w:val="000000"/>
          <w:szCs w:val="22"/>
        </w:rPr>
        <w:t xml:space="preserve"> et al</w:t>
      </w:r>
      <w:r w:rsidR="002D4551" w:rsidRPr="002D4551">
        <w:rPr>
          <w:i/>
          <w:iCs/>
          <w:color w:val="000000"/>
          <w:szCs w:val="22"/>
        </w:rPr>
        <w:t>.,</w:t>
      </w:r>
      <w:r w:rsidR="002D4551" w:rsidRPr="002D4551">
        <w:rPr>
          <w:iCs/>
          <w:color w:val="000000"/>
          <w:szCs w:val="22"/>
        </w:rPr>
        <w:t xml:space="preserve"> 1998</w:t>
      </w:r>
      <w:r w:rsidR="00844912">
        <w:rPr>
          <w:iCs/>
          <w:color w:val="000000"/>
          <w:szCs w:val="22"/>
        </w:rPr>
        <w:t>a, b</w:t>
      </w:r>
      <w:r w:rsidRPr="002D4551">
        <w:rPr>
          <w:iCs/>
          <w:color w:val="000000"/>
          <w:szCs w:val="22"/>
        </w:rPr>
        <w:t>),</w:t>
      </w:r>
      <w:r>
        <w:rPr>
          <w:iCs/>
          <w:color w:val="000000"/>
          <w:szCs w:val="22"/>
        </w:rPr>
        <w:t xml:space="preserve"> has been trialled to estimate</w:t>
      </w:r>
      <w:r w:rsidRPr="007F3F45">
        <w:rPr>
          <w:iCs/>
          <w:color w:val="000000"/>
          <w:szCs w:val="22"/>
        </w:rPr>
        <w:t xml:space="preserve"> evaporation from </w:t>
      </w:r>
      <w:r>
        <w:rPr>
          <w:iCs/>
          <w:color w:val="000000"/>
          <w:szCs w:val="22"/>
        </w:rPr>
        <w:t>the MLS system (Evans</w:t>
      </w:r>
      <w:r w:rsidR="008A5F7D" w:rsidRPr="008A5F7D">
        <w:rPr>
          <w:i/>
          <w:iCs/>
          <w:color w:val="000000"/>
          <w:szCs w:val="22"/>
        </w:rPr>
        <w:t xml:space="preserve"> et al</w:t>
      </w:r>
      <w:r w:rsidRPr="00865F28">
        <w:rPr>
          <w:i/>
          <w:iCs/>
          <w:color w:val="000000"/>
          <w:szCs w:val="22"/>
        </w:rPr>
        <w:t>.,</w:t>
      </w:r>
      <w:r>
        <w:rPr>
          <w:iCs/>
          <w:color w:val="000000"/>
          <w:szCs w:val="22"/>
        </w:rPr>
        <w:t xml:space="preserve"> 2009)</w:t>
      </w:r>
      <w:r w:rsidRPr="007F3F45">
        <w:rPr>
          <w:iCs/>
          <w:color w:val="000000"/>
          <w:szCs w:val="22"/>
        </w:rPr>
        <w:t xml:space="preserve">. </w:t>
      </w:r>
      <w:r w:rsidRPr="007F3F45">
        <w:rPr>
          <w:szCs w:val="22"/>
        </w:rPr>
        <w:t>The trial application</w:t>
      </w:r>
      <w:r>
        <w:rPr>
          <w:szCs w:val="22"/>
        </w:rPr>
        <w:t>, funded by the Australian Government’s National Water Commission,</w:t>
      </w:r>
      <w:r w:rsidRPr="007F3F45">
        <w:rPr>
          <w:szCs w:val="22"/>
        </w:rPr>
        <w:t xml:space="preserve"> </w:t>
      </w:r>
      <w:r>
        <w:rPr>
          <w:szCs w:val="22"/>
        </w:rPr>
        <w:t>examined data for the</w:t>
      </w:r>
      <w:r w:rsidRPr="007F3F45">
        <w:rPr>
          <w:szCs w:val="22"/>
        </w:rPr>
        <w:t xml:space="preserve"> 2004/05 </w:t>
      </w:r>
      <w:r>
        <w:rPr>
          <w:szCs w:val="22"/>
        </w:rPr>
        <w:t xml:space="preserve">period, when water remained in </w:t>
      </w:r>
      <w:r w:rsidRPr="007F3F45">
        <w:rPr>
          <w:szCs w:val="22"/>
        </w:rPr>
        <w:t>only two of the lakes (Lake Wetherell and Lake Pamamaroo</w:t>
      </w:r>
      <w:r>
        <w:rPr>
          <w:szCs w:val="22"/>
        </w:rPr>
        <w:t>). The other lakes had been dry since 2002</w:t>
      </w:r>
      <w:r w:rsidRPr="007F3F45">
        <w:rPr>
          <w:szCs w:val="22"/>
        </w:rPr>
        <w:t>.</w:t>
      </w:r>
      <w:r>
        <w:rPr>
          <w:color w:val="000000"/>
          <w:szCs w:val="22"/>
        </w:rPr>
        <w:t xml:space="preserve"> </w:t>
      </w:r>
    </w:p>
    <w:p w:rsidR="009A102C" w:rsidRPr="007F3F45" w:rsidRDefault="009A102C" w:rsidP="009A102C">
      <w:pPr>
        <w:rPr>
          <w:lang w:eastAsia="en-US"/>
        </w:rPr>
      </w:pPr>
    </w:p>
    <w:p w:rsidR="009A102C" w:rsidRDefault="009A102C" w:rsidP="009A102C">
      <w:pPr>
        <w:autoSpaceDE w:val="0"/>
        <w:autoSpaceDN w:val="0"/>
        <w:adjustRightInd w:val="0"/>
        <w:rPr>
          <w:szCs w:val="22"/>
        </w:rPr>
      </w:pPr>
      <w:r>
        <w:rPr>
          <w:iCs/>
          <w:color w:val="000000"/>
          <w:szCs w:val="22"/>
        </w:rPr>
        <w:t>The</w:t>
      </w:r>
      <w:r w:rsidRPr="007F3F45">
        <w:rPr>
          <w:iCs/>
          <w:color w:val="000000"/>
          <w:szCs w:val="22"/>
        </w:rPr>
        <w:t xml:space="preserve"> SEBAL estimates of evaporation from the </w:t>
      </w:r>
      <w:r>
        <w:rPr>
          <w:iCs/>
          <w:color w:val="000000"/>
          <w:szCs w:val="22"/>
        </w:rPr>
        <w:t>MLS</w:t>
      </w:r>
      <w:r w:rsidRPr="007F3F45">
        <w:rPr>
          <w:iCs/>
          <w:color w:val="000000"/>
          <w:szCs w:val="22"/>
        </w:rPr>
        <w:t xml:space="preserve"> </w:t>
      </w:r>
      <w:r>
        <w:rPr>
          <w:iCs/>
          <w:color w:val="000000"/>
          <w:szCs w:val="22"/>
        </w:rPr>
        <w:t xml:space="preserve">were compared with local pan evaporation data. </w:t>
      </w:r>
      <w:r>
        <w:rPr>
          <w:szCs w:val="22"/>
        </w:rPr>
        <w:t>The study found that, based on 2004/05 data, and using a uniform pan factor of 0.7 across the year, would result in winter evaporation being overestimated by up to 20</w:t>
      </w:r>
      <w:r w:rsidR="006568D0">
        <w:rPr>
          <w:szCs w:val="22"/>
        </w:rPr>
        <w:t xml:space="preserve"> </w:t>
      </w:r>
      <w:r>
        <w:rPr>
          <w:szCs w:val="22"/>
        </w:rPr>
        <w:t>% and summer evaporation being underestimated by up to 10</w:t>
      </w:r>
      <w:r w:rsidR="006568D0">
        <w:rPr>
          <w:szCs w:val="22"/>
        </w:rPr>
        <w:t xml:space="preserve"> </w:t>
      </w:r>
      <w:r>
        <w:rPr>
          <w:szCs w:val="22"/>
        </w:rPr>
        <w:t>% (Evans</w:t>
      </w:r>
      <w:r w:rsidR="008A5F7D" w:rsidRPr="00CF7613">
        <w:rPr>
          <w:rStyle w:val="StyleItalic"/>
        </w:rPr>
        <w:t xml:space="preserve"> et al</w:t>
      </w:r>
      <w:r w:rsidRPr="00CF7613">
        <w:rPr>
          <w:rStyle w:val="StyleItalic"/>
        </w:rPr>
        <w:t>.</w:t>
      </w:r>
      <w:r>
        <w:rPr>
          <w:szCs w:val="22"/>
        </w:rPr>
        <w:t>, 2009). The SEBAL 2009 measurements of evaporation were then compared to estimates of evaporation calculated using a traditional water balance method. The results of this comparison, show that provided the appropriate water depth assessment method is selected, the SEBEL method is able to produce accurate estimates of evaporation from water storages (Evans</w:t>
      </w:r>
      <w:r w:rsidR="008A5F7D" w:rsidRPr="00CF7613">
        <w:rPr>
          <w:rStyle w:val="StyleItalic"/>
        </w:rPr>
        <w:t xml:space="preserve"> et al</w:t>
      </w:r>
      <w:r>
        <w:rPr>
          <w:szCs w:val="22"/>
        </w:rPr>
        <w:t xml:space="preserve">., 2009). </w:t>
      </w:r>
    </w:p>
    <w:p w:rsidR="009A102C" w:rsidRDefault="009A102C" w:rsidP="009A102C">
      <w:pPr>
        <w:autoSpaceDE w:val="0"/>
        <w:autoSpaceDN w:val="0"/>
        <w:adjustRightInd w:val="0"/>
        <w:rPr>
          <w:szCs w:val="22"/>
        </w:rPr>
      </w:pPr>
    </w:p>
    <w:p w:rsidR="009A102C" w:rsidRDefault="009A102C" w:rsidP="009A102C">
      <w:pPr>
        <w:autoSpaceDE w:val="0"/>
        <w:autoSpaceDN w:val="0"/>
        <w:adjustRightInd w:val="0"/>
        <w:rPr>
          <w:color w:val="000000"/>
          <w:szCs w:val="22"/>
        </w:rPr>
      </w:pPr>
      <w:r>
        <w:rPr>
          <w:color w:val="000000"/>
          <w:szCs w:val="22"/>
        </w:rPr>
        <w:t>Using this</w:t>
      </w:r>
      <w:r w:rsidRPr="007F3F45">
        <w:rPr>
          <w:color w:val="000000"/>
          <w:szCs w:val="22"/>
        </w:rPr>
        <w:t xml:space="preserve"> </w:t>
      </w:r>
      <w:r>
        <w:rPr>
          <w:color w:val="000000"/>
          <w:szCs w:val="22"/>
        </w:rPr>
        <w:t xml:space="preserve">method, it was determined that 133 </w:t>
      </w:r>
      <w:r w:rsidRPr="007F3F45">
        <w:rPr>
          <w:color w:val="000000"/>
          <w:szCs w:val="22"/>
        </w:rPr>
        <w:t xml:space="preserve">GL of water evaporated from </w:t>
      </w:r>
      <w:smartTag w:uri="urn:schemas-microsoft-com:office:smarttags" w:element="PlaceType">
        <w:r w:rsidRPr="007F3F45">
          <w:rPr>
            <w:color w:val="000000"/>
            <w:szCs w:val="22"/>
          </w:rPr>
          <w:t>Lake</w:t>
        </w:r>
      </w:smartTag>
      <w:r w:rsidRPr="007F3F45">
        <w:rPr>
          <w:color w:val="000000"/>
          <w:szCs w:val="22"/>
        </w:rPr>
        <w:t xml:space="preserve"> </w:t>
      </w:r>
      <w:smartTag w:uri="urn:schemas-microsoft-com:office:smarttags" w:element="PlaceName">
        <w:r w:rsidRPr="007F3F45">
          <w:rPr>
            <w:color w:val="000000"/>
            <w:szCs w:val="22"/>
          </w:rPr>
          <w:t>Wetherell</w:t>
        </w:r>
      </w:smartTag>
      <w:r>
        <w:rPr>
          <w:color w:val="000000"/>
          <w:szCs w:val="22"/>
        </w:rPr>
        <w:t xml:space="preserve">, and 118 GL from </w:t>
      </w:r>
      <w:smartTag w:uri="urn:schemas-microsoft-com:office:smarttags" w:element="place">
        <w:smartTag w:uri="urn:schemas-microsoft-com:office:smarttags" w:element="PlaceType">
          <w:r>
            <w:rPr>
              <w:color w:val="000000"/>
              <w:szCs w:val="22"/>
            </w:rPr>
            <w:t>Lake</w:t>
          </w:r>
        </w:smartTag>
        <w:r>
          <w:rPr>
            <w:color w:val="000000"/>
            <w:szCs w:val="22"/>
          </w:rPr>
          <w:t xml:space="preserve"> </w:t>
        </w:r>
        <w:smartTag w:uri="urn:schemas-microsoft-com:office:smarttags" w:element="PlaceName">
          <w:r>
            <w:rPr>
              <w:color w:val="000000"/>
              <w:szCs w:val="22"/>
            </w:rPr>
            <w:t>Pamamaroo</w:t>
          </w:r>
        </w:smartTag>
      </w:smartTag>
      <w:r>
        <w:rPr>
          <w:color w:val="000000"/>
          <w:szCs w:val="22"/>
        </w:rPr>
        <w:t xml:space="preserve"> in 2004/05. This represents 69% of the maximum storage capacity of </w:t>
      </w:r>
      <w:smartTag w:uri="urn:schemas-microsoft-com:office:smarttags" w:element="PlaceType">
        <w:r>
          <w:rPr>
            <w:color w:val="000000"/>
            <w:szCs w:val="22"/>
          </w:rPr>
          <w:t>Lake</w:t>
        </w:r>
      </w:smartTag>
      <w:r>
        <w:rPr>
          <w:color w:val="000000"/>
          <w:szCs w:val="22"/>
        </w:rPr>
        <w:t xml:space="preserve"> </w:t>
      </w:r>
      <w:smartTag w:uri="urn:schemas-microsoft-com:office:smarttags" w:element="PlaceName">
        <w:r>
          <w:rPr>
            <w:color w:val="000000"/>
            <w:szCs w:val="22"/>
          </w:rPr>
          <w:t>Wetherell</w:t>
        </w:r>
      </w:smartTag>
      <w:r>
        <w:rPr>
          <w:color w:val="000000"/>
          <w:szCs w:val="22"/>
        </w:rPr>
        <w:t xml:space="preserve"> </w:t>
      </w:r>
      <w:r w:rsidRPr="00C60D18">
        <w:rPr>
          <w:color w:val="000000"/>
          <w:szCs w:val="22"/>
        </w:rPr>
        <w:t>(192 GL) and 47</w:t>
      </w:r>
      <w:r w:rsidR="006568D0">
        <w:rPr>
          <w:color w:val="000000"/>
          <w:szCs w:val="22"/>
        </w:rPr>
        <w:t xml:space="preserve"> </w:t>
      </w:r>
      <w:r w:rsidRPr="00C60D18">
        <w:rPr>
          <w:color w:val="000000"/>
          <w:szCs w:val="22"/>
        </w:rPr>
        <w:t xml:space="preserve">% of the maximum storage capacity of </w:t>
      </w:r>
      <w:smartTag w:uri="urn:schemas-microsoft-com:office:smarttags" w:element="place">
        <w:smartTag w:uri="urn:schemas-microsoft-com:office:smarttags" w:element="PlaceType">
          <w:r w:rsidRPr="00C60D18">
            <w:rPr>
              <w:color w:val="000000"/>
              <w:szCs w:val="22"/>
            </w:rPr>
            <w:t>Lake</w:t>
          </w:r>
        </w:smartTag>
        <w:r w:rsidRPr="00C60D18">
          <w:rPr>
            <w:color w:val="000000"/>
            <w:szCs w:val="22"/>
          </w:rPr>
          <w:t xml:space="preserve"> </w:t>
        </w:r>
        <w:smartTag w:uri="urn:schemas-microsoft-com:office:smarttags" w:element="PlaceName">
          <w:r w:rsidRPr="00C60D18">
            <w:rPr>
              <w:color w:val="000000"/>
              <w:szCs w:val="22"/>
            </w:rPr>
            <w:t>Pamamaroo</w:t>
          </w:r>
        </w:smartTag>
      </w:smartTag>
      <w:r w:rsidRPr="00C60D18">
        <w:rPr>
          <w:color w:val="000000"/>
          <w:szCs w:val="22"/>
        </w:rPr>
        <w:t xml:space="preserve"> (248 GL). </w:t>
      </w:r>
      <w:r>
        <w:rPr>
          <w:color w:val="000000"/>
          <w:szCs w:val="22"/>
        </w:rPr>
        <w:t xml:space="preserve">The evaporation rates are actually similar, with the differences largely due to the larger surface area </w:t>
      </w:r>
      <w:r w:rsidR="002D4551">
        <w:rPr>
          <w:color w:val="000000"/>
          <w:szCs w:val="22"/>
        </w:rPr>
        <w:t xml:space="preserve">to volume ratio </w:t>
      </w:r>
      <w:r>
        <w:rPr>
          <w:color w:val="000000"/>
          <w:szCs w:val="22"/>
        </w:rPr>
        <w:t xml:space="preserve">within </w:t>
      </w:r>
      <w:smartTag w:uri="urn:schemas-microsoft-com:office:smarttags" w:element="place">
        <w:smartTag w:uri="urn:schemas-microsoft-com:office:smarttags" w:element="PlaceType">
          <w:r>
            <w:rPr>
              <w:color w:val="000000"/>
              <w:szCs w:val="22"/>
            </w:rPr>
            <w:t>Lake</w:t>
          </w:r>
        </w:smartTag>
        <w:r>
          <w:rPr>
            <w:color w:val="000000"/>
            <w:szCs w:val="22"/>
          </w:rPr>
          <w:t xml:space="preserve"> </w:t>
        </w:r>
        <w:smartTag w:uri="urn:schemas-microsoft-com:office:smarttags" w:element="PlaceName">
          <w:r>
            <w:rPr>
              <w:color w:val="000000"/>
              <w:szCs w:val="22"/>
            </w:rPr>
            <w:lastRenderedPageBreak/>
            <w:t>Wetherell</w:t>
          </w:r>
        </w:smartTag>
      </w:smartTag>
      <w:r>
        <w:rPr>
          <w:color w:val="000000"/>
          <w:szCs w:val="22"/>
        </w:rPr>
        <w:t xml:space="preserve">. It should also be noted that </w:t>
      </w:r>
      <w:smartTag w:uri="urn:schemas-microsoft-com:office:smarttags" w:element="PlaceType">
        <w:r w:rsidRPr="00C60D18">
          <w:rPr>
            <w:color w:val="000000"/>
            <w:szCs w:val="22"/>
          </w:rPr>
          <w:t>Lake</w:t>
        </w:r>
      </w:smartTag>
      <w:r>
        <w:rPr>
          <w:color w:val="000000"/>
          <w:szCs w:val="22"/>
        </w:rPr>
        <w:t xml:space="preserve"> </w:t>
      </w:r>
      <w:smartTag w:uri="urn:schemas-microsoft-com:office:smarttags" w:element="PlaceName">
        <w:r>
          <w:rPr>
            <w:color w:val="000000"/>
            <w:szCs w:val="22"/>
          </w:rPr>
          <w:t>Wetherell</w:t>
        </w:r>
      </w:smartTag>
      <w:r>
        <w:rPr>
          <w:color w:val="000000"/>
          <w:szCs w:val="22"/>
        </w:rPr>
        <w:t xml:space="preserve"> is actually a dammed section of the </w:t>
      </w:r>
      <w:smartTag w:uri="urn:schemas-microsoft-com:office:smarttags" w:element="place">
        <w:r>
          <w:rPr>
            <w:color w:val="000000"/>
            <w:szCs w:val="22"/>
          </w:rPr>
          <w:t>Darling River</w:t>
        </w:r>
      </w:smartTag>
      <w:r>
        <w:rPr>
          <w:color w:val="000000"/>
          <w:szCs w:val="22"/>
        </w:rPr>
        <w:t xml:space="preserve"> and not a </w:t>
      </w:r>
      <w:r w:rsidR="00265B8E">
        <w:rPr>
          <w:color w:val="000000"/>
          <w:szCs w:val="22"/>
        </w:rPr>
        <w:t xml:space="preserve">natural </w:t>
      </w:r>
      <w:r>
        <w:rPr>
          <w:color w:val="000000"/>
          <w:szCs w:val="22"/>
        </w:rPr>
        <w:t xml:space="preserve">lake. It therefore has </w:t>
      </w:r>
      <w:r w:rsidR="001C0090">
        <w:rPr>
          <w:color w:val="000000"/>
          <w:szCs w:val="22"/>
        </w:rPr>
        <w:t>highly</w:t>
      </w:r>
      <w:r>
        <w:rPr>
          <w:color w:val="000000"/>
          <w:szCs w:val="22"/>
        </w:rPr>
        <w:t xml:space="preserve"> variable </w:t>
      </w:r>
      <w:r w:rsidR="00265B8E">
        <w:rPr>
          <w:color w:val="000000"/>
          <w:szCs w:val="22"/>
        </w:rPr>
        <w:t>bottom topography</w:t>
      </w:r>
      <w:r>
        <w:rPr>
          <w:color w:val="000000"/>
          <w:szCs w:val="22"/>
        </w:rPr>
        <w:t xml:space="preserve">. </w:t>
      </w:r>
      <w:r w:rsidR="002D4551">
        <w:rPr>
          <w:color w:val="000000"/>
          <w:szCs w:val="22"/>
        </w:rPr>
        <w:t xml:space="preserve">While the maximum depth of </w:t>
      </w:r>
      <w:smartTag w:uri="urn:schemas-microsoft-com:office:smarttags" w:element="place">
        <w:smartTag w:uri="urn:schemas-microsoft-com:office:smarttags" w:element="PlaceType">
          <w:r w:rsidR="002D4551">
            <w:rPr>
              <w:color w:val="000000"/>
              <w:szCs w:val="22"/>
            </w:rPr>
            <w:t>Lake</w:t>
          </w:r>
        </w:smartTag>
        <w:r w:rsidR="002D4551">
          <w:rPr>
            <w:color w:val="000000"/>
            <w:szCs w:val="22"/>
          </w:rPr>
          <w:t xml:space="preserve"> </w:t>
        </w:r>
        <w:smartTag w:uri="urn:schemas-microsoft-com:office:smarttags" w:element="PlaceName">
          <w:r w:rsidR="002D4551">
            <w:rPr>
              <w:color w:val="000000"/>
              <w:szCs w:val="22"/>
            </w:rPr>
            <w:t>Wetherell</w:t>
          </w:r>
        </w:smartTag>
      </w:smartTag>
      <w:r w:rsidR="002D4551">
        <w:rPr>
          <w:color w:val="000000"/>
          <w:szCs w:val="22"/>
        </w:rPr>
        <w:t xml:space="preserve"> is reported to be between 10–12 m, this corresponds with the river channel. Much of </w:t>
      </w:r>
      <w:smartTag w:uri="urn:schemas-microsoft-com:office:smarttags" w:element="place">
        <w:smartTag w:uri="urn:schemas-microsoft-com:office:smarttags" w:element="PlaceType">
          <w:r w:rsidR="002D4551">
            <w:rPr>
              <w:color w:val="000000"/>
              <w:szCs w:val="22"/>
            </w:rPr>
            <w:t>Lake</w:t>
          </w:r>
        </w:smartTag>
        <w:r w:rsidR="002D4551">
          <w:rPr>
            <w:color w:val="000000"/>
            <w:szCs w:val="22"/>
          </w:rPr>
          <w:t xml:space="preserve"> </w:t>
        </w:r>
        <w:smartTag w:uri="urn:schemas-microsoft-com:office:smarttags" w:element="PlaceName">
          <w:r w:rsidR="002D4551">
            <w:rPr>
              <w:color w:val="000000"/>
              <w:szCs w:val="22"/>
            </w:rPr>
            <w:t>Wetherell</w:t>
          </w:r>
        </w:smartTag>
      </w:smartTag>
      <w:r w:rsidR="002D4551">
        <w:rPr>
          <w:color w:val="000000"/>
          <w:szCs w:val="22"/>
        </w:rPr>
        <w:t xml:space="preserve"> is characterised by much shallower water levels of ~ 2 m across much of the floodplain (Theiss Services, 2002). </w:t>
      </w:r>
      <w:r>
        <w:rPr>
          <w:color w:val="000000"/>
          <w:szCs w:val="22"/>
        </w:rPr>
        <w:t>Overall, the SEBEL study would appear to confirm the very significant contribution that evaporation losses make to the water balance in the MLS (Evans</w:t>
      </w:r>
      <w:r w:rsidR="008A5F7D" w:rsidRPr="008A5F7D">
        <w:rPr>
          <w:i/>
          <w:color w:val="000000"/>
          <w:szCs w:val="22"/>
        </w:rPr>
        <w:t xml:space="preserve"> et al</w:t>
      </w:r>
      <w:r>
        <w:rPr>
          <w:color w:val="000000"/>
          <w:szCs w:val="22"/>
        </w:rPr>
        <w:t xml:space="preserve">., 2009). </w:t>
      </w:r>
    </w:p>
    <w:p w:rsidR="009A102C" w:rsidRDefault="009A102C" w:rsidP="009A102C">
      <w:pPr>
        <w:autoSpaceDE w:val="0"/>
        <w:autoSpaceDN w:val="0"/>
        <w:adjustRightInd w:val="0"/>
        <w:rPr>
          <w:color w:val="000000"/>
          <w:szCs w:val="22"/>
        </w:rPr>
      </w:pPr>
    </w:p>
    <w:p w:rsidR="009A102C" w:rsidRDefault="009A102C" w:rsidP="009A102C">
      <w:pPr>
        <w:autoSpaceDE w:val="0"/>
        <w:autoSpaceDN w:val="0"/>
        <w:adjustRightInd w:val="0"/>
        <w:rPr>
          <w:color w:val="000000"/>
          <w:szCs w:val="22"/>
        </w:rPr>
      </w:pPr>
      <w:r>
        <w:rPr>
          <w:color w:val="000000"/>
          <w:szCs w:val="22"/>
        </w:rPr>
        <w:t xml:space="preserve">The SEBAL study </w:t>
      </w:r>
      <w:r w:rsidR="002D4551">
        <w:rPr>
          <w:color w:val="000000"/>
          <w:szCs w:val="22"/>
        </w:rPr>
        <w:t>from 2004/05, which measured evaporation of 251</w:t>
      </w:r>
      <w:r w:rsidR="00DB488F">
        <w:rPr>
          <w:color w:val="000000"/>
          <w:szCs w:val="22"/>
        </w:rPr>
        <w:t xml:space="preserve"> </w:t>
      </w:r>
      <w:r w:rsidR="002D4551">
        <w:rPr>
          <w:color w:val="000000"/>
          <w:szCs w:val="22"/>
        </w:rPr>
        <w:t xml:space="preserve">GL for Lakes Wetherell and Pamamaroo, </w:t>
      </w:r>
      <w:r>
        <w:rPr>
          <w:color w:val="000000"/>
          <w:szCs w:val="22"/>
        </w:rPr>
        <w:t>confirms that the current strategy of retaining a minimum of 300 GL supply in the MLS would not provide much more than 21</w:t>
      </w:r>
      <w:r w:rsidR="00E65988">
        <w:rPr>
          <w:color w:val="000000"/>
          <w:szCs w:val="22"/>
        </w:rPr>
        <w:t xml:space="preserve"> </w:t>
      </w:r>
      <w:r>
        <w:rPr>
          <w:color w:val="000000"/>
          <w:szCs w:val="22"/>
        </w:rPr>
        <w:t xml:space="preserve">months supply for Broken Hill without augmentation by diversion of additional river flows. As demonstrated in the 2002-2005 period, this strategy fails if additional flows </w:t>
      </w:r>
      <w:r w:rsidR="002D4551">
        <w:rPr>
          <w:color w:val="000000"/>
          <w:szCs w:val="22"/>
        </w:rPr>
        <w:t xml:space="preserve">are not </w:t>
      </w:r>
      <w:r>
        <w:rPr>
          <w:color w:val="000000"/>
          <w:szCs w:val="22"/>
        </w:rPr>
        <w:t xml:space="preserve">available for diversion. </w:t>
      </w:r>
    </w:p>
    <w:p w:rsidR="009A102C" w:rsidRDefault="009A102C" w:rsidP="009A102C">
      <w:pPr>
        <w:autoSpaceDE w:val="0"/>
        <w:autoSpaceDN w:val="0"/>
        <w:adjustRightInd w:val="0"/>
        <w:rPr>
          <w:color w:val="000000"/>
          <w:szCs w:val="22"/>
        </w:rPr>
      </w:pPr>
    </w:p>
    <w:p w:rsidR="009A102C" w:rsidRPr="00C3038A" w:rsidRDefault="009A102C" w:rsidP="009A102C">
      <w:pPr>
        <w:autoSpaceDE w:val="0"/>
        <w:autoSpaceDN w:val="0"/>
        <w:adjustRightInd w:val="0"/>
        <w:rPr>
          <w:iCs/>
          <w:color w:val="000000"/>
          <w:szCs w:val="22"/>
        </w:rPr>
      </w:pPr>
      <w:r>
        <w:rPr>
          <w:color w:val="000000"/>
          <w:szCs w:val="22"/>
        </w:rPr>
        <w:t>Overall, given historical flow and climate records</w:t>
      </w:r>
      <w:r w:rsidR="002D4551">
        <w:rPr>
          <w:color w:val="000000"/>
          <w:szCs w:val="22"/>
        </w:rPr>
        <w:t xml:space="preserve"> for the past century</w:t>
      </w:r>
      <w:r>
        <w:rPr>
          <w:color w:val="000000"/>
          <w:szCs w:val="22"/>
        </w:rPr>
        <w:t xml:space="preserve">, it would seem prudent to provide additional drought security for Broken Hill by putting in place alternative supply options that anticipate </w:t>
      </w:r>
      <w:r w:rsidR="002D4551">
        <w:rPr>
          <w:color w:val="000000"/>
          <w:szCs w:val="22"/>
        </w:rPr>
        <w:t>future droughts and neglig</w:t>
      </w:r>
      <w:r>
        <w:rPr>
          <w:color w:val="000000"/>
          <w:szCs w:val="22"/>
        </w:rPr>
        <w:t xml:space="preserve">ible river flows lasting for periods greater than 21 months. </w:t>
      </w:r>
      <w:r w:rsidR="002D4551">
        <w:rPr>
          <w:color w:val="000000"/>
          <w:szCs w:val="22"/>
        </w:rPr>
        <w:t xml:space="preserve">The prudence of planning for such droughts is only reinforced by projections of drier climates forecast by many climate change models </w:t>
      </w:r>
      <w:r w:rsidR="00680C55">
        <w:rPr>
          <w:color w:val="000000"/>
          <w:szCs w:val="22"/>
        </w:rPr>
        <w:t>(Barron</w:t>
      </w:r>
      <w:r w:rsidR="008A5F7D" w:rsidRPr="008A5F7D">
        <w:rPr>
          <w:i/>
          <w:color w:val="000000"/>
          <w:szCs w:val="22"/>
        </w:rPr>
        <w:t xml:space="preserve"> et al</w:t>
      </w:r>
      <w:r w:rsidR="00680C55" w:rsidRPr="00680C55">
        <w:rPr>
          <w:i/>
          <w:color w:val="000000"/>
          <w:szCs w:val="22"/>
        </w:rPr>
        <w:t>.,</w:t>
      </w:r>
      <w:r w:rsidR="00680C55">
        <w:rPr>
          <w:color w:val="000000"/>
          <w:szCs w:val="22"/>
        </w:rPr>
        <w:t xml:space="preserve"> 2011</w:t>
      </w:r>
      <w:r w:rsidR="002D4551">
        <w:rPr>
          <w:color w:val="000000"/>
          <w:szCs w:val="22"/>
        </w:rPr>
        <w:t xml:space="preserve">). </w:t>
      </w:r>
    </w:p>
    <w:p w:rsidR="003804B4" w:rsidRPr="007F3F45" w:rsidRDefault="003804B4" w:rsidP="00EF7E00">
      <w:pPr>
        <w:pStyle w:val="Heading4"/>
        <w:spacing w:before="320"/>
        <w:rPr>
          <w:sz w:val="22"/>
        </w:rPr>
      </w:pPr>
      <w:r w:rsidRPr="007F3F45">
        <w:rPr>
          <w:sz w:val="22"/>
        </w:rPr>
        <w:t xml:space="preserve">Surface Hydrological Modelling </w:t>
      </w:r>
      <w:r>
        <w:rPr>
          <w:sz w:val="22"/>
        </w:rPr>
        <w:t>(CSIRO)</w:t>
      </w:r>
    </w:p>
    <w:p w:rsidR="003804B4" w:rsidRDefault="003804B4" w:rsidP="003804B4">
      <w:pPr>
        <w:rPr>
          <w:szCs w:val="22"/>
        </w:rPr>
      </w:pPr>
      <w:r>
        <w:t xml:space="preserve">There have been a number of studies of the hydrology of the </w:t>
      </w:r>
      <w:smartTag w:uri="urn:schemas-microsoft-com:office:smarttags" w:element="place">
        <w:r>
          <w:t>Darling River</w:t>
        </w:r>
      </w:smartTag>
      <w:r>
        <w:t xml:space="preserve"> (e.g. CSIRO, 2008, Barma, 2010, </w:t>
      </w:r>
      <w:smartTag w:uri="urn:schemas-microsoft-com:office:smarttags" w:element="stockticker">
        <w:r>
          <w:t>SKM</w:t>
        </w:r>
      </w:smartTag>
      <w:r>
        <w:t>, 2010; and reviewed in Podger, 2010). However, a</w:t>
      </w:r>
      <w:r w:rsidRPr="00D271D5">
        <w:rPr>
          <w:szCs w:val="22"/>
        </w:rPr>
        <w:t xml:space="preserve">s part of the process of identifying a preferred option for a </w:t>
      </w:r>
      <w:r w:rsidR="007D1583">
        <w:rPr>
          <w:szCs w:val="22"/>
        </w:rPr>
        <w:t>Menindee Lakes</w:t>
      </w:r>
      <w:r w:rsidRPr="00D271D5">
        <w:rPr>
          <w:szCs w:val="22"/>
        </w:rPr>
        <w:t xml:space="preserve"> Project, the Australian Government engaged the </w:t>
      </w:r>
      <w:r>
        <w:rPr>
          <w:szCs w:val="22"/>
        </w:rPr>
        <w:t>Commonwealth Scientific and Industrial Research Organisation (</w:t>
      </w:r>
      <w:r w:rsidRPr="00D271D5">
        <w:rPr>
          <w:szCs w:val="22"/>
        </w:rPr>
        <w:t>CSIRO</w:t>
      </w:r>
      <w:r>
        <w:rPr>
          <w:szCs w:val="22"/>
        </w:rPr>
        <w:t>)</w:t>
      </w:r>
      <w:r w:rsidRPr="00D271D5">
        <w:rPr>
          <w:szCs w:val="22"/>
        </w:rPr>
        <w:t>, in conjunction with the Murray</w:t>
      </w:r>
      <w:r w:rsidRPr="00D271D5">
        <w:rPr>
          <w:szCs w:val="22"/>
        </w:rPr>
        <w:noBreakHyphen/>
        <w:t>Darling Basin Authority</w:t>
      </w:r>
      <w:r>
        <w:rPr>
          <w:szCs w:val="22"/>
        </w:rPr>
        <w:t xml:space="preserve"> (MDBA)</w:t>
      </w:r>
      <w:r w:rsidRPr="00D271D5">
        <w:rPr>
          <w:szCs w:val="22"/>
        </w:rPr>
        <w:t xml:space="preserve">, to report on hydrological modelling of different management options for 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Pr>
          <w:szCs w:val="22"/>
        </w:rPr>
        <w:t xml:space="preserve">. </w:t>
      </w:r>
    </w:p>
    <w:p w:rsidR="003804B4" w:rsidRDefault="003804B4" w:rsidP="003804B4">
      <w:pPr>
        <w:rPr>
          <w:szCs w:val="22"/>
        </w:rPr>
      </w:pPr>
    </w:p>
    <w:p w:rsidR="003804B4" w:rsidRPr="00005604" w:rsidRDefault="003804B4" w:rsidP="003804B4">
      <w:pPr>
        <w:rPr>
          <w:szCs w:val="22"/>
        </w:rPr>
      </w:pPr>
      <w:r w:rsidRPr="00005604">
        <w:rPr>
          <w:szCs w:val="22"/>
        </w:rPr>
        <w:t xml:space="preserve">This work was undertaken to determine the potential volume of water savings that could be transferred to the Commonwealth Environmental Water Holder. This work took into account climate change scenarios and scenarios projecting no adverse impacts on the water entitlement holders at </w:t>
      </w:r>
      <w:r w:rsidR="007D1583">
        <w:rPr>
          <w:szCs w:val="22"/>
        </w:rPr>
        <w:t>Menindee Lakes</w:t>
      </w:r>
      <w:r w:rsidRPr="00005604">
        <w:rPr>
          <w:szCs w:val="22"/>
        </w:rPr>
        <w:t>, the Lower Darling River or the Murray River (</w:t>
      </w:r>
      <w:r w:rsidR="003F79ED">
        <w:rPr>
          <w:szCs w:val="22"/>
        </w:rPr>
        <w:t>Podger,</w:t>
      </w:r>
      <w:r w:rsidRPr="00005604">
        <w:rPr>
          <w:szCs w:val="22"/>
        </w:rPr>
        <w:t xml:space="preserve"> 2010, 2011) The hydrological modelling took account of a range of stakeholder concerns, and assessed potential changes to the operational rules for the MLS that could have a positive impact on all indicators (</w:t>
      </w:r>
      <w:r w:rsidR="003F79ED">
        <w:rPr>
          <w:szCs w:val="22"/>
        </w:rPr>
        <w:t>Podger,</w:t>
      </w:r>
      <w:r w:rsidRPr="00005604">
        <w:rPr>
          <w:szCs w:val="22"/>
        </w:rPr>
        <w:t xml:space="preserve"> 2011). </w:t>
      </w:r>
    </w:p>
    <w:p w:rsidR="003804B4" w:rsidRPr="00D271D5" w:rsidRDefault="003804B4" w:rsidP="003804B4">
      <w:pPr>
        <w:rPr>
          <w:szCs w:val="22"/>
        </w:rPr>
      </w:pPr>
    </w:p>
    <w:p w:rsidR="003804B4" w:rsidRPr="00D271D5" w:rsidRDefault="003804B4" w:rsidP="003804B4">
      <w:pPr>
        <w:rPr>
          <w:szCs w:val="22"/>
        </w:rPr>
      </w:pPr>
      <w:r w:rsidRPr="0070746C">
        <w:rPr>
          <w:szCs w:val="22"/>
        </w:rPr>
        <w:t xml:space="preserve">In response to these requirements, CSIRO identified an option </w:t>
      </w:r>
      <w:r w:rsidR="00FD32E9">
        <w:rPr>
          <w:szCs w:val="22"/>
        </w:rPr>
        <w:t xml:space="preserve">for water savings </w:t>
      </w:r>
      <w:r w:rsidR="00433ECC">
        <w:rPr>
          <w:szCs w:val="22"/>
        </w:rPr>
        <w:t xml:space="preserve">based on adopting </w:t>
      </w:r>
      <w:r w:rsidRPr="0070746C">
        <w:rPr>
          <w:szCs w:val="22"/>
        </w:rPr>
        <w:t xml:space="preserve">a </w:t>
      </w:r>
      <w:r w:rsidR="002D4551" w:rsidRPr="0070746C">
        <w:rPr>
          <w:szCs w:val="22"/>
        </w:rPr>
        <w:t xml:space="preserve">more </w:t>
      </w:r>
      <w:r w:rsidRPr="0070746C">
        <w:rPr>
          <w:szCs w:val="22"/>
        </w:rPr>
        <w:t xml:space="preserve">natural filling regime in Lakes </w:t>
      </w:r>
      <w:r w:rsidR="00C217F0">
        <w:rPr>
          <w:szCs w:val="22"/>
        </w:rPr>
        <w:t xml:space="preserve">Menindee </w:t>
      </w:r>
      <w:r w:rsidRPr="0070746C">
        <w:rPr>
          <w:szCs w:val="22"/>
        </w:rPr>
        <w:t xml:space="preserve">and Cawndilla; a 185/185 operating rule to replace the existing 640/480 rule; the </w:t>
      </w:r>
      <w:r w:rsidR="00C217F0">
        <w:rPr>
          <w:szCs w:val="22"/>
        </w:rPr>
        <w:t>Lake Menindee</w:t>
      </w:r>
      <w:r w:rsidRPr="0070746C">
        <w:rPr>
          <w:szCs w:val="22"/>
        </w:rPr>
        <w:t xml:space="preserve"> outlet being increased to 14,400 ML/day; and Broken Hill’s water supply being secured (</w:t>
      </w:r>
      <w:r w:rsidR="003F79ED" w:rsidRPr="0070746C">
        <w:rPr>
          <w:szCs w:val="22"/>
        </w:rPr>
        <w:t>Podger,</w:t>
      </w:r>
      <w:r w:rsidR="002D4551" w:rsidRPr="0070746C">
        <w:rPr>
          <w:szCs w:val="22"/>
        </w:rPr>
        <w:t xml:space="preserve"> </w:t>
      </w:r>
      <w:r w:rsidRPr="0070746C">
        <w:rPr>
          <w:szCs w:val="22"/>
        </w:rPr>
        <w:t>2010).</w:t>
      </w:r>
    </w:p>
    <w:p w:rsidR="003804B4" w:rsidRPr="00D271D5" w:rsidRDefault="003804B4" w:rsidP="003804B4">
      <w:pPr>
        <w:rPr>
          <w:szCs w:val="22"/>
        </w:rPr>
      </w:pPr>
    </w:p>
    <w:p w:rsidR="003804B4" w:rsidRDefault="003804B4" w:rsidP="003804B4">
      <w:pPr>
        <w:rPr>
          <w:szCs w:val="22"/>
        </w:rPr>
      </w:pPr>
      <w:r w:rsidRPr="00D271D5">
        <w:rPr>
          <w:szCs w:val="22"/>
        </w:rPr>
        <w:t xml:space="preserve">There were a number of positive impacts predicted for the proposed option including </w:t>
      </w:r>
      <w:r w:rsidR="00E65988">
        <w:rPr>
          <w:szCs w:val="22"/>
        </w:rPr>
        <w:t xml:space="preserve">(1) </w:t>
      </w:r>
      <w:r w:rsidRPr="00D271D5">
        <w:rPr>
          <w:szCs w:val="22"/>
        </w:rPr>
        <w:t xml:space="preserve">increased flows in the lower reaches of the Darling and Murray Rivers (including the Lower Lakes and Coorong), </w:t>
      </w:r>
      <w:r w:rsidR="00E65988">
        <w:rPr>
          <w:szCs w:val="22"/>
        </w:rPr>
        <w:t xml:space="preserve">(2) </w:t>
      </w:r>
      <w:r w:rsidRPr="00D271D5">
        <w:rPr>
          <w:szCs w:val="22"/>
        </w:rPr>
        <w:t xml:space="preserve">improved allocations in dry years, </w:t>
      </w:r>
      <w:r w:rsidR="00E65988">
        <w:rPr>
          <w:szCs w:val="22"/>
        </w:rPr>
        <w:t xml:space="preserve">(3) </w:t>
      </w:r>
      <w:r w:rsidRPr="00D271D5">
        <w:rPr>
          <w:szCs w:val="22"/>
        </w:rPr>
        <w:t xml:space="preserve">South Australian water restrictions would be reduced on average, and </w:t>
      </w:r>
      <w:r w:rsidR="00E65988">
        <w:rPr>
          <w:szCs w:val="22"/>
        </w:rPr>
        <w:t xml:space="preserve">(4) </w:t>
      </w:r>
      <w:r w:rsidRPr="00D271D5">
        <w:rPr>
          <w:szCs w:val="22"/>
        </w:rPr>
        <w:t xml:space="preserve">improved allocations would be available in the Lower Darling and Victoria. The </w:t>
      </w:r>
      <w:r>
        <w:rPr>
          <w:szCs w:val="22"/>
        </w:rPr>
        <w:t>study</w:t>
      </w:r>
      <w:r w:rsidRPr="00D271D5">
        <w:rPr>
          <w:szCs w:val="22"/>
        </w:rPr>
        <w:t xml:space="preserve"> also projected that there would be some minor downstream impacts, all of which were either within the error of the model or could be offset; for example the NSW Murray November allocations might decrease on average by 1% (which was considered to be within the model error) but would be recovered by June.</w:t>
      </w:r>
      <w:r w:rsidR="002D4551">
        <w:rPr>
          <w:szCs w:val="22"/>
        </w:rPr>
        <w:t xml:space="preserve"> </w:t>
      </w:r>
      <w:r w:rsidR="00170734">
        <w:rPr>
          <w:szCs w:val="22"/>
        </w:rPr>
        <w:t>However, these savings</w:t>
      </w:r>
      <w:r>
        <w:rPr>
          <w:szCs w:val="22"/>
        </w:rPr>
        <w:t xml:space="preserve"> </w:t>
      </w:r>
      <w:r w:rsidR="00170734">
        <w:rPr>
          <w:szCs w:val="22"/>
        </w:rPr>
        <w:t xml:space="preserve">are dependent upon implementation of conjunctive use options involving </w:t>
      </w:r>
      <w:r w:rsidR="002D4551">
        <w:rPr>
          <w:szCs w:val="22"/>
        </w:rPr>
        <w:t xml:space="preserve">groundwater </w:t>
      </w:r>
      <w:r w:rsidR="00170734">
        <w:rPr>
          <w:szCs w:val="22"/>
        </w:rPr>
        <w:t xml:space="preserve">extraction </w:t>
      </w:r>
      <w:r w:rsidR="002D4551">
        <w:rPr>
          <w:szCs w:val="22"/>
        </w:rPr>
        <w:t xml:space="preserve">or </w:t>
      </w:r>
      <w:r>
        <w:rPr>
          <w:szCs w:val="22"/>
        </w:rPr>
        <w:t xml:space="preserve">MAR </w:t>
      </w:r>
      <w:r w:rsidR="00170734">
        <w:rPr>
          <w:szCs w:val="22"/>
        </w:rPr>
        <w:t xml:space="preserve">to secure Broken Hill (and </w:t>
      </w:r>
      <w:r w:rsidR="00C217F0">
        <w:rPr>
          <w:szCs w:val="22"/>
        </w:rPr>
        <w:t>Menindee</w:t>
      </w:r>
      <w:r w:rsidR="00170734">
        <w:rPr>
          <w:szCs w:val="22"/>
        </w:rPr>
        <w:t>’s)</w:t>
      </w:r>
      <w:r>
        <w:rPr>
          <w:szCs w:val="22"/>
        </w:rPr>
        <w:t xml:space="preserve"> water supply</w:t>
      </w:r>
      <w:r w:rsidR="00170734">
        <w:rPr>
          <w:szCs w:val="22"/>
        </w:rPr>
        <w:t xml:space="preserve"> during droughts</w:t>
      </w:r>
      <w:r>
        <w:rPr>
          <w:szCs w:val="22"/>
        </w:rPr>
        <w:t>.</w:t>
      </w:r>
    </w:p>
    <w:p w:rsidR="00EA57FF" w:rsidRPr="00D271D5" w:rsidRDefault="00EA57FF" w:rsidP="00EF7E00">
      <w:pPr>
        <w:pStyle w:val="Heading3"/>
        <w:tabs>
          <w:tab w:val="left" w:pos="1080"/>
        </w:tabs>
        <w:spacing w:before="320"/>
        <w:ind w:left="1080" w:hanging="1080"/>
      </w:pPr>
      <w:bookmarkStart w:id="85" w:name="_Toc316039394"/>
      <w:bookmarkStart w:id="86" w:name="_Toc317423791"/>
      <w:bookmarkStart w:id="87" w:name="_Toc325700069"/>
      <w:bookmarkStart w:id="88" w:name="_Toc325700412"/>
      <w:bookmarkStart w:id="89" w:name="_Toc325975093"/>
      <w:bookmarkStart w:id="90" w:name="_Toc390690082"/>
      <w:r>
        <w:t xml:space="preserve">Geoscience </w:t>
      </w:r>
      <w:smartTag w:uri="urn:schemas-microsoft-com:office:smarttags" w:element="place">
        <w:smartTag w:uri="urn:schemas-microsoft-com:office:smarttags" w:element="country-region">
          <w:r>
            <w:t>Australia</w:t>
          </w:r>
        </w:smartTag>
      </w:smartTag>
      <w:r>
        <w:t xml:space="preserve"> Hydrogeological </w:t>
      </w:r>
      <w:bookmarkEnd w:id="85"/>
      <w:r>
        <w:t>Investigations</w:t>
      </w:r>
      <w:bookmarkEnd w:id="86"/>
      <w:bookmarkEnd w:id="87"/>
      <w:bookmarkEnd w:id="88"/>
      <w:bookmarkEnd w:id="89"/>
      <w:bookmarkEnd w:id="90"/>
    </w:p>
    <w:p w:rsidR="00EA57FF" w:rsidRDefault="00EA57FF" w:rsidP="00EA57FF">
      <w:pPr>
        <w:rPr>
          <w:szCs w:val="22"/>
        </w:rPr>
      </w:pPr>
      <w:r>
        <w:rPr>
          <w:szCs w:val="22"/>
        </w:rPr>
        <w:t>Central to the plan to realise water savings from the MLS is the identification of alternative water supply options to ensure Broken Hill’s water supply during periods of prolonged drought. To this end,</w:t>
      </w:r>
      <w:r w:rsidRPr="004B61A7">
        <w:rPr>
          <w:szCs w:val="22"/>
        </w:rPr>
        <w:t xml:space="preserve"> </w:t>
      </w:r>
      <w:r>
        <w:rPr>
          <w:szCs w:val="22"/>
        </w:rPr>
        <w:t xml:space="preserve">in 2008 </w:t>
      </w:r>
      <w:r w:rsidRPr="004B61A7">
        <w:rPr>
          <w:szCs w:val="22"/>
        </w:rPr>
        <w:t xml:space="preserve">the </w:t>
      </w:r>
      <w:r w:rsidR="002D4551">
        <w:rPr>
          <w:szCs w:val="22"/>
        </w:rPr>
        <w:t>Department of Sustainability,</w:t>
      </w:r>
      <w:r w:rsidRPr="004B61A7">
        <w:rPr>
          <w:szCs w:val="22"/>
        </w:rPr>
        <w:t xml:space="preserve"> Environment, Water, Population and Communities (SEWPaC) initially funded a regional groundwater assessment project (the Broken Hill </w:t>
      </w:r>
      <w:smartTag w:uri="urn:schemas-microsoft-com:office:smarttags" w:element="PersonName">
        <w:r w:rsidRPr="004B61A7">
          <w:rPr>
            <w:szCs w:val="22"/>
          </w:rPr>
          <w:t>Groundwater</w:t>
        </w:r>
      </w:smartTag>
      <w:r w:rsidRPr="004B61A7">
        <w:rPr>
          <w:szCs w:val="22"/>
        </w:rPr>
        <w:t xml:space="preserve"> Assessment (BHGA) project). </w:t>
      </w:r>
    </w:p>
    <w:p w:rsidR="00EA57FF" w:rsidRPr="00ED1AC8" w:rsidRDefault="00EA57FF" w:rsidP="00EF7E00">
      <w:pPr>
        <w:pStyle w:val="Heading4"/>
        <w:spacing w:before="320"/>
      </w:pPr>
      <w:r w:rsidRPr="00ED1AC8">
        <w:lastRenderedPageBreak/>
        <w:t>BHGA Project</w:t>
      </w:r>
    </w:p>
    <w:p w:rsidR="00EA57FF" w:rsidRPr="000906E8" w:rsidRDefault="00EA57FF" w:rsidP="00EA57FF">
      <w:pPr>
        <w:rPr>
          <w:szCs w:val="22"/>
        </w:rPr>
      </w:pPr>
      <w:r w:rsidRPr="004B61A7">
        <w:rPr>
          <w:bCs/>
          <w:szCs w:val="22"/>
        </w:rPr>
        <w:t xml:space="preserve">The BHGA Project </w:t>
      </w:r>
      <w:r w:rsidRPr="004B61A7">
        <w:rPr>
          <w:szCs w:val="22"/>
        </w:rPr>
        <w:t>(Lewis</w:t>
      </w:r>
      <w:r w:rsidR="008A5F7D" w:rsidRPr="00CF7613">
        <w:rPr>
          <w:rStyle w:val="StyleItalic"/>
        </w:rPr>
        <w:t xml:space="preserve"> et al</w:t>
      </w:r>
      <w:r w:rsidRPr="00CF7613">
        <w:rPr>
          <w:rStyle w:val="StyleItalic"/>
        </w:rPr>
        <w:t>.,</w:t>
      </w:r>
      <w:r w:rsidRPr="004B61A7">
        <w:rPr>
          <w:szCs w:val="22"/>
        </w:rPr>
        <w:t xml:space="preserve"> 2008), </w:t>
      </w:r>
      <w:r w:rsidRPr="004B61A7">
        <w:rPr>
          <w:bCs/>
          <w:szCs w:val="22"/>
        </w:rPr>
        <w:t xml:space="preserve">found that the opportunity existed to develop an integrated water supply strategy </w:t>
      </w:r>
      <w:r w:rsidRPr="004B61A7">
        <w:rPr>
          <w:szCs w:val="22"/>
        </w:rPr>
        <w:t xml:space="preserve">to secure Broken Hill’s water supply and allow for significant amounts of water currently stored at </w:t>
      </w:r>
      <w:r w:rsidR="007D1583">
        <w:rPr>
          <w:szCs w:val="22"/>
        </w:rPr>
        <w:t>Menindee Lakes</w:t>
      </w:r>
      <w:r w:rsidRPr="004B61A7">
        <w:rPr>
          <w:szCs w:val="22"/>
        </w:rPr>
        <w:t xml:space="preserve"> to be returned to the environment by developing Managed Aquifer Recharge (</w:t>
      </w:r>
      <w:smartTag w:uri="urn:schemas-microsoft-com:office:smarttags" w:element="stockticker">
        <w:r w:rsidRPr="004B61A7">
          <w:rPr>
            <w:szCs w:val="22"/>
          </w:rPr>
          <w:t>MAR</w:t>
        </w:r>
      </w:smartTag>
      <w:r w:rsidRPr="004B61A7">
        <w:rPr>
          <w:szCs w:val="22"/>
        </w:rPr>
        <w:t xml:space="preserve">) options. </w:t>
      </w:r>
      <w:r w:rsidRPr="004B61A7">
        <w:rPr>
          <w:bCs/>
          <w:szCs w:val="22"/>
        </w:rPr>
        <w:t xml:space="preserve">The study concluded that this could be achieved by integrating the existing surface water operations at </w:t>
      </w:r>
      <w:r>
        <w:rPr>
          <w:bCs/>
          <w:szCs w:val="22"/>
        </w:rPr>
        <w:t xml:space="preserve">the </w:t>
      </w:r>
      <w:r w:rsidR="007D1583">
        <w:rPr>
          <w:bCs/>
          <w:szCs w:val="22"/>
        </w:rPr>
        <w:t>Menindee Lakes</w:t>
      </w:r>
      <w:r>
        <w:rPr>
          <w:bCs/>
          <w:szCs w:val="22"/>
        </w:rPr>
        <w:t xml:space="preserve"> Storages</w:t>
      </w:r>
      <w:r w:rsidRPr="004B61A7">
        <w:rPr>
          <w:bCs/>
          <w:szCs w:val="22"/>
        </w:rPr>
        <w:t xml:space="preserve"> and the </w:t>
      </w:r>
      <w:smartTag w:uri="urn:schemas-microsoft-com:office:smarttags" w:element="place">
        <w:smartTag w:uri="urn:schemas-microsoft-com:office:smarttags" w:element="PlaceName">
          <w:r w:rsidRPr="004B61A7">
            <w:rPr>
              <w:bCs/>
              <w:szCs w:val="22"/>
            </w:rPr>
            <w:t>Stephens</w:t>
          </w:r>
        </w:smartTag>
        <w:r w:rsidRPr="004B61A7">
          <w:rPr>
            <w:bCs/>
            <w:szCs w:val="22"/>
          </w:rPr>
          <w:t xml:space="preserve"> </w:t>
        </w:r>
        <w:smartTag w:uri="urn:schemas-microsoft-com:office:smarttags" w:element="PlaceName">
          <w:r w:rsidRPr="004B61A7">
            <w:rPr>
              <w:bCs/>
              <w:szCs w:val="22"/>
            </w:rPr>
            <w:t>Creek</w:t>
          </w:r>
        </w:smartTag>
      </w:smartTag>
      <w:r w:rsidRPr="00665278">
        <w:rPr>
          <w:bCs/>
          <w:szCs w:val="22"/>
        </w:rPr>
        <w:t xml:space="preserve"> and Umberumberka Reservoirs</w:t>
      </w:r>
      <w:r>
        <w:rPr>
          <w:bCs/>
          <w:szCs w:val="22"/>
        </w:rPr>
        <w:t xml:space="preserve"> with groundwater options. </w:t>
      </w:r>
    </w:p>
    <w:p w:rsidR="00E11F4C" w:rsidRDefault="00E11F4C" w:rsidP="00E11F4C">
      <w:pPr>
        <w:pStyle w:val="Level11"/>
        <w:numPr>
          <w:ilvl w:val="0"/>
          <w:numId w:val="0"/>
        </w:numPr>
        <w:spacing w:before="0"/>
        <w:rPr>
          <w:rFonts w:ascii="Times New Roman" w:hAnsi="Times New Roman"/>
          <w:sz w:val="22"/>
          <w:szCs w:val="22"/>
          <w:lang w:eastAsia="en-AU"/>
        </w:rPr>
      </w:pPr>
    </w:p>
    <w:p w:rsidR="006264CC" w:rsidRPr="00A447A6" w:rsidRDefault="00EA57FF" w:rsidP="006264CC">
      <w:pPr>
        <w:pStyle w:val="Level11"/>
        <w:numPr>
          <w:ilvl w:val="0"/>
          <w:numId w:val="0"/>
        </w:numPr>
        <w:spacing w:before="0"/>
        <w:rPr>
          <w:rFonts w:ascii="Times New Roman" w:hAnsi="Times New Roman"/>
          <w:sz w:val="22"/>
          <w:szCs w:val="22"/>
          <w:lang w:eastAsia="en-AU"/>
        </w:rPr>
      </w:pPr>
      <w:r w:rsidRPr="00A447A6">
        <w:rPr>
          <w:rFonts w:ascii="Times New Roman" w:hAnsi="Times New Roman"/>
          <w:sz w:val="22"/>
          <w:szCs w:val="22"/>
        </w:rPr>
        <w:t>Lewis</w:t>
      </w:r>
      <w:r w:rsidR="008A5F7D" w:rsidRPr="008A5F7D">
        <w:rPr>
          <w:rFonts w:ascii="Times New Roman" w:hAnsi="Times New Roman"/>
          <w:i/>
          <w:sz w:val="22"/>
          <w:szCs w:val="22"/>
        </w:rPr>
        <w:t xml:space="preserve"> et al</w:t>
      </w:r>
      <w:r w:rsidRPr="00A447A6">
        <w:rPr>
          <w:rFonts w:ascii="Times New Roman" w:hAnsi="Times New Roman"/>
          <w:i/>
          <w:sz w:val="22"/>
          <w:szCs w:val="22"/>
        </w:rPr>
        <w:t>.</w:t>
      </w:r>
      <w:r w:rsidRPr="00A447A6">
        <w:rPr>
          <w:rFonts w:ascii="Times New Roman" w:hAnsi="Times New Roman"/>
          <w:sz w:val="22"/>
          <w:szCs w:val="22"/>
        </w:rPr>
        <w:t xml:space="preserve"> (2008) identified </w:t>
      </w:r>
      <w:r w:rsidR="002D4551" w:rsidRPr="00A447A6">
        <w:rPr>
          <w:rFonts w:ascii="Times New Roman" w:hAnsi="Times New Roman"/>
          <w:sz w:val="22"/>
          <w:szCs w:val="22"/>
        </w:rPr>
        <w:t xml:space="preserve">nine </w:t>
      </w:r>
      <w:r w:rsidRPr="00A447A6">
        <w:rPr>
          <w:rFonts w:ascii="Times New Roman" w:hAnsi="Times New Roman"/>
          <w:sz w:val="22"/>
          <w:szCs w:val="22"/>
        </w:rPr>
        <w:t>potential areas for further groundwater investigation in the Broken Hill region</w:t>
      </w:r>
      <w:r w:rsidR="006264CC" w:rsidRPr="00A447A6">
        <w:rPr>
          <w:rFonts w:ascii="Times New Roman" w:hAnsi="Times New Roman"/>
          <w:sz w:val="22"/>
          <w:szCs w:val="22"/>
        </w:rPr>
        <w:t xml:space="preserve">, although subsequent considerations of the hydrogeology and infrastructure costs reduced this to </w:t>
      </w:r>
      <w:r w:rsidR="002D4551" w:rsidRPr="00A447A6">
        <w:rPr>
          <w:rFonts w:ascii="Times New Roman" w:hAnsi="Times New Roman"/>
          <w:sz w:val="22"/>
          <w:szCs w:val="22"/>
        </w:rPr>
        <w:t>five</w:t>
      </w:r>
      <w:r w:rsidR="006264CC" w:rsidRPr="00A447A6">
        <w:rPr>
          <w:rFonts w:ascii="Times New Roman" w:hAnsi="Times New Roman"/>
          <w:sz w:val="22"/>
          <w:szCs w:val="22"/>
        </w:rPr>
        <w:t xml:space="preserve"> priority areas (</w:t>
      </w:r>
      <w:r w:rsidR="009D7B6E" w:rsidRPr="00A447A6">
        <w:rPr>
          <w:rFonts w:ascii="Times New Roman" w:hAnsi="Times New Roman"/>
          <w:sz w:val="22"/>
          <w:szCs w:val="22"/>
        </w:rPr>
        <w:t>Lawrie</w:t>
      </w:r>
      <w:r w:rsidR="008A5F7D" w:rsidRPr="008A5F7D">
        <w:rPr>
          <w:rFonts w:ascii="Times New Roman" w:hAnsi="Times New Roman"/>
          <w:i/>
          <w:sz w:val="22"/>
          <w:szCs w:val="22"/>
        </w:rPr>
        <w:t xml:space="preserve"> et al</w:t>
      </w:r>
      <w:r w:rsidR="009D7B6E" w:rsidRPr="00A447A6">
        <w:rPr>
          <w:rFonts w:ascii="Times New Roman" w:hAnsi="Times New Roman"/>
          <w:sz w:val="22"/>
          <w:szCs w:val="22"/>
        </w:rPr>
        <w:t>., 2009a</w:t>
      </w:r>
      <w:r w:rsidR="006264CC" w:rsidRPr="00A447A6">
        <w:rPr>
          <w:rFonts w:ascii="Times New Roman" w:hAnsi="Times New Roman"/>
          <w:sz w:val="22"/>
          <w:szCs w:val="22"/>
        </w:rPr>
        <w:t>).</w:t>
      </w:r>
      <w:r w:rsidRPr="00A447A6">
        <w:rPr>
          <w:rFonts w:ascii="Times New Roman" w:hAnsi="Times New Roman"/>
          <w:sz w:val="22"/>
          <w:szCs w:val="22"/>
        </w:rPr>
        <w:t xml:space="preserve"> </w:t>
      </w:r>
      <w:r w:rsidR="006264CC" w:rsidRPr="00A447A6">
        <w:rPr>
          <w:rFonts w:ascii="Times New Roman" w:hAnsi="Times New Roman"/>
          <w:sz w:val="22"/>
          <w:szCs w:val="22"/>
          <w:lang w:eastAsia="en-AU"/>
        </w:rPr>
        <w:t>Among the measures suggested was the purposeful recharge of water to aquifers for subsequent recovery and/or environmental benefit (Managed Aquifer Recharge (MAR)). MAR encompasses a wide variety of methods usually adapted to local situations which are governed by water quality, the type of aquifer available, topography, land use, and the intended uses of the recovered water (Dillon</w:t>
      </w:r>
      <w:r w:rsidR="008A5F7D" w:rsidRPr="008A5F7D">
        <w:rPr>
          <w:rFonts w:ascii="Times New Roman" w:hAnsi="Times New Roman"/>
          <w:i/>
          <w:sz w:val="22"/>
          <w:szCs w:val="22"/>
          <w:lang w:eastAsia="en-AU"/>
        </w:rPr>
        <w:t xml:space="preserve"> et al</w:t>
      </w:r>
      <w:r w:rsidR="006264CC" w:rsidRPr="00A447A6">
        <w:rPr>
          <w:rFonts w:ascii="Times New Roman" w:hAnsi="Times New Roman"/>
          <w:i/>
          <w:sz w:val="22"/>
          <w:szCs w:val="22"/>
          <w:lang w:eastAsia="en-AU"/>
        </w:rPr>
        <w:t>.,</w:t>
      </w:r>
      <w:r w:rsidR="006264CC" w:rsidRPr="00A447A6">
        <w:rPr>
          <w:rFonts w:ascii="Times New Roman" w:hAnsi="Times New Roman"/>
          <w:sz w:val="22"/>
          <w:szCs w:val="22"/>
          <w:lang w:eastAsia="en-AU"/>
        </w:rPr>
        <w:t xml:space="preserve"> 2009). Other options identified included the direct extraction of groundwater resources, and/or desalinisation of brackish groundwater (Lewis</w:t>
      </w:r>
      <w:r w:rsidR="008A5F7D" w:rsidRPr="008A5F7D">
        <w:rPr>
          <w:rFonts w:ascii="Times New Roman" w:hAnsi="Times New Roman"/>
          <w:i/>
          <w:sz w:val="22"/>
          <w:szCs w:val="22"/>
          <w:lang w:eastAsia="en-AU"/>
        </w:rPr>
        <w:t xml:space="preserve"> et al</w:t>
      </w:r>
      <w:r w:rsidR="006264CC" w:rsidRPr="00A447A6">
        <w:rPr>
          <w:rFonts w:ascii="Times New Roman" w:hAnsi="Times New Roman"/>
          <w:i/>
          <w:sz w:val="22"/>
          <w:szCs w:val="22"/>
          <w:lang w:eastAsia="en-AU"/>
        </w:rPr>
        <w:t>.,</w:t>
      </w:r>
      <w:r w:rsidR="006264CC" w:rsidRPr="00A447A6">
        <w:rPr>
          <w:rFonts w:ascii="Times New Roman" w:hAnsi="Times New Roman"/>
          <w:sz w:val="22"/>
          <w:szCs w:val="22"/>
          <w:lang w:eastAsia="en-AU"/>
        </w:rPr>
        <w:t xml:space="preserve"> 2008). </w:t>
      </w:r>
    </w:p>
    <w:p w:rsidR="006264CC" w:rsidRPr="00A447A6" w:rsidRDefault="006264CC" w:rsidP="006264CC">
      <w:pPr>
        <w:pStyle w:val="Level11"/>
        <w:numPr>
          <w:ilvl w:val="0"/>
          <w:numId w:val="0"/>
        </w:numPr>
        <w:spacing w:before="0"/>
        <w:rPr>
          <w:rFonts w:ascii="Times New Roman" w:hAnsi="Times New Roman"/>
          <w:sz w:val="22"/>
          <w:szCs w:val="22"/>
          <w:lang w:eastAsia="en-AU"/>
        </w:rPr>
      </w:pPr>
    </w:p>
    <w:p w:rsidR="00EA57FF" w:rsidRPr="00A447A6" w:rsidRDefault="006264CC" w:rsidP="006264CC">
      <w:pPr>
        <w:pStyle w:val="Level11"/>
        <w:numPr>
          <w:ilvl w:val="0"/>
          <w:numId w:val="0"/>
        </w:numPr>
        <w:spacing w:before="0"/>
        <w:rPr>
          <w:rFonts w:ascii="Times New Roman" w:hAnsi="Times New Roman"/>
          <w:sz w:val="22"/>
          <w:szCs w:val="22"/>
          <w:lang w:eastAsia="en-AU"/>
        </w:rPr>
      </w:pPr>
      <w:r w:rsidRPr="00A447A6">
        <w:rPr>
          <w:rFonts w:ascii="Times New Roman" w:hAnsi="Times New Roman"/>
          <w:sz w:val="22"/>
          <w:szCs w:val="22"/>
          <w:lang w:eastAsia="en-AU"/>
        </w:rPr>
        <w:t>The BHGA study also concluded that the quality and extent of groundwater in the Broken Hill area is poorly understood, and the potential for sourcing significant quantities of previously un</w:t>
      </w:r>
      <w:r w:rsidR="009822A9">
        <w:rPr>
          <w:rFonts w:ascii="Times New Roman" w:hAnsi="Times New Roman"/>
          <w:sz w:val="22"/>
          <w:szCs w:val="22"/>
          <w:lang w:eastAsia="en-AU"/>
        </w:rPr>
        <w:t>derutilised</w:t>
      </w:r>
      <w:r w:rsidRPr="00A447A6">
        <w:rPr>
          <w:rFonts w:ascii="Times New Roman" w:hAnsi="Times New Roman"/>
          <w:sz w:val="22"/>
          <w:szCs w:val="22"/>
          <w:lang w:eastAsia="en-AU"/>
        </w:rPr>
        <w:t xml:space="preserve"> fresh and brackish groundwater is thought to be relatively high (Lewis</w:t>
      </w:r>
      <w:r w:rsidR="008A5F7D" w:rsidRPr="008A5F7D">
        <w:rPr>
          <w:rFonts w:ascii="Times New Roman" w:hAnsi="Times New Roman"/>
          <w:i/>
          <w:sz w:val="22"/>
          <w:szCs w:val="22"/>
          <w:lang w:eastAsia="en-AU"/>
        </w:rPr>
        <w:t xml:space="preserve"> et al</w:t>
      </w:r>
      <w:r w:rsidRPr="00A447A6">
        <w:rPr>
          <w:rFonts w:ascii="Times New Roman" w:hAnsi="Times New Roman"/>
          <w:sz w:val="22"/>
          <w:szCs w:val="22"/>
          <w:lang w:eastAsia="en-AU"/>
        </w:rPr>
        <w:t xml:space="preserve">., 2008). </w:t>
      </w:r>
      <w:r w:rsidR="00A03910" w:rsidRPr="00A447A6">
        <w:rPr>
          <w:rFonts w:ascii="Times New Roman" w:hAnsi="Times New Roman"/>
          <w:sz w:val="22"/>
          <w:szCs w:val="22"/>
          <w:lang w:eastAsia="en-AU"/>
        </w:rPr>
        <w:t>The BHGA study recognised that any future investigations would necessarily entail significant new hydrogeological investigations.</w:t>
      </w:r>
      <w:r w:rsidR="001E1E35" w:rsidRPr="00A447A6">
        <w:rPr>
          <w:rFonts w:ascii="Times New Roman" w:hAnsi="Times New Roman"/>
          <w:sz w:val="22"/>
          <w:szCs w:val="22"/>
          <w:lang w:eastAsia="en-AU"/>
        </w:rPr>
        <w:t xml:space="preserve"> </w:t>
      </w:r>
      <w:r w:rsidR="007B0FA8" w:rsidRPr="00A447A6">
        <w:rPr>
          <w:rFonts w:ascii="Times New Roman" w:hAnsi="Times New Roman"/>
          <w:sz w:val="22"/>
          <w:szCs w:val="22"/>
        </w:rPr>
        <w:t>A</w:t>
      </w:r>
      <w:r w:rsidRPr="00A447A6">
        <w:rPr>
          <w:rFonts w:ascii="Times New Roman" w:hAnsi="Times New Roman"/>
          <w:sz w:val="22"/>
          <w:szCs w:val="22"/>
        </w:rPr>
        <w:t xml:space="preserve"> future work plan </w:t>
      </w:r>
      <w:r w:rsidR="007B0FA8" w:rsidRPr="00A447A6">
        <w:rPr>
          <w:rFonts w:ascii="Times New Roman" w:hAnsi="Times New Roman"/>
          <w:sz w:val="22"/>
          <w:szCs w:val="22"/>
        </w:rPr>
        <w:t xml:space="preserve">was identified </w:t>
      </w:r>
      <w:r w:rsidRPr="00A447A6">
        <w:rPr>
          <w:rFonts w:ascii="Times New Roman" w:hAnsi="Times New Roman"/>
          <w:sz w:val="22"/>
          <w:szCs w:val="22"/>
        </w:rPr>
        <w:t xml:space="preserve">to assess the potential for </w:t>
      </w:r>
      <w:smartTag w:uri="urn:schemas-microsoft-com:office:smarttags" w:element="stockticker">
        <w:r w:rsidRPr="00A447A6">
          <w:rPr>
            <w:rFonts w:ascii="Times New Roman" w:hAnsi="Times New Roman"/>
            <w:sz w:val="22"/>
            <w:szCs w:val="22"/>
          </w:rPr>
          <w:t>MAR</w:t>
        </w:r>
      </w:smartTag>
      <w:r w:rsidRPr="00A447A6">
        <w:rPr>
          <w:rFonts w:ascii="Times New Roman" w:hAnsi="Times New Roman"/>
          <w:sz w:val="22"/>
          <w:szCs w:val="22"/>
        </w:rPr>
        <w:t xml:space="preserve"> and groundwater resource options in the region, and SEWPaC commissioned Geoscience </w:t>
      </w:r>
      <w:smartTag w:uri="urn:schemas-microsoft-com:office:smarttags" w:element="place">
        <w:smartTag w:uri="urn:schemas-microsoft-com:office:smarttags" w:element="country-region">
          <w:r w:rsidRPr="00A447A6">
            <w:rPr>
              <w:rFonts w:ascii="Times New Roman" w:hAnsi="Times New Roman"/>
              <w:sz w:val="22"/>
              <w:szCs w:val="22"/>
            </w:rPr>
            <w:t>Australia</w:t>
          </w:r>
        </w:smartTag>
      </w:smartTag>
      <w:r w:rsidRPr="00A447A6">
        <w:rPr>
          <w:rFonts w:ascii="Times New Roman" w:hAnsi="Times New Roman"/>
          <w:sz w:val="22"/>
          <w:szCs w:val="22"/>
        </w:rPr>
        <w:t xml:space="preserve"> to undertake further scientific investigations (the Broken Hill Managed Aquifer Recharge (BHMAR) project). </w:t>
      </w:r>
    </w:p>
    <w:p w:rsidR="006264CC" w:rsidRPr="00A447A6" w:rsidRDefault="006264CC" w:rsidP="00EF7E00">
      <w:pPr>
        <w:pStyle w:val="Heading4"/>
        <w:spacing w:before="320"/>
        <w:rPr>
          <w:sz w:val="22"/>
        </w:rPr>
      </w:pPr>
      <w:r w:rsidRPr="00A447A6">
        <w:rPr>
          <w:sz w:val="22"/>
        </w:rPr>
        <w:t>The BHMAR Project</w:t>
      </w:r>
    </w:p>
    <w:p w:rsidR="007B0FA8" w:rsidRPr="00A447A6" w:rsidRDefault="006264CC" w:rsidP="006264CC">
      <w:pPr>
        <w:pStyle w:val="Level11"/>
        <w:numPr>
          <w:ilvl w:val="0"/>
          <w:numId w:val="0"/>
        </w:numPr>
        <w:spacing w:before="0"/>
        <w:rPr>
          <w:rFonts w:ascii="Times New Roman" w:hAnsi="Times New Roman"/>
          <w:sz w:val="22"/>
          <w:szCs w:val="22"/>
          <w:lang w:eastAsia="en-AU"/>
        </w:rPr>
      </w:pPr>
      <w:r w:rsidRPr="00A447A6">
        <w:rPr>
          <w:rFonts w:ascii="Times New Roman" w:hAnsi="Times New Roman"/>
          <w:sz w:val="22"/>
          <w:szCs w:val="22"/>
          <w:lang w:eastAsia="en-AU"/>
        </w:rPr>
        <w:t xml:space="preserve">The primary objective of the Broken Hill Managed Aquifer Recharge (BHMAR) project </w:t>
      </w:r>
      <w:r w:rsidR="00E65988">
        <w:rPr>
          <w:rFonts w:ascii="Times New Roman" w:hAnsi="Times New Roman"/>
          <w:sz w:val="22"/>
          <w:szCs w:val="22"/>
          <w:lang w:eastAsia="en-AU"/>
        </w:rPr>
        <w:t>was</w:t>
      </w:r>
      <w:r w:rsidRPr="00A447A6">
        <w:rPr>
          <w:rFonts w:ascii="Times New Roman" w:hAnsi="Times New Roman"/>
          <w:sz w:val="22"/>
          <w:szCs w:val="22"/>
          <w:lang w:eastAsia="en-AU"/>
        </w:rPr>
        <w:t xml:space="preserve"> to identify potential MAR and/or groundwater resource options to provide a more secure alternative water supply for Broken Hill</w:t>
      </w:r>
      <w:r w:rsidR="00032603" w:rsidRPr="00A447A6">
        <w:rPr>
          <w:rFonts w:ascii="Times New Roman" w:hAnsi="Times New Roman"/>
          <w:sz w:val="22"/>
          <w:szCs w:val="22"/>
          <w:lang w:eastAsia="en-AU"/>
        </w:rPr>
        <w:t xml:space="preserve"> during droughts</w:t>
      </w:r>
      <w:r w:rsidRPr="00A447A6">
        <w:rPr>
          <w:rFonts w:ascii="Times New Roman" w:hAnsi="Times New Roman"/>
          <w:sz w:val="22"/>
          <w:szCs w:val="22"/>
          <w:lang w:eastAsia="en-AU"/>
        </w:rPr>
        <w:t>. This would reduce the amount of water required to be stored in the MLS, and identify</w:t>
      </w:r>
      <w:r w:rsidRPr="00A447A6">
        <w:rPr>
          <w:rFonts w:ascii="Times New Roman" w:hAnsi="Times New Roman"/>
          <w:color w:val="000000"/>
          <w:sz w:val="22"/>
          <w:szCs w:val="22"/>
        </w:rPr>
        <w:t xml:space="preserve"> water-saving measures for the </w:t>
      </w:r>
      <w:smartTag w:uri="urn:schemas-microsoft-com:office:smarttags" w:element="place">
        <w:r w:rsidRPr="00A447A6">
          <w:rPr>
            <w:rFonts w:ascii="Times New Roman" w:hAnsi="Times New Roman"/>
            <w:color w:val="000000"/>
            <w:sz w:val="22"/>
            <w:szCs w:val="22"/>
          </w:rPr>
          <w:t>Darling River</w:t>
        </w:r>
      </w:smartTag>
      <w:r w:rsidRPr="00A447A6">
        <w:rPr>
          <w:rFonts w:ascii="Times New Roman" w:hAnsi="Times New Roman"/>
          <w:color w:val="000000"/>
          <w:sz w:val="22"/>
          <w:szCs w:val="22"/>
        </w:rPr>
        <w:t xml:space="preserve"> system</w:t>
      </w:r>
      <w:r w:rsidRPr="00A447A6">
        <w:rPr>
          <w:rFonts w:ascii="Times New Roman" w:hAnsi="Times New Roman"/>
          <w:sz w:val="22"/>
          <w:szCs w:val="22"/>
          <w:lang w:eastAsia="en-AU"/>
        </w:rPr>
        <w:t xml:space="preserve">. The options assessed include </w:t>
      </w:r>
      <w:r w:rsidR="002D4551" w:rsidRPr="00A447A6">
        <w:rPr>
          <w:rFonts w:ascii="Times New Roman" w:hAnsi="Times New Roman"/>
          <w:sz w:val="22"/>
          <w:szCs w:val="22"/>
          <w:lang w:eastAsia="en-AU"/>
        </w:rPr>
        <w:t xml:space="preserve">MAR </w:t>
      </w:r>
      <w:r w:rsidR="002979E9" w:rsidRPr="00A447A6">
        <w:rPr>
          <w:rFonts w:ascii="Times New Roman" w:hAnsi="Times New Roman"/>
          <w:sz w:val="22"/>
          <w:szCs w:val="22"/>
          <w:lang w:eastAsia="en-AU"/>
        </w:rPr>
        <w:t>schemes</w:t>
      </w:r>
      <w:r w:rsidR="002D4551" w:rsidRPr="00A447A6">
        <w:rPr>
          <w:rFonts w:ascii="Times New Roman" w:hAnsi="Times New Roman"/>
          <w:sz w:val="22"/>
          <w:szCs w:val="22"/>
          <w:lang w:eastAsia="en-AU"/>
        </w:rPr>
        <w:t xml:space="preserve"> such as </w:t>
      </w:r>
      <w:r w:rsidRPr="00A447A6">
        <w:rPr>
          <w:rFonts w:ascii="Times New Roman" w:hAnsi="Times New Roman"/>
          <w:sz w:val="22"/>
          <w:szCs w:val="22"/>
          <w:lang w:eastAsia="en-AU"/>
        </w:rPr>
        <w:t>infiltration b</w:t>
      </w:r>
      <w:r w:rsidR="002979E9" w:rsidRPr="00A447A6">
        <w:rPr>
          <w:rFonts w:ascii="Times New Roman" w:hAnsi="Times New Roman"/>
          <w:sz w:val="22"/>
          <w:szCs w:val="22"/>
          <w:lang w:eastAsia="en-AU"/>
        </w:rPr>
        <w:t>asins, Aquifer Storage and Recovery (ASR), Aquifer Storage, Transport and Recovery (ATSR), bank infiltration</w:t>
      </w:r>
      <w:r w:rsidRPr="00A447A6">
        <w:rPr>
          <w:rFonts w:ascii="Times New Roman" w:hAnsi="Times New Roman"/>
          <w:sz w:val="22"/>
          <w:szCs w:val="22"/>
          <w:lang w:eastAsia="en-AU"/>
        </w:rPr>
        <w:t xml:space="preserve">, </w:t>
      </w:r>
      <w:r w:rsidR="002979E9" w:rsidRPr="00A447A6">
        <w:rPr>
          <w:rFonts w:ascii="Times New Roman" w:hAnsi="Times New Roman"/>
          <w:sz w:val="22"/>
          <w:szCs w:val="22"/>
          <w:lang w:eastAsia="en-AU"/>
        </w:rPr>
        <w:t>as well as</w:t>
      </w:r>
      <w:r w:rsidRPr="00A447A6">
        <w:rPr>
          <w:rFonts w:ascii="Times New Roman" w:hAnsi="Times New Roman"/>
          <w:sz w:val="22"/>
          <w:szCs w:val="22"/>
          <w:lang w:eastAsia="en-AU"/>
        </w:rPr>
        <w:t xml:space="preserve"> groundwater extraction</w:t>
      </w:r>
      <w:r w:rsidR="00D51669" w:rsidRPr="00A447A6">
        <w:rPr>
          <w:rFonts w:ascii="Times New Roman" w:hAnsi="Times New Roman"/>
          <w:sz w:val="22"/>
          <w:szCs w:val="22"/>
          <w:lang w:eastAsia="en-AU"/>
        </w:rPr>
        <w:t xml:space="preserve"> (Lawrie</w:t>
      </w:r>
      <w:r w:rsidR="008A5F7D" w:rsidRPr="008A5F7D">
        <w:rPr>
          <w:rFonts w:ascii="Times New Roman" w:hAnsi="Times New Roman"/>
          <w:i/>
          <w:sz w:val="22"/>
          <w:szCs w:val="22"/>
          <w:lang w:eastAsia="en-AU"/>
        </w:rPr>
        <w:t xml:space="preserve"> et al</w:t>
      </w:r>
      <w:r w:rsidR="00D51669" w:rsidRPr="00A447A6">
        <w:rPr>
          <w:rFonts w:ascii="Times New Roman" w:hAnsi="Times New Roman"/>
          <w:sz w:val="22"/>
          <w:szCs w:val="22"/>
          <w:lang w:eastAsia="en-AU"/>
        </w:rPr>
        <w:t xml:space="preserve">., </w:t>
      </w:r>
      <w:r w:rsidR="003F1A82">
        <w:rPr>
          <w:rFonts w:ascii="Times New Roman" w:hAnsi="Times New Roman"/>
          <w:sz w:val="22"/>
          <w:szCs w:val="22"/>
          <w:lang w:eastAsia="en-AU"/>
        </w:rPr>
        <w:t xml:space="preserve">2010a, b, </w:t>
      </w:r>
      <w:r w:rsidR="00D51669" w:rsidRPr="00A447A6">
        <w:rPr>
          <w:rFonts w:ascii="Times New Roman" w:hAnsi="Times New Roman"/>
          <w:sz w:val="22"/>
          <w:szCs w:val="22"/>
          <w:lang w:eastAsia="en-AU"/>
        </w:rPr>
        <w:t>2012c)</w:t>
      </w:r>
      <w:r w:rsidRPr="00A447A6">
        <w:rPr>
          <w:rFonts w:ascii="Times New Roman" w:hAnsi="Times New Roman"/>
          <w:sz w:val="22"/>
          <w:szCs w:val="22"/>
          <w:lang w:eastAsia="en-AU"/>
        </w:rPr>
        <w:t xml:space="preserve">. Any new option would involve retaining a (reduced) capacity within the MLS, with water supply arrangements operating as a conjunctive use scheme with MAR and/or groundwater extraction </w:t>
      </w:r>
      <w:r w:rsidR="002979E9" w:rsidRPr="00A447A6">
        <w:rPr>
          <w:rFonts w:ascii="Times New Roman" w:hAnsi="Times New Roman"/>
          <w:sz w:val="22"/>
          <w:szCs w:val="22"/>
          <w:lang w:eastAsia="en-AU"/>
        </w:rPr>
        <w:t>providing a vital drought-</w:t>
      </w:r>
      <w:r w:rsidRPr="00A447A6">
        <w:rPr>
          <w:rFonts w:ascii="Times New Roman" w:hAnsi="Times New Roman"/>
          <w:sz w:val="22"/>
          <w:szCs w:val="22"/>
          <w:lang w:eastAsia="en-AU"/>
        </w:rPr>
        <w:t xml:space="preserve">security component. A secondary objective of the project was the identification of other groundwater resources and MAR targets in the Darling Floodplain region to provide </w:t>
      </w:r>
      <w:r w:rsidR="00032603" w:rsidRPr="00A447A6">
        <w:rPr>
          <w:rFonts w:ascii="Times New Roman" w:hAnsi="Times New Roman"/>
          <w:sz w:val="22"/>
          <w:szCs w:val="22"/>
          <w:lang w:eastAsia="en-AU"/>
        </w:rPr>
        <w:t xml:space="preserve">improved </w:t>
      </w:r>
      <w:r w:rsidRPr="00A447A6">
        <w:rPr>
          <w:rFonts w:ascii="Times New Roman" w:hAnsi="Times New Roman"/>
          <w:sz w:val="22"/>
          <w:szCs w:val="22"/>
          <w:lang w:eastAsia="en-AU"/>
        </w:rPr>
        <w:t xml:space="preserve">drought </w:t>
      </w:r>
      <w:r w:rsidR="00032603" w:rsidRPr="00A447A6">
        <w:rPr>
          <w:rFonts w:ascii="Times New Roman" w:hAnsi="Times New Roman"/>
          <w:sz w:val="22"/>
          <w:szCs w:val="22"/>
          <w:lang w:eastAsia="en-AU"/>
        </w:rPr>
        <w:t xml:space="preserve">security for local communities and industries (e.g. </w:t>
      </w:r>
      <w:r w:rsidRPr="00A447A6">
        <w:rPr>
          <w:rFonts w:ascii="Times New Roman" w:hAnsi="Times New Roman"/>
          <w:sz w:val="22"/>
          <w:szCs w:val="22"/>
          <w:lang w:eastAsia="en-AU"/>
        </w:rPr>
        <w:t>agriculture and mining</w:t>
      </w:r>
      <w:r w:rsidR="003F1A82">
        <w:rPr>
          <w:rFonts w:ascii="Times New Roman" w:hAnsi="Times New Roman"/>
          <w:sz w:val="22"/>
          <w:szCs w:val="22"/>
          <w:lang w:eastAsia="en-AU"/>
        </w:rPr>
        <w:t>;</w:t>
      </w:r>
      <w:r w:rsidR="00D51669" w:rsidRPr="00A447A6">
        <w:rPr>
          <w:rFonts w:ascii="Times New Roman" w:hAnsi="Times New Roman"/>
          <w:sz w:val="22"/>
          <w:szCs w:val="22"/>
          <w:lang w:eastAsia="en-AU"/>
        </w:rPr>
        <w:t xml:space="preserve"> Lawrie</w:t>
      </w:r>
      <w:r w:rsidR="008A5F7D" w:rsidRPr="008A5F7D">
        <w:rPr>
          <w:rFonts w:ascii="Times New Roman" w:hAnsi="Times New Roman"/>
          <w:i/>
          <w:sz w:val="22"/>
          <w:szCs w:val="22"/>
          <w:lang w:eastAsia="en-AU"/>
        </w:rPr>
        <w:t xml:space="preserve"> et al</w:t>
      </w:r>
      <w:r w:rsidR="003F1A82">
        <w:rPr>
          <w:rFonts w:ascii="Times New Roman" w:hAnsi="Times New Roman"/>
          <w:sz w:val="22"/>
          <w:szCs w:val="22"/>
          <w:lang w:eastAsia="en-AU"/>
        </w:rPr>
        <w:t>.</w:t>
      </w:r>
      <w:r w:rsidR="00D51669" w:rsidRPr="00A447A6">
        <w:rPr>
          <w:rFonts w:ascii="Times New Roman" w:hAnsi="Times New Roman"/>
          <w:sz w:val="22"/>
          <w:szCs w:val="22"/>
          <w:lang w:eastAsia="en-AU"/>
        </w:rPr>
        <w:t xml:space="preserve"> </w:t>
      </w:r>
      <w:r w:rsidR="003F1A82">
        <w:rPr>
          <w:rFonts w:ascii="Times New Roman" w:hAnsi="Times New Roman"/>
          <w:sz w:val="22"/>
          <w:szCs w:val="22"/>
          <w:lang w:eastAsia="en-AU"/>
        </w:rPr>
        <w:t>(</w:t>
      </w:r>
      <w:r w:rsidR="00D51669" w:rsidRPr="00A447A6">
        <w:rPr>
          <w:rFonts w:ascii="Times New Roman" w:hAnsi="Times New Roman"/>
          <w:sz w:val="22"/>
          <w:szCs w:val="22"/>
          <w:lang w:eastAsia="en-AU"/>
        </w:rPr>
        <w:t>2012d</w:t>
      </w:r>
      <w:r w:rsidR="003F1A82">
        <w:rPr>
          <w:rFonts w:ascii="Times New Roman" w:hAnsi="Times New Roman"/>
          <w:sz w:val="22"/>
          <w:szCs w:val="22"/>
          <w:lang w:eastAsia="en-AU"/>
        </w:rPr>
        <w:t>)</w:t>
      </w:r>
      <w:r w:rsidR="00032603" w:rsidRPr="00A447A6">
        <w:rPr>
          <w:rFonts w:ascii="Times New Roman" w:hAnsi="Times New Roman"/>
          <w:sz w:val="22"/>
          <w:szCs w:val="22"/>
          <w:lang w:eastAsia="en-AU"/>
        </w:rPr>
        <w:t>)</w:t>
      </w:r>
      <w:r w:rsidRPr="00A447A6">
        <w:rPr>
          <w:rFonts w:ascii="Times New Roman" w:hAnsi="Times New Roman"/>
          <w:sz w:val="22"/>
          <w:szCs w:val="22"/>
          <w:lang w:eastAsia="en-AU"/>
        </w:rPr>
        <w:t xml:space="preserve">. </w:t>
      </w:r>
    </w:p>
    <w:p w:rsidR="007B0FA8" w:rsidRPr="00A447A6" w:rsidRDefault="007B0FA8" w:rsidP="006264CC">
      <w:pPr>
        <w:pStyle w:val="Level11"/>
        <w:numPr>
          <w:ilvl w:val="0"/>
          <w:numId w:val="0"/>
        </w:numPr>
        <w:spacing w:before="0"/>
        <w:rPr>
          <w:rFonts w:ascii="Times New Roman" w:hAnsi="Times New Roman"/>
          <w:sz w:val="22"/>
          <w:szCs w:val="22"/>
          <w:lang w:eastAsia="en-AU"/>
        </w:rPr>
      </w:pPr>
    </w:p>
    <w:p w:rsidR="006264CC" w:rsidRPr="00A447A6" w:rsidRDefault="00F83C73" w:rsidP="00F83C73">
      <w:r w:rsidRPr="00A447A6">
        <w:t xml:space="preserve">The boundary of the BHMAR Phase 2 project area relative to the major drainage features including the </w:t>
      </w:r>
      <w:r w:rsidR="007D1583">
        <w:t>Menindee Lakes</w:t>
      </w:r>
      <w:r w:rsidRPr="00A447A6">
        <w:t xml:space="preserve"> System (MLS) is shown in </w:t>
      </w:r>
      <w:r w:rsidR="000B4790" w:rsidRPr="00A447A6">
        <w:fldChar w:fldCharType="begin"/>
      </w:r>
      <w:r w:rsidR="000B4790" w:rsidRPr="00A447A6">
        <w:instrText xml:space="preserve"> REF _Ref325706708 \h </w:instrText>
      </w:r>
      <w:r w:rsidR="00795774" w:rsidRPr="00A447A6">
        <w:instrText xml:space="preserve"> \* MERGEFORMAT </w:instrText>
      </w:r>
      <w:r w:rsidR="000B4790" w:rsidRPr="00A447A6">
        <w:fldChar w:fldCharType="separate"/>
      </w:r>
      <w:r w:rsidR="00966532" w:rsidRPr="00966532">
        <w:t xml:space="preserve">Figure </w:t>
      </w:r>
      <w:r w:rsidR="00966532" w:rsidRPr="00966532">
        <w:rPr>
          <w:noProof/>
        </w:rPr>
        <w:t>2</w:t>
      </w:r>
      <w:r w:rsidR="00966532" w:rsidRPr="00966532">
        <w:rPr>
          <w:noProof/>
        </w:rPr>
        <w:noBreakHyphen/>
        <w:t>1</w:t>
      </w:r>
      <w:r w:rsidR="000B4790" w:rsidRPr="00A447A6">
        <w:fldChar w:fldCharType="end"/>
      </w:r>
      <w:r w:rsidR="002D4551" w:rsidRPr="00A447A6">
        <w:t xml:space="preserve">. </w:t>
      </w:r>
      <w:r w:rsidRPr="00A447A6">
        <w:t>The project area cover</w:t>
      </w:r>
      <w:r w:rsidR="00E65988">
        <w:t>ed</w:t>
      </w:r>
      <w:r w:rsidRPr="00A447A6">
        <w:t xml:space="preserve"> 7,541.5 km</w:t>
      </w:r>
      <w:r w:rsidR="00D51669" w:rsidRPr="00A447A6">
        <w:rPr>
          <w:vertAlign w:val="superscript"/>
        </w:rPr>
        <w:t>2</w:t>
      </w:r>
      <w:r w:rsidR="002D4551" w:rsidRPr="00A447A6">
        <w:t xml:space="preserve"> and </w:t>
      </w:r>
      <w:r w:rsidRPr="00A447A6">
        <w:t xml:space="preserve">was </w:t>
      </w:r>
      <w:r w:rsidR="002D4551" w:rsidRPr="00A447A6">
        <w:t>defined</w:t>
      </w:r>
      <w:r w:rsidRPr="00A447A6">
        <w:t xml:space="preserve"> primarily </w:t>
      </w:r>
      <w:r w:rsidR="002D4551" w:rsidRPr="00A447A6">
        <w:t>by the groundwater</w:t>
      </w:r>
      <w:r w:rsidRPr="00A447A6">
        <w:t xml:space="preserve"> salinity-yield </w:t>
      </w:r>
      <w:r w:rsidR="002D4551" w:rsidRPr="00A447A6">
        <w:t>mapping</w:t>
      </w:r>
      <w:r w:rsidRPr="00A447A6">
        <w:t xml:space="preserve"> from previous investi</w:t>
      </w:r>
      <w:smartTag w:uri="urn:schemas-microsoft-com:office:smarttags" w:element="PersonName">
        <w:r w:rsidRPr="00A447A6">
          <w:t>ga</w:t>
        </w:r>
      </w:smartTag>
      <w:r w:rsidRPr="00A447A6">
        <w:t>tions (Lewis</w:t>
      </w:r>
      <w:r w:rsidR="008A5F7D" w:rsidRPr="00CF7613">
        <w:rPr>
          <w:rStyle w:val="StyleItalic"/>
        </w:rPr>
        <w:t xml:space="preserve"> et al</w:t>
      </w:r>
      <w:r w:rsidRPr="00CF7613">
        <w:rPr>
          <w:rStyle w:val="StyleItalic"/>
        </w:rPr>
        <w:t>.,</w:t>
      </w:r>
      <w:r w:rsidRPr="00A447A6">
        <w:t xml:space="preserve"> 2008; Lawrie</w:t>
      </w:r>
      <w:r w:rsidR="008A5F7D" w:rsidRPr="00CF7613">
        <w:rPr>
          <w:rStyle w:val="StyleItalic"/>
        </w:rPr>
        <w:t xml:space="preserve"> et al</w:t>
      </w:r>
      <w:r w:rsidRPr="00A447A6">
        <w:t xml:space="preserve">., 2008a, 2009a, b). </w:t>
      </w:r>
      <w:r w:rsidR="002D4551" w:rsidRPr="00A447A6">
        <w:rPr>
          <w:szCs w:val="22"/>
        </w:rPr>
        <w:t>While the search for alternative water supply options for Broken Hill was initially on an area within 50</w:t>
      </w:r>
      <w:r w:rsidR="00D51669" w:rsidRPr="00A447A6">
        <w:rPr>
          <w:szCs w:val="22"/>
        </w:rPr>
        <w:t xml:space="preserve"> </w:t>
      </w:r>
      <w:r w:rsidR="002D4551" w:rsidRPr="00A447A6">
        <w:rPr>
          <w:szCs w:val="22"/>
        </w:rPr>
        <w:t xml:space="preserve">km of </w:t>
      </w:r>
      <w:r w:rsidR="0092647E">
        <w:rPr>
          <w:szCs w:val="22"/>
        </w:rPr>
        <w:t>Menindee</w:t>
      </w:r>
      <w:r w:rsidR="002D4551" w:rsidRPr="00A447A6">
        <w:rPr>
          <w:szCs w:val="22"/>
        </w:rPr>
        <w:t>, a</w:t>
      </w:r>
      <w:r w:rsidR="006264CC" w:rsidRPr="00A447A6">
        <w:rPr>
          <w:szCs w:val="22"/>
        </w:rPr>
        <w:t xml:space="preserve"> relatively large</w:t>
      </w:r>
      <w:r w:rsidR="002D4551" w:rsidRPr="00A447A6">
        <w:rPr>
          <w:szCs w:val="22"/>
        </w:rPr>
        <w:t>r</w:t>
      </w:r>
      <w:r w:rsidR="006264CC" w:rsidRPr="00A447A6">
        <w:rPr>
          <w:szCs w:val="22"/>
        </w:rPr>
        <w:t xml:space="preserve"> </w:t>
      </w:r>
      <w:r w:rsidRPr="00A447A6">
        <w:rPr>
          <w:szCs w:val="22"/>
        </w:rPr>
        <w:t>project area</w:t>
      </w:r>
      <w:r w:rsidR="006264CC" w:rsidRPr="00A447A6">
        <w:rPr>
          <w:szCs w:val="22"/>
        </w:rPr>
        <w:t xml:space="preserve"> </w:t>
      </w:r>
      <w:r w:rsidR="002D4551" w:rsidRPr="00A447A6">
        <w:rPr>
          <w:szCs w:val="22"/>
        </w:rPr>
        <w:t>was scoped to identify additional groundwater resources and MAR options to underpin regional development (for agriculture and mining) as well as enhanced water security for regional communities</w:t>
      </w:r>
      <w:r w:rsidR="00D51669" w:rsidRPr="00A447A6">
        <w:rPr>
          <w:szCs w:val="22"/>
        </w:rPr>
        <w:t xml:space="preserve"> (Lawrie</w:t>
      </w:r>
      <w:r w:rsidR="008A5F7D" w:rsidRPr="00CF7613">
        <w:rPr>
          <w:rStyle w:val="StyleItalic"/>
        </w:rPr>
        <w:t xml:space="preserve"> et al</w:t>
      </w:r>
      <w:r w:rsidR="00D51669" w:rsidRPr="00A447A6">
        <w:rPr>
          <w:szCs w:val="22"/>
        </w:rPr>
        <w:t>., 2012d)</w:t>
      </w:r>
      <w:r w:rsidR="002D4551" w:rsidRPr="00A447A6">
        <w:rPr>
          <w:szCs w:val="22"/>
        </w:rPr>
        <w:t xml:space="preserve">. The size of the project area was also determined by the need </w:t>
      </w:r>
      <w:r w:rsidR="007B0FA8" w:rsidRPr="00A447A6">
        <w:rPr>
          <w:szCs w:val="22"/>
        </w:rPr>
        <w:t>to consider the groundwater system holistically, including the broader regional hydrogeological impacts of groundwater use and replenishment on environmental assets</w:t>
      </w:r>
      <w:r w:rsidR="00D51669" w:rsidRPr="00A447A6">
        <w:rPr>
          <w:szCs w:val="22"/>
        </w:rPr>
        <w:t xml:space="preserve"> (Lawrie</w:t>
      </w:r>
      <w:r w:rsidR="008A5F7D" w:rsidRPr="00CF7613">
        <w:rPr>
          <w:rStyle w:val="StyleItalic"/>
        </w:rPr>
        <w:t xml:space="preserve"> et al</w:t>
      </w:r>
      <w:r w:rsidR="00A447A6" w:rsidRPr="00A447A6">
        <w:rPr>
          <w:szCs w:val="22"/>
        </w:rPr>
        <w:t>., 2009</w:t>
      </w:r>
      <w:r w:rsidR="003F1A82">
        <w:rPr>
          <w:szCs w:val="22"/>
        </w:rPr>
        <w:t>a</w:t>
      </w:r>
      <w:r w:rsidR="00D51669" w:rsidRPr="00A447A6">
        <w:rPr>
          <w:szCs w:val="22"/>
        </w:rPr>
        <w:t>)</w:t>
      </w:r>
      <w:r w:rsidR="007B0FA8" w:rsidRPr="00A447A6">
        <w:rPr>
          <w:szCs w:val="22"/>
        </w:rPr>
        <w:t xml:space="preserve">. Scientific, technical and logistic considerations and limitations were also taken into consideration, with the project area reduced in size at the end of </w:t>
      </w:r>
      <w:r w:rsidR="002979E9" w:rsidRPr="00A447A6">
        <w:rPr>
          <w:szCs w:val="22"/>
        </w:rPr>
        <w:t>preliminary assessments (</w:t>
      </w:r>
      <w:r w:rsidR="007B0FA8" w:rsidRPr="00A447A6">
        <w:rPr>
          <w:szCs w:val="22"/>
        </w:rPr>
        <w:t>Phase 1</w:t>
      </w:r>
      <w:r w:rsidR="002979E9" w:rsidRPr="00A447A6">
        <w:rPr>
          <w:szCs w:val="22"/>
        </w:rPr>
        <w:t>),</w:t>
      </w:r>
      <w:r w:rsidR="007B0FA8" w:rsidRPr="00A447A6">
        <w:rPr>
          <w:szCs w:val="22"/>
        </w:rPr>
        <w:t xml:space="preserve"> given the short timeframe to complete scientific investigations and </w:t>
      </w:r>
      <w:r w:rsidR="002979E9" w:rsidRPr="00A447A6">
        <w:rPr>
          <w:szCs w:val="22"/>
        </w:rPr>
        <w:t>interpretation</w:t>
      </w:r>
      <w:r w:rsidR="007B0FA8" w:rsidRPr="00A447A6">
        <w:rPr>
          <w:szCs w:val="22"/>
        </w:rPr>
        <w:t xml:space="preserve"> to high confidence levels in such a data-poor area</w:t>
      </w:r>
      <w:r w:rsidR="006264CC" w:rsidRPr="00A447A6">
        <w:rPr>
          <w:szCs w:val="22"/>
        </w:rPr>
        <w:t>.</w:t>
      </w:r>
      <w:r w:rsidR="007B0FA8" w:rsidRPr="00A447A6">
        <w:rPr>
          <w:szCs w:val="22"/>
        </w:rPr>
        <w:t xml:space="preserve"> </w:t>
      </w:r>
    </w:p>
    <w:p w:rsidR="006264CC" w:rsidRPr="00A447A6" w:rsidRDefault="006264CC" w:rsidP="006264CC">
      <w:pPr>
        <w:pStyle w:val="Level11"/>
        <w:numPr>
          <w:ilvl w:val="0"/>
          <w:numId w:val="0"/>
        </w:numPr>
        <w:spacing w:before="0"/>
        <w:rPr>
          <w:rFonts w:ascii="Times New Roman" w:hAnsi="Times New Roman"/>
          <w:sz w:val="22"/>
          <w:szCs w:val="22"/>
          <w:lang w:eastAsia="en-AU"/>
        </w:rPr>
      </w:pPr>
    </w:p>
    <w:p w:rsidR="006264CC" w:rsidRPr="00D325EA" w:rsidRDefault="007B0FA8" w:rsidP="007B0FA8">
      <w:r w:rsidRPr="00A447A6">
        <w:t>For the MAR assessment component</w:t>
      </w:r>
      <w:r w:rsidR="003F1A82">
        <w:t>s</w:t>
      </w:r>
      <w:r w:rsidRPr="00A447A6">
        <w:t xml:space="preserve"> of the project</w:t>
      </w:r>
      <w:r w:rsidR="00D51669" w:rsidRPr="00A447A6">
        <w:t xml:space="preserve"> (</w:t>
      </w:r>
      <w:bookmarkStart w:id="91" w:name="OLE_LINK11"/>
      <w:bookmarkStart w:id="92" w:name="OLE_LINK12"/>
      <w:r w:rsidR="00D51669" w:rsidRPr="00A447A6">
        <w:rPr>
          <w:szCs w:val="22"/>
        </w:rPr>
        <w:t>Lawrie</w:t>
      </w:r>
      <w:r w:rsidR="008A5F7D" w:rsidRPr="00CF7613">
        <w:rPr>
          <w:rStyle w:val="StyleItalic"/>
        </w:rPr>
        <w:t xml:space="preserve"> et al</w:t>
      </w:r>
      <w:r w:rsidR="00D51669" w:rsidRPr="00A447A6">
        <w:rPr>
          <w:szCs w:val="22"/>
        </w:rPr>
        <w:t>., 2012</w:t>
      </w:r>
      <w:bookmarkEnd w:id="91"/>
      <w:bookmarkEnd w:id="92"/>
      <w:r w:rsidR="003F1A82">
        <w:rPr>
          <w:szCs w:val="22"/>
        </w:rPr>
        <w:t xml:space="preserve">a, </w:t>
      </w:r>
      <w:r w:rsidR="00D51669" w:rsidRPr="00A447A6">
        <w:rPr>
          <w:szCs w:val="22"/>
        </w:rPr>
        <w:t>c, d)</w:t>
      </w:r>
      <w:r w:rsidRPr="00A447A6">
        <w:t xml:space="preserve">, investigations </w:t>
      </w:r>
      <w:r w:rsidR="007F3F45" w:rsidRPr="00A447A6">
        <w:t xml:space="preserve">have </w:t>
      </w:r>
      <w:r w:rsidRPr="00A447A6">
        <w:t xml:space="preserve">adhered to the </w:t>
      </w:r>
      <w:r w:rsidR="007F3F45" w:rsidRPr="00A447A6">
        <w:t xml:space="preserve">stringent </w:t>
      </w:r>
      <w:r w:rsidRPr="00A447A6">
        <w:t xml:space="preserve">assessment framework set out in the Australian Guidelines for </w:t>
      </w:r>
      <w:r w:rsidR="007F3F45" w:rsidRPr="00A447A6">
        <w:t>Managed Aquifer R</w:t>
      </w:r>
      <w:r w:rsidR="0089737C">
        <w:t>echarge (NRMMC–EPHC–NHMRC, 2009</w:t>
      </w:r>
      <w:r w:rsidR="007F3F45" w:rsidRPr="00A447A6">
        <w:t xml:space="preserve">) and </w:t>
      </w:r>
      <w:r w:rsidRPr="00A447A6">
        <w:t>Water Recycling: Augmentation of Drinking Water Supplies</w:t>
      </w:r>
      <w:r w:rsidRPr="00E767BB">
        <w:t xml:space="preserve"> </w:t>
      </w:r>
      <w:r w:rsidRPr="00E767BB">
        <w:lastRenderedPageBreak/>
        <w:t>(NRMMC–EPHC–NHMRC</w:t>
      </w:r>
      <w:r>
        <w:t>,</w:t>
      </w:r>
      <w:r w:rsidR="007F3F45">
        <w:t xml:space="preserve"> 2008)</w:t>
      </w:r>
      <w:r>
        <w:t xml:space="preserve">. The BHMAR project was the first project in </w:t>
      </w:r>
      <w:smartTag w:uri="urn:schemas-microsoft-com:office:smarttags" w:element="place">
        <w:smartTag w:uri="urn:schemas-microsoft-com:office:smarttags" w:element="country-region">
          <w:r>
            <w:t>Australia</w:t>
          </w:r>
        </w:smartTag>
      </w:smartTag>
      <w:r>
        <w:t xml:space="preserve"> to apply these new guidelines, </w:t>
      </w:r>
      <w:r w:rsidR="007F3F45">
        <w:t>with the assessment framework reflected in a 5-phase</w:t>
      </w:r>
      <w:r w:rsidR="006264CC" w:rsidRPr="00D325EA">
        <w:t xml:space="preserve"> work plan</w:t>
      </w:r>
      <w:r w:rsidR="007F3F45">
        <w:t xml:space="preserve"> designed </w:t>
      </w:r>
      <w:r w:rsidR="002979E9">
        <w:t>in accordance</w:t>
      </w:r>
      <w:r w:rsidR="007F3F45">
        <w:t xml:space="preserve"> with the MAR guidelines</w:t>
      </w:r>
      <w:r w:rsidR="006264CC" w:rsidRPr="00D325EA">
        <w:t>:</w:t>
      </w:r>
    </w:p>
    <w:p w:rsidR="006264CC" w:rsidRPr="00A03910" w:rsidRDefault="002979E9" w:rsidP="00381FA9">
      <w:pPr>
        <w:numPr>
          <w:ilvl w:val="0"/>
          <w:numId w:val="28"/>
        </w:numPr>
        <w:tabs>
          <w:tab w:val="clear" w:pos="1080"/>
          <w:tab w:val="num" w:pos="720"/>
        </w:tabs>
        <w:spacing w:before="120"/>
        <w:ind w:left="1620" w:hanging="1260"/>
        <w:rPr>
          <w:szCs w:val="22"/>
        </w:rPr>
      </w:pPr>
      <w:r>
        <w:rPr>
          <w:szCs w:val="22"/>
        </w:rPr>
        <w:t>Phase 1 (Oct. 2008 - Feb. 20</w:t>
      </w:r>
      <w:r w:rsidR="006264CC" w:rsidRPr="00A03910">
        <w:rPr>
          <w:szCs w:val="22"/>
        </w:rPr>
        <w:t xml:space="preserve">09): Study area finalisation and technical risk assessment / </w:t>
      </w:r>
      <w:smartTag w:uri="urn:schemas-microsoft-com:office:smarttags" w:element="stockticker">
        <w:r w:rsidR="006264CC" w:rsidRPr="00A03910">
          <w:rPr>
            <w:szCs w:val="22"/>
          </w:rPr>
          <w:t>AEM</w:t>
        </w:r>
      </w:smartTag>
      <w:r w:rsidR="006264CC" w:rsidRPr="00A03910">
        <w:rPr>
          <w:szCs w:val="22"/>
        </w:rPr>
        <w:t xml:space="preserve"> technology selection exercise for </w:t>
      </w:r>
      <w:r>
        <w:rPr>
          <w:szCs w:val="22"/>
        </w:rPr>
        <w:t>six</w:t>
      </w:r>
      <w:r w:rsidR="006264CC" w:rsidRPr="00A03910">
        <w:rPr>
          <w:szCs w:val="22"/>
        </w:rPr>
        <w:t xml:space="preserve"> potential project areas for MAR options near Broken Hill;</w:t>
      </w:r>
    </w:p>
    <w:p w:rsidR="006264CC" w:rsidRPr="00A03910" w:rsidRDefault="002979E9" w:rsidP="00381FA9">
      <w:pPr>
        <w:numPr>
          <w:ilvl w:val="0"/>
          <w:numId w:val="28"/>
        </w:numPr>
        <w:tabs>
          <w:tab w:val="clear" w:pos="1080"/>
          <w:tab w:val="num" w:pos="720"/>
        </w:tabs>
        <w:ind w:left="1620" w:hanging="1260"/>
        <w:rPr>
          <w:szCs w:val="22"/>
        </w:rPr>
      </w:pPr>
      <w:r>
        <w:rPr>
          <w:szCs w:val="22"/>
        </w:rPr>
        <w:t>Phase 2 (Apr. 2009- Mar. 2012): Acquisition of</w:t>
      </w:r>
      <w:r w:rsidR="006264CC" w:rsidRPr="00A03910">
        <w:rPr>
          <w:szCs w:val="22"/>
        </w:rPr>
        <w:t xml:space="preserve"> baseline hydrogeological and geological data to derive a new conceptual groundwater model and identify potential MAR and groundwater resource targets and options</w:t>
      </w:r>
      <w:r w:rsidR="007B0FA8">
        <w:rPr>
          <w:szCs w:val="22"/>
        </w:rPr>
        <w:t xml:space="preserve"> across the project area</w:t>
      </w:r>
      <w:r w:rsidR="006264CC" w:rsidRPr="00A03910">
        <w:rPr>
          <w:szCs w:val="22"/>
        </w:rPr>
        <w:t>;</w:t>
      </w:r>
    </w:p>
    <w:p w:rsidR="006264CC" w:rsidRPr="00A03910" w:rsidRDefault="002979E9" w:rsidP="00381FA9">
      <w:pPr>
        <w:numPr>
          <w:ilvl w:val="0"/>
          <w:numId w:val="28"/>
        </w:numPr>
        <w:tabs>
          <w:tab w:val="clear" w:pos="1080"/>
          <w:tab w:val="num" w:pos="720"/>
        </w:tabs>
        <w:ind w:left="1620" w:hanging="1260"/>
        <w:rPr>
          <w:szCs w:val="22"/>
        </w:rPr>
      </w:pPr>
      <w:r>
        <w:rPr>
          <w:szCs w:val="22"/>
        </w:rPr>
        <w:t>Phase 3a (Jul. 20</w:t>
      </w:r>
      <w:r w:rsidR="006264CC" w:rsidRPr="00A03910">
        <w:rPr>
          <w:szCs w:val="22"/>
        </w:rPr>
        <w:t xml:space="preserve">10- </w:t>
      </w:r>
      <w:r w:rsidR="007B0FA8">
        <w:rPr>
          <w:szCs w:val="22"/>
        </w:rPr>
        <w:t>May</w:t>
      </w:r>
      <w:r>
        <w:rPr>
          <w:szCs w:val="22"/>
        </w:rPr>
        <w:t xml:space="preserve"> 20</w:t>
      </w:r>
      <w:r w:rsidR="006264CC" w:rsidRPr="00A03910">
        <w:rPr>
          <w:szCs w:val="22"/>
        </w:rPr>
        <w:t xml:space="preserve">12): </w:t>
      </w:r>
      <w:r>
        <w:rPr>
          <w:szCs w:val="22"/>
        </w:rPr>
        <w:t>Acquisition of</w:t>
      </w:r>
      <w:r w:rsidR="006264CC" w:rsidRPr="00A03910">
        <w:rPr>
          <w:szCs w:val="22"/>
        </w:rPr>
        <w:t xml:space="preserve"> additional hydrogeological and geoscientific data to assess the feasibility of MAR and groundwater extraction options at a priority borefield target</w:t>
      </w:r>
      <w:r w:rsidR="007B0FA8">
        <w:rPr>
          <w:szCs w:val="22"/>
        </w:rPr>
        <w:t xml:space="preserve"> within 20</w:t>
      </w:r>
      <w:r w:rsidR="006748C2">
        <w:rPr>
          <w:szCs w:val="22"/>
        </w:rPr>
        <w:t xml:space="preserve"> </w:t>
      </w:r>
      <w:r w:rsidR="007B0FA8">
        <w:rPr>
          <w:szCs w:val="22"/>
        </w:rPr>
        <w:t xml:space="preserve">km of </w:t>
      </w:r>
      <w:r w:rsidR="00C217F0">
        <w:rPr>
          <w:szCs w:val="22"/>
        </w:rPr>
        <w:t>Menindee</w:t>
      </w:r>
      <w:r>
        <w:rPr>
          <w:szCs w:val="22"/>
        </w:rPr>
        <w:t xml:space="preserve">, and assess groundwater </w:t>
      </w:r>
      <w:r w:rsidR="003804B4">
        <w:rPr>
          <w:szCs w:val="22"/>
        </w:rPr>
        <w:t>extraction-only options</w:t>
      </w:r>
      <w:r w:rsidR="006264CC" w:rsidRPr="00A03910">
        <w:rPr>
          <w:szCs w:val="22"/>
        </w:rPr>
        <w:t>;</w:t>
      </w:r>
    </w:p>
    <w:p w:rsidR="006264CC" w:rsidRPr="00CF7613" w:rsidRDefault="006264CC" w:rsidP="00381FA9">
      <w:pPr>
        <w:numPr>
          <w:ilvl w:val="0"/>
          <w:numId w:val="28"/>
        </w:numPr>
        <w:tabs>
          <w:tab w:val="clear" w:pos="1080"/>
          <w:tab w:val="num" w:pos="720"/>
        </w:tabs>
        <w:ind w:left="1620" w:hanging="1260"/>
        <w:rPr>
          <w:rStyle w:val="StyleItalic"/>
        </w:rPr>
      </w:pPr>
      <w:r w:rsidRPr="00CF7613">
        <w:rPr>
          <w:rStyle w:val="StyleItalic"/>
        </w:rPr>
        <w:t>Phase 3b: Carry out the necessary groundwater modelling and engineering design to optimise borefield design;</w:t>
      </w:r>
    </w:p>
    <w:p w:rsidR="006264CC" w:rsidRPr="00CF7613" w:rsidRDefault="006264CC" w:rsidP="00381FA9">
      <w:pPr>
        <w:numPr>
          <w:ilvl w:val="0"/>
          <w:numId w:val="28"/>
        </w:numPr>
        <w:tabs>
          <w:tab w:val="clear" w:pos="1080"/>
          <w:tab w:val="num" w:pos="720"/>
        </w:tabs>
        <w:ind w:left="1620" w:hanging="1260"/>
        <w:rPr>
          <w:rStyle w:val="StyleItalic"/>
        </w:rPr>
      </w:pPr>
      <w:r w:rsidRPr="00CF7613">
        <w:rPr>
          <w:rStyle w:val="StyleItalic"/>
        </w:rPr>
        <w:t xml:space="preserve">Phase 4: Implement and test preferred </w:t>
      </w:r>
      <w:smartTag w:uri="urn:schemas-microsoft-com:office:smarttags" w:element="PersonName">
        <w:r w:rsidRPr="00CF7613">
          <w:rPr>
            <w:rStyle w:val="StyleItalic"/>
          </w:rPr>
          <w:t>groundwater</w:t>
        </w:r>
      </w:smartTag>
      <w:r w:rsidRPr="00CF7613">
        <w:rPr>
          <w:rStyle w:val="StyleItalic"/>
        </w:rPr>
        <w:t xml:space="preserve"> extraction and storage options at a small operational scale;</w:t>
      </w:r>
    </w:p>
    <w:p w:rsidR="006264CC" w:rsidRPr="00CF7613" w:rsidRDefault="006264CC" w:rsidP="00381FA9">
      <w:pPr>
        <w:numPr>
          <w:ilvl w:val="0"/>
          <w:numId w:val="28"/>
        </w:numPr>
        <w:tabs>
          <w:tab w:val="clear" w:pos="1080"/>
          <w:tab w:val="num" w:pos="720"/>
        </w:tabs>
        <w:ind w:left="1620" w:hanging="1260"/>
        <w:rPr>
          <w:rStyle w:val="StyleItalic"/>
        </w:rPr>
      </w:pPr>
      <w:r w:rsidRPr="00CF7613">
        <w:rPr>
          <w:rStyle w:val="StyleItalic"/>
        </w:rPr>
        <w:t xml:space="preserve">Phase 5: Construct and operate </w:t>
      </w:r>
      <w:smartTag w:uri="urn:schemas-microsoft-com:office:smarttags" w:element="PersonName">
        <w:r w:rsidRPr="00CF7613">
          <w:rPr>
            <w:rStyle w:val="StyleItalic"/>
          </w:rPr>
          <w:t>groundwater</w:t>
        </w:r>
      </w:smartTag>
      <w:r w:rsidRPr="00CF7613">
        <w:rPr>
          <w:rStyle w:val="StyleItalic"/>
        </w:rPr>
        <w:t xml:space="preserve"> extraction/storage option.</w:t>
      </w:r>
    </w:p>
    <w:p w:rsidR="000C564B" w:rsidRDefault="000C564B" w:rsidP="003804B4">
      <w:pPr>
        <w:pStyle w:val="Level11"/>
        <w:numPr>
          <w:ilvl w:val="0"/>
          <w:numId w:val="0"/>
        </w:numPr>
        <w:spacing w:before="0"/>
        <w:rPr>
          <w:rFonts w:ascii="Times New Roman" w:hAnsi="Times New Roman"/>
          <w:sz w:val="22"/>
          <w:szCs w:val="22"/>
          <w:lang w:eastAsia="en-AU"/>
        </w:rPr>
      </w:pPr>
    </w:p>
    <w:p w:rsidR="000C564B" w:rsidRPr="00F83C73" w:rsidRDefault="003804B4" w:rsidP="000C564B">
      <w:pPr>
        <w:rPr>
          <w:color w:val="000000"/>
          <w:szCs w:val="22"/>
        </w:rPr>
      </w:pPr>
      <w:r w:rsidRPr="00A447A6">
        <w:rPr>
          <w:szCs w:val="22"/>
        </w:rPr>
        <w:t xml:space="preserve">Phase 1 of the project recognised the Darling Floodplain as the area most likely to yield groundwater resource and/or </w:t>
      </w:r>
      <w:smartTag w:uri="urn:schemas-microsoft-com:office:smarttags" w:element="stockticker">
        <w:r w:rsidRPr="00A447A6">
          <w:rPr>
            <w:szCs w:val="22"/>
          </w:rPr>
          <w:t>MAR</w:t>
        </w:r>
      </w:smartTag>
      <w:r w:rsidRPr="00A447A6">
        <w:rPr>
          <w:szCs w:val="22"/>
        </w:rPr>
        <w:t xml:space="preserve"> storage options</w:t>
      </w:r>
      <w:r w:rsidR="000C564B" w:rsidRPr="00A447A6">
        <w:rPr>
          <w:szCs w:val="22"/>
        </w:rPr>
        <w:t xml:space="preserve"> (</w:t>
      </w:r>
      <w:r w:rsidR="009D7B6E" w:rsidRPr="00A447A6">
        <w:rPr>
          <w:szCs w:val="22"/>
        </w:rPr>
        <w:t>Lawrie</w:t>
      </w:r>
      <w:r w:rsidR="008A5F7D" w:rsidRPr="00CF7613">
        <w:rPr>
          <w:rStyle w:val="StyleItalic"/>
        </w:rPr>
        <w:t xml:space="preserve"> et al</w:t>
      </w:r>
      <w:r w:rsidR="009D7B6E" w:rsidRPr="00A447A6">
        <w:rPr>
          <w:szCs w:val="22"/>
        </w:rPr>
        <w:t>., 2009a</w:t>
      </w:r>
      <w:r w:rsidR="000C564B" w:rsidRPr="00A447A6">
        <w:rPr>
          <w:szCs w:val="22"/>
        </w:rPr>
        <w:t>)</w:t>
      </w:r>
      <w:r w:rsidRPr="00A447A6">
        <w:rPr>
          <w:szCs w:val="22"/>
        </w:rPr>
        <w:t xml:space="preserve">. Phase 2 of the BHMAR project </w:t>
      </w:r>
      <w:r w:rsidR="000C564B" w:rsidRPr="00A447A6">
        <w:rPr>
          <w:szCs w:val="22"/>
        </w:rPr>
        <w:t xml:space="preserve">involved </w:t>
      </w:r>
      <w:r w:rsidR="00F83C73" w:rsidRPr="00A447A6">
        <w:rPr>
          <w:szCs w:val="22"/>
        </w:rPr>
        <w:t xml:space="preserve">a major new data </w:t>
      </w:r>
      <w:r w:rsidR="000C564B" w:rsidRPr="00A447A6">
        <w:rPr>
          <w:color w:val="000000"/>
          <w:szCs w:val="22"/>
        </w:rPr>
        <w:t xml:space="preserve">acquisition </w:t>
      </w:r>
      <w:r w:rsidR="00F83C73" w:rsidRPr="00A447A6">
        <w:rPr>
          <w:color w:val="000000"/>
          <w:szCs w:val="22"/>
        </w:rPr>
        <w:t xml:space="preserve">phase, </w:t>
      </w:r>
      <w:r w:rsidR="00851ED2">
        <w:rPr>
          <w:color w:val="000000"/>
          <w:szCs w:val="22"/>
        </w:rPr>
        <w:t>with</w:t>
      </w:r>
      <w:r w:rsidR="000C564B" w:rsidRPr="00A447A6">
        <w:rPr>
          <w:color w:val="000000"/>
          <w:szCs w:val="22"/>
        </w:rPr>
        <w:t xml:space="preserve"> </w:t>
      </w:r>
      <w:r w:rsidR="00F83C73" w:rsidRPr="00A447A6">
        <w:rPr>
          <w:szCs w:val="22"/>
        </w:rPr>
        <w:t>a large number of potential MAR targets</w:t>
      </w:r>
      <w:r w:rsidR="00851ED2">
        <w:rPr>
          <w:szCs w:val="22"/>
        </w:rPr>
        <w:t xml:space="preserve"> identified</w:t>
      </w:r>
      <w:r w:rsidR="00F83C73" w:rsidRPr="00A447A6">
        <w:rPr>
          <w:szCs w:val="22"/>
        </w:rPr>
        <w:t xml:space="preserve">, </w:t>
      </w:r>
      <w:r w:rsidR="00851ED2">
        <w:rPr>
          <w:szCs w:val="22"/>
        </w:rPr>
        <w:t xml:space="preserve">with investigations focussed on </w:t>
      </w:r>
      <w:r w:rsidR="000C564B" w:rsidRPr="00A447A6">
        <w:rPr>
          <w:szCs w:val="22"/>
        </w:rPr>
        <w:t xml:space="preserve">excellent </w:t>
      </w:r>
      <w:r w:rsidR="00851ED2">
        <w:rPr>
          <w:szCs w:val="22"/>
        </w:rPr>
        <w:t xml:space="preserve">Plio-Pliocene </w:t>
      </w:r>
      <w:r w:rsidR="000C564B" w:rsidRPr="00A447A6">
        <w:rPr>
          <w:szCs w:val="22"/>
        </w:rPr>
        <w:t>a</w:t>
      </w:r>
      <w:r w:rsidR="00F83C73" w:rsidRPr="00A447A6">
        <w:rPr>
          <w:szCs w:val="22"/>
        </w:rPr>
        <w:t>quifer</w:t>
      </w:r>
      <w:r w:rsidR="00851ED2">
        <w:rPr>
          <w:szCs w:val="22"/>
        </w:rPr>
        <w:t xml:space="preserve">s </w:t>
      </w:r>
      <w:r w:rsidR="00A447A6" w:rsidRPr="00A447A6">
        <w:rPr>
          <w:szCs w:val="22"/>
        </w:rPr>
        <w:t>(Lawrie</w:t>
      </w:r>
      <w:r w:rsidR="008A5F7D" w:rsidRPr="00CF7613">
        <w:rPr>
          <w:rStyle w:val="StyleItalic"/>
        </w:rPr>
        <w:t xml:space="preserve"> et al</w:t>
      </w:r>
      <w:r w:rsidR="003F1A82">
        <w:rPr>
          <w:szCs w:val="22"/>
        </w:rPr>
        <w:t>., 2010a</w:t>
      </w:r>
      <w:r w:rsidR="00A447A6" w:rsidRPr="00A447A6">
        <w:rPr>
          <w:szCs w:val="22"/>
        </w:rPr>
        <w:t>)</w:t>
      </w:r>
      <w:r w:rsidR="00F83C73" w:rsidRPr="00A447A6">
        <w:rPr>
          <w:szCs w:val="22"/>
        </w:rPr>
        <w:t>.</w:t>
      </w:r>
    </w:p>
    <w:p w:rsidR="000C564B" w:rsidRPr="00F83C73" w:rsidRDefault="000C564B" w:rsidP="000C564B">
      <w:pPr>
        <w:rPr>
          <w:szCs w:val="22"/>
        </w:rPr>
      </w:pPr>
    </w:p>
    <w:p w:rsidR="003804B4" w:rsidRDefault="003804B4" w:rsidP="003804B4">
      <w:pPr>
        <w:pStyle w:val="Level11"/>
        <w:numPr>
          <w:ilvl w:val="0"/>
          <w:numId w:val="0"/>
        </w:numPr>
        <w:spacing w:before="0"/>
        <w:rPr>
          <w:rFonts w:ascii="Times New Roman" w:hAnsi="Times New Roman"/>
          <w:sz w:val="22"/>
          <w:szCs w:val="22"/>
          <w:lang w:eastAsia="en-AU"/>
        </w:rPr>
      </w:pPr>
      <w:r w:rsidRPr="00F83C73">
        <w:rPr>
          <w:rFonts w:ascii="Times New Roman" w:hAnsi="Times New Roman"/>
          <w:sz w:val="22"/>
          <w:szCs w:val="22"/>
          <w:lang w:eastAsia="en-AU"/>
        </w:rPr>
        <w:t>Phase 3a of the project commenced in mid-July 2010, with the specific aim of determining, with a defined level of confidence</w:t>
      </w:r>
      <w:r w:rsidRPr="003804B4">
        <w:rPr>
          <w:rFonts w:ascii="Times New Roman" w:hAnsi="Times New Roman"/>
          <w:sz w:val="22"/>
          <w:szCs w:val="22"/>
          <w:lang w:eastAsia="en-AU"/>
        </w:rPr>
        <w:t xml:space="preserve">, whether at least 3 years water supply (~30 GL), at a similar salinity to that already </w:t>
      </w:r>
      <w:r w:rsidRPr="00A447A6">
        <w:rPr>
          <w:rFonts w:ascii="Times New Roman" w:hAnsi="Times New Roman"/>
          <w:sz w:val="22"/>
          <w:szCs w:val="22"/>
          <w:lang w:eastAsia="en-AU"/>
        </w:rPr>
        <w:t xml:space="preserve">available for Broken Hill would be available at all times through new </w:t>
      </w:r>
      <w:r w:rsidR="002979E9" w:rsidRPr="00A447A6">
        <w:rPr>
          <w:rFonts w:ascii="Times New Roman" w:hAnsi="Times New Roman"/>
          <w:sz w:val="22"/>
          <w:szCs w:val="22"/>
          <w:lang w:eastAsia="en-AU"/>
        </w:rPr>
        <w:t xml:space="preserve">groundwater-related </w:t>
      </w:r>
      <w:r w:rsidRPr="00A447A6">
        <w:rPr>
          <w:rFonts w:ascii="Times New Roman" w:hAnsi="Times New Roman"/>
          <w:sz w:val="22"/>
          <w:szCs w:val="22"/>
          <w:lang w:eastAsia="en-AU"/>
        </w:rPr>
        <w:t xml:space="preserve">arrangements. </w:t>
      </w:r>
      <w:r w:rsidR="00851ED2">
        <w:rPr>
          <w:rFonts w:ascii="Times New Roman" w:hAnsi="Times New Roman"/>
          <w:sz w:val="22"/>
          <w:szCs w:val="22"/>
          <w:lang w:eastAsia="en-AU"/>
        </w:rPr>
        <w:t>Ranking</w:t>
      </w:r>
      <w:r w:rsidRPr="00A447A6">
        <w:rPr>
          <w:rFonts w:ascii="Times New Roman" w:hAnsi="Times New Roman"/>
          <w:sz w:val="22"/>
          <w:szCs w:val="22"/>
          <w:lang w:eastAsia="en-AU"/>
        </w:rPr>
        <w:t xml:space="preserve"> of targets led inve</w:t>
      </w:r>
      <w:r w:rsidR="000C564B" w:rsidRPr="00A447A6">
        <w:rPr>
          <w:rFonts w:ascii="Times New Roman" w:hAnsi="Times New Roman"/>
          <w:sz w:val="22"/>
          <w:szCs w:val="22"/>
          <w:lang w:eastAsia="en-AU"/>
        </w:rPr>
        <w:t>s</w:t>
      </w:r>
      <w:r w:rsidRPr="00A447A6">
        <w:rPr>
          <w:rFonts w:ascii="Times New Roman" w:hAnsi="Times New Roman"/>
          <w:sz w:val="22"/>
          <w:szCs w:val="22"/>
          <w:lang w:eastAsia="en-AU"/>
        </w:rPr>
        <w:t xml:space="preserve">tigations to focus on a single priority target (GWR1), south of </w:t>
      </w:r>
      <w:r w:rsidR="007D1583">
        <w:rPr>
          <w:rFonts w:ascii="Times New Roman" w:hAnsi="Times New Roman"/>
          <w:sz w:val="22"/>
          <w:szCs w:val="22"/>
          <w:lang w:eastAsia="en-AU"/>
        </w:rPr>
        <w:t>Menindee township</w:t>
      </w:r>
      <w:r w:rsidRPr="00A447A6">
        <w:rPr>
          <w:rFonts w:ascii="Times New Roman" w:hAnsi="Times New Roman"/>
          <w:sz w:val="22"/>
          <w:szCs w:val="22"/>
          <w:lang w:eastAsia="en-AU"/>
        </w:rPr>
        <w:t xml:space="preserve"> (</w:t>
      </w:r>
      <w:r w:rsidR="000B4790" w:rsidRPr="00A447A6">
        <w:rPr>
          <w:rFonts w:ascii="Times New Roman" w:hAnsi="Times New Roman"/>
          <w:sz w:val="22"/>
          <w:szCs w:val="22"/>
          <w:lang w:eastAsia="en-AU"/>
        </w:rPr>
        <w:fldChar w:fldCharType="begin"/>
      </w:r>
      <w:r w:rsidR="000B4790" w:rsidRPr="00A447A6">
        <w:rPr>
          <w:rFonts w:ascii="Times New Roman" w:hAnsi="Times New Roman"/>
          <w:sz w:val="22"/>
          <w:szCs w:val="22"/>
          <w:lang w:eastAsia="en-AU"/>
        </w:rPr>
        <w:instrText xml:space="preserve"> REF _Ref325706870 \h  \* MERGEFORMAT </w:instrText>
      </w:r>
      <w:r w:rsidR="000B4790" w:rsidRPr="00A447A6">
        <w:rPr>
          <w:rFonts w:ascii="Times New Roman" w:hAnsi="Times New Roman"/>
          <w:sz w:val="22"/>
          <w:szCs w:val="22"/>
          <w:lang w:eastAsia="en-AU"/>
        </w:rPr>
      </w:r>
      <w:r w:rsidR="000B4790" w:rsidRPr="00A447A6">
        <w:rPr>
          <w:rFonts w:ascii="Times New Roman" w:hAnsi="Times New Roman"/>
          <w:sz w:val="22"/>
          <w:szCs w:val="22"/>
          <w:lang w:eastAsia="en-AU"/>
        </w:rPr>
        <w:fldChar w:fldCharType="separate"/>
      </w:r>
      <w:r w:rsidR="00966532" w:rsidRPr="00966532">
        <w:rPr>
          <w:rFonts w:ascii="Times New Roman" w:hAnsi="Times New Roman"/>
          <w:sz w:val="22"/>
          <w:szCs w:val="22"/>
        </w:rPr>
        <w:t xml:space="preserve">Figure </w:t>
      </w:r>
      <w:r w:rsidR="00966532" w:rsidRPr="00966532">
        <w:rPr>
          <w:rFonts w:ascii="Times New Roman" w:hAnsi="Times New Roman"/>
          <w:noProof/>
          <w:sz w:val="22"/>
          <w:szCs w:val="22"/>
        </w:rPr>
        <w:t>2</w:t>
      </w:r>
      <w:r w:rsidR="00966532" w:rsidRPr="00966532">
        <w:rPr>
          <w:rFonts w:ascii="Times New Roman" w:hAnsi="Times New Roman"/>
          <w:noProof/>
          <w:sz w:val="22"/>
          <w:szCs w:val="22"/>
        </w:rPr>
        <w:noBreakHyphen/>
        <w:t>2</w:t>
      </w:r>
      <w:r w:rsidR="000B4790" w:rsidRPr="00A447A6">
        <w:rPr>
          <w:rFonts w:ascii="Times New Roman" w:hAnsi="Times New Roman"/>
          <w:sz w:val="22"/>
          <w:szCs w:val="22"/>
          <w:lang w:eastAsia="en-AU"/>
        </w:rPr>
        <w:fldChar w:fldCharType="end"/>
      </w:r>
      <w:r w:rsidR="00A447A6" w:rsidRPr="00A447A6">
        <w:rPr>
          <w:rFonts w:ascii="Times New Roman" w:hAnsi="Times New Roman"/>
          <w:sz w:val="22"/>
          <w:szCs w:val="22"/>
          <w:lang w:eastAsia="en-AU"/>
        </w:rPr>
        <w:t>; Lawrie</w:t>
      </w:r>
      <w:r w:rsidR="008A5F7D" w:rsidRPr="008A5F7D">
        <w:rPr>
          <w:rFonts w:ascii="Times New Roman" w:hAnsi="Times New Roman"/>
          <w:i/>
          <w:sz w:val="22"/>
          <w:szCs w:val="22"/>
          <w:lang w:eastAsia="en-AU"/>
        </w:rPr>
        <w:t xml:space="preserve"> et al</w:t>
      </w:r>
      <w:r w:rsidR="00A447A6" w:rsidRPr="00A447A6">
        <w:rPr>
          <w:rFonts w:ascii="Times New Roman" w:hAnsi="Times New Roman"/>
          <w:sz w:val="22"/>
          <w:szCs w:val="22"/>
          <w:lang w:eastAsia="en-AU"/>
        </w:rPr>
        <w:t>., 2010b, 2011</w:t>
      </w:r>
      <w:r w:rsidRPr="00A447A6">
        <w:rPr>
          <w:rFonts w:ascii="Times New Roman" w:hAnsi="Times New Roman"/>
          <w:sz w:val="22"/>
          <w:szCs w:val="22"/>
          <w:lang w:eastAsia="en-AU"/>
        </w:rPr>
        <w:t xml:space="preserve">). The target was the semi-confined to confined Pliocene </w:t>
      </w:r>
      <w:r w:rsidR="00C217F0">
        <w:rPr>
          <w:rFonts w:ascii="Times New Roman" w:hAnsi="Times New Roman"/>
          <w:sz w:val="22"/>
          <w:szCs w:val="22"/>
          <w:lang w:eastAsia="en-AU"/>
        </w:rPr>
        <w:t>Calivil Formation</w:t>
      </w:r>
      <w:r w:rsidRPr="00A447A6">
        <w:rPr>
          <w:rFonts w:ascii="Times New Roman" w:hAnsi="Times New Roman"/>
          <w:sz w:val="22"/>
          <w:szCs w:val="22"/>
          <w:lang w:eastAsia="en-AU"/>
        </w:rPr>
        <w:t xml:space="preserve"> aquifer at depths of 30-80</w:t>
      </w:r>
      <w:r w:rsidR="00030542">
        <w:rPr>
          <w:rFonts w:ascii="Times New Roman" w:hAnsi="Times New Roman"/>
          <w:sz w:val="22"/>
          <w:szCs w:val="22"/>
          <w:lang w:eastAsia="en-AU"/>
        </w:rPr>
        <w:t xml:space="preserve"> </w:t>
      </w:r>
      <w:r w:rsidRPr="00A447A6">
        <w:rPr>
          <w:rFonts w:ascii="Times New Roman" w:hAnsi="Times New Roman"/>
          <w:sz w:val="22"/>
          <w:szCs w:val="22"/>
          <w:lang w:eastAsia="en-AU"/>
        </w:rPr>
        <w:t>m below surface.</w:t>
      </w:r>
      <w:r>
        <w:rPr>
          <w:rFonts w:ascii="Times New Roman" w:hAnsi="Times New Roman"/>
          <w:sz w:val="22"/>
          <w:szCs w:val="22"/>
          <w:lang w:eastAsia="en-AU"/>
        </w:rPr>
        <w:t xml:space="preserve"> </w:t>
      </w:r>
    </w:p>
    <w:p w:rsidR="003804B4" w:rsidRDefault="003804B4" w:rsidP="003804B4">
      <w:pPr>
        <w:pStyle w:val="Level11"/>
        <w:numPr>
          <w:ilvl w:val="0"/>
          <w:numId w:val="0"/>
        </w:numPr>
        <w:spacing w:before="0"/>
        <w:rPr>
          <w:rFonts w:ascii="Times New Roman" w:hAnsi="Times New Roman"/>
          <w:sz w:val="22"/>
          <w:szCs w:val="22"/>
          <w:lang w:eastAsia="en-AU"/>
        </w:rPr>
      </w:pPr>
    </w:p>
    <w:p w:rsidR="003804B4" w:rsidRPr="003F1A82" w:rsidRDefault="003804B4" w:rsidP="003F1A82">
      <w:pPr>
        <w:rPr>
          <w:color w:val="000000"/>
        </w:rPr>
      </w:pPr>
      <w:r w:rsidRPr="003F1A82">
        <w:rPr>
          <w:color w:val="000000"/>
        </w:rPr>
        <w:t>Investigations initially</w:t>
      </w:r>
      <w:r w:rsidR="002979E9" w:rsidRPr="003F1A82">
        <w:rPr>
          <w:color w:val="000000"/>
        </w:rPr>
        <w:t xml:space="preserve"> focussed o</w:t>
      </w:r>
      <w:r w:rsidRPr="003F1A82">
        <w:rPr>
          <w:color w:val="000000"/>
        </w:rPr>
        <w:t xml:space="preserve">n two small sub-areas (Jimargil and </w:t>
      </w:r>
      <w:r w:rsidR="00C217F0">
        <w:rPr>
          <w:color w:val="000000"/>
        </w:rPr>
        <w:t xml:space="preserve">Menindee </w:t>
      </w:r>
      <w:r w:rsidRPr="003F1A82">
        <w:rPr>
          <w:color w:val="000000"/>
        </w:rPr>
        <w:t>Common) within this target</w:t>
      </w:r>
      <w:r w:rsidR="00D51669" w:rsidRPr="003F1A82">
        <w:rPr>
          <w:color w:val="000000"/>
        </w:rPr>
        <w:t xml:space="preserve"> (Lawrie</w:t>
      </w:r>
      <w:r w:rsidR="008A5F7D" w:rsidRPr="008A5F7D">
        <w:rPr>
          <w:i/>
          <w:color w:val="000000"/>
        </w:rPr>
        <w:t xml:space="preserve"> et al</w:t>
      </w:r>
      <w:r w:rsidR="00D51669" w:rsidRPr="003F1A82">
        <w:rPr>
          <w:color w:val="000000"/>
        </w:rPr>
        <w:t>., 2010</w:t>
      </w:r>
      <w:r w:rsidR="003F1A82">
        <w:rPr>
          <w:color w:val="000000"/>
        </w:rPr>
        <w:t>a</w:t>
      </w:r>
      <w:r w:rsidR="00D51669" w:rsidRPr="003F1A82">
        <w:rPr>
          <w:color w:val="000000"/>
        </w:rPr>
        <w:t>)</w:t>
      </w:r>
      <w:r w:rsidRPr="003F1A82">
        <w:rPr>
          <w:color w:val="000000"/>
        </w:rPr>
        <w:t xml:space="preserve">. These sub-areas were chosen to address bank filtration, basin infiltration and </w:t>
      </w:r>
      <w:r w:rsidR="002979E9" w:rsidRPr="003F1A82">
        <w:rPr>
          <w:color w:val="000000"/>
        </w:rPr>
        <w:t>ASR</w:t>
      </w:r>
      <w:r w:rsidRPr="003F1A82">
        <w:rPr>
          <w:color w:val="000000"/>
        </w:rPr>
        <w:t xml:space="preserve"> options, and contain two end members of the hydrogeological system within the aquifer. Both sites were considered representative of potential future borefield sites. Subsequently, work focussed primarily on the Jimargil site, with the </w:t>
      </w:r>
      <w:r w:rsidR="00C217F0">
        <w:rPr>
          <w:color w:val="000000"/>
        </w:rPr>
        <w:t xml:space="preserve">Menindee </w:t>
      </w:r>
      <w:r w:rsidRPr="003F1A82">
        <w:rPr>
          <w:color w:val="000000"/>
        </w:rPr>
        <w:t>Common site found to be less suitable</w:t>
      </w:r>
      <w:r w:rsidR="00D51669" w:rsidRPr="003F1A82">
        <w:rPr>
          <w:color w:val="000000"/>
        </w:rPr>
        <w:t xml:space="preserve"> (Lawrie</w:t>
      </w:r>
      <w:r w:rsidR="008A5F7D" w:rsidRPr="008A5F7D">
        <w:rPr>
          <w:i/>
          <w:color w:val="000000"/>
        </w:rPr>
        <w:t xml:space="preserve"> et al</w:t>
      </w:r>
      <w:r w:rsidR="00D51669" w:rsidRPr="003F1A82">
        <w:rPr>
          <w:color w:val="000000"/>
        </w:rPr>
        <w:t>., 2011)</w:t>
      </w:r>
      <w:r w:rsidRPr="003F1A82">
        <w:rPr>
          <w:color w:val="000000"/>
        </w:rPr>
        <w:t>. The Jimargil site (and surrounding area), has the appropriate hydrostratigraphy, significant native fresh groundwater, and was accessible in the project timeframes. The interim findings of these investigations have previously been reported (Lawrie</w:t>
      </w:r>
      <w:r w:rsidR="008A5F7D" w:rsidRPr="008A5F7D">
        <w:rPr>
          <w:i/>
          <w:color w:val="000000"/>
        </w:rPr>
        <w:t xml:space="preserve"> et al</w:t>
      </w:r>
      <w:r w:rsidR="00471A4A" w:rsidRPr="003F1A82">
        <w:rPr>
          <w:color w:val="000000"/>
        </w:rPr>
        <w:t>.,</w:t>
      </w:r>
      <w:r w:rsidRPr="003F1A82">
        <w:rPr>
          <w:color w:val="000000"/>
        </w:rPr>
        <w:t xml:space="preserve"> 2010</w:t>
      </w:r>
      <w:r w:rsidR="00A447A6" w:rsidRPr="003F1A82">
        <w:rPr>
          <w:color w:val="000000"/>
        </w:rPr>
        <w:t>b</w:t>
      </w:r>
      <w:r w:rsidRPr="003F1A82">
        <w:rPr>
          <w:color w:val="000000"/>
        </w:rPr>
        <w:t>, 2011</w:t>
      </w:r>
      <w:r w:rsidR="000C564B" w:rsidRPr="003F1A82">
        <w:rPr>
          <w:color w:val="000000"/>
        </w:rPr>
        <w:t>).</w:t>
      </w:r>
    </w:p>
    <w:p w:rsidR="000C564B" w:rsidRDefault="000C564B" w:rsidP="000C564B"/>
    <w:p w:rsidR="000C564B" w:rsidRPr="00A447A6" w:rsidRDefault="00F83C73" w:rsidP="00F83C73">
      <w:pPr>
        <w:rPr>
          <w:color w:val="000000"/>
          <w:szCs w:val="22"/>
        </w:rPr>
      </w:pPr>
      <w:r w:rsidRPr="00A447A6">
        <w:rPr>
          <w:color w:val="000000"/>
        </w:rPr>
        <w:t>The Phase 3a study assessed a range of possible MAR options including injection, passive or enhanced recharge, and/or conju</w:t>
      </w:r>
      <w:r w:rsidR="002979E9" w:rsidRPr="00A447A6">
        <w:rPr>
          <w:color w:val="000000"/>
        </w:rPr>
        <w:t>n</w:t>
      </w:r>
      <w:r w:rsidRPr="00A447A6">
        <w:rPr>
          <w:color w:val="000000"/>
        </w:rPr>
        <w:t>ctive use involving a combination of surface, groundwater extraction and/or MAR options</w:t>
      </w:r>
      <w:r w:rsidR="00966590" w:rsidRPr="00A447A6">
        <w:rPr>
          <w:color w:val="000000"/>
        </w:rPr>
        <w:t xml:space="preserve"> (</w:t>
      </w:r>
      <w:r w:rsidR="00966590" w:rsidRPr="00A447A6">
        <w:rPr>
          <w:szCs w:val="22"/>
        </w:rPr>
        <w:t>Lawrie</w:t>
      </w:r>
      <w:r w:rsidR="008A5F7D" w:rsidRPr="00CF7613">
        <w:rPr>
          <w:rStyle w:val="StyleItalic"/>
        </w:rPr>
        <w:t xml:space="preserve"> et al</w:t>
      </w:r>
      <w:r w:rsidR="00966590" w:rsidRPr="00A447A6">
        <w:rPr>
          <w:szCs w:val="22"/>
        </w:rPr>
        <w:t>., 2012c, d</w:t>
      </w:r>
      <w:r w:rsidR="00966590" w:rsidRPr="00A447A6">
        <w:rPr>
          <w:color w:val="000000"/>
        </w:rPr>
        <w:t>)</w:t>
      </w:r>
      <w:r w:rsidRPr="00A447A6">
        <w:rPr>
          <w:color w:val="000000"/>
        </w:rPr>
        <w:t xml:space="preserve">. </w:t>
      </w:r>
      <w:r w:rsidR="000C564B" w:rsidRPr="00A447A6">
        <w:t xml:space="preserve">Pre-commissioning maximal and residual risk assessments have also been undertaken in accordance with national </w:t>
      </w:r>
      <w:smartTag w:uri="urn:schemas-microsoft-com:office:smarttags" w:element="stockticker">
        <w:r w:rsidR="000C564B" w:rsidRPr="00A447A6">
          <w:t>MAR</w:t>
        </w:r>
      </w:smartTag>
      <w:r w:rsidR="000C564B" w:rsidRPr="00A447A6">
        <w:t xml:space="preserve"> gui</w:t>
      </w:r>
      <w:r w:rsidR="0089737C">
        <w:t>delines (NRMMC–EPHC–NHMRC, 2009</w:t>
      </w:r>
      <w:r w:rsidR="000C564B" w:rsidRPr="00A447A6">
        <w:t xml:space="preserve">). This includes accounting for human health risks in water supply, and environmental risks in relation to surface water-groundwater interaction and sustaining groundwater-dependent vegetation. </w:t>
      </w:r>
    </w:p>
    <w:p w:rsidR="003804B4" w:rsidRPr="00A447A6" w:rsidRDefault="003804B4" w:rsidP="003804B4">
      <w:pPr>
        <w:pStyle w:val="Level11"/>
        <w:numPr>
          <w:ilvl w:val="0"/>
          <w:numId w:val="0"/>
        </w:numPr>
        <w:spacing w:before="0"/>
        <w:rPr>
          <w:rFonts w:ascii="Times New Roman" w:hAnsi="Times New Roman"/>
          <w:sz w:val="22"/>
          <w:szCs w:val="22"/>
          <w:lang w:eastAsia="en-AU"/>
        </w:rPr>
      </w:pPr>
    </w:p>
    <w:p w:rsidR="003804B4" w:rsidRDefault="003804B4" w:rsidP="003804B4">
      <w:pPr>
        <w:pStyle w:val="Level11"/>
        <w:numPr>
          <w:ilvl w:val="0"/>
          <w:numId w:val="0"/>
        </w:numPr>
        <w:spacing w:before="0"/>
        <w:rPr>
          <w:rFonts w:ascii="Times New Roman" w:hAnsi="Times New Roman"/>
          <w:sz w:val="22"/>
          <w:szCs w:val="22"/>
          <w:lang w:eastAsia="en-AU"/>
        </w:rPr>
      </w:pPr>
      <w:r w:rsidRPr="00A447A6">
        <w:rPr>
          <w:rFonts w:ascii="Times New Roman" w:hAnsi="Times New Roman"/>
          <w:sz w:val="22"/>
          <w:szCs w:val="22"/>
          <w:lang w:eastAsia="en-AU"/>
        </w:rPr>
        <w:t>In the second half of 2011, the emphasis on investigations shifted somewhat, with a request from SEWPaC to explore a greater range of water supply options including assessment of a greater range of MAR options (including a re-examination of infiltration options), as well as groundwater extraction-only options</w:t>
      </w:r>
      <w:r w:rsidR="00966590" w:rsidRPr="00A447A6">
        <w:rPr>
          <w:rFonts w:ascii="Times New Roman" w:hAnsi="Times New Roman"/>
          <w:sz w:val="22"/>
          <w:szCs w:val="22"/>
          <w:lang w:eastAsia="en-AU"/>
        </w:rPr>
        <w:t xml:space="preserve"> (Lawrie</w:t>
      </w:r>
      <w:r w:rsidR="008A5F7D" w:rsidRPr="008A5F7D">
        <w:rPr>
          <w:rFonts w:ascii="Times New Roman" w:hAnsi="Times New Roman"/>
          <w:i/>
          <w:sz w:val="22"/>
          <w:szCs w:val="22"/>
          <w:lang w:eastAsia="en-AU"/>
        </w:rPr>
        <w:t xml:space="preserve"> et al</w:t>
      </w:r>
      <w:r w:rsidR="00966590" w:rsidRPr="00A447A6">
        <w:rPr>
          <w:rFonts w:ascii="Times New Roman" w:hAnsi="Times New Roman"/>
          <w:sz w:val="22"/>
          <w:szCs w:val="22"/>
          <w:lang w:eastAsia="en-AU"/>
        </w:rPr>
        <w:t>., 2012c)</w:t>
      </w:r>
      <w:r w:rsidRPr="00A447A6">
        <w:rPr>
          <w:rFonts w:ascii="Times New Roman" w:hAnsi="Times New Roman"/>
          <w:sz w:val="22"/>
          <w:szCs w:val="22"/>
          <w:lang w:eastAsia="en-AU"/>
        </w:rPr>
        <w:t xml:space="preserve">. In 2012, a further request was made to include assessment of drought security options over shorter time periods (3 months </w:t>
      </w:r>
      <w:r w:rsidR="002979E9" w:rsidRPr="00A447A6">
        <w:rPr>
          <w:rFonts w:ascii="Times New Roman" w:hAnsi="Times New Roman"/>
          <w:sz w:val="22"/>
          <w:szCs w:val="22"/>
          <w:lang w:eastAsia="en-AU"/>
        </w:rPr>
        <w:t xml:space="preserve">and </w:t>
      </w:r>
      <w:r w:rsidRPr="00A447A6">
        <w:rPr>
          <w:rFonts w:ascii="Times New Roman" w:hAnsi="Times New Roman"/>
          <w:sz w:val="22"/>
          <w:szCs w:val="22"/>
          <w:lang w:eastAsia="en-AU"/>
        </w:rPr>
        <w:t>up to 3 years). Estimates of groundwater resources across the whole project area were also requested</w:t>
      </w:r>
      <w:r w:rsidR="00966590" w:rsidRPr="00A447A6">
        <w:rPr>
          <w:rFonts w:ascii="Times New Roman" w:hAnsi="Times New Roman"/>
          <w:sz w:val="22"/>
          <w:szCs w:val="22"/>
          <w:lang w:eastAsia="en-AU"/>
        </w:rPr>
        <w:t xml:space="preserve"> (Lawrie</w:t>
      </w:r>
      <w:r w:rsidR="008A5F7D" w:rsidRPr="008A5F7D">
        <w:rPr>
          <w:rFonts w:ascii="Times New Roman" w:hAnsi="Times New Roman"/>
          <w:i/>
          <w:sz w:val="22"/>
          <w:szCs w:val="22"/>
          <w:lang w:eastAsia="en-AU"/>
        </w:rPr>
        <w:t xml:space="preserve"> et al</w:t>
      </w:r>
      <w:r w:rsidR="00966590" w:rsidRPr="00A447A6">
        <w:rPr>
          <w:rFonts w:ascii="Times New Roman" w:hAnsi="Times New Roman"/>
          <w:sz w:val="22"/>
          <w:szCs w:val="22"/>
          <w:lang w:eastAsia="en-AU"/>
        </w:rPr>
        <w:t>., 2012d)</w:t>
      </w:r>
      <w:r w:rsidRPr="00A447A6">
        <w:rPr>
          <w:rFonts w:ascii="Times New Roman" w:hAnsi="Times New Roman"/>
          <w:sz w:val="22"/>
          <w:szCs w:val="22"/>
          <w:lang w:eastAsia="en-AU"/>
        </w:rPr>
        <w:t>.</w:t>
      </w:r>
      <w:r>
        <w:rPr>
          <w:rFonts w:ascii="Times New Roman" w:hAnsi="Times New Roman"/>
          <w:sz w:val="22"/>
          <w:szCs w:val="22"/>
          <w:lang w:eastAsia="en-AU"/>
        </w:rPr>
        <w:t xml:space="preserve"> </w:t>
      </w:r>
    </w:p>
    <w:p w:rsidR="006264CC" w:rsidRPr="00CF7613" w:rsidRDefault="006264CC" w:rsidP="006264CC">
      <w:pPr>
        <w:rPr>
          <w:rStyle w:val="StyleItalic"/>
        </w:rPr>
      </w:pPr>
    </w:p>
    <w:p w:rsidR="000C564B" w:rsidRPr="00E11F4C" w:rsidRDefault="000C564B" w:rsidP="000C564B">
      <w:pPr>
        <w:pStyle w:val="Level11"/>
        <w:numPr>
          <w:ilvl w:val="0"/>
          <w:numId w:val="0"/>
        </w:numPr>
        <w:spacing w:before="0"/>
        <w:rPr>
          <w:rFonts w:ascii="Times New Roman" w:hAnsi="Times New Roman"/>
          <w:sz w:val="22"/>
          <w:szCs w:val="22"/>
          <w:lang w:eastAsia="en-AU"/>
        </w:rPr>
      </w:pPr>
      <w:r w:rsidRPr="00E11F4C">
        <w:rPr>
          <w:rFonts w:ascii="Times New Roman" w:hAnsi="Times New Roman"/>
          <w:sz w:val="22"/>
          <w:szCs w:val="22"/>
          <w:lang w:eastAsia="en-AU"/>
        </w:rPr>
        <w:t xml:space="preserve">Any water savings generated by a </w:t>
      </w:r>
      <w:r w:rsidR="007D1583">
        <w:rPr>
          <w:rFonts w:ascii="Times New Roman" w:hAnsi="Times New Roman"/>
          <w:sz w:val="22"/>
          <w:szCs w:val="22"/>
          <w:lang w:eastAsia="en-AU"/>
        </w:rPr>
        <w:t>Menindee Lakes</w:t>
      </w:r>
      <w:r w:rsidRPr="00E11F4C">
        <w:rPr>
          <w:rFonts w:ascii="Times New Roman" w:hAnsi="Times New Roman"/>
          <w:sz w:val="22"/>
          <w:szCs w:val="22"/>
          <w:lang w:eastAsia="en-AU"/>
        </w:rPr>
        <w:t xml:space="preserve"> Project have the potential to make a substantial contribution towards the environmental water needs of the Basin and act as an offset such that less water is </w:t>
      </w:r>
      <w:r w:rsidRPr="00E11F4C">
        <w:rPr>
          <w:rFonts w:ascii="Times New Roman" w:hAnsi="Times New Roman"/>
          <w:sz w:val="22"/>
          <w:szCs w:val="22"/>
          <w:lang w:eastAsia="en-AU"/>
        </w:rPr>
        <w:lastRenderedPageBreak/>
        <w:t xml:space="preserve">required for the shared reduction amount for the southern Basin zone or the </w:t>
      </w:r>
      <w:smartTag w:uri="urn:schemas-microsoft-com:office:smarttags" w:element="place">
        <w:smartTag w:uri="urn:schemas-microsoft-com:office:smarttags" w:element="City">
          <w:r w:rsidRPr="00E11F4C">
            <w:rPr>
              <w:rFonts w:ascii="Times New Roman" w:hAnsi="Times New Roman"/>
              <w:sz w:val="22"/>
              <w:szCs w:val="22"/>
              <w:lang w:eastAsia="en-AU"/>
            </w:rPr>
            <w:t>Murray</w:t>
          </w:r>
        </w:smartTag>
      </w:smartTag>
      <w:r w:rsidRPr="00E11F4C">
        <w:rPr>
          <w:rFonts w:ascii="Times New Roman" w:hAnsi="Times New Roman"/>
          <w:sz w:val="22"/>
          <w:szCs w:val="22"/>
          <w:lang w:eastAsia="en-AU"/>
        </w:rPr>
        <w:t xml:space="preserve"> </w:t>
      </w:r>
      <w:r w:rsidR="00CE0CC3">
        <w:rPr>
          <w:rFonts w:ascii="Times New Roman" w:hAnsi="Times New Roman"/>
          <w:sz w:val="22"/>
          <w:szCs w:val="22"/>
          <w:lang w:eastAsia="en-AU"/>
        </w:rPr>
        <w:t>and</w:t>
      </w:r>
      <w:r w:rsidRPr="00E11F4C">
        <w:rPr>
          <w:rFonts w:ascii="Times New Roman" w:hAnsi="Times New Roman"/>
          <w:sz w:val="22"/>
          <w:szCs w:val="22"/>
          <w:lang w:eastAsia="en-AU"/>
        </w:rPr>
        <w:t xml:space="preserve"> Lower Darling, identified under the Basin Plan</w:t>
      </w:r>
      <w:r w:rsidR="002979E9">
        <w:rPr>
          <w:rFonts w:ascii="Times New Roman" w:hAnsi="Times New Roman"/>
          <w:sz w:val="22"/>
          <w:szCs w:val="22"/>
          <w:lang w:eastAsia="en-AU"/>
        </w:rPr>
        <w:t xml:space="preserve"> (</w:t>
      </w:r>
      <w:r w:rsidR="008F097B">
        <w:rPr>
          <w:rFonts w:ascii="Times New Roman" w:hAnsi="Times New Roman"/>
          <w:sz w:val="22"/>
          <w:szCs w:val="22"/>
          <w:lang w:eastAsia="en-AU"/>
        </w:rPr>
        <w:t xml:space="preserve">MDBA, </w:t>
      </w:r>
      <w:r w:rsidR="00364F6D">
        <w:rPr>
          <w:rFonts w:ascii="Times New Roman" w:hAnsi="Times New Roman"/>
          <w:sz w:val="22"/>
          <w:szCs w:val="22"/>
          <w:lang w:eastAsia="en-AU"/>
        </w:rPr>
        <w:t>2012</w:t>
      </w:r>
      <w:r w:rsidR="007B3AB4">
        <w:rPr>
          <w:rFonts w:ascii="Times New Roman" w:hAnsi="Times New Roman"/>
          <w:sz w:val="22"/>
          <w:szCs w:val="22"/>
          <w:lang w:eastAsia="en-AU"/>
        </w:rPr>
        <w:t>c</w:t>
      </w:r>
      <w:r w:rsidR="002979E9">
        <w:rPr>
          <w:rFonts w:ascii="Times New Roman" w:hAnsi="Times New Roman"/>
          <w:sz w:val="22"/>
          <w:szCs w:val="22"/>
          <w:lang w:eastAsia="en-AU"/>
        </w:rPr>
        <w:t>)</w:t>
      </w:r>
      <w:r w:rsidRPr="00E11F4C">
        <w:rPr>
          <w:rFonts w:ascii="Times New Roman" w:hAnsi="Times New Roman"/>
          <w:sz w:val="22"/>
          <w:szCs w:val="22"/>
          <w:lang w:eastAsia="en-AU"/>
        </w:rPr>
        <w:t>.</w:t>
      </w:r>
    </w:p>
    <w:p w:rsidR="000B3427" w:rsidRPr="008B7CA7" w:rsidRDefault="00C6655F" w:rsidP="00B712A4">
      <w:pPr>
        <w:pStyle w:val="Heading2"/>
        <w:tabs>
          <w:tab w:val="left" w:pos="720"/>
        </w:tabs>
        <w:spacing w:before="320"/>
      </w:pPr>
      <w:bookmarkStart w:id="93" w:name="_Toc325700070"/>
      <w:bookmarkStart w:id="94" w:name="_Toc325700413"/>
      <w:bookmarkStart w:id="95" w:name="_Toc325975094"/>
      <w:bookmarkStart w:id="96" w:name="_Toc390690083"/>
      <w:r>
        <w:t>Purpose and S</w:t>
      </w:r>
      <w:r w:rsidR="008B7CA7" w:rsidRPr="008B7CA7">
        <w:t>cope</w:t>
      </w:r>
      <w:r>
        <w:t xml:space="preserve"> of t</w:t>
      </w:r>
      <w:r w:rsidR="008B7CA7" w:rsidRPr="008B7CA7">
        <w:t xml:space="preserve">his </w:t>
      </w:r>
      <w:r>
        <w:t>R</w:t>
      </w:r>
      <w:r w:rsidR="008B7CA7" w:rsidRPr="008B7CA7">
        <w:t>eport</w:t>
      </w:r>
      <w:bookmarkEnd w:id="93"/>
      <w:bookmarkEnd w:id="94"/>
      <w:bookmarkEnd w:id="95"/>
      <w:bookmarkEnd w:id="96"/>
    </w:p>
    <w:p w:rsidR="008B7CA7" w:rsidRDefault="000C564B" w:rsidP="006264CC">
      <w:pPr>
        <w:pStyle w:val="Level11"/>
        <w:numPr>
          <w:ilvl w:val="0"/>
          <w:numId w:val="0"/>
        </w:numPr>
        <w:spacing w:before="0"/>
        <w:rPr>
          <w:rFonts w:ascii="Times New Roman" w:hAnsi="Times New Roman"/>
          <w:sz w:val="22"/>
          <w:szCs w:val="22"/>
          <w:lang w:eastAsia="en-AU"/>
        </w:rPr>
      </w:pPr>
      <w:r w:rsidRPr="00E11F4C">
        <w:rPr>
          <w:rFonts w:ascii="Times New Roman" w:hAnsi="Times New Roman"/>
          <w:sz w:val="22"/>
          <w:szCs w:val="22"/>
          <w:lang w:eastAsia="en-AU"/>
        </w:rPr>
        <w:t xml:space="preserve">This summary report </w:t>
      </w:r>
      <w:r>
        <w:rPr>
          <w:rFonts w:ascii="Times New Roman" w:hAnsi="Times New Roman"/>
          <w:sz w:val="22"/>
          <w:szCs w:val="22"/>
          <w:lang w:eastAsia="en-AU"/>
        </w:rPr>
        <w:t>d</w:t>
      </w:r>
      <w:r w:rsidRPr="00E11F4C">
        <w:rPr>
          <w:rFonts w:ascii="Times New Roman" w:hAnsi="Times New Roman"/>
          <w:sz w:val="22"/>
          <w:szCs w:val="22"/>
          <w:lang w:eastAsia="en-AU"/>
        </w:rPr>
        <w:t>ocuments the scientific findings of the BHMAR study (</w:t>
      </w:r>
      <w:r w:rsidR="007F0CB1">
        <w:rPr>
          <w:rFonts w:ascii="Times New Roman" w:hAnsi="Times New Roman"/>
          <w:sz w:val="22"/>
          <w:szCs w:val="22"/>
          <w:lang w:eastAsia="en-AU"/>
        </w:rPr>
        <w:t>P</w:t>
      </w:r>
      <w:r w:rsidRPr="00E11F4C">
        <w:rPr>
          <w:rFonts w:ascii="Times New Roman" w:hAnsi="Times New Roman"/>
          <w:sz w:val="22"/>
          <w:szCs w:val="22"/>
          <w:lang w:eastAsia="en-AU"/>
        </w:rPr>
        <w:t xml:space="preserve">hases 1-3). This includes a summary of the 3D geological framework, the hydrogeological conceptual model, MAR assessments for the highest priority water supply options, and a summary of the groundwater resource extraction options. </w:t>
      </w:r>
    </w:p>
    <w:p w:rsidR="008B7CA7" w:rsidRDefault="008B7CA7" w:rsidP="006264CC">
      <w:pPr>
        <w:pStyle w:val="Level11"/>
        <w:numPr>
          <w:ilvl w:val="0"/>
          <w:numId w:val="0"/>
        </w:numPr>
        <w:spacing w:before="0"/>
        <w:rPr>
          <w:rFonts w:ascii="Times New Roman" w:hAnsi="Times New Roman"/>
          <w:sz w:val="22"/>
          <w:szCs w:val="22"/>
          <w:lang w:eastAsia="en-AU"/>
        </w:rPr>
      </w:pPr>
    </w:p>
    <w:p w:rsidR="002979E9" w:rsidRDefault="007B0FA8" w:rsidP="006264CC">
      <w:pPr>
        <w:pStyle w:val="Level11"/>
        <w:numPr>
          <w:ilvl w:val="0"/>
          <w:numId w:val="0"/>
        </w:numPr>
        <w:spacing w:before="0"/>
        <w:rPr>
          <w:rFonts w:ascii="Times New Roman" w:hAnsi="Times New Roman"/>
          <w:sz w:val="22"/>
          <w:szCs w:val="22"/>
        </w:rPr>
      </w:pPr>
      <w:r w:rsidRPr="00F81CBA">
        <w:rPr>
          <w:rFonts w:ascii="Times New Roman" w:hAnsi="Times New Roman"/>
          <w:sz w:val="22"/>
          <w:szCs w:val="22"/>
        </w:rPr>
        <w:t>The</w:t>
      </w:r>
      <w:r w:rsidR="006264CC" w:rsidRPr="00F81CBA">
        <w:rPr>
          <w:rFonts w:ascii="Times New Roman" w:hAnsi="Times New Roman"/>
          <w:sz w:val="22"/>
          <w:szCs w:val="22"/>
        </w:rPr>
        <w:t xml:space="preserve"> report </w:t>
      </w:r>
      <w:r w:rsidR="008B7CA7" w:rsidRPr="00F81CBA">
        <w:rPr>
          <w:rFonts w:ascii="Times New Roman" w:hAnsi="Times New Roman"/>
          <w:sz w:val="22"/>
          <w:szCs w:val="22"/>
        </w:rPr>
        <w:t>draws on the detailed findings previously presented in a number of interim reports (Lawrie</w:t>
      </w:r>
      <w:r w:rsidR="008A5F7D" w:rsidRPr="008A5F7D">
        <w:rPr>
          <w:rFonts w:ascii="Times New Roman" w:hAnsi="Times New Roman"/>
          <w:i/>
          <w:sz w:val="22"/>
          <w:szCs w:val="22"/>
        </w:rPr>
        <w:t xml:space="preserve"> et al</w:t>
      </w:r>
      <w:r w:rsidR="008B7CA7" w:rsidRPr="00F81CBA">
        <w:rPr>
          <w:rFonts w:ascii="Times New Roman" w:hAnsi="Times New Roman"/>
          <w:i/>
          <w:sz w:val="22"/>
          <w:szCs w:val="22"/>
        </w:rPr>
        <w:t>.,</w:t>
      </w:r>
      <w:r w:rsidR="008B7CA7" w:rsidRPr="00F81CBA">
        <w:rPr>
          <w:rFonts w:ascii="Times New Roman" w:hAnsi="Times New Roman"/>
          <w:sz w:val="22"/>
          <w:szCs w:val="22"/>
        </w:rPr>
        <w:t xml:space="preserve"> 2008</w:t>
      </w:r>
      <w:r w:rsidR="003E619B">
        <w:rPr>
          <w:rFonts w:ascii="Times New Roman" w:hAnsi="Times New Roman"/>
          <w:sz w:val="22"/>
          <w:szCs w:val="22"/>
        </w:rPr>
        <w:t>a</w:t>
      </w:r>
      <w:r w:rsidR="008B7CA7" w:rsidRPr="00F81CBA">
        <w:rPr>
          <w:rFonts w:ascii="Times New Roman" w:hAnsi="Times New Roman"/>
          <w:sz w:val="22"/>
          <w:szCs w:val="22"/>
        </w:rPr>
        <w:t>, 2009</w:t>
      </w:r>
      <w:r w:rsidR="00F9160A" w:rsidRPr="00F81CBA">
        <w:rPr>
          <w:rFonts w:ascii="Times New Roman" w:hAnsi="Times New Roman"/>
          <w:sz w:val="22"/>
          <w:szCs w:val="22"/>
        </w:rPr>
        <w:t>a</w:t>
      </w:r>
      <w:r w:rsidR="008B7CA7" w:rsidRPr="00F81CBA">
        <w:rPr>
          <w:rFonts w:ascii="Times New Roman" w:hAnsi="Times New Roman"/>
          <w:sz w:val="22"/>
          <w:szCs w:val="22"/>
        </w:rPr>
        <w:t>, 2010</w:t>
      </w:r>
      <w:r w:rsidR="00F9160A" w:rsidRPr="00F81CBA">
        <w:rPr>
          <w:rFonts w:ascii="Times New Roman" w:hAnsi="Times New Roman"/>
          <w:sz w:val="22"/>
          <w:szCs w:val="22"/>
        </w:rPr>
        <w:t>a</w:t>
      </w:r>
      <w:r w:rsidR="008B7CA7" w:rsidRPr="00F81CBA">
        <w:rPr>
          <w:rFonts w:ascii="Times New Roman" w:hAnsi="Times New Roman"/>
          <w:sz w:val="22"/>
          <w:szCs w:val="22"/>
        </w:rPr>
        <w:t xml:space="preserve">, </w:t>
      </w:r>
      <w:r w:rsidR="00A447A6" w:rsidRPr="00F81CBA">
        <w:rPr>
          <w:rFonts w:ascii="Times New Roman" w:hAnsi="Times New Roman"/>
          <w:sz w:val="22"/>
          <w:szCs w:val="22"/>
        </w:rPr>
        <w:t xml:space="preserve">b, </w:t>
      </w:r>
      <w:r w:rsidR="008B7CA7" w:rsidRPr="00F81CBA">
        <w:rPr>
          <w:rFonts w:ascii="Times New Roman" w:hAnsi="Times New Roman"/>
          <w:sz w:val="22"/>
          <w:szCs w:val="22"/>
        </w:rPr>
        <w:t>2011), with the final project results presented in four accompanying</w:t>
      </w:r>
      <w:r w:rsidR="006264CC" w:rsidRPr="00F81CBA">
        <w:rPr>
          <w:rFonts w:ascii="Times New Roman" w:hAnsi="Times New Roman"/>
          <w:sz w:val="22"/>
          <w:szCs w:val="22"/>
        </w:rPr>
        <w:t xml:space="preserve"> scientific and technical reports (Lawrie</w:t>
      </w:r>
      <w:r w:rsidR="008A5F7D" w:rsidRPr="008A5F7D">
        <w:rPr>
          <w:rFonts w:ascii="Times New Roman" w:hAnsi="Times New Roman"/>
          <w:i/>
          <w:sz w:val="22"/>
          <w:szCs w:val="22"/>
        </w:rPr>
        <w:t xml:space="preserve"> et al</w:t>
      </w:r>
      <w:r w:rsidR="006264CC" w:rsidRPr="00F81CBA">
        <w:rPr>
          <w:rFonts w:ascii="Times New Roman" w:hAnsi="Times New Roman"/>
          <w:i/>
          <w:sz w:val="22"/>
          <w:szCs w:val="22"/>
        </w:rPr>
        <w:t>.,</w:t>
      </w:r>
      <w:r w:rsidR="006264CC" w:rsidRPr="00F81CBA">
        <w:rPr>
          <w:rFonts w:ascii="Times New Roman" w:hAnsi="Times New Roman"/>
          <w:sz w:val="22"/>
          <w:szCs w:val="22"/>
        </w:rPr>
        <w:t xml:space="preserve"> 2012a, b, c, d).</w:t>
      </w:r>
      <w:r w:rsidR="006264CC" w:rsidRPr="00B75788">
        <w:rPr>
          <w:rFonts w:ascii="Times New Roman" w:hAnsi="Times New Roman"/>
          <w:sz w:val="22"/>
          <w:szCs w:val="22"/>
        </w:rPr>
        <w:t xml:space="preserve"> </w:t>
      </w:r>
      <w:r w:rsidR="00F81CBA">
        <w:rPr>
          <w:rFonts w:ascii="Times New Roman" w:hAnsi="Times New Roman"/>
          <w:sz w:val="22"/>
          <w:szCs w:val="22"/>
        </w:rPr>
        <w:t>These final reports are:</w:t>
      </w:r>
    </w:p>
    <w:p w:rsidR="005145A1" w:rsidRDefault="005145A1" w:rsidP="005145A1">
      <w:pPr>
        <w:pStyle w:val="Level11"/>
        <w:numPr>
          <w:ilvl w:val="0"/>
          <w:numId w:val="0"/>
        </w:numPr>
        <w:spacing w:before="0"/>
        <w:rPr>
          <w:rFonts w:ascii="Times New Roman" w:hAnsi="Times New Roman"/>
          <w:sz w:val="22"/>
          <w:szCs w:val="22"/>
        </w:rPr>
      </w:pPr>
    </w:p>
    <w:p w:rsidR="005145A1" w:rsidRPr="00F81CBA" w:rsidRDefault="005145A1" w:rsidP="007B61E9">
      <w:pPr>
        <w:pStyle w:val="Level11"/>
        <w:numPr>
          <w:ilvl w:val="0"/>
          <w:numId w:val="37"/>
        </w:numPr>
        <w:tabs>
          <w:tab w:val="num" w:pos="720"/>
        </w:tabs>
        <w:spacing w:before="60"/>
        <w:ind w:left="714" w:hanging="357"/>
        <w:rPr>
          <w:rFonts w:ascii="Times New Roman" w:hAnsi="Times New Roman"/>
          <w:sz w:val="22"/>
          <w:szCs w:val="22"/>
        </w:rPr>
      </w:pPr>
      <w:r w:rsidRPr="00F81CBA">
        <w:rPr>
          <w:rFonts w:ascii="Times New Roman" w:hAnsi="Times New Roman"/>
          <w:sz w:val="22"/>
          <w:szCs w:val="22"/>
        </w:rPr>
        <w:t xml:space="preserve">Final </w:t>
      </w:r>
      <w:r w:rsidR="002979E9" w:rsidRPr="00F81CBA">
        <w:rPr>
          <w:rFonts w:ascii="Times New Roman" w:hAnsi="Times New Roman"/>
          <w:sz w:val="22"/>
          <w:szCs w:val="22"/>
        </w:rPr>
        <w:t>Report 1</w:t>
      </w:r>
      <w:r w:rsidRPr="00F81CBA">
        <w:rPr>
          <w:rFonts w:ascii="Times New Roman" w:hAnsi="Times New Roman"/>
          <w:sz w:val="22"/>
          <w:szCs w:val="22"/>
        </w:rPr>
        <w:t>: Lawrie</w:t>
      </w:r>
      <w:r w:rsidR="008A5F7D" w:rsidRPr="008A5F7D">
        <w:rPr>
          <w:rFonts w:ascii="Times New Roman" w:hAnsi="Times New Roman"/>
          <w:i/>
          <w:sz w:val="22"/>
          <w:szCs w:val="22"/>
        </w:rPr>
        <w:t xml:space="preserve"> et al</w:t>
      </w:r>
      <w:r w:rsidRPr="00F81CBA">
        <w:rPr>
          <w:rFonts w:ascii="Times New Roman" w:hAnsi="Times New Roman"/>
          <w:sz w:val="22"/>
          <w:szCs w:val="22"/>
        </w:rPr>
        <w:t>. (2012a)</w:t>
      </w:r>
      <w:r w:rsidRPr="00F81CBA">
        <w:rPr>
          <w:rStyle w:val="StyleArial14ptAqua"/>
          <w:rFonts w:ascii="Times New Roman" w:eastAsia="Times" w:hAnsi="Times New Roman"/>
          <w:caps w:val="0"/>
          <w:color w:val="000000"/>
          <w:sz w:val="22"/>
          <w:szCs w:val="22"/>
        </w:rPr>
        <w:t xml:space="preserve">. BHMAR Project: Data </w:t>
      </w:r>
      <w:r w:rsidR="007F0CB1">
        <w:rPr>
          <w:rStyle w:val="StyleArial14ptAqua"/>
          <w:rFonts w:ascii="Times New Roman" w:eastAsia="Times" w:hAnsi="Times New Roman"/>
          <w:caps w:val="0"/>
          <w:color w:val="000000"/>
          <w:sz w:val="22"/>
          <w:szCs w:val="22"/>
        </w:rPr>
        <w:t>a</w:t>
      </w:r>
      <w:r w:rsidRPr="00F81CBA">
        <w:rPr>
          <w:rStyle w:val="StyleArial14ptAqua"/>
          <w:rFonts w:ascii="Times New Roman" w:eastAsia="Times" w:hAnsi="Times New Roman"/>
          <w:caps w:val="0"/>
          <w:color w:val="000000"/>
          <w:sz w:val="22"/>
          <w:szCs w:val="22"/>
        </w:rPr>
        <w:t>cquisition, processing, analysis and interpretation methods.</w:t>
      </w:r>
      <w:r w:rsidRPr="00F81CBA">
        <w:rPr>
          <w:rStyle w:val="StyleArial14ptAqua"/>
          <w:rFonts w:ascii="Times New Roman" w:eastAsia="Times" w:hAnsi="Times New Roman"/>
          <w:color w:val="000000"/>
          <w:sz w:val="22"/>
          <w:szCs w:val="22"/>
        </w:rPr>
        <w:t xml:space="preserve"> </w:t>
      </w:r>
      <w:r w:rsidRPr="00F81CBA">
        <w:rPr>
          <w:rStyle w:val="StyleArial14ptAqua"/>
          <w:rFonts w:ascii="Times New Roman" w:eastAsia="Times" w:hAnsi="Times New Roman"/>
          <w:caps w:val="0"/>
          <w:color w:val="000000"/>
          <w:sz w:val="22"/>
          <w:szCs w:val="22"/>
        </w:rPr>
        <w:t xml:space="preserve">This report </w:t>
      </w:r>
      <w:r w:rsidR="008B7CA7" w:rsidRPr="00F81CBA">
        <w:rPr>
          <w:rFonts w:ascii="Times New Roman" w:hAnsi="Times New Roman"/>
          <w:sz w:val="22"/>
          <w:szCs w:val="22"/>
        </w:rPr>
        <w:t xml:space="preserve">details the substantive new data </w:t>
      </w:r>
      <w:r w:rsidRPr="00F81CBA">
        <w:rPr>
          <w:rFonts w:ascii="Times New Roman" w:hAnsi="Times New Roman"/>
          <w:sz w:val="22"/>
          <w:szCs w:val="22"/>
        </w:rPr>
        <w:t xml:space="preserve">investigative </w:t>
      </w:r>
      <w:r w:rsidR="008B7CA7" w:rsidRPr="00F81CBA">
        <w:rPr>
          <w:rFonts w:ascii="Times New Roman" w:hAnsi="Times New Roman"/>
          <w:sz w:val="22"/>
          <w:szCs w:val="22"/>
        </w:rPr>
        <w:t>program undertaken as part of this project, and includes details of the data acquisition, processing anal</w:t>
      </w:r>
      <w:r w:rsidRPr="00F81CBA">
        <w:rPr>
          <w:rFonts w:ascii="Times New Roman" w:hAnsi="Times New Roman"/>
          <w:sz w:val="22"/>
          <w:szCs w:val="22"/>
        </w:rPr>
        <w:t>ysis and interpretation met</w:t>
      </w:r>
      <w:r w:rsidR="001E1E35" w:rsidRPr="00F81CBA">
        <w:rPr>
          <w:rFonts w:ascii="Times New Roman" w:hAnsi="Times New Roman"/>
          <w:sz w:val="22"/>
          <w:szCs w:val="22"/>
        </w:rPr>
        <w:t>h</w:t>
      </w:r>
      <w:r w:rsidRPr="00F81CBA">
        <w:rPr>
          <w:rFonts w:ascii="Times New Roman" w:hAnsi="Times New Roman"/>
          <w:sz w:val="22"/>
          <w:szCs w:val="22"/>
        </w:rPr>
        <w:t>ods.</w:t>
      </w:r>
      <w:r w:rsidR="008B7CA7" w:rsidRPr="00F81CBA">
        <w:rPr>
          <w:rFonts w:ascii="Times New Roman" w:hAnsi="Times New Roman"/>
          <w:sz w:val="22"/>
          <w:szCs w:val="22"/>
        </w:rPr>
        <w:t xml:space="preserve"> </w:t>
      </w:r>
    </w:p>
    <w:p w:rsidR="002979E9" w:rsidRPr="00F81CBA" w:rsidRDefault="005145A1" w:rsidP="007B61E9">
      <w:pPr>
        <w:pStyle w:val="Level11"/>
        <w:numPr>
          <w:ilvl w:val="0"/>
          <w:numId w:val="37"/>
        </w:numPr>
        <w:tabs>
          <w:tab w:val="num" w:pos="720"/>
        </w:tabs>
        <w:spacing w:before="60"/>
        <w:ind w:left="714" w:hanging="357"/>
        <w:rPr>
          <w:rFonts w:ascii="Times New Roman" w:hAnsi="Times New Roman"/>
          <w:sz w:val="22"/>
          <w:szCs w:val="22"/>
        </w:rPr>
      </w:pPr>
      <w:r w:rsidRPr="00F81CBA">
        <w:rPr>
          <w:rFonts w:ascii="Times New Roman" w:hAnsi="Times New Roman"/>
          <w:sz w:val="22"/>
          <w:szCs w:val="22"/>
        </w:rPr>
        <w:t xml:space="preserve">Final </w:t>
      </w:r>
      <w:r w:rsidR="002979E9" w:rsidRPr="00F81CBA">
        <w:rPr>
          <w:rFonts w:ascii="Times New Roman" w:hAnsi="Times New Roman"/>
          <w:sz w:val="22"/>
          <w:szCs w:val="22"/>
        </w:rPr>
        <w:t>Report 2</w:t>
      </w:r>
      <w:r w:rsidRPr="00F81CBA">
        <w:rPr>
          <w:rFonts w:ascii="Times New Roman" w:hAnsi="Times New Roman"/>
          <w:sz w:val="22"/>
          <w:szCs w:val="22"/>
        </w:rPr>
        <w:t>:</w:t>
      </w:r>
      <w:r w:rsidR="008B7CA7" w:rsidRPr="00F81CBA">
        <w:rPr>
          <w:rFonts w:ascii="Times New Roman" w:hAnsi="Times New Roman"/>
          <w:sz w:val="22"/>
          <w:szCs w:val="22"/>
        </w:rPr>
        <w:t xml:space="preserve"> </w:t>
      </w:r>
      <w:r w:rsidRPr="00F81CBA">
        <w:rPr>
          <w:rFonts w:ascii="Times New Roman" w:hAnsi="Times New Roman"/>
          <w:sz w:val="22"/>
          <w:szCs w:val="22"/>
        </w:rPr>
        <w:t>Lawrie</w:t>
      </w:r>
      <w:r w:rsidR="008A5F7D" w:rsidRPr="008A5F7D">
        <w:rPr>
          <w:rFonts w:ascii="Times New Roman" w:hAnsi="Times New Roman"/>
          <w:i/>
          <w:sz w:val="22"/>
          <w:szCs w:val="22"/>
        </w:rPr>
        <w:t xml:space="preserve"> et al</w:t>
      </w:r>
      <w:r w:rsidRPr="00F81CBA">
        <w:rPr>
          <w:rFonts w:ascii="Times New Roman" w:hAnsi="Times New Roman"/>
          <w:sz w:val="22"/>
          <w:szCs w:val="22"/>
        </w:rPr>
        <w:t xml:space="preserve">. (2012b). </w:t>
      </w:r>
      <w:r w:rsidRPr="00F81CBA">
        <w:rPr>
          <w:rStyle w:val="StyleArial14ptAqua"/>
          <w:rFonts w:ascii="Times New Roman" w:eastAsia="Times" w:hAnsi="Times New Roman"/>
          <w:caps w:val="0"/>
          <w:color w:val="000000"/>
          <w:sz w:val="22"/>
          <w:szCs w:val="22"/>
        </w:rPr>
        <w:t xml:space="preserve">BHMAR Project: </w:t>
      </w:r>
      <w:r w:rsidR="007F0CB1">
        <w:rPr>
          <w:rStyle w:val="StyleArial14ptAqua"/>
          <w:rFonts w:ascii="Times New Roman" w:eastAsia="Times" w:hAnsi="Times New Roman"/>
          <w:caps w:val="0"/>
          <w:color w:val="000000"/>
          <w:sz w:val="22"/>
          <w:szCs w:val="22"/>
        </w:rPr>
        <w:t>G</w:t>
      </w:r>
      <w:r w:rsidRPr="00F81CBA">
        <w:rPr>
          <w:rStyle w:val="StyleArial14ptAqua"/>
          <w:rFonts w:ascii="Times New Roman" w:eastAsia="Times" w:hAnsi="Times New Roman"/>
          <w:caps w:val="0"/>
          <w:color w:val="000000"/>
          <w:sz w:val="22"/>
          <w:szCs w:val="22"/>
        </w:rPr>
        <w:t xml:space="preserve">eological and </w:t>
      </w:r>
      <w:r w:rsidR="007F0CB1">
        <w:rPr>
          <w:rStyle w:val="StyleArial14ptAqua"/>
          <w:rFonts w:ascii="Times New Roman" w:eastAsia="Times" w:hAnsi="Times New Roman"/>
          <w:caps w:val="0"/>
          <w:color w:val="000000"/>
          <w:sz w:val="22"/>
          <w:szCs w:val="22"/>
        </w:rPr>
        <w:t>h</w:t>
      </w:r>
      <w:r w:rsidRPr="00F81CBA">
        <w:rPr>
          <w:rStyle w:val="StyleArial14ptAqua"/>
          <w:rFonts w:ascii="Times New Roman" w:eastAsia="Times" w:hAnsi="Times New Roman"/>
          <w:caps w:val="0"/>
          <w:color w:val="000000"/>
          <w:sz w:val="22"/>
          <w:szCs w:val="22"/>
        </w:rPr>
        <w:t xml:space="preserve">ydrogeological </w:t>
      </w:r>
      <w:r w:rsidR="007F0CB1">
        <w:rPr>
          <w:rStyle w:val="StyleArial14ptAqua"/>
          <w:rFonts w:ascii="Times New Roman" w:eastAsia="Times" w:hAnsi="Times New Roman"/>
          <w:caps w:val="0"/>
          <w:color w:val="000000"/>
          <w:sz w:val="22"/>
          <w:szCs w:val="22"/>
        </w:rPr>
        <w:t>f</w:t>
      </w:r>
      <w:r w:rsidRPr="00F81CBA">
        <w:rPr>
          <w:rStyle w:val="StyleArial14ptAqua"/>
          <w:rFonts w:ascii="Times New Roman" w:eastAsia="Times" w:hAnsi="Times New Roman"/>
          <w:caps w:val="0"/>
          <w:color w:val="000000"/>
          <w:sz w:val="22"/>
          <w:szCs w:val="22"/>
        </w:rPr>
        <w:t xml:space="preserve">ramework and </w:t>
      </w:r>
      <w:r w:rsidR="007F0CB1">
        <w:rPr>
          <w:rStyle w:val="StyleArial14ptAqua"/>
          <w:rFonts w:ascii="Times New Roman" w:eastAsia="Times" w:hAnsi="Times New Roman"/>
          <w:caps w:val="0"/>
          <w:color w:val="000000"/>
          <w:sz w:val="22"/>
          <w:szCs w:val="22"/>
        </w:rPr>
        <w:t>c</w:t>
      </w:r>
      <w:r w:rsidRPr="00F81CBA">
        <w:rPr>
          <w:rStyle w:val="StyleArial14ptAqua"/>
          <w:rFonts w:ascii="Times New Roman" w:eastAsia="Times" w:hAnsi="Times New Roman"/>
          <w:caps w:val="0"/>
          <w:color w:val="000000"/>
          <w:sz w:val="22"/>
          <w:szCs w:val="22"/>
        </w:rPr>
        <w:t xml:space="preserve">onceptual </w:t>
      </w:r>
      <w:r w:rsidR="007F0CB1">
        <w:rPr>
          <w:rStyle w:val="StyleArial14ptAqua"/>
          <w:rFonts w:ascii="Times New Roman" w:eastAsia="Times" w:hAnsi="Times New Roman"/>
          <w:caps w:val="0"/>
          <w:color w:val="000000"/>
          <w:sz w:val="22"/>
          <w:szCs w:val="22"/>
        </w:rPr>
        <w:t>m</w:t>
      </w:r>
      <w:r w:rsidRPr="00F81CBA">
        <w:rPr>
          <w:rStyle w:val="StyleArial14ptAqua"/>
          <w:rFonts w:ascii="Times New Roman" w:eastAsia="Times" w:hAnsi="Times New Roman"/>
          <w:caps w:val="0"/>
          <w:color w:val="000000"/>
          <w:sz w:val="22"/>
          <w:szCs w:val="22"/>
        </w:rPr>
        <w:t>odel</w:t>
      </w:r>
      <w:r w:rsidRPr="00F81CBA">
        <w:rPr>
          <w:rStyle w:val="StyleArial14ptAqua"/>
          <w:rFonts w:ascii="Times New Roman" w:eastAsia="Times" w:hAnsi="Times New Roman"/>
          <w:color w:val="000000"/>
          <w:sz w:val="22"/>
          <w:szCs w:val="22"/>
        </w:rPr>
        <w:t xml:space="preserve">. </w:t>
      </w:r>
      <w:r w:rsidRPr="00F81CBA">
        <w:rPr>
          <w:rStyle w:val="StyleArial14ptAqua"/>
          <w:rFonts w:ascii="Times New Roman" w:eastAsia="Times" w:hAnsi="Times New Roman"/>
          <w:caps w:val="0"/>
          <w:color w:val="000000"/>
          <w:sz w:val="22"/>
          <w:szCs w:val="22"/>
        </w:rPr>
        <w:t xml:space="preserve">This report details </w:t>
      </w:r>
      <w:r w:rsidR="008B7CA7" w:rsidRPr="00F81CBA">
        <w:rPr>
          <w:rFonts w:ascii="Times New Roman" w:hAnsi="Times New Roman"/>
          <w:sz w:val="22"/>
          <w:szCs w:val="22"/>
        </w:rPr>
        <w:t>the results from geological, hydrogeological and hydrogeochemical investigations, and sets out 3D geological and hydrogeological frameworks and new hydrogeological</w:t>
      </w:r>
      <w:r w:rsidRPr="00F81CBA">
        <w:rPr>
          <w:rFonts w:ascii="Times New Roman" w:hAnsi="Times New Roman"/>
          <w:sz w:val="22"/>
          <w:szCs w:val="22"/>
        </w:rPr>
        <w:t xml:space="preserve"> conceptual model for the area</w:t>
      </w:r>
      <w:r w:rsidR="008B7CA7" w:rsidRPr="00F81CBA">
        <w:rPr>
          <w:rFonts w:ascii="Times New Roman" w:hAnsi="Times New Roman"/>
          <w:sz w:val="22"/>
          <w:szCs w:val="22"/>
        </w:rPr>
        <w:t xml:space="preserve">. </w:t>
      </w:r>
    </w:p>
    <w:p w:rsidR="002979E9" w:rsidRPr="00F81CBA" w:rsidRDefault="005145A1" w:rsidP="007B61E9">
      <w:pPr>
        <w:pStyle w:val="Level11"/>
        <w:numPr>
          <w:ilvl w:val="0"/>
          <w:numId w:val="37"/>
        </w:numPr>
        <w:tabs>
          <w:tab w:val="num" w:pos="720"/>
        </w:tabs>
        <w:spacing w:before="60"/>
        <w:ind w:left="714" w:hanging="357"/>
        <w:rPr>
          <w:rFonts w:ascii="Times New Roman" w:hAnsi="Times New Roman"/>
          <w:sz w:val="22"/>
          <w:szCs w:val="22"/>
        </w:rPr>
      </w:pPr>
      <w:r w:rsidRPr="00F81CBA">
        <w:rPr>
          <w:rFonts w:ascii="Times New Roman" w:hAnsi="Times New Roman"/>
          <w:sz w:val="22"/>
          <w:szCs w:val="22"/>
        </w:rPr>
        <w:t xml:space="preserve">Final </w:t>
      </w:r>
      <w:r w:rsidR="002979E9" w:rsidRPr="00F81CBA">
        <w:rPr>
          <w:rFonts w:ascii="Times New Roman" w:hAnsi="Times New Roman"/>
          <w:sz w:val="22"/>
          <w:szCs w:val="22"/>
        </w:rPr>
        <w:t>Report 3</w:t>
      </w:r>
      <w:r w:rsidRPr="00F81CBA">
        <w:rPr>
          <w:rFonts w:ascii="Times New Roman" w:hAnsi="Times New Roman"/>
          <w:sz w:val="22"/>
          <w:szCs w:val="22"/>
        </w:rPr>
        <w:t>: Lawrie</w:t>
      </w:r>
      <w:r w:rsidR="008A5F7D" w:rsidRPr="008A5F7D">
        <w:rPr>
          <w:rFonts w:ascii="Times New Roman" w:hAnsi="Times New Roman"/>
          <w:i/>
          <w:sz w:val="22"/>
          <w:szCs w:val="22"/>
        </w:rPr>
        <w:t xml:space="preserve"> et al</w:t>
      </w:r>
      <w:r w:rsidRPr="00F81CBA">
        <w:rPr>
          <w:rFonts w:ascii="Times New Roman" w:hAnsi="Times New Roman"/>
          <w:sz w:val="22"/>
          <w:szCs w:val="22"/>
        </w:rPr>
        <w:t>. (2012c)</w:t>
      </w:r>
      <w:r w:rsidRPr="00F81CBA">
        <w:rPr>
          <w:rStyle w:val="StyleArial14ptAqua"/>
          <w:rFonts w:ascii="Times New Roman" w:eastAsia="Times" w:hAnsi="Times New Roman"/>
          <w:caps w:val="0"/>
          <w:color w:val="000000"/>
          <w:sz w:val="22"/>
        </w:rPr>
        <w:t xml:space="preserve">. BHMAR Project: Securing Broken Hill’s </w:t>
      </w:r>
      <w:r w:rsidR="007F0CB1">
        <w:rPr>
          <w:rStyle w:val="StyleArial14ptAqua"/>
          <w:rFonts w:ascii="Times New Roman" w:eastAsia="Times" w:hAnsi="Times New Roman"/>
          <w:caps w:val="0"/>
          <w:color w:val="000000"/>
          <w:sz w:val="22"/>
        </w:rPr>
        <w:t>w</w:t>
      </w:r>
      <w:r w:rsidRPr="00F81CBA">
        <w:rPr>
          <w:rStyle w:val="StyleArial14ptAqua"/>
          <w:rFonts w:ascii="Times New Roman" w:eastAsia="Times" w:hAnsi="Times New Roman"/>
          <w:caps w:val="0"/>
          <w:color w:val="000000"/>
          <w:sz w:val="22"/>
        </w:rPr>
        <w:t xml:space="preserve">ater </w:t>
      </w:r>
      <w:r w:rsidR="007F0CB1">
        <w:rPr>
          <w:rStyle w:val="StyleArial14ptAqua"/>
          <w:rFonts w:ascii="Times New Roman" w:eastAsia="Times" w:hAnsi="Times New Roman"/>
          <w:caps w:val="0"/>
          <w:color w:val="000000"/>
          <w:sz w:val="22"/>
        </w:rPr>
        <w:t>s</w:t>
      </w:r>
      <w:r w:rsidRPr="00F81CBA">
        <w:rPr>
          <w:rStyle w:val="StyleArial14ptAqua"/>
          <w:rFonts w:ascii="Times New Roman" w:eastAsia="Times" w:hAnsi="Times New Roman"/>
          <w:caps w:val="0"/>
          <w:color w:val="000000"/>
          <w:sz w:val="22"/>
        </w:rPr>
        <w:t xml:space="preserve">upply: </w:t>
      </w:r>
      <w:r w:rsidR="007F0CB1">
        <w:rPr>
          <w:rStyle w:val="StyleArial14ptAqua"/>
          <w:rFonts w:ascii="Times New Roman" w:eastAsia="Times" w:hAnsi="Times New Roman"/>
          <w:caps w:val="0"/>
          <w:color w:val="000000"/>
          <w:sz w:val="22"/>
        </w:rPr>
        <w:t>a</w:t>
      </w:r>
      <w:r w:rsidRPr="00F81CBA">
        <w:rPr>
          <w:rStyle w:val="StyleArial14ptAqua"/>
          <w:rFonts w:ascii="Times New Roman" w:eastAsia="Times" w:hAnsi="Times New Roman"/>
          <w:caps w:val="0"/>
          <w:color w:val="000000"/>
          <w:sz w:val="22"/>
        </w:rPr>
        <w:t xml:space="preserve">ssessment of </w:t>
      </w:r>
      <w:r w:rsidR="007F0CB1">
        <w:rPr>
          <w:rStyle w:val="StyleArial14ptAqua"/>
          <w:rFonts w:ascii="Times New Roman" w:eastAsia="Times" w:hAnsi="Times New Roman"/>
          <w:caps w:val="0"/>
          <w:color w:val="000000"/>
          <w:sz w:val="22"/>
        </w:rPr>
        <w:t>c</w:t>
      </w:r>
      <w:r w:rsidRPr="00F81CBA">
        <w:rPr>
          <w:rStyle w:val="StyleArial14ptAqua"/>
          <w:rFonts w:ascii="Times New Roman" w:eastAsia="Times" w:hAnsi="Times New Roman"/>
          <w:caps w:val="0"/>
          <w:color w:val="000000"/>
          <w:sz w:val="22"/>
        </w:rPr>
        <w:t xml:space="preserve">onjunctive </w:t>
      </w:r>
      <w:r w:rsidR="007F0CB1">
        <w:rPr>
          <w:rStyle w:val="StyleArial14ptAqua"/>
          <w:rFonts w:ascii="Times New Roman" w:eastAsia="Times" w:hAnsi="Times New Roman"/>
          <w:caps w:val="0"/>
          <w:color w:val="000000"/>
          <w:sz w:val="22"/>
        </w:rPr>
        <w:t>w</w:t>
      </w:r>
      <w:r w:rsidRPr="00F81CBA">
        <w:rPr>
          <w:rStyle w:val="StyleArial14ptAqua"/>
          <w:rFonts w:ascii="Times New Roman" w:eastAsia="Times" w:hAnsi="Times New Roman"/>
          <w:caps w:val="0"/>
          <w:color w:val="000000"/>
          <w:sz w:val="22"/>
        </w:rPr>
        <w:t xml:space="preserve">ater </w:t>
      </w:r>
      <w:r w:rsidR="007F0CB1">
        <w:rPr>
          <w:rStyle w:val="StyleArial14ptAqua"/>
          <w:rFonts w:ascii="Times New Roman" w:eastAsia="Times" w:hAnsi="Times New Roman"/>
          <w:caps w:val="0"/>
          <w:color w:val="000000"/>
          <w:sz w:val="22"/>
        </w:rPr>
        <w:t>s</w:t>
      </w:r>
      <w:r w:rsidRPr="00F81CBA">
        <w:rPr>
          <w:rStyle w:val="StyleArial14ptAqua"/>
          <w:rFonts w:ascii="Times New Roman" w:eastAsia="Times" w:hAnsi="Times New Roman"/>
          <w:caps w:val="0"/>
          <w:color w:val="000000"/>
          <w:sz w:val="22"/>
        </w:rPr>
        <w:t xml:space="preserve">upply </w:t>
      </w:r>
      <w:r w:rsidR="007F0CB1">
        <w:rPr>
          <w:rStyle w:val="StyleArial14ptAqua"/>
          <w:rFonts w:ascii="Times New Roman" w:eastAsia="Times" w:hAnsi="Times New Roman"/>
          <w:caps w:val="0"/>
          <w:color w:val="000000"/>
          <w:sz w:val="22"/>
        </w:rPr>
        <w:t>o</w:t>
      </w:r>
      <w:r w:rsidRPr="00F81CBA">
        <w:rPr>
          <w:rStyle w:val="StyleArial14ptAqua"/>
          <w:rFonts w:ascii="Times New Roman" w:eastAsia="Times" w:hAnsi="Times New Roman"/>
          <w:caps w:val="0"/>
          <w:color w:val="000000"/>
          <w:sz w:val="22"/>
        </w:rPr>
        <w:t xml:space="preserve">ptions </w:t>
      </w:r>
      <w:r w:rsidR="007F0CB1">
        <w:rPr>
          <w:rStyle w:val="StyleArial14ptAqua"/>
          <w:rFonts w:ascii="Times New Roman" w:eastAsia="Times" w:hAnsi="Times New Roman"/>
          <w:caps w:val="0"/>
          <w:color w:val="000000"/>
          <w:sz w:val="22"/>
        </w:rPr>
        <w:t>i</w:t>
      </w:r>
      <w:r w:rsidRPr="00F81CBA">
        <w:rPr>
          <w:rStyle w:val="StyleArial14ptAqua"/>
          <w:rFonts w:ascii="Times New Roman" w:eastAsia="Times" w:hAnsi="Times New Roman"/>
          <w:caps w:val="0"/>
          <w:color w:val="000000"/>
          <w:sz w:val="22"/>
        </w:rPr>
        <w:t xml:space="preserve">nvolving </w:t>
      </w:r>
      <w:r w:rsidR="007F0CB1">
        <w:rPr>
          <w:rStyle w:val="StyleArial14ptAqua"/>
          <w:rFonts w:ascii="Times New Roman" w:eastAsia="Times" w:hAnsi="Times New Roman"/>
          <w:caps w:val="0"/>
          <w:color w:val="000000"/>
          <w:sz w:val="22"/>
        </w:rPr>
        <w:t>m</w:t>
      </w:r>
      <w:r w:rsidRPr="00F81CBA">
        <w:rPr>
          <w:rStyle w:val="StyleArial14ptAqua"/>
          <w:rFonts w:ascii="Times New Roman" w:eastAsia="Times" w:hAnsi="Times New Roman"/>
          <w:caps w:val="0"/>
          <w:color w:val="000000"/>
          <w:sz w:val="22"/>
        </w:rPr>
        <w:t xml:space="preserve">anaged </w:t>
      </w:r>
      <w:r w:rsidR="007F0CB1">
        <w:rPr>
          <w:rStyle w:val="StyleArial14ptAqua"/>
          <w:rFonts w:ascii="Times New Roman" w:eastAsia="Times" w:hAnsi="Times New Roman"/>
          <w:caps w:val="0"/>
          <w:color w:val="000000"/>
          <w:sz w:val="22"/>
        </w:rPr>
        <w:t>a</w:t>
      </w:r>
      <w:r w:rsidRPr="00F81CBA">
        <w:rPr>
          <w:rStyle w:val="StyleArial14ptAqua"/>
          <w:rFonts w:ascii="Times New Roman" w:eastAsia="Times" w:hAnsi="Times New Roman"/>
          <w:caps w:val="0"/>
          <w:color w:val="000000"/>
          <w:sz w:val="22"/>
        </w:rPr>
        <w:t xml:space="preserve">quifer </w:t>
      </w:r>
      <w:r w:rsidR="007F0CB1">
        <w:rPr>
          <w:rStyle w:val="StyleArial14ptAqua"/>
          <w:rFonts w:ascii="Times New Roman" w:eastAsia="Times" w:hAnsi="Times New Roman"/>
          <w:caps w:val="0"/>
          <w:color w:val="000000"/>
          <w:sz w:val="22"/>
        </w:rPr>
        <w:t>r</w:t>
      </w:r>
      <w:r w:rsidRPr="00F81CBA">
        <w:rPr>
          <w:rStyle w:val="StyleArial14ptAqua"/>
          <w:rFonts w:ascii="Times New Roman" w:eastAsia="Times" w:hAnsi="Times New Roman"/>
          <w:caps w:val="0"/>
          <w:color w:val="000000"/>
          <w:sz w:val="22"/>
        </w:rPr>
        <w:t xml:space="preserve">echarge </w:t>
      </w:r>
      <w:r w:rsidR="007F0CB1">
        <w:rPr>
          <w:rStyle w:val="StyleArial14ptAqua"/>
          <w:rFonts w:ascii="Times New Roman" w:eastAsia="Times" w:hAnsi="Times New Roman"/>
          <w:caps w:val="0"/>
          <w:color w:val="000000"/>
          <w:sz w:val="22"/>
        </w:rPr>
        <w:t>o</w:t>
      </w:r>
      <w:r w:rsidRPr="00F81CBA">
        <w:rPr>
          <w:rStyle w:val="StyleArial14ptAqua"/>
          <w:rFonts w:ascii="Times New Roman" w:eastAsia="Times" w:hAnsi="Times New Roman"/>
          <w:caps w:val="0"/>
          <w:color w:val="000000"/>
          <w:sz w:val="22"/>
        </w:rPr>
        <w:t xml:space="preserve">ptions at </w:t>
      </w:r>
      <w:smartTag w:uri="urn:schemas-microsoft-com:office:smarttags" w:element="place">
        <w:smartTag w:uri="urn:schemas-microsoft-com:office:smarttags" w:element="PlaceName">
          <w:r w:rsidR="007D1583">
            <w:rPr>
              <w:rStyle w:val="StyleArial14ptAqua"/>
              <w:rFonts w:ascii="Times New Roman" w:eastAsia="Times" w:hAnsi="Times New Roman"/>
              <w:caps w:val="0"/>
              <w:color w:val="000000"/>
              <w:sz w:val="22"/>
            </w:rPr>
            <w:t>Menindee</w:t>
          </w:r>
        </w:smartTag>
        <w:r w:rsidR="007D1583">
          <w:rPr>
            <w:rStyle w:val="StyleArial14ptAqua"/>
            <w:rFonts w:ascii="Times New Roman" w:eastAsia="Times" w:hAnsi="Times New Roman"/>
            <w:caps w:val="0"/>
            <w:color w:val="000000"/>
            <w:sz w:val="22"/>
          </w:rPr>
          <w:t xml:space="preserve"> </w:t>
        </w:r>
        <w:smartTag w:uri="urn:schemas-microsoft-com:office:smarttags" w:element="PlaceType">
          <w:r w:rsidR="007D1583">
            <w:rPr>
              <w:rStyle w:val="StyleArial14ptAqua"/>
              <w:rFonts w:ascii="Times New Roman" w:eastAsia="Times" w:hAnsi="Times New Roman"/>
              <w:caps w:val="0"/>
              <w:color w:val="000000"/>
              <w:sz w:val="22"/>
            </w:rPr>
            <w:t>Lakes</w:t>
          </w:r>
        </w:smartTag>
      </w:smartTag>
      <w:r w:rsidRPr="00F81CBA">
        <w:rPr>
          <w:rFonts w:ascii="Times New Roman" w:hAnsi="Times New Roman"/>
          <w:sz w:val="22"/>
          <w:szCs w:val="22"/>
        </w:rPr>
        <w:t xml:space="preserve">. This report </w:t>
      </w:r>
      <w:r w:rsidR="008B7CA7" w:rsidRPr="00F81CBA">
        <w:rPr>
          <w:rFonts w:ascii="Times New Roman" w:hAnsi="Times New Roman"/>
          <w:sz w:val="22"/>
          <w:szCs w:val="22"/>
        </w:rPr>
        <w:t xml:space="preserve">details the findings of investigations into </w:t>
      </w:r>
      <w:r w:rsidRPr="00F81CBA">
        <w:rPr>
          <w:rFonts w:ascii="Times New Roman" w:hAnsi="Times New Roman"/>
          <w:sz w:val="22"/>
          <w:szCs w:val="22"/>
        </w:rPr>
        <w:t>finding groundwater-related water supply options for Broken Hill within a 20</w:t>
      </w:r>
      <w:r w:rsidR="007F0CB1">
        <w:rPr>
          <w:rFonts w:ascii="Times New Roman" w:hAnsi="Times New Roman"/>
          <w:sz w:val="22"/>
          <w:szCs w:val="22"/>
        </w:rPr>
        <w:t xml:space="preserve"> </w:t>
      </w:r>
      <w:r w:rsidRPr="00F81CBA">
        <w:rPr>
          <w:rFonts w:ascii="Times New Roman" w:hAnsi="Times New Roman"/>
          <w:sz w:val="22"/>
          <w:szCs w:val="22"/>
        </w:rPr>
        <w:t xml:space="preserve">km radius of </w:t>
      </w:r>
      <w:r w:rsidR="00C217F0">
        <w:rPr>
          <w:rFonts w:ascii="Times New Roman" w:hAnsi="Times New Roman"/>
          <w:sz w:val="22"/>
          <w:szCs w:val="22"/>
        </w:rPr>
        <w:t>Menindee</w:t>
      </w:r>
      <w:r w:rsidRPr="00F81CBA">
        <w:rPr>
          <w:rFonts w:ascii="Times New Roman" w:hAnsi="Times New Roman"/>
          <w:sz w:val="22"/>
          <w:szCs w:val="22"/>
        </w:rPr>
        <w:t>. These options include groundwater extraction and MAR.</w:t>
      </w:r>
      <w:r w:rsidR="008B7CA7" w:rsidRPr="00F81CBA">
        <w:rPr>
          <w:rFonts w:ascii="Times New Roman" w:hAnsi="Times New Roman"/>
          <w:sz w:val="22"/>
          <w:szCs w:val="22"/>
        </w:rPr>
        <w:t xml:space="preserve"> </w:t>
      </w:r>
    </w:p>
    <w:p w:rsidR="008B7CA7" w:rsidRPr="00F81CBA" w:rsidRDefault="005145A1" w:rsidP="007B61E9">
      <w:pPr>
        <w:pStyle w:val="Level11"/>
        <w:numPr>
          <w:ilvl w:val="0"/>
          <w:numId w:val="37"/>
        </w:numPr>
        <w:tabs>
          <w:tab w:val="num" w:pos="720"/>
        </w:tabs>
        <w:spacing w:before="60"/>
        <w:ind w:left="714" w:hanging="357"/>
        <w:rPr>
          <w:rFonts w:ascii="Times New Roman" w:hAnsi="Times New Roman"/>
          <w:sz w:val="22"/>
          <w:szCs w:val="22"/>
        </w:rPr>
      </w:pPr>
      <w:r w:rsidRPr="00F81CBA">
        <w:rPr>
          <w:rFonts w:ascii="Times New Roman" w:hAnsi="Times New Roman"/>
          <w:sz w:val="22"/>
          <w:szCs w:val="22"/>
        </w:rPr>
        <w:t xml:space="preserve">Final </w:t>
      </w:r>
      <w:r w:rsidR="002979E9" w:rsidRPr="00F81CBA">
        <w:rPr>
          <w:rFonts w:ascii="Times New Roman" w:hAnsi="Times New Roman"/>
          <w:sz w:val="22"/>
          <w:szCs w:val="22"/>
        </w:rPr>
        <w:t>Report 4</w:t>
      </w:r>
      <w:r w:rsidRPr="00F81CBA">
        <w:rPr>
          <w:rFonts w:ascii="Times New Roman" w:hAnsi="Times New Roman"/>
          <w:sz w:val="22"/>
          <w:szCs w:val="22"/>
        </w:rPr>
        <w:t>:</w:t>
      </w:r>
      <w:r w:rsidR="002979E9" w:rsidRPr="00F81CBA">
        <w:rPr>
          <w:rFonts w:ascii="Times New Roman" w:hAnsi="Times New Roman"/>
          <w:sz w:val="22"/>
          <w:szCs w:val="22"/>
        </w:rPr>
        <w:t xml:space="preserve"> </w:t>
      </w:r>
      <w:r w:rsidRPr="00F81CBA">
        <w:rPr>
          <w:rFonts w:ascii="Times New Roman" w:hAnsi="Times New Roman"/>
          <w:sz w:val="22"/>
          <w:szCs w:val="22"/>
        </w:rPr>
        <w:t>Lawrie</w:t>
      </w:r>
      <w:r w:rsidR="008A5F7D" w:rsidRPr="008A5F7D">
        <w:rPr>
          <w:rFonts w:ascii="Times New Roman" w:hAnsi="Times New Roman"/>
          <w:i/>
          <w:sz w:val="22"/>
          <w:szCs w:val="22"/>
        </w:rPr>
        <w:t xml:space="preserve"> et al</w:t>
      </w:r>
      <w:r w:rsidRPr="00F81CBA">
        <w:rPr>
          <w:rFonts w:ascii="Times New Roman" w:hAnsi="Times New Roman"/>
          <w:i/>
          <w:sz w:val="22"/>
          <w:szCs w:val="22"/>
        </w:rPr>
        <w:t>.</w:t>
      </w:r>
      <w:r w:rsidRPr="00F81CBA">
        <w:rPr>
          <w:rFonts w:ascii="Times New Roman" w:hAnsi="Times New Roman"/>
          <w:sz w:val="22"/>
          <w:szCs w:val="22"/>
        </w:rPr>
        <w:t xml:space="preserve"> (2012d). </w:t>
      </w:r>
      <w:r w:rsidRPr="00F81CBA">
        <w:rPr>
          <w:rStyle w:val="StyleArial14ptAqua"/>
          <w:rFonts w:ascii="Times New Roman" w:eastAsia="Times" w:hAnsi="Times New Roman"/>
          <w:caps w:val="0"/>
          <w:color w:val="000000"/>
          <w:sz w:val="22"/>
        </w:rPr>
        <w:t xml:space="preserve">BHMAR Project: Assessment of </w:t>
      </w:r>
      <w:r w:rsidR="007F0CB1">
        <w:rPr>
          <w:rStyle w:val="StyleArial14ptAqua"/>
          <w:rFonts w:ascii="Times New Roman" w:eastAsia="Times" w:hAnsi="Times New Roman"/>
          <w:caps w:val="0"/>
          <w:color w:val="000000"/>
          <w:sz w:val="22"/>
        </w:rPr>
        <w:t>p</w:t>
      </w:r>
      <w:r w:rsidRPr="00F81CBA">
        <w:rPr>
          <w:rStyle w:val="StyleArial14ptAqua"/>
          <w:rFonts w:ascii="Times New Roman" w:eastAsia="Times" w:hAnsi="Times New Roman"/>
          <w:caps w:val="0"/>
          <w:color w:val="000000"/>
          <w:sz w:val="22"/>
        </w:rPr>
        <w:t xml:space="preserve">otential </w:t>
      </w:r>
      <w:r w:rsidR="007F0CB1">
        <w:rPr>
          <w:rStyle w:val="StyleArial14ptAqua"/>
          <w:rFonts w:ascii="Times New Roman" w:eastAsia="Times" w:hAnsi="Times New Roman"/>
          <w:caps w:val="0"/>
          <w:color w:val="000000"/>
          <w:sz w:val="22"/>
        </w:rPr>
        <w:t>g</w:t>
      </w:r>
      <w:r w:rsidRPr="00F81CBA">
        <w:rPr>
          <w:rStyle w:val="StyleArial14ptAqua"/>
          <w:rFonts w:ascii="Times New Roman" w:eastAsia="Times" w:hAnsi="Times New Roman"/>
          <w:caps w:val="0"/>
          <w:color w:val="000000"/>
          <w:sz w:val="22"/>
        </w:rPr>
        <w:t xml:space="preserve">roundwater </w:t>
      </w:r>
      <w:r w:rsidR="007F0CB1">
        <w:rPr>
          <w:rStyle w:val="StyleArial14ptAqua"/>
          <w:rFonts w:ascii="Times New Roman" w:eastAsia="Times" w:hAnsi="Times New Roman"/>
          <w:caps w:val="0"/>
          <w:color w:val="000000"/>
          <w:sz w:val="22"/>
        </w:rPr>
        <w:t>r</w:t>
      </w:r>
      <w:r w:rsidRPr="00F81CBA">
        <w:rPr>
          <w:rStyle w:val="StyleArial14ptAqua"/>
          <w:rFonts w:ascii="Times New Roman" w:eastAsia="Times" w:hAnsi="Times New Roman"/>
          <w:caps w:val="0"/>
          <w:color w:val="000000"/>
          <w:sz w:val="22"/>
        </w:rPr>
        <w:t xml:space="preserve">esources and </w:t>
      </w:r>
      <w:r w:rsidR="007F0CB1">
        <w:rPr>
          <w:rStyle w:val="StyleArial14ptAqua"/>
          <w:rFonts w:ascii="Times New Roman" w:eastAsia="Times" w:hAnsi="Times New Roman"/>
          <w:caps w:val="0"/>
          <w:color w:val="000000"/>
          <w:sz w:val="22"/>
        </w:rPr>
        <w:t>u</w:t>
      </w:r>
      <w:r w:rsidRPr="00F81CBA">
        <w:rPr>
          <w:rStyle w:val="StyleArial14ptAqua"/>
          <w:rFonts w:ascii="Times New Roman" w:eastAsia="Times" w:hAnsi="Times New Roman"/>
          <w:caps w:val="0"/>
          <w:color w:val="000000"/>
          <w:sz w:val="22"/>
        </w:rPr>
        <w:t xml:space="preserve">nderground </w:t>
      </w:r>
      <w:r w:rsidR="007F0CB1">
        <w:rPr>
          <w:rStyle w:val="StyleArial14ptAqua"/>
          <w:rFonts w:ascii="Times New Roman" w:eastAsia="Times" w:hAnsi="Times New Roman"/>
          <w:caps w:val="0"/>
          <w:color w:val="000000"/>
          <w:sz w:val="22"/>
        </w:rPr>
        <w:t>s</w:t>
      </w:r>
      <w:r w:rsidRPr="00F81CBA">
        <w:rPr>
          <w:rStyle w:val="StyleArial14ptAqua"/>
          <w:rFonts w:ascii="Times New Roman" w:eastAsia="Times" w:hAnsi="Times New Roman"/>
          <w:caps w:val="0"/>
          <w:color w:val="000000"/>
          <w:sz w:val="22"/>
        </w:rPr>
        <w:t xml:space="preserve">torage </w:t>
      </w:r>
      <w:r w:rsidR="007F0CB1">
        <w:rPr>
          <w:rStyle w:val="StyleArial14ptAqua"/>
          <w:rFonts w:ascii="Times New Roman" w:eastAsia="Times" w:hAnsi="Times New Roman"/>
          <w:caps w:val="0"/>
          <w:color w:val="000000"/>
          <w:sz w:val="22"/>
        </w:rPr>
        <w:t>o</w:t>
      </w:r>
      <w:r w:rsidRPr="00F81CBA">
        <w:rPr>
          <w:rStyle w:val="StyleArial14ptAqua"/>
          <w:rFonts w:ascii="Times New Roman" w:eastAsia="Times" w:hAnsi="Times New Roman"/>
          <w:caps w:val="0"/>
          <w:color w:val="000000"/>
          <w:sz w:val="22"/>
        </w:rPr>
        <w:t>ptions in the Darling Floodplain.</w:t>
      </w:r>
      <w:r w:rsidRPr="00F81CBA">
        <w:rPr>
          <w:rFonts w:ascii="Times New Roman" w:hAnsi="Times New Roman"/>
          <w:sz w:val="22"/>
          <w:szCs w:val="22"/>
        </w:rPr>
        <w:t xml:space="preserve"> This report </w:t>
      </w:r>
      <w:r w:rsidR="008B7CA7" w:rsidRPr="00F81CBA">
        <w:rPr>
          <w:rFonts w:ascii="Times New Roman" w:hAnsi="Times New Roman"/>
          <w:sz w:val="22"/>
          <w:szCs w:val="22"/>
        </w:rPr>
        <w:t xml:space="preserve">details the results of investigations to identify groundwater resources </w:t>
      </w:r>
      <w:r w:rsidR="007F0CB1">
        <w:rPr>
          <w:rFonts w:ascii="Times New Roman" w:hAnsi="Times New Roman"/>
          <w:sz w:val="22"/>
          <w:szCs w:val="22"/>
        </w:rPr>
        <w:t xml:space="preserve">and </w:t>
      </w:r>
      <w:r w:rsidRPr="00F81CBA">
        <w:rPr>
          <w:rFonts w:ascii="Times New Roman" w:hAnsi="Times New Roman"/>
          <w:sz w:val="22"/>
          <w:szCs w:val="22"/>
        </w:rPr>
        <w:t xml:space="preserve">potential MAR options in the greater BHMAR </w:t>
      </w:r>
      <w:r w:rsidR="00A56C85">
        <w:rPr>
          <w:rFonts w:ascii="Times New Roman" w:hAnsi="Times New Roman"/>
          <w:sz w:val="22"/>
          <w:szCs w:val="22"/>
        </w:rPr>
        <w:t>project</w:t>
      </w:r>
      <w:r w:rsidRPr="00F81CBA">
        <w:rPr>
          <w:rFonts w:ascii="Times New Roman" w:hAnsi="Times New Roman"/>
          <w:sz w:val="22"/>
          <w:szCs w:val="22"/>
        </w:rPr>
        <w:t xml:space="preserve"> area within the Darling Floodplain.</w:t>
      </w:r>
    </w:p>
    <w:p w:rsidR="008B7CA7" w:rsidRDefault="008B7CA7" w:rsidP="006264CC">
      <w:pPr>
        <w:pStyle w:val="Level11"/>
        <w:numPr>
          <w:ilvl w:val="0"/>
          <w:numId w:val="0"/>
        </w:numPr>
        <w:spacing w:before="0"/>
        <w:rPr>
          <w:rFonts w:ascii="Times New Roman" w:hAnsi="Times New Roman"/>
          <w:sz w:val="22"/>
          <w:szCs w:val="22"/>
        </w:rPr>
      </w:pPr>
    </w:p>
    <w:p w:rsidR="006264CC" w:rsidRDefault="006264CC" w:rsidP="006264CC">
      <w:pPr>
        <w:pStyle w:val="Level11"/>
        <w:numPr>
          <w:ilvl w:val="0"/>
          <w:numId w:val="0"/>
        </w:numPr>
        <w:spacing w:before="0"/>
        <w:rPr>
          <w:rFonts w:ascii="Times New Roman" w:hAnsi="Times New Roman"/>
          <w:sz w:val="22"/>
          <w:szCs w:val="22"/>
        </w:rPr>
      </w:pPr>
      <w:r w:rsidRPr="00B75788">
        <w:rPr>
          <w:rFonts w:ascii="Times New Roman" w:hAnsi="Times New Roman"/>
          <w:sz w:val="22"/>
          <w:szCs w:val="22"/>
        </w:rPr>
        <w:t xml:space="preserve">All the </w:t>
      </w:r>
      <w:r w:rsidR="008B7CA7">
        <w:rPr>
          <w:rFonts w:ascii="Times New Roman" w:hAnsi="Times New Roman"/>
          <w:sz w:val="22"/>
          <w:szCs w:val="22"/>
        </w:rPr>
        <w:t xml:space="preserve">supporting </w:t>
      </w:r>
      <w:r w:rsidRPr="00B75788">
        <w:rPr>
          <w:rFonts w:ascii="Times New Roman" w:hAnsi="Times New Roman"/>
          <w:sz w:val="22"/>
          <w:szCs w:val="22"/>
        </w:rPr>
        <w:t>data</w:t>
      </w:r>
      <w:r>
        <w:rPr>
          <w:rFonts w:ascii="Times New Roman" w:hAnsi="Times New Roman"/>
          <w:sz w:val="22"/>
          <w:szCs w:val="22"/>
        </w:rPr>
        <w:t>, analytical, interpretation and product generation methods</w:t>
      </w:r>
      <w:r w:rsidRPr="00B75788">
        <w:rPr>
          <w:rFonts w:ascii="Times New Roman" w:hAnsi="Times New Roman"/>
          <w:sz w:val="22"/>
          <w:szCs w:val="22"/>
        </w:rPr>
        <w:t xml:space="preserve"> </w:t>
      </w:r>
      <w:r>
        <w:rPr>
          <w:rFonts w:ascii="Times New Roman" w:hAnsi="Times New Roman"/>
          <w:sz w:val="22"/>
          <w:szCs w:val="22"/>
        </w:rPr>
        <w:t>are included</w:t>
      </w:r>
      <w:r w:rsidRPr="00B75788">
        <w:rPr>
          <w:rFonts w:ascii="Times New Roman" w:hAnsi="Times New Roman"/>
          <w:sz w:val="22"/>
          <w:szCs w:val="22"/>
        </w:rPr>
        <w:t xml:space="preserve"> in </w:t>
      </w:r>
      <w:r w:rsidR="008B7CA7">
        <w:rPr>
          <w:rFonts w:ascii="Times New Roman" w:hAnsi="Times New Roman"/>
          <w:sz w:val="22"/>
          <w:szCs w:val="22"/>
        </w:rPr>
        <w:t xml:space="preserve">fifteen </w:t>
      </w:r>
      <w:r w:rsidRPr="00B75788">
        <w:rPr>
          <w:rFonts w:ascii="Times New Roman" w:hAnsi="Times New Roman"/>
          <w:sz w:val="22"/>
          <w:szCs w:val="22"/>
        </w:rPr>
        <w:t>accompanying appe</w:t>
      </w:r>
      <w:r w:rsidR="008B7CA7">
        <w:rPr>
          <w:rFonts w:ascii="Times New Roman" w:hAnsi="Times New Roman"/>
          <w:sz w:val="22"/>
          <w:szCs w:val="22"/>
        </w:rPr>
        <w:t>ndix volumes</w:t>
      </w:r>
      <w:r>
        <w:rPr>
          <w:rFonts w:ascii="Times New Roman" w:hAnsi="Times New Roman"/>
          <w:sz w:val="22"/>
          <w:szCs w:val="22"/>
        </w:rPr>
        <w:t xml:space="preserve">, and all project data and products are </w:t>
      </w:r>
      <w:r w:rsidRPr="00B75788">
        <w:rPr>
          <w:rFonts w:ascii="Times New Roman" w:hAnsi="Times New Roman"/>
          <w:sz w:val="22"/>
          <w:szCs w:val="22"/>
        </w:rPr>
        <w:t>available in the BHMAR project GIS (</w:t>
      </w:r>
      <w:r w:rsidR="00884690">
        <w:rPr>
          <w:rFonts w:ascii="Times New Roman" w:hAnsi="Times New Roman"/>
          <w:sz w:val="22"/>
          <w:szCs w:val="22"/>
        </w:rPr>
        <w:t>Gow</w:t>
      </w:r>
      <w:r w:rsidR="008A5F7D" w:rsidRPr="008A5F7D">
        <w:rPr>
          <w:rFonts w:ascii="Times New Roman" w:hAnsi="Times New Roman"/>
          <w:i/>
          <w:sz w:val="22"/>
          <w:szCs w:val="22"/>
        </w:rPr>
        <w:t xml:space="preserve"> et al</w:t>
      </w:r>
      <w:r w:rsidRPr="00B75788">
        <w:rPr>
          <w:rFonts w:ascii="Times New Roman" w:hAnsi="Times New Roman"/>
          <w:sz w:val="22"/>
          <w:szCs w:val="22"/>
        </w:rPr>
        <w:t>., 2012</w:t>
      </w:r>
      <w:r w:rsidR="00304498">
        <w:rPr>
          <w:rFonts w:ascii="Times New Roman" w:hAnsi="Times New Roman"/>
          <w:sz w:val="22"/>
          <w:szCs w:val="22"/>
        </w:rPr>
        <w:t>a</w:t>
      </w:r>
      <w:r w:rsidRPr="00B75788">
        <w:rPr>
          <w:rFonts w:ascii="Times New Roman" w:hAnsi="Times New Roman"/>
          <w:sz w:val="22"/>
          <w:szCs w:val="22"/>
        </w:rPr>
        <w:t xml:space="preserve">). </w:t>
      </w:r>
      <w:r w:rsidR="002979E9">
        <w:rPr>
          <w:rFonts w:ascii="Times New Roman" w:hAnsi="Times New Roman"/>
          <w:sz w:val="22"/>
          <w:szCs w:val="22"/>
        </w:rPr>
        <w:t xml:space="preserve">All </w:t>
      </w:r>
      <w:r w:rsidR="00F81CBA">
        <w:rPr>
          <w:rFonts w:ascii="Times New Roman" w:hAnsi="Times New Roman"/>
          <w:sz w:val="22"/>
          <w:szCs w:val="22"/>
        </w:rPr>
        <w:t>appendices and 3D products</w:t>
      </w:r>
      <w:r w:rsidR="002979E9">
        <w:rPr>
          <w:rFonts w:ascii="Times New Roman" w:hAnsi="Times New Roman"/>
          <w:sz w:val="22"/>
          <w:szCs w:val="22"/>
        </w:rPr>
        <w:t xml:space="preserve"> are listed below:</w:t>
      </w:r>
    </w:p>
    <w:p w:rsidR="002979E9" w:rsidRPr="002979E9" w:rsidRDefault="002979E9" w:rsidP="002979E9">
      <w:pPr>
        <w:rPr>
          <w:lang w:eastAsia="en-US"/>
        </w:rPr>
      </w:pP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Appendix 1: Halas,</w:t>
      </w:r>
      <w:r w:rsidR="008A5F7D" w:rsidRPr="008A5F7D">
        <w:rPr>
          <w:rFonts w:ascii="Times New Roman" w:hAnsi="Times New Roman"/>
          <w:i/>
          <w:sz w:val="22"/>
          <w:szCs w:val="22"/>
          <w:lang w:val="fr-FR"/>
        </w:rPr>
        <w:t xml:space="preserve"> et al</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Pr="00593B52">
        <w:rPr>
          <w:rFonts w:ascii="Times New Roman" w:hAnsi="Times New Roman"/>
          <w:sz w:val="22"/>
          <w:szCs w:val="22"/>
          <w:lang w:val="fr-FR"/>
        </w:rPr>
        <w:t>2012</w:t>
      </w:r>
      <w:r w:rsidR="00966590" w:rsidRPr="00593B52">
        <w:rPr>
          <w:rFonts w:ascii="Times New Roman" w:hAnsi="Times New Roman"/>
          <w:sz w:val="22"/>
          <w:szCs w:val="22"/>
          <w:lang w:val="fr-FR"/>
        </w:rPr>
        <w:t>a</w:t>
      </w:r>
      <w:r w:rsidR="00070183" w:rsidRPr="00593B52">
        <w:rPr>
          <w:rFonts w:ascii="Times New Roman" w:hAnsi="Times New Roman"/>
          <w:sz w:val="22"/>
          <w:szCs w:val="22"/>
          <w:lang w:val="fr-FR"/>
        </w:rPr>
        <w:t>)</w:t>
      </w:r>
      <w:r w:rsidRPr="00593B52">
        <w:rPr>
          <w:rFonts w:ascii="Times New Roman" w:hAnsi="Times New Roman"/>
          <w:sz w:val="22"/>
          <w:szCs w:val="22"/>
          <w:lang w:val="fr-FR"/>
        </w:rPr>
        <w:t xml:space="preserve">. </w:t>
      </w:r>
      <w:r w:rsidRPr="005145A1">
        <w:rPr>
          <w:rFonts w:ascii="Times New Roman" w:hAnsi="Times New Roman"/>
          <w:sz w:val="22"/>
          <w:szCs w:val="22"/>
        </w:rPr>
        <w:t>Graphical display of borehole geological and geophysical logs and hydrogeochemical data</w:t>
      </w:r>
      <w:r w:rsidR="00F81CBA">
        <w:rPr>
          <w:rFonts w:ascii="Times New Roman" w:hAnsi="Times New Roman"/>
          <w:sz w:val="22"/>
          <w:szCs w:val="22"/>
        </w:rPr>
        <w:t>;</w:t>
      </w:r>
    </w:p>
    <w:p w:rsidR="005145A1" w:rsidRPr="00593B52" w:rsidRDefault="005145A1" w:rsidP="004A48E6">
      <w:pPr>
        <w:pStyle w:val="Level11"/>
        <w:numPr>
          <w:ilvl w:val="0"/>
          <w:numId w:val="37"/>
        </w:numPr>
        <w:tabs>
          <w:tab w:val="num" w:pos="720"/>
        </w:tabs>
        <w:spacing w:before="60"/>
        <w:ind w:left="714" w:hanging="357"/>
        <w:rPr>
          <w:rFonts w:ascii="Times New Roman" w:hAnsi="Times New Roman"/>
          <w:sz w:val="22"/>
          <w:szCs w:val="22"/>
          <w:lang w:val="fr-FR"/>
        </w:rPr>
      </w:pPr>
      <w:r w:rsidRPr="00593B52">
        <w:rPr>
          <w:rFonts w:ascii="Times New Roman" w:hAnsi="Times New Roman"/>
          <w:sz w:val="22"/>
          <w:szCs w:val="22"/>
          <w:lang w:val="fr-FR"/>
        </w:rPr>
        <w:t>Appendix 2: Spulak</w:t>
      </w:r>
      <w:r w:rsidR="008A5F7D" w:rsidRPr="008A5F7D">
        <w:rPr>
          <w:rFonts w:ascii="Times New Roman" w:hAnsi="Times New Roman"/>
          <w:i/>
          <w:sz w:val="22"/>
          <w:szCs w:val="22"/>
          <w:lang w:val="fr-FR"/>
        </w:rPr>
        <w:t xml:space="preserve"> et al</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Pr="00593B52">
        <w:rPr>
          <w:rFonts w:ascii="Times New Roman" w:hAnsi="Times New Roman"/>
          <w:sz w:val="22"/>
          <w:szCs w:val="22"/>
          <w:lang w:val="fr-FR"/>
        </w:rPr>
        <w:t>2012</w:t>
      </w:r>
      <w:r w:rsidR="00070183" w:rsidRPr="00593B52">
        <w:rPr>
          <w:rFonts w:ascii="Times New Roman" w:hAnsi="Times New Roman"/>
          <w:sz w:val="22"/>
          <w:szCs w:val="22"/>
          <w:lang w:val="fr-FR"/>
        </w:rPr>
        <w:t>)</w:t>
      </w:r>
      <w:r w:rsidRPr="00593B52">
        <w:rPr>
          <w:rFonts w:ascii="Times New Roman" w:hAnsi="Times New Roman"/>
          <w:sz w:val="22"/>
          <w:szCs w:val="22"/>
          <w:lang w:val="fr-FR"/>
        </w:rPr>
        <w:t>. Core photographs</w:t>
      </w:r>
      <w:r w:rsidR="00F81CBA" w:rsidRPr="00593B52">
        <w:rPr>
          <w:rFonts w:ascii="Times New Roman" w:hAnsi="Times New Roman"/>
          <w:sz w:val="22"/>
          <w:szCs w:val="22"/>
          <w:lang w:val="fr-FR"/>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Appendix 3: Apps</w:t>
      </w:r>
      <w:r w:rsidR="008A5F7D" w:rsidRPr="008A5F7D">
        <w:rPr>
          <w:rFonts w:ascii="Times New Roman" w:hAnsi="Times New Roman"/>
          <w:i/>
          <w:sz w:val="22"/>
          <w:szCs w:val="22"/>
          <w:lang w:val="fr-FR"/>
        </w:rPr>
        <w:t xml:space="preserve"> et al</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00304498" w:rsidRPr="00080A18">
        <w:rPr>
          <w:rFonts w:ascii="Times New Roman" w:hAnsi="Times New Roman"/>
          <w:sz w:val="22"/>
          <w:szCs w:val="22"/>
          <w:lang w:val="fr-FR"/>
        </w:rPr>
        <w:t>2012</w:t>
      </w:r>
      <w:r w:rsidR="00F81CBA" w:rsidRPr="00080A18">
        <w:rPr>
          <w:rFonts w:ascii="Times New Roman" w:hAnsi="Times New Roman"/>
          <w:sz w:val="22"/>
          <w:szCs w:val="22"/>
          <w:lang w:val="fr-FR"/>
        </w:rPr>
        <w:t>b</w:t>
      </w:r>
      <w:r w:rsidR="00070183" w:rsidRPr="00080A18">
        <w:rPr>
          <w:rFonts w:ascii="Times New Roman" w:hAnsi="Times New Roman"/>
          <w:sz w:val="22"/>
          <w:szCs w:val="22"/>
          <w:lang w:val="fr-FR"/>
        </w:rPr>
        <w:t>)</w:t>
      </w:r>
      <w:r w:rsidRPr="00080A18">
        <w:rPr>
          <w:rFonts w:ascii="Times New Roman" w:hAnsi="Times New Roman"/>
          <w:sz w:val="22"/>
          <w:szCs w:val="22"/>
          <w:lang w:val="fr-FR"/>
        </w:rPr>
        <w:t xml:space="preserve">. </w:t>
      </w:r>
      <w:r w:rsidRPr="005145A1">
        <w:rPr>
          <w:rFonts w:ascii="Times New Roman" w:hAnsi="Times New Roman"/>
          <w:sz w:val="22"/>
          <w:szCs w:val="22"/>
        </w:rPr>
        <w:t>Borehole geophysical and geological data</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Appendix 4: Apps</w:t>
      </w:r>
      <w:r w:rsidR="008A5F7D" w:rsidRPr="008A5F7D">
        <w:rPr>
          <w:rFonts w:ascii="Times New Roman" w:hAnsi="Times New Roman"/>
          <w:i/>
          <w:sz w:val="22"/>
          <w:szCs w:val="22"/>
          <w:lang w:val="fr-FR"/>
        </w:rPr>
        <w:t xml:space="preserve"> et al</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00304498" w:rsidRPr="00593B52">
        <w:rPr>
          <w:rFonts w:ascii="Times New Roman" w:hAnsi="Times New Roman"/>
          <w:sz w:val="22"/>
          <w:szCs w:val="22"/>
          <w:lang w:val="fr-FR"/>
        </w:rPr>
        <w:t>2012</w:t>
      </w:r>
      <w:r w:rsidR="00F81CBA" w:rsidRPr="00593B52">
        <w:rPr>
          <w:rFonts w:ascii="Times New Roman" w:hAnsi="Times New Roman"/>
          <w:sz w:val="22"/>
          <w:szCs w:val="22"/>
          <w:lang w:val="fr-FR"/>
        </w:rPr>
        <w:t>c</w:t>
      </w:r>
      <w:r w:rsidR="00070183" w:rsidRPr="00593B52">
        <w:rPr>
          <w:rFonts w:ascii="Times New Roman" w:hAnsi="Times New Roman"/>
          <w:sz w:val="22"/>
          <w:szCs w:val="22"/>
          <w:lang w:val="fr-FR"/>
        </w:rPr>
        <w:t>)</w:t>
      </w:r>
      <w:r w:rsidRPr="00593B52">
        <w:rPr>
          <w:rFonts w:ascii="Times New Roman" w:hAnsi="Times New Roman"/>
          <w:sz w:val="22"/>
          <w:szCs w:val="22"/>
          <w:lang w:val="fr-FR"/>
        </w:rPr>
        <w:t xml:space="preserve">. </w:t>
      </w:r>
      <w:r w:rsidRPr="005145A1">
        <w:rPr>
          <w:rFonts w:ascii="Times New Roman" w:hAnsi="Times New Roman"/>
          <w:sz w:val="22"/>
          <w:szCs w:val="22"/>
        </w:rPr>
        <w:t xml:space="preserve">AEM data: acquisition reports, inversion and calibration, </w:t>
      </w:r>
      <w:r w:rsidR="00497AD3">
        <w:rPr>
          <w:rFonts w:ascii="Times New Roman" w:hAnsi="Times New Roman"/>
          <w:sz w:val="22"/>
          <w:szCs w:val="22"/>
        </w:rPr>
        <w:t xml:space="preserve">FiD comparisons, </w:t>
      </w:r>
      <w:r w:rsidRPr="005145A1">
        <w:rPr>
          <w:rFonts w:ascii="Times New Roman" w:hAnsi="Times New Roman"/>
          <w:sz w:val="22"/>
          <w:szCs w:val="22"/>
        </w:rPr>
        <w:t>and basic conductivity map and cross-section products</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Appendix 5: Apps</w:t>
      </w:r>
      <w:r w:rsidR="008A5F7D" w:rsidRPr="008A5F7D">
        <w:rPr>
          <w:rFonts w:ascii="Times New Roman" w:hAnsi="Times New Roman"/>
          <w:i/>
          <w:sz w:val="22"/>
          <w:szCs w:val="22"/>
          <w:lang w:val="fr-FR"/>
        </w:rPr>
        <w:t xml:space="preserve"> et al</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00304498" w:rsidRPr="00080A18">
        <w:rPr>
          <w:rFonts w:ascii="Times New Roman" w:hAnsi="Times New Roman"/>
          <w:sz w:val="22"/>
          <w:szCs w:val="22"/>
          <w:lang w:val="fr-FR"/>
        </w:rPr>
        <w:t>2012</w:t>
      </w:r>
      <w:r w:rsidR="00F81CBA" w:rsidRPr="00080A18">
        <w:rPr>
          <w:rFonts w:ascii="Times New Roman" w:hAnsi="Times New Roman"/>
          <w:sz w:val="22"/>
          <w:szCs w:val="22"/>
          <w:lang w:val="fr-FR"/>
        </w:rPr>
        <w:t>d</w:t>
      </w:r>
      <w:r w:rsidR="00070183" w:rsidRPr="00080A18">
        <w:rPr>
          <w:rFonts w:ascii="Times New Roman" w:hAnsi="Times New Roman"/>
          <w:sz w:val="22"/>
          <w:szCs w:val="22"/>
          <w:lang w:val="fr-FR"/>
        </w:rPr>
        <w:t>)</w:t>
      </w:r>
      <w:r w:rsidRPr="00080A18">
        <w:rPr>
          <w:rFonts w:ascii="Times New Roman" w:hAnsi="Times New Roman"/>
          <w:sz w:val="22"/>
          <w:szCs w:val="22"/>
          <w:lang w:val="fr-FR"/>
        </w:rPr>
        <w:t xml:space="preserve">. </w:t>
      </w:r>
      <w:r w:rsidRPr="005145A1">
        <w:rPr>
          <w:rFonts w:ascii="Times New Roman" w:hAnsi="Times New Roman"/>
          <w:sz w:val="22"/>
          <w:szCs w:val="22"/>
        </w:rPr>
        <w:t>AEM-based interpretation products: maps and cross-sections</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145A1">
        <w:rPr>
          <w:rFonts w:ascii="Times New Roman" w:hAnsi="Times New Roman"/>
          <w:sz w:val="22"/>
          <w:szCs w:val="22"/>
        </w:rPr>
        <w:t xml:space="preserve">Appendix 6: </w:t>
      </w:r>
      <w:smartTag w:uri="urn:schemas-microsoft-com:office:smarttags" w:element="place">
        <w:smartTag w:uri="urn:schemas-microsoft-com:office:smarttags" w:element="City">
          <w:r w:rsidRPr="005145A1">
            <w:rPr>
              <w:rFonts w:ascii="Times New Roman" w:hAnsi="Times New Roman"/>
              <w:sz w:val="22"/>
              <w:szCs w:val="22"/>
            </w:rPr>
            <w:t>Somerville</w:t>
          </w:r>
        </w:smartTag>
      </w:smartTag>
      <w:r w:rsidRPr="005145A1">
        <w:rPr>
          <w:rFonts w:ascii="Times New Roman" w:hAnsi="Times New Roman"/>
          <w:sz w:val="22"/>
          <w:szCs w:val="22"/>
        </w:rPr>
        <w:t>,</w:t>
      </w:r>
      <w:r w:rsidR="008A5F7D" w:rsidRPr="008A5F7D">
        <w:rPr>
          <w:rFonts w:ascii="Times New Roman" w:hAnsi="Times New Roman"/>
          <w:i/>
          <w:sz w:val="22"/>
          <w:szCs w:val="22"/>
        </w:rPr>
        <w:t xml:space="preserve"> et al</w:t>
      </w:r>
      <w:r w:rsidRPr="005145A1">
        <w:rPr>
          <w:rFonts w:ascii="Times New Roman" w:hAnsi="Times New Roman"/>
          <w:sz w:val="22"/>
          <w:szCs w:val="22"/>
        </w:rPr>
        <w:t xml:space="preserve">. </w:t>
      </w:r>
      <w:r w:rsidR="00070183">
        <w:rPr>
          <w:rFonts w:ascii="Times New Roman" w:hAnsi="Times New Roman"/>
          <w:sz w:val="22"/>
          <w:szCs w:val="22"/>
        </w:rPr>
        <w:t>(</w:t>
      </w:r>
      <w:r w:rsidRPr="005145A1">
        <w:rPr>
          <w:rFonts w:ascii="Times New Roman" w:hAnsi="Times New Roman"/>
          <w:sz w:val="22"/>
          <w:szCs w:val="22"/>
        </w:rPr>
        <w:t>2012</w:t>
      </w:r>
      <w:r w:rsidR="00070183">
        <w:rPr>
          <w:rFonts w:ascii="Times New Roman" w:hAnsi="Times New Roman"/>
          <w:sz w:val="22"/>
          <w:szCs w:val="22"/>
        </w:rPr>
        <w:t>)</w:t>
      </w:r>
      <w:r w:rsidRPr="005145A1">
        <w:rPr>
          <w:rFonts w:ascii="Times New Roman" w:hAnsi="Times New Roman"/>
          <w:sz w:val="22"/>
          <w:szCs w:val="22"/>
        </w:rPr>
        <w:t>. Hydrological, climate, hydrochemical and hydrodynamic data</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Appendix 7: Apps</w:t>
      </w:r>
      <w:r w:rsidR="008A5F7D" w:rsidRPr="008A5F7D">
        <w:rPr>
          <w:rFonts w:ascii="Times New Roman" w:hAnsi="Times New Roman"/>
          <w:i/>
          <w:sz w:val="22"/>
          <w:szCs w:val="22"/>
          <w:lang w:val="fr-FR"/>
        </w:rPr>
        <w:t xml:space="preserve"> et al</w:t>
      </w:r>
      <w:r w:rsidR="00F81E70">
        <w:rPr>
          <w:rFonts w:ascii="Times New Roman" w:hAnsi="Times New Roman"/>
          <w:i/>
          <w:sz w:val="22"/>
          <w:szCs w:val="22"/>
          <w:lang w:val="fr-FR"/>
        </w:rPr>
        <w:t>.</w:t>
      </w:r>
      <w:r w:rsidRPr="00593B52">
        <w:rPr>
          <w:rFonts w:ascii="Times New Roman" w:hAnsi="Times New Roman"/>
          <w:i/>
          <w:sz w:val="22"/>
          <w:szCs w:val="22"/>
          <w:lang w:val="fr-FR"/>
        </w:rPr>
        <w:t xml:space="preserve"> </w:t>
      </w:r>
      <w:r w:rsidR="00070183" w:rsidRPr="00593B52">
        <w:rPr>
          <w:rFonts w:ascii="Times New Roman" w:hAnsi="Times New Roman"/>
          <w:sz w:val="22"/>
          <w:szCs w:val="22"/>
          <w:lang w:val="fr-FR"/>
        </w:rPr>
        <w:t>(</w:t>
      </w:r>
      <w:r w:rsidR="00304498" w:rsidRPr="00593B52">
        <w:rPr>
          <w:rFonts w:ascii="Times New Roman" w:hAnsi="Times New Roman"/>
          <w:sz w:val="22"/>
          <w:szCs w:val="22"/>
          <w:lang w:val="fr-FR"/>
        </w:rPr>
        <w:t>2012</w:t>
      </w:r>
      <w:r w:rsidR="00F81CBA" w:rsidRPr="00593B52">
        <w:rPr>
          <w:rFonts w:ascii="Times New Roman" w:hAnsi="Times New Roman"/>
          <w:sz w:val="22"/>
          <w:szCs w:val="22"/>
          <w:lang w:val="fr-FR"/>
        </w:rPr>
        <w:t>e</w:t>
      </w:r>
      <w:r w:rsidR="00070183" w:rsidRPr="00593B52">
        <w:rPr>
          <w:rFonts w:ascii="Times New Roman" w:hAnsi="Times New Roman"/>
          <w:sz w:val="22"/>
          <w:szCs w:val="22"/>
          <w:lang w:val="fr-FR"/>
        </w:rPr>
        <w:t>)</w:t>
      </w:r>
      <w:r w:rsidRPr="00593B52">
        <w:rPr>
          <w:rFonts w:ascii="Times New Roman" w:hAnsi="Times New Roman"/>
          <w:sz w:val="22"/>
          <w:szCs w:val="22"/>
          <w:lang w:val="fr-FR"/>
        </w:rPr>
        <w:t xml:space="preserve">. </w:t>
      </w:r>
      <w:r w:rsidR="00F81CBA">
        <w:rPr>
          <w:rFonts w:ascii="Times New Roman" w:hAnsi="Times New Roman"/>
          <w:sz w:val="22"/>
          <w:szCs w:val="22"/>
        </w:rPr>
        <w:t>Age dating;</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Appendix 8: Apps</w:t>
      </w:r>
      <w:r w:rsidR="008A5F7D" w:rsidRPr="008A5F7D">
        <w:rPr>
          <w:rFonts w:ascii="Times New Roman" w:hAnsi="Times New Roman"/>
          <w:i/>
          <w:sz w:val="22"/>
          <w:szCs w:val="22"/>
          <w:lang w:val="fr-FR"/>
        </w:rPr>
        <w:t xml:space="preserve"> et al</w:t>
      </w:r>
      <w:r w:rsidR="00F81E70">
        <w:rPr>
          <w:rFonts w:ascii="Times New Roman" w:hAnsi="Times New Roman"/>
          <w:i/>
          <w:sz w:val="22"/>
          <w:szCs w:val="22"/>
          <w:lang w:val="fr-FR"/>
        </w:rPr>
        <w:t>.</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00304498" w:rsidRPr="00080A18">
        <w:rPr>
          <w:rFonts w:ascii="Times New Roman" w:hAnsi="Times New Roman"/>
          <w:sz w:val="22"/>
          <w:szCs w:val="22"/>
          <w:lang w:val="fr-FR"/>
        </w:rPr>
        <w:t>2012</w:t>
      </w:r>
      <w:r w:rsidR="00F81CBA" w:rsidRPr="00080A18">
        <w:rPr>
          <w:rFonts w:ascii="Times New Roman" w:hAnsi="Times New Roman"/>
          <w:sz w:val="22"/>
          <w:szCs w:val="22"/>
          <w:lang w:val="fr-FR"/>
        </w:rPr>
        <w:t>f</w:t>
      </w:r>
      <w:r w:rsidR="00070183" w:rsidRPr="00080A18">
        <w:rPr>
          <w:rFonts w:ascii="Times New Roman" w:hAnsi="Times New Roman"/>
          <w:sz w:val="22"/>
          <w:szCs w:val="22"/>
          <w:lang w:val="fr-FR"/>
        </w:rPr>
        <w:t>)</w:t>
      </w:r>
      <w:r w:rsidRPr="00080A18">
        <w:rPr>
          <w:rFonts w:ascii="Times New Roman" w:hAnsi="Times New Roman"/>
          <w:sz w:val="22"/>
          <w:szCs w:val="22"/>
          <w:lang w:val="fr-FR"/>
        </w:rPr>
        <w:t xml:space="preserve">. </w:t>
      </w:r>
      <w:r w:rsidRPr="005145A1">
        <w:rPr>
          <w:rFonts w:ascii="Times New Roman" w:hAnsi="Times New Roman"/>
          <w:sz w:val="22"/>
          <w:szCs w:val="22"/>
        </w:rPr>
        <w:t>Recharge models and data</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080A18">
        <w:rPr>
          <w:rFonts w:ascii="Times New Roman" w:hAnsi="Times New Roman"/>
          <w:sz w:val="22"/>
          <w:szCs w:val="22"/>
          <w:lang w:val="fr-FR"/>
        </w:rPr>
        <w:t>Appendix 9: Gow</w:t>
      </w:r>
      <w:r w:rsidR="008A5F7D" w:rsidRPr="008A5F7D">
        <w:rPr>
          <w:rFonts w:ascii="Times New Roman" w:hAnsi="Times New Roman"/>
          <w:i/>
          <w:sz w:val="22"/>
          <w:szCs w:val="22"/>
          <w:lang w:val="fr-FR"/>
        </w:rPr>
        <w:t xml:space="preserve"> et al</w:t>
      </w:r>
      <w:r w:rsidR="00F81E70">
        <w:rPr>
          <w:rFonts w:ascii="Times New Roman" w:hAnsi="Times New Roman"/>
          <w:i/>
          <w:sz w:val="22"/>
          <w:szCs w:val="22"/>
          <w:lang w:val="fr-FR"/>
        </w:rPr>
        <w:t>.</w:t>
      </w:r>
      <w:r w:rsidRPr="00080A18">
        <w:rPr>
          <w:rFonts w:ascii="Times New Roman" w:hAnsi="Times New Roman"/>
          <w:sz w:val="22"/>
          <w:szCs w:val="22"/>
          <w:lang w:val="fr-FR"/>
        </w:rPr>
        <w:t xml:space="preserve"> </w:t>
      </w:r>
      <w:r w:rsidR="00070183" w:rsidRPr="00080A18">
        <w:rPr>
          <w:rFonts w:ascii="Times New Roman" w:hAnsi="Times New Roman"/>
          <w:sz w:val="22"/>
          <w:szCs w:val="22"/>
          <w:lang w:val="fr-FR"/>
        </w:rPr>
        <w:t>(</w:t>
      </w:r>
      <w:r w:rsidRPr="00080A18">
        <w:rPr>
          <w:rFonts w:ascii="Times New Roman" w:hAnsi="Times New Roman"/>
          <w:sz w:val="22"/>
          <w:szCs w:val="22"/>
          <w:lang w:val="fr-FR"/>
        </w:rPr>
        <w:t>2012</w:t>
      </w:r>
      <w:r w:rsidR="00884690" w:rsidRPr="00080A18">
        <w:rPr>
          <w:rFonts w:ascii="Times New Roman" w:hAnsi="Times New Roman"/>
          <w:sz w:val="22"/>
          <w:szCs w:val="22"/>
          <w:lang w:val="fr-FR"/>
        </w:rPr>
        <w:t>b</w:t>
      </w:r>
      <w:r w:rsidR="00070183" w:rsidRPr="00080A18">
        <w:rPr>
          <w:rFonts w:ascii="Times New Roman" w:hAnsi="Times New Roman"/>
          <w:sz w:val="22"/>
          <w:szCs w:val="22"/>
          <w:lang w:val="fr-FR"/>
        </w:rPr>
        <w:t>)</w:t>
      </w:r>
      <w:r w:rsidRPr="00080A18">
        <w:rPr>
          <w:rFonts w:ascii="Times New Roman" w:hAnsi="Times New Roman"/>
          <w:sz w:val="22"/>
          <w:szCs w:val="22"/>
          <w:lang w:val="fr-FR"/>
        </w:rPr>
        <w:t xml:space="preserve">. </w:t>
      </w:r>
      <w:r w:rsidRPr="005145A1">
        <w:rPr>
          <w:rFonts w:ascii="Times New Roman" w:hAnsi="Times New Roman"/>
          <w:sz w:val="22"/>
          <w:szCs w:val="22"/>
        </w:rPr>
        <w:t>Remote sensing /vegetation health analysis background data and intermediate products</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Appendix 10: Apps</w:t>
      </w:r>
      <w:r w:rsidR="008A5F7D" w:rsidRPr="008A5F7D">
        <w:rPr>
          <w:rFonts w:ascii="Times New Roman" w:hAnsi="Times New Roman"/>
          <w:i/>
          <w:sz w:val="22"/>
          <w:szCs w:val="22"/>
          <w:lang w:val="fr-FR"/>
        </w:rPr>
        <w:t xml:space="preserve"> et al</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00304498" w:rsidRPr="00080A18">
        <w:rPr>
          <w:rFonts w:ascii="Times New Roman" w:hAnsi="Times New Roman"/>
          <w:sz w:val="22"/>
          <w:szCs w:val="22"/>
          <w:lang w:val="fr-FR"/>
        </w:rPr>
        <w:t>2012</w:t>
      </w:r>
      <w:r w:rsidR="00F81CBA" w:rsidRPr="00080A18">
        <w:rPr>
          <w:rFonts w:ascii="Times New Roman" w:hAnsi="Times New Roman"/>
          <w:sz w:val="22"/>
          <w:szCs w:val="22"/>
          <w:lang w:val="fr-FR"/>
        </w:rPr>
        <w:t>g</w:t>
      </w:r>
      <w:r w:rsidR="00070183" w:rsidRPr="00080A18">
        <w:rPr>
          <w:rFonts w:ascii="Times New Roman" w:hAnsi="Times New Roman"/>
          <w:sz w:val="22"/>
          <w:szCs w:val="22"/>
          <w:lang w:val="fr-FR"/>
        </w:rPr>
        <w:t>)</w:t>
      </w:r>
      <w:r w:rsidRPr="00080A18">
        <w:rPr>
          <w:rFonts w:ascii="Times New Roman" w:hAnsi="Times New Roman"/>
          <w:sz w:val="22"/>
          <w:szCs w:val="22"/>
          <w:lang w:val="fr-FR"/>
        </w:rPr>
        <w:t xml:space="preserve">. </w:t>
      </w:r>
      <w:r w:rsidRPr="005145A1">
        <w:rPr>
          <w:rFonts w:ascii="Times New Roman" w:hAnsi="Times New Roman"/>
          <w:sz w:val="22"/>
          <w:szCs w:val="22"/>
        </w:rPr>
        <w:t>Ground and in-river geophysics and supporting data</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145A1">
        <w:rPr>
          <w:rFonts w:ascii="Times New Roman" w:hAnsi="Times New Roman"/>
          <w:sz w:val="22"/>
          <w:szCs w:val="22"/>
        </w:rPr>
        <w:t xml:space="preserve">Appendix 11: </w:t>
      </w:r>
      <w:r w:rsidR="00994E36">
        <w:rPr>
          <w:rFonts w:ascii="Times New Roman" w:hAnsi="Times New Roman"/>
          <w:sz w:val="22"/>
          <w:szCs w:val="22"/>
        </w:rPr>
        <w:t xml:space="preserve">Apps &amp; </w:t>
      </w:r>
      <w:r w:rsidRPr="005145A1">
        <w:rPr>
          <w:rFonts w:ascii="Times New Roman" w:hAnsi="Times New Roman"/>
          <w:sz w:val="22"/>
          <w:szCs w:val="22"/>
        </w:rPr>
        <w:t xml:space="preserve">Lawrie </w:t>
      </w:r>
      <w:r w:rsidR="00070183">
        <w:rPr>
          <w:rFonts w:ascii="Times New Roman" w:hAnsi="Times New Roman"/>
          <w:sz w:val="22"/>
          <w:szCs w:val="22"/>
        </w:rPr>
        <w:t>(</w:t>
      </w:r>
      <w:r w:rsidRPr="005145A1">
        <w:rPr>
          <w:rFonts w:ascii="Times New Roman" w:hAnsi="Times New Roman"/>
          <w:sz w:val="22"/>
          <w:szCs w:val="22"/>
        </w:rPr>
        <w:t>2012</w:t>
      </w:r>
      <w:r w:rsidR="00070183">
        <w:rPr>
          <w:rFonts w:ascii="Times New Roman" w:hAnsi="Times New Roman"/>
          <w:sz w:val="22"/>
          <w:szCs w:val="22"/>
        </w:rPr>
        <w:t>)</w:t>
      </w:r>
      <w:r w:rsidRPr="005145A1">
        <w:rPr>
          <w:rFonts w:ascii="Times New Roman" w:hAnsi="Times New Roman"/>
          <w:sz w:val="22"/>
          <w:szCs w:val="22"/>
        </w:rPr>
        <w:t>. CSIRO MAR reports</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145A1">
        <w:rPr>
          <w:rFonts w:ascii="Times New Roman" w:hAnsi="Times New Roman"/>
          <w:sz w:val="22"/>
          <w:szCs w:val="22"/>
        </w:rPr>
        <w:t>Appendix 12: Apps</w:t>
      </w:r>
      <w:r w:rsidR="00994E36">
        <w:rPr>
          <w:rFonts w:ascii="Times New Roman" w:hAnsi="Times New Roman"/>
          <w:sz w:val="22"/>
          <w:szCs w:val="22"/>
        </w:rPr>
        <w:t xml:space="preserve"> &amp; Gibson</w:t>
      </w:r>
      <w:r w:rsidRPr="005145A1">
        <w:rPr>
          <w:rFonts w:ascii="Times New Roman" w:hAnsi="Times New Roman"/>
          <w:sz w:val="22"/>
          <w:szCs w:val="22"/>
        </w:rPr>
        <w:t xml:space="preserve"> </w:t>
      </w:r>
      <w:r w:rsidR="00070183">
        <w:rPr>
          <w:rFonts w:ascii="Times New Roman" w:hAnsi="Times New Roman"/>
          <w:sz w:val="22"/>
          <w:szCs w:val="22"/>
        </w:rPr>
        <w:t>(</w:t>
      </w:r>
      <w:r w:rsidRPr="005145A1">
        <w:rPr>
          <w:rFonts w:ascii="Times New Roman" w:hAnsi="Times New Roman"/>
          <w:sz w:val="22"/>
          <w:szCs w:val="22"/>
        </w:rPr>
        <w:t>2012</w:t>
      </w:r>
      <w:r w:rsidR="00070183">
        <w:rPr>
          <w:rFonts w:ascii="Times New Roman" w:hAnsi="Times New Roman"/>
          <w:sz w:val="22"/>
          <w:szCs w:val="22"/>
        </w:rPr>
        <w:t>)</w:t>
      </w:r>
      <w:r w:rsidRPr="005145A1">
        <w:rPr>
          <w:rFonts w:ascii="Times New Roman" w:hAnsi="Times New Roman"/>
          <w:sz w:val="22"/>
          <w:szCs w:val="22"/>
        </w:rPr>
        <w:t>. Drilling construction, location and remediation data and reports</w:t>
      </w:r>
      <w:r w:rsidR="00F81CBA">
        <w:rPr>
          <w:rFonts w:ascii="Times New Roman" w:hAnsi="Times New Roman"/>
          <w:sz w:val="22"/>
          <w:szCs w:val="22"/>
        </w:rPr>
        <w:t>;</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lastRenderedPageBreak/>
        <w:t>Appendix 13: Apps</w:t>
      </w:r>
      <w:r w:rsidR="008A5F7D" w:rsidRPr="008A5F7D">
        <w:rPr>
          <w:rFonts w:ascii="Times New Roman" w:hAnsi="Times New Roman"/>
          <w:i/>
          <w:sz w:val="22"/>
          <w:szCs w:val="22"/>
          <w:lang w:val="fr-FR"/>
        </w:rPr>
        <w:t xml:space="preserve"> et al</w:t>
      </w:r>
      <w:r w:rsidRPr="00593B52">
        <w:rPr>
          <w:rFonts w:ascii="Times New Roman" w:hAnsi="Times New Roman"/>
          <w:i/>
          <w:sz w:val="22"/>
          <w:szCs w:val="22"/>
          <w:lang w:val="fr-FR"/>
        </w:rPr>
        <w:t>.</w:t>
      </w:r>
      <w:r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00304498" w:rsidRPr="00080A18">
        <w:rPr>
          <w:rFonts w:ascii="Times New Roman" w:hAnsi="Times New Roman"/>
          <w:sz w:val="22"/>
          <w:szCs w:val="22"/>
          <w:lang w:val="fr-FR"/>
        </w:rPr>
        <w:t>2012</w:t>
      </w:r>
      <w:r w:rsidR="00F81CBA" w:rsidRPr="00080A18">
        <w:rPr>
          <w:rFonts w:ascii="Times New Roman" w:hAnsi="Times New Roman"/>
          <w:sz w:val="22"/>
          <w:szCs w:val="22"/>
          <w:lang w:val="fr-FR"/>
        </w:rPr>
        <w:t>h</w:t>
      </w:r>
      <w:r w:rsidR="00070183" w:rsidRPr="00080A18">
        <w:rPr>
          <w:rFonts w:ascii="Times New Roman" w:hAnsi="Times New Roman"/>
          <w:sz w:val="22"/>
          <w:szCs w:val="22"/>
          <w:lang w:val="fr-FR"/>
        </w:rPr>
        <w:t>)</w:t>
      </w:r>
      <w:r w:rsidRPr="00080A18">
        <w:rPr>
          <w:rFonts w:ascii="Times New Roman" w:hAnsi="Times New Roman"/>
          <w:sz w:val="22"/>
          <w:szCs w:val="22"/>
          <w:lang w:val="fr-FR"/>
        </w:rPr>
        <w:t xml:space="preserve">. </w:t>
      </w:r>
      <w:r w:rsidRPr="005145A1">
        <w:rPr>
          <w:rFonts w:ascii="Times New Roman" w:hAnsi="Times New Roman"/>
          <w:sz w:val="22"/>
          <w:szCs w:val="22"/>
        </w:rPr>
        <w:t xml:space="preserve">Borehole </w:t>
      </w:r>
      <w:r w:rsidR="0061581B">
        <w:rPr>
          <w:rFonts w:ascii="Times New Roman" w:hAnsi="Times New Roman"/>
          <w:sz w:val="22"/>
          <w:szCs w:val="22"/>
        </w:rPr>
        <w:t>h</w:t>
      </w:r>
      <w:r w:rsidRPr="005145A1">
        <w:rPr>
          <w:rFonts w:ascii="Times New Roman" w:hAnsi="Times New Roman"/>
          <w:sz w:val="22"/>
          <w:szCs w:val="22"/>
        </w:rPr>
        <w:t xml:space="preserve">ydraulic </w:t>
      </w:r>
      <w:r w:rsidR="0061581B">
        <w:rPr>
          <w:rFonts w:ascii="Times New Roman" w:hAnsi="Times New Roman"/>
          <w:sz w:val="22"/>
          <w:szCs w:val="22"/>
        </w:rPr>
        <w:t>d</w:t>
      </w:r>
      <w:r w:rsidRPr="005145A1">
        <w:rPr>
          <w:rFonts w:ascii="Times New Roman" w:hAnsi="Times New Roman"/>
          <w:sz w:val="22"/>
          <w:szCs w:val="22"/>
        </w:rPr>
        <w:t>ata contractor rep</w:t>
      </w:r>
      <w:r w:rsidR="00F81CBA">
        <w:rPr>
          <w:rFonts w:ascii="Times New Roman" w:hAnsi="Times New Roman"/>
          <w:sz w:val="22"/>
          <w:szCs w:val="22"/>
        </w:rPr>
        <w:t>orts;</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93B52">
        <w:rPr>
          <w:rFonts w:ascii="Times New Roman" w:hAnsi="Times New Roman"/>
          <w:sz w:val="22"/>
          <w:szCs w:val="22"/>
          <w:lang w:val="fr-FR"/>
        </w:rPr>
        <w:t xml:space="preserve">Appendix 14: </w:t>
      </w:r>
      <w:r w:rsidR="00994E36" w:rsidRPr="00593B52">
        <w:rPr>
          <w:rFonts w:ascii="Times New Roman" w:hAnsi="Times New Roman"/>
          <w:sz w:val="22"/>
          <w:szCs w:val="22"/>
          <w:lang w:val="fr-FR"/>
        </w:rPr>
        <w:t>Lawrie</w:t>
      </w:r>
      <w:r w:rsidR="008A5F7D" w:rsidRPr="008A5F7D">
        <w:rPr>
          <w:rFonts w:ascii="Times New Roman" w:hAnsi="Times New Roman"/>
          <w:i/>
          <w:sz w:val="22"/>
          <w:szCs w:val="22"/>
          <w:lang w:val="fr-FR"/>
        </w:rPr>
        <w:t xml:space="preserve"> et al</w:t>
      </w:r>
      <w:r w:rsidR="00994E36" w:rsidRPr="00593B52">
        <w:rPr>
          <w:rFonts w:ascii="Times New Roman" w:hAnsi="Times New Roman"/>
          <w:sz w:val="22"/>
          <w:szCs w:val="22"/>
          <w:lang w:val="fr-FR"/>
        </w:rPr>
        <w:t xml:space="preserve">. </w:t>
      </w:r>
      <w:r w:rsidR="00070183" w:rsidRPr="00593B52">
        <w:rPr>
          <w:rFonts w:ascii="Times New Roman" w:hAnsi="Times New Roman"/>
          <w:sz w:val="22"/>
          <w:szCs w:val="22"/>
          <w:lang w:val="fr-FR"/>
        </w:rPr>
        <w:t>(</w:t>
      </w:r>
      <w:r w:rsidRPr="00080A18">
        <w:rPr>
          <w:rFonts w:ascii="Times New Roman" w:hAnsi="Times New Roman"/>
          <w:sz w:val="22"/>
          <w:szCs w:val="22"/>
          <w:lang w:val="fr-FR"/>
        </w:rPr>
        <w:t>2012</w:t>
      </w:r>
      <w:r w:rsidR="00884690" w:rsidRPr="00080A18">
        <w:rPr>
          <w:rFonts w:ascii="Times New Roman" w:hAnsi="Times New Roman"/>
          <w:sz w:val="22"/>
          <w:szCs w:val="22"/>
          <w:lang w:val="fr-FR"/>
        </w:rPr>
        <w:t>f</w:t>
      </w:r>
      <w:r w:rsidR="00070183" w:rsidRPr="00080A18">
        <w:rPr>
          <w:rFonts w:ascii="Times New Roman" w:hAnsi="Times New Roman"/>
          <w:sz w:val="22"/>
          <w:szCs w:val="22"/>
          <w:lang w:val="fr-FR"/>
        </w:rPr>
        <w:t>)</w:t>
      </w:r>
      <w:r w:rsidRPr="00080A18">
        <w:rPr>
          <w:rFonts w:ascii="Times New Roman" w:hAnsi="Times New Roman"/>
          <w:sz w:val="22"/>
          <w:szCs w:val="22"/>
          <w:lang w:val="fr-FR"/>
        </w:rPr>
        <w:t xml:space="preserve">. </w:t>
      </w:r>
      <w:r w:rsidRPr="005145A1">
        <w:rPr>
          <w:rFonts w:ascii="Times New Roman" w:hAnsi="Times New Roman"/>
          <w:sz w:val="22"/>
          <w:szCs w:val="22"/>
        </w:rPr>
        <w:t>LIDAR acquisition and processing contractor reports</w:t>
      </w:r>
      <w:r w:rsidR="00F81CBA">
        <w:rPr>
          <w:rFonts w:ascii="Times New Roman" w:hAnsi="Times New Roman"/>
          <w:sz w:val="22"/>
          <w:szCs w:val="22"/>
        </w:rPr>
        <w:t>; and</w:t>
      </w:r>
    </w:p>
    <w:p w:rsidR="005145A1" w:rsidRPr="005145A1" w:rsidRDefault="005145A1" w:rsidP="004A48E6">
      <w:pPr>
        <w:pStyle w:val="Level11"/>
        <w:numPr>
          <w:ilvl w:val="0"/>
          <w:numId w:val="37"/>
        </w:numPr>
        <w:tabs>
          <w:tab w:val="num" w:pos="720"/>
        </w:tabs>
        <w:spacing w:before="60"/>
        <w:ind w:left="714" w:hanging="357"/>
        <w:rPr>
          <w:rFonts w:ascii="Times New Roman" w:hAnsi="Times New Roman"/>
          <w:sz w:val="22"/>
          <w:szCs w:val="22"/>
        </w:rPr>
      </w:pPr>
      <w:r w:rsidRPr="005145A1">
        <w:rPr>
          <w:rFonts w:ascii="Times New Roman" w:hAnsi="Times New Roman"/>
          <w:sz w:val="22"/>
          <w:szCs w:val="22"/>
        </w:rPr>
        <w:t>Appendix 15: Magee</w:t>
      </w:r>
      <w:r w:rsidR="008A5F7D" w:rsidRPr="008A5F7D">
        <w:rPr>
          <w:rFonts w:ascii="Times New Roman" w:hAnsi="Times New Roman"/>
          <w:i/>
          <w:sz w:val="22"/>
          <w:szCs w:val="22"/>
        </w:rPr>
        <w:t xml:space="preserve"> et al</w:t>
      </w:r>
      <w:r w:rsidRPr="005145A1">
        <w:rPr>
          <w:rFonts w:ascii="Times New Roman" w:hAnsi="Times New Roman"/>
          <w:sz w:val="22"/>
          <w:szCs w:val="22"/>
        </w:rPr>
        <w:t xml:space="preserve">. </w:t>
      </w:r>
      <w:r w:rsidR="00070183">
        <w:rPr>
          <w:rFonts w:ascii="Times New Roman" w:hAnsi="Times New Roman"/>
          <w:sz w:val="22"/>
          <w:szCs w:val="22"/>
        </w:rPr>
        <w:t>(</w:t>
      </w:r>
      <w:r w:rsidRPr="005145A1">
        <w:rPr>
          <w:rFonts w:ascii="Times New Roman" w:hAnsi="Times New Roman"/>
          <w:sz w:val="22"/>
          <w:szCs w:val="22"/>
        </w:rPr>
        <w:t>2012</w:t>
      </w:r>
      <w:r w:rsidR="00070183">
        <w:rPr>
          <w:rFonts w:ascii="Times New Roman" w:hAnsi="Times New Roman"/>
          <w:sz w:val="22"/>
          <w:szCs w:val="22"/>
        </w:rPr>
        <w:t>)</w:t>
      </w:r>
      <w:r w:rsidRPr="005145A1">
        <w:rPr>
          <w:rFonts w:ascii="Times New Roman" w:hAnsi="Times New Roman"/>
          <w:sz w:val="22"/>
          <w:szCs w:val="22"/>
        </w:rPr>
        <w:t>. Cultural Heritage and environmental clearance surveys</w:t>
      </w:r>
      <w:r w:rsidR="00F81CBA">
        <w:rPr>
          <w:rFonts w:ascii="Times New Roman" w:hAnsi="Times New Roman"/>
          <w:sz w:val="22"/>
          <w:szCs w:val="22"/>
        </w:rPr>
        <w:t>.</w:t>
      </w:r>
    </w:p>
    <w:p w:rsidR="005145A1" w:rsidRPr="005145A1" w:rsidRDefault="005145A1" w:rsidP="005145A1">
      <w:pPr>
        <w:rPr>
          <w:szCs w:val="22"/>
        </w:rPr>
      </w:pPr>
    </w:p>
    <w:p w:rsidR="005145A1" w:rsidRPr="005145A1" w:rsidRDefault="005145A1" w:rsidP="005145A1">
      <w:pPr>
        <w:tabs>
          <w:tab w:val="num" w:pos="360"/>
        </w:tabs>
        <w:rPr>
          <w:rStyle w:val="Heading1Char"/>
          <w:rFonts w:ascii="Times New Roman" w:hAnsi="Times New Roman"/>
          <w:caps w:val="0"/>
          <w:color w:val="000000"/>
          <w:sz w:val="22"/>
          <w:szCs w:val="22"/>
        </w:rPr>
      </w:pPr>
      <w:r w:rsidRPr="005145A1">
        <w:rPr>
          <w:rStyle w:val="Heading1Char"/>
          <w:rFonts w:ascii="Times New Roman" w:hAnsi="Times New Roman"/>
          <w:caps w:val="0"/>
          <w:color w:val="000000"/>
          <w:sz w:val="22"/>
          <w:szCs w:val="22"/>
        </w:rPr>
        <w:t xml:space="preserve">Other </w:t>
      </w:r>
      <w:r>
        <w:rPr>
          <w:rStyle w:val="Heading1Char"/>
          <w:rFonts w:ascii="Times New Roman" w:hAnsi="Times New Roman"/>
          <w:caps w:val="0"/>
          <w:color w:val="000000"/>
          <w:sz w:val="22"/>
          <w:szCs w:val="22"/>
        </w:rPr>
        <w:t xml:space="preserve">final </w:t>
      </w:r>
      <w:r w:rsidRPr="005145A1">
        <w:rPr>
          <w:rStyle w:val="Heading1Char"/>
          <w:rFonts w:ascii="Times New Roman" w:hAnsi="Times New Roman"/>
          <w:caps w:val="0"/>
          <w:color w:val="000000"/>
          <w:sz w:val="22"/>
          <w:szCs w:val="22"/>
        </w:rPr>
        <w:t xml:space="preserve">products </w:t>
      </w:r>
      <w:r w:rsidR="00F81CBA">
        <w:rPr>
          <w:rStyle w:val="Heading1Char"/>
          <w:rFonts w:ascii="Times New Roman" w:hAnsi="Times New Roman"/>
          <w:caps w:val="0"/>
          <w:color w:val="000000"/>
          <w:sz w:val="22"/>
          <w:szCs w:val="22"/>
        </w:rPr>
        <w:t>are</w:t>
      </w:r>
      <w:r w:rsidRPr="005145A1">
        <w:rPr>
          <w:rStyle w:val="Heading1Char"/>
          <w:rFonts w:ascii="Times New Roman" w:hAnsi="Times New Roman"/>
          <w:caps w:val="0"/>
          <w:color w:val="000000"/>
          <w:sz w:val="22"/>
          <w:szCs w:val="22"/>
        </w:rPr>
        <w:t>:</w:t>
      </w:r>
    </w:p>
    <w:p w:rsidR="005145A1" w:rsidRPr="005145A1" w:rsidRDefault="005145A1" w:rsidP="007B61E9">
      <w:pPr>
        <w:pStyle w:val="Level11"/>
        <w:numPr>
          <w:ilvl w:val="0"/>
          <w:numId w:val="37"/>
        </w:numPr>
        <w:tabs>
          <w:tab w:val="num" w:pos="720"/>
        </w:tabs>
        <w:spacing w:before="60"/>
        <w:ind w:left="714" w:hanging="357"/>
        <w:rPr>
          <w:rFonts w:ascii="Times New Roman" w:hAnsi="Times New Roman"/>
          <w:sz w:val="22"/>
          <w:szCs w:val="22"/>
        </w:rPr>
      </w:pPr>
      <w:r w:rsidRPr="005145A1">
        <w:rPr>
          <w:rFonts w:ascii="Times New Roman" w:hAnsi="Times New Roman"/>
          <w:sz w:val="22"/>
          <w:szCs w:val="22"/>
        </w:rPr>
        <w:t>Halas</w:t>
      </w:r>
      <w:r w:rsidR="008A5F7D" w:rsidRPr="008A5F7D">
        <w:rPr>
          <w:rFonts w:ascii="Times New Roman" w:hAnsi="Times New Roman"/>
          <w:i/>
          <w:sz w:val="22"/>
          <w:szCs w:val="22"/>
        </w:rPr>
        <w:t xml:space="preserve"> et al</w:t>
      </w:r>
      <w:r w:rsidRPr="005145A1">
        <w:rPr>
          <w:rFonts w:ascii="Times New Roman" w:hAnsi="Times New Roman"/>
          <w:sz w:val="22"/>
          <w:szCs w:val="22"/>
        </w:rPr>
        <w:t xml:space="preserve">. </w:t>
      </w:r>
      <w:r w:rsidR="00070183">
        <w:rPr>
          <w:rFonts w:ascii="Times New Roman" w:hAnsi="Times New Roman"/>
          <w:sz w:val="22"/>
          <w:szCs w:val="22"/>
        </w:rPr>
        <w:t>(</w:t>
      </w:r>
      <w:r w:rsidRPr="005145A1">
        <w:rPr>
          <w:rFonts w:ascii="Times New Roman" w:hAnsi="Times New Roman"/>
          <w:sz w:val="22"/>
          <w:szCs w:val="22"/>
        </w:rPr>
        <w:t>2012</w:t>
      </w:r>
      <w:r w:rsidR="00966590">
        <w:rPr>
          <w:rFonts w:ascii="Times New Roman" w:hAnsi="Times New Roman"/>
          <w:sz w:val="22"/>
          <w:szCs w:val="22"/>
        </w:rPr>
        <w:t>b</w:t>
      </w:r>
      <w:r w:rsidR="00070183">
        <w:rPr>
          <w:rFonts w:ascii="Times New Roman" w:hAnsi="Times New Roman"/>
          <w:sz w:val="22"/>
          <w:szCs w:val="22"/>
        </w:rPr>
        <w:t>)</w:t>
      </w:r>
      <w:r w:rsidRPr="005145A1">
        <w:rPr>
          <w:rFonts w:ascii="Times New Roman" w:hAnsi="Times New Roman"/>
          <w:sz w:val="22"/>
          <w:szCs w:val="22"/>
        </w:rPr>
        <w:t xml:space="preserve">. Broken Hill Managed Aquifer </w:t>
      </w:r>
      <w:r w:rsidR="00F81CBA">
        <w:rPr>
          <w:rFonts w:ascii="Times New Roman" w:hAnsi="Times New Roman"/>
          <w:sz w:val="22"/>
          <w:szCs w:val="22"/>
        </w:rPr>
        <w:t>Recharge Project 3D GoCAD Model;</w:t>
      </w:r>
      <w:r w:rsidRPr="005145A1">
        <w:rPr>
          <w:rFonts w:ascii="Times New Roman" w:hAnsi="Times New Roman"/>
          <w:sz w:val="22"/>
          <w:szCs w:val="22"/>
        </w:rPr>
        <w:t xml:space="preserve"> </w:t>
      </w:r>
    </w:p>
    <w:p w:rsidR="005145A1" w:rsidRPr="005145A1" w:rsidRDefault="005145A1" w:rsidP="007B61E9">
      <w:pPr>
        <w:pStyle w:val="Level11"/>
        <w:numPr>
          <w:ilvl w:val="0"/>
          <w:numId w:val="37"/>
        </w:numPr>
        <w:tabs>
          <w:tab w:val="num" w:pos="720"/>
        </w:tabs>
        <w:spacing w:before="60"/>
        <w:ind w:left="714" w:hanging="357"/>
        <w:rPr>
          <w:rFonts w:ascii="Times New Roman" w:hAnsi="Times New Roman"/>
          <w:sz w:val="22"/>
          <w:szCs w:val="22"/>
        </w:rPr>
      </w:pPr>
      <w:r w:rsidRPr="005145A1">
        <w:rPr>
          <w:rFonts w:ascii="Times New Roman" w:hAnsi="Times New Roman"/>
          <w:sz w:val="22"/>
          <w:szCs w:val="22"/>
        </w:rPr>
        <w:t>De Hoog</w:t>
      </w:r>
      <w:r w:rsidR="008A5F7D" w:rsidRPr="008A5F7D">
        <w:rPr>
          <w:rFonts w:ascii="Times New Roman" w:hAnsi="Times New Roman"/>
          <w:i/>
          <w:sz w:val="22"/>
          <w:szCs w:val="22"/>
        </w:rPr>
        <w:t xml:space="preserve"> et al</w:t>
      </w:r>
      <w:r w:rsidRPr="005145A1">
        <w:rPr>
          <w:rFonts w:ascii="Times New Roman" w:hAnsi="Times New Roman"/>
          <w:sz w:val="22"/>
          <w:szCs w:val="22"/>
        </w:rPr>
        <w:t xml:space="preserve">. </w:t>
      </w:r>
      <w:r w:rsidR="00070183">
        <w:rPr>
          <w:rFonts w:ascii="Times New Roman" w:hAnsi="Times New Roman"/>
          <w:sz w:val="22"/>
          <w:szCs w:val="22"/>
        </w:rPr>
        <w:t>(</w:t>
      </w:r>
      <w:r w:rsidRPr="005145A1">
        <w:rPr>
          <w:rFonts w:ascii="Times New Roman" w:hAnsi="Times New Roman"/>
          <w:sz w:val="22"/>
          <w:szCs w:val="22"/>
        </w:rPr>
        <w:t>2012</w:t>
      </w:r>
      <w:r w:rsidR="00070183">
        <w:rPr>
          <w:rFonts w:ascii="Times New Roman" w:hAnsi="Times New Roman"/>
          <w:sz w:val="22"/>
          <w:szCs w:val="22"/>
        </w:rPr>
        <w:t>)</w:t>
      </w:r>
      <w:r w:rsidRPr="005145A1">
        <w:rPr>
          <w:rFonts w:ascii="Times New Roman" w:hAnsi="Times New Roman"/>
          <w:sz w:val="22"/>
          <w:szCs w:val="22"/>
        </w:rPr>
        <w:t>. Broken Hill Managed Aquifer Recharge Projec</w:t>
      </w:r>
      <w:r w:rsidR="00F81CBA">
        <w:rPr>
          <w:rFonts w:ascii="Times New Roman" w:hAnsi="Times New Roman"/>
          <w:sz w:val="22"/>
          <w:szCs w:val="22"/>
        </w:rPr>
        <w:t>t WORLDWIND virtual globe model; and</w:t>
      </w:r>
      <w:r w:rsidRPr="005145A1">
        <w:rPr>
          <w:rFonts w:ascii="Times New Roman" w:hAnsi="Times New Roman"/>
          <w:sz w:val="22"/>
          <w:szCs w:val="22"/>
        </w:rPr>
        <w:t xml:space="preserve"> </w:t>
      </w:r>
    </w:p>
    <w:p w:rsidR="005145A1" w:rsidRPr="005145A1" w:rsidRDefault="005145A1" w:rsidP="007B61E9">
      <w:pPr>
        <w:pStyle w:val="Level11"/>
        <w:numPr>
          <w:ilvl w:val="0"/>
          <w:numId w:val="37"/>
        </w:numPr>
        <w:tabs>
          <w:tab w:val="num" w:pos="720"/>
        </w:tabs>
        <w:spacing w:before="60"/>
        <w:ind w:left="714" w:hanging="357"/>
        <w:rPr>
          <w:rFonts w:ascii="Times New Roman" w:hAnsi="Times New Roman"/>
          <w:sz w:val="22"/>
          <w:szCs w:val="22"/>
        </w:rPr>
      </w:pPr>
      <w:r w:rsidRPr="005145A1">
        <w:rPr>
          <w:rFonts w:ascii="Times New Roman" w:hAnsi="Times New Roman"/>
          <w:sz w:val="22"/>
          <w:szCs w:val="22"/>
        </w:rPr>
        <w:t>Caldwell</w:t>
      </w:r>
      <w:r w:rsidR="008A5F7D" w:rsidRPr="008A5F7D">
        <w:rPr>
          <w:rFonts w:ascii="Times New Roman" w:hAnsi="Times New Roman"/>
          <w:i/>
          <w:sz w:val="22"/>
          <w:szCs w:val="22"/>
        </w:rPr>
        <w:t xml:space="preserve"> et al</w:t>
      </w:r>
      <w:r w:rsidRPr="005145A1">
        <w:rPr>
          <w:rFonts w:ascii="Times New Roman" w:hAnsi="Times New Roman"/>
          <w:sz w:val="22"/>
          <w:szCs w:val="22"/>
        </w:rPr>
        <w:t xml:space="preserve">. </w:t>
      </w:r>
      <w:r w:rsidR="003F6C96">
        <w:rPr>
          <w:rFonts w:ascii="Times New Roman" w:hAnsi="Times New Roman"/>
          <w:sz w:val="22"/>
          <w:szCs w:val="22"/>
        </w:rPr>
        <w:t>(</w:t>
      </w:r>
      <w:r w:rsidRPr="005145A1">
        <w:rPr>
          <w:rFonts w:ascii="Times New Roman" w:hAnsi="Times New Roman"/>
          <w:sz w:val="22"/>
          <w:szCs w:val="22"/>
        </w:rPr>
        <w:t>2012</w:t>
      </w:r>
      <w:r w:rsidR="003F6C96">
        <w:rPr>
          <w:rFonts w:ascii="Times New Roman" w:hAnsi="Times New Roman"/>
          <w:sz w:val="22"/>
          <w:szCs w:val="22"/>
        </w:rPr>
        <w:t>)</w:t>
      </w:r>
      <w:r w:rsidRPr="005145A1">
        <w:rPr>
          <w:rFonts w:ascii="Times New Roman" w:hAnsi="Times New Roman"/>
          <w:sz w:val="22"/>
          <w:szCs w:val="22"/>
        </w:rPr>
        <w:t xml:space="preserve">. Broken Hill Managed Aquifer Recharge Project. Fly-through movie. </w:t>
      </w:r>
    </w:p>
    <w:p w:rsidR="006264CC" w:rsidRDefault="006264CC" w:rsidP="00EA57FF">
      <w:pPr>
        <w:rPr>
          <w:szCs w:val="22"/>
        </w:rPr>
      </w:pPr>
    </w:p>
    <w:p w:rsidR="00AD78F2" w:rsidRDefault="00501DEC" w:rsidP="00DD022A">
      <w:pPr>
        <w:pStyle w:val="Heading1"/>
        <w:tabs>
          <w:tab w:val="clear" w:pos="360"/>
          <w:tab w:val="num" w:pos="720"/>
        </w:tabs>
        <w:ind w:left="720" w:hanging="720"/>
      </w:pPr>
      <w:r>
        <w:rPr>
          <w:rStyle w:val="StyleArial14ptAqua"/>
          <w:rFonts w:ascii="Times New Roman" w:hAnsi="Times New Roman"/>
          <w:caps w:val="0"/>
          <w:color w:val="000000"/>
          <w:sz w:val="22"/>
        </w:rPr>
        <w:br w:type="page"/>
      </w:r>
      <w:bookmarkStart w:id="97" w:name="_Toc325700071"/>
      <w:bookmarkStart w:id="98" w:name="_Toc325700414"/>
      <w:bookmarkStart w:id="99" w:name="_Toc325975095"/>
      <w:bookmarkStart w:id="100" w:name="_Toc390690084"/>
      <w:r w:rsidR="003D1A7E">
        <w:lastRenderedPageBreak/>
        <w:t>Regional Setting</w:t>
      </w:r>
      <w:bookmarkEnd w:id="97"/>
      <w:bookmarkEnd w:id="98"/>
      <w:bookmarkEnd w:id="99"/>
      <w:bookmarkEnd w:id="100"/>
    </w:p>
    <w:p w:rsidR="00BA586E" w:rsidRDefault="00BA586E" w:rsidP="004053EE">
      <w:pPr>
        <w:pStyle w:val="Heading2"/>
        <w:tabs>
          <w:tab w:val="left" w:pos="720"/>
        </w:tabs>
        <w:spacing w:before="320"/>
      </w:pPr>
      <w:bookmarkStart w:id="101" w:name="_Toc325700072"/>
      <w:bookmarkStart w:id="102" w:name="_Toc325700415"/>
      <w:bookmarkStart w:id="103" w:name="_Toc325975096"/>
      <w:bookmarkStart w:id="104" w:name="_Toc390690085"/>
      <w:r>
        <w:t>Study Area</w:t>
      </w:r>
      <w:bookmarkEnd w:id="101"/>
      <w:bookmarkEnd w:id="102"/>
      <w:bookmarkEnd w:id="103"/>
      <w:bookmarkEnd w:id="104"/>
    </w:p>
    <w:p w:rsidR="00BA586E" w:rsidRDefault="00BA586E" w:rsidP="00BA586E">
      <w:pPr>
        <w:rPr>
          <w:szCs w:val="22"/>
        </w:rPr>
      </w:pPr>
      <w:r w:rsidRPr="00501DEC">
        <w:rPr>
          <w:szCs w:val="22"/>
        </w:rPr>
        <w:t xml:space="preserve">The BHMAR </w:t>
      </w:r>
      <w:r w:rsidR="00A56C85">
        <w:rPr>
          <w:szCs w:val="22"/>
        </w:rPr>
        <w:t>project</w:t>
      </w:r>
      <w:r w:rsidRPr="00501DEC">
        <w:rPr>
          <w:szCs w:val="22"/>
        </w:rPr>
        <w:t xml:space="preserve"> area </w:t>
      </w:r>
      <w:r>
        <w:rPr>
          <w:szCs w:val="22"/>
        </w:rPr>
        <w:t>is located approximately 1</w:t>
      </w:r>
      <w:r w:rsidR="00893738">
        <w:rPr>
          <w:szCs w:val="22"/>
        </w:rPr>
        <w:t>0</w:t>
      </w:r>
      <w:r>
        <w:rPr>
          <w:szCs w:val="22"/>
        </w:rPr>
        <w:t>0</w:t>
      </w:r>
      <w:r w:rsidR="00572C36">
        <w:rPr>
          <w:szCs w:val="22"/>
        </w:rPr>
        <w:t xml:space="preserve"> </w:t>
      </w:r>
      <w:r>
        <w:rPr>
          <w:szCs w:val="22"/>
        </w:rPr>
        <w:t xml:space="preserve">km </w:t>
      </w:r>
      <w:r w:rsidR="00893738">
        <w:rPr>
          <w:szCs w:val="22"/>
        </w:rPr>
        <w:t>south-</w:t>
      </w:r>
      <w:r>
        <w:rPr>
          <w:szCs w:val="22"/>
        </w:rPr>
        <w:t xml:space="preserve">east of Broken Hill, in the </w:t>
      </w:r>
      <w:r w:rsidR="00893738">
        <w:rPr>
          <w:szCs w:val="22"/>
        </w:rPr>
        <w:t xml:space="preserve">Murray-Darling Drainage Basin </w:t>
      </w:r>
      <w:r w:rsidR="00936817">
        <w:rPr>
          <w:szCs w:val="22"/>
        </w:rPr>
        <w:t>within</w:t>
      </w:r>
      <w:r>
        <w:rPr>
          <w:szCs w:val="22"/>
        </w:rPr>
        <w:t xml:space="preserve"> </w:t>
      </w:r>
      <w:smartTag w:uri="urn:schemas-microsoft-com:office:smarttags" w:element="place">
        <w:smartTag w:uri="urn:schemas-microsoft-com:office:smarttags" w:element="State">
          <w:r>
            <w:rPr>
              <w:szCs w:val="22"/>
            </w:rPr>
            <w:t xml:space="preserve">New South </w:t>
          </w:r>
          <w:r w:rsidRPr="00795774">
            <w:rPr>
              <w:szCs w:val="22"/>
            </w:rPr>
            <w:t>Wales</w:t>
          </w:r>
        </w:smartTag>
      </w:smartTag>
      <w:r w:rsidRPr="00795774">
        <w:rPr>
          <w:szCs w:val="22"/>
        </w:rPr>
        <w:t xml:space="preserve"> (</w:t>
      </w:r>
      <w:r w:rsidR="001741E7" w:rsidRPr="00795774">
        <w:rPr>
          <w:szCs w:val="22"/>
        </w:rPr>
        <w:fldChar w:fldCharType="begin"/>
      </w:r>
      <w:r w:rsidR="001741E7" w:rsidRPr="00795774">
        <w:rPr>
          <w:szCs w:val="22"/>
        </w:rPr>
        <w:instrText xml:space="preserve"> REF _Ref325706708 \h </w:instrText>
      </w:r>
      <w:r w:rsidR="00795774" w:rsidRPr="00795774">
        <w:rPr>
          <w:szCs w:val="22"/>
        </w:rPr>
        <w:instrText xml:space="preserve"> \* MERGEFORMAT </w:instrText>
      </w:r>
      <w:r w:rsidR="001741E7" w:rsidRPr="00795774">
        <w:rPr>
          <w:szCs w:val="22"/>
        </w:rPr>
      </w:r>
      <w:r w:rsidR="001741E7" w:rsidRPr="00795774">
        <w:rPr>
          <w:szCs w:val="22"/>
        </w:rPr>
        <w:fldChar w:fldCharType="separate"/>
      </w:r>
      <w:r w:rsidR="00966532" w:rsidRPr="00966532">
        <w:t xml:space="preserve">Figure </w:t>
      </w:r>
      <w:r w:rsidR="00966532" w:rsidRPr="00966532">
        <w:rPr>
          <w:noProof/>
        </w:rPr>
        <w:t>2</w:t>
      </w:r>
      <w:r w:rsidR="00966532" w:rsidRPr="00966532">
        <w:rPr>
          <w:noProof/>
        </w:rPr>
        <w:noBreakHyphen/>
        <w:t>1</w:t>
      </w:r>
      <w:r w:rsidR="001741E7" w:rsidRPr="00795774">
        <w:rPr>
          <w:szCs w:val="22"/>
        </w:rPr>
        <w:fldChar w:fldCharType="end"/>
      </w:r>
      <w:r w:rsidRPr="00795774">
        <w:rPr>
          <w:szCs w:val="22"/>
        </w:rPr>
        <w:t xml:space="preserve">). The project </w:t>
      </w:r>
      <w:r w:rsidR="005145A1" w:rsidRPr="00795774">
        <w:rPr>
          <w:szCs w:val="22"/>
        </w:rPr>
        <w:t xml:space="preserve">area </w:t>
      </w:r>
      <w:r w:rsidRPr="00795774">
        <w:rPr>
          <w:szCs w:val="22"/>
        </w:rPr>
        <w:t xml:space="preserve">covers approximately 7,500 </w:t>
      </w:r>
      <w:r w:rsidR="006D1B0D" w:rsidRPr="00795774">
        <w:rPr>
          <w:szCs w:val="22"/>
        </w:rPr>
        <w:t>km</w:t>
      </w:r>
      <w:r w:rsidR="006D1B0D" w:rsidRPr="00795774">
        <w:rPr>
          <w:szCs w:val="22"/>
          <w:vertAlign w:val="superscript"/>
        </w:rPr>
        <w:t>2</w:t>
      </w:r>
      <w:r w:rsidR="006D1B0D" w:rsidRPr="00795774">
        <w:rPr>
          <w:szCs w:val="22"/>
        </w:rPr>
        <w:t xml:space="preserve"> </w:t>
      </w:r>
      <w:r w:rsidRPr="00795774">
        <w:rPr>
          <w:szCs w:val="22"/>
        </w:rPr>
        <w:t xml:space="preserve">of the Lower Darling Valley (LDV), </w:t>
      </w:r>
      <w:r w:rsidR="00582C5B">
        <w:rPr>
          <w:szCs w:val="22"/>
        </w:rPr>
        <w:t xml:space="preserve">a </w:t>
      </w:r>
      <w:r w:rsidR="00E65988" w:rsidRPr="00DE22EF">
        <w:t>single fluvial system, with multiple channels and distributaries, in a laterally confined, wide, funnel-shaped valley form. The LDV widens southwards into the Murray G</w:t>
      </w:r>
      <w:r w:rsidR="00E65988">
        <w:t>eological Basin from about 8 km</w:t>
      </w:r>
      <w:r w:rsidR="00E65988" w:rsidRPr="00DE22EF">
        <w:t xml:space="preserve"> width at a constriction 25 km upstream of the study area at Wilcannia to</w:t>
      </w:r>
      <w:r w:rsidR="00E65988">
        <w:t xml:space="preserve"> about 30 km width some 200 km</w:t>
      </w:r>
      <w:r w:rsidR="00E65988" w:rsidRPr="00DE22EF">
        <w:t xml:space="preserve"> downstream at the sou</w:t>
      </w:r>
      <w:r w:rsidR="00E65988">
        <w:t>thern boundary of the study area</w:t>
      </w:r>
      <w:r w:rsidR="00D039C6">
        <w:t>.</w:t>
      </w:r>
      <w:r w:rsidRPr="00D869F2">
        <w:rPr>
          <w:szCs w:val="22"/>
        </w:rPr>
        <w:t xml:space="preserve"> The LDV</w:t>
      </w:r>
      <w:r w:rsidR="00224BAF">
        <w:rPr>
          <w:szCs w:val="22"/>
        </w:rPr>
        <w:t xml:space="preserve"> is characterized by a very low </w:t>
      </w:r>
      <w:r w:rsidRPr="00D869F2">
        <w:rPr>
          <w:szCs w:val="22"/>
        </w:rPr>
        <w:t xml:space="preserve">gradient fluvial plain with abundant shallow ephemeral lunette lakes. </w:t>
      </w:r>
      <w:r w:rsidR="00893738" w:rsidRPr="00632D02">
        <w:rPr>
          <w:szCs w:val="22"/>
        </w:rPr>
        <w:t>Topography in the area varies only by ~60</w:t>
      </w:r>
      <w:r w:rsidR="00572C36">
        <w:rPr>
          <w:szCs w:val="22"/>
        </w:rPr>
        <w:t xml:space="preserve"> </w:t>
      </w:r>
      <w:r w:rsidR="00893738" w:rsidRPr="00632D02">
        <w:rPr>
          <w:szCs w:val="22"/>
        </w:rPr>
        <w:t xml:space="preserve">m, with a fall </w:t>
      </w:r>
      <w:r w:rsidR="005145A1">
        <w:rPr>
          <w:szCs w:val="22"/>
        </w:rPr>
        <w:t xml:space="preserve">in floodplain elevation </w:t>
      </w:r>
      <w:r w:rsidR="00893738" w:rsidRPr="00632D02">
        <w:rPr>
          <w:szCs w:val="22"/>
        </w:rPr>
        <w:t>of about 20</w:t>
      </w:r>
      <w:r w:rsidR="00572C36">
        <w:rPr>
          <w:szCs w:val="22"/>
        </w:rPr>
        <w:t xml:space="preserve"> </w:t>
      </w:r>
      <w:r w:rsidR="00893738" w:rsidRPr="00632D02">
        <w:rPr>
          <w:szCs w:val="22"/>
        </w:rPr>
        <w:t>m between the north</w:t>
      </w:r>
      <w:r w:rsidR="005145A1">
        <w:rPr>
          <w:szCs w:val="22"/>
        </w:rPr>
        <w:t>ern</w:t>
      </w:r>
      <w:r w:rsidR="00893738" w:rsidRPr="00632D02">
        <w:rPr>
          <w:szCs w:val="22"/>
        </w:rPr>
        <w:t xml:space="preserve"> and southern extremities of the project area</w:t>
      </w:r>
      <w:r w:rsidR="00582C5B">
        <w:rPr>
          <w:szCs w:val="22"/>
        </w:rPr>
        <w:t>, over a distance of about 175 km</w:t>
      </w:r>
      <w:r w:rsidR="00893738" w:rsidRPr="00632D02">
        <w:rPr>
          <w:szCs w:val="22"/>
        </w:rPr>
        <w:t>.</w:t>
      </w:r>
      <w:r w:rsidR="00893738">
        <w:rPr>
          <w:szCs w:val="22"/>
        </w:rPr>
        <w:t xml:space="preserve"> </w:t>
      </w:r>
      <w:r w:rsidRPr="00D869F2">
        <w:rPr>
          <w:szCs w:val="22"/>
        </w:rPr>
        <w:t xml:space="preserve">The principal </w:t>
      </w:r>
      <w:r w:rsidR="00AE7EF2">
        <w:rPr>
          <w:szCs w:val="22"/>
        </w:rPr>
        <w:t>distributarie</w:t>
      </w:r>
      <w:r w:rsidR="00AE7EF2" w:rsidRPr="00D869F2">
        <w:rPr>
          <w:szCs w:val="22"/>
        </w:rPr>
        <w:t xml:space="preserve">s </w:t>
      </w:r>
      <w:r w:rsidRPr="00D869F2">
        <w:rPr>
          <w:szCs w:val="22"/>
        </w:rPr>
        <w:t xml:space="preserve">in the </w:t>
      </w:r>
      <w:r w:rsidR="00AE7EF2">
        <w:rPr>
          <w:szCs w:val="22"/>
        </w:rPr>
        <w:t xml:space="preserve">Lower Darling </w:t>
      </w:r>
      <w:r w:rsidRPr="00D869F2">
        <w:rPr>
          <w:szCs w:val="22"/>
        </w:rPr>
        <w:t xml:space="preserve">floodplain are the </w:t>
      </w:r>
      <w:smartTag w:uri="urn:schemas-microsoft-com:office:smarttags" w:element="place">
        <w:r w:rsidRPr="00D869F2">
          <w:rPr>
            <w:szCs w:val="22"/>
          </w:rPr>
          <w:t>Darling River</w:t>
        </w:r>
      </w:smartTag>
      <w:r w:rsidRPr="00D869F2">
        <w:rPr>
          <w:szCs w:val="22"/>
        </w:rPr>
        <w:t xml:space="preserve">, the Talyawalka </w:t>
      </w:r>
      <w:r w:rsidR="00AE7EF2">
        <w:rPr>
          <w:szCs w:val="22"/>
        </w:rPr>
        <w:t xml:space="preserve">Creek </w:t>
      </w:r>
      <w:r w:rsidRPr="00D869F2">
        <w:rPr>
          <w:szCs w:val="22"/>
        </w:rPr>
        <w:t xml:space="preserve">and </w:t>
      </w:r>
      <w:r w:rsidR="00893738">
        <w:rPr>
          <w:szCs w:val="22"/>
        </w:rPr>
        <w:t>t</w:t>
      </w:r>
      <w:r w:rsidRPr="00D869F2">
        <w:rPr>
          <w:szCs w:val="22"/>
        </w:rPr>
        <w:t xml:space="preserve">he (Darling) Anabranch. </w:t>
      </w:r>
      <w:r w:rsidR="00893738">
        <w:rPr>
          <w:szCs w:val="22"/>
        </w:rPr>
        <w:t xml:space="preserve">The study area is approximately </w:t>
      </w:r>
      <w:r w:rsidR="005145A1">
        <w:rPr>
          <w:szCs w:val="22"/>
        </w:rPr>
        <w:t>100</w:t>
      </w:r>
      <w:r w:rsidR="00572C36">
        <w:rPr>
          <w:szCs w:val="22"/>
        </w:rPr>
        <w:t xml:space="preserve"> </w:t>
      </w:r>
      <w:r w:rsidR="00893738">
        <w:rPr>
          <w:szCs w:val="22"/>
        </w:rPr>
        <w:t>km upstream of the confluence of the Darling and Murray rivers</w:t>
      </w:r>
      <w:r w:rsidR="005145A1">
        <w:rPr>
          <w:szCs w:val="22"/>
        </w:rPr>
        <w:t xml:space="preserve"> at the town of </w:t>
      </w:r>
      <w:smartTag w:uri="urn:schemas-microsoft-com:office:smarttags" w:element="place">
        <w:smartTag w:uri="urn:schemas-microsoft-com:office:smarttags" w:element="City">
          <w:r w:rsidR="005145A1">
            <w:rPr>
              <w:szCs w:val="22"/>
            </w:rPr>
            <w:t>Wentworth</w:t>
          </w:r>
        </w:smartTag>
      </w:smartTag>
      <w:r w:rsidR="00893738">
        <w:rPr>
          <w:szCs w:val="22"/>
        </w:rPr>
        <w:t>.</w:t>
      </w:r>
      <w:r w:rsidR="00572C36">
        <w:rPr>
          <w:szCs w:val="22"/>
        </w:rPr>
        <w:t xml:space="preserve"> </w:t>
      </w:r>
    </w:p>
    <w:p w:rsidR="00572C36" w:rsidRPr="00D869F2" w:rsidRDefault="00572C36" w:rsidP="00BA586E">
      <w:pPr>
        <w:rPr>
          <w:szCs w:val="22"/>
        </w:rPr>
      </w:pPr>
    </w:p>
    <w:p w:rsidR="00BA586E" w:rsidRDefault="00893738" w:rsidP="0070746C">
      <w:pPr>
        <w:rPr>
          <w:szCs w:val="22"/>
        </w:rPr>
      </w:pPr>
      <w:r>
        <w:t xml:space="preserve">Within the study area, the </w:t>
      </w:r>
      <w:smartTag w:uri="urn:schemas-microsoft-com:office:smarttags" w:element="PlaceName">
        <w:r w:rsidR="007D1583">
          <w:t>Menindee</w:t>
        </w:r>
      </w:smartTag>
      <w:r w:rsidR="007D1583">
        <w:t xml:space="preserve"> </w:t>
      </w:r>
      <w:smartTag w:uri="urn:schemas-microsoft-com:office:smarttags" w:element="PlaceType">
        <w:r w:rsidR="007D1583">
          <w:t>Lakes</w:t>
        </w:r>
      </w:smartTag>
      <w:r>
        <w:t xml:space="preserve"> are the most prominent surface water bodies, comprising a group of shallow lakes adjacent to the lower </w:t>
      </w:r>
      <w:smartTag w:uri="urn:schemas-microsoft-com:office:smarttags" w:element="place">
        <w:r>
          <w:t>Darling Rive</w:t>
        </w:r>
        <w:r w:rsidR="003D1271">
          <w:t>r</w:t>
        </w:r>
      </w:smartTag>
      <w:r w:rsidR="003D1271">
        <w:t xml:space="preserve">. The largest lakes are </w:t>
      </w:r>
      <w:r w:rsidR="003D1271">
        <w:rPr>
          <w:szCs w:val="22"/>
        </w:rPr>
        <w:t>Lakes</w:t>
      </w:r>
      <w:r w:rsidR="00BA586E" w:rsidRPr="00D869F2">
        <w:rPr>
          <w:szCs w:val="22"/>
        </w:rPr>
        <w:t xml:space="preserve"> </w:t>
      </w:r>
      <w:r w:rsidR="00C217F0">
        <w:rPr>
          <w:szCs w:val="22"/>
        </w:rPr>
        <w:t>Menindee</w:t>
      </w:r>
      <w:r w:rsidR="00BA586E" w:rsidRPr="00D869F2">
        <w:rPr>
          <w:szCs w:val="22"/>
        </w:rPr>
        <w:t xml:space="preserve">, Cawndilla, and Pamamaroo, with smaller lakes </w:t>
      </w:r>
      <w:r w:rsidR="00BA586E" w:rsidRPr="00795774">
        <w:rPr>
          <w:szCs w:val="22"/>
        </w:rPr>
        <w:t>including Tandure,</w:t>
      </w:r>
      <w:r w:rsidR="00971C9D">
        <w:rPr>
          <w:szCs w:val="22"/>
        </w:rPr>
        <w:t xml:space="preserve"> Speculation, Spectacle, Bijiji</w:t>
      </w:r>
      <w:r w:rsidR="00BA586E" w:rsidRPr="00795774">
        <w:rPr>
          <w:szCs w:val="22"/>
        </w:rPr>
        <w:t xml:space="preserve">, </w:t>
      </w:r>
      <w:smartTag w:uri="urn:schemas-microsoft-com:office:smarttags" w:element="place">
        <w:smartTag w:uri="urn:schemas-microsoft-com:office:smarttags" w:element="City">
          <w:r w:rsidR="00BA586E" w:rsidRPr="00795774">
            <w:rPr>
              <w:szCs w:val="22"/>
            </w:rPr>
            <w:t>Balaka</w:t>
          </w:r>
        </w:smartTag>
        <w:r w:rsidR="00BA586E" w:rsidRPr="00795774">
          <w:rPr>
            <w:szCs w:val="22"/>
          </w:rPr>
          <w:t xml:space="preserve">, </w:t>
        </w:r>
        <w:smartTag w:uri="urn:schemas-microsoft-com:office:smarttags" w:element="country-region">
          <w:r w:rsidR="00BA586E" w:rsidRPr="00795774">
            <w:rPr>
              <w:szCs w:val="22"/>
            </w:rPr>
            <w:t>Malta</w:t>
          </w:r>
        </w:smartTag>
      </w:smartTag>
      <w:r w:rsidR="00BA586E" w:rsidRPr="00795774">
        <w:rPr>
          <w:szCs w:val="22"/>
        </w:rPr>
        <w:t>, Eurobili and Emu (</w:t>
      </w:r>
      <w:r w:rsidR="00F9160A" w:rsidRPr="00795774">
        <w:rPr>
          <w:szCs w:val="22"/>
        </w:rPr>
        <w:t>Taylor-Wood</w:t>
      </w:r>
      <w:r w:rsidR="008A5F7D" w:rsidRPr="00CF7613">
        <w:rPr>
          <w:rStyle w:val="StyleItalic"/>
        </w:rPr>
        <w:t xml:space="preserve"> et al</w:t>
      </w:r>
      <w:r w:rsidR="00F9160A" w:rsidRPr="00795774">
        <w:rPr>
          <w:szCs w:val="22"/>
        </w:rPr>
        <w:t xml:space="preserve">., 2001; </w:t>
      </w:r>
      <w:r w:rsidR="001741E7" w:rsidRPr="00795774">
        <w:rPr>
          <w:szCs w:val="22"/>
        </w:rPr>
        <w:fldChar w:fldCharType="begin"/>
      </w:r>
      <w:r w:rsidR="001741E7" w:rsidRPr="00795774">
        <w:rPr>
          <w:szCs w:val="22"/>
        </w:rPr>
        <w:instrText xml:space="preserve"> REF _Ref325706870 \h </w:instrText>
      </w:r>
      <w:r w:rsidR="00795774" w:rsidRPr="00795774">
        <w:rPr>
          <w:szCs w:val="22"/>
        </w:rPr>
        <w:instrText xml:space="preserve"> \* MERGEFORMAT </w:instrText>
      </w:r>
      <w:r w:rsidR="001741E7" w:rsidRPr="00795774">
        <w:rPr>
          <w:szCs w:val="22"/>
        </w:rPr>
      </w:r>
      <w:r w:rsidR="001741E7" w:rsidRPr="00795774">
        <w:rPr>
          <w:szCs w:val="22"/>
        </w:rPr>
        <w:fldChar w:fldCharType="separate"/>
      </w:r>
      <w:r w:rsidR="00966532" w:rsidRPr="00966532">
        <w:t xml:space="preserve">Figure </w:t>
      </w:r>
      <w:r w:rsidR="00966532" w:rsidRPr="00966532">
        <w:rPr>
          <w:noProof/>
        </w:rPr>
        <w:t>2</w:t>
      </w:r>
      <w:r w:rsidR="00966532" w:rsidRPr="00966532">
        <w:rPr>
          <w:noProof/>
        </w:rPr>
        <w:noBreakHyphen/>
        <w:t>2</w:t>
      </w:r>
      <w:r w:rsidR="001741E7" w:rsidRPr="00795774">
        <w:rPr>
          <w:szCs w:val="22"/>
        </w:rPr>
        <w:fldChar w:fldCharType="end"/>
      </w:r>
      <w:r w:rsidR="00F9160A" w:rsidRPr="00795774">
        <w:rPr>
          <w:szCs w:val="22"/>
        </w:rPr>
        <w:t>).</w:t>
      </w:r>
      <w:r w:rsidR="003D1271" w:rsidRPr="00795774">
        <w:rPr>
          <w:szCs w:val="22"/>
        </w:rPr>
        <w:t xml:space="preserve"> Other</w:t>
      </w:r>
      <w:r w:rsidR="003D1271">
        <w:rPr>
          <w:szCs w:val="22"/>
        </w:rPr>
        <w:t xml:space="preserve"> lakes include </w:t>
      </w:r>
      <w:smartTag w:uri="urn:schemas-microsoft-com:office:smarttags" w:element="place">
        <w:smartTag w:uri="urn:schemas-microsoft-com:office:smarttags" w:element="PlaceType">
          <w:r w:rsidR="003D1271">
            <w:rPr>
              <w:szCs w:val="22"/>
            </w:rPr>
            <w:t>Lakes</w:t>
          </w:r>
        </w:smartTag>
        <w:r w:rsidR="003D1271">
          <w:rPr>
            <w:szCs w:val="22"/>
          </w:rPr>
          <w:t xml:space="preserve"> </w:t>
        </w:r>
        <w:smartTag w:uri="urn:schemas-microsoft-com:office:smarttags" w:element="PlaceName">
          <w:r w:rsidR="003D1271">
            <w:rPr>
              <w:szCs w:val="22"/>
            </w:rPr>
            <w:t>Kangaroo</w:t>
          </w:r>
        </w:smartTag>
      </w:smartTag>
      <w:r w:rsidR="003D1271">
        <w:rPr>
          <w:szCs w:val="22"/>
        </w:rPr>
        <w:t xml:space="preserve">, Packers and Tandou, which </w:t>
      </w:r>
      <w:r w:rsidR="003D1271" w:rsidRPr="00F81CBA">
        <w:rPr>
          <w:szCs w:val="22"/>
        </w:rPr>
        <w:t xml:space="preserve">fill from the Tandou Creek anabranch, with Lakes Mindona and Yartla in the south of the area. </w:t>
      </w:r>
      <w:r w:rsidR="003F1A82">
        <w:rPr>
          <w:szCs w:val="22"/>
        </w:rPr>
        <w:t>D</w:t>
      </w:r>
      <w:r w:rsidR="00BA586E" w:rsidRPr="00F81CBA">
        <w:rPr>
          <w:szCs w:val="22"/>
        </w:rPr>
        <w:t xml:space="preserve">etailed descriptions of the geomorphology of the study area and Quaternary and Cenozoic landscape </w:t>
      </w:r>
      <w:r w:rsidR="006E524B" w:rsidRPr="00F81CBA">
        <w:rPr>
          <w:szCs w:val="22"/>
        </w:rPr>
        <w:t>evolution</w:t>
      </w:r>
      <w:r w:rsidR="00BA586E" w:rsidRPr="00F81CBA">
        <w:rPr>
          <w:szCs w:val="22"/>
        </w:rPr>
        <w:t xml:space="preserve"> are presented in Lawrie</w:t>
      </w:r>
      <w:r w:rsidR="008A5F7D" w:rsidRPr="00CF7613">
        <w:rPr>
          <w:rStyle w:val="StyleItalic"/>
        </w:rPr>
        <w:t xml:space="preserve"> et al</w:t>
      </w:r>
      <w:r w:rsidR="00BA586E" w:rsidRPr="00F81CBA">
        <w:rPr>
          <w:szCs w:val="22"/>
        </w:rPr>
        <w:t>. (2012b).</w:t>
      </w:r>
      <w:r w:rsidR="00BA586E" w:rsidRPr="00D869F2">
        <w:rPr>
          <w:szCs w:val="22"/>
        </w:rPr>
        <w:t xml:space="preserve"> </w:t>
      </w:r>
    </w:p>
    <w:p w:rsidR="0070746C" w:rsidRDefault="0070746C" w:rsidP="004053EE">
      <w:pPr>
        <w:pStyle w:val="Heading2"/>
        <w:tabs>
          <w:tab w:val="left" w:pos="720"/>
        </w:tabs>
        <w:spacing w:before="320"/>
      </w:pPr>
      <w:bookmarkStart w:id="105" w:name="_Toc325700073"/>
      <w:bookmarkStart w:id="106" w:name="_Toc325700416"/>
      <w:bookmarkStart w:id="107" w:name="_Toc325975097"/>
      <w:bookmarkStart w:id="108" w:name="_Toc390690086"/>
      <w:smartTag w:uri="urn:schemas-microsoft-com:office:smarttags" w:element="place">
        <w:smartTag w:uri="urn:schemas-microsoft-com:office:smarttags" w:element="PlaceName">
          <w:r>
            <w:t>Darling</w:t>
          </w:r>
        </w:smartTag>
        <w:r>
          <w:t xml:space="preserve"> </w:t>
        </w:r>
        <w:smartTag w:uri="urn:schemas-microsoft-com:office:smarttags" w:element="PlaceType">
          <w:r>
            <w:t>River</w:t>
          </w:r>
        </w:smartTag>
      </w:smartTag>
      <w:r>
        <w:t xml:space="preserve"> and Floodplain Hydrology</w:t>
      </w:r>
      <w:bookmarkEnd w:id="105"/>
      <w:bookmarkEnd w:id="106"/>
      <w:bookmarkEnd w:id="107"/>
      <w:bookmarkEnd w:id="108"/>
    </w:p>
    <w:p w:rsidR="0070746C" w:rsidRPr="00501DEC" w:rsidRDefault="0070746C" w:rsidP="00EF7E00">
      <w:pPr>
        <w:pStyle w:val="Heading3"/>
        <w:tabs>
          <w:tab w:val="left" w:pos="1080"/>
        </w:tabs>
        <w:spacing w:before="320"/>
        <w:ind w:left="1080" w:hanging="1080"/>
      </w:pPr>
      <w:bookmarkStart w:id="109" w:name="_Toc325700074"/>
      <w:bookmarkStart w:id="110" w:name="_Toc325700417"/>
      <w:bookmarkStart w:id="111" w:name="_Toc325975098"/>
      <w:bookmarkStart w:id="112" w:name="_Toc390690087"/>
      <w:smartTag w:uri="urn:schemas-microsoft-com:office:smarttags" w:element="place">
        <w:r w:rsidRPr="00501DEC">
          <w:t>Darling River</w:t>
        </w:r>
      </w:smartTag>
      <w:r w:rsidRPr="00501DEC">
        <w:t xml:space="preserve"> </w:t>
      </w:r>
      <w:r>
        <w:t>Hydrology</w:t>
      </w:r>
      <w:bookmarkEnd w:id="109"/>
      <w:bookmarkEnd w:id="110"/>
      <w:bookmarkEnd w:id="111"/>
      <w:bookmarkEnd w:id="112"/>
    </w:p>
    <w:p w:rsidR="0070746C" w:rsidRPr="00501DEC" w:rsidRDefault="0070746C" w:rsidP="0070746C">
      <w:pPr>
        <w:rPr>
          <w:szCs w:val="22"/>
        </w:rPr>
      </w:pPr>
      <w:r w:rsidRPr="00BA586E">
        <w:rPr>
          <w:szCs w:val="22"/>
        </w:rPr>
        <w:t xml:space="preserve">The </w:t>
      </w:r>
      <w:smartTag w:uri="urn:schemas-microsoft-com:office:smarttags" w:element="place">
        <w:r w:rsidRPr="00BA586E">
          <w:rPr>
            <w:szCs w:val="22"/>
          </w:rPr>
          <w:t>Darling River</w:t>
        </w:r>
      </w:smartTag>
      <w:r w:rsidRPr="00501DEC">
        <w:rPr>
          <w:szCs w:val="22"/>
        </w:rPr>
        <w:t xml:space="preserve"> is typical of rivers in semi-arid regions, displaying a high degree of hydrological variability linked to the extremes of climate cycles expressed as episodic floods and drought. Under natural flow conditions, prior to regulation, reaches of the </w:t>
      </w:r>
      <w:smartTag w:uri="urn:schemas-microsoft-com:office:smarttags" w:element="place">
        <w:r w:rsidRPr="00501DEC">
          <w:rPr>
            <w:szCs w:val="22"/>
          </w:rPr>
          <w:t>Darling River</w:t>
        </w:r>
      </w:smartTag>
      <w:r w:rsidRPr="00501DEC">
        <w:rPr>
          <w:szCs w:val="22"/>
        </w:rPr>
        <w:t xml:space="preserve"> </w:t>
      </w:r>
      <w:r w:rsidR="000C047D">
        <w:rPr>
          <w:szCs w:val="22"/>
        </w:rPr>
        <w:t xml:space="preserve">have </w:t>
      </w:r>
      <w:r w:rsidRPr="00501DEC">
        <w:rPr>
          <w:szCs w:val="22"/>
        </w:rPr>
        <w:t xml:space="preserve">periodically dried out. The longest period of zero flow ever recorded was 362 days in 1902/03. The principal tributaries are the Paroo, Warrego, Culgoa, Moonie, Macintyre, Gwydir, Namoi, Castlereagh and </w:t>
      </w:r>
      <w:smartTag w:uri="urn:schemas-microsoft-com:office:smarttags" w:element="place">
        <w:smartTag w:uri="urn:schemas-microsoft-com:office:smarttags" w:element="PlaceName">
          <w:r w:rsidRPr="00501DEC">
            <w:rPr>
              <w:szCs w:val="22"/>
            </w:rPr>
            <w:t>Macquarie</w:t>
          </w:r>
        </w:smartTag>
        <w:r w:rsidRPr="00501DEC">
          <w:rPr>
            <w:szCs w:val="22"/>
          </w:rPr>
          <w:t xml:space="preserve"> </w:t>
        </w:r>
        <w:smartTag w:uri="urn:schemas-microsoft-com:office:smarttags" w:element="PlaceType">
          <w:r>
            <w:rPr>
              <w:szCs w:val="22"/>
            </w:rPr>
            <w:t>Rivers</w:t>
          </w:r>
        </w:smartTag>
      </w:smartTag>
      <w:r w:rsidR="000C047D">
        <w:rPr>
          <w:szCs w:val="22"/>
        </w:rPr>
        <w:t>. A</w:t>
      </w:r>
      <w:r w:rsidRPr="00501DEC">
        <w:rPr>
          <w:szCs w:val="22"/>
        </w:rPr>
        <w:t xml:space="preserve">nalysis of </w:t>
      </w:r>
      <w:r w:rsidR="00AE7EF2" w:rsidRPr="00501DEC">
        <w:rPr>
          <w:szCs w:val="22"/>
        </w:rPr>
        <w:t>stream</w:t>
      </w:r>
      <w:r w:rsidR="00AE7EF2">
        <w:rPr>
          <w:szCs w:val="22"/>
        </w:rPr>
        <w:t>-</w:t>
      </w:r>
      <w:r w:rsidRPr="00501DEC">
        <w:rPr>
          <w:szCs w:val="22"/>
        </w:rPr>
        <w:t xml:space="preserve">flow data shows that floods are </w:t>
      </w:r>
      <w:r w:rsidRPr="00F81CBA">
        <w:rPr>
          <w:szCs w:val="22"/>
        </w:rPr>
        <w:t xml:space="preserve">mainly sourced from the Culgoa, Macintyre and </w:t>
      </w:r>
      <w:smartTag w:uri="urn:schemas-microsoft-com:office:smarttags" w:element="place">
        <w:r w:rsidRPr="00F81CBA">
          <w:rPr>
            <w:szCs w:val="22"/>
          </w:rPr>
          <w:t>Namoi</w:t>
        </w:r>
      </w:smartTag>
      <w:r w:rsidRPr="00F81CBA">
        <w:rPr>
          <w:szCs w:val="22"/>
        </w:rPr>
        <w:t xml:space="preserve"> catchments, and occasionally the Bogan and Warrego (Lawrie</w:t>
      </w:r>
      <w:r w:rsidR="008A5F7D" w:rsidRPr="00CF7613">
        <w:rPr>
          <w:rStyle w:val="StyleItalic"/>
        </w:rPr>
        <w:t xml:space="preserve"> et al</w:t>
      </w:r>
      <w:r w:rsidRPr="00F81CBA">
        <w:rPr>
          <w:szCs w:val="22"/>
        </w:rPr>
        <w:t xml:space="preserve">., 2012b). Flooding occurs episodically, although the largest floods tend to occur between January and March. </w:t>
      </w:r>
      <w:r w:rsidR="00572C36" w:rsidRPr="00F81CBA">
        <w:rPr>
          <w:szCs w:val="22"/>
        </w:rPr>
        <w:t xml:space="preserve">River level and flow data </w:t>
      </w:r>
      <w:r w:rsidR="00B324CA" w:rsidRPr="00F81CBA">
        <w:rPr>
          <w:szCs w:val="22"/>
        </w:rPr>
        <w:t xml:space="preserve">recorded at Wilcannia, Weir 32 and Burtundy </w:t>
      </w:r>
      <w:r w:rsidR="00D22768" w:rsidRPr="00F81CBA">
        <w:rPr>
          <w:szCs w:val="22"/>
        </w:rPr>
        <w:t xml:space="preserve">are reported </w:t>
      </w:r>
      <w:r w:rsidR="00B324CA" w:rsidRPr="00F81CBA">
        <w:rPr>
          <w:szCs w:val="22"/>
        </w:rPr>
        <w:t>in</w:t>
      </w:r>
      <w:r w:rsidR="00E329F3" w:rsidRPr="00F81CBA">
        <w:rPr>
          <w:szCs w:val="22"/>
        </w:rPr>
        <w:t xml:space="preserve"> </w:t>
      </w:r>
      <w:r w:rsidR="007F0CB1">
        <w:rPr>
          <w:szCs w:val="22"/>
        </w:rPr>
        <w:t>Appendix 6 (</w:t>
      </w:r>
      <w:r w:rsidR="00E329F3" w:rsidRPr="00F81CBA">
        <w:rPr>
          <w:szCs w:val="22"/>
        </w:rPr>
        <w:t>Somerville</w:t>
      </w:r>
      <w:r w:rsidR="008A5F7D" w:rsidRPr="00CF7613">
        <w:rPr>
          <w:rStyle w:val="StyleItalic"/>
        </w:rPr>
        <w:t xml:space="preserve"> et al</w:t>
      </w:r>
      <w:r w:rsidR="00E329F3" w:rsidRPr="00F81CBA">
        <w:rPr>
          <w:szCs w:val="22"/>
        </w:rPr>
        <w:t>.</w:t>
      </w:r>
      <w:r w:rsidR="007F0CB1">
        <w:rPr>
          <w:szCs w:val="22"/>
        </w:rPr>
        <w:t>,</w:t>
      </w:r>
      <w:r w:rsidR="00E329F3" w:rsidRPr="00F81CBA">
        <w:rPr>
          <w:szCs w:val="22"/>
        </w:rPr>
        <w:t xml:space="preserve"> 2012).</w:t>
      </w:r>
      <w:r w:rsidR="00465915">
        <w:rPr>
          <w:szCs w:val="22"/>
        </w:rPr>
        <w:t xml:space="preserve"> </w:t>
      </w:r>
    </w:p>
    <w:p w:rsidR="0070746C" w:rsidRPr="00501DEC" w:rsidRDefault="0070746C" w:rsidP="0070746C">
      <w:pPr>
        <w:rPr>
          <w:szCs w:val="22"/>
        </w:rPr>
      </w:pPr>
    </w:p>
    <w:p w:rsidR="0070746C" w:rsidRPr="00752DBB" w:rsidRDefault="0070746C" w:rsidP="0070746C">
      <w:pPr>
        <w:rPr>
          <w:color w:val="000000"/>
          <w:szCs w:val="22"/>
        </w:rPr>
      </w:pPr>
      <w:r w:rsidRPr="00752DBB">
        <w:rPr>
          <w:szCs w:val="22"/>
        </w:rPr>
        <w:t xml:space="preserve">The </w:t>
      </w:r>
      <w:smartTag w:uri="urn:schemas-microsoft-com:office:smarttags" w:element="place">
        <w:r w:rsidRPr="00752DBB">
          <w:rPr>
            <w:szCs w:val="22"/>
          </w:rPr>
          <w:t xml:space="preserve">Darling </w:t>
        </w:r>
        <w:r w:rsidR="007F0CB1">
          <w:rPr>
            <w:szCs w:val="22"/>
          </w:rPr>
          <w:t>River</w:t>
        </w:r>
      </w:smartTag>
      <w:r w:rsidR="007F0CB1">
        <w:rPr>
          <w:szCs w:val="22"/>
        </w:rPr>
        <w:t xml:space="preserve"> </w:t>
      </w:r>
      <w:r w:rsidRPr="00752DBB">
        <w:rPr>
          <w:szCs w:val="22"/>
        </w:rPr>
        <w:t>has been substantially modified by regulation and diversions for irri</w:t>
      </w:r>
      <w:smartTag w:uri="urn:schemas-microsoft-com:office:smarttags" w:element="PersonName">
        <w:r w:rsidRPr="00752DBB">
          <w:rPr>
            <w:szCs w:val="22"/>
          </w:rPr>
          <w:t>ga</w:t>
        </w:r>
      </w:smartTag>
      <w:r w:rsidRPr="00752DBB">
        <w:rPr>
          <w:szCs w:val="22"/>
        </w:rPr>
        <w:t>tion and urban water supplies, with substantive reductions in river flow over the past 100 years</w:t>
      </w:r>
      <w:r>
        <w:rPr>
          <w:szCs w:val="22"/>
        </w:rPr>
        <w:t>, particularly since the 1960’s. T</w:t>
      </w:r>
      <w:r w:rsidRPr="00752DBB">
        <w:rPr>
          <w:szCs w:val="22"/>
        </w:rPr>
        <w:t xml:space="preserve">homs &amp; Sheldon (2000) have estimated a reduction in median annual discharge of the </w:t>
      </w:r>
      <w:smartTag w:uri="urn:schemas-microsoft-com:office:smarttags" w:element="place">
        <w:r w:rsidRPr="00752DBB">
          <w:rPr>
            <w:szCs w:val="22"/>
          </w:rPr>
          <w:t>Darling River</w:t>
        </w:r>
      </w:smartTag>
      <w:r w:rsidRPr="00752DBB">
        <w:rPr>
          <w:szCs w:val="22"/>
        </w:rPr>
        <w:t xml:space="preserve"> by up to 73% at Wilcannia, with diversions from the river in 1997/98 accounting for 87</w:t>
      </w:r>
      <w:r w:rsidR="00E329F3">
        <w:rPr>
          <w:szCs w:val="22"/>
        </w:rPr>
        <w:t xml:space="preserve"> </w:t>
      </w:r>
      <w:r w:rsidRPr="00752DBB">
        <w:rPr>
          <w:szCs w:val="22"/>
        </w:rPr>
        <w:t xml:space="preserve">% of the long-term </w:t>
      </w:r>
      <w:r>
        <w:rPr>
          <w:szCs w:val="22"/>
        </w:rPr>
        <w:t>mean-</w:t>
      </w:r>
      <w:r w:rsidRPr="00983111">
        <w:rPr>
          <w:szCs w:val="22"/>
        </w:rPr>
        <w:t>annual flow. Overall, w</w:t>
      </w:r>
      <w:r w:rsidRPr="00983111">
        <w:rPr>
          <w:color w:val="000000"/>
          <w:szCs w:val="22"/>
        </w:rPr>
        <w:t>ater resource development has contributed to more than tr</w:t>
      </w:r>
      <w:r w:rsidR="000C047D">
        <w:rPr>
          <w:color w:val="000000"/>
          <w:szCs w:val="22"/>
        </w:rPr>
        <w:t>ip</w:t>
      </w:r>
      <w:r w:rsidRPr="00983111">
        <w:rPr>
          <w:color w:val="000000"/>
          <w:szCs w:val="22"/>
        </w:rPr>
        <w:t xml:space="preserve">ling the average period between flooding of the Lower Darling River and the </w:t>
      </w:r>
      <w:smartTag w:uri="urn:schemas-microsoft-com:office:smarttags" w:element="place">
        <w:smartTag w:uri="urn:schemas-microsoft-com:office:smarttags" w:element="PlaceName">
          <w:r w:rsidRPr="00983111">
            <w:rPr>
              <w:color w:val="000000"/>
              <w:szCs w:val="22"/>
            </w:rPr>
            <w:t>Darling</w:t>
          </w:r>
        </w:smartTag>
        <w:r w:rsidRPr="00983111">
          <w:rPr>
            <w:color w:val="000000"/>
            <w:szCs w:val="22"/>
          </w:rPr>
          <w:t xml:space="preserve"> </w:t>
        </w:r>
        <w:smartTag w:uri="urn:schemas-microsoft-com:office:smarttags" w:element="PlaceName">
          <w:r w:rsidRPr="00983111">
            <w:rPr>
              <w:color w:val="000000"/>
              <w:szCs w:val="22"/>
            </w:rPr>
            <w:t>Anabranch</w:t>
          </w:r>
        </w:smartTag>
        <w:r w:rsidRPr="00983111">
          <w:rPr>
            <w:color w:val="000000"/>
            <w:szCs w:val="22"/>
          </w:rPr>
          <w:t xml:space="preserve"> </w:t>
        </w:r>
        <w:smartTag w:uri="urn:schemas-microsoft-com:office:smarttags" w:element="PlaceType">
          <w:r w:rsidRPr="00983111">
            <w:rPr>
              <w:color w:val="000000"/>
              <w:szCs w:val="22"/>
            </w:rPr>
            <w:t>Lakes</w:t>
          </w:r>
        </w:smartTag>
      </w:smartTag>
      <w:r w:rsidRPr="00983111">
        <w:rPr>
          <w:color w:val="000000"/>
          <w:szCs w:val="22"/>
        </w:rPr>
        <w:t>. Prior to large-scale development</w:t>
      </w:r>
      <w:r w:rsidR="00AE7EF2">
        <w:rPr>
          <w:color w:val="000000"/>
          <w:szCs w:val="22"/>
        </w:rPr>
        <w:t>,</w:t>
      </w:r>
      <w:r w:rsidRPr="00983111">
        <w:rPr>
          <w:color w:val="000000"/>
          <w:szCs w:val="22"/>
        </w:rPr>
        <w:t xml:space="preserve"> flooding occurred on average </w:t>
      </w:r>
      <w:r w:rsidRPr="00983111">
        <w:rPr>
          <w:szCs w:val="22"/>
        </w:rPr>
        <w:t>once in less than 3 years, while post-development this interval has increased to occurring only once in more than</w:t>
      </w:r>
      <w:r w:rsidRPr="00983111">
        <w:rPr>
          <w:color w:val="000000"/>
          <w:szCs w:val="22"/>
        </w:rPr>
        <w:t xml:space="preserve"> 8 years. At the same time, </w:t>
      </w:r>
      <w:r w:rsidRPr="00983111">
        <w:rPr>
          <w:szCs w:val="22"/>
        </w:rPr>
        <w:t>flood volumes have also been greatly reduced such that the average annual flood volume is only a fifth of the volume under pre-development conditions</w:t>
      </w:r>
      <w:r w:rsidRPr="00752DBB">
        <w:rPr>
          <w:szCs w:val="22"/>
        </w:rPr>
        <w:t xml:space="preserve"> </w:t>
      </w:r>
      <w:r w:rsidRPr="00752DBB">
        <w:rPr>
          <w:color w:val="000000"/>
          <w:szCs w:val="22"/>
        </w:rPr>
        <w:t>(CSIRO, 2008)</w:t>
      </w:r>
      <w:r w:rsidRPr="00752DBB">
        <w:rPr>
          <w:szCs w:val="22"/>
        </w:rPr>
        <w:t xml:space="preserve">. </w:t>
      </w:r>
      <w:r w:rsidRPr="00752DBB">
        <w:rPr>
          <w:color w:val="000000"/>
          <w:szCs w:val="22"/>
        </w:rPr>
        <w:t>The maximum period between floods</w:t>
      </w:r>
      <w:r w:rsidRPr="00752DBB">
        <w:rPr>
          <w:szCs w:val="22"/>
        </w:rPr>
        <w:t xml:space="preserve"> </w:t>
      </w:r>
      <w:r w:rsidRPr="00752DBB">
        <w:rPr>
          <w:color w:val="000000"/>
          <w:szCs w:val="22"/>
        </w:rPr>
        <w:t xml:space="preserve">is now nearly 23 years (CSIRO, 2008). </w:t>
      </w:r>
    </w:p>
    <w:p w:rsidR="0070746C" w:rsidRDefault="0070746C" w:rsidP="0070746C">
      <w:pPr>
        <w:autoSpaceDE w:val="0"/>
        <w:autoSpaceDN w:val="0"/>
        <w:adjustRightInd w:val="0"/>
        <w:rPr>
          <w:color w:val="231F20"/>
          <w:szCs w:val="22"/>
        </w:rPr>
      </w:pPr>
    </w:p>
    <w:p w:rsidR="00AE7EF2" w:rsidRDefault="0070746C" w:rsidP="0070746C">
      <w:pPr>
        <w:rPr>
          <w:szCs w:val="22"/>
        </w:rPr>
      </w:pPr>
      <w:r w:rsidRPr="00501DEC">
        <w:rPr>
          <w:szCs w:val="22"/>
        </w:rPr>
        <w:t xml:space="preserve">Flows and river heights within the Lower Darling are highly regulated throughout the late spring, summer and autumn each year, with water inflows captured and stored in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Pr>
          <w:szCs w:val="22"/>
        </w:rPr>
        <w:t xml:space="preserve"> and subsequently released</w:t>
      </w:r>
      <w:r w:rsidRPr="00501DEC">
        <w:rPr>
          <w:szCs w:val="22"/>
        </w:rPr>
        <w:t>. Despite the clear evidence of significant changes to flow regime, river model evaluation suggests that</w:t>
      </w:r>
      <w:r>
        <w:rPr>
          <w:szCs w:val="22"/>
        </w:rPr>
        <w:t xml:space="preserve"> the </w:t>
      </w:r>
      <w:smartTag w:uri="urn:schemas-microsoft-com:office:smarttags" w:element="place">
        <w:r>
          <w:rPr>
            <w:szCs w:val="22"/>
          </w:rPr>
          <w:t>Darling River</w:t>
        </w:r>
      </w:smartTag>
      <w:r>
        <w:rPr>
          <w:szCs w:val="22"/>
        </w:rPr>
        <w:t xml:space="preserve"> system</w:t>
      </w:r>
      <w:r w:rsidRPr="00501DEC">
        <w:rPr>
          <w:szCs w:val="22"/>
        </w:rPr>
        <w:t xml:space="preserve"> remains one of the least well understood parts of the Murray-Darling System, with a </w:t>
      </w:r>
      <w:r w:rsidRPr="00501DEC">
        <w:rPr>
          <w:szCs w:val="22"/>
        </w:rPr>
        <w:lastRenderedPageBreak/>
        <w:t xml:space="preserve">relatively complicated anabranching river network and incomplete </w:t>
      </w:r>
      <w:smartTag w:uri="urn:schemas-microsoft-com:office:smarttags" w:element="PersonName">
        <w:r w:rsidRPr="00501DEC">
          <w:rPr>
            <w:szCs w:val="22"/>
          </w:rPr>
          <w:t>ga</w:t>
        </w:r>
      </w:smartTag>
      <w:r w:rsidRPr="00501DEC">
        <w:rPr>
          <w:szCs w:val="22"/>
        </w:rPr>
        <w:t>uging (CSIRO, 2008; Podger, 2010). These changes in hydrologic regime are likely to have impacted significantly on the river and its associated floodplain, wetlands and lakes, with implications also for recharge dynamics.</w:t>
      </w:r>
    </w:p>
    <w:p w:rsidR="0070746C" w:rsidRDefault="0070746C" w:rsidP="0070746C">
      <w:pPr>
        <w:rPr>
          <w:szCs w:val="22"/>
        </w:rPr>
      </w:pPr>
      <w:r w:rsidRPr="0030328B">
        <w:rPr>
          <w:szCs w:val="22"/>
        </w:rPr>
        <w:t xml:space="preserve"> </w:t>
      </w:r>
    </w:p>
    <w:p w:rsidR="0070746C" w:rsidRDefault="0070746C" w:rsidP="0070746C">
      <w:pPr>
        <w:autoSpaceDE w:val="0"/>
        <w:autoSpaceDN w:val="0"/>
        <w:adjustRightInd w:val="0"/>
        <w:rPr>
          <w:color w:val="000000"/>
          <w:szCs w:val="22"/>
        </w:rPr>
      </w:pPr>
      <w:r w:rsidRPr="00BA6044">
        <w:rPr>
          <w:szCs w:val="22"/>
        </w:rPr>
        <w:t xml:space="preserve">Prior studies of the groundwater system </w:t>
      </w:r>
      <w:r w:rsidR="002B6D6A" w:rsidRPr="00F81CBA">
        <w:rPr>
          <w:szCs w:val="22"/>
        </w:rPr>
        <w:t>(Brodie, 1994; Kellet</w:t>
      </w:r>
      <w:r w:rsidR="0008420C" w:rsidRPr="00F81CBA">
        <w:rPr>
          <w:szCs w:val="22"/>
        </w:rPr>
        <w:t>t</w:t>
      </w:r>
      <w:r w:rsidR="002B6D6A">
        <w:rPr>
          <w:szCs w:val="22"/>
        </w:rPr>
        <w:t>, 1994</w:t>
      </w:r>
      <w:r w:rsidR="0008420C">
        <w:rPr>
          <w:szCs w:val="22"/>
        </w:rPr>
        <w:t>)</w:t>
      </w:r>
      <w:r w:rsidR="002B6D6A" w:rsidRPr="00BA6044">
        <w:rPr>
          <w:szCs w:val="22"/>
        </w:rPr>
        <w:t xml:space="preserve"> </w:t>
      </w:r>
      <w:r w:rsidRPr="00BA6044">
        <w:rPr>
          <w:szCs w:val="22"/>
        </w:rPr>
        <w:t>have show</w:t>
      </w:r>
      <w:r w:rsidR="00AE7EF2">
        <w:rPr>
          <w:szCs w:val="22"/>
        </w:rPr>
        <w:t>n</w:t>
      </w:r>
      <w:r w:rsidRPr="00BA6044">
        <w:rPr>
          <w:szCs w:val="22"/>
        </w:rPr>
        <w:t xml:space="preserve"> that potentiometric gradients are downward for much of the Darling between </w:t>
      </w:r>
      <w:r w:rsidR="00C217F0">
        <w:rPr>
          <w:szCs w:val="22"/>
        </w:rPr>
        <w:t xml:space="preserve">Menindee </w:t>
      </w:r>
      <w:r w:rsidRPr="00BA6044">
        <w:rPr>
          <w:szCs w:val="22"/>
        </w:rPr>
        <w:t>and Wilcannia, with significant volumes of fresh to brackish groundwater stored in shallow floodplain alluvium</w:t>
      </w:r>
      <w:r w:rsidR="002B6D6A">
        <w:rPr>
          <w:szCs w:val="22"/>
        </w:rPr>
        <w:t>.</w:t>
      </w:r>
      <w:r w:rsidRPr="00BA6044">
        <w:rPr>
          <w:szCs w:val="22"/>
        </w:rPr>
        <w:t xml:space="preserve"> </w:t>
      </w:r>
      <w:r w:rsidRPr="00BA6044">
        <w:rPr>
          <w:color w:val="000000"/>
          <w:szCs w:val="22"/>
        </w:rPr>
        <w:t>Recent</w:t>
      </w:r>
      <w:r w:rsidRPr="00BA6044">
        <w:rPr>
          <w:szCs w:val="22"/>
        </w:rPr>
        <w:t xml:space="preserve"> hydrologic modelling has also demonstrated that the Darling River from Wilcannia to the </w:t>
      </w:r>
      <w:smartTag w:uri="urn:schemas-microsoft-com:office:smarttags" w:element="place">
        <w:smartTag w:uri="urn:schemas-microsoft-com:office:smarttags" w:element="PlaceName">
          <w:r w:rsidRPr="00BA6044">
            <w:rPr>
              <w:szCs w:val="22"/>
            </w:rPr>
            <w:t>Ana</w:t>
          </w:r>
          <w:r>
            <w:rPr>
              <w:szCs w:val="22"/>
            </w:rPr>
            <w:t>branch</w:t>
          </w:r>
        </w:smartTag>
        <w:r>
          <w:rPr>
            <w:szCs w:val="22"/>
          </w:rPr>
          <w:t xml:space="preserve"> </w:t>
        </w:r>
        <w:smartTag w:uri="urn:schemas-microsoft-com:office:smarttags" w:element="PlaceType">
          <w:r>
            <w:rPr>
              <w:szCs w:val="22"/>
            </w:rPr>
            <w:t>Lakes</w:t>
          </w:r>
        </w:smartTag>
      </w:smartTag>
      <w:r>
        <w:rPr>
          <w:szCs w:val="22"/>
        </w:rPr>
        <w:t xml:space="preserve"> is a losing reach</w:t>
      </w:r>
      <w:r w:rsidRPr="00BA6044">
        <w:rPr>
          <w:szCs w:val="22"/>
        </w:rPr>
        <w:t xml:space="preserve"> (CSIRO, 2008). </w:t>
      </w:r>
      <w:r>
        <w:rPr>
          <w:color w:val="000000"/>
          <w:szCs w:val="22"/>
        </w:rPr>
        <w:t>A</w:t>
      </w:r>
      <w:r w:rsidRPr="00BA6044">
        <w:rPr>
          <w:color w:val="000000"/>
          <w:szCs w:val="22"/>
        </w:rPr>
        <w:t xml:space="preserve"> reduction in flood volumes and extent </w:t>
      </w:r>
      <w:r>
        <w:rPr>
          <w:color w:val="000000"/>
          <w:szCs w:val="22"/>
        </w:rPr>
        <w:t xml:space="preserve">due to increased diversions </w:t>
      </w:r>
      <w:r w:rsidRPr="00BA6044">
        <w:rPr>
          <w:color w:val="000000"/>
          <w:szCs w:val="22"/>
        </w:rPr>
        <w:t xml:space="preserve">is likely to have some impact on </w:t>
      </w:r>
      <w:r w:rsidR="007F0CB1">
        <w:rPr>
          <w:color w:val="000000"/>
          <w:szCs w:val="22"/>
        </w:rPr>
        <w:t xml:space="preserve">groundwater </w:t>
      </w:r>
      <w:r w:rsidRPr="00BA6044">
        <w:rPr>
          <w:color w:val="000000"/>
          <w:szCs w:val="22"/>
        </w:rPr>
        <w:t>recharg</w:t>
      </w:r>
      <w:r w:rsidR="007F0CB1">
        <w:rPr>
          <w:color w:val="000000"/>
          <w:szCs w:val="22"/>
        </w:rPr>
        <w:t>e</w:t>
      </w:r>
      <w:r w:rsidRPr="00BA6044">
        <w:rPr>
          <w:color w:val="000000"/>
          <w:szCs w:val="22"/>
        </w:rPr>
        <w:t xml:space="preserve">, particularly </w:t>
      </w:r>
      <w:r w:rsidR="007F0CB1">
        <w:rPr>
          <w:color w:val="000000"/>
          <w:szCs w:val="22"/>
        </w:rPr>
        <w:t>for near-river shallow aquifers</w:t>
      </w:r>
      <w:r w:rsidRPr="00BA6044">
        <w:rPr>
          <w:color w:val="000000"/>
          <w:szCs w:val="22"/>
        </w:rPr>
        <w:t xml:space="preserve"> and across areas of the floodplain that are less frequently flooded or not influenced by lateral bank </w:t>
      </w:r>
      <w:r>
        <w:rPr>
          <w:color w:val="000000"/>
          <w:szCs w:val="22"/>
        </w:rPr>
        <w:t>infiltration</w:t>
      </w:r>
      <w:r w:rsidRPr="00BA6044">
        <w:rPr>
          <w:color w:val="000000"/>
          <w:szCs w:val="22"/>
        </w:rPr>
        <w:t>.</w:t>
      </w:r>
    </w:p>
    <w:p w:rsidR="002B69F0" w:rsidRDefault="002B69F0" w:rsidP="0070746C">
      <w:pPr>
        <w:autoSpaceDE w:val="0"/>
        <w:autoSpaceDN w:val="0"/>
        <w:adjustRightInd w:val="0"/>
        <w:rPr>
          <w:szCs w:val="22"/>
        </w:rPr>
      </w:pPr>
    </w:p>
    <w:p w:rsidR="00BA634A" w:rsidRDefault="00706A3B" w:rsidP="007D5510">
      <w:pPr>
        <w:spacing w:before="60" w:after="60"/>
        <w:jc w:val="center"/>
        <w:rPr>
          <w:szCs w:val="22"/>
        </w:rPr>
      </w:pPr>
      <w:r>
        <w:rPr>
          <w:noProof/>
          <w:szCs w:val="22"/>
        </w:rPr>
        <w:lastRenderedPageBreak/>
        <w:drawing>
          <wp:inline distT="0" distB="0" distL="0" distR="0" wp14:anchorId="46A88EC3" wp14:editId="4B79BC3C">
            <wp:extent cx="5986145" cy="7485380"/>
            <wp:effectExtent l="19050" t="19050" r="0" b="1270"/>
            <wp:docPr id="21" name="Picture 21" descr="BHMAR_location_regio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HMAR_location_regional3"/>
                    <pic:cNvPicPr>
                      <a:picLocks noChangeAspect="1" noChangeArrowheads="1"/>
                    </pic:cNvPicPr>
                  </pic:nvPicPr>
                  <pic:blipFill>
                    <a:blip r:embed="rId41">
                      <a:extLst>
                        <a:ext uri="{28A0092B-C50C-407E-A947-70E740481C1C}">
                          <a14:useLocalDpi xmlns:a14="http://schemas.microsoft.com/office/drawing/2010/main" val="0"/>
                        </a:ext>
                      </a:extLst>
                    </a:blip>
                    <a:srcRect l="1196" t="1846" r="1796" b="12796"/>
                    <a:stretch>
                      <a:fillRect/>
                    </a:stretch>
                  </pic:blipFill>
                  <pic:spPr bwMode="auto">
                    <a:xfrm>
                      <a:off x="0" y="0"/>
                      <a:ext cx="5986145" cy="7485380"/>
                    </a:xfrm>
                    <a:prstGeom prst="rect">
                      <a:avLst/>
                    </a:prstGeom>
                    <a:noFill/>
                    <a:ln w="6350" cmpd="sng">
                      <a:solidFill>
                        <a:srgbClr val="000000"/>
                      </a:solidFill>
                      <a:miter lim="800000"/>
                      <a:headEnd/>
                      <a:tailEnd/>
                    </a:ln>
                    <a:effectLst/>
                  </pic:spPr>
                </pic:pic>
              </a:graphicData>
            </a:graphic>
          </wp:inline>
        </w:drawing>
      </w:r>
    </w:p>
    <w:p w:rsidR="001968EF" w:rsidRDefault="001741E7" w:rsidP="001968EF">
      <w:pPr>
        <w:pStyle w:val="Caption"/>
      </w:pPr>
      <w:bookmarkStart w:id="113" w:name="_Ref325706708"/>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2</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113"/>
      <w:r>
        <w:rPr>
          <w:b/>
        </w:rPr>
        <w:t>.</w:t>
      </w:r>
      <w:r>
        <w:rPr>
          <w:b/>
          <w:szCs w:val="22"/>
        </w:rPr>
        <w:t xml:space="preserve"> </w:t>
      </w:r>
      <w:r w:rsidR="005E4B77">
        <w:rPr>
          <w:szCs w:val="20"/>
        </w:rPr>
        <w:t>L</w:t>
      </w:r>
      <w:r w:rsidR="00BA634A" w:rsidRPr="00994E36">
        <w:rPr>
          <w:szCs w:val="20"/>
        </w:rPr>
        <w:t xml:space="preserve">ocation of </w:t>
      </w:r>
      <w:r w:rsidR="005E4B77">
        <w:rPr>
          <w:szCs w:val="20"/>
        </w:rPr>
        <w:t>the</w:t>
      </w:r>
      <w:r w:rsidR="00BA634A" w:rsidRPr="00994E36">
        <w:rPr>
          <w:szCs w:val="20"/>
        </w:rPr>
        <w:t xml:space="preserve"> BHMAR </w:t>
      </w:r>
      <w:r w:rsidR="00A56C85">
        <w:rPr>
          <w:szCs w:val="20"/>
        </w:rPr>
        <w:t>project</w:t>
      </w:r>
      <w:r w:rsidR="00BA634A" w:rsidRPr="00994E36">
        <w:rPr>
          <w:szCs w:val="20"/>
        </w:rPr>
        <w:t xml:space="preserve"> area relative to</w:t>
      </w:r>
      <w:r w:rsidR="001E1E35">
        <w:rPr>
          <w:szCs w:val="20"/>
        </w:rPr>
        <w:t xml:space="preserve"> </w:t>
      </w:r>
      <w:r w:rsidR="00C217F0">
        <w:rPr>
          <w:szCs w:val="20"/>
        </w:rPr>
        <w:t xml:space="preserve">Menindee </w:t>
      </w:r>
      <w:r w:rsidR="00BA634A" w:rsidRPr="00994E36">
        <w:rPr>
          <w:szCs w:val="20"/>
        </w:rPr>
        <w:t>and Broken Hill.</w:t>
      </w:r>
      <w:r w:rsidR="00BE08AB" w:rsidRPr="00BE08AB">
        <w:t xml:space="preserve"> </w:t>
      </w:r>
      <w:r w:rsidR="00BE08AB" w:rsidRPr="00216027">
        <w:fldChar w:fldCharType="begin"/>
      </w:r>
      <w:r w:rsidR="00BE08AB" w:rsidRPr="00216027">
        <w:instrText xml:space="preserve"> TC "</w:instrText>
      </w:r>
      <w:bookmarkStart w:id="114" w:name="_Toc325975199"/>
      <w:bookmarkStart w:id="115" w:name="_Toc390690204"/>
      <w:r w:rsidR="00BE08AB" w:rsidRPr="00216027">
        <w:instrText xml:space="preserve">Figure </w:instrText>
      </w:r>
      <w:r w:rsidR="009F303B" w:rsidRPr="00216027">
        <w:instrText>2</w:instrText>
      </w:r>
      <w:r w:rsidR="0020070D">
        <w:instrText>-1</w:instrText>
      </w:r>
      <w:r w:rsidR="00497AD3">
        <w:instrText>.</w:instrText>
      </w:r>
      <w:r w:rsidR="00BE08AB" w:rsidRPr="00216027">
        <w:instrText xml:space="preserve"> </w:instrText>
      </w:r>
      <w:r w:rsidR="005E4B77">
        <w:rPr>
          <w:szCs w:val="20"/>
        </w:rPr>
        <w:instrText>L</w:instrText>
      </w:r>
      <w:r w:rsidR="009F303B" w:rsidRPr="00216027">
        <w:rPr>
          <w:szCs w:val="20"/>
        </w:rPr>
        <w:instrText xml:space="preserve">ocation of </w:instrText>
      </w:r>
      <w:r w:rsidR="005E4B77">
        <w:rPr>
          <w:szCs w:val="20"/>
        </w:rPr>
        <w:instrText>the</w:instrText>
      </w:r>
      <w:r w:rsidR="009F303B" w:rsidRPr="00216027">
        <w:rPr>
          <w:szCs w:val="20"/>
        </w:rPr>
        <w:instrText xml:space="preserve"> BHMAR </w:instrText>
      </w:r>
      <w:r w:rsidR="00A56C85">
        <w:rPr>
          <w:szCs w:val="20"/>
        </w:rPr>
        <w:instrText>project</w:instrText>
      </w:r>
      <w:r w:rsidR="009F303B" w:rsidRPr="00216027">
        <w:rPr>
          <w:szCs w:val="20"/>
        </w:rPr>
        <w:instrText xml:space="preserve"> area relative to </w:instrText>
      </w:r>
      <w:r w:rsidR="00C217F0">
        <w:rPr>
          <w:szCs w:val="20"/>
        </w:rPr>
        <w:instrText xml:space="preserve">Menindee </w:instrText>
      </w:r>
      <w:r w:rsidR="009F303B" w:rsidRPr="00216027">
        <w:rPr>
          <w:szCs w:val="20"/>
        </w:rPr>
        <w:instrText>and Broken Hill</w:instrText>
      </w:r>
      <w:bookmarkEnd w:id="114"/>
      <w:r w:rsidR="005E4B77">
        <w:instrText>.</w:instrText>
      </w:r>
      <w:bookmarkEnd w:id="115"/>
      <w:r w:rsidR="00BE08AB" w:rsidRPr="00216027">
        <w:instrText xml:space="preserve">" \f A \l “4” </w:instrText>
      </w:r>
      <w:r w:rsidR="00BE08AB" w:rsidRPr="00216027">
        <w:fldChar w:fldCharType="end"/>
      </w:r>
    </w:p>
    <w:p w:rsidR="001968EF" w:rsidRPr="001968EF" w:rsidRDefault="001968EF" w:rsidP="001968EF">
      <w:pPr>
        <w:pStyle w:val="BodyText1"/>
        <w:spacing w:before="240" w:after="0"/>
      </w:pPr>
    </w:p>
    <w:p w:rsidR="00B54638" w:rsidRPr="00C60D18" w:rsidRDefault="00706A3B" w:rsidP="00DB5BC2">
      <w:pPr>
        <w:spacing w:before="240" w:after="60"/>
        <w:jc w:val="center"/>
      </w:pPr>
      <w:r>
        <w:rPr>
          <w:noProof/>
        </w:rPr>
        <w:lastRenderedPageBreak/>
        <w:drawing>
          <wp:inline distT="0" distB="0" distL="0" distR="0" wp14:anchorId="18373698" wp14:editId="1936352C">
            <wp:extent cx="5964555" cy="7676515"/>
            <wp:effectExtent l="19050" t="19050" r="0" b="635"/>
            <wp:docPr id="22" name="Picture 22" descr="Fig3_BHMAR_location_GWR_topo_20km_circle_350k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3_BHMAR_location_GWR_topo_20km_circle_350kv2"/>
                    <pic:cNvPicPr>
                      <a:picLocks noChangeAspect="1" noChangeArrowheads="1"/>
                    </pic:cNvPicPr>
                  </pic:nvPicPr>
                  <pic:blipFill>
                    <a:blip r:embed="rId42" cstate="print">
                      <a:extLst>
                        <a:ext uri="{28A0092B-C50C-407E-A947-70E740481C1C}">
                          <a14:useLocalDpi xmlns:a14="http://schemas.microsoft.com/office/drawing/2010/main" val="0"/>
                        </a:ext>
                      </a:extLst>
                    </a:blip>
                    <a:srcRect l="8972" t="6784" r="9415" b="18996"/>
                    <a:stretch>
                      <a:fillRect/>
                    </a:stretch>
                  </pic:blipFill>
                  <pic:spPr bwMode="auto">
                    <a:xfrm>
                      <a:off x="0" y="0"/>
                      <a:ext cx="5964555" cy="7676515"/>
                    </a:xfrm>
                    <a:prstGeom prst="rect">
                      <a:avLst/>
                    </a:prstGeom>
                    <a:noFill/>
                    <a:ln w="12700" cmpd="sng">
                      <a:solidFill>
                        <a:srgbClr val="000000"/>
                      </a:solidFill>
                      <a:miter lim="800000"/>
                      <a:headEnd/>
                      <a:tailEnd/>
                    </a:ln>
                    <a:effectLst/>
                  </pic:spPr>
                </pic:pic>
              </a:graphicData>
            </a:graphic>
          </wp:inline>
        </w:drawing>
      </w:r>
    </w:p>
    <w:p w:rsidR="002B69F0" w:rsidRDefault="001741E7" w:rsidP="00994E36">
      <w:pPr>
        <w:pStyle w:val="Caption"/>
        <w:rPr>
          <w:i w:val="0"/>
          <w:szCs w:val="20"/>
        </w:rPr>
      </w:pPr>
      <w:bookmarkStart w:id="116" w:name="_Ref32570687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2</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116"/>
      <w:r>
        <w:rPr>
          <w:b/>
        </w:rPr>
        <w:t>.</w:t>
      </w:r>
      <w:r>
        <w:rPr>
          <w:b/>
          <w:szCs w:val="22"/>
        </w:rPr>
        <w:t xml:space="preserve"> </w:t>
      </w:r>
      <w:r w:rsidR="005E4B77">
        <w:rPr>
          <w:szCs w:val="20"/>
        </w:rPr>
        <w:t>Location</w:t>
      </w:r>
      <w:r w:rsidR="00B54638" w:rsidRPr="00994E36">
        <w:rPr>
          <w:szCs w:val="20"/>
        </w:rPr>
        <w:t xml:space="preserve"> of the </w:t>
      </w:r>
      <w:smartTag w:uri="urn:schemas-microsoft-com:office:smarttags" w:element="place">
        <w:smartTag w:uri="urn:schemas-microsoft-com:office:smarttags" w:element="PlaceName">
          <w:r w:rsidR="007D1583">
            <w:rPr>
              <w:szCs w:val="20"/>
            </w:rPr>
            <w:t>Menindee</w:t>
          </w:r>
        </w:smartTag>
        <w:r w:rsidR="007D1583">
          <w:rPr>
            <w:szCs w:val="20"/>
          </w:rPr>
          <w:t xml:space="preserve"> </w:t>
        </w:r>
        <w:smartTag w:uri="urn:schemas-microsoft-com:office:smarttags" w:element="PlaceType">
          <w:r w:rsidR="007D1583">
            <w:rPr>
              <w:szCs w:val="20"/>
            </w:rPr>
            <w:t>Lakes</w:t>
          </w:r>
        </w:smartTag>
      </w:smartTag>
      <w:r w:rsidR="00B54638" w:rsidRPr="00994E36">
        <w:rPr>
          <w:szCs w:val="20"/>
        </w:rPr>
        <w:t>. The red circle denotes an are</w:t>
      </w:r>
      <w:r w:rsidR="006D1B0D" w:rsidRPr="00994E36">
        <w:rPr>
          <w:szCs w:val="20"/>
        </w:rPr>
        <w:t>a</w:t>
      </w:r>
      <w:r w:rsidR="00B54638" w:rsidRPr="00994E36">
        <w:rPr>
          <w:szCs w:val="20"/>
        </w:rPr>
        <w:t xml:space="preserve"> within 20</w:t>
      </w:r>
      <w:r w:rsidR="007F0CB1">
        <w:rPr>
          <w:szCs w:val="20"/>
        </w:rPr>
        <w:t xml:space="preserve"> </w:t>
      </w:r>
      <w:r w:rsidR="00B54638" w:rsidRPr="00994E36">
        <w:rPr>
          <w:szCs w:val="20"/>
        </w:rPr>
        <w:t xml:space="preserve">km radius of the </w:t>
      </w:r>
      <w:smartTag w:uri="urn:schemas-microsoft-com:office:smarttags" w:element="place">
        <w:smartTag w:uri="urn:schemas-microsoft-com:office:smarttags" w:element="PlaceType">
          <w:r w:rsidR="00B54638" w:rsidRPr="00994E36">
            <w:rPr>
              <w:szCs w:val="20"/>
            </w:rPr>
            <w:t>township</w:t>
          </w:r>
        </w:smartTag>
        <w:r w:rsidR="00B54638" w:rsidRPr="00994E36">
          <w:rPr>
            <w:szCs w:val="20"/>
          </w:rPr>
          <w:t xml:space="preserve"> of </w:t>
        </w:r>
        <w:smartTag w:uri="urn:schemas-microsoft-com:office:smarttags" w:element="PlaceName">
          <w:r w:rsidR="00C217F0">
            <w:rPr>
              <w:szCs w:val="20"/>
            </w:rPr>
            <w:t>Menindee</w:t>
          </w:r>
        </w:smartTag>
      </w:smartTag>
      <w:r w:rsidR="00B54638" w:rsidRPr="00994E36">
        <w:rPr>
          <w:szCs w:val="20"/>
        </w:rPr>
        <w:t>.</w:t>
      </w:r>
      <w:r w:rsidR="00B54638">
        <w:rPr>
          <w:i w:val="0"/>
          <w:szCs w:val="20"/>
        </w:rPr>
        <w:t xml:space="preserve"> </w:t>
      </w:r>
      <w:r w:rsidR="004F6B8D" w:rsidRPr="00216027">
        <w:rPr>
          <w:i w:val="0"/>
          <w:szCs w:val="22"/>
        </w:rPr>
        <w:fldChar w:fldCharType="begin"/>
      </w:r>
      <w:r w:rsidR="004F6B8D" w:rsidRPr="00216027">
        <w:rPr>
          <w:i w:val="0"/>
          <w:szCs w:val="22"/>
        </w:rPr>
        <w:instrText xml:space="preserve"> TC "</w:instrText>
      </w:r>
      <w:bookmarkStart w:id="117" w:name="_Toc325975200"/>
      <w:bookmarkStart w:id="118" w:name="_Toc390690205"/>
      <w:r w:rsidR="00497AD3">
        <w:rPr>
          <w:i w:val="0"/>
          <w:szCs w:val="22"/>
        </w:rPr>
        <w:instrText xml:space="preserve">Figure </w:instrText>
      </w:r>
      <w:r w:rsidR="0020070D">
        <w:rPr>
          <w:i w:val="0"/>
          <w:szCs w:val="22"/>
        </w:rPr>
        <w:instrText>2-2</w:instrText>
      </w:r>
      <w:r w:rsidR="00497AD3">
        <w:rPr>
          <w:i w:val="0"/>
          <w:szCs w:val="22"/>
        </w:rPr>
        <w:instrText>.</w:instrText>
      </w:r>
      <w:r w:rsidR="004F6B8D" w:rsidRPr="00216027">
        <w:rPr>
          <w:i w:val="0"/>
          <w:szCs w:val="22"/>
        </w:rPr>
        <w:instrText xml:space="preserve"> </w:instrText>
      </w:r>
      <w:r w:rsidR="005E4B77">
        <w:rPr>
          <w:i w:val="0"/>
          <w:szCs w:val="22"/>
        </w:rPr>
        <w:instrText>Location</w:instrText>
      </w:r>
      <w:r w:rsidR="004F6B8D" w:rsidRPr="00216027">
        <w:rPr>
          <w:i w:val="0"/>
          <w:szCs w:val="22"/>
        </w:rPr>
        <w:instrText xml:space="preserve"> of the </w:instrText>
      </w:r>
      <w:smartTag w:uri="urn:schemas-microsoft-com:office:smarttags" w:element="place">
        <w:smartTag w:uri="urn:schemas-microsoft-com:office:smarttags" w:element="PlaceName">
          <w:r w:rsidR="007D1583">
            <w:rPr>
              <w:i w:val="0"/>
              <w:szCs w:val="22"/>
            </w:rPr>
            <w:instrText>Menindee</w:instrText>
          </w:r>
        </w:smartTag>
        <w:r w:rsidR="007D1583">
          <w:rPr>
            <w:i w:val="0"/>
            <w:szCs w:val="22"/>
          </w:rPr>
          <w:instrText xml:space="preserve"> </w:instrText>
        </w:r>
        <w:smartTag w:uri="urn:schemas-microsoft-com:office:smarttags" w:element="PlaceType">
          <w:r w:rsidR="007D1583">
            <w:rPr>
              <w:i w:val="0"/>
              <w:szCs w:val="22"/>
            </w:rPr>
            <w:instrText>Lakes</w:instrText>
          </w:r>
        </w:smartTag>
      </w:smartTag>
      <w:bookmarkEnd w:id="117"/>
      <w:r w:rsidR="005E4B77">
        <w:rPr>
          <w:i w:val="0"/>
          <w:szCs w:val="22"/>
        </w:rPr>
        <w:instrText>.</w:instrText>
      </w:r>
      <w:bookmarkEnd w:id="118"/>
      <w:r w:rsidR="004F6B8D" w:rsidRPr="00216027">
        <w:rPr>
          <w:i w:val="0"/>
          <w:szCs w:val="22"/>
        </w:rPr>
        <w:instrText xml:space="preserve">" \f A \l “4” </w:instrText>
      </w:r>
      <w:r w:rsidR="004F6B8D" w:rsidRPr="00216027">
        <w:rPr>
          <w:i w:val="0"/>
          <w:szCs w:val="22"/>
        </w:rPr>
        <w:fldChar w:fldCharType="end"/>
      </w:r>
    </w:p>
    <w:p w:rsidR="002B69F0" w:rsidRDefault="002B69F0" w:rsidP="002B69F0">
      <w:pPr>
        <w:tabs>
          <w:tab w:val="left" w:pos="7200"/>
        </w:tabs>
        <w:autoSpaceDE w:val="0"/>
        <w:autoSpaceDN w:val="0"/>
        <w:adjustRightInd w:val="0"/>
        <w:rPr>
          <w:szCs w:val="22"/>
        </w:rPr>
      </w:pPr>
    </w:p>
    <w:p w:rsidR="00B54638" w:rsidRPr="002B69F0" w:rsidRDefault="00B54638" w:rsidP="002B69F0">
      <w:pPr>
        <w:tabs>
          <w:tab w:val="left" w:pos="7200"/>
        </w:tabs>
        <w:autoSpaceDE w:val="0"/>
        <w:autoSpaceDN w:val="0"/>
        <w:adjustRightInd w:val="0"/>
        <w:rPr>
          <w:szCs w:val="22"/>
        </w:rPr>
      </w:pPr>
    </w:p>
    <w:p w:rsidR="003159E5" w:rsidRPr="00893738" w:rsidRDefault="007D1583" w:rsidP="00EF7E00">
      <w:pPr>
        <w:pStyle w:val="Heading3"/>
        <w:tabs>
          <w:tab w:val="left" w:pos="1080"/>
        </w:tabs>
        <w:spacing w:before="320"/>
        <w:ind w:left="1080" w:hanging="1080"/>
      </w:pPr>
      <w:bookmarkStart w:id="119" w:name="_Toc325700075"/>
      <w:bookmarkStart w:id="120" w:name="_Toc325700418"/>
      <w:bookmarkStart w:id="121" w:name="_Toc325975099"/>
      <w:bookmarkStart w:id="122" w:name="_Toc390690088"/>
      <w:smartTag w:uri="urn:schemas-microsoft-com:office:smarttags" w:element="place">
        <w:smartTag w:uri="urn:schemas-microsoft-com:office:smarttags" w:element="PlaceName">
          <w:r>
            <w:lastRenderedPageBreak/>
            <w:t>Menindee</w:t>
          </w:r>
        </w:smartTag>
        <w:r>
          <w:t xml:space="preserve"> </w:t>
        </w:r>
        <w:smartTag w:uri="urn:schemas-microsoft-com:office:smarttags" w:element="PlaceType">
          <w:r>
            <w:t>Lakes</w:t>
          </w:r>
        </w:smartTag>
      </w:smartTag>
      <w:r w:rsidR="003159E5" w:rsidRPr="00893738">
        <w:t xml:space="preserve"> Storages (MLS)</w:t>
      </w:r>
      <w:bookmarkEnd w:id="119"/>
      <w:bookmarkEnd w:id="120"/>
      <w:bookmarkEnd w:id="121"/>
      <w:bookmarkEnd w:id="122"/>
    </w:p>
    <w:p w:rsidR="003159E5" w:rsidRPr="00BA586E" w:rsidRDefault="003159E5" w:rsidP="00CD2825">
      <w:pPr>
        <w:tabs>
          <w:tab w:val="left" w:pos="7200"/>
        </w:tabs>
        <w:autoSpaceDE w:val="0"/>
        <w:autoSpaceDN w:val="0"/>
        <w:adjustRightInd w:val="0"/>
        <w:rPr>
          <w:szCs w:val="22"/>
        </w:rPr>
      </w:pPr>
      <w:r w:rsidRPr="00BA586E">
        <w:rPr>
          <w:szCs w:val="22"/>
        </w:rPr>
        <w:t>Construction of the MLS was initiated</w:t>
      </w:r>
      <w:r w:rsidR="003D1271">
        <w:rPr>
          <w:szCs w:val="22"/>
        </w:rPr>
        <w:t xml:space="preserve"> in 1949 and completed by 1960, with some upgrades occurring</w:t>
      </w:r>
      <w:r w:rsidRPr="00BA586E">
        <w:rPr>
          <w:szCs w:val="22"/>
        </w:rPr>
        <w:t xml:space="preserve"> in 1968. The MLS have a combined surface area of 463 km</w:t>
      </w:r>
      <w:r w:rsidRPr="00BA586E">
        <w:rPr>
          <w:szCs w:val="22"/>
          <w:vertAlign w:val="superscript"/>
        </w:rPr>
        <w:t>2</w:t>
      </w:r>
      <w:r w:rsidRPr="00BA586E">
        <w:rPr>
          <w:szCs w:val="22"/>
        </w:rPr>
        <w:t xml:space="preserve"> and a total storage capacity of </w:t>
      </w:r>
      <w:r w:rsidRPr="00795774">
        <w:rPr>
          <w:szCs w:val="22"/>
        </w:rPr>
        <w:t>1750 GL (</w:t>
      </w:r>
      <w:r w:rsidR="00CD2825" w:rsidRPr="00795774">
        <w:rPr>
          <w:szCs w:val="22"/>
        </w:rPr>
        <w:fldChar w:fldCharType="begin"/>
      </w:r>
      <w:r w:rsidR="00CD2825" w:rsidRPr="00795774">
        <w:rPr>
          <w:szCs w:val="22"/>
        </w:rPr>
        <w:instrText xml:space="preserve"> REF _Ref325709476 \h </w:instrText>
      </w:r>
      <w:r w:rsidR="00795774" w:rsidRPr="00795774">
        <w:rPr>
          <w:szCs w:val="22"/>
        </w:rPr>
        <w:instrText xml:space="preserve"> \* MERGEFORMAT </w:instrText>
      </w:r>
      <w:r w:rsidR="00CD2825" w:rsidRPr="00795774">
        <w:rPr>
          <w:szCs w:val="22"/>
        </w:rPr>
      </w:r>
      <w:r w:rsidR="00CD2825" w:rsidRPr="00795774">
        <w:rPr>
          <w:szCs w:val="22"/>
        </w:rPr>
        <w:fldChar w:fldCharType="separate"/>
      </w:r>
      <w:r w:rsidR="00966532" w:rsidRPr="00966532">
        <w:t xml:space="preserve">Table </w:t>
      </w:r>
      <w:r w:rsidR="00966532" w:rsidRPr="00966532">
        <w:rPr>
          <w:noProof/>
        </w:rPr>
        <w:t>2</w:t>
      </w:r>
      <w:r w:rsidR="00966532" w:rsidRPr="00966532">
        <w:rPr>
          <w:noProof/>
        </w:rPr>
        <w:noBreakHyphen/>
        <w:t>1</w:t>
      </w:r>
      <w:r w:rsidR="00CD2825" w:rsidRPr="00795774">
        <w:rPr>
          <w:szCs w:val="22"/>
        </w:rPr>
        <w:fldChar w:fldCharType="end"/>
      </w:r>
      <w:r w:rsidRPr="00795774">
        <w:rPr>
          <w:szCs w:val="22"/>
        </w:rPr>
        <w:t>),</w:t>
      </w:r>
      <w:r w:rsidRPr="00BA586E">
        <w:rPr>
          <w:szCs w:val="22"/>
        </w:rPr>
        <w:t xml:space="preserve"> although this can be increased to 2050 GL under certain flow conditions, when the lakes are surcharged. Under the current Murray-Darling Basin Agreement, operational management of the lakes </w:t>
      </w:r>
      <w:r w:rsidR="007F0CB1">
        <w:rPr>
          <w:szCs w:val="22"/>
        </w:rPr>
        <w:t>transfers</w:t>
      </w:r>
      <w:r w:rsidRPr="00BA586E">
        <w:rPr>
          <w:szCs w:val="22"/>
        </w:rPr>
        <w:t xml:space="preserve"> to the Murray-Darling Basin Authority (MDBA) when the combined volume of the lakes exceeds 640 GL during a filling phase</w:t>
      </w:r>
      <w:r w:rsidR="007F0CB1">
        <w:rPr>
          <w:szCs w:val="22"/>
        </w:rPr>
        <w:t>. W</w:t>
      </w:r>
      <w:r w:rsidRPr="00BA586E">
        <w:rPr>
          <w:szCs w:val="22"/>
        </w:rPr>
        <w:t xml:space="preserve">ater is released to the </w:t>
      </w:r>
      <w:smartTag w:uri="urn:schemas-microsoft-com:office:smarttags" w:element="place">
        <w:r w:rsidRPr="00BA586E">
          <w:rPr>
            <w:szCs w:val="22"/>
          </w:rPr>
          <w:t>Lower Darling River</w:t>
        </w:r>
      </w:smartTag>
      <w:r w:rsidRPr="00BA586E">
        <w:rPr>
          <w:szCs w:val="22"/>
        </w:rPr>
        <w:t xml:space="preserve"> as requested by the MDBA. During a draw-down phase, management reverts to NSW when the combined </w:t>
      </w:r>
      <w:r w:rsidR="007F0CB1">
        <w:rPr>
          <w:szCs w:val="22"/>
        </w:rPr>
        <w:t xml:space="preserve">MLS </w:t>
      </w:r>
      <w:r w:rsidRPr="00BA586E">
        <w:rPr>
          <w:szCs w:val="22"/>
        </w:rPr>
        <w:t>volume falls below 480 GL. This regime is referred to as the 640/480 Rule.</w:t>
      </w:r>
    </w:p>
    <w:p w:rsidR="003159E5" w:rsidRDefault="003159E5" w:rsidP="003159E5">
      <w:pPr>
        <w:autoSpaceDE w:val="0"/>
        <w:autoSpaceDN w:val="0"/>
        <w:adjustRightInd w:val="0"/>
        <w:rPr>
          <w:szCs w:val="22"/>
        </w:rPr>
      </w:pPr>
    </w:p>
    <w:p w:rsidR="003159E5" w:rsidRPr="00BA586E" w:rsidRDefault="003159E5" w:rsidP="003159E5">
      <w:pPr>
        <w:autoSpaceDE w:val="0"/>
        <w:autoSpaceDN w:val="0"/>
        <w:adjustRightInd w:val="0"/>
        <w:rPr>
          <w:szCs w:val="22"/>
        </w:rPr>
      </w:pPr>
      <w:r w:rsidRPr="00BA586E">
        <w:rPr>
          <w:szCs w:val="22"/>
        </w:rPr>
        <w:t xml:space="preserve">The combination of small dams, weirs, regulators, canals and levees was designed to capture and retain </w:t>
      </w:r>
      <w:smartTag w:uri="urn:schemas-microsoft-com:office:smarttags" w:element="place">
        <w:r w:rsidRPr="00BA586E">
          <w:rPr>
            <w:szCs w:val="22"/>
          </w:rPr>
          <w:t>Darling River</w:t>
        </w:r>
      </w:smartTag>
      <w:r w:rsidRPr="00BA586E">
        <w:rPr>
          <w:szCs w:val="22"/>
        </w:rPr>
        <w:t xml:space="preserve"> floodwaters with the original intention of:</w:t>
      </w:r>
    </w:p>
    <w:p w:rsidR="003159E5" w:rsidRPr="00BA586E" w:rsidRDefault="003159E5" w:rsidP="003159E5">
      <w:pPr>
        <w:autoSpaceDE w:val="0"/>
        <w:autoSpaceDN w:val="0"/>
        <w:adjustRightInd w:val="0"/>
        <w:rPr>
          <w:szCs w:val="22"/>
        </w:rPr>
      </w:pPr>
    </w:p>
    <w:p w:rsidR="003159E5" w:rsidRPr="00BA586E" w:rsidRDefault="003159E5" w:rsidP="003159E5">
      <w:pPr>
        <w:numPr>
          <w:ilvl w:val="0"/>
          <w:numId w:val="30"/>
        </w:numPr>
        <w:autoSpaceDE w:val="0"/>
        <w:autoSpaceDN w:val="0"/>
        <w:adjustRightInd w:val="0"/>
        <w:rPr>
          <w:szCs w:val="22"/>
        </w:rPr>
      </w:pPr>
      <w:r w:rsidRPr="00BA586E">
        <w:rPr>
          <w:szCs w:val="22"/>
        </w:rPr>
        <w:t>Providing Broken Hill with a reliable water supply</w:t>
      </w:r>
      <w:r>
        <w:rPr>
          <w:szCs w:val="22"/>
        </w:rPr>
        <w:t>;</w:t>
      </w:r>
    </w:p>
    <w:p w:rsidR="003159E5" w:rsidRPr="00BA586E" w:rsidRDefault="003159E5" w:rsidP="003159E5">
      <w:pPr>
        <w:numPr>
          <w:ilvl w:val="0"/>
          <w:numId w:val="30"/>
        </w:numPr>
        <w:autoSpaceDE w:val="0"/>
        <w:autoSpaceDN w:val="0"/>
        <w:adjustRightInd w:val="0"/>
        <w:rPr>
          <w:szCs w:val="22"/>
        </w:rPr>
      </w:pPr>
      <w:r w:rsidRPr="00BA586E">
        <w:rPr>
          <w:szCs w:val="22"/>
        </w:rPr>
        <w:t xml:space="preserve">Providing water for </w:t>
      </w:r>
      <w:smartTag w:uri="urn:schemas-microsoft-com:office:smarttags" w:element="State">
        <w:r w:rsidRPr="00BA586E">
          <w:rPr>
            <w:szCs w:val="22"/>
          </w:rPr>
          <w:t>South Australia</w:t>
        </w:r>
      </w:smartTag>
      <w:r w:rsidRPr="00BA586E">
        <w:rPr>
          <w:szCs w:val="22"/>
        </w:rPr>
        <w:t xml:space="preserve"> during dry periods and thereby making additional </w:t>
      </w:r>
      <w:smartTag w:uri="urn:schemas-microsoft-com:office:smarttags" w:element="place">
        <w:r w:rsidRPr="00BA586E">
          <w:rPr>
            <w:szCs w:val="22"/>
          </w:rPr>
          <w:t>Upper Murray</w:t>
        </w:r>
      </w:smartTag>
      <w:r w:rsidRPr="00BA586E">
        <w:rPr>
          <w:szCs w:val="22"/>
        </w:rPr>
        <w:t xml:space="preserve"> water available for irrigation</w:t>
      </w:r>
      <w:r>
        <w:rPr>
          <w:szCs w:val="22"/>
        </w:rPr>
        <w:t>;</w:t>
      </w:r>
      <w:r w:rsidRPr="00BA586E">
        <w:rPr>
          <w:szCs w:val="22"/>
        </w:rPr>
        <w:t xml:space="preserve"> </w:t>
      </w:r>
    </w:p>
    <w:p w:rsidR="003159E5" w:rsidRPr="00BA586E" w:rsidRDefault="003D1271" w:rsidP="003159E5">
      <w:pPr>
        <w:numPr>
          <w:ilvl w:val="0"/>
          <w:numId w:val="30"/>
        </w:numPr>
        <w:autoSpaceDE w:val="0"/>
        <w:autoSpaceDN w:val="0"/>
        <w:adjustRightInd w:val="0"/>
        <w:rPr>
          <w:szCs w:val="22"/>
        </w:rPr>
      </w:pPr>
      <w:r>
        <w:rPr>
          <w:szCs w:val="22"/>
        </w:rPr>
        <w:t>Providing</w:t>
      </w:r>
      <w:r w:rsidR="003159E5" w:rsidRPr="00BA586E">
        <w:rPr>
          <w:szCs w:val="22"/>
        </w:rPr>
        <w:t xml:space="preserve"> water for irrigation between </w:t>
      </w:r>
      <w:r w:rsidR="00C217F0">
        <w:rPr>
          <w:szCs w:val="22"/>
        </w:rPr>
        <w:t xml:space="preserve">Menindee </w:t>
      </w:r>
      <w:r w:rsidR="0092647E">
        <w:rPr>
          <w:szCs w:val="22"/>
        </w:rPr>
        <w:t>a</w:t>
      </w:r>
      <w:r w:rsidR="003159E5" w:rsidRPr="00BA586E">
        <w:rPr>
          <w:szCs w:val="22"/>
        </w:rPr>
        <w:t>nd Wentworth</w:t>
      </w:r>
      <w:r w:rsidR="003159E5">
        <w:rPr>
          <w:szCs w:val="22"/>
        </w:rPr>
        <w:t>;</w:t>
      </w:r>
      <w:r w:rsidR="003159E5" w:rsidRPr="00BA586E">
        <w:rPr>
          <w:szCs w:val="22"/>
        </w:rPr>
        <w:t xml:space="preserve"> </w:t>
      </w:r>
    </w:p>
    <w:p w:rsidR="003159E5" w:rsidRPr="00BA586E" w:rsidRDefault="003159E5" w:rsidP="003159E5">
      <w:pPr>
        <w:numPr>
          <w:ilvl w:val="0"/>
          <w:numId w:val="30"/>
        </w:numPr>
        <w:autoSpaceDE w:val="0"/>
        <w:autoSpaceDN w:val="0"/>
        <w:adjustRightInd w:val="0"/>
        <w:rPr>
          <w:szCs w:val="22"/>
        </w:rPr>
      </w:pPr>
      <w:r>
        <w:rPr>
          <w:szCs w:val="22"/>
        </w:rPr>
        <w:t>Meet</w:t>
      </w:r>
      <w:r w:rsidR="003D1271">
        <w:rPr>
          <w:szCs w:val="22"/>
        </w:rPr>
        <w:t xml:space="preserve">ing </w:t>
      </w:r>
      <w:r w:rsidRPr="00BA586E">
        <w:rPr>
          <w:szCs w:val="22"/>
        </w:rPr>
        <w:t xml:space="preserve">stock and domestic water </w:t>
      </w:r>
      <w:r>
        <w:rPr>
          <w:szCs w:val="22"/>
        </w:rPr>
        <w:t xml:space="preserve">needs </w:t>
      </w:r>
      <w:r w:rsidRPr="00BA586E">
        <w:rPr>
          <w:szCs w:val="22"/>
        </w:rPr>
        <w:t>for landholders on the Great Darling Anabranch.</w:t>
      </w:r>
    </w:p>
    <w:p w:rsidR="003159E5" w:rsidRPr="00BA586E" w:rsidRDefault="003159E5" w:rsidP="003159E5">
      <w:pPr>
        <w:rPr>
          <w:szCs w:val="22"/>
        </w:rPr>
      </w:pPr>
    </w:p>
    <w:p w:rsidR="003159E5" w:rsidRPr="00BA586E" w:rsidRDefault="003159E5" w:rsidP="003159E5">
      <w:pPr>
        <w:autoSpaceDE w:val="0"/>
        <w:autoSpaceDN w:val="0"/>
        <w:adjustRightInd w:val="0"/>
        <w:rPr>
          <w:szCs w:val="22"/>
        </w:rPr>
      </w:pPr>
      <w:r w:rsidRPr="00BA586E">
        <w:rPr>
          <w:szCs w:val="22"/>
        </w:rPr>
        <w:t>Although not designed specifically for the p</w:t>
      </w:r>
      <w:r>
        <w:rPr>
          <w:szCs w:val="22"/>
        </w:rPr>
        <w:t>urpose, the scheme also provides</w:t>
      </w:r>
      <w:r w:rsidRPr="00BA586E">
        <w:rPr>
          <w:szCs w:val="22"/>
        </w:rPr>
        <w:t xml:space="preserve"> for some flood mitigation downstream of </w:t>
      </w:r>
      <w:r w:rsidR="00C217F0">
        <w:rPr>
          <w:szCs w:val="22"/>
        </w:rPr>
        <w:t xml:space="preserve">Menindee </w:t>
      </w:r>
      <w:r w:rsidRPr="00BA586E">
        <w:rPr>
          <w:szCs w:val="22"/>
        </w:rPr>
        <w:t xml:space="preserve">by a pre-release strategy to manage the height and duration of floods. However, the MLS was designed and operated to maximise water storage and supply with filling and draining operational regimes focussed on water-supply efficiency and effectiveness without consideration of the environmental quality of the lakes. </w:t>
      </w:r>
      <w:r w:rsidR="00E329F3">
        <w:rPr>
          <w:szCs w:val="22"/>
        </w:rPr>
        <w:t xml:space="preserve">Historic </w:t>
      </w:r>
      <w:r w:rsidR="00AE7EF2">
        <w:rPr>
          <w:szCs w:val="22"/>
        </w:rPr>
        <w:t>lake-</w:t>
      </w:r>
      <w:r w:rsidR="00E329F3">
        <w:rPr>
          <w:szCs w:val="22"/>
        </w:rPr>
        <w:t xml:space="preserve">level data for Lakes Wetherell/Tandure, Pamamaroo and </w:t>
      </w:r>
      <w:r w:rsidR="0092647E">
        <w:rPr>
          <w:szCs w:val="22"/>
        </w:rPr>
        <w:t>Menindee</w:t>
      </w:r>
      <w:r w:rsidR="00E329F3">
        <w:rPr>
          <w:szCs w:val="22"/>
        </w:rPr>
        <w:t xml:space="preserve">/Cawndilla are provided in </w:t>
      </w:r>
      <w:r w:rsidR="0092647E">
        <w:rPr>
          <w:szCs w:val="22"/>
        </w:rPr>
        <w:t>Appendix 6</w:t>
      </w:r>
      <w:r w:rsidR="007F0CB1">
        <w:rPr>
          <w:szCs w:val="22"/>
        </w:rPr>
        <w:t xml:space="preserve"> (Somerville</w:t>
      </w:r>
      <w:r w:rsidR="008A5F7D" w:rsidRPr="00CF7613">
        <w:rPr>
          <w:rStyle w:val="StyleItalic"/>
        </w:rPr>
        <w:t xml:space="preserve"> et al</w:t>
      </w:r>
      <w:r w:rsidR="007F0CB1">
        <w:rPr>
          <w:szCs w:val="22"/>
        </w:rPr>
        <w:t>., 2012)</w:t>
      </w:r>
      <w:r w:rsidR="00E329F3">
        <w:rPr>
          <w:szCs w:val="22"/>
        </w:rPr>
        <w:t>.</w:t>
      </w:r>
    </w:p>
    <w:p w:rsidR="003159E5" w:rsidRPr="00BA586E" w:rsidRDefault="003159E5" w:rsidP="003159E5">
      <w:pPr>
        <w:autoSpaceDE w:val="0"/>
        <w:autoSpaceDN w:val="0"/>
        <w:adjustRightInd w:val="0"/>
        <w:rPr>
          <w:szCs w:val="22"/>
        </w:rPr>
      </w:pPr>
    </w:p>
    <w:p w:rsidR="003159E5" w:rsidRPr="00BA586E" w:rsidRDefault="003159E5" w:rsidP="003159E5">
      <w:pPr>
        <w:autoSpaceDE w:val="0"/>
        <w:autoSpaceDN w:val="0"/>
        <w:adjustRightInd w:val="0"/>
        <w:rPr>
          <w:szCs w:val="22"/>
        </w:rPr>
      </w:pPr>
      <w:r w:rsidRPr="00BA586E">
        <w:rPr>
          <w:szCs w:val="22"/>
        </w:rPr>
        <w:t xml:space="preserve">The artificial </w:t>
      </w:r>
      <w:r w:rsidR="003D1271">
        <w:rPr>
          <w:szCs w:val="22"/>
        </w:rPr>
        <w:t>channels</w:t>
      </w:r>
      <w:r w:rsidRPr="00BA586E">
        <w:rPr>
          <w:szCs w:val="22"/>
        </w:rPr>
        <w:t xml:space="preserve"> and inlet and outlet regulators of the MLS have effectively turned part of the </w:t>
      </w:r>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r w:rsidRPr="00BA586E">
        <w:rPr>
          <w:szCs w:val="22"/>
        </w:rPr>
        <w:t xml:space="preserve"> into an artificial overflow </w:t>
      </w:r>
      <w:r w:rsidR="003D1271">
        <w:rPr>
          <w:szCs w:val="22"/>
        </w:rPr>
        <w:t xml:space="preserve">and storage </w:t>
      </w:r>
      <w:r w:rsidRPr="00BA586E">
        <w:rPr>
          <w:szCs w:val="22"/>
        </w:rPr>
        <w:t xml:space="preserve">system whereby </w:t>
      </w:r>
      <w:smartTag w:uri="urn:schemas-microsoft-com:office:smarttags" w:element="PlaceType">
        <w:r w:rsidRPr="00BA586E">
          <w:rPr>
            <w:szCs w:val="22"/>
          </w:rPr>
          <w:t>Lake</w:t>
        </w:r>
      </w:smartTag>
      <w:r w:rsidRPr="00BA586E">
        <w:rPr>
          <w:szCs w:val="22"/>
        </w:rPr>
        <w:t xml:space="preserve"> </w:t>
      </w:r>
      <w:smartTag w:uri="urn:schemas-microsoft-com:office:smarttags" w:element="PlaceName">
        <w:r w:rsidRPr="00BA586E">
          <w:rPr>
            <w:szCs w:val="22"/>
          </w:rPr>
          <w:t>Pamamaroo</w:t>
        </w:r>
      </w:smartTag>
      <w:r w:rsidRPr="00BA586E">
        <w:rPr>
          <w:szCs w:val="22"/>
        </w:rPr>
        <w:t xml:space="preserve"> overflows via Copi Hollow to </w:t>
      </w:r>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r w:rsidRPr="00BA586E">
        <w:rPr>
          <w:szCs w:val="22"/>
        </w:rPr>
        <w:t xml:space="preserve"> which then overflows to </w:t>
      </w:r>
      <w:smartTag w:uri="urn:schemas-microsoft-com:office:smarttags" w:element="place">
        <w:smartTag w:uri="urn:schemas-microsoft-com:office:smarttags" w:element="PlaceType">
          <w:r w:rsidRPr="00BA586E">
            <w:rPr>
              <w:szCs w:val="22"/>
            </w:rPr>
            <w:t>Lake</w:t>
          </w:r>
        </w:smartTag>
        <w:r w:rsidRPr="00BA586E">
          <w:rPr>
            <w:szCs w:val="22"/>
          </w:rPr>
          <w:t xml:space="preserve"> </w:t>
        </w:r>
        <w:smartTag w:uri="urn:schemas-microsoft-com:office:smarttags" w:element="PlaceName">
          <w:r w:rsidRPr="00BA586E">
            <w:rPr>
              <w:szCs w:val="22"/>
            </w:rPr>
            <w:t>Cawndilla</w:t>
          </w:r>
        </w:smartTag>
      </w:smartTag>
      <w:r w:rsidR="003D1271">
        <w:rPr>
          <w:szCs w:val="22"/>
        </w:rPr>
        <w:t xml:space="preserve">. There are outlet regulators at </w:t>
      </w:r>
      <w:smartTag w:uri="urn:schemas-microsoft-com:office:smarttags" w:element="PlaceType">
        <w:r w:rsidR="003D1271">
          <w:rPr>
            <w:szCs w:val="22"/>
          </w:rPr>
          <w:t>Lake</w:t>
        </w:r>
      </w:smartTag>
      <w:r w:rsidR="003D1271">
        <w:rPr>
          <w:szCs w:val="22"/>
        </w:rPr>
        <w:t xml:space="preserve"> </w:t>
      </w:r>
      <w:smartTag w:uri="urn:schemas-microsoft-com:office:smarttags" w:element="PlaceName">
        <w:r w:rsidR="003D1271">
          <w:rPr>
            <w:szCs w:val="22"/>
          </w:rPr>
          <w:t>Pamamaroo</w:t>
        </w:r>
      </w:smartTag>
      <w:r w:rsidR="003D1271">
        <w:rPr>
          <w:szCs w:val="22"/>
        </w:rPr>
        <w:t xml:space="preserve"> and </w:t>
      </w:r>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r w:rsidR="003D1271">
        <w:rPr>
          <w:szCs w:val="22"/>
        </w:rPr>
        <w:t xml:space="preserve"> to release water back into the Darling River and an outlet regulator at </w:t>
      </w:r>
      <w:smartTag w:uri="urn:schemas-microsoft-com:office:smarttags" w:element="place">
        <w:smartTag w:uri="urn:schemas-microsoft-com:office:smarttags" w:element="PlaceType">
          <w:r w:rsidR="003D1271">
            <w:rPr>
              <w:szCs w:val="22"/>
            </w:rPr>
            <w:t>Lake</w:t>
          </w:r>
        </w:smartTag>
        <w:r w:rsidR="003D1271">
          <w:rPr>
            <w:szCs w:val="22"/>
          </w:rPr>
          <w:t xml:space="preserve"> </w:t>
        </w:r>
        <w:smartTag w:uri="urn:schemas-microsoft-com:office:smarttags" w:element="PlaceName">
          <w:r w:rsidR="003D1271">
            <w:rPr>
              <w:szCs w:val="22"/>
            </w:rPr>
            <w:t>Cawndilla</w:t>
          </w:r>
        </w:smartTag>
      </w:smartTag>
      <w:r w:rsidR="003D1271">
        <w:rPr>
          <w:szCs w:val="22"/>
        </w:rPr>
        <w:t xml:space="preserve"> to release water into Tandou Creek</w:t>
      </w:r>
      <w:r w:rsidRPr="00BA586E">
        <w:rPr>
          <w:szCs w:val="22"/>
        </w:rPr>
        <w:t>.</w:t>
      </w:r>
      <w:r>
        <w:rPr>
          <w:szCs w:val="22"/>
        </w:rPr>
        <w:t xml:space="preserve"> </w:t>
      </w:r>
    </w:p>
    <w:p w:rsidR="003159E5" w:rsidRPr="00BA586E" w:rsidRDefault="003159E5" w:rsidP="003159E5">
      <w:pPr>
        <w:rPr>
          <w:szCs w:val="22"/>
        </w:rPr>
      </w:pPr>
    </w:p>
    <w:p w:rsidR="003159E5" w:rsidRDefault="003159E5" w:rsidP="003159E5">
      <w:pPr>
        <w:autoSpaceDE w:val="0"/>
        <w:autoSpaceDN w:val="0"/>
        <w:adjustRightInd w:val="0"/>
        <w:rPr>
          <w:szCs w:val="22"/>
        </w:rPr>
      </w:pPr>
      <w:r w:rsidRPr="00BA586E">
        <w:rPr>
          <w:szCs w:val="22"/>
        </w:rPr>
        <w:t>While meeting essential water supply needs for communities and irrigators, a number of environmentally adverse outcomes from the operation of the MLS have been recognised</w:t>
      </w:r>
      <w:r>
        <w:rPr>
          <w:szCs w:val="22"/>
        </w:rPr>
        <w:t xml:space="preserve"> (Auld &amp; Denham, 2001; Kingsford</w:t>
      </w:r>
      <w:r w:rsidR="008A5F7D" w:rsidRPr="00CF7613">
        <w:rPr>
          <w:rStyle w:val="StyleItalic"/>
        </w:rPr>
        <w:t xml:space="preserve"> et al</w:t>
      </w:r>
      <w:r>
        <w:rPr>
          <w:szCs w:val="22"/>
        </w:rPr>
        <w:t xml:space="preserve">., 2002; Nicol, 2004; </w:t>
      </w:r>
      <w:r>
        <w:rPr>
          <w:color w:val="000000"/>
        </w:rPr>
        <w:t>Kingsford</w:t>
      </w:r>
      <w:r w:rsidR="008A5F7D" w:rsidRPr="008A5F7D">
        <w:rPr>
          <w:i/>
          <w:color w:val="000000"/>
        </w:rPr>
        <w:t xml:space="preserve"> et al</w:t>
      </w:r>
      <w:r>
        <w:rPr>
          <w:color w:val="000000"/>
        </w:rPr>
        <w:t>., 2004; Kingsford &amp; Porter, 2006</w:t>
      </w:r>
      <w:r>
        <w:rPr>
          <w:szCs w:val="22"/>
        </w:rPr>
        <w:t>)</w:t>
      </w:r>
      <w:r w:rsidRPr="00BA586E">
        <w:rPr>
          <w:szCs w:val="22"/>
        </w:rPr>
        <w:t xml:space="preserve">. </w:t>
      </w:r>
      <w:r>
        <w:rPr>
          <w:szCs w:val="22"/>
        </w:rPr>
        <w:t>A</w:t>
      </w:r>
      <w:r w:rsidRPr="00BA586E">
        <w:rPr>
          <w:szCs w:val="22"/>
        </w:rPr>
        <w:t>lthough more than 99</w:t>
      </w:r>
      <w:r w:rsidR="00E329F3">
        <w:rPr>
          <w:szCs w:val="22"/>
        </w:rPr>
        <w:t xml:space="preserve"> </w:t>
      </w:r>
      <w:r w:rsidRPr="00BA586E">
        <w:rPr>
          <w:szCs w:val="22"/>
        </w:rPr>
        <w:t xml:space="preserve">% of the wetlands that comprise the lakes and floodplain of the </w:t>
      </w:r>
      <w:smartTag w:uri="urn:schemas-microsoft-com:office:smarttags" w:element="stockticker">
        <w:r w:rsidRPr="00BA586E">
          <w:rPr>
            <w:szCs w:val="22"/>
          </w:rPr>
          <w:t>MLS</w:t>
        </w:r>
      </w:smartTag>
      <w:r w:rsidRPr="00BA586E">
        <w:rPr>
          <w:szCs w:val="22"/>
        </w:rPr>
        <w:t xml:space="preserve"> are degraded by too much or too little flooding (</w:t>
      </w:r>
      <w:smartTag w:uri="urn:schemas-microsoft-com:office:smarttags" w:element="stockticker">
        <w:r w:rsidRPr="00BA586E">
          <w:rPr>
            <w:szCs w:val="22"/>
          </w:rPr>
          <w:t>SKM</w:t>
        </w:r>
      </w:smartTag>
      <w:r>
        <w:rPr>
          <w:szCs w:val="22"/>
        </w:rPr>
        <w:t>, 2010)</w:t>
      </w:r>
      <w:r w:rsidRPr="00BA586E">
        <w:rPr>
          <w:szCs w:val="22"/>
        </w:rPr>
        <w:t xml:space="preserve">, the </w:t>
      </w:r>
      <w:r>
        <w:rPr>
          <w:szCs w:val="22"/>
        </w:rPr>
        <w:t>MLS</w:t>
      </w:r>
      <w:r w:rsidRPr="00BA586E">
        <w:rPr>
          <w:szCs w:val="22"/>
        </w:rPr>
        <w:t xml:space="preserve"> are still identified as an important environmental a</w:t>
      </w:r>
      <w:r>
        <w:rPr>
          <w:szCs w:val="22"/>
        </w:rPr>
        <w:t>sset in a semi-arid environment</w:t>
      </w:r>
      <w:r w:rsidRPr="00BA586E">
        <w:rPr>
          <w:szCs w:val="22"/>
        </w:rPr>
        <w:t xml:space="preserve"> (Kingsford</w:t>
      </w:r>
      <w:r w:rsidR="008A5F7D" w:rsidRPr="00CF7613">
        <w:rPr>
          <w:rStyle w:val="StyleItalic"/>
        </w:rPr>
        <w:t xml:space="preserve"> et al</w:t>
      </w:r>
      <w:r w:rsidRPr="00BA586E">
        <w:rPr>
          <w:szCs w:val="22"/>
        </w:rPr>
        <w:t>., 2002</w:t>
      </w:r>
      <w:r>
        <w:rPr>
          <w:szCs w:val="22"/>
        </w:rPr>
        <w:t>)</w:t>
      </w:r>
      <w:r w:rsidR="003D1271">
        <w:rPr>
          <w:szCs w:val="22"/>
        </w:rPr>
        <w:t xml:space="preserve">. Despite being a water </w:t>
      </w:r>
      <w:r w:rsidRPr="00BA586E">
        <w:rPr>
          <w:szCs w:val="22"/>
        </w:rPr>
        <w:t>supply storage</w:t>
      </w:r>
      <w:r w:rsidR="00E329F3">
        <w:rPr>
          <w:szCs w:val="22"/>
        </w:rPr>
        <w:t xml:space="preserve"> facility</w:t>
      </w:r>
      <w:r w:rsidRPr="00BA586E">
        <w:rPr>
          <w:szCs w:val="22"/>
        </w:rPr>
        <w:t xml:space="preserve">, and despite significant periods when many of the main lakes are largely dry, the </w:t>
      </w:r>
      <w:r>
        <w:rPr>
          <w:szCs w:val="22"/>
        </w:rPr>
        <w:t>MLS</w:t>
      </w:r>
      <w:r w:rsidRPr="00BA586E">
        <w:rPr>
          <w:szCs w:val="22"/>
        </w:rPr>
        <w:t xml:space="preserve"> are listed on the Directory of Important Wetlands. Several waterbird spec</w:t>
      </w:r>
      <w:r w:rsidR="003D1271">
        <w:rPr>
          <w:szCs w:val="22"/>
        </w:rPr>
        <w:t xml:space="preserve">ies that are reported to occupy </w:t>
      </w:r>
      <w:r w:rsidRPr="00BA586E">
        <w:rPr>
          <w:szCs w:val="22"/>
        </w:rPr>
        <w:t xml:space="preserve">habitats at </w:t>
      </w:r>
      <w:r w:rsidR="00C217F0">
        <w:rPr>
          <w:szCs w:val="22"/>
        </w:rPr>
        <w:t>Lake Menindee</w:t>
      </w:r>
      <w:r w:rsidRPr="00BA586E">
        <w:rPr>
          <w:szCs w:val="22"/>
        </w:rPr>
        <w:t>, Lake Cawndilla and Morton Boolka are listed under the Commonwealth Environment Protection and Biodiversity Conservation Act 1999, with six listed under the NSW Threatened Species Conservation Act 1995 (</w:t>
      </w:r>
      <w:smartTag w:uri="urn:schemas-microsoft-com:office:smarttags" w:element="stockticker">
        <w:r w:rsidRPr="00BA586E">
          <w:rPr>
            <w:szCs w:val="22"/>
          </w:rPr>
          <w:t>SKM</w:t>
        </w:r>
      </w:smartTag>
      <w:r>
        <w:rPr>
          <w:szCs w:val="22"/>
        </w:rPr>
        <w:t xml:space="preserve">, 2010). </w:t>
      </w:r>
      <w:r w:rsidRPr="00BA586E">
        <w:rPr>
          <w:szCs w:val="22"/>
        </w:rPr>
        <w:t>The lakes are also culturally important for the local aboriginal people, with many burial and other sacred sites</w:t>
      </w:r>
      <w:r>
        <w:rPr>
          <w:szCs w:val="22"/>
        </w:rPr>
        <w:t xml:space="preserve">. </w:t>
      </w:r>
      <w:r w:rsidRPr="00BA586E">
        <w:rPr>
          <w:szCs w:val="22"/>
        </w:rPr>
        <w:t xml:space="preserve">Economically, 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sidRPr="00BA586E">
        <w:rPr>
          <w:szCs w:val="22"/>
        </w:rPr>
        <w:t xml:space="preserve"> are a focal point for regional tourism and recreational activities, and also support irrigated agricultural enterprises. </w:t>
      </w:r>
    </w:p>
    <w:p w:rsidR="003159E5" w:rsidRPr="00014509" w:rsidRDefault="003159E5" w:rsidP="003159E5">
      <w:pPr>
        <w:rPr>
          <w:szCs w:val="22"/>
        </w:rPr>
      </w:pPr>
    </w:p>
    <w:p w:rsidR="003159E5" w:rsidRDefault="003159E5" w:rsidP="003159E5">
      <w:pPr>
        <w:rPr>
          <w:color w:val="000000"/>
        </w:rPr>
      </w:pPr>
      <w:r>
        <w:rPr>
          <w:color w:val="000000"/>
        </w:rPr>
        <w:t xml:space="preserve">A detailed operational scheme to achieve significant environmental benefits for the </w:t>
      </w:r>
      <w:r w:rsidR="007D1583">
        <w:rPr>
          <w:color w:val="000000"/>
        </w:rPr>
        <w:t>M</w:t>
      </w:r>
      <w:r w:rsidR="000C047D">
        <w:rPr>
          <w:color w:val="000000"/>
        </w:rPr>
        <w:t>LS</w:t>
      </w:r>
      <w:r>
        <w:rPr>
          <w:color w:val="000000"/>
        </w:rPr>
        <w:t xml:space="preserve"> has been set out by the MDBA (2010</w:t>
      </w:r>
      <w:r w:rsidR="00EE1082">
        <w:rPr>
          <w:color w:val="000000"/>
        </w:rPr>
        <w:t>a</w:t>
      </w:r>
      <w:r>
        <w:rPr>
          <w:color w:val="000000"/>
        </w:rPr>
        <w:t xml:space="preserve">). However, it is difficult to see how any operational scheme for the lakes that successfully matches the natural flooding and drying regime can also achieve the </w:t>
      </w:r>
      <w:r w:rsidR="006D1B0D">
        <w:rPr>
          <w:color w:val="000000"/>
        </w:rPr>
        <w:t xml:space="preserve">current </w:t>
      </w:r>
      <w:r>
        <w:rPr>
          <w:color w:val="000000"/>
        </w:rPr>
        <w:t xml:space="preserve">water storage and supply requirements of the system. </w:t>
      </w:r>
    </w:p>
    <w:p w:rsidR="002B69F0" w:rsidRDefault="002B69F0" w:rsidP="003159E5">
      <w:pPr>
        <w:rPr>
          <w:color w:val="000000"/>
        </w:rPr>
      </w:pPr>
    </w:p>
    <w:p w:rsidR="002B69F0" w:rsidRDefault="002B69F0" w:rsidP="003159E5">
      <w:pPr>
        <w:rPr>
          <w:color w:val="000000"/>
        </w:rPr>
      </w:pPr>
    </w:p>
    <w:p w:rsidR="002B69F0" w:rsidRDefault="002B69F0" w:rsidP="003159E5">
      <w:pPr>
        <w:rPr>
          <w:color w:val="000000"/>
        </w:rPr>
      </w:pPr>
    </w:p>
    <w:p w:rsidR="002B69F0" w:rsidRDefault="002B69F0" w:rsidP="003159E5">
      <w:pPr>
        <w:rPr>
          <w:color w:val="000000"/>
        </w:rPr>
      </w:pPr>
    </w:p>
    <w:p w:rsidR="002B69F0" w:rsidRDefault="002B69F0" w:rsidP="003159E5">
      <w:pPr>
        <w:rPr>
          <w:color w:val="000000"/>
        </w:rPr>
      </w:pPr>
    </w:p>
    <w:p w:rsidR="003159E5" w:rsidRDefault="003159E5" w:rsidP="003159E5">
      <w:pPr>
        <w:rPr>
          <w:color w:val="000000"/>
        </w:rPr>
      </w:pPr>
    </w:p>
    <w:p w:rsidR="00830269" w:rsidRPr="003D1271" w:rsidRDefault="00CD2825" w:rsidP="00CD2825">
      <w:pPr>
        <w:pStyle w:val="Caption"/>
        <w:keepNext/>
        <w:rPr>
          <w:i w:val="0"/>
        </w:rPr>
      </w:pPr>
      <w:bookmarkStart w:id="123" w:name="_Ref325709476"/>
      <w:bookmarkStart w:id="124" w:name="_Ref325644443"/>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2</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123"/>
      <w:r w:rsidRPr="00CD2825">
        <w:rPr>
          <w:b/>
        </w:rPr>
        <w:t>.</w:t>
      </w:r>
      <w:bookmarkEnd w:id="124"/>
      <w:r w:rsidR="00994E36">
        <w:t xml:space="preserve"> </w:t>
      </w:r>
      <w:r w:rsidR="003D1271" w:rsidRPr="00994E36">
        <w:t>Elevations, depths, areas and capacities of MLS lakes.</w:t>
      </w:r>
      <w:r w:rsidR="00830269" w:rsidRPr="00830269">
        <w:t xml:space="preserve"> </w:t>
      </w:r>
      <w:r w:rsidR="00395AD1" w:rsidRPr="00216027">
        <w:rPr>
          <w:i w:val="0"/>
        </w:rPr>
        <w:fldChar w:fldCharType="begin"/>
      </w:r>
      <w:r w:rsidR="00395AD1" w:rsidRPr="00216027">
        <w:rPr>
          <w:i w:val="0"/>
        </w:rPr>
        <w:instrText xml:space="preserve"> TC "</w:instrText>
      </w:r>
      <w:bookmarkStart w:id="125" w:name="_Toc325975296"/>
      <w:bookmarkStart w:id="126" w:name="_Toc390690284"/>
      <w:r w:rsidR="00497AD3">
        <w:rPr>
          <w:i w:val="0"/>
        </w:rPr>
        <w:instrText xml:space="preserve">Table </w:instrText>
      </w:r>
      <w:r w:rsidR="0020070D">
        <w:rPr>
          <w:i w:val="0"/>
        </w:rPr>
        <w:instrText>2-</w:instrText>
      </w:r>
      <w:r w:rsidR="00497AD3">
        <w:rPr>
          <w:i w:val="0"/>
        </w:rPr>
        <w:instrText>1.</w:instrText>
      </w:r>
      <w:r w:rsidR="00395AD1" w:rsidRPr="00216027">
        <w:rPr>
          <w:i w:val="0"/>
        </w:rPr>
        <w:instrText xml:space="preserve"> </w:instrText>
      </w:r>
      <w:r w:rsidR="009F303B" w:rsidRPr="00216027">
        <w:rPr>
          <w:i w:val="0"/>
        </w:rPr>
        <w:instrText>Elevations, depths, areas and capacities of MLS lakes</w:instrText>
      </w:r>
      <w:bookmarkEnd w:id="125"/>
      <w:r w:rsidR="005E4B77">
        <w:rPr>
          <w:i w:val="0"/>
        </w:rPr>
        <w:instrText>.</w:instrText>
      </w:r>
      <w:bookmarkEnd w:id="126"/>
      <w:r w:rsidR="00395AD1" w:rsidRPr="00216027">
        <w:rPr>
          <w:i w:val="0"/>
        </w:rPr>
        <w:instrText xml:space="preserve">" \f B \l "4" </w:instrText>
      </w:r>
      <w:r w:rsidR="00395AD1" w:rsidRPr="00216027">
        <w:rPr>
          <w:i w:val="0"/>
        </w:rPr>
        <w:fldChar w:fldCharType="end"/>
      </w:r>
    </w:p>
    <w:tbl>
      <w:tblPr>
        <w:tblW w:w="0" w:type="auto"/>
        <w:jc w:val="center"/>
        <w:tblInd w:w="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1"/>
        <w:gridCol w:w="1124"/>
        <w:gridCol w:w="1101"/>
        <w:gridCol w:w="1252"/>
        <w:gridCol w:w="1252"/>
        <w:gridCol w:w="1251"/>
        <w:gridCol w:w="1085"/>
        <w:gridCol w:w="1124"/>
      </w:tblGrid>
      <w:tr w:rsidR="007F0CB1" w:rsidRPr="0020070D" w:rsidTr="00D945B9">
        <w:trPr>
          <w:jc w:val="center"/>
        </w:trPr>
        <w:tc>
          <w:tcPr>
            <w:tcW w:w="1261" w:type="dxa"/>
            <w:shd w:val="clear" w:color="auto" w:fill="C0C0C0"/>
          </w:tcPr>
          <w:p w:rsidR="002A6354" w:rsidRPr="0020070D" w:rsidRDefault="002A6354" w:rsidP="00D945B9">
            <w:pPr>
              <w:jc w:val="center"/>
              <w:rPr>
                <w:b/>
                <w:sz w:val="20"/>
                <w:szCs w:val="20"/>
              </w:rPr>
            </w:pPr>
            <w:smartTag w:uri="urn:schemas-microsoft-com:office:smarttags" w:element="place">
              <w:r w:rsidRPr="0020070D">
                <w:rPr>
                  <w:b/>
                  <w:sz w:val="20"/>
                  <w:szCs w:val="20"/>
                </w:rPr>
                <w:t>Lake</w:t>
              </w:r>
            </w:smartTag>
          </w:p>
        </w:tc>
        <w:tc>
          <w:tcPr>
            <w:tcW w:w="1124" w:type="dxa"/>
            <w:shd w:val="clear" w:color="auto" w:fill="C0C0C0"/>
          </w:tcPr>
          <w:p w:rsidR="00D945B9" w:rsidRDefault="002A6354" w:rsidP="00D945B9">
            <w:pPr>
              <w:jc w:val="center"/>
              <w:rPr>
                <w:b/>
                <w:sz w:val="20"/>
                <w:szCs w:val="20"/>
              </w:rPr>
            </w:pPr>
            <w:smartTag w:uri="urn:schemas-microsoft-com:office:smarttags" w:element="place">
              <w:r w:rsidRPr="0020070D">
                <w:rPr>
                  <w:b/>
                  <w:sz w:val="20"/>
                  <w:szCs w:val="20"/>
                </w:rPr>
                <w:t>Lake</w:t>
              </w:r>
            </w:smartTag>
            <w:r w:rsidRPr="0020070D">
              <w:rPr>
                <w:b/>
                <w:sz w:val="20"/>
                <w:szCs w:val="20"/>
              </w:rPr>
              <w:t xml:space="preserve"> floor level</w:t>
            </w:r>
          </w:p>
          <w:p w:rsidR="00D945B9" w:rsidRDefault="007F0CB1" w:rsidP="00D945B9">
            <w:pPr>
              <w:rPr>
                <w:b/>
                <w:sz w:val="20"/>
                <w:szCs w:val="20"/>
              </w:rPr>
            </w:pPr>
            <w:r>
              <w:rPr>
                <w:b/>
                <w:sz w:val="20"/>
                <w:szCs w:val="20"/>
              </w:rPr>
              <w:t xml:space="preserve"> </w:t>
            </w:r>
          </w:p>
          <w:p w:rsidR="002A6354" w:rsidRPr="0020070D" w:rsidRDefault="002A6354" w:rsidP="00D945B9">
            <w:pPr>
              <w:rPr>
                <w:b/>
                <w:sz w:val="20"/>
                <w:szCs w:val="20"/>
              </w:rPr>
            </w:pPr>
            <w:r w:rsidRPr="0020070D">
              <w:rPr>
                <w:b/>
                <w:sz w:val="20"/>
                <w:szCs w:val="20"/>
              </w:rPr>
              <w:t>(m AHD)</w:t>
            </w:r>
          </w:p>
        </w:tc>
        <w:tc>
          <w:tcPr>
            <w:tcW w:w="1101" w:type="dxa"/>
            <w:shd w:val="clear" w:color="auto" w:fill="C0C0C0"/>
          </w:tcPr>
          <w:p w:rsidR="00D945B9" w:rsidRDefault="002A6354" w:rsidP="00D945B9">
            <w:pPr>
              <w:jc w:val="center"/>
              <w:rPr>
                <w:b/>
                <w:sz w:val="20"/>
                <w:szCs w:val="20"/>
              </w:rPr>
            </w:pPr>
            <w:r w:rsidRPr="0020070D">
              <w:rPr>
                <w:b/>
                <w:sz w:val="20"/>
                <w:szCs w:val="20"/>
              </w:rPr>
              <w:t>Lake surface area</w:t>
            </w:r>
            <w:r w:rsidR="007F0CB1">
              <w:rPr>
                <w:b/>
                <w:sz w:val="20"/>
                <w:szCs w:val="20"/>
              </w:rPr>
              <w:t xml:space="preserve"> </w:t>
            </w:r>
          </w:p>
          <w:p w:rsidR="002A6354" w:rsidRPr="0020070D" w:rsidRDefault="002A6354" w:rsidP="00D945B9">
            <w:pPr>
              <w:jc w:val="center"/>
              <w:rPr>
                <w:b/>
                <w:sz w:val="20"/>
                <w:szCs w:val="20"/>
              </w:rPr>
            </w:pPr>
            <w:r w:rsidRPr="0020070D">
              <w:rPr>
                <w:b/>
                <w:sz w:val="20"/>
                <w:szCs w:val="20"/>
              </w:rPr>
              <w:t>(ha)</w:t>
            </w:r>
          </w:p>
        </w:tc>
        <w:tc>
          <w:tcPr>
            <w:tcW w:w="1252" w:type="dxa"/>
            <w:shd w:val="clear" w:color="auto" w:fill="C0C0C0"/>
          </w:tcPr>
          <w:p w:rsidR="00D945B9" w:rsidRDefault="002A6354" w:rsidP="00D945B9">
            <w:pPr>
              <w:jc w:val="center"/>
              <w:rPr>
                <w:b/>
                <w:sz w:val="20"/>
                <w:szCs w:val="20"/>
              </w:rPr>
            </w:pPr>
            <w:r w:rsidRPr="0020070D">
              <w:rPr>
                <w:b/>
                <w:sz w:val="20"/>
                <w:szCs w:val="20"/>
              </w:rPr>
              <w:t>Full supply level</w:t>
            </w:r>
          </w:p>
          <w:p w:rsidR="00D945B9" w:rsidRDefault="00D945B9" w:rsidP="00D945B9">
            <w:pPr>
              <w:jc w:val="center"/>
              <w:rPr>
                <w:b/>
                <w:sz w:val="20"/>
                <w:szCs w:val="20"/>
              </w:rPr>
            </w:pPr>
          </w:p>
          <w:p w:rsidR="002A6354" w:rsidRPr="0020070D" w:rsidRDefault="002A6354" w:rsidP="00D945B9">
            <w:pPr>
              <w:jc w:val="center"/>
              <w:rPr>
                <w:b/>
                <w:sz w:val="20"/>
                <w:szCs w:val="20"/>
              </w:rPr>
            </w:pPr>
            <w:r w:rsidRPr="0020070D">
              <w:rPr>
                <w:b/>
                <w:sz w:val="20"/>
                <w:szCs w:val="20"/>
              </w:rPr>
              <w:t>(m AHD)</w:t>
            </w:r>
          </w:p>
        </w:tc>
        <w:tc>
          <w:tcPr>
            <w:tcW w:w="1252" w:type="dxa"/>
            <w:shd w:val="clear" w:color="auto" w:fill="C0C0C0"/>
          </w:tcPr>
          <w:p w:rsidR="00D945B9" w:rsidRDefault="002A6354" w:rsidP="00D945B9">
            <w:pPr>
              <w:jc w:val="center"/>
              <w:rPr>
                <w:b/>
                <w:sz w:val="20"/>
                <w:szCs w:val="20"/>
              </w:rPr>
            </w:pPr>
            <w:r w:rsidRPr="0020070D">
              <w:rPr>
                <w:b/>
                <w:sz w:val="20"/>
                <w:szCs w:val="20"/>
              </w:rPr>
              <w:t>Full supply</w:t>
            </w:r>
            <w:r w:rsidR="007F0CB1">
              <w:rPr>
                <w:b/>
                <w:sz w:val="20"/>
                <w:szCs w:val="20"/>
              </w:rPr>
              <w:t xml:space="preserve"> </w:t>
            </w:r>
            <w:r w:rsidR="007F0CB1" w:rsidRPr="0020070D">
              <w:rPr>
                <w:b/>
                <w:sz w:val="20"/>
                <w:szCs w:val="20"/>
              </w:rPr>
              <w:t>d</w:t>
            </w:r>
            <w:r w:rsidRPr="0020070D">
              <w:rPr>
                <w:b/>
                <w:sz w:val="20"/>
                <w:szCs w:val="20"/>
              </w:rPr>
              <w:t>epth</w:t>
            </w:r>
          </w:p>
          <w:p w:rsidR="00D945B9" w:rsidRDefault="00D945B9" w:rsidP="00D945B9">
            <w:pPr>
              <w:jc w:val="center"/>
              <w:rPr>
                <w:b/>
                <w:sz w:val="20"/>
                <w:szCs w:val="20"/>
              </w:rPr>
            </w:pPr>
          </w:p>
          <w:p w:rsidR="002A6354" w:rsidRPr="0020070D" w:rsidRDefault="002A6354" w:rsidP="00D945B9">
            <w:pPr>
              <w:jc w:val="center"/>
              <w:rPr>
                <w:b/>
                <w:sz w:val="20"/>
                <w:szCs w:val="20"/>
              </w:rPr>
            </w:pPr>
            <w:r w:rsidRPr="0020070D">
              <w:rPr>
                <w:b/>
                <w:sz w:val="20"/>
                <w:szCs w:val="20"/>
              </w:rPr>
              <w:t>(m)</w:t>
            </w:r>
          </w:p>
        </w:tc>
        <w:tc>
          <w:tcPr>
            <w:tcW w:w="1251" w:type="dxa"/>
            <w:shd w:val="clear" w:color="auto" w:fill="C0C0C0"/>
          </w:tcPr>
          <w:p w:rsidR="00D945B9" w:rsidRDefault="002A6354" w:rsidP="00D945B9">
            <w:pPr>
              <w:jc w:val="center"/>
              <w:rPr>
                <w:b/>
                <w:sz w:val="20"/>
                <w:szCs w:val="20"/>
              </w:rPr>
            </w:pPr>
            <w:r w:rsidRPr="0020070D">
              <w:rPr>
                <w:b/>
                <w:sz w:val="20"/>
                <w:szCs w:val="20"/>
              </w:rPr>
              <w:t>Full supply</w:t>
            </w:r>
            <w:r w:rsidR="007F0CB1">
              <w:rPr>
                <w:b/>
                <w:sz w:val="20"/>
                <w:szCs w:val="20"/>
              </w:rPr>
              <w:t xml:space="preserve"> </w:t>
            </w:r>
            <w:r w:rsidR="007F0CB1" w:rsidRPr="0020070D">
              <w:rPr>
                <w:b/>
                <w:sz w:val="20"/>
                <w:szCs w:val="20"/>
              </w:rPr>
              <w:t>c</w:t>
            </w:r>
            <w:r w:rsidRPr="0020070D">
              <w:rPr>
                <w:b/>
                <w:sz w:val="20"/>
                <w:szCs w:val="20"/>
              </w:rPr>
              <w:t>apacity</w:t>
            </w:r>
          </w:p>
          <w:p w:rsidR="00D945B9" w:rsidRDefault="00D945B9" w:rsidP="00D945B9">
            <w:pPr>
              <w:jc w:val="center"/>
              <w:rPr>
                <w:b/>
                <w:sz w:val="20"/>
                <w:szCs w:val="20"/>
              </w:rPr>
            </w:pPr>
          </w:p>
          <w:p w:rsidR="002A6354" w:rsidRPr="0020070D" w:rsidRDefault="002A6354" w:rsidP="00D945B9">
            <w:pPr>
              <w:jc w:val="center"/>
              <w:rPr>
                <w:b/>
                <w:sz w:val="20"/>
                <w:szCs w:val="20"/>
              </w:rPr>
            </w:pPr>
            <w:r w:rsidRPr="0020070D">
              <w:rPr>
                <w:b/>
                <w:sz w:val="20"/>
                <w:szCs w:val="20"/>
              </w:rPr>
              <w:t>(ML)</w:t>
            </w:r>
          </w:p>
        </w:tc>
        <w:tc>
          <w:tcPr>
            <w:tcW w:w="1085" w:type="dxa"/>
            <w:shd w:val="clear" w:color="auto" w:fill="C0C0C0"/>
          </w:tcPr>
          <w:p w:rsidR="00D945B9" w:rsidRDefault="002A6354" w:rsidP="00D945B9">
            <w:pPr>
              <w:jc w:val="center"/>
              <w:rPr>
                <w:b/>
                <w:sz w:val="20"/>
                <w:szCs w:val="20"/>
              </w:rPr>
            </w:pPr>
            <w:r w:rsidRPr="0020070D">
              <w:rPr>
                <w:b/>
                <w:sz w:val="20"/>
                <w:szCs w:val="20"/>
              </w:rPr>
              <w:t>Original surcharge level</w:t>
            </w:r>
          </w:p>
          <w:p w:rsidR="002A6354" w:rsidRPr="0020070D" w:rsidRDefault="007F0CB1" w:rsidP="00D945B9">
            <w:pPr>
              <w:jc w:val="center"/>
              <w:rPr>
                <w:b/>
                <w:sz w:val="20"/>
                <w:szCs w:val="20"/>
              </w:rPr>
            </w:pPr>
            <w:r>
              <w:rPr>
                <w:b/>
                <w:sz w:val="20"/>
                <w:szCs w:val="20"/>
              </w:rPr>
              <w:t xml:space="preserve"> </w:t>
            </w:r>
            <w:r w:rsidR="002A6354" w:rsidRPr="0020070D">
              <w:rPr>
                <w:b/>
                <w:sz w:val="20"/>
                <w:szCs w:val="20"/>
              </w:rPr>
              <w:t>(m AHD)</w:t>
            </w:r>
          </w:p>
        </w:tc>
        <w:tc>
          <w:tcPr>
            <w:tcW w:w="1124" w:type="dxa"/>
            <w:shd w:val="clear" w:color="auto" w:fill="C0C0C0"/>
          </w:tcPr>
          <w:p w:rsidR="00D945B9" w:rsidRDefault="002A6354" w:rsidP="00D945B9">
            <w:pPr>
              <w:jc w:val="center"/>
              <w:rPr>
                <w:b/>
                <w:sz w:val="20"/>
                <w:szCs w:val="20"/>
              </w:rPr>
            </w:pPr>
            <w:r w:rsidRPr="0020070D">
              <w:rPr>
                <w:b/>
                <w:sz w:val="20"/>
                <w:szCs w:val="20"/>
              </w:rPr>
              <w:t>Surcharge lake depth</w:t>
            </w:r>
            <w:r w:rsidR="007F0CB1">
              <w:rPr>
                <w:b/>
                <w:sz w:val="20"/>
                <w:szCs w:val="20"/>
              </w:rPr>
              <w:t xml:space="preserve"> </w:t>
            </w:r>
          </w:p>
          <w:p w:rsidR="00D945B9" w:rsidRDefault="00D945B9" w:rsidP="00D945B9">
            <w:pPr>
              <w:jc w:val="center"/>
              <w:rPr>
                <w:b/>
                <w:sz w:val="20"/>
                <w:szCs w:val="20"/>
              </w:rPr>
            </w:pPr>
          </w:p>
          <w:p w:rsidR="002A6354" w:rsidRPr="0020070D" w:rsidRDefault="002A6354" w:rsidP="00D945B9">
            <w:pPr>
              <w:jc w:val="center"/>
              <w:rPr>
                <w:b/>
                <w:sz w:val="20"/>
                <w:szCs w:val="20"/>
              </w:rPr>
            </w:pPr>
            <w:r w:rsidRPr="0020070D">
              <w:rPr>
                <w:b/>
                <w:sz w:val="20"/>
                <w:szCs w:val="20"/>
              </w:rPr>
              <w:t>(m)</w:t>
            </w:r>
          </w:p>
        </w:tc>
      </w:tr>
      <w:tr w:rsidR="007F0CB1" w:rsidRPr="0020070D" w:rsidTr="007F0CB1">
        <w:trPr>
          <w:jc w:val="center"/>
        </w:trPr>
        <w:tc>
          <w:tcPr>
            <w:tcW w:w="1261" w:type="dxa"/>
            <w:shd w:val="clear" w:color="auto" w:fill="auto"/>
          </w:tcPr>
          <w:p w:rsidR="002A6354" w:rsidRPr="0020070D" w:rsidRDefault="002A6354" w:rsidP="00672844">
            <w:pPr>
              <w:autoSpaceDE w:val="0"/>
              <w:autoSpaceDN w:val="0"/>
              <w:adjustRightInd w:val="0"/>
              <w:spacing w:before="60" w:after="60"/>
              <w:rPr>
                <w:b/>
                <w:sz w:val="20"/>
                <w:szCs w:val="20"/>
              </w:rPr>
            </w:pPr>
            <w:smartTag w:uri="urn:schemas-microsoft-com:office:smarttags" w:element="place">
              <w:smartTag w:uri="urn:schemas-microsoft-com:office:smarttags" w:element="country-region">
                <w:r w:rsidRPr="0020070D">
                  <w:rPr>
                    <w:b/>
                    <w:sz w:val="20"/>
                    <w:szCs w:val="20"/>
                  </w:rPr>
                  <w:t>Malta</w:t>
                </w:r>
              </w:smartTag>
            </w:smartTag>
          </w:p>
        </w:tc>
        <w:tc>
          <w:tcPr>
            <w:tcW w:w="1124" w:type="dxa"/>
            <w:shd w:val="clear" w:color="auto" w:fill="auto"/>
          </w:tcPr>
          <w:p w:rsidR="002A6354" w:rsidRPr="0020070D" w:rsidRDefault="002A6354" w:rsidP="00672844">
            <w:pPr>
              <w:autoSpaceDE w:val="0"/>
              <w:autoSpaceDN w:val="0"/>
              <w:adjustRightInd w:val="0"/>
              <w:spacing w:before="60" w:after="60"/>
              <w:rPr>
                <w:sz w:val="20"/>
                <w:szCs w:val="20"/>
              </w:rPr>
            </w:pPr>
            <w:r w:rsidRPr="0020070D">
              <w:rPr>
                <w:sz w:val="20"/>
                <w:szCs w:val="20"/>
              </w:rPr>
              <w:t>60.14</w:t>
            </w:r>
          </w:p>
        </w:tc>
        <w:tc>
          <w:tcPr>
            <w:tcW w:w="1101" w:type="dxa"/>
            <w:shd w:val="clear" w:color="auto" w:fill="auto"/>
          </w:tcPr>
          <w:p w:rsidR="002A6354" w:rsidRPr="0020070D" w:rsidRDefault="002A6354" w:rsidP="00672844">
            <w:pPr>
              <w:spacing w:before="60" w:after="60"/>
              <w:rPr>
                <w:sz w:val="20"/>
                <w:szCs w:val="20"/>
              </w:rPr>
            </w:pPr>
            <w:r w:rsidRPr="0020070D">
              <w:rPr>
                <w:sz w:val="20"/>
                <w:szCs w:val="20"/>
              </w:rPr>
              <w:t>300</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61.67</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1.53</w:t>
            </w:r>
          </w:p>
        </w:tc>
        <w:tc>
          <w:tcPr>
            <w:tcW w:w="1251" w:type="dxa"/>
            <w:shd w:val="clear" w:color="auto" w:fill="auto"/>
          </w:tcPr>
          <w:p w:rsidR="002A6354" w:rsidRPr="0020070D" w:rsidRDefault="002A6354" w:rsidP="00672844">
            <w:pPr>
              <w:spacing w:before="60" w:after="60"/>
              <w:rPr>
                <w:sz w:val="20"/>
                <w:szCs w:val="20"/>
              </w:rPr>
            </w:pPr>
            <w:r w:rsidRPr="0020070D">
              <w:rPr>
                <w:sz w:val="20"/>
                <w:szCs w:val="20"/>
              </w:rPr>
              <w:t>3,000</w:t>
            </w:r>
          </w:p>
        </w:tc>
        <w:tc>
          <w:tcPr>
            <w:tcW w:w="1085" w:type="dxa"/>
            <w:shd w:val="clear" w:color="auto" w:fill="auto"/>
          </w:tcPr>
          <w:p w:rsidR="002A6354" w:rsidRPr="0020070D" w:rsidRDefault="002A6354" w:rsidP="00672844">
            <w:pPr>
              <w:spacing w:before="60" w:after="60"/>
              <w:rPr>
                <w:sz w:val="20"/>
                <w:szCs w:val="20"/>
              </w:rPr>
            </w:pPr>
            <w:r w:rsidRPr="0020070D">
              <w:rPr>
                <w:sz w:val="20"/>
                <w:szCs w:val="20"/>
              </w:rPr>
              <w:t>62.68</w:t>
            </w:r>
          </w:p>
        </w:tc>
        <w:tc>
          <w:tcPr>
            <w:tcW w:w="1124" w:type="dxa"/>
            <w:shd w:val="clear" w:color="auto" w:fill="auto"/>
          </w:tcPr>
          <w:p w:rsidR="002A6354" w:rsidRPr="0020070D" w:rsidRDefault="002A6354" w:rsidP="00672844">
            <w:pPr>
              <w:spacing w:before="60" w:after="60"/>
              <w:rPr>
                <w:sz w:val="20"/>
                <w:szCs w:val="20"/>
              </w:rPr>
            </w:pPr>
            <w:r w:rsidRPr="0020070D">
              <w:rPr>
                <w:sz w:val="20"/>
                <w:szCs w:val="20"/>
              </w:rPr>
              <w:t>2.54</w:t>
            </w:r>
          </w:p>
        </w:tc>
      </w:tr>
      <w:tr w:rsidR="007F0CB1" w:rsidRPr="0020070D" w:rsidTr="007F0CB1">
        <w:trPr>
          <w:jc w:val="center"/>
        </w:trPr>
        <w:tc>
          <w:tcPr>
            <w:tcW w:w="1261" w:type="dxa"/>
            <w:shd w:val="clear" w:color="auto" w:fill="auto"/>
          </w:tcPr>
          <w:p w:rsidR="002A6354" w:rsidRPr="0020070D" w:rsidRDefault="002A6354" w:rsidP="00672844">
            <w:pPr>
              <w:autoSpaceDE w:val="0"/>
              <w:autoSpaceDN w:val="0"/>
              <w:adjustRightInd w:val="0"/>
              <w:spacing w:before="60" w:after="60"/>
              <w:rPr>
                <w:b/>
                <w:sz w:val="20"/>
                <w:szCs w:val="20"/>
              </w:rPr>
            </w:pPr>
            <w:r w:rsidRPr="0020070D">
              <w:rPr>
                <w:b/>
                <w:sz w:val="20"/>
                <w:szCs w:val="20"/>
              </w:rPr>
              <w:t>Balaka</w:t>
            </w:r>
          </w:p>
        </w:tc>
        <w:tc>
          <w:tcPr>
            <w:tcW w:w="1124" w:type="dxa"/>
            <w:shd w:val="clear" w:color="auto" w:fill="auto"/>
          </w:tcPr>
          <w:p w:rsidR="002A6354" w:rsidRPr="0020070D" w:rsidRDefault="002A6354" w:rsidP="00672844">
            <w:pPr>
              <w:autoSpaceDE w:val="0"/>
              <w:autoSpaceDN w:val="0"/>
              <w:adjustRightInd w:val="0"/>
              <w:spacing w:before="60" w:after="60"/>
              <w:rPr>
                <w:sz w:val="20"/>
                <w:szCs w:val="20"/>
              </w:rPr>
            </w:pPr>
            <w:r w:rsidRPr="0020070D">
              <w:rPr>
                <w:sz w:val="20"/>
                <w:szCs w:val="20"/>
              </w:rPr>
              <w:t>59.23</w:t>
            </w:r>
          </w:p>
        </w:tc>
        <w:tc>
          <w:tcPr>
            <w:tcW w:w="1101" w:type="dxa"/>
            <w:shd w:val="clear" w:color="auto" w:fill="auto"/>
          </w:tcPr>
          <w:p w:rsidR="002A6354" w:rsidRPr="0020070D" w:rsidRDefault="002A6354" w:rsidP="00672844">
            <w:pPr>
              <w:spacing w:before="60" w:after="60"/>
              <w:rPr>
                <w:sz w:val="20"/>
                <w:szCs w:val="20"/>
              </w:rPr>
            </w:pPr>
            <w:r w:rsidRPr="0020070D">
              <w:rPr>
                <w:sz w:val="20"/>
                <w:szCs w:val="20"/>
              </w:rPr>
              <w:t>1,200</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61.67</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2.44</w:t>
            </w:r>
          </w:p>
        </w:tc>
        <w:tc>
          <w:tcPr>
            <w:tcW w:w="1251" w:type="dxa"/>
            <w:shd w:val="clear" w:color="auto" w:fill="auto"/>
          </w:tcPr>
          <w:p w:rsidR="002A6354" w:rsidRPr="0020070D" w:rsidRDefault="002A6354" w:rsidP="00672844">
            <w:pPr>
              <w:spacing w:before="60" w:after="60"/>
              <w:rPr>
                <w:sz w:val="20"/>
                <w:szCs w:val="20"/>
              </w:rPr>
            </w:pPr>
            <w:r w:rsidRPr="0020070D">
              <w:rPr>
                <w:sz w:val="20"/>
                <w:szCs w:val="20"/>
              </w:rPr>
              <w:t>18,000</w:t>
            </w:r>
          </w:p>
        </w:tc>
        <w:tc>
          <w:tcPr>
            <w:tcW w:w="1085" w:type="dxa"/>
            <w:shd w:val="clear" w:color="auto" w:fill="auto"/>
          </w:tcPr>
          <w:p w:rsidR="002A6354" w:rsidRPr="0020070D" w:rsidRDefault="002A6354" w:rsidP="00672844">
            <w:pPr>
              <w:spacing w:before="60" w:after="60"/>
              <w:rPr>
                <w:sz w:val="20"/>
                <w:szCs w:val="20"/>
              </w:rPr>
            </w:pPr>
            <w:r w:rsidRPr="0020070D">
              <w:rPr>
                <w:sz w:val="20"/>
                <w:szCs w:val="20"/>
              </w:rPr>
              <w:t>62.68</w:t>
            </w:r>
          </w:p>
        </w:tc>
        <w:tc>
          <w:tcPr>
            <w:tcW w:w="1124" w:type="dxa"/>
            <w:shd w:val="clear" w:color="auto" w:fill="auto"/>
          </w:tcPr>
          <w:p w:rsidR="002A6354" w:rsidRPr="0020070D" w:rsidRDefault="002A6354" w:rsidP="00672844">
            <w:pPr>
              <w:spacing w:before="60" w:after="60"/>
              <w:rPr>
                <w:sz w:val="20"/>
                <w:szCs w:val="20"/>
              </w:rPr>
            </w:pPr>
            <w:r w:rsidRPr="0020070D">
              <w:rPr>
                <w:sz w:val="20"/>
                <w:szCs w:val="20"/>
              </w:rPr>
              <w:t>3.45</w:t>
            </w:r>
          </w:p>
        </w:tc>
      </w:tr>
      <w:tr w:rsidR="007F0CB1" w:rsidRPr="0020070D" w:rsidTr="007F0CB1">
        <w:trPr>
          <w:jc w:val="center"/>
        </w:trPr>
        <w:tc>
          <w:tcPr>
            <w:tcW w:w="1261" w:type="dxa"/>
            <w:shd w:val="clear" w:color="auto" w:fill="auto"/>
          </w:tcPr>
          <w:p w:rsidR="002A6354" w:rsidRPr="0020070D" w:rsidRDefault="001C0090" w:rsidP="00672844">
            <w:pPr>
              <w:autoSpaceDE w:val="0"/>
              <w:autoSpaceDN w:val="0"/>
              <w:adjustRightInd w:val="0"/>
              <w:spacing w:before="60" w:after="60"/>
              <w:rPr>
                <w:b/>
                <w:sz w:val="20"/>
                <w:szCs w:val="20"/>
              </w:rPr>
            </w:pPr>
            <w:r w:rsidRPr="0020070D">
              <w:rPr>
                <w:b/>
                <w:sz w:val="20"/>
                <w:szCs w:val="20"/>
              </w:rPr>
              <w:t>Bijiji</w:t>
            </w:r>
          </w:p>
        </w:tc>
        <w:tc>
          <w:tcPr>
            <w:tcW w:w="1124" w:type="dxa"/>
            <w:shd w:val="clear" w:color="auto" w:fill="auto"/>
          </w:tcPr>
          <w:p w:rsidR="002A6354" w:rsidRPr="0020070D" w:rsidRDefault="002A6354" w:rsidP="00672844">
            <w:pPr>
              <w:autoSpaceDE w:val="0"/>
              <w:autoSpaceDN w:val="0"/>
              <w:adjustRightInd w:val="0"/>
              <w:spacing w:before="60" w:after="60"/>
              <w:rPr>
                <w:sz w:val="20"/>
                <w:szCs w:val="20"/>
              </w:rPr>
            </w:pPr>
            <w:r w:rsidRPr="0020070D">
              <w:rPr>
                <w:sz w:val="20"/>
                <w:szCs w:val="20"/>
              </w:rPr>
              <w:t>58.62</w:t>
            </w:r>
          </w:p>
        </w:tc>
        <w:tc>
          <w:tcPr>
            <w:tcW w:w="1101" w:type="dxa"/>
            <w:shd w:val="clear" w:color="auto" w:fill="auto"/>
          </w:tcPr>
          <w:p w:rsidR="002A6354" w:rsidRPr="0020070D" w:rsidRDefault="002A6354" w:rsidP="00672844">
            <w:pPr>
              <w:spacing w:before="60" w:after="60"/>
              <w:rPr>
                <w:sz w:val="20"/>
                <w:szCs w:val="20"/>
              </w:rPr>
            </w:pPr>
            <w:r w:rsidRPr="0020070D">
              <w:rPr>
                <w:sz w:val="20"/>
                <w:szCs w:val="20"/>
              </w:rPr>
              <w:t>1,000</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61.67</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3.05</w:t>
            </w:r>
          </w:p>
        </w:tc>
        <w:tc>
          <w:tcPr>
            <w:tcW w:w="1251" w:type="dxa"/>
            <w:shd w:val="clear" w:color="auto" w:fill="auto"/>
          </w:tcPr>
          <w:p w:rsidR="002A6354" w:rsidRPr="0020070D" w:rsidRDefault="002A6354" w:rsidP="00672844">
            <w:pPr>
              <w:spacing w:before="60" w:after="60"/>
              <w:rPr>
                <w:sz w:val="20"/>
                <w:szCs w:val="20"/>
              </w:rPr>
            </w:pPr>
            <w:r w:rsidRPr="0020070D">
              <w:rPr>
                <w:sz w:val="20"/>
                <w:szCs w:val="20"/>
              </w:rPr>
              <w:t>20,000</w:t>
            </w:r>
          </w:p>
        </w:tc>
        <w:tc>
          <w:tcPr>
            <w:tcW w:w="1085" w:type="dxa"/>
            <w:shd w:val="clear" w:color="auto" w:fill="auto"/>
          </w:tcPr>
          <w:p w:rsidR="002A6354" w:rsidRPr="0020070D" w:rsidRDefault="002A6354" w:rsidP="00672844">
            <w:pPr>
              <w:spacing w:before="60" w:after="60"/>
              <w:rPr>
                <w:sz w:val="20"/>
                <w:szCs w:val="20"/>
              </w:rPr>
            </w:pPr>
            <w:r w:rsidRPr="0020070D">
              <w:rPr>
                <w:sz w:val="20"/>
                <w:szCs w:val="20"/>
              </w:rPr>
              <w:t>62.68</w:t>
            </w:r>
          </w:p>
        </w:tc>
        <w:tc>
          <w:tcPr>
            <w:tcW w:w="1124" w:type="dxa"/>
            <w:shd w:val="clear" w:color="auto" w:fill="auto"/>
          </w:tcPr>
          <w:p w:rsidR="002A6354" w:rsidRPr="0020070D" w:rsidRDefault="002A6354" w:rsidP="00672844">
            <w:pPr>
              <w:spacing w:before="60" w:after="60"/>
              <w:rPr>
                <w:sz w:val="20"/>
                <w:szCs w:val="20"/>
              </w:rPr>
            </w:pPr>
            <w:r w:rsidRPr="0020070D">
              <w:rPr>
                <w:sz w:val="20"/>
                <w:szCs w:val="20"/>
              </w:rPr>
              <w:t>4.06</w:t>
            </w:r>
          </w:p>
        </w:tc>
      </w:tr>
      <w:tr w:rsidR="007F0CB1" w:rsidRPr="0020070D" w:rsidTr="007F0CB1">
        <w:trPr>
          <w:jc w:val="center"/>
        </w:trPr>
        <w:tc>
          <w:tcPr>
            <w:tcW w:w="1261" w:type="dxa"/>
            <w:shd w:val="clear" w:color="auto" w:fill="auto"/>
          </w:tcPr>
          <w:p w:rsidR="002A6354" w:rsidRPr="0020070D" w:rsidRDefault="002A6354" w:rsidP="00672844">
            <w:pPr>
              <w:autoSpaceDE w:val="0"/>
              <w:autoSpaceDN w:val="0"/>
              <w:adjustRightInd w:val="0"/>
              <w:spacing w:before="60" w:after="60"/>
              <w:rPr>
                <w:b/>
                <w:sz w:val="20"/>
                <w:szCs w:val="20"/>
              </w:rPr>
            </w:pPr>
            <w:r w:rsidRPr="0020070D">
              <w:rPr>
                <w:b/>
                <w:sz w:val="20"/>
                <w:szCs w:val="20"/>
              </w:rPr>
              <w:t>Tandure</w:t>
            </w:r>
          </w:p>
        </w:tc>
        <w:tc>
          <w:tcPr>
            <w:tcW w:w="1124" w:type="dxa"/>
            <w:shd w:val="clear" w:color="auto" w:fill="auto"/>
          </w:tcPr>
          <w:p w:rsidR="002A6354" w:rsidRPr="0020070D" w:rsidRDefault="002A6354" w:rsidP="00672844">
            <w:pPr>
              <w:autoSpaceDE w:val="0"/>
              <w:autoSpaceDN w:val="0"/>
              <w:adjustRightInd w:val="0"/>
              <w:spacing w:before="60" w:after="60"/>
              <w:rPr>
                <w:sz w:val="20"/>
                <w:szCs w:val="20"/>
              </w:rPr>
            </w:pPr>
            <w:r w:rsidRPr="0020070D">
              <w:rPr>
                <w:sz w:val="20"/>
                <w:szCs w:val="20"/>
              </w:rPr>
              <w:t>55.88</w:t>
            </w:r>
          </w:p>
        </w:tc>
        <w:tc>
          <w:tcPr>
            <w:tcW w:w="1101" w:type="dxa"/>
            <w:shd w:val="clear" w:color="auto" w:fill="auto"/>
          </w:tcPr>
          <w:p w:rsidR="002A6354" w:rsidRPr="0020070D" w:rsidRDefault="002A6354" w:rsidP="00672844">
            <w:pPr>
              <w:spacing w:before="60" w:after="60"/>
              <w:rPr>
                <w:sz w:val="20"/>
                <w:szCs w:val="20"/>
              </w:rPr>
            </w:pPr>
            <w:r w:rsidRPr="0020070D">
              <w:rPr>
                <w:sz w:val="20"/>
                <w:szCs w:val="20"/>
              </w:rPr>
              <w:t>2,100</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61.67</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5.79</w:t>
            </w:r>
          </w:p>
        </w:tc>
        <w:tc>
          <w:tcPr>
            <w:tcW w:w="1251" w:type="dxa"/>
            <w:shd w:val="clear" w:color="auto" w:fill="auto"/>
          </w:tcPr>
          <w:p w:rsidR="002A6354" w:rsidRPr="0020070D" w:rsidRDefault="002A6354" w:rsidP="00672844">
            <w:pPr>
              <w:spacing w:before="60" w:after="60"/>
              <w:rPr>
                <w:sz w:val="20"/>
                <w:szCs w:val="20"/>
              </w:rPr>
            </w:pPr>
            <w:r w:rsidRPr="0020070D">
              <w:rPr>
                <w:sz w:val="20"/>
                <w:szCs w:val="20"/>
              </w:rPr>
              <w:t>88,000</w:t>
            </w:r>
          </w:p>
        </w:tc>
        <w:tc>
          <w:tcPr>
            <w:tcW w:w="1085" w:type="dxa"/>
            <w:shd w:val="clear" w:color="auto" w:fill="auto"/>
          </w:tcPr>
          <w:p w:rsidR="002A6354" w:rsidRPr="0020070D" w:rsidRDefault="002A6354" w:rsidP="00672844">
            <w:pPr>
              <w:spacing w:before="60" w:after="60"/>
              <w:rPr>
                <w:sz w:val="20"/>
                <w:szCs w:val="20"/>
              </w:rPr>
            </w:pPr>
            <w:r w:rsidRPr="0020070D">
              <w:rPr>
                <w:sz w:val="20"/>
                <w:szCs w:val="20"/>
              </w:rPr>
              <w:t>62.68</w:t>
            </w:r>
          </w:p>
        </w:tc>
        <w:tc>
          <w:tcPr>
            <w:tcW w:w="1124" w:type="dxa"/>
            <w:shd w:val="clear" w:color="auto" w:fill="auto"/>
          </w:tcPr>
          <w:p w:rsidR="002A6354" w:rsidRPr="0020070D" w:rsidRDefault="002A6354" w:rsidP="00672844">
            <w:pPr>
              <w:spacing w:before="60" w:after="60"/>
              <w:rPr>
                <w:sz w:val="20"/>
                <w:szCs w:val="20"/>
              </w:rPr>
            </w:pPr>
            <w:r w:rsidRPr="0020070D">
              <w:rPr>
                <w:sz w:val="20"/>
                <w:szCs w:val="20"/>
              </w:rPr>
              <w:t>6.80</w:t>
            </w:r>
          </w:p>
        </w:tc>
      </w:tr>
      <w:tr w:rsidR="007F0CB1" w:rsidRPr="0020070D" w:rsidTr="007F0CB1">
        <w:trPr>
          <w:jc w:val="center"/>
        </w:trPr>
        <w:tc>
          <w:tcPr>
            <w:tcW w:w="1261" w:type="dxa"/>
            <w:shd w:val="clear" w:color="auto" w:fill="E6E6E6"/>
          </w:tcPr>
          <w:p w:rsidR="002A6354" w:rsidRPr="0020070D" w:rsidRDefault="002A6354" w:rsidP="00672844">
            <w:pPr>
              <w:autoSpaceDE w:val="0"/>
              <w:autoSpaceDN w:val="0"/>
              <w:adjustRightInd w:val="0"/>
              <w:spacing w:before="60" w:after="60"/>
              <w:rPr>
                <w:b/>
                <w:sz w:val="20"/>
                <w:szCs w:val="20"/>
              </w:rPr>
            </w:pPr>
            <w:r w:rsidRPr="0020070D">
              <w:rPr>
                <w:b/>
                <w:sz w:val="20"/>
                <w:szCs w:val="20"/>
              </w:rPr>
              <w:t>Wetherell</w:t>
            </w:r>
          </w:p>
        </w:tc>
        <w:tc>
          <w:tcPr>
            <w:tcW w:w="1124" w:type="dxa"/>
            <w:shd w:val="clear" w:color="auto" w:fill="E6E6E6"/>
          </w:tcPr>
          <w:p w:rsidR="002A6354" w:rsidRPr="0020070D" w:rsidRDefault="002A6354" w:rsidP="00672844">
            <w:pPr>
              <w:autoSpaceDE w:val="0"/>
              <w:autoSpaceDN w:val="0"/>
              <w:adjustRightInd w:val="0"/>
              <w:spacing w:before="60" w:after="60"/>
              <w:rPr>
                <w:sz w:val="20"/>
                <w:szCs w:val="20"/>
              </w:rPr>
            </w:pPr>
            <w:r w:rsidRPr="0020070D">
              <w:rPr>
                <w:sz w:val="20"/>
                <w:szCs w:val="20"/>
              </w:rPr>
              <w:t>49.60</w:t>
            </w:r>
          </w:p>
        </w:tc>
        <w:tc>
          <w:tcPr>
            <w:tcW w:w="1101" w:type="dxa"/>
            <w:shd w:val="clear" w:color="auto" w:fill="E6E6E6"/>
          </w:tcPr>
          <w:p w:rsidR="002A6354" w:rsidRPr="0020070D" w:rsidRDefault="002A6354" w:rsidP="00672844">
            <w:pPr>
              <w:spacing w:before="60" w:after="60"/>
              <w:rPr>
                <w:sz w:val="20"/>
                <w:szCs w:val="20"/>
              </w:rPr>
            </w:pPr>
            <w:r w:rsidRPr="0020070D">
              <w:rPr>
                <w:sz w:val="20"/>
                <w:szCs w:val="20"/>
              </w:rPr>
              <w:t>9,500</w:t>
            </w:r>
          </w:p>
        </w:tc>
        <w:tc>
          <w:tcPr>
            <w:tcW w:w="1252" w:type="dxa"/>
            <w:shd w:val="clear" w:color="auto" w:fill="E6E6E6"/>
          </w:tcPr>
          <w:p w:rsidR="002A6354" w:rsidRPr="0020070D" w:rsidRDefault="002A6354" w:rsidP="00672844">
            <w:pPr>
              <w:spacing w:before="60" w:after="60"/>
              <w:rPr>
                <w:sz w:val="20"/>
                <w:szCs w:val="20"/>
              </w:rPr>
            </w:pPr>
            <w:r w:rsidRPr="0020070D">
              <w:rPr>
                <w:sz w:val="20"/>
                <w:szCs w:val="20"/>
              </w:rPr>
              <w:t>61.67</w:t>
            </w:r>
          </w:p>
        </w:tc>
        <w:tc>
          <w:tcPr>
            <w:tcW w:w="1252" w:type="dxa"/>
            <w:shd w:val="clear" w:color="auto" w:fill="E6E6E6"/>
          </w:tcPr>
          <w:p w:rsidR="002A6354" w:rsidRPr="0020070D" w:rsidRDefault="002A6354" w:rsidP="00672844">
            <w:pPr>
              <w:spacing w:before="60" w:after="60"/>
              <w:rPr>
                <w:sz w:val="20"/>
                <w:szCs w:val="20"/>
              </w:rPr>
            </w:pPr>
            <w:r w:rsidRPr="0020070D">
              <w:rPr>
                <w:sz w:val="20"/>
                <w:szCs w:val="20"/>
              </w:rPr>
              <w:t>12.07</w:t>
            </w:r>
          </w:p>
        </w:tc>
        <w:tc>
          <w:tcPr>
            <w:tcW w:w="1251" w:type="dxa"/>
            <w:shd w:val="clear" w:color="auto" w:fill="E6E6E6"/>
          </w:tcPr>
          <w:p w:rsidR="002A6354" w:rsidRPr="0020070D" w:rsidRDefault="002A6354" w:rsidP="00672844">
            <w:pPr>
              <w:spacing w:before="60" w:after="60"/>
              <w:rPr>
                <w:sz w:val="20"/>
                <w:szCs w:val="20"/>
              </w:rPr>
            </w:pPr>
            <w:r w:rsidRPr="0020070D">
              <w:rPr>
                <w:sz w:val="20"/>
                <w:szCs w:val="20"/>
              </w:rPr>
              <w:t>209,000</w:t>
            </w:r>
          </w:p>
        </w:tc>
        <w:tc>
          <w:tcPr>
            <w:tcW w:w="1085" w:type="dxa"/>
            <w:shd w:val="clear" w:color="auto" w:fill="E6E6E6"/>
          </w:tcPr>
          <w:p w:rsidR="002A6354" w:rsidRPr="0020070D" w:rsidRDefault="002A6354" w:rsidP="00672844">
            <w:pPr>
              <w:spacing w:before="60" w:after="60"/>
              <w:rPr>
                <w:sz w:val="20"/>
                <w:szCs w:val="20"/>
              </w:rPr>
            </w:pPr>
            <w:r w:rsidRPr="0020070D">
              <w:rPr>
                <w:sz w:val="20"/>
                <w:szCs w:val="20"/>
              </w:rPr>
              <w:t>62.68</w:t>
            </w:r>
          </w:p>
        </w:tc>
        <w:tc>
          <w:tcPr>
            <w:tcW w:w="1124" w:type="dxa"/>
            <w:shd w:val="clear" w:color="auto" w:fill="E6E6E6"/>
          </w:tcPr>
          <w:p w:rsidR="002A6354" w:rsidRPr="0020070D" w:rsidRDefault="002A6354" w:rsidP="00672844">
            <w:pPr>
              <w:spacing w:before="60" w:after="60"/>
              <w:rPr>
                <w:sz w:val="20"/>
                <w:szCs w:val="20"/>
              </w:rPr>
            </w:pPr>
            <w:r w:rsidRPr="0020070D">
              <w:rPr>
                <w:sz w:val="20"/>
                <w:szCs w:val="20"/>
              </w:rPr>
              <w:t>13.08</w:t>
            </w:r>
          </w:p>
        </w:tc>
      </w:tr>
      <w:tr w:rsidR="007F0CB1" w:rsidRPr="0020070D" w:rsidTr="007F0CB1">
        <w:trPr>
          <w:jc w:val="center"/>
        </w:trPr>
        <w:tc>
          <w:tcPr>
            <w:tcW w:w="1261" w:type="dxa"/>
            <w:shd w:val="clear" w:color="auto" w:fill="E6E6E6"/>
          </w:tcPr>
          <w:p w:rsidR="002A6354" w:rsidRPr="0020070D" w:rsidRDefault="002A6354" w:rsidP="00672844">
            <w:pPr>
              <w:autoSpaceDE w:val="0"/>
              <w:autoSpaceDN w:val="0"/>
              <w:adjustRightInd w:val="0"/>
              <w:spacing w:before="60" w:after="60"/>
              <w:rPr>
                <w:b/>
                <w:sz w:val="20"/>
                <w:szCs w:val="20"/>
              </w:rPr>
            </w:pPr>
            <w:r w:rsidRPr="0020070D">
              <w:rPr>
                <w:b/>
                <w:sz w:val="20"/>
                <w:szCs w:val="20"/>
              </w:rPr>
              <w:t>Pamamaroo</w:t>
            </w:r>
          </w:p>
        </w:tc>
        <w:tc>
          <w:tcPr>
            <w:tcW w:w="1124" w:type="dxa"/>
            <w:shd w:val="clear" w:color="auto" w:fill="E6E6E6"/>
          </w:tcPr>
          <w:p w:rsidR="002A6354" w:rsidRPr="0020070D" w:rsidRDefault="002A6354" w:rsidP="00672844">
            <w:pPr>
              <w:autoSpaceDE w:val="0"/>
              <w:autoSpaceDN w:val="0"/>
              <w:adjustRightInd w:val="0"/>
              <w:spacing w:before="60" w:after="60"/>
              <w:rPr>
                <w:sz w:val="20"/>
                <w:szCs w:val="20"/>
              </w:rPr>
            </w:pPr>
            <w:r w:rsidRPr="0020070D">
              <w:rPr>
                <w:sz w:val="20"/>
                <w:szCs w:val="20"/>
              </w:rPr>
              <w:t>55.27</w:t>
            </w:r>
          </w:p>
        </w:tc>
        <w:tc>
          <w:tcPr>
            <w:tcW w:w="1101" w:type="dxa"/>
            <w:shd w:val="clear" w:color="auto" w:fill="E6E6E6"/>
          </w:tcPr>
          <w:p w:rsidR="002A6354" w:rsidRPr="0020070D" w:rsidRDefault="002A6354" w:rsidP="00672844">
            <w:pPr>
              <w:spacing w:before="60" w:after="60"/>
              <w:rPr>
                <w:sz w:val="20"/>
                <w:szCs w:val="20"/>
              </w:rPr>
            </w:pPr>
            <w:r w:rsidRPr="0020070D">
              <w:rPr>
                <w:sz w:val="20"/>
                <w:szCs w:val="20"/>
              </w:rPr>
              <w:t>6,900</w:t>
            </w:r>
          </w:p>
        </w:tc>
        <w:tc>
          <w:tcPr>
            <w:tcW w:w="1252" w:type="dxa"/>
            <w:shd w:val="clear" w:color="auto" w:fill="E6E6E6"/>
          </w:tcPr>
          <w:p w:rsidR="002A6354" w:rsidRPr="0020070D" w:rsidRDefault="002A6354" w:rsidP="00672844">
            <w:pPr>
              <w:spacing w:before="60" w:after="60"/>
              <w:rPr>
                <w:sz w:val="20"/>
                <w:szCs w:val="20"/>
              </w:rPr>
            </w:pPr>
            <w:r w:rsidRPr="0020070D">
              <w:rPr>
                <w:sz w:val="20"/>
                <w:szCs w:val="20"/>
              </w:rPr>
              <w:t>60.45</w:t>
            </w:r>
          </w:p>
        </w:tc>
        <w:tc>
          <w:tcPr>
            <w:tcW w:w="1252" w:type="dxa"/>
            <w:shd w:val="clear" w:color="auto" w:fill="E6E6E6"/>
          </w:tcPr>
          <w:p w:rsidR="002A6354" w:rsidRPr="0020070D" w:rsidRDefault="002A6354" w:rsidP="00672844">
            <w:pPr>
              <w:spacing w:before="60" w:after="60"/>
              <w:rPr>
                <w:sz w:val="20"/>
                <w:szCs w:val="20"/>
              </w:rPr>
            </w:pPr>
            <w:r w:rsidRPr="0020070D">
              <w:rPr>
                <w:sz w:val="20"/>
                <w:szCs w:val="20"/>
              </w:rPr>
              <w:t>5.18</w:t>
            </w:r>
          </w:p>
        </w:tc>
        <w:tc>
          <w:tcPr>
            <w:tcW w:w="1251" w:type="dxa"/>
            <w:shd w:val="clear" w:color="auto" w:fill="E6E6E6"/>
          </w:tcPr>
          <w:p w:rsidR="002A6354" w:rsidRPr="0020070D" w:rsidRDefault="002A6354" w:rsidP="00672844">
            <w:pPr>
              <w:spacing w:before="60" w:after="60"/>
              <w:rPr>
                <w:sz w:val="20"/>
                <w:szCs w:val="20"/>
              </w:rPr>
            </w:pPr>
            <w:r w:rsidRPr="0020070D">
              <w:rPr>
                <w:sz w:val="20"/>
                <w:szCs w:val="20"/>
              </w:rPr>
              <w:t>270,000</w:t>
            </w:r>
          </w:p>
        </w:tc>
        <w:tc>
          <w:tcPr>
            <w:tcW w:w="1085" w:type="dxa"/>
            <w:shd w:val="clear" w:color="auto" w:fill="E6E6E6"/>
          </w:tcPr>
          <w:p w:rsidR="002A6354" w:rsidRPr="0020070D" w:rsidRDefault="002A6354" w:rsidP="00672844">
            <w:pPr>
              <w:spacing w:before="60" w:after="60"/>
              <w:rPr>
                <w:sz w:val="20"/>
                <w:szCs w:val="20"/>
              </w:rPr>
            </w:pPr>
            <w:r w:rsidRPr="0020070D">
              <w:rPr>
                <w:sz w:val="20"/>
                <w:szCs w:val="20"/>
              </w:rPr>
              <w:t>61.97</w:t>
            </w:r>
          </w:p>
        </w:tc>
        <w:tc>
          <w:tcPr>
            <w:tcW w:w="1124" w:type="dxa"/>
            <w:shd w:val="clear" w:color="auto" w:fill="E6E6E6"/>
          </w:tcPr>
          <w:p w:rsidR="002A6354" w:rsidRPr="0020070D" w:rsidRDefault="002A6354" w:rsidP="00672844">
            <w:pPr>
              <w:spacing w:before="60" w:after="60"/>
              <w:rPr>
                <w:sz w:val="20"/>
                <w:szCs w:val="20"/>
              </w:rPr>
            </w:pPr>
            <w:r w:rsidRPr="0020070D">
              <w:rPr>
                <w:sz w:val="20"/>
                <w:szCs w:val="20"/>
              </w:rPr>
              <w:t>6.70</w:t>
            </w:r>
          </w:p>
        </w:tc>
      </w:tr>
      <w:tr w:rsidR="007F0CB1" w:rsidRPr="0020070D" w:rsidTr="007F0CB1">
        <w:trPr>
          <w:jc w:val="center"/>
        </w:trPr>
        <w:tc>
          <w:tcPr>
            <w:tcW w:w="1261" w:type="dxa"/>
            <w:shd w:val="clear" w:color="auto" w:fill="auto"/>
          </w:tcPr>
          <w:p w:rsidR="002A6354" w:rsidRPr="0020070D" w:rsidRDefault="00C217F0" w:rsidP="00672844">
            <w:pPr>
              <w:autoSpaceDE w:val="0"/>
              <w:autoSpaceDN w:val="0"/>
              <w:adjustRightInd w:val="0"/>
              <w:spacing w:before="60" w:after="60"/>
              <w:rPr>
                <w:b/>
                <w:sz w:val="20"/>
                <w:szCs w:val="20"/>
              </w:rPr>
            </w:pPr>
            <w:r w:rsidRPr="0020070D">
              <w:rPr>
                <w:b/>
                <w:sz w:val="20"/>
                <w:szCs w:val="20"/>
              </w:rPr>
              <w:t>Menindee</w:t>
            </w:r>
          </w:p>
        </w:tc>
        <w:tc>
          <w:tcPr>
            <w:tcW w:w="1124" w:type="dxa"/>
            <w:shd w:val="clear" w:color="auto" w:fill="auto"/>
          </w:tcPr>
          <w:p w:rsidR="002A6354" w:rsidRPr="0020070D" w:rsidRDefault="002A6354" w:rsidP="00672844">
            <w:pPr>
              <w:autoSpaceDE w:val="0"/>
              <w:autoSpaceDN w:val="0"/>
              <w:adjustRightInd w:val="0"/>
              <w:spacing w:before="60" w:after="60"/>
              <w:rPr>
                <w:sz w:val="20"/>
                <w:szCs w:val="20"/>
              </w:rPr>
            </w:pPr>
            <w:r w:rsidRPr="0020070D">
              <w:rPr>
                <w:sz w:val="20"/>
                <w:szCs w:val="20"/>
              </w:rPr>
              <w:t>54.35</w:t>
            </w:r>
          </w:p>
        </w:tc>
        <w:tc>
          <w:tcPr>
            <w:tcW w:w="1101" w:type="dxa"/>
            <w:shd w:val="clear" w:color="auto" w:fill="auto"/>
          </w:tcPr>
          <w:p w:rsidR="002A6354" w:rsidRPr="0020070D" w:rsidRDefault="002A6354" w:rsidP="00672844">
            <w:pPr>
              <w:spacing w:before="60" w:after="60"/>
              <w:rPr>
                <w:sz w:val="20"/>
                <w:szCs w:val="20"/>
              </w:rPr>
            </w:pPr>
            <w:r w:rsidRPr="0020070D">
              <w:rPr>
                <w:sz w:val="20"/>
                <w:szCs w:val="20"/>
              </w:rPr>
              <w:t>15,900</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59.84</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5.49</w:t>
            </w:r>
          </w:p>
        </w:tc>
        <w:tc>
          <w:tcPr>
            <w:tcW w:w="1251" w:type="dxa"/>
            <w:shd w:val="clear" w:color="auto" w:fill="auto"/>
          </w:tcPr>
          <w:p w:rsidR="002A6354" w:rsidRPr="0020070D" w:rsidRDefault="002A6354" w:rsidP="00672844">
            <w:pPr>
              <w:spacing w:before="60" w:after="60"/>
              <w:rPr>
                <w:sz w:val="20"/>
                <w:szCs w:val="20"/>
              </w:rPr>
            </w:pPr>
            <w:r w:rsidRPr="0020070D">
              <w:rPr>
                <w:sz w:val="20"/>
                <w:szCs w:val="20"/>
              </w:rPr>
              <w:t>595,000</w:t>
            </w:r>
          </w:p>
        </w:tc>
        <w:tc>
          <w:tcPr>
            <w:tcW w:w="1085" w:type="dxa"/>
            <w:shd w:val="clear" w:color="auto" w:fill="auto"/>
          </w:tcPr>
          <w:p w:rsidR="002A6354" w:rsidRPr="0020070D" w:rsidRDefault="002A6354" w:rsidP="00672844">
            <w:pPr>
              <w:spacing w:before="60" w:after="60"/>
              <w:rPr>
                <w:sz w:val="20"/>
                <w:szCs w:val="20"/>
              </w:rPr>
            </w:pPr>
            <w:r w:rsidRPr="0020070D">
              <w:rPr>
                <w:sz w:val="20"/>
                <w:szCs w:val="20"/>
              </w:rPr>
              <w:t>61.36</w:t>
            </w:r>
          </w:p>
        </w:tc>
        <w:tc>
          <w:tcPr>
            <w:tcW w:w="1124" w:type="dxa"/>
            <w:shd w:val="clear" w:color="auto" w:fill="auto"/>
          </w:tcPr>
          <w:p w:rsidR="002A6354" w:rsidRPr="0020070D" w:rsidRDefault="002A6354" w:rsidP="00672844">
            <w:pPr>
              <w:spacing w:before="60" w:after="60"/>
              <w:rPr>
                <w:sz w:val="20"/>
                <w:szCs w:val="20"/>
              </w:rPr>
            </w:pPr>
            <w:r w:rsidRPr="0020070D">
              <w:rPr>
                <w:sz w:val="20"/>
                <w:szCs w:val="20"/>
              </w:rPr>
              <w:t>7.01</w:t>
            </w:r>
          </w:p>
        </w:tc>
      </w:tr>
      <w:tr w:rsidR="007F0CB1" w:rsidRPr="0020070D" w:rsidTr="007F0CB1">
        <w:trPr>
          <w:jc w:val="center"/>
        </w:trPr>
        <w:tc>
          <w:tcPr>
            <w:tcW w:w="1261" w:type="dxa"/>
            <w:shd w:val="clear" w:color="auto" w:fill="auto"/>
          </w:tcPr>
          <w:p w:rsidR="002A6354" w:rsidRPr="0020070D" w:rsidRDefault="002A6354" w:rsidP="00672844">
            <w:pPr>
              <w:autoSpaceDE w:val="0"/>
              <w:autoSpaceDN w:val="0"/>
              <w:adjustRightInd w:val="0"/>
              <w:spacing w:before="60" w:after="60"/>
              <w:rPr>
                <w:b/>
                <w:sz w:val="20"/>
                <w:szCs w:val="20"/>
              </w:rPr>
            </w:pPr>
            <w:r w:rsidRPr="0020070D">
              <w:rPr>
                <w:b/>
                <w:sz w:val="20"/>
                <w:szCs w:val="20"/>
              </w:rPr>
              <w:t>Cawndilla</w:t>
            </w:r>
          </w:p>
        </w:tc>
        <w:tc>
          <w:tcPr>
            <w:tcW w:w="1124" w:type="dxa"/>
            <w:shd w:val="clear" w:color="auto" w:fill="auto"/>
          </w:tcPr>
          <w:p w:rsidR="002A6354" w:rsidRPr="0020070D" w:rsidRDefault="002A6354" w:rsidP="00672844">
            <w:pPr>
              <w:autoSpaceDE w:val="0"/>
              <w:autoSpaceDN w:val="0"/>
              <w:adjustRightInd w:val="0"/>
              <w:spacing w:before="60" w:after="60"/>
              <w:rPr>
                <w:sz w:val="20"/>
                <w:szCs w:val="20"/>
              </w:rPr>
            </w:pPr>
            <w:r w:rsidRPr="0020070D">
              <w:rPr>
                <w:sz w:val="20"/>
                <w:szCs w:val="20"/>
              </w:rPr>
              <w:t>52.68</w:t>
            </w:r>
          </w:p>
        </w:tc>
        <w:tc>
          <w:tcPr>
            <w:tcW w:w="1101" w:type="dxa"/>
            <w:shd w:val="clear" w:color="auto" w:fill="auto"/>
          </w:tcPr>
          <w:p w:rsidR="002A6354" w:rsidRPr="0020070D" w:rsidRDefault="002A6354" w:rsidP="00672844">
            <w:pPr>
              <w:spacing w:before="60" w:after="60"/>
              <w:rPr>
                <w:sz w:val="20"/>
                <w:szCs w:val="20"/>
              </w:rPr>
            </w:pPr>
            <w:r w:rsidRPr="0020070D">
              <w:rPr>
                <w:sz w:val="20"/>
                <w:szCs w:val="20"/>
              </w:rPr>
              <w:t>9,400</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59.84</w:t>
            </w:r>
          </w:p>
        </w:tc>
        <w:tc>
          <w:tcPr>
            <w:tcW w:w="1252" w:type="dxa"/>
            <w:shd w:val="clear" w:color="auto" w:fill="auto"/>
          </w:tcPr>
          <w:p w:rsidR="002A6354" w:rsidRPr="0020070D" w:rsidRDefault="002A6354" w:rsidP="00672844">
            <w:pPr>
              <w:spacing w:before="60" w:after="60"/>
              <w:rPr>
                <w:sz w:val="20"/>
                <w:szCs w:val="20"/>
              </w:rPr>
            </w:pPr>
            <w:r w:rsidRPr="0020070D">
              <w:rPr>
                <w:sz w:val="20"/>
                <w:szCs w:val="20"/>
              </w:rPr>
              <w:t>7.16</w:t>
            </w:r>
          </w:p>
        </w:tc>
        <w:tc>
          <w:tcPr>
            <w:tcW w:w="1251" w:type="dxa"/>
            <w:shd w:val="clear" w:color="auto" w:fill="auto"/>
          </w:tcPr>
          <w:p w:rsidR="002A6354" w:rsidRPr="0020070D" w:rsidRDefault="002A6354" w:rsidP="00672844">
            <w:pPr>
              <w:spacing w:before="60" w:after="60"/>
              <w:rPr>
                <w:sz w:val="20"/>
                <w:szCs w:val="20"/>
              </w:rPr>
            </w:pPr>
            <w:r w:rsidRPr="0020070D">
              <w:rPr>
                <w:sz w:val="20"/>
                <w:szCs w:val="20"/>
              </w:rPr>
              <w:t>547,000</w:t>
            </w:r>
          </w:p>
        </w:tc>
        <w:tc>
          <w:tcPr>
            <w:tcW w:w="1085" w:type="dxa"/>
            <w:shd w:val="clear" w:color="auto" w:fill="auto"/>
          </w:tcPr>
          <w:p w:rsidR="002A6354" w:rsidRPr="0020070D" w:rsidRDefault="002A6354" w:rsidP="00672844">
            <w:pPr>
              <w:spacing w:before="60" w:after="60"/>
              <w:rPr>
                <w:sz w:val="20"/>
                <w:szCs w:val="20"/>
              </w:rPr>
            </w:pPr>
            <w:r w:rsidRPr="0020070D">
              <w:rPr>
                <w:sz w:val="20"/>
                <w:szCs w:val="20"/>
              </w:rPr>
              <w:t>61.36</w:t>
            </w:r>
          </w:p>
        </w:tc>
        <w:tc>
          <w:tcPr>
            <w:tcW w:w="1124" w:type="dxa"/>
            <w:shd w:val="clear" w:color="auto" w:fill="auto"/>
          </w:tcPr>
          <w:p w:rsidR="002A6354" w:rsidRPr="0020070D" w:rsidRDefault="002A6354" w:rsidP="00672844">
            <w:pPr>
              <w:spacing w:before="60" w:after="60"/>
              <w:rPr>
                <w:sz w:val="20"/>
                <w:szCs w:val="20"/>
              </w:rPr>
            </w:pPr>
            <w:r w:rsidRPr="0020070D">
              <w:rPr>
                <w:sz w:val="20"/>
                <w:szCs w:val="20"/>
              </w:rPr>
              <w:t>8.68</w:t>
            </w:r>
          </w:p>
        </w:tc>
      </w:tr>
    </w:tbl>
    <w:p w:rsidR="003159E5" w:rsidRPr="0020070D" w:rsidRDefault="003159E5" w:rsidP="0020070D"/>
    <w:p w:rsidR="00BA634A" w:rsidRDefault="003D1271" w:rsidP="00BA634A">
      <w:pPr>
        <w:rPr>
          <w:szCs w:val="22"/>
        </w:rPr>
      </w:pPr>
      <w:r w:rsidRPr="0030328B">
        <w:rPr>
          <w:szCs w:val="22"/>
        </w:rPr>
        <w:t xml:space="preserve">Although </w:t>
      </w:r>
      <w:r>
        <w:rPr>
          <w:szCs w:val="22"/>
        </w:rPr>
        <w:t xml:space="preserve">the record is </w:t>
      </w:r>
      <w:r w:rsidRPr="0030328B">
        <w:rPr>
          <w:szCs w:val="22"/>
        </w:rPr>
        <w:t xml:space="preserve">complex, filling of the </w:t>
      </w:r>
      <w:r>
        <w:rPr>
          <w:szCs w:val="22"/>
        </w:rPr>
        <w:t>MLS</w:t>
      </w:r>
      <w:r w:rsidRPr="0030328B">
        <w:rPr>
          <w:szCs w:val="22"/>
        </w:rPr>
        <w:t xml:space="preserve"> </w:t>
      </w:r>
      <w:r>
        <w:rPr>
          <w:szCs w:val="22"/>
        </w:rPr>
        <w:t>tends</w:t>
      </w:r>
      <w:r w:rsidRPr="0030328B">
        <w:rPr>
          <w:szCs w:val="22"/>
        </w:rPr>
        <w:t xml:space="preserve"> to occur primarily during Class C flows</w:t>
      </w:r>
      <w:r>
        <w:rPr>
          <w:szCs w:val="22"/>
        </w:rPr>
        <w:t xml:space="preserve">, defined as </w:t>
      </w:r>
      <w:r w:rsidRPr="0030328B">
        <w:rPr>
          <w:szCs w:val="22"/>
        </w:rPr>
        <w:t xml:space="preserve">above </w:t>
      </w:r>
      <w:r>
        <w:rPr>
          <w:szCs w:val="22"/>
        </w:rPr>
        <w:t>12,000</w:t>
      </w:r>
      <w:r w:rsidRPr="0030328B">
        <w:rPr>
          <w:szCs w:val="22"/>
        </w:rPr>
        <w:t xml:space="preserve"> ML/</w:t>
      </w:r>
      <w:r w:rsidRPr="00795774">
        <w:rPr>
          <w:szCs w:val="22"/>
        </w:rPr>
        <w:t>day (</w:t>
      </w:r>
      <w:r w:rsidR="001741E7" w:rsidRPr="00795774">
        <w:rPr>
          <w:szCs w:val="22"/>
        </w:rPr>
        <w:fldChar w:fldCharType="begin"/>
      </w:r>
      <w:r w:rsidR="001741E7" w:rsidRPr="00795774">
        <w:rPr>
          <w:szCs w:val="22"/>
        </w:rPr>
        <w:instrText xml:space="preserve"> REF _Ref325706966 \h </w:instrText>
      </w:r>
      <w:r w:rsidR="00795774" w:rsidRPr="00795774">
        <w:rPr>
          <w:szCs w:val="22"/>
        </w:rPr>
        <w:instrText xml:space="preserve"> \* MERGEFORMAT </w:instrText>
      </w:r>
      <w:r w:rsidR="001741E7" w:rsidRPr="00795774">
        <w:rPr>
          <w:szCs w:val="22"/>
        </w:rPr>
      </w:r>
      <w:r w:rsidR="001741E7" w:rsidRPr="00795774">
        <w:rPr>
          <w:szCs w:val="22"/>
        </w:rPr>
        <w:fldChar w:fldCharType="separate"/>
      </w:r>
      <w:r w:rsidR="00966532" w:rsidRPr="00966532">
        <w:t xml:space="preserve">Figure </w:t>
      </w:r>
      <w:r w:rsidR="00966532" w:rsidRPr="00966532">
        <w:rPr>
          <w:noProof/>
        </w:rPr>
        <w:t>2</w:t>
      </w:r>
      <w:r w:rsidR="00966532" w:rsidRPr="00966532">
        <w:rPr>
          <w:noProof/>
        </w:rPr>
        <w:noBreakHyphen/>
        <w:t>3</w:t>
      </w:r>
      <w:r w:rsidR="001741E7" w:rsidRPr="00795774">
        <w:rPr>
          <w:szCs w:val="22"/>
        </w:rPr>
        <w:fldChar w:fldCharType="end"/>
      </w:r>
      <w:r w:rsidRPr="00795774">
        <w:t xml:space="preserve">). On average, Class C flows occur in the </w:t>
      </w:r>
      <w:smartTag w:uri="urn:schemas-microsoft-com:office:smarttags" w:element="place">
        <w:r w:rsidRPr="00795774">
          <w:t>Darling River</w:t>
        </w:r>
      </w:smartTag>
      <w:r w:rsidRPr="00795774">
        <w:t xml:space="preserve"> at </w:t>
      </w:r>
      <w:r w:rsidR="00C217F0">
        <w:t xml:space="preserve">Menindee </w:t>
      </w:r>
      <w:r w:rsidRPr="00795774">
        <w:t>every 1.6 years, regardless of the month.</w:t>
      </w:r>
      <w:r w:rsidR="00E823BA" w:rsidRPr="00795774">
        <w:t xml:space="preserve"> </w:t>
      </w:r>
      <w:r w:rsidR="007B66DA" w:rsidRPr="00795774">
        <w:t>However, as indicated in</w:t>
      </w:r>
      <w:r w:rsidR="002F227D" w:rsidRPr="00795774">
        <w:t xml:space="preserve"> </w:t>
      </w:r>
      <w:r w:rsidR="001741E7" w:rsidRPr="00795774">
        <w:fldChar w:fldCharType="begin"/>
      </w:r>
      <w:r w:rsidR="001741E7" w:rsidRPr="00795774">
        <w:instrText xml:space="preserve"> REF _Ref325706966 \h </w:instrText>
      </w:r>
      <w:r w:rsidR="00983111" w:rsidRPr="00795774">
        <w:instrText xml:space="preserve"> \* MERGEFORMAT </w:instrText>
      </w:r>
      <w:r w:rsidR="001741E7" w:rsidRPr="00795774">
        <w:fldChar w:fldCharType="separate"/>
      </w:r>
      <w:r w:rsidR="00966532" w:rsidRPr="00966532">
        <w:t xml:space="preserve">Figure </w:t>
      </w:r>
      <w:r w:rsidR="00966532" w:rsidRPr="00966532">
        <w:rPr>
          <w:noProof/>
        </w:rPr>
        <w:t>2</w:t>
      </w:r>
      <w:r w:rsidR="00966532" w:rsidRPr="00966532">
        <w:rPr>
          <w:noProof/>
        </w:rPr>
        <w:noBreakHyphen/>
        <w:t>3</w:t>
      </w:r>
      <w:r w:rsidR="001741E7" w:rsidRPr="00795774">
        <w:fldChar w:fldCharType="end"/>
      </w:r>
      <w:r w:rsidR="007B66DA" w:rsidRPr="00795774">
        <w:t>, t</w:t>
      </w:r>
      <w:r w:rsidR="007B66DA" w:rsidRPr="00795774">
        <w:rPr>
          <w:szCs w:val="22"/>
        </w:rPr>
        <w:t>he intervening periods between Class C flows are highly variable</w:t>
      </w:r>
      <w:r w:rsidR="00E329F3">
        <w:rPr>
          <w:szCs w:val="22"/>
        </w:rPr>
        <w:t xml:space="preserve">; for time series river and lake level data, refer to </w:t>
      </w:r>
      <w:r w:rsidR="00B03359">
        <w:rPr>
          <w:szCs w:val="22"/>
        </w:rPr>
        <w:t>Appendix 6 (</w:t>
      </w:r>
      <w:r w:rsidR="00E329F3">
        <w:rPr>
          <w:szCs w:val="22"/>
        </w:rPr>
        <w:t>Somerville</w:t>
      </w:r>
      <w:r w:rsidR="008A5F7D" w:rsidRPr="00CF7613">
        <w:rPr>
          <w:rStyle w:val="StyleItalic"/>
        </w:rPr>
        <w:t xml:space="preserve"> et al</w:t>
      </w:r>
      <w:r w:rsidR="00E329F3">
        <w:rPr>
          <w:szCs w:val="22"/>
        </w:rPr>
        <w:t>.</w:t>
      </w:r>
      <w:r w:rsidR="00B03359">
        <w:rPr>
          <w:szCs w:val="22"/>
        </w:rPr>
        <w:t>,</w:t>
      </w:r>
      <w:r w:rsidR="00E329F3">
        <w:rPr>
          <w:szCs w:val="22"/>
        </w:rPr>
        <w:t xml:space="preserve"> 2012)</w:t>
      </w:r>
      <w:r w:rsidR="007B66DA" w:rsidRPr="00795774">
        <w:rPr>
          <w:szCs w:val="22"/>
        </w:rPr>
        <w:t>. For example, there were no Class C flows</w:t>
      </w:r>
      <w:r w:rsidR="007B66DA" w:rsidRPr="00983111">
        <w:rPr>
          <w:szCs w:val="22"/>
        </w:rPr>
        <w:t xml:space="preserve"> between 2002 and 2007 during the </w:t>
      </w:r>
      <w:r w:rsidR="001C0090" w:rsidRPr="00983111">
        <w:rPr>
          <w:szCs w:val="22"/>
        </w:rPr>
        <w:t>Millennium</w:t>
      </w:r>
      <w:r w:rsidR="007B66DA" w:rsidRPr="00983111">
        <w:rPr>
          <w:szCs w:val="22"/>
        </w:rPr>
        <w:t xml:space="preserve"> Drought, necessitating the replenishment of the MLS using lower magnitude flood flows. </w:t>
      </w:r>
      <w:r w:rsidRPr="00983111">
        <w:rPr>
          <w:szCs w:val="22"/>
        </w:rPr>
        <w:t>The average return interval (ARI) on a monthly basis varies – the</w:t>
      </w:r>
      <w:r>
        <w:rPr>
          <w:szCs w:val="22"/>
        </w:rPr>
        <w:t xml:space="preserve"> ARI for Class C flows occurring in April is</w:t>
      </w:r>
      <w:r w:rsidRPr="0030328B">
        <w:rPr>
          <w:szCs w:val="22"/>
        </w:rPr>
        <w:t xml:space="preserve"> 3.4 years</w:t>
      </w:r>
      <w:r>
        <w:rPr>
          <w:szCs w:val="22"/>
        </w:rPr>
        <w:t xml:space="preserve">, whilst the ARI for Class C </w:t>
      </w:r>
      <w:r w:rsidRPr="00F81CBA">
        <w:rPr>
          <w:szCs w:val="22"/>
        </w:rPr>
        <w:t>flows occurring in December is 6.1 years. A more complete analysis of rainfall and flood data is provided in Lawrie</w:t>
      </w:r>
      <w:r w:rsidR="008A5F7D" w:rsidRPr="00CF7613">
        <w:rPr>
          <w:rStyle w:val="StyleItalic"/>
        </w:rPr>
        <w:t xml:space="preserve"> et al</w:t>
      </w:r>
      <w:r w:rsidRPr="00F81CBA">
        <w:rPr>
          <w:szCs w:val="22"/>
        </w:rPr>
        <w:t>. (2012b).</w:t>
      </w:r>
    </w:p>
    <w:p w:rsidR="0070746C" w:rsidRDefault="0070746C" w:rsidP="004053EE">
      <w:pPr>
        <w:pStyle w:val="Heading2"/>
        <w:tabs>
          <w:tab w:val="left" w:pos="720"/>
        </w:tabs>
        <w:spacing w:before="320"/>
      </w:pPr>
      <w:bookmarkStart w:id="127" w:name="_Toc264521200"/>
      <w:bookmarkStart w:id="128" w:name="_Toc325700076"/>
      <w:bookmarkStart w:id="129" w:name="_Toc325700419"/>
      <w:bookmarkStart w:id="130" w:name="_Toc325975100"/>
      <w:bookmarkStart w:id="131" w:name="_Toc390690089"/>
      <w:r>
        <w:t>Climate, Climate Variability and Predicted Climate Change</w:t>
      </w:r>
      <w:bookmarkEnd w:id="127"/>
      <w:bookmarkEnd w:id="128"/>
      <w:bookmarkEnd w:id="129"/>
      <w:bookmarkEnd w:id="130"/>
      <w:bookmarkEnd w:id="131"/>
    </w:p>
    <w:p w:rsidR="0070746C" w:rsidRDefault="0070746C" w:rsidP="00EF7E00">
      <w:pPr>
        <w:pStyle w:val="Heading3"/>
        <w:tabs>
          <w:tab w:val="left" w:pos="1080"/>
        </w:tabs>
        <w:spacing w:before="320"/>
        <w:ind w:left="1080" w:hanging="1080"/>
      </w:pPr>
      <w:bookmarkStart w:id="132" w:name="_Toc325700077"/>
      <w:bookmarkStart w:id="133" w:name="_Toc325700420"/>
      <w:bookmarkStart w:id="134" w:name="_Toc325975101"/>
      <w:bookmarkStart w:id="135" w:name="_Toc390690090"/>
      <w:r>
        <w:t>Present-day Climate</w:t>
      </w:r>
      <w:bookmarkEnd w:id="132"/>
      <w:bookmarkEnd w:id="133"/>
      <w:bookmarkEnd w:id="134"/>
      <w:bookmarkEnd w:id="135"/>
    </w:p>
    <w:p w:rsidR="0070746C" w:rsidRDefault="0070746C" w:rsidP="0070746C">
      <w:r>
        <w:t xml:space="preserve">The climate in the BHMAR </w:t>
      </w:r>
      <w:r w:rsidR="00A56C85">
        <w:t>project</w:t>
      </w:r>
      <w:r>
        <w:t xml:space="preserve"> area is semi-arid. The area lies within a zone of uniform seasonal distribution of precipitation. Overall, annual rainfall is low with an average of between 200-250 mm/year, with rates of </w:t>
      </w:r>
      <w:r w:rsidR="003E619B">
        <w:t xml:space="preserve">potential </w:t>
      </w:r>
      <w:r>
        <w:t>evaporation exceeding 2400 mm/year</w:t>
      </w:r>
      <w:bookmarkStart w:id="136" w:name="OLE_LINK14"/>
      <w:r w:rsidR="000C047D">
        <w:rPr>
          <w:rStyle w:val="FootnoteReference"/>
        </w:rPr>
        <w:footnoteReference w:id="3"/>
      </w:r>
      <w:r w:rsidR="001C0090">
        <w:t>.</w:t>
      </w:r>
      <w:r>
        <w:t xml:space="preserve"> </w:t>
      </w:r>
      <w:bookmarkEnd w:id="136"/>
      <w:r w:rsidR="00E329F3">
        <w:t xml:space="preserve">Daily and monthly rainfall data as measured at </w:t>
      </w:r>
      <w:r w:rsidR="00C217F0">
        <w:t xml:space="preserve">Menindee </w:t>
      </w:r>
      <w:r w:rsidR="00E329F3">
        <w:t xml:space="preserve">Post Office </w:t>
      </w:r>
      <w:r w:rsidR="004B7C03">
        <w:t>are</w:t>
      </w:r>
      <w:r w:rsidR="00E329F3">
        <w:t xml:space="preserve"> available in </w:t>
      </w:r>
      <w:r w:rsidR="00B03359">
        <w:t>Appendix 6 (</w:t>
      </w:r>
      <w:r w:rsidR="00E329F3">
        <w:t>Somerville</w:t>
      </w:r>
      <w:r w:rsidR="008A5F7D" w:rsidRPr="00CF7613">
        <w:rPr>
          <w:rStyle w:val="StyleItalic"/>
        </w:rPr>
        <w:t xml:space="preserve"> et al</w:t>
      </w:r>
      <w:r w:rsidR="00E329F3">
        <w:t>.</w:t>
      </w:r>
      <w:r w:rsidR="00B03359">
        <w:t>,</w:t>
      </w:r>
      <w:r w:rsidR="00E329F3">
        <w:t xml:space="preserve"> 2012). </w:t>
      </w:r>
      <w:r w:rsidRPr="0070746C">
        <w:t xml:space="preserve">The </w:t>
      </w:r>
      <w:r w:rsidR="000C047D">
        <w:t>BoM climate data record</w:t>
      </w:r>
      <w:r w:rsidR="000C047D">
        <w:rPr>
          <w:rStyle w:val="FootnoteReference"/>
        </w:rPr>
        <w:footnoteReference w:id="4"/>
      </w:r>
      <w:r w:rsidR="000C047D">
        <w:t xml:space="preserve"> indicates a </w:t>
      </w:r>
      <w:r w:rsidRPr="0070746C">
        <w:t xml:space="preserve">mean daily maximum temperature at </w:t>
      </w:r>
      <w:r w:rsidR="00C217F0">
        <w:t xml:space="preserve">Menindee </w:t>
      </w:r>
      <w:r w:rsidR="000C047D">
        <w:t>of</w:t>
      </w:r>
      <w:r w:rsidRPr="0070746C">
        <w:t xml:space="preserve"> 2</w:t>
      </w:r>
      <w:r w:rsidR="000C047D">
        <w:t>6</w:t>
      </w:r>
      <w:r w:rsidRPr="0070746C">
        <w:t xml:space="preserve">°C and </w:t>
      </w:r>
      <w:r w:rsidR="000C047D">
        <w:t>a</w:t>
      </w:r>
      <w:r w:rsidRPr="0070746C">
        <w:t xml:space="preserve"> mean daily minimum </w:t>
      </w:r>
      <w:r w:rsidR="000C047D">
        <w:t>of</w:t>
      </w:r>
      <w:r w:rsidRPr="0070746C">
        <w:t xml:space="preserve"> 1</w:t>
      </w:r>
      <w:r w:rsidR="000C047D">
        <w:t>1</w:t>
      </w:r>
      <w:r w:rsidRPr="0070746C">
        <w:t>°C. Summer maxima are commonly in excess of 35° C and temperatures may drop below zero during winter.</w:t>
      </w:r>
      <w:r>
        <w:t xml:space="preserve"> </w:t>
      </w:r>
    </w:p>
    <w:p w:rsidR="0070746C" w:rsidRDefault="0070746C" w:rsidP="0070746C"/>
    <w:p w:rsidR="0070746C" w:rsidRPr="0030328B" w:rsidRDefault="0070746C" w:rsidP="00077D42">
      <w:pPr>
        <w:autoSpaceDE w:val="0"/>
        <w:autoSpaceDN w:val="0"/>
        <w:adjustRightInd w:val="0"/>
        <w:rPr>
          <w:szCs w:val="22"/>
        </w:rPr>
      </w:pPr>
      <w:r>
        <w:t xml:space="preserve">The tributaries of the Darling River have a large and complex catchment on the western side of the Eastern Highlands and the western slopes and plains of northern NSW and southern </w:t>
      </w:r>
      <w:smartTag w:uri="urn:schemas-microsoft-com:office:smarttags" w:element="place">
        <w:smartTag w:uri="urn:schemas-microsoft-com:office:smarttags" w:element="State">
          <w:r>
            <w:t>Queensland</w:t>
          </w:r>
        </w:smartTag>
      </w:smartTag>
      <w:r>
        <w:t xml:space="preserve">, situated mostly in a weakly summer-dominant rainfall zone. </w:t>
      </w:r>
      <w:r>
        <w:rPr>
          <w:color w:val="231F20"/>
          <w:szCs w:val="22"/>
        </w:rPr>
        <w:t xml:space="preserve">Many of the contributing catchments are </w:t>
      </w:r>
      <w:r w:rsidRPr="00501DEC">
        <w:rPr>
          <w:color w:val="231F20"/>
          <w:szCs w:val="22"/>
        </w:rPr>
        <w:t xml:space="preserve">arid to semi-arid with significant areas contributing no </w:t>
      </w:r>
      <w:r w:rsidRPr="003D1271">
        <w:rPr>
          <w:szCs w:val="22"/>
        </w:rPr>
        <w:t>runoff (Thoms</w:t>
      </w:r>
      <w:r w:rsidR="008A5F7D" w:rsidRPr="00CF7613">
        <w:rPr>
          <w:rStyle w:val="StyleItalic"/>
        </w:rPr>
        <w:t xml:space="preserve"> et al</w:t>
      </w:r>
      <w:r w:rsidRPr="003D1271">
        <w:rPr>
          <w:szCs w:val="22"/>
        </w:rPr>
        <w:t>., 1996).</w:t>
      </w:r>
      <w:r w:rsidRPr="00501DEC">
        <w:rPr>
          <w:color w:val="231F20"/>
          <w:szCs w:val="22"/>
        </w:rPr>
        <w:t xml:space="preserve"> </w:t>
      </w:r>
      <w:r>
        <w:t xml:space="preserve">However, winter-westerly rainfall events can be significant, especially in the southernmost NSW portion of the catchment. Additionally east-coast lows can occasionally deliver significant precipitation to the headwater catchments. These events can bring intense precipitation to eastern coastal regions which can occasionally penetrate beyond the </w:t>
      </w:r>
      <w:r w:rsidR="007F0CB1">
        <w:t>catchment</w:t>
      </w:r>
      <w:r>
        <w:t xml:space="preserve"> divide and impact westerly-flowing Darling catchment streams.</w:t>
      </w:r>
      <w:r w:rsidR="008C0C00">
        <w:t xml:space="preserve"> </w:t>
      </w:r>
    </w:p>
    <w:p w:rsidR="00E10C4C" w:rsidRDefault="00E10C4C" w:rsidP="00BA634A">
      <w:pPr>
        <w:rPr>
          <w:i/>
          <w:sz w:val="20"/>
          <w:szCs w:val="20"/>
        </w:rPr>
        <w:sectPr w:rsidR="00E10C4C" w:rsidSect="00C6706D">
          <w:headerReference w:type="even" r:id="rId43"/>
          <w:headerReference w:type="default" r:id="rId44"/>
          <w:footerReference w:type="default" r:id="rId45"/>
          <w:headerReference w:type="first" r:id="rId46"/>
          <w:pgSz w:w="11906" w:h="16838" w:code="9"/>
          <w:pgMar w:top="1134" w:right="1134" w:bottom="1134" w:left="1134" w:header="709" w:footer="709" w:gutter="0"/>
          <w:pgNumType w:start="1"/>
          <w:cols w:space="708"/>
          <w:docGrid w:linePitch="360"/>
        </w:sectPr>
      </w:pPr>
    </w:p>
    <w:p w:rsidR="00BA634A" w:rsidRPr="0030328B" w:rsidRDefault="00BA634A" w:rsidP="00BA634A">
      <w:pPr>
        <w:rPr>
          <w:i/>
          <w:sz w:val="20"/>
          <w:szCs w:val="20"/>
        </w:rPr>
      </w:pPr>
    </w:p>
    <w:p w:rsidR="00BA634A" w:rsidRDefault="00706A3B" w:rsidP="007D5510">
      <w:pPr>
        <w:spacing w:after="60"/>
        <w:jc w:val="center"/>
        <w:rPr>
          <w:noProof/>
          <w:szCs w:val="22"/>
        </w:rPr>
      </w:pPr>
      <w:r>
        <w:rPr>
          <w:noProof/>
          <w:szCs w:val="22"/>
        </w:rPr>
        <w:drawing>
          <wp:inline distT="0" distB="0" distL="0" distR="0" wp14:anchorId="4FA28531" wp14:editId="28DC8916">
            <wp:extent cx="9016365" cy="4231640"/>
            <wp:effectExtent l="19050" t="19050" r="0" b="0"/>
            <wp:docPr id="23"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47">
                      <a:extLst>
                        <a:ext uri="{28A0092B-C50C-407E-A947-70E740481C1C}">
                          <a14:useLocalDpi xmlns:a14="http://schemas.microsoft.com/office/drawing/2010/main" val="0"/>
                        </a:ext>
                      </a:extLst>
                    </a:blip>
                    <a:srcRect r="11891"/>
                    <a:stretch>
                      <a:fillRect/>
                    </a:stretch>
                  </pic:blipFill>
                  <pic:spPr bwMode="auto">
                    <a:xfrm>
                      <a:off x="0" y="0"/>
                      <a:ext cx="9016365" cy="4231640"/>
                    </a:xfrm>
                    <a:prstGeom prst="rect">
                      <a:avLst/>
                    </a:prstGeom>
                    <a:noFill/>
                    <a:ln w="6350" cmpd="sng">
                      <a:solidFill>
                        <a:srgbClr val="000000"/>
                      </a:solidFill>
                      <a:miter lim="800000"/>
                      <a:headEnd/>
                      <a:tailEnd/>
                    </a:ln>
                    <a:effectLst/>
                  </pic:spPr>
                </pic:pic>
              </a:graphicData>
            </a:graphic>
          </wp:inline>
        </w:drawing>
      </w:r>
    </w:p>
    <w:p w:rsidR="00E10C4C" w:rsidRPr="0030328B" w:rsidRDefault="00E10C4C" w:rsidP="00BA634A">
      <w:pPr>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992"/>
        <w:gridCol w:w="1101"/>
        <w:gridCol w:w="1279"/>
        <w:gridCol w:w="1077"/>
        <w:gridCol w:w="967"/>
        <w:gridCol w:w="1002"/>
        <w:gridCol w:w="932"/>
        <w:gridCol w:w="1334"/>
        <w:gridCol w:w="1319"/>
        <w:gridCol w:w="994"/>
        <w:gridCol w:w="1254"/>
        <w:gridCol w:w="1239"/>
      </w:tblGrid>
      <w:tr w:rsidR="00BA634A" w:rsidRPr="0030328B" w:rsidTr="001741E7">
        <w:trPr>
          <w:trHeight w:val="255"/>
        </w:trPr>
        <w:tc>
          <w:tcPr>
            <w:tcW w:w="438" w:type="pct"/>
            <w:shd w:val="clear" w:color="auto" w:fill="CCCCCC"/>
          </w:tcPr>
          <w:p w:rsidR="00BA634A" w:rsidRPr="00700573" w:rsidRDefault="00BA634A" w:rsidP="00E82FA2">
            <w:pPr>
              <w:jc w:val="center"/>
              <w:rPr>
                <w:b/>
                <w:bCs/>
                <w:szCs w:val="22"/>
              </w:rPr>
            </w:pPr>
            <w:r w:rsidRPr="00700573">
              <w:rPr>
                <w:b/>
                <w:bCs/>
                <w:szCs w:val="22"/>
              </w:rPr>
              <w:t>Month</w:t>
            </w:r>
          </w:p>
        </w:tc>
        <w:tc>
          <w:tcPr>
            <w:tcW w:w="335" w:type="pct"/>
            <w:shd w:val="clear" w:color="auto" w:fill="CCCCCC"/>
            <w:noWrap/>
          </w:tcPr>
          <w:p w:rsidR="00BA634A" w:rsidRPr="00700573" w:rsidRDefault="00BA634A" w:rsidP="00E82FA2">
            <w:pPr>
              <w:jc w:val="center"/>
              <w:rPr>
                <w:b/>
                <w:bCs/>
                <w:szCs w:val="22"/>
              </w:rPr>
            </w:pPr>
            <w:r w:rsidRPr="00700573">
              <w:rPr>
                <w:b/>
                <w:bCs/>
                <w:szCs w:val="22"/>
              </w:rPr>
              <w:t>Jan.</w:t>
            </w:r>
          </w:p>
        </w:tc>
        <w:tc>
          <w:tcPr>
            <w:tcW w:w="372" w:type="pct"/>
            <w:shd w:val="clear" w:color="auto" w:fill="CCCCCC"/>
            <w:noWrap/>
          </w:tcPr>
          <w:p w:rsidR="00BA634A" w:rsidRPr="00700573" w:rsidRDefault="00BA634A" w:rsidP="00E82FA2">
            <w:pPr>
              <w:jc w:val="center"/>
              <w:rPr>
                <w:b/>
                <w:bCs/>
                <w:szCs w:val="22"/>
              </w:rPr>
            </w:pPr>
            <w:r w:rsidRPr="00700573">
              <w:rPr>
                <w:b/>
                <w:bCs/>
                <w:szCs w:val="22"/>
              </w:rPr>
              <w:t>Feb.</w:t>
            </w:r>
          </w:p>
        </w:tc>
        <w:tc>
          <w:tcPr>
            <w:tcW w:w="432" w:type="pct"/>
            <w:shd w:val="clear" w:color="auto" w:fill="CCCCCC"/>
            <w:noWrap/>
          </w:tcPr>
          <w:p w:rsidR="00BA634A" w:rsidRPr="00700573" w:rsidRDefault="00BA634A" w:rsidP="00E82FA2">
            <w:pPr>
              <w:jc w:val="center"/>
              <w:rPr>
                <w:b/>
                <w:bCs/>
                <w:szCs w:val="22"/>
              </w:rPr>
            </w:pPr>
            <w:r w:rsidRPr="00700573">
              <w:rPr>
                <w:b/>
                <w:bCs/>
                <w:szCs w:val="22"/>
              </w:rPr>
              <w:t>March</w:t>
            </w:r>
          </w:p>
        </w:tc>
        <w:tc>
          <w:tcPr>
            <w:tcW w:w="364" w:type="pct"/>
            <w:shd w:val="clear" w:color="auto" w:fill="CCCCCC"/>
            <w:noWrap/>
          </w:tcPr>
          <w:p w:rsidR="00BA634A" w:rsidRPr="00700573" w:rsidRDefault="00BA634A" w:rsidP="00E82FA2">
            <w:pPr>
              <w:jc w:val="center"/>
              <w:rPr>
                <w:b/>
                <w:bCs/>
                <w:szCs w:val="22"/>
              </w:rPr>
            </w:pPr>
            <w:r w:rsidRPr="00700573">
              <w:rPr>
                <w:b/>
                <w:bCs/>
                <w:szCs w:val="22"/>
              </w:rPr>
              <w:t>April</w:t>
            </w:r>
          </w:p>
        </w:tc>
        <w:tc>
          <w:tcPr>
            <w:tcW w:w="327" w:type="pct"/>
            <w:shd w:val="clear" w:color="auto" w:fill="CCCCCC"/>
            <w:noWrap/>
          </w:tcPr>
          <w:p w:rsidR="00BA634A" w:rsidRPr="00700573" w:rsidRDefault="00BA634A" w:rsidP="00E82FA2">
            <w:pPr>
              <w:jc w:val="center"/>
              <w:rPr>
                <w:b/>
                <w:bCs/>
                <w:szCs w:val="22"/>
              </w:rPr>
            </w:pPr>
            <w:r w:rsidRPr="00700573">
              <w:rPr>
                <w:b/>
                <w:bCs/>
                <w:szCs w:val="22"/>
              </w:rPr>
              <w:t>May</w:t>
            </w:r>
          </w:p>
        </w:tc>
        <w:tc>
          <w:tcPr>
            <w:tcW w:w="339" w:type="pct"/>
            <w:shd w:val="clear" w:color="auto" w:fill="CCCCCC"/>
            <w:noWrap/>
          </w:tcPr>
          <w:p w:rsidR="00BA634A" w:rsidRPr="00700573" w:rsidRDefault="00BA634A" w:rsidP="00E82FA2">
            <w:pPr>
              <w:jc w:val="center"/>
              <w:rPr>
                <w:b/>
                <w:bCs/>
                <w:szCs w:val="22"/>
              </w:rPr>
            </w:pPr>
            <w:r w:rsidRPr="00700573">
              <w:rPr>
                <w:b/>
                <w:bCs/>
                <w:szCs w:val="22"/>
              </w:rPr>
              <w:t>June</w:t>
            </w:r>
          </w:p>
        </w:tc>
        <w:tc>
          <w:tcPr>
            <w:tcW w:w="315" w:type="pct"/>
            <w:shd w:val="clear" w:color="auto" w:fill="CCCCCC"/>
            <w:noWrap/>
          </w:tcPr>
          <w:p w:rsidR="00BA634A" w:rsidRPr="00700573" w:rsidRDefault="00BA634A" w:rsidP="00E82FA2">
            <w:pPr>
              <w:jc w:val="center"/>
              <w:rPr>
                <w:b/>
                <w:bCs/>
                <w:szCs w:val="22"/>
              </w:rPr>
            </w:pPr>
            <w:r w:rsidRPr="00700573">
              <w:rPr>
                <w:b/>
                <w:bCs/>
                <w:szCs w:val="22"/>
              </w:rPr>
              <w:t>July</w:t>
            </w:r>
          </w:p>
        </w:tc>
        <w:tc>
          <w:tcPr>
            <w:tcW w:w="451" w:type="pct"/>
            <w:shd w:val="clear" w:color="auto" w:fill="CCCCCC"/>
            <w:noWrap/>
          </w:tcPr>
          <w:p w:rsidR="00BA634A" w:rsidRPr="00700573" w:rsidRDefault="00BA634A" w:rsidP="00E82FA2">
            <w:pPr>
              <w:jc w:val="center"/>
              <w:rPr>
                <w:b/>
                <w:bCs/>
                <w:szCs w:val="22"/>
              </w:rPr>
            </w:pPr>
            <w:r w:rsidRPr="00700573">
              <w:rPr>
                <w:b/>
                <w:bCs/>
                <w:szCs w:val="22"/>
              </w:rPr>
              <w:t>August</w:t>
            </w:r>
          </w:p>
        </w:tc>
        <w:tc>
          <w:tcPr>
            <w:tcW w:w="446" w:type="pct"/>
            <w:shd w:val="clear" w:color="auto" w:fill="CCCCCC"/>
            <w:noWrap/>
          </w:tcPr>
          <w:p w:rsidR="00BA634A" w:rsidRPr="00700573" w:rsidRDefault="00BA634A" w:rsidP="00E82FA2">
            <w:pPr>
              <w:jc w:val="center"/>
              <w:rPr>
                <w:b/>
                <w:bCs/>
                <w:szCs w:val="22"/>
              </w:rPr>
            </w:pPr>
            <w:r w:rsidRPr="00700573">
              <w:rPr>
                <w:b/>
                <w:bCs/>
                <w:szCs w:val="22"/>
              </w:rPr>
              <w:t>Sep.</w:t>
            </w:r>
          </w:p>
        </w:tc>
        <w:tc>
          <w:tcPr>
            <w:tcW w:w="336" w:type="pct"/>
            <w:shd w:val="clear" w:color="auto" w:fill="CCCCCC"/>
            <w:noWrap/>
          </w:tcPr>
          <w:p w:rsidR="00BA634A" w:rsidRPr="00700573" w:rsidRDefault="00BA634A" w:rsidP="00E82FA2">
            <w:pPr>
              <w:jc w:val="center"/>
              <w:rPr>
                <w:b/>
                <w:bCs/>
                <w:szCs w:val="22"/>
              </w:rPr>
            </w:pPr>
            <w:r w:rsidRPr="00700573">
              <w:rPr>
                <w:b/>
                <w:bCs/>
                <w:szCs w:val="22"/>
              </w:rPr>
              <w:t>Oct.</w:t>
            </w:r>
          </w:p>
        </w:tc>
        <w:tc>
          <w:tcPr>
            <w:tcW w:w="424" w:type="pct"/>
            <w:shd w:val="clear" w:color="auto" w:fill="CCCCCC"/>
            <w:noWrap/>
          </w:tcPr>
          <w:p w:rsidR="00BA634A" w:rsidRPr="00700573" w:rsidRDefault="00BA634A" w:rsidP="00E82FA2">
            <w:pPr>
              <w:jc w:val="center"/>
              <w:rPr>
                <w:b/>
                <w:bCs/>
                <w:szCs w:val="22"/>
              </w:rPr>
            </w:pPr>
            <w:r w:rsidRPr="00700573">
              <w:rPr>
                <w:b/>
                <w:bCs/>
                <w:szCs w:val="22"/>
              </w:rPr>
              <w:t>Nov.</w:t>
            </w:r>
          </w:p>
        </w:tc>
        <w:tc>
          <w:tcPr>
            <w:tcW w:w="419" w:type="pct"/>
            <w:shd w:val="clear" w:color="auto" w:fill="CCCCCC"/>
            <w:noWrap/>
          </w:tcPr>
          <w:p w:rsidR="00BA634A" w:rsidRPr="00700573" w:rsidRDefault="00BA634A" w:rsidP="00E82FA2">
            <w:pPr>
              <w:jc w:val="center"/>
              <w:rPr>
                <w:b/>
                <w:bCs/>
                <w:szCs w:val="22"/>
              </w:rPr>
            </w:pPr>
            <w:r w:rsidRPr="00700573">
              <w:rPr>
                <w:b/>
                <w:bCs/>
                <w:szCs w:val="22"/>
              </w:rPr>
              <w:t>Dec.</w:t>
            </w:r>
          </w:p>
        </w:tc>
      </w:tr>
      <w:tr w:rsidR="00BA634A" w:rsidRPr="0030328B" w:rsidTr="001741E7">
        <w:trPr>
          <w:trHeight w:val="255"/>
        </w:trPr>
        <w:tc>
          <w:tcPr>
            <w:tcW w:w="438" w:type="pct"/>
            <w:shd w:val="clear" w:color="auto" w:fill="CCCCCC"/>
          </w:tcPr>
          <w:p w:rsidR="00BA634A" w:rsidRPr="00700573" w:rsidRDefault="00BA634A" w:rsidP="00E82FA2">
            <w:pPr>
              <w:jc w:val="center"/>
              <w:rPr>
                <w:b/>
                <w:bCs/>
                <w:szCs w:val="22"/>
              </w:rPr>
            </w:pPr>
            <w:r w:rsidRPr="00700573">
              <w:rPr>
                <w:b/>
                <w:bCs/>
                <w:szCs w:val="22"/>
              </w:rPr>
              <w:t>ARI (years)</w:t>
            </w:r>
          </w:p>
        </w:tc>
        <w:tc>
          <w:tcPr>
            <w:tcW w:w="335" w:type="pct"/>
            <w:shd w:val="clear" w:color="auto" w:fill="auto"/>
            <w:noWrap/>
            <w:vAlign w:val="center"/>
          </w:tcPr>
          <w:p w:rsidR="00BA634A" w:rsidRPr="00700573" w:rsidRDefault="00BA634A" w:rsidP="00E82FA2">
            <w:pPr>
              <w:jc w:val="center"/>
              <w:rPr>
                <w:szCs w:val="22"/>
              </w:rPr>
            </w:pPr>
            <w:r w:rsidRPr="00700573">
              <w:rPr>
                <w:szCs w:val="22"/>
              </w:rPr>
              <w:t>4.9</w:t>
            </w:r>
          </w:p>
        </w:tc>
        <w:tc>
          <w:tcPr>
            <w:tcW w:w="372" w:type="pct"/>
            <w:shd w:val="clear" w:color="auto" w:fill="auto"/>
            <w:noWrap/>
            <w:vAlign w:val="center"/>
          </w:tcPr>
          <w:p w:rsidR="00BA634A" w:rsidRPr="00700573" w:rsidRDefault="00BA634A" w:rsidP="00E82FA2">
            <w:pPr>
              <w:jc w:val="center"/>
              <w:rPr>
                <w:szCs w:val="22"/>
              </w:rPr>
            </w:pPr>
            <w:r w:rsidRPr="00700573">
              <w:rPr>
                <w:szCs w:val="22"/>
              </w:rPr>
              <w:t>4.5</w:t>
            </w:r>
          </w:p>
        </w:tc>
        <w:tc>
          <w:tcPr>
            <w:tcW w:w="432" w:type="pct"/>
            <w:shd w:val="clear" w:color="auto" w:fill="auto"/>
            <w:noWrap/>
            <w:vAlign w:val="center"/>
          </w:tcPr>
          <w:p w:rsidR="00BA634A" w:rsidRPr="00700573" w:rsidRDefault="00BA634A" w:rsidP="00E82FA2">
            <w:pPr>
              <w:jc w:val="center"/>
              <w:rPr>
                <w:szCs w:val="22"/>
              </w:rPr>
            </w:pPr>
            <w:r w:rsidRPr="00700573">
              <w:rPr>
                <w:szCs w:val="22"/>
              </w:rPr>
              <w:t>3.6</w:t>
            </w:r>
          </w:p>
        </w:tc>
        <w:tc>
          <w:tcPr>
            <w:tcW w:w="364" w:type="pct"/>
            <w:shd w:val="clear" w:color="auto" w:fill="auto"/>
            <w:noWrap/>
            <w:vAlign w:val="center"/>
          </w:tcPr>
          <w:p w:rsidR="00BA634A" w:rsidRPr="00700573" w:rsidRDefault="00BA634A" w:rsidP="00E82FA2">
            <w:pPr>
              <w:jc w:val="center"/>
              <w:rPr>
                <w:szCs w:val="22"/>
              </w:rPr>
            </w:pPr>
            <w:r w:rsidRPr="00700573">
              <w:rPr>
                <w:szCs w:val="22"/>
              </w:rPr>
              <w:t>3.4</w:t>
            </w:r>
          </w:p>
        </w:tc>
        <w:tc>
          <w:tcPr>
            <w:tcW w:w="327" w:type="pct"/>
            <w:shd w:val="clear" w:color="auto" w:fill="auto"/>
            <w:noWrap/>
            <w:vAlign w:val="center"/>
          </w:tcPr>
          <w:p w:rsidR="00BA634A" w:rsidRPr="00700573" w:rsidRDefault="00BA634A" w:rsidP="00E82FA2">
            <w:pPr>
              <w:jc w:val="center"/>
              <w:rPr>
                <w:szCs w:val="22"/>
              </w:rPr>
            </w:pPr>
            <w:r w:rsidRPr="00700573">
              <w:rPr>
                <w:szCs w:val="22"/>
              </w:rPr>
              <w:t>4.7</w:t>
            </w:r>
          </w:p>
        </w:tc>
        <w:tc>
          <w:tcPr>
            <w:tcW w:w="339" w:type="pct"/>
            <w:shd w:val="clear" w:color="auto" w:fill="auto"/>
            <w:noWrap/>
            <w:vAlign w:val="center"/>
          </w:tcPr>
          <w:p w:rsidR="00BA634A" w:rsidRPr="00700573" w:rsidRDefault="00BA634A" w:rsidP="00E82FA2">
            <w:pPr>
              <w:jc w:val="center"/>
              <w:rPr>
                <w:szCs w:val="22"/>
              </w:rPr>
            </w:pPr>
            <w:r w:rsidRPr="00700573">
              <w:rPr>
                <w:szCs w:val="22"/>
              </w:rPr>
              <w:t>5.8</w:t>
            </w:r>
          </w:p>
        </w:tc>
        <w:tc>
          <w:tcPr>
            <w:tcW w:w="315" w:type="pct"/>
            <w:shd w:val="clear" w:color="auto" w:fill="auto"/>
            <w:noWrap/>
            <w:vAlign w:val="center"/>
          </w:tcPr>
          <w:p w:rsidR="00BA634A" w:rsidRPr="00700573" w:rsidRDefault="00BA634A" w:rsidP="00E82FA2">
            <w:pPr>
              <w:jc w:val="center"/>
              <w:rPr>
                <w:szCs w:val="22"/>
              </w:rPr>
            </w:pPr>
            <w:r w:rsidRPr="00700573">
              <w:rPr>
                <w:szCs w:val="22"/>
              </w:rPr>
              <w:t>4.6</w:t>
            </w:r>
          </w:p>
        </w:tc>
        <w:tc>
          <w:tcPr>
            <w:tcW w:w="451" w:type="pct"/>
            <w:shd w:val="clear" w:color="auto" w:fill="auto"/>
            <w:noWrap/>
            <w:vAlign w:val="center"/>
          </w:tcPr>
          <w:p w:rsidR="00BA634A" w:rsidRPr="00700573" w:rsidRDefault="00BA634A" w:rsidP="00E82FA2">
            <w:pPr>
              <w:jc w:val="center"/>
              <w:rPr>
                <w:szCs w:val="22"/>
              </w:rPr>
            </w:pPr>
            <w:r w:rsidRPr="00700573">
              <w:rPr>
                <w:szCs w:val="22"/>
              </w:rPr>
              <w:t>3.6</w:t>
            </w:r>
          </w:p>
        </w:tc>
        <w:tc>
          <w:tcPr>
            <w:tcW w:w="446" w:type="pct"/>
            <w:shd w:val="clear" w:color="auto" w:fill="auto"/>
            <w:noWrap/>
            <w:vAlign w:val="center"/>
          </w:tcPr>
          <w:p w:rsidR="00BA634A" w:rsidRPr="00700573" w:rsidRDefault="00BA634A" w:rsidP="00E82FA2">
            <w:pPr>
              <w:jc w:val="center"/>
              <w:rPr>
                <w:szCs w:val="22"/>
              </w:rPr>
            </w:pPr>
            <w:r w:rsidRPr="00700573">
              <w:rPr>
                <w:szCs w:val="22"/>
              </w:rPr>
              <w:t>3.6</w:t>
            </w:r>
          </w:p>
        </w:tc>
        <w:tc>
          <w:tcPr>
            <w:tcW w:w="336" w:type="pct"/>
            <w:shd w:val="clear" w:color="auto" w:fill="auto"/>
            <w:noWrap/>
            <w:vAlign w:val="center"/>
          </w:tcPr>
          <w:p w:rsidR="00BA634A" w:rsidRPr="00700573" w:rsidRDefault="00BA634A" w:rsidP="00E82FA2">
            <w:pPr>
              <w:jc w:val="center"/>
              <w:rPr>
                <w:szCs w:val="22"/>
              </w:rPr>
            </w:pPr>
            <w:r w:rsidRPr="00700573">
              <w:rPr>
                <w:szCs w:val="22"/>
              </w:rPr>
              <w:t>4.3</w:t>
            </w:r>
          </w:p>
        </w:tc>
        <w:tc>
          <w:tcPr>
            <w:tcW w:w="424" w:type="pct"/>
            <w:shd w:val="clear" w:color="auto" w:fill="auto"/>
            <w:noWrap/>
            <w:vAlign w:val="center"/>
          </w:tcPr>
          <w:p w:rsidR="00BA634A" w:rsidRPr="00700573" w:rsidRDefault="00BA634A" w:rsidP="00E82FA2">
            <w:pPr>
              <w:jc w:val="center"/>
              <w:rPr>
                <w:szCs w:val="22"/>
              </w:rPr>
            </w:pPr>
            <w:r w:rsidRPr="00700573">
              <w:rPr>
                <w:szCs w:val="22"/>
              </w:rPr>
              <w:t>6.4</w:t>
            </w:r>
          </w:p>
        </w:tc>
        <w:tc>
          <w:tcPr>
            <w:tcW w:w="419" w:type="pct"/>
            <w:shd w:val="clear" w:color="auto" w:fill="auto"/>
            <w:noWrap/>
            <w:vAlign w:val="center"/>
          </w:tcPr>
          <w:p w:rsidR="00BA634A" w:rsidRPr="00700573" w:rsidRDefault="00BA634A" w:rsidP="00E82FA2">
            <w:pPr>
              <w:jc w:val="center"/>
              <w:rPr>
                <w:szCs w:val="22"/>
              </w:rPr>
            </w:pPr>
            <w:r w:rsidRPr="00700573">
              <w:rPr>
                <w:szCs w:val="22"/>
              </w:rPr>
              <w:t>6.1</w:t>
            </w:r>
          </w:p>
        </w:tc>
      </w:tr>
    </w:tbl>
    <w:p w:rsidR="00BA634A" w:rsidRDefault="001741E7" w:rsidP="00D01AC3">
      <w:pPr>
        <w:pStyle w:val="Caption"/>
        <w:rPr>
          <w:bCs w:val="0"/>
          <w:i w:val="0"/>
        </w:rPr>
      </w:pPr>
      <w:bookmarkStart w:id="137" w:name="_Ref325706966"/>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2</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137"/>
      <w:r>
        <w:rPr>
          <w:b/>
        </w:rPr>
        <w:t>.</w:t>
      </w:r>
      <w:r>
        <w:rPr>
          <w:b/>
          <w:szCs w:val="22"/>
        </w:rPr>
        <w:t xml:space="preserve"> </w:t>
      </w:r>
      <w:r w:rsidR="00497AD3">
        <w:rPr>
          <w:b/>
          <w:szCs w:val="22"/>
        </w:rPr>
        <w:t>(</w:t>
      </w:r>
      <w:r w:rsidR="00BA634A" w:rsidRPr="00D01AC3">
        <w:rPr>
          <w:szCs w:val="20"/>
        </w:rPr>
        <w:t xml:space="preserve">Top) Average monthly percent capacity for three </w:t>
      </w:r>
      <w:smartTag w:uri="urn:schemas-microsoft-com:office:smarttags" w:element="PlaceName">
        <w:r w:rsidR="007D1583">
          <w:rPr>
            <w:szCs w:val="20"/>
          </w:rPr>
          <w:t>Menindee</w:t>
        </w:r>
      </w:smartTag>
      <w:r w:rsidR="007D1583">
        <w:rPr>
          <w:szCs w:val="20"/>
        </w:rPr>
        <w:t xml:space="preserve"> </w:t>
      </w:r>
      <w:smartTag w:uri="urn:schemas-microsoft-com:office:smarttags" w:element="PlaceType">
        <w:r w:rsidR="007D1583">
          <w:rPr>
            <w:szCs w:val="20"/>
          </w:rPr>
          <w:t>Lakes</w:t>
        </w:r>
      </w:smartTag>
      <w:r w:rsidR="00BA634A" w:rsidRPr="00D01AC3">
        <w:rPr>
          <w:szCs w:val="20"/>
        </w:rPr>
        <w:t xml:space="preserve"> (Cawndilla, </w:t>
      </w:r>
      <w:r w:rsidR="00C217F0">
        <w:rPr>
          <w:szCs w:val="20"/>
        </w:rPr>
        <w:t xml:space="preserve">Menindee </w:t>
      </w:r>
      <w:r w:rsidR="00BA634A" w:rsidRPr="00D01AC3">
        <w:rPr>
          <w:szCs w:val="20"/>
        </w:rPr>
        <w:t xml:space="preserve">and Pamamaroo) compared to monthly </w:t>
      </w:r>
      <w:r w:rsidR="001C0090" w:rsidRPr="00D01AC3">
        <w:rPr>
          <w:szCs w:val="20"/>
        </w:rPr>
        <w:t>stream flow</w:t>
      </w:r>
      <w:r w:rsidR="00BA634A" w:rsidRPr="00D01AC3">
        <w:rPr>
          <w:szCs w:val="20"/>
        </w:rPr>
        <w:t xml:space="preserve"> of the </w:t>
      </w:r>
      <w:smartTag w:uri="urn:schemas-microsoft-com:office:smarttags" w:element="place">
        <w:r w:rsidR="00BA634A" w:rsidRPr="00D01AC3">
          <w:rPr>
            <w:szCs w:val="20"/>
          </w:rPr>
          <w:t>Darling River</w:t>
        </w:r>
      </w:smartTag>
      <w:r w:rsidR="00BA634A" w:rsidRPr="00D01AC3">
        <w:rPr>
          <w:szCs w:val="20"/>
        </w:rPr>
        <w:t xml:space="preserve"> at Wilcannia. </w:t>
      </w:r>
      <w:r w:rsidR="004A48E6">
        <w:rPr>
          <w:szCs w:val="20"/>
        </w:rPr>
        <w:t xml:space="preserve">Darling River flows are shown with a blue line and </w:t>
      </w:r>
      <w:smartTag w:uri="urn:schemas-microsoft-com:office:smarttags" w:element="place">
        <w:smartTag w:uri="urn:schemas-microsoft-com:office:smarttags" w:element="PlaceType">
          <w:r w:rsidR="00C217F0">
            <w:rPr>
              <w:szCs w:val="20"/>
            </w:rPr>
            <w:t>Lake</w:t>
          </w:r>
        </w:smartTag>
        <w:r w:rsidR="00C217F0">
          <w:rPr>
            <w:szCs w:val="20"/>
          </w:rPr>
          <w:t xml:space="preserve"> </w:t>
        </w:r>
        <w:smartTag w:uri="urn:schemas-microsoft-com:office:smarttags" w:element="PlaceName">
          <w:r w:rsidR="00C217F0">
            <w:rPr>
              <w:szCs w:val="20"/>
            </w:rPr>
            <w:t>Menindee</w:t>
          </w:r>
        </w:smartTag>
      </w:smartTag>
      <w:r w:rsidR="004A48E6">
        <w:rPr>
          <w:szCs w:val="20"/>
        </w:rPr>
        <w:t xml:space="preserve"> water levels shown with a purple line. </w:t>
      </w:r>
      <w:r w:rsidR="00BA634A" w:rsidRPr="00D01AC3">
        <w:rPr>
          <w:szCs w:val="20"/>
        </w:rPr>
        <w:t>Class C flow</w:t>
      </w:r>
      <w:r w:rsidR="004A48E6">
        <w:rPr>
          <w:szCs w:val="20"/>
        </w:rPr>
        <w:t>s</w:t>
      </w:r>
      <w:r w:rsidR="00BA634A" w:rsidRPr="00D01AC3">
        <w:rPr>
          <w:szCs w:val="20"/>
        </w:rPr>
        <w:t xml:space="preserve"> (360,000 ML/month) </w:t>
      </w:r>
      <w:r w:rsidR="004A48E6">
        <w:rPr>
          <w:szCs w:val="20"/>
        </w:rPr>
        <w:t>are</w:t>
      </w:r>
      <w:r w:rsidR="00BA634A" w:rsidRPr="00D01AC3">
        <w:rPr>
          <w:szCs w:val="20"/>
        </w:rPr>
        <w:t xml:space="preserve"> shown by the red line. (Bottom) Average Return Interval (ARI) for Class C flow</w:t>
      </w:r>
      <w:r w:rsidR="005E4B77">
        <w:rPr>
          <w:szCs w:val="20"/>
        </w:rPr>
        <w:t>s</w:t>
      </w:r>
      <w:r w:rsidR="00BA634A" w:rsidRPr="00D01AC3">
        <w:rPr>
          <w:szCs w:val="20"/>
        </w:rPr>
        <w:t xml:space="preserve"> (&gt; 12,000 ML/day) of the </w:t>
      </w:r>
      <w:smartTag w:uri="urn:schemas-microsoft-com:office:smarttags" w:element="place">
        <w:r w:rsidR="00BA634A" w:rsidRPr="00D01AC3">
          <w:rPr>
            <w:szCs w:val="20"/>
          </w:rPr>
          <w:t>Darling River</w:t>
        </w:r>
      </w:smartTag>
      <w:r w:rsidR="00BA634A" w:rsidRPr="00D01AC3">
        <w:rPr>
          <w:szCs w:val="20"/>
        </w:rPr>
        <w:t xml:space="preserve"> at Wilcannia for each month (</w:t>
      </w:r>
      <w:r w:rsidR="001C0090" w:rsidRPr="00D01AC3">
        <w:rPr>
          <w:szCs w:val="20"/>
        </w:rPr>
        <w:t>stream flow</w:t>
      </w:r>
      <w:r w:rsidR="00BA634A" w:rsidRPr="00D01AC3">
        <w:rPr>
          <w:szCs w:val="20"/>
        </w:rPr>
        <w:t xml:space="preserve"> and lake level information from </w:t>
      </w:r>
      <w:hyperlink r:id="rId48" w:history="1">
        <w:r w:rsidR="00BA634A" w:rsidRPr="00D01AC3">
          <w:rPr>
            <w:rStyle w:val="Hyperlink"/>
            <w:szCs w:val="20"/>
          </w:rPr>
          <w:t>http://waterinfo.nsw.gov.au/</w:t>
        </w:r>
      </w:hyperlink>
      <w:r w:rsidR="00BA634A" w:rsidRPr="00D01AC3">
        <w:rPr>
          <w:szCs w:val="20"/>
        </w:rPr>
        <w:t>.</w:t>
      </w:r>
      <w:r w:rsidR="005E4B77">
        <w:rPr>
          <w:szCs w:val="20"/>
        </w:rPr>
        <w:t>)</w:t>
      </w:r>
      <w:r w:rsidR="00BE08AB" w:rsidRPr="00216027">
        <w:rPr>
          <w:bCs w:val="0"/>
          <w:i w:val="0"/>
        </w:rPr>
        <w:fldChar w:fldCharType="begin"/>
      </w:r>
      <w:r w:rsidR="00BE08AB" w:rsidRPr="00216027">
        <w:rPr>
          <w:bCs w:val="0"/>
          <w:i w:val="0"/>
        </w:rPr>
        <w:instrText xml:space="preserve"> TC "</w:instrText>
      </w:r>
      <w:bookmarkStart w:id="138" w:name="_Toc325975201"/>
      <w:bookmarkStart w:id="139" w:name="_Toc390690206"/>
      <w:r w:rsidR="00BE08AB" w:rsidRPr="00216027">
        <w:rPr>
          <w:bCs w:val="0"/>
          <w:i w:val="0"/>
        </w:rPr>
        <w:instrText xml:space="preserve">Figure </w:instrText>
      </w:r>
      <w:r w:rsidR="0020070D">
        <w:rPr>
          <w:bCs w:val="0"/>
          <w:i w:val="0"/>
        </w:rPr>
        <w:instrText>2-3</w:instrText>
      </w:r>
      <w:r w:rsidR="00497AD3">
        <w:rPr>
          <w:bCs w:val="0"/>
          <w:i w:val="0"/>
        </w:rPr>
        <w:instrText>.</w:instrText>
      </w:r>
      <w:r w:rsidR="00BE08AB" w:rsidRPr="00216027">
        <w:rPr>
          <w:bCs w:val="0"/>
          <w:i w:val="0"/>
        </w:rPr>
        <w:instrText xml:space="preserve"> </w:instrText>
      </w:r>
      <w:r w:rsidR="009F303B" w:rsidRPr="00216027">
        <w:rPr>
          <w:i w:val="0"/>
          <w:szCs w:val="20"/>
        </w:rPr>
        <w:instrText xml:space="preserve">Average monthly percent capacity for three </w:instrText>
      </w:r>
      <w:smartTag w:uri="urn:schemas-microsoft-com:office:smarttags" w:element="PlaceName">
        <w:r w:rsidR="00C217F0">
          <w:rPr>
            <w:i w:val="0"/>
            <w:szCs w:val="20"/>
          </w:rPr>
          <w:instrText>Menindee</w:instrText>
        </w:r>
      </w:smartTag>
      <w:r w:rsidR="00C217F0">
        <w:rPr>
          <w:i w:val="0"/>
          <w:szCs w:val="20"/>
        </w:rPr>
        <w:instrText xml:space="preserve"> </w:instrText>
      </w:r>
      <w:smartTag w:uri="urn:schemas-microsoft-com:office:smarttags" w:element="PlaceType">
        <w:r w:rsidR="009F303B" w:rsidRPr="00216027">
          <w:rPr>
            <w:i w:val="0"/>
            <w:szCs w:val="20"/>
          </w:rPr>
          <w:instrText>L</w:instrText>
        </w:r>
        <w:bookmarkEnd w:id="138"/>
        <w:r w:rsidR="0092647E">
          <w:rPr>
            <w:i w:val="0"/>
            <w:szCs w:val="20"/>
          </w:rPr>
          <w:instrText>akes</w:instrText>
        </w:r>
      </w:smartTag>
      <w:r w:rsidR="0092647E">
        <w:rPr>
          <w:i w:val="0"/>
          <w:szCs w:val="20"/>
        </w:rPr>
        <w:instrText xml:space="preserve"> compared to monthly </w:instrText>
      </w:r>
      <w:r w:rsidR="001C0090">
        <w:rPr>
          <w:i w:val="0"/>
          <w:szCs w:val="20"/>
        </w:rPr>
        <w:instrText>stream flow</w:instrText>
      </w:r>
      <w:r w:rsidR="0092647E">
        <w:rPr>
          <w:i w:val="0"/>
          <w:szCs w:val="20"/>
        </w:rPr>
        <w:instrText xml:space="preserve"> of the Darling River</w:instrText>
      </w:r>
      <w:bookmarkEnd w:id="139"/>
      <w:r w:rsidR="00BE08AB" w:rsidRPr="00216027">
        <w:rPr>
          <w:bCs w:val="0"/>
          <w:i w:val="0"/>
        </w:rPr>
        <w:instrText xml:space="preserve">" \f A \l “4” </w:instrText>
      </w:r>
      <w:r w:rsidR="00BE08AB" w:rsidRPr="00216027">
        <w:rPr>
          <w:bCs w:val="0"/>
          <w:i w:val="0"/>
        </w:rPr>
        <w:fldChar w:fldCharType="end"/>
      </w:r>
    </w:p>
    <w:p w:rsidR="00E10C4C" w:rsidRDefault="00E10C4C" w:rsidP="00E10C4C">
      <w:pPr>
        <w:pStyle w:val="BodyText1"/>
        <w:sectPr w:rsidR="00E10C4C" w:rsidSect="00C6706D">
          <w:headerReference w:type="even" r:id="rId49"/>
          <w:headerReference w:type="default" r:id="rId50"/>
          <w:footerReference w:type="default" r:id="rId51"/>
          <w:headerReference w:type="first" r:id="rId52"/>
          <w:pgSz w:w="16838" w:h="11906" w:orient="landscape" w:code="9"/>
          <w:pgMar w:top="1134" w:right="1134" w:bottom="1134" w:left="1134" w:header="709" w:footer="709" w:gutter="0"/>
          <w:cols w:space="708"/>
          <w:docGrid w:linePitch="360"/>
        </w:sectPr>
      </w:pPr>
    </w:p>
    <w:p w:rsidR="00BA683C" w:rsidRDefault="00B54638" w:rsidP="002B69F0">
      <w:pPr>
        <w:pStyle w:val="Heading3"/>
        <w:tabs>
          <w:tab w:val="left" w:pos="1080"/>
        </w:tabs>
        <w:spacing w:before="280" w:after="200" w:line="240" w:lineRule="auto"/>
        <w:ind w:left="1077" w:hanging="1077"/>
      </w:pPr>
      <w:bookmarkStart w:id="140" w:name="_Toc325700078"/>
      <w:bookmarkStart w:id="141" w:name="_Toc325700421"/>
      <w:bookmarkStart w:id="142" w:name="_Toc325975102"/>
      <w:bookmarkStart w:id="143" w:name="_Toc390690091"/>
      <w:r>
        <w:lastRenderedPageBreak/>
        <w:t>Palaeo-</w:t>
      </w:r>
      <w:r w:rsidR="00C6655F">
        <w:t>c</w:t>
      </w:r>
      <w:r w:rsidR="00BA683C">
        <w:t>limate</w:t>
      </w:r>
      <w:r w:rsidR="00C6655F">
        <w:t xml:space="preserve"> and I</w:t>
      </w:r>
      <w:r>
        <w:t xml:space="preserve">mplications for </w:t>
      </w:r>
      <w:r w:rsidR="00EF65FC">
        <w:t>Stream F</w:t>
      </w:r>
      <w:r w:rsidR="001C0090">
        <w:t>lows</w:t>
      </w:r>
      <w:r w:rsidR="00C6655F">
        <w:t xml:space="preserve"> and R</w:t>
      </w:r>
      <w:r>
        <w:t>echarge</w:t>
      </w:r>
      <w:bookmarkEnd w:id="140"/>
      <w:bookmarkEnd w:id="141"/>
      <w:bookmarkEnd w:id="142"/>
      <w:bookmarkEnd w:id="143"/>
    </w:p>
    <w:p w:rsidR="00066D25" w:rsidRDefault="00066D25" w:rsidP="00066D25">
      <w:r>
        <w:t xml:space="preserve">Global climate has varied markedly at long-term timescales (10s to 100s of thousands of years) with the glacial-interglacial climate cycles. </w:t>
      </w:r>
      <w:r w:rsidR="007F0CB1">
        <w:t>Alt</w:t>
      </w:r>
      <w:r>
        <w:t>hough only a trivial part of mainland Austral</w:t>
      </w:r>
      <w:r w:rsidR="005E4B77">
        <w:t>ia around the highest mountain (</w:t>
      </w:r>
      <w:r>
        <w:t xml:space="preserve">Mt </w:t>
      </w:r>
      <w:r w:rsidR="001C0090">
        <w:t>Kosciuszko</w:t>
      </w:r>
      <w:r>
        <w:t xml:space="preserve"> in the south east</w:t>
      </w:r>
      <w:r w:rsidR="005E4B77">
        <w:t>)</w:t>
      </w:r>
      <w:r>
        <w:t xml:space="preserve">, was actually glaciated, the impact of lowered temperatures, lowered sea level, low sea-surface temperatures and widespread periglacial activity in highland catchments profoundly modified precipitation, temperatures, evaporation and runoff across much of the continent. Variations in precipitation and runoff </w:t>
      </w:r>
      <w:r w:rsidR="003D1271">
        <w:t>over the entire</w:t>
      </w:r>
      <w:r>
        <w:t xml:space="preserve"> Darling </w:t>
      </w:r>
      <w:r w:rsidR="003D1271">
        <w:t xml:space="preserve">catchment </w:t>
      </w:r>
      <w:r>
        <w:t>are particularly important for variations in recharge of the aquifers of the BHMAR Project area.</w:t>
      </w:r>
    </w:p>
    <w:p w:rsidR="00066D25" w:rsidRPr="00CA2EBD" w:rsidRDefault="00066D25" w:rsidP="00066D25"/>
    <w:p w:rsidR="00066D25" w:rsidRDefault="00066D25" w:rsidP="00066D25">
      <w:r>
        <w:t xml:space="preserve">Unfortunately, there are sparse palaeo-climate records of any type for the Darling </w:t>
      </w:r>
      <w:r w:rsidR="003D1271">
        <w:t>catchment</w:t>
      </w:r>
      <w:r>
        <w:t xml:space="preserve"> and no continuous long-term records. However, groundwater chemistry from the region suggests that river leakage is by far the dominant recharge mechanism with rainfall recharge </w:t>
      </w:r>
      <w:r w:rsidR="003D1271" w:rsidRPr="00795774">
        <w:t>insignificant</w:t>
      </w:r>
      <w:r w:rsidRPr="00795774">
        <w:t xml:space="preserve"> (See </w:t>
      </w:r>
      <w:r w:rsidR="00B03359">
        <w:t>Section</w:t>
      </w:r>
      <w:r w:rsidR="00D01AC3" w:rsidRPr="00795774">
        <w:t xml:space="preserve"> </w:t>
      </w:r>
      <w:r w:rsidR="00DA40F0">
        <w:fldChar w:fldCharType="begin"/>
      </w:r>
      <w:r w:rsidR="00DA40F0">
        <w:instrText xml:space="preserve"> REF _Ref327377789 \r \h </w:instrText>
      </w:r>
      <w:r w:rsidR="00DA40F0">
        <w:fldChar w:fldCharType="separate"/>
      </w:r>
      <w:r w:rsidR="00966532">
        <w:t>6.5</w:t>
      </w:r>
      <w:r w:rsidR="00DA40F0">
        <w:fldChar w:fldCharType="end"/>
      </w:r>
      <w:r w:rsidRPr="00795774">
        <w:t>). Therefore</w:t>
      </w:r>
      <w:r>
        <w:t xml:space="preserve">, variations in river </w:t>
      </w:r>
      <w:r w:rsidR="008C0C00">
        <w:t>flow</w:t>
      </w:r>
      <w:r>
        <w:t xml:space="preserve"> due to palaeo-climatic changes in the catchment are likely to be most relevant for changes in recharge and these can be addressed by continental-scale and catchment-region palaeo-climate records. Additionally, this can be complemented by </w:t>
      </w:r>
      <w:r w:rsidRPr="00F81CBA">
        <w:t>reconstruction of variations in fluvial activity and discharge from geomorphic, stratigraphic and geochronological studies of the Quaternary fluvial deposits of the study region.</w:t>
      </w:r>
      <w:r w:rsidR="008C0C00" w:rsidRPr="00F81CBA">
        <w:t xml:space="preserve"> A more in</w:t>
      </w:r>
      <w:r w:rsidR="0008420C" w:rsidRPr="00F81CBA">
        <w:t>-</w:t>
      </w:r>
      <w:r w:rsidR="008C0C00" w:rsidRPr="00F81CBA">
        <w:t xml:space="preserve">depth discussion of palaeo-climate is </w:t>
      </w:r>
      <w:r w:rsidR="002B6D6A" w:rsidRPr="00F81CBA">
        <w:t>presented</w:t>
      </w:r>
      <w:r w:rsidR="008C0C00" w:rsidRPr="00F81CBA">
        <w:t xml:space="preserve"> in Lawrie</w:t>
      </w:r>
      <w:r w:rsidR="008A5F7D" w:rsidRPr="00CF7613">
        <w:rPr>
          <w:rStyle w:val="StyleItalic"/>
        </w:rPr>
        <w:t xml:space="preserve"> et al</w:t>
      </w:r>
      <w:r w:rsidR="008C0C00" w:rsidRPr="00F81CBA">
        <w:t>. (2012b).</w:t>
      </w:r>
    </w:p>
    <w:p w:rsidR="00B54638" w:rsidRPr="00B54638" w:rsidRDefault="00B54638" w:rsidP="002B69F0">
      <w:pPr>
        <w:pStyle w:val="Heading3"/>
        <w:tabs>
          <w:tab w:val="left" w:pos="1080"/>
        </w:tabs>
        <w:spacing w:before="280" w:after="200" w:line="240" w:lineRule="auto"/>
        <w:ind w:left="1077" w:hanging="1077"/>
      </w:pPr>
      <w:bookmarkStart w:id="144" w:name="_Toc325700079"/>
      <w:bookmarkStart w:id="145" w:name="_Toc325700422"/>
      <w:bookmarkStart w:id="146" w:name="_Toc325975103"/>
      <w:bookmarkStart w:id="147" w:name="_Toc390690092"/>
      <w:r w:rsidRPr="00B54638">
        <w:t xml:space="preserve">Predicted </w:t>
      </w:r>
      <w:r w:rsidR="00C6655F">
        <w:t>C</w:t>
      </w:r>
      <w:r w:rsidRPr="00B54638">
        <w:t xml:space="preserve">limate </w:t>
      </w:r>
      <w:r w:rsidR="00C6655F">
        <w:t>C</w:t>
      </w:r>
      <w:r w:rsidRPr="00B54638">
        <w:t>hange</w:t>
      </w:r>
      <w:bookmarkEnd w:id="144"/>
      <w:bookmarkEnd w:id="145"/>
      <w:bookmarkEnd w:id="146"/>
      <w:bookmarkEnd w:id="147"/>
    </w:p>
    <w:p w:rsidR="00B54638" w:rsidRDefault="00B54638" w:rsidP="00B54638">
      <w:r>
        <w:t xml:space="preserve">Drought conditions in much of inland eastern </w:t>
      </w:r>
      <w:smartTag w:uri="urn:schemas-microsoft-com:office:smarttags" w:element="country-region">
        <w:r>
          <w:t>Australia</w:t>
        </w:r>
      </w:smartTag>
      <w:r w:rsidR="007F0CB1">
        <w:t xml:space="preserve"> in the previous decade</w:t>
      </w:r>
      <w:r>
        <w:t xml:space="preserve"> in particular have seen marked declines in river flows in the </w:t>
      </w:r>
      <w:smartTag w:uri="urn:schemas-microsoft-com:office:smarttags" w:element="place">
        <w:r>
          <w:t>Darling River</w:t>
        </w:r>
      </w:smartTag>
      <w:r>
        <w:t xml:space="preserve"> system. While recent good rains have led to significant floods (March 2010), r</w:t>
      </w:r>
      <w:r w:rsidRPr="00601F8B">
        <w:t>ainfal</w:t>
      </w:r>
      <w:r w:rsidR="003D1271">
        <w:t>l-runoff modelling with climate-</w:t>
      </w:r>
      <w:r w:rsidRPr="00601F8B">
        <w:t>change projections from global climate models indicates that future runoff in the</w:t>
      </w:r>
      <w:r>
        <w:t xml:space="preserve"> </w:t>
      </w:r>
      <w:r w:rsidRPr="00601F8B">
        <w:t>region is more likely to decrease than increase</w:t>
      </w:r>
      <w:r>
        <w:t xml:space="preserve"> (CSIRO, 2008</w:t>
      </w:r>
      <w:r w:rsidR="0070746C">
        <w:t>; Barron</w:t>
      </w:r>
      <w:r w:rsidR="008A5F7D" w:rsidRPr="00CF7613">
        <w:rPr>
          <w:rStyle w:val="StyleItalic"/>
        </w:rPr>
        <w:t xml:space="preserve"> et al</w:t>
      </w:r>
      <w:r w:rsidR="0070746C">
        <w:t>., 2011</w:t>
      </w:r>
      <w:r>
        <w:t>)</w:t>
      </w:r>
      <w:r w:rsidRPr="00601F8B">
        <w:t>. About three-quarters of the modelling results show a decrease in</w:t>
      </w:r>
      <w:r>
        <w:t xml:space="preserve"> </w:t>
      </w:r>
      <w:r w:rsidRPr="00601F8B">
        <w:t xml:space="preserve">runoff and about one-quarter of the results show an increase in runoff for the region. </w:t>
      </w:r>
    </w:p>
    <w:p w:rsidR="00B54638" w:rsidRDefault="00B54638" w:rsidP="00B54638"/>
    <w:p w:rsidR="00B54638" w:rsidRPr="002A760C" w:rsidRDefault="00B54638" w:rsidP="00B54638">
      <w:r w:rsidRPr="00601F8B">
        <w:t>Under the best estimate (median)</w:t>
      </w:r>
      <w:r>
        <w:t xml:space="preserve"> </w:t>
      </w:r>
      <w:r w:rsidRPr="00601F8B">
        <w:t xml:space="preserve">2030 climate </w:t>
      </w:r>
      <w:r w:rsidR="003D1271">
        <w:t xml:space="preserve">modelling, </w:t>
      </w:r>
      <w:r w:rsidRPr="00601F8B">
        <w:t xml:space="preserve">average annual runoff within the region would be reduced by 10 </w:t>
      </w:r>
      <w:r w:rsidR="0032523E">
        <w:t>%</w:t>
      </w:r>
      <w:r w:rsidRPr="00601F8B">
        <w:t>. The extreme estimates (from the</w:t>
      </w:r>
      <w:r>
        <w:t xml:space="preserve"> </w:t>
      </w:r>
      <w:r w:rsidRPr="00601F8B">
        <w:t xml:space="preserve">high global warming scenario) range from a 37 </w:t>
      </w:r>
      <w:r w:rsidR="0032523E">
        <w:t>%</w:t>
      </w:r>
      <w:r w:rsidRPr="00601F8B">
        <w:t xml:space="preserve"> reduction to a 7 </w:t>
      </w:r>
      <w:r w:rsidR="0032523E">
        <w:t>%</w:t>
      </w:r>
      <w:r w:rsidRPr="00601F8B">
        <w:t xml:space="preserve"> increase in average annual runoff. The</w:t>
      </w:r>
      <w:r>
        <w:t xml:space="preserve"> </w:t>
      </w:r>
      <w:r w:rsidRPr="00601F8B">
        <w:t xml:space="preserve">results from the low global warming scenario range from a 12 </w:t>
      </w:r>
      <w:r w:rsidR="0032523E">
        <w:t>%</w:t>
      </w:r>
      <w:r w:rsidRPr="00601F8B">
        <w:t xml:space="preserve"> reduction to a 2 </w:t>
      </w:r>
      <w:r w:rsidR="0032523E">
        <w:t>%</w:t>
      </w:r>
      <w:r w:rsidRPr="00601F8B">
        <w:t xml:space="preserve"> increase in average</w:t>
      </w:r>
      <w:r>
        <w:t xml:space="preserve"> </w:t>
      </w:r>
      <w:r w:rsidRPr="00601F8B">
        <w:t>annual runoff for the region</w:t>
      </w:r>
      <w:r w:rsidR="000C2CB7">
        <w:t xml:space="preserve"> (CSIRO, 2008)</w:t>
      </w:r>
      <w:r w:rsidRPr="00601F8B">
        <w:t>.</w:t>
      </w:r>
    </w:p>
    <w:p w:rsidR="00936817" w:rsidRDefault="00936817" w:rsidP="004053EE">
      <w:pPr>
        <w:pStyle w:val="Heading2"/>
        <w:tabs>
          <w:tab w:val="left" w:pos="720"/>
        </w:tabs>
        <w:spacing w:before="320"/>
      </w:pPr>
      <w:bookmarkStart w:id="148" w:name="_Toc325700080"/>
      <w:bookmarkStart w:id="149" w:name="_Toc325700423"/>
      <w:bookmarkStart w:id="150" w:name="_Toc325975104"/>
      <w:bookmarkStart w:id="151" w:name="_Toc390690093"/>
      <w:r>
        <w:t xml:space="preserve">Land Use </w:t>
      </w:r>
      <w:smartTag w:uri="urn:schemas-microsoft-com:office:smarttags" w:element="stockticker">
        <w:r>
          <w:rPr>
            <w:rFonts w:hint="eastAsia"/>
          </w:rPr>
          <w:t>and</w:t>
        </w:r>
      </w:smartTag>
      <w:r>
        <w:t xml:space="preserve"> Cultural Heritage</w:t>
      </w:r>
      <w:bookmarkEnd w:id="148"/>
      <w:bookmarkEnd w:id="149"/>
      <w:bookmarkEnd w:id="150"/>
      <w:bookmarkEnd w:id="151"/>
    </w:p>
    <w:p w:rsidR="00936817" w:rsidRDefault="00936817" w:rsidP="00936817">
      <w:r w:rsidRPr="00F81CBA">
        <w:t xml:space="preserve">The BHMAR project area is one of great cultural sensitivity to the local Indigenous Community (Martin, 2001; Witter, 2009), with a large number of culturally significant sites identified </w:t>
      </w:r>
      <w:r w:rsidR="003D1271" w:rsidRPr="00F81CBA">
        <w:t xml:space="preserve">during this project </w:t>
      </w:r>
      <w:r w:rsidRPr="00F81CBA">
        <w:t>(</w:t>
      </w:r>
      <w:r w:rsidR="009D7B6E" w:rsidRPr="00F81CBA">
        <w:t>Lawrie</w:t>
      </w:r>
      <w:r w:rsidR="008A5F7D" w:rsidRPr="00CF7613">
        <w:rPr>
          <w:rStyle w:val="StyleItalic"/>
        </w:rPr>
        <w:t xml:space="preserve"> et al</w:t>
      </w:r>
      <w:r w:rsidR="009D7B6E" w:rsidRPr="00F81CBA">
        <w:t>., 2010a</w:t>
      </w:r>
      <w:r w:rsidR="00F81CBA" w:rsidRPr="00F81CBA">
        <w:t>, b</w:t>
      </w:r>
      <w:r w:rsidRPr="00F81CBA">
        <w:t xml:space="preserve">; </w:t>
      </w:r>
      <w:r w:rsidR="00B03359">
        <w:t xml:space="preserve">Appendix 15, </w:t>
      </w:r>
      <w:r w:rsidRPr="00F81CBA">
        <w:t>Magee</w:t>
      </w:r>
      <w:r w:rsidR="008A5F7D" w:rsidRPr="00CF7613">
        <w:rPr>
          <w:rStyle w:val="StyleItalic"/>
        </w:rPr>
        <w:t xml:space="preserve"> et al</w:t>
      </w:r>
      <w:r w:rsidR="00D01AC3" w:rsidRPr="00F81CBA">
        <w:t xml:space="preserve">., </w:t>
      </w:r>
      <w:r w:rsidRPr="00F81CBA">
        <w:t xml:space="preserve">2012). </w:t>
      </w:r>
      <w:r w:rsidR="003D1271" w:rsidRPr="00F81CBA">
        <w:t>The</w:t>
      </w:r>
      <w:r w:rsidR="003D1271" w:rsidRPr="00983111">
        <w:t xml:space="preserve"> importance</w:t>
      </w:r>
      <w:r>
        <w:t xml:space="preserve"> of local Indigenous cultural beliefs and traditions was recognised at the commencement as a </w:t>
      </w:r>
      <w:r w:rsidR="003D1271">
        <w:t>crucial</w:t>
      </w:r>
      <w:r>
        <w:t xml:space="preserve"> aspect of the project, and all team members were made aware of these issues and asked to respect these values. For the fieldwork component of this study, the local Indigenous community were consulted about the process of carrying out assessments for field investi</w:t>
      </w:r>
      <w:smartTag w:uri="urn:schemas-microsoft-com:office:smarttags" w:element="PersonName">
        <w:r>
          <w:t>ga</w:t>
        </w:r>
      </w:smartTag>
      <w:r>
        <w:t xml:space="preserve">tions and drilling activities. Consequently, detailed cultural assessments were undertaken by specialists with the assistance of members of the local Indigenous community employed through </w:t>
      </w:r>
      <w:r w:rsidR="003D1271">
        <w:t xml:space="preserve">the </w:t>
      </w:r>
      <w:r w:rsidR="00C217F0">
        <w:t xml:space="preserve">Menindee </w:t>
      </w:r>
      <w:r>
        <w:t xml:space="preserve">Local Aboriginal </w:t>
      </w:r>
      <w:r w:rsidR="003D1271">
        <w:t xml:space="preserve">Land Council (MLALC). </w:t>
      </w:r>
      <w:r>
        <w:t>In accordance with the wishes of the local Indigenous community, and to obtain perm</w:t>
      </w:r>
      <w:r w:rsidR="005E4B77">
        <w:t>issions from the NSW Lands Department</w:t>
      </w:r>
      <w:r>
        <w:t>, cultural heritage assessments were conducted at each proposed drilling site.</w:t>
      </w:r>
    </w:p>
    <w:p w:rsidR="00936817" w:rsidRDefault="00936817" w:rsidP="00936817"/>
    <w:p w:rsidR="0070746C" w:rsidRDefault="00936817" w:rsidP="0070746C">
      <w:r>
        <w:t>Members of the local Indigenous Community were also employed to assist with monitoring any potential site disturbance during drilling activities, and to assist geologists on-site with core recovery. From G</w:t>
      </w:r>
      <w:r w:rsidR="001C0090">
        <w:t xml:space="preserve">eoscience </w:t>
      </w:r>
      <w:smartTag w:uri="urn:schemas-microsoft-com:office:smarttags" w:element="place">
        <w:smartTag w:uri="urn:schemas-microsoft-com:office:smarttags" w:element="country-region">
          <w:r>
            <w:t>A</w:t>
          </w:r>
          <w:r w:rsidR="001C0090">
            <w:t>ustralia</w:t>
          </w:r>
        </w:smartTag>
      </w:smartTag>
      <w:r>
        <w:t>’s perspective, the employment of m</w:t>
      </w:r>
      <w:r w:rsidR="00625AAA">
        <w:t>embers of the local Indigenous C</w:t>
      </w:r>
      <w:r>
        <w:t>ommunity was extremely successful, under arduous conditions both day and night. A similar arrangement was put in place for augering and the digging of pits for shallow geomorphic investi</w:t>
      </w:r>
      <w:smartTag w:uri="urn:schemas-microsoft-com:office:smarttags" w:element="PersonName">
        <w:r>
          <w:t>ga</w:t>
        </w:r>
      </w:smartTag>
      <w:r>
        <w:t>tions. Reports on cultural heritage at each proposed drilling site were submitted along with other technical i</w:t>
      </w:r>
      <w:r w:rsidR="00625AAA">
        <w:t>nformation to the NSW Lands Department</w:t>
      </w:r>
      <w:r>
        <w:t xml:space="preserve"> as part of the drilling approval process. </w:t>
      </w:r>
      <w:r w:rsidR="00625AAA">
        <w:t xml:space="preserve">A number of sites </w:t>
      </w:r>
      <w:r>
        <w:t xml:space="preserve">deemed too sensitive were not drilled, and alternative sites identified. A similar process has been identified for obtaining approvals for disposal of groundwater associated with 7-day pump tests. </w:t>
      </w:r>
      <w:r w:rsidR="0032523E">
        <w:t xml:space="preserve">Potential cultural </w:t>
      </w:r>
      <w:r w:rsidR="0032523E" w:rsidRPr="00F81CBA">
        <w:t xml:space="preserve">heritage sensitivities </w:t>
      </w:r>
      <w:r w:rsidR="003F1A82">
        <w:t>concerning</w:t>
      </w:r>
      <w:r w:rsidR="0032523E" w:rsidRPr="00F81CBA">
        <w:t xml:space="preserve"> the various groundwater-related targets and options have also been assessed and discussed in </w:t>
      </w:r>
      <w:r w:rsidR="0032523E" w:rsidRPr="00F81CBA">
        <w:rPr>
          <w:szCs w:val="22"/>
        </w:rPr>
        <w:t>Lawrie</w:t>
      </w:r>
      <w:r w:rsidR="008A5F7D" w:rsidRPr="00CF7613">
        <w:rPr>
          <w:rStyle w:val="StyleItalic"/>
        </w:rPr>
        <w:t xml:space="preserve"> et al</w:t>
      </w:r>
      <w:r w:rsidR="0032523E" w:rsidRPr="00F81CBA">
        <w:rPr>
          <w:szCs w:val="22"/>
        </w:rPr>
        <w:t>. (2012c, d).</w:t>
      </w:r>
    </w:p>
    <w:p w:rsidR="006E6B9D" w:rsidRDefault="00AD78F2" w:rsidP="00DD022A">
      <w:pPr>
        <w:pStyle w:val="Heading1"/>
        <w:tabs>
          <w:tab w:val="clear" w:pos="360"/>
          <w:tab w:val="num" w:pos="720"/>
        </w:tabs>
        <w:ind w:left="720" w:hanging="720"/>
      </w:pPr>
      <w:r>
        <w:br w:type="page"/>
      </w:r>
      <w:bookmarkStart w:id="152" w:name="_Toc325700081"/>
      <w:bookmarkStart w:id="153" w:name="_Toc325700424"/>
      <w:bookmarkStart w:id="154" w:name="_Toc325975105"/>
      <w:bookmarkStart w:id="155" w:name="_Toc390690094"/>
      <w:r w:rsidR="003D1A7E">
        <w:lastRenderedPageBreak/>
        <w:t>Project Data A</w:t>
      </w:r>
      <w:r w:rsidR="006E6B9D">
        <w:t>cquisition</w:t>
      </w:r>
      <w:bookmarkEnd w:id="152"/>
      <w:bookmarkEnd w:id="153"/>
      <w:bookmarkEnd w:id="154"/>
      <w:bookmarkEnd w:id="155"/>
    </w:p>
    <w:p w:rsidR="000E25EB" w:rsidRPr="00F81CBA" w:rsidRDefault="000E25EB" w:rsidP="000E25EB">
      <w:r w:rsidRPr="00C658B3">
        <w:rPr>
          <w:szCs w:val="22"/>
        </w:rPr>
        <w:t xml:space="preserve">The </w:t>
      </w:r>
      <w:r>
        <w:rPr>
          <w:szCs w:val="22"/>
        </w:rPr>
        <w:t xml:space="preserve">BHMAR </w:t>
      </w:r>
      <w:r w:rsidRPr="00C658B3">
        <w:rPr>
          <w:szCs w:val="22"/>
        </w:rPr>
        <w:t xml:space="preserve">project has involved the acquisition, processing, integration and interpretation of </w:t>
      </w:r>
      <w:r>
        <w:rPr>
          <w:szCs w:val="22"/>
        </w:rPr>
        <w:t xml:space="preserve">significant </w:t>
      </w:r>
      <w:r w:rsidRPr="00C658B3">
        <w:rPr>
          <w:szCs w:val="22"/>
        </w:rPr>
        <w:t xml:space="preserve">new geological, hydrogeological, hydrogeophysical and hydrochemical datasets. </w:t>
      </w:r>
      <w:r>
        <w:rPr>
          <w:szCs w:val="22"/>
        </w:rPr>
        <w:t xml:space="preserve">The project is the largest single hydrogeological investigation project undertaken by the Australian Government over the past 30 years. Details of </w:t>
      </w:r>
      <w:r w:rsidRPr="00F81CBA">
        <w:rPr>
          <w:szCs w:val="22"/>
        </w:rPr>
        <w:t>data acquisition, data processing, analysis, integration and assessment methods, and product generation, can be found in Lawrie</w:t>
      </w:r>
      <w:r w:rsidR="008A5F7D" w:rsidRPr="00CF7613">
        <w:rPr>
          <w:rStyle w:val="StyleItalic"/>
        </w:rPr>
        <w:t xml:space="preserve"> et al</w:t>
      </w:r>
      <w:r w:rsidRPr="00F81CBA">
        <w:rPr>
          <w:szCs w:val="22"/>
        </w:rPr>
        <w:t xml:space="preserve">. (2012a). Ancillary data and contractor reports can be found in 15 accompanying Appendices (see </w:t>
      </w:r>
      <w:r w:rsidR="0020070D">
        <w:rPr>
          <w:szCs w:val="22"/>
        </w:rPr>
        <w:t>Section</w:t>
      </w:r>
      <w:r w:rsidRPr="00F81CBA">
        <w:rPr>
          <w:szCs w:val="22"/>
        </w:rPr>
        <w:t xml:space="preserve"> </w:t>
      </w:r>
      <w:r w:rsidR="00D01AC3" w:rsidRPr="00F81CBA">
        <w:rPr>
          <w:szCs w:val="22"/>
        </w:rPr>
        <w:fldChar w:fldCharType="begin"/>
      </w:r>
      <w:r w:rsidR="00D01AC3" w:rsidRPr="00F81CBA">
        <w:rPr>
          <w:szCs w:val="22"/>
        </w:rPr>
        <w:instrText xml:space="preserve"> REF _Ref325644791 \n \h </w:instrText>
      </w:r>
      <w:r w:rsidR="00F81CBA">
        <w:rPr>
          <w:szCs w:val="22"/>
        </w:rPr>
        <w:instrText xml:space="preserve"> \* MERGEFORMAT </w:instrText>
      </w:r>
      <w:r w:rsidR="00D01AC3" w:rsidRPr="00F81CBA">
        <w:rPr>
          <w:szCs w:val="22"/>
        </w:rPr>
      </w:r>
      <w:r w:rsidR="00D01AC3" w:rsidRPr="00F81CBA">
        <w:rPr>
          <w:szCs w:val="22"/>
        </w:rPr>
        <w:fldChar w:fldCharType="separate"/>
      </w:r>
      <w:r w:rsidR="00966532">
        <w:rPr>
          <w:szCs w:val="22"/>
        </w:rPr>
        <w:t>1</w:t>
      </w:r>
      <w:r w:rsidR="00D01AC3" w:rsidRPr="00F81CBA">
        <w:rPr>
          <w:szCs w:val="22"/>
        </w:rPr>
        <w:fldChar w:fldCharType="end"/>
      </w:r>
      <w:r w:rsidRPr="00F81CBA">
        <w:rPr>
          <w:szCs w:val="22"/>
        </w:rPr>
        <w:t>), and in the project database and GIS (</w:t>
      </w:r>
      <w:r w:rsidR="0020070D">
        <w:rPr>
          <w:szCs w:val="22"/>
        </w:rPr>
        <w:t>Gow</w:t>
      </w:r>
      <w:r w:rsidR="008A5F7D" w:rsidRPr="00CF7613">
        <w:rPr>
          <w:rStyle w:val="StyleItalic"/>
        </w:rPr>
        <w:t xml:space="preserve"> et al</w:t>
      </w:r>
      <w:r w:rsidRPr="00CF7613">
        <w:rPr>
          <w:rStyle w:val="StyleItalic"/>
        </w:rPr>
        <w:t>.,</w:t>
      </w:r>
      <w:r w:rsidRPr="00F81CBA">
        <w:rPr>
          <w:szCs w:val="22"/>
        </w:rPr>
        <w:t xml:space="preserve"> 2012a). These final reports supersede earlier reporting of data acquisition and assessment methods (</w:t>
      </w:r>
      <w:r w:rsidR="009D7B6E" w:rsidRPr="00F81CBA">
        <w:rPr>
          <w:szCs w:val="22"/>
        </w:rPr>
        <w:t>Lawrie</w:t>
      </w:r>
      <w:r w:rsidR="008A5F7D" w:rsidRPr="00CF7613">
        <w:rPr>
          <w:rStyle w:val="StyleItalic"/>
        </w:rPr>
        <w:t xml:space="preserve"> et al</w:t>
      </w:r>
      <w:r w:rsidR="009D7B6E" w:rsidRPr="00CF7613">
        <w:rPr>
          <w:rStyle w:val="StyleItalic"/>
        </w:rPr>
        <w:t>.,</w:t>
      </w:r>
      <w:r w:rsidR="009D7B6E" w:rsidRPr="00F81CBA">
        <w:rPr>
          <w:szCs w:val="22"/>
        </w:rPr>
        <w:t xml:space="preserve"> </w:t>
      </w:r>
      <w:r w:rsidR="003F1A82">
        <w:rPr>
          <w:szCs w:val="22"/>
        </w:rPr>
        <w:t xml:space="preserve">2008a, </w:t>
      </w:r>
      <w:r w:rsidR="009D7B6E" w:rsidRPr="00F81CBA">
        <w:rPr>
          <w:szCs w:val="22"/>
        </w:rPr>
        <w:t>2009a</w:t>
      </w:r>
      <w:r w:rsidR="00497AD3" w:rsidRPr="00F81CBA">
        <w:rPr>
          <w:szCs w:val="22"/>
        </w:rPr>
        <w:t>; 2010a, b;</w:t>
      </w:r>
      <w:r w:rsidRPr="00F81CBA">
        <w:rPr>
          <w:szCs w:val="22"/>
        </w:rPr>
        <w:t xml:space="preserve"> 2011).</w:t>
      </w:r>
    </w:p>
    <w:p w:rsidR="00DF3E01" w:rsidRDefault="00DF3E01" w:rsidP="004053EE">
      <w:pPr>
        <w:pStyle w:val="Heading2"/>
        <w:tabs>
          <w:tab w:val="left" w:pos="720"/>
        </w:tabs>
        <w:spacing w:before="320"/>
      </w:pPr>
      <w:bookmarkStart w:id="156" w:name="_Toc325700082"/>
      <w:bookmarkStart w:id="157" w:name="_Toc325700425"/>
      <w:bookmarkStart w:id="158" w:name="_Toc325975106"/>
      <w:bookmarkStart w:id="159" w:name="_Toc390690095"/>
      <w:r w:rsidRPr="00F81CBA">
        <w:t xml:space="preserve">New </w:t>
      </w:r>
      <w:r w:rsidR="00C6655F" w:rsidRPr="00F81CBA">
        <w:t>D</w:t>
      </w:r>
      <w:r w:rsidRPr="00F81CBA">
        <w:t>ata</w:t>
      </w:r>
      <w:r>
        <w:t xml:space="preserve"> </w:t>
      </w:r>
      <w:r w:rsidR="00C6655F">
        <w:t>A</w:t>
      </w:r>
      <w:r>
        <w:t>cquisition</w:t>
      </w:r>
      <w:bookmarkEnd w:id="156"/>
      <w:bookmarkEnd w:id="157"/>
      <w:bookmarkEnd w:id="158"/>
      <w:bookmarkEnd w:id="159"/>
    </w:p>
    <w:p w:rsidR="003D1A7E" w:rsidRPr="00E10C4C" w:rsidRDefault="000E25EB" w:rsidP="003D1A7E">
      <w:pPr>
        <w:rPr>
          <w:szCs w:val="22"/>
        </w:rPr>
      </w:pPr>
      <w:r>
        <w:rPr>
          <w:szCs w:val="22"/>
        </w:rPr>
        <w:t>Data acquisition in the BHMAR Project involved a phased approach, with investigations initially at a regional scale</w:t>
      </w:r>
      <w:r w:rsidR="003D1A7E">
        <w:rPr>
          <w:szCs w:val="22"/>
        </w:rPr>
        <w:t>,</w:t>
      </w:r>
      <w:r>
        <w:rPr>
          <w:szCs w:val="22"/>
        </w:rPr>
        <w:t xml:space="preserve"> with subsequent investigations </w:t>
      </w:r>
      <w:r w:rsidR="003D1A7E">
        <w:rPr>
          <w:szCs w:val="22"/>
        </w:rPr>
        <w:t>at more local scales</w:t>
      </w:r>
      <w:r>
        <w:rPr>
          <w:szCs w:val="22"/>
        </w:rPr>
        <w:t xml:space="preserve"> as potential groundwater resource and MAR targets were identified and asse</w:t>
      </w:r>
      <w:r w:rsidR="003D1A7E">
        <w:rPr>
          <w:szCs w:val="22"/>
        </w:rPr>
        <w:t>ssed. Data acquisition strategies were guided by national guidelines for drinking water and MAR (</w:t>
      </w:r>
      <w:r w:rsidR="003D1A7E" w:rsidRPr="00FC0827">
        <w:rPr>
          <w:szCs w:val="22"/>
        </w:rPr>
        <w:t>NRMMC–EPHC–NHMRC, 2008</w:t>
      </w:r>
      <w:r w:rsidR="003D1A7E">
        <w:rPr>
          <w:szCs w:val="22"/>
        </w:rPr>
        <w:t xml:space="preserve">, </w:t>
      </w:r>
      <w:r w:rsidR="003D1A7E" w:rsidRPr="004C777E">
        <w:rPr>
          <w:szCs w:val="22"/>
        </w:rPr>
        <w:t>2009</w:t>
      </w:r>
      <w:r w:rsidR="00E10C4C" w:rsidRPr="004C777E">
        <w:rPr>
          <w:szCs w:val="22"/>
        </w:rPr>
        <w:t>;</w:t>
      </w:r>
      <w:r w:rsidR="00E10C4C">
        <w:rPr>
          <w:szCs w:val="22"/>
        </w:rPr>
        <w:t xml:space="preserve"> NHMRC-</w:t>
      </w:r>
      <w:r w:rsidR="00E10C4C" w:rsidRPr="00E10C4C">
        <w:rPr>
          <w:szCs w:val="22"/>
        </w:rPr>
        <w:t>NRMMC, 2011</w:t>
      </w:r>
      <w:r w:rsidR="003D1A7E" w:rsidRPr="00E10C4C">
        <w:rPr>
          <w:szCs w:val="22"/>
        </w:rPr>
        <w:t>).</w:t>
      </w:r>
    </w:p>
    <w:p w:rsidR="003D1A7E" w:rsidRDefault="003D1A7E" w:rsidP="003D1A7E"/>
    <w:p w:rsidR="003D1A7E" w:rsidRDefault="003D1A7E" w:rsidP="003D1A7E">
      <w:pPr>
        <w:spacing w:before="60"/>
        <w:rPr>
          <w:szCs w:val="22"/>
        </w:rPr>
      </w:pPr>
      <w:r w:rsidRPr="00851ED2">
        <w:rPr>
          <w:szCs w:val="22"/>
        </w:rPr>
        <w:t>Phase 1 of the BHMAR Project largely involved assessment of pre-</w:t>
      </w:r>
      <w:r w:rsidR="00D23F26" w:rsidRPr="00851ED2">
        <w:rPr>
          <w:szCs w:val="22"/>
        </w:rPr>
        <w:t>existing</w:t>
      </w:r>
      <w:r w:rsidRPr="00851ED2">
        <w:rPr>
          <w:szCs w:val="22"/>
        </w:rPr>
        <w:t xml:space="preserve"> datasets for five possible study areas (</w:t>
      </w:r>
      <w:r w:rsidR="009D7B6E" w:rsidRPr="00851ED2">
        <w:rPr>
          <w:szCs w:val="22"/>
        </w:rPr>
        <w:t>Lawrie</w:t>
      </w:r>
      <w:r w:rsidR="008A5F7D" w:rsidRPr="00CF7613">
        <w:rPr>
          <w:rStyle w:val="StyleItalic"/>
        </w:rPr>
        <w:t xml:space="preserve"> et al</w:t>
      </w:r>
      <w:r w:rsidR="009D7B6E" w:rsidRPr="00851ED2">
        <w:rPr>
          <w:szCs w:val="22"/>
        </w:rPr>
        <w:t xml:space="preserve">., </w:t>
      </w:r>
      <w:r w:rsidR="003F1A82">
        <w:rPr>
          <w:szCs w:val="22"/>
        </w:rPr>
        <w:t xml:space="preserve">2008a, </w:t>
      </w:r>
      <w:r w:rsidR="009D7B6E" w:rsidRPr="00851ED2">
        <w:rPr>
          <w:szCs w:val="22"/>
        </w:rPr>
        <w:t>2009a</w:t>
      </w:r>
      <w:r w:rsidRPr="00851ED2">
        <w:rPr>
          <w:szCs w:val="22"/>
        </w:rPr>
        <w:t xml:space="preserve">). Publicly available geological, geophysical and hydrogeological data from mineral exploration companies as well as State and Federal agencies were compiled and assessed, and limited fieldwork carried out in a 6-week period to </w:t>
      </w:r>
      <w:r w:rsidR="00851ED2" w:rsidRPr="00851ED2">
        <w:rPr>
          <w:szCs w:val="22"/>
        </w:rPr>
        <w:t>fill specific knowledge and data gaps</w:t>
      </w:r>
      <w:r w:rsidRPr="00851ED2">
        <w:rPr>
          <w:szCs w:val="22"/>
        </w:rPr>
        <w:t xml:space="preserve"> (</w:t>
      </w:r>
      <w:r w:rsidR="009D7B6E" w:rsidRPr="00851ED2">
        <w:rPr>
          <w:szCs w:val="22"/>
        </w:rPr>
        <w:t>Lawrie</w:t>
      </w:r>
      <w:r w:rsidR="008A5F7D" w:rsidRPr="00CF7613">
        <w:rPr>
          <w:rStyle w:val="StyleItalic"/>
        </w:rPr>
        <w:t xml:space="preserve"> et al</w:t>
      </w:r>
      <w:r w:rsidR="009D7B6E" w:rsidRPr="00851ED2">
        <w:rPr>
          <w:szCs w:val="22"/>
        </w:rPr>
        <w:t>., 2009a</w:t>
      </w:r>
      <w:r w:rsidRPr="00851ED2">
        <w:rPr>
          <w:szCs w:val="22"/>
        </w:rPr>
        <w:t xml:space="preserve">). New data acquisition included reconnaissance geomorphic mapping, borehole and ground geophysics, and groundwater and surface water sampling. The Phase 1 study identified the Darling Floodplain as the area most likely to yield groundwater resource and/or </w:t>
      </w:r>
      <w:smartTag w:uri="urn:schemas-microsoft-com:office:smarttags" w:element="stockticker">
        <w:r w:rsidRPr="00851ED2">
          <w:rPr>
            <w:szCs w:val="22"/>
          </w:rPr>
          <w:t>MAR</w:t>
        </w:r>
      </w:smartTag>
      <w:r w:rsidRPr="00851ED2">
        <w:rPr>
          <w:szCs w:val="22"/>
        </w:rPr>
        <w:t xml:space="preserve"> storage options (</w:t>
      </w:r>
      <w:r w:rsidR="009D7B6E" w:rsidRPr="00851ED2">
        <w:rPr>
          <w:szCs w:val="22"/>
        </w:rPr>
        <w:t>Lawrie</w:t>
      </w:r>
      <w:r w:rsidR="008A5F7D" w:rsidRPr="00CF7613">
        <w:rPr>
          <w:rStyle w:val="StyleItalic"/>
        </w:rPr>
        <w:t xml:space="preserve"> et al</w:t>
      </w:r>
      <w:r w:rsidR="009D7B6E" w:rsidRPr="00851ED2">
        <w:rPr>
          <w:szCs w:val="22"/>
        </w:rPr>
        <w:t>., 2009a</w:t>
      </w:r>
      <w:r w:rsidRPr="00851ED2">
        <w:rPr>
          <w:szCs w:val="22"/>
        </w:rPr>
        <w:t>).</w:t>
      </w:r>
      <w:r w:rsidRPr="00F83C73">
        <w:rPr>
          <w:szCs w:val="22"/>
        </w:rPr>
        <w:t xml:space="preserve"> </w:t>
      </w:r>
    </w:p>
    <w:p w:rsidR="003D1A7E" w:rsidRDefault="003D1A7E" w:rsidP="003D1A7E">
      <w:pPr>
        <w:spacing w:before="60"/>
        <w:rPr>
          <w:szCs w:val="22"/>
        </w:rPr>
      </w:pPr>
    </w:p>
    <w:p w:rsidR="003D1A7E" w:rsidRPr="00851ED2" w:rsidRDefault="003D1A7E" w:rsidP="003D1A7E">
      <w:pPr>
        <w:spacing w:before="60"/>
        <w:rPr>
          <w:szCs w:val="22"/>
        </w:rPr>
      </w:pPr>
      <w:r w:rsidRPr="00851ED2">
        <w:rPr>
          <w:szCs w:val="22"/>
        </w:rPr>
        <w:t xml:space="preserve">Phase 2 of the BHMAR project involved a major new data </w:t>
      </w:r>
      <w:r w:rsidRPr="00851ED2">
        <w:rPr>
          <w:color w:val="000000"/>
          <w:szCs w:val="22"/>
        </w:rPr>
        <w:t>acquisition phase over an area of approximately 7,500 km</w:t>
      </w:r>
      <w:r w:rsidRPr="00851ED2">
        <w:rPr>
          <w:color w:val="000000"/>
          <w:szCs w:val="22"/>
          <w:vertAlign w:val="superscript"/>
        </w:rPr>
        <w:t>2</w:t>
      </w:r>
      <w:r w:rsidRPr="00851ED2">
        <w:rPr>
          <w:color w:val="000000"/>
          <w:szCs w:val="22"/>
        </w:rPr>
        <w:t xml:space="preserve"> (</w:t>
      </w:r>
      <w:r w:rsidR="009D7B6E" w:rsidRPr="00851ED2">
        <w:rPr>
          <w:color w:val="000000"/>
          <w:szCs w:val="22"/>
        </w:rPr>
        <w:t>Lawrie</w:t>
      </w:r>
      <w:r w:rsidR="008A5F7D" w:rsidRPr="008A5F7D">
        <w:rPr>
          <w:i/>
          <w:color w:val="000000"/>
          <w:szCs w:val="22"/>
        </w:rPr>
        <w:t xml:space="preserve"> et al</w:t>
      </w:r>
      <w:r w:rsidR="009D7B6E" w:rsidRPr="00851ED2">
        <w:rPr>
          <w:color w:val="000000"/>
          <w:szCs w:val="22"/>
        </w:rPr>
        <w:t>., 2010</w:t>
      </w:r>
      <w:r w:rsidRPr="00851ED2">
        <w:rPr>
          <w:color w:val="000000"/>
          <w:szCs w:val="22"/>
        </w:rPr>
        <w:t>a). Acquisition included a</w:t>
      </w:r>
      <w:r w:rsidRPr="00851ED2">
        <w:rPr>
          <w:szCs w:val="22"/>
        </w:rPr>
        <w:t>n AEM survey</w:t>
      </w:r>
      <w:r w:rsidR="0032523E" w:rsidRPr="00851ED2">
        <w:rPr>
          <w:szCs w:val="22"/>
        </w:rPr>
        <w:t xml:space="preserve"> (</w:t>
      </w:r>
      <w:r w:rsidR="00F81CBA" w:rsidRPr="00851ED2">
        <w:rPr>
          <w:szCs w:val="22"/>
        </w:rPr>
        <w:t>Lawrie</w:t>
      </w:r>
      <w:r w:rsidR="008A5F7D" w:rsidRPr="00CF7613">
        <w:rPr>
          <w:rStyle w:val="StyleItalic"/>
        </w:rPr>
        <w:t xml:space="preserve"> et al</w:t>
      </w:r>
      <w:r w:rsidR="00F81CBA" w:rsidRPr="00851ED2">
        <w:rPr>
          <w:szCs w:val="22"/>
        </w:rPr>
        <w:t xml:space="preserve">., 2009b, 2010a, </w:t>
      </w:r>
      <w:r w:rsidR="00851ED2" w:rsidRPr="00851ED2">
        <w:rPr>
          <w:szCs w:val="22"/>
        </w:rPr>
        <w:t xml:space="preserve">b, </w:t>
      </w:r>
      <w:r w:rsidR="00F81CBA" w:rsidRPr="00851ED2">
        <w:rPr>
          <w:szCs w:val="22"/>
        </w:rPr>
        <w:t>201</w:t>
      </w:r>
      <w:r w:rsidR="00851ED2" w:rsidRPr="00851ED2">
        <w:rPr>
          <w:szCs w:val="22"/>
        </w:rPr>
        <w:t>2a</w:t>
      </w:r>
      <w:r w:rsidR="0032523E" w:rsidRPr="00851ED2">
        <w:rPr>
          <w:szCs w:val="22"/>
        </w:rPr>
        <w:t>)</w:t>
      </w:r>
      <w:r w:rsidRPr="00851ED2">
        <w:rPr>
          <w:szCs w:val="22"/>
        </w:rPr>
        <w:t>, a light detection and ranging (L</w:t>
      </w:r>
      <w:r w:rsidR="0032523E" w:rsidRPr="00851ED2">
        <w:rPr>
          <w:szCs w:val="22"/>
        </w:rPr>
        <w:t>i</w:t>
      </w:r>
      <w:r w:rsidRPr="00851ED2">
        <w:rPr>
          <w:szCs w:val="22"/>
        </w:rPr>
        <w:t>DAR) survey</w:t>
      </w:r>
      <w:r w:rsidR="0032523E" w:rsidRPr="00851ED2">
        <w:rPr>
          <w:szCs w:val="22"/>
        </w:rPr>
        <w:t xml:space="preserve"> (Lawrie</w:t>
      </w:r>
      <w:r w:rsidR="008A5F7D" w:rsidRPr="00CF7613">
        <w:rPr>
          <w:rStyle w:val="StyleItalic"/>
        </w:rPr>
        <w:t xml:space="preserve"> et al</w:t>
      </w:r>
      <w:r w:rsidR="0032523E" w:rsidRPr="00851ED2">
        <w:rPr>
          <w:szCs w:val="22"/>
        </w:rPr>
        <w:t xml:space="preserve">., </w:t>
      </w:r>
      <w:r w:rsidR="003F1A82">
        <w:rPr>
          <w:szCs w:val="22"/>
        </w:rPr>
        <w:t xml:space="preserve">2010a, </w:t>
      </w:r>
      <w:r w:rsidR="0032523E" w:rsidRPr="00851ED2">
        <w:rPr>
          <w:szCs w:val="22"/>
        </w:rPr>
        <w:t>2012f)</w:t>
      </w:r>
      <w:r w:rsidRPr="00851ED2">
        <w:rPr>
          <w:szCs w:val="22"/>
        </w:rPr>
        <w:t xml:space="preserve">, </w:t>
      </w:r>
      <w:r w:rsidRPr="00851ED2">
        <w:rPr>
          <w:color w:val="000000"/>
          <w:szCs w:val="22"/>
        </w:rPr>
        <w:t>a</w:t>
      </w:r>
      <w:r w:rsidRPr="00851ED2">
        <w:rPr>
          <w:szCs w:val="22"/>
        </w:rPr>
        <w:t xml:space="preserve"> drilling program of 44 sonic and rotary mud holes</w:t>
      </w:r>
      <w:r w:rsidR="00851ED2" w:rsidRPr="00851ED2">
        <w:rPr>
          <w:szCs w:val="22"/>
        </w:rPr>
        <w:t xml:space="preserve">, </w:t>
      </w:r>
      <w:r w:rsidRPr="00851ED2">
        <w:rPr>
          <w:szCs w:val="22"/>
        </w:rPr>
        <w:t>borehole geophysics (</w:t>
      </w:r>
      <w:r w:rsidR="005E4B77">
        <w:rPr>
          <w:szCs w:val="22"/>
        </w:rPr>
        <w:t>induction</w:t>
      </w:r>
      <w:r w:rsidRPr="00851ED2">
        <w:rPr>
          <w:szCs w:val="22"/>
        </w:rPr>
        <w:t xml:space="preserve"> and </w:t>
      </w:r>
      <w:smartTag w:uri="urn:schemas-microsoft-com:office:smarttags" w:element="PersonName">
        <w:r w:rsidRPr="00851ED2">
          <w:rPr>
            <w:szCs w:val="22"/>
          </w:rPr>
          <w:t>ga</w:t>
        </w:r>
      </w:smartTag>
      <w:r w:rsidRPr="00851ED2">
        <w:rPr>
          <w:szCs w:val="22"/>
        </w:rPr>
        <w:t>mma logging</w:t>
      </w:r>
      <w:r w:rsidR="00851ED2" w:rsidRPr="00851ED2">
        <w:rPr>
          <w:szCs w:val="22"/>
        </w:rPr>
        <w:t xml:space="preserve">), </w:t>
      </w:r>
      <w:r w:rsidRPr="00851ED2">
        <w:rPr>
          <w:color w:val="000000"/>
          <w:szCs w:val="22"/>
        </w:rPr>
        <w:t xml:space="preserve">field mapping, aquifer slug and </w:t>
      </w:r>
      <w:r w:rsidRPr="00851ED2">
        <w:rPr>
          <w:szCs w:val="22"/>
        </w:rPr>
        <w:t>pump tests</w:t>
      </w:r>
      <w:r w:rsidR="00851ED2" w:rsidRPr="00851ED2">
        <w:rPr>
          <w:szCs w:val="22"/>
        </w:rPr>
        <w:t xml:space="preserve">, </w:t>
      </w:r>
      <w:r w:rsidRPr="00851ED2">
        <w:rPr>
          <w:szCs w:val="22"/>
        </w:rPr>
        <w:t>and field and laboratory hydrogeochemical investigations</w:t>
      </w:r>
      <w:r w:rsidR="00851ED2" w:rsidRPr="00851ED2">
        <w:rPr>
          <w:szCs w:val="22"/>
        </w:rPr>
        <w:t xml:space="preserve"> (Lawrie</w:t>
      </w:r>
      <w:r w:rsidR="008A5F7D" w:rsidRPr="00CF7613">
        <w:rPr>
          <w:rStyle w:val="StyleItalic"/>
        </w:rPr>
        <w:t xml:space="preserve"> et al</w:t>
      </w:r>
      <w:r w:rsidR="00851ED2" w:rsidRPr="00851ED2">
        <w:rPr>
          <w:szCs w:val="22"/>
        </w:rPr>
        <w:t>., 2012a)</w:t>
      </w:r>
      <w:r w:rsidRPr="00851ED2">
        <w:rPr>
          <w:szCs w:val="22"/>
        </w:rPr>
        <w:t xml:space="preserve">. </w:t>
      </w:r>
      <w:r w:rsidRPr="00851ED2">
        <w:rPr>
          <w:color w:val="000000"/>
          <w:szCs w:val="22"/>
        </w:rPr>
        <w:t xml:space="preserve">The Phase 2 study identified </w:t>
      </w:r>
      <w:r w:rsidRPr="00851ED2">
        <w:rPr>
          <w:szCs w:val="22"/>
        </w:rPr>
        <w:t>potential groundwater resource and MAR targets</w:t>
      </w:r>
      <w:r w:rsidR="008C4656" w:rsidRPr="00851ED2">
        <w:rPr>
          <w:szCs w:val="22"/>
        </w:rPr>
        <w:t xml:space="preserve"> (Lawrie</w:t>
      </w:r>
      <w:r w:rsidR="008A5F7D" w:rsidRPr="00CF7613">
        <w:rPr>
          <w:rStyle w:val="StyleItalic"/>
        </w:rPr>
        <w:t xml:space="preserve"> et al</w:t>
      </w:r>
      <w:r w:rsidR="008C4656" w:rsidRPr="00851ED2">
        <w:rPr>
          <w:szCs w:val="22"/>
        </w:rPr>
        <w:t>., 2010a)</w:t>
      </w:r>
      <w:r w:rsidRPr="00851ED2">
        <w:rPr>
          <w:szCs w:val="22"/>
        </w:rPr>
        <w:t xml:space="preserve">, and an excellent aquifer (the </w:t>
      </w:r>
      <w:r w:rsidR="00C217F0">
        <w:rPr>
          <w:szCs w:val="22"/>
        </w:rPr>
        <w:t>Calivil Formation</w:t>
      </w:r>
      <w:r w:rsidRPr="00851ED2">
        <w:rPr>
          <w:szCs w:val="22"/>
        </w:rPr>
        <w:t>), on which subsequent investigations focussed</w:t>
      </w:r>
      <w:r w:rsidR="008C4656" w:rsidRPr="00851ED2">
        <w:rPr>
          <w:szCs w:val="22"/>
        </w:rPr>
        <w:t xml:space="preserve"> (Lawrie</w:t>
      </w:r>
      <w:r w:rsidR="008A5F7D" w:rsidRPr="00CF7613">
        <w:rPr>
          <w:rStyle w:val="StyleItalic"/>
        </w:rPr>
        <w:t xml:space="preserve"> et al</w:t>
      </w:r>
      <w:r w:rsidR="008C4656" w:rsidRPr="00851ED2">
        <w:rPr>
          <w:szCs w:val="22"/>
        </w:rPr>
        <w:t>., 2011)</w:t>
      </w:r>
      <w:r w:rsidRPr="00851ED2">
        <w:rPr>
          <w:szCs w:val="22"/>
        </w:rPr>
        <w:t>.</w:t>
      </w:r>
    </w:p>
    <w:p w:rsidR="003D1A7E" w:rsidRPr="00851ED2" w:rsidRDefault="003D1A7E" w:rsidP="003D1A7E">
      <w:pPr>
        <w:rPr>
          <w:color w:val="000000"/>
        </w:rPr>
      </w:pPr>
    </w:p>
    <w:p w:rsidR="003D1A7E" w:rsidRPr="00851ED2" w:rsidRDefault="003D1A7E" w:rsidP="003D1A7E">
      <w:pPr>
        <w:rPr>
          <w:color w:val="000000"/>
        </w:rPr>
      </w:pPr>
      <w:r w:rsidRPr="00851ED2">
        <w:rPr>
          <w:color w:val="000000"/>
        </w:rPr>
        <w:t>Phase 3a investigations were focussed on an area within 20</w:t>
      </w:r>
      <w:r w:rsidR="00DC636D" w:rsidRPr="00851ED2">
        <w:rPr>
          <w:color w:val="000000"/>
        </w:rPr>
        <w:t xml:space="preserve"> </w:t>
      </w:r>
      <w:r w:rsidRPr="00851ED2">
        <w:rPr>
          <w:color w:val="000000"/>
        </w:rPr>
        <w:t xml:space="preserve">km from </w:t>
      </w:r>
      <w:r w:rsidR="00C217F0">
        <w:rPr>
          <w:color w:val="000000"/>
        </w:rPr>
        <w:t>Menindee</w:t>
      </w:r>
      <w:r w:rsidR="00DC636D" w:rsidRPr="00851ED2">
        <w:rPr>
          <w:color w:val="000000"/>
        </w:rPr>
        <w:t xml:space="preserve">; findings are documented in </w:t>
      </w:r>
      <w:r w:rsidR="00851ED2" w:rsidRPr="00851ED2">
        <w:rPr>
          <w:color w:val="000000"/>
        </w:rPr>
        <w:t xml:space="preserve">more detail in </w:t>
      </w:r>
      <w:r w:rsidR="00DC636D" w:rsidRPr="00851ED2">
        <w:rPr>
          <w:color w:val="000000"/>
        </w:rPr>
        <w:t>Lawrie</w:t>
      </w:r>
      <w:r w:rsidR="008A5F7D" w:rsidRPr="008A5F7D">
        <w:rPr>
          <w:i/>
          <w:color w:val="000000"/>
        </w:rPr>
        <w:t xml:space="preserve"> et al</w:t>
      </w:r>
      <w:r w:rsidR="00DC636D" w:rsidRPr="00851ED2">
        <w:rPr>
          <w:i/>
          <w:color w:val="000000"/>
        </w:rPr>
        <w:t>.</w:t>
      </w:r>
      <w:r w:rsidR="00DC636D" w:rsidRPr="00851ED2">
        <w:rPr>
          <w:color w:val="000000"/>
        </w:rPr>
        <w:t xml:space="preserve"> (2012c)</w:t>
      </w:r>
      <w:r w:rsidRPr="00851ED2">
        <w:rPr>
          <w:color w:val="000000"/>
        </w:rPr>
        <w:t>. Investigations involved characterisation of the hydrogeological system at a limited number of sites (</w:t>
      </w:r>
      <w:r w:rsidR="009D7B6E" w:rsidRPr="00851ED2">
        <w:rPr>
          <w:color w:val="000000"/>
        </w:rPr>
        <w:t>Lawrie</w:t>
      </w:r>
      <w:r w:rsidR="008A5F7D" w:rsidRPr="008A5F7D">
        <w:rPr>
          <w:i/>
          <w:color w:val="000000"/>
        </w:rPr>
        <w:t xml:space="preserve"> et al</w:t>
      </w:r>
      <w:r w:rsidR="009D7B6E" w:rsidRPr="00851ED2">
        <w:rPr>
          <w:color w:val="000000"/>
        </w:rPr>
        <w:t>., 2010a</w:t>
      </w:r>
      <w:r w:rsidRPr="00851ED2">
        <w:rPr>
          <w:color w:val="000000"/>
        </w:rPr>
        <w:t>, b</w:t>
      </w:r>
      <w:r w:rsidR="00851ED2" w:rsidRPr="00851ED2">
        <w:rPr>
          <w:color w:val="000000"/>
        </w:rPr>
        <w:t>, 2012a, c</w:t>
      </w:r>
      <w:r w:rsidRPr="00851ED2">
        <w:rPr>
          <w:color w:val="000000"/>
        </w:rPr>
        <w:t xml:space="preserve">). Ranking of targets led investigations to focus on locations south of </w:t>
      </w:r>
      <w:r w:rsidR="007D1583">
        <w:rPr>
          <w:color w:val="000000"/>
        </w:rPr>
        <w:t>Menindee township</w:t>
      </w:r>
      <w:r w:rsidRPr="00851ED2">
        <w:rPr>
          <w:color w:val="000000"/>
        </w:rPr>
        <w:t xml:space="preserve">. The target was the Pliocene </w:t>
      </w:r>
      <w:r w:rsidR="00C217F0">
        <w:rPr>
          <w:color w:val="000000"/>
        </w:rPr>
        <w:t>Calivil Formation</w:t>
      </w:r>
      <w:r w:rsidRPr="00851ED2">
        <w:rPr>
          <w:color w:val="000000"/>
        </w:rPr>
        <w:t xml:space="preserve"> aquifer at depths of 30-80</w:t>
      </w:r>
      <w:r w:rsidR="0008529C">
        <w:rPr>
          <w:color w:val="000000"/>
        </w:rPr>
        <w:t xml:space="preserve"> </w:t>
      </w:r>
      <w:r w:rsidRPr="00851ED2">
        <w:rPr>
          <w:color w:val="000000"/>
        </w:rPr>
        <w:t xml:space="preserve">m below surface. </w:t>
      </w:r>
    </w:p>
    <w:p w:rsidR="003D1A7E" w:rsidRPr="00851ED2" w:rsidRDefault="003D1A7E" w:rsidP="003D1A7E">
      <w:pPr>
        <w:rPr>
          <w:color w:val="000000"/>
        </w:rPr>
      </w:pPr>
    </w:p>
    <w:p w:rsidR="003D1A7E" w:rsidRPr="00851ED2" w:rsidRDefault="003D1A7E" w:rsidP="003D1A7E">
      <w:pPr>
        <w:pStyle w:val="Level11"/>
        <w:numPr>
          <w:ilvl w:val="0"/>
          <w:numId w:val="0"/>
        </w:numPr>
        <w:spacing w:before="0"/>
        <w:rPr>
          <w:rFonts w:ascii="Times New Roman" w:hAnsi="Times New Roman"/>
          <w:sz w:val="22"/>
          <w:szCs w:val="22"/>
          <w:lang w:eastAsia="en-AU"/>
        </w:rPr>
      </w:pPr>
      <w:r w:rsidRPr="00851ED2">
        <w:rPr>
          <w:rFonts w:ascii="Times New Roman" w:hAnsi="Times New Roman"/>
          <w:sz w:val="22"/>
          <w:szCs w:val="22"/>
          <w:lang w:eastAsia="en-AU"/>
        </w:rPr>
        <w:t xml:space="preserve">Phase 3a investigations initially focussed in two small sub-areas (Jimargil and </w:t>
      </w:r>
      <w:r w:rsidR="00C217F0">
        <w:rPr>
          <w:rFonts w:ascii="Times New Roman" w:hAnsi="Times New Roman"/>
          <w:sz w:val="22"/>
          <w:szCs w:val="22"/>
          <w:lang w:eastAsia="en-AU"/>
        </w:rPr>
        <w:t xml:space="preserve">Menindee </w:t>
      </w:r>
      <w:r w:rsidRPr="00851ED2">
        <w:rPr>
          <w:rFonts w:ascii="Times New Roman" w:hAnsi="Times New Roman"/>
          <w:sz w:val="22"/>
          <w:szCs w:val="22"/>
          <w:lang w:eastAsia="en-AU"/>
        </w:rPr>
        <w:t>Common) within this target</w:t>
      </w:r>
      <w:r w:rsidR="008C4656" w:rsidRPr="00851ED2">
        <w:rPr>
          <w:rFonts w:ascii="Times New Roman" w:hAnsi="Times New Roman"/>
          <w:sz w:val="22"/>
          <w:szCs w:val="22"/>
          <w:lang w:eastAsia="en-AU"/>
        </w:rPr>
        <w:t xml:space="preserve"> (Lawrie</w:t>
      </w:r>
      <w:r w:rsidR="008A5F7D" w:rsidRPr="008A5F7D">
        <w:rPr>
          <w:rFonts w:ascii="Times New Roman" w:hAnsi="Times New Roman"/>
          <w:i/>
          <w:sz w:val="22"/>
          <w:szCs w:val="22"/>
          <w:lang w:eastAsia="en-AU"/>
        </w:rPr>
        <w:t xml:space="preserve"> et al</w:t>
      </w:r>
      <w:r w:rsidR="008C4656" w:rsidRPr="00851ED2">
        <w:rPr>
          <w:rFonts w:ascii="Times New Roman" w:hAnsi="Times New Roman"/>
          <w:i/>
          <w:sz w:val="22"/>
          <w:szCs w:val="22"/>
          <w:lang w:eastAsia="en-AU"/>
        </w:rPr>
        <w:t>.,</w:t>
      </w:r>
      <w:r w:rsidR="008C4656" w:rsidRPr="00851ED2">
        <w:rPr>
          <w:rFonts w:ascii="Times New Roman" w:hAnsi="Times New Roman"/>
          <w:sz w:val="22"/>
          <w:szCs w:val="22"/>
          <w:lang w:eastAsia="en-AU"/>
        </w:rPr>
        <w:t xml:space="preserve"> 2010b, 2011)</w:t>
      </w:r>
      <w:r w:rsidR="00851ED2" w:rsidRPr="00851ED2">
        <w:rPr>
          <w:rFonts w:ascii="Times New Roman" w:hAnsi="Times New Roman"/>
          <w:sz w:val="22"/>
          <w:szCs w:val="22"/>
          <w:lang w:eastAsia="en-AU"/>
        </w:rPr>
        <w:t>.</w:t>
      </w:r>
      <w:r w:rsidR="008C4656" w:rsidRPr="00851ED2">
        <w:rPr>
          <w:rFonts w:ascii="Times New Roman" w:hAnsi="Times New Roman"/>
          <w:sz w:val="22"/>
          <w:szCs w:val="22"/>
          <w:lang w:eastAsia="en-AU"/>
        </w:rPr>
        <w:t xml:space="preserve"> </w:t>
      </w:r>
      <w:r w:rsidRPr="00851ED2">
        <w:rPr>
          <w:rFonts w:ascii="Times New Roman" w:hAnsi="Times New Roman"/>
          <w:sz w:val="22"/>
          <w:szCs w:val="22"/>
          <w:lang w:eastAsia="en-AU"/>
        </w:rPr>
        <w:t xml:space="preserve">These sub-areas were chosen to assess bank filtration, basin infiltration and aquifer storage and recovery options, and contain two end members of the hydrogeological system within the aquifer. Both sites were considered representative of potential future borefield sites. Subsequently, work focussed primarily on the Jimargil site, with the </w:t>
      </w:r>
      <w:r w:rsidR="00C217F0">
        <w:rPr>
          <w:rFonts w:ascii="Times New Roman" w:hAnsi="Times New Roman"/>
          <w:sz w:val="22"/>
          <w:szCs w:val="22"/>
          <w:lang w:eastAsia="en-AU"/>
        </w:rPr>
        <w:t xml:space="preserve">Menindee </w:t>
      </w:r>
      <w:r w:rsidRPr="00851ED2">
        <w:rPr>
          <w:rFonts w:ascii="Times New Roman" w:hAnsi="Times New Roman"/>
          <w:sz w:val="22"/>
          <w:szCs w:val="22"/>
          <w:lang w:eastAsia="en-AU"/>
        </w:rPr>
        <w:t xml:space="preserve">Common site found to be less suitable. The Jimargil site (and surrounding area), has the appropriate hydrostratigraphy, significant native fresh groundwater, and was accessible in the project timeframes. </w:t>
      </w:r>
    </w:p>
    <w:p w:rsidR="003D1A7E" w:rsidRPr="00851ED2" w:rsidRDefault="003D1A7E" w:rsidP="003D1A7E"/>
    <w:p w:rsidR="001A0B80" w:rsidRDefault="003D1A7E" w:rsidP="003D1A7E">
      <w:r w:rsidRPr="00851ED2">
        <w:rPr>
          <w:szCs w:val="22"/>
        </w:rPr>
        <w:t xml:space="preserve">The datasets acquired in BHMAR phases 1-3, and a simplified project workflow showing the relationship of datasets are summarised in </w:t>
      </w:r>
      <w:r w:rsidR="001741E7" w:rsidRPr="00851ED2">
        <w:rPr>
          <w:szCs w:val="22"/>
        </w:rPr>
        <w:fldChar w:fldCharType="begin"/>
      </w:r>
      <w:r w:rsidR="001741E7" w:rsidRPr="00851ED2">
        <w:rPr>
          <w:szCs w:val="22"/>
        </w:rPr>
        <w:instrText xml:space="preserve"> REF _Ref325707042 \h </w:instrText>
      </w:r>
      <w:r w:rsidR="00795774" w:rsidRPr="00851ED2">
        <w:rPr>
          <w:szCs w:val="22"/>
        </w:rPr>
        <w:instrText xml:space="preserve"> \* MERGEFORMAT </w:instrText>
      </w:r>
      <w:r w:rsidR="001741E7" w:rsidRPr="00851ED2">
        <w:rPr>
          <w:szCs w:val="22"/>
        </w:rPr>
      </w:r>
      <w:r w:rsidR="001741E7" w:rsidRPr="00851ED2">
        <w:rPr>
          <w:szCs w:val="22"/>
        </w:rPr>
        <w:fldChar w:fldCharType="separate"/>
      </w:r>
      <w:r w:rsidR="00966532" w:rsidRPr="00966532">
        <w:t xml:space="preserve">Figure </w:t>
      </w:r>
      <w:r w:rsidR="00966532" w:rsidRPr="00966532">
        <w:rPr>
          <w:noProof/>
        </w:rPr>
        <w:t>3</w:t>
      </w:r>
      <w:r w:rsidR="00966532" w:rsidRPr="00966532">
        <w:rPr>
          <w:noProof/>
        </w:rPr>
        <w:noBreakHyphen/>
        <w:t>1</w:t>
      </w:r>
      <w:r w:rsidR="001741E7" w:rsidRPr="00851ED2">
        <w:rPr>
          <w:szCs w:val="22"/>
        </w:rPr>
        <w:fldChar w:fldCharType="end"/>
      </w:r>
      <w:r w:rsidR="00A6797D" w:rsidRPr="00851ED2">
        <w:rPr>
          <w:szCs w:val="22"/>
        </w:rPr>
        <w:t xml:space="preserve"> </w:t>
      </w:r>
      <w:r w:rsidRPr="00851ED2">
        <w:t xml:space="preserve">and </w:t>
      </w:r>
      <w:r w:rsidR="001741E7" w:rsidRPr="00851ED2">
        <w:fldChar w:fldCharType="begin"/>
      </w:r>
      <w:r w:rsidR="001741E7" w:rsidRPr="00851ED2">
        <w:instrText xml:space="preserve"> REF _Ref325707094 \h </w:instrText>
      </w:r>
      <w:r w:rsidR="00795774" w:rsidRPr="00851ED2">
        <w:instrText xml:space="preserve"> \* MERGEFORMAT </w:instrText>
      </w:r>
      <w:r w:rsidR="001741E7" w:rsidRPr="00851ED2">
        <w:fldChar w:fldCharType="separate"/>
      </w:r>
      <w:r w:rsidR="00966532" w:rsidRPr="00966532">
        <w:t xml:space="preserve">Figure </w:t>
      </w:r>
      <w:r w:rsidR="00966532" w:rsidRPr="00966532">
        <w:rPr>
          <w:noProof/>
        </w:rPr>
        <w:t>3</w:t>
      </w:r>
      <w:r w:rsidR="00966532" w:rsidRPr="00966532">
        <w:rPr>
          <w:noProof/>
        </w:rPr>
        <w:noBreakHyphen/>
        <w:t>2</w:t>
      </w:r>
      <w:r w:rsidR="001741E7" w:rsidRPr="00851ED2">
        <w:fldChar w:fldCharType="end"/>
      </w:r>
      <w:r w:rsidR="001741E7" w:rsidRPr="00851ED2">
        <w:t xml:space="preserve"> </w:t>
      </w:r>
      <w:r w:rsidRPr="00851ED2">
        <w:rPr>
          <w:szCs w:val="22"/>
        </w:rPr>
        <w:t>respectively.</w:t>
      </w:r>
      <w:r w:rsidRPr="00851ED2">
        <w:t xml:space="preserve"> </w:t>
      </w:r>
      <w:r w:rsidR="001A0B80" w:rsidRPr="00851ED2">
        <w:t>Data acquisition utilised a phased approach, and was guided by the two main project objectives, and the requirement to address very specific questions embedded with the national MAR guidelines (</w:t>
      </w:r>
      <w:r w:rsidR="00795774" w:rsidRPr="00851ED2">
        <w:t xml:space="preserve">see </w:t>
      </w:r>
      <w:r w:rsidR="00B96C96">
        <w:t>Section</w:t>
      </w:r>
      <w:r w:rsidR="00795774" w:rsidRPr="00851ED2">
        <w:t xml:space="preserve"> </w:t>
      </w:r>
      <w:r w:rsidR="00795774" w:rsidRPr="00851ED2">
        <w:fldChar w:fldCharType="begin"/>
      </w:r>
      <w:r w:rsidR="00795774" w:rsidRPr="00851ED2">
        <w:instrText xml:space="preserve"> REF _Ref325914949 \r \h  \* MERGEFORMAT </w:instrText>
      </w:r>
      <w:r w:rsidR="00795774" w:rsidRPr="00851ED2">
        <w:fldChar w:fldCharType="separate"/>
      </w:r>
      <w:r w:rsidR="00966532">
        <w:t>8</w:t>
      </w:r>
      <w:r w:rsidR="00795774" w:rsidRPr="00851ED2">
        <w:fldChar w:fldCharType="end"/>
      </w:r>
      <w:r w:rsidR="001A0B80" w:rsidRPr="00851ED2">
        <w:t>).</w:t>
      </w:r>
      <w:r w:rsidR="001A0B80">
        <w:t xml:space="preserve"> </w:t>
      </w:r>
    </w:p>
    <w:p w:rsidR="001A0B80" w:rsidRDefault="001A0B80" w:rsidP="003D1A7E"/>
    <w:p w:rsidR="004A48E6" w:rsidRDefault="004A48E6" w:rsidP="005E4B77"/>
    <w:p w:rsidR="005E4B77" w:rsidRPr="002A5B04" w:rsidRDefault="005E4B77" w:rsidP="005E4B77">
      <w:pPr>
        <w:rPr>
          <w:szCs w:val="22"/>
        </w:rPr>
      </w:pPr>
      <w:r>
        <w:lastRenderedPageBreak/>
        <w:t xml:space="preserve">In summary, </w:t>
      </w:r>
      <w:r>
        <w:rPr>
          <w:szCs w:val="22"/>
        </w:rPr>
        <w:t>t</w:t>
      </w:r>
      <w:r w:rsidRPr="00C658B3">
        <w:rPr>
          <w:szCs w:val="22"/>
        </w:rPr>
        <w:t xml:space="preserve">he </w:t>
      </w:r>
      <w:r>
        <w:rPr>
          <w:szCs w:val="22"/>
        </w:rPr>
        <w:t>BHMAR Project has acquired the following key datasets</w:t>
      </w:r>
      <w:r w:rsidRPr="00C658B3">
        <w:rPr>
          <w:szCs w:val="22"/>
        </w:rPr>
        <w:t>:</w:t>
      </w:r>
    </w:p>
    <w:p w:rsidR="005E4B77" w:rsidRPr="00C658B3" w:rsidRDefault="005E4B77" w:rsidP="004A48E6">
      <w:pPr>
        <w:numPr>
          <w:ilvl w:val="0"/>
          <w:numId w:val="48"/>
        </w:numPr>
        <w:spacing w:before="60"/>
        <w:ind w:left="1077" w:hanging="357"/>
        <w:rPr>
          <w:szCs w:val="22"/>
        </w:rPr>
      </w:pPr>
      <w:r w:rsidRPr="00C658B3">
        <w:rPr>
          <w:szCs w:val="22"/>
        </w:rPr>
        <w:t xml:space="preserve">A 31,834 line km airborne electromagnetic (AEM) survey </w:t>
      </w:r>
      <w:r>
        <w:rPr>
          <w:szCs w:val="22"/>
        </w:rPr>
        <w:t>using the SkyTEM heliTEM system</w:t>
      </w:r>
      <w:r w:rsidR="00590AC1">
        <w:rPr>
          <w:szCs w:val="22"/>
        </w:rPr>
        <w:t xml:space="preserve"> to map the electrical conductivity of the geological profile and groundwater systems</w:t>
      </w:r>
      <w:r>
        <w:rPr>
          <w:szCs w:val="22"/>
        </w:rPr>
        <w:t>;</w:t>
      </w:r>
      <w:r w:rsidRPr="00C658B3">
        <w:rPr>
          <w:szCs w:val="22"/>
        </w:rPr>
        <w:t xml:space="preserve"> </w:t>
      </w:r>
    </w:p>
    <w:p w:rsidR="005E4B77" w:rsidRPr="00C658B3" w:rsidRDefault="005E4B77" w:rsidP="004A48E6">
      <w:pPr>
        <w:numPr>
          <w:ilvl w:val="0"/>
          <w:numId w:val="48"/>
        </w:numPr>
        <w:spacing w:before="60"/>
        <w:ind w:left="1077" w:hanging="357"/>
        <w:rPr>
          <w:szCs w:val="22"/>
        </w:rPr>
      </w:pPr>
      <w:r w:rsidRPr="00C658B3">
        <w:rPr>
          <w:szCs w:val="22"/>
        </w:rPr>
        <w:t xml:space="preserve">A high resolution LiDAR digital elevation survey </w:t>
      </w:r>
      <w:r w:rsidRPr="00FC1053">
        <w:rPr>
          <w:szCs w:val="22"/>
        </w:rPr>
        <w:t>(</w:t>
      </w:r>
      <w:r w:rsidR="00FC1053" w:rsidRPr="00FC1053">
        <w:rPr>
          <w:szCs w:val="22"/>
        </w:rPr>
        <w:t>~50</w:t>
      </w:r>
      <w:r w:rsidRPr="00FC1053">
        <w:rPr>
          <w:szCs w:val="22"/>
        </w:rPr>
        <w:t>cm vertical resolution)</w:t>
      </w:r>
      <w:r>
        <w:rPr>
          <w:szCs w:val="22"/>
        </w:rPr>
        <w:t xml:space="preserve"> over the ~7,500</w:t>
      </w:r>
      <w:r w:rsidR="0008529C">
        <w:rPr>
          <w:szCs w:val="22"/>
        </w:rPr>
        <w:t xml:space="preserve"> </w:t>
      </w:r>
      <w:r>
        <w:rPr>
          <w:szCs w:val="22"/>
        </w:rPr>
        <w:t>km</w:t>
      </w:r>
      <w:r w:rsidRPr="00C658B3">
        <w:rPr>
          <w:szCs w:val="22"/>
          <w:vertAlign w:val="superscript"/>
        </w:rPr>
        <w:t>2</w:t>
      </w:r>
      <w:r>
        <w:rPr>
          <w:szCs w:val="22"/>
        </w:rPr>
        <w:t xml:space="preserve"> project area;</w:t>
      </w:r>
      <w:r w:rsidRPr="00C658B3">
        <w:rPr>
          <w:szCs w:val="22"/>
        </w:rPr>
        <w:t xml:space="preserve"> </w:t>
      </w:r>
    </w:p>
    <w:p w:rsidR="005E4B77" w:rsidRPr="00C658B3" w:rsidRDefault="005E4B77" w:rsidP="004A48E6">
      <w:pPr>
        <w:numPr>
          <w:ilvl w:val="0"/>
          <w:numId w:val="48"/>
        </w:numPr>
        <w:spacing w:before="60"/>
        <w:ind w:left="1077" w:hanging="357"/>
        <w:rPr>
          <w:szCs w:val="22"/>
        </w:rPr>
      </w:pPr>
      <w:r w:rsidRPr="00C658B3">
        <w:rPr>
          <w:szCs w:val="22"/>
        </w:rPr>
        <w:t>100 bores in a 7.5</w:t>
      </w:r>
      <w:r w:rsidR="0008529C">
        <w:rPr>
          <w:szCs w:val="22"/>
        </w:rPr>
        <w:t xml:space="preserve"> </w:t>
      </w:r>
      <w:r w:rsidRPr="00C658B3">
        <w:rPr>
          <w:szCs w:val="22"/>
        </w:rPr>
        <w:t xml:space="preserve">km drilling program, including </w:t>
      </w:r>
      <w:r w:rsidRPr="000B4790">
        <w:rPr>
          <w:szCs w:val="22"/>
        </w:rPr>
        <w:t xml:space="preserve">60 sonic bores </w:t>
      </w:r>
      <w:r w:rsidR="00590AC1">
        <w:rPr>
          <w:szCs w:val="22"/>
        </w:rPr>
        <w:t xml:space="preserve">to obtain good quality core material for analysis </w:t>
      </w:r>
      <w:r w:rsidRPr="000B4790">
        <w:rPr>
          <w:szCs w:val="22"/>
        </w:rPr>
        <w:t>(Figure D)</w:t>
      </w:r>
      <w:r>
        <w:rPr>
          <w:szCs w:val="22"/>
        </w:rPr>
        <w:t>;</w:t>
      </w:r>
    </w:p>
    <w:p w:rsidR="005E4B77" w:rsidRPr="00C658B3" w:rsidRDefault="005E4B77" w:rsidP="004A48E6">
      <w:pPr>
        <w:numPr>
          <w:ilvl w:val="0"/>
          <w:numId w:val="48"/>
        </w:numPr>
        <w:spacing w:before="60"/>
        <w:ind w:left="1077" w:hanging="357"/>
        <w:rPr>
          <w:szCs w:val="22"/>
        </w:rPr>
      </w:pPr>
      <w:r w:rsidRPr="00C658B3">
        <w:rPr>
          <w:szCs w:val="22"/>
        </w:rPr>
        <w:t>Construction of a piezometer network, including installation of automated data loggers in 40 bores</w:t>
      </w:r>
      <w:r>
        <w:rPr>
          <w:szCs w:val="22"/>
        </w:rPr>
        <w:t>, with g</w:t>
      </w:r>
      <w:r w:rsidRPr="00C658B3">
        <w:rPr>
          <w:szCs w:val="22"/>
        </w:rPr>
        <w:t xml:space="preserve">roundwater levels </w:t>
      </w:r>
      <w:r>
        <w:rPr>
          <w:szCs w:val="22"/>
        </w:rPr>
        <w:t>manually checked every 3-4 months;</w:t>
      </w:r>
    </w:p>
    <w:p w:rsidR="005E4B77" w:rsidRPr="00C658B3" w:rsidRDefault="005E4B77" w:rsidP="004A48E6">
      <w:pPr>
        <w:numPr>
          <w:ilvl w:val="0"/>
          <w:numId w:val="48"/>
        </w:numPr>
        <w:spacing w:before="60"/>
        <w:ind w:left="1077" w:hanging="357"/>
        <w:rPr>
          <w:szCs w:val="22"/>
        </w:rPr>
      </w:pPr>
      <w:r w:rsidRPr="00C658B3">
        <w:rPr>
          <w:szCs w:val="22"/>
        </w:rPr>
        <w:t xml:space="preserve">A hydrochemical sampling program of </w:t>
      </w:r>
      <w:r>
        <w:rPr>
          <w:szCs w:val="22"/>
        </w:rPr>
        <w:t xml:space="preserve">rainfall, </w:t>
      </w:r>
      <w:r w:rsidRPr="00C658B3">
        <w:rPr>
          <w:szCs w:val="22"/>
        </w:rPr>
        <w:t xml:space="preserve">surface water, groundwater and pore fluids. This entailed analysis of </w:t>
      </w:r>
      <w:r w:rsidR="00D26CA8">
        <w:rPr>
          <w:szCs w:val="22"/>
        </w:rPr>
        <w:t xml:space="preserve">about </w:t>
      </w:r>
      <w:r w:rsidRPr="00C658B3">
        <w:rPr>
          <w:szCs w:val="22"/>
        </w:rPr>
        <w:t>1600 hydrochemical samples (25 analy</w:t>
      </w:r>
      <w:r>
        <w:rPr>
          <w:szCs w:val="22"/>
        </w:rPr>
        <w:t>tes and including trace metals);</w:t>
      </w:r>
    </w:p>
    <w:p w:rsidR="005E4B77" w:rsidRPr="00C658B3" w:rsidRDefault="00D26CA8" w:rsidP="004A48E6">
      <w:pPr>
        <w:numPr>
          <w:ilvl w:val="0"/>
          <w:numId w:val="48"/>
        </w:numPr>
        <w:spacing w:before="60"/>
        <w:ind w:left="1077" w:hanging="357"/>
        <w:rPr>
          <w:szCs w:val="22"/>
        </w:rPr>
      </w:pPr>
      <w:r>
        <w:rPr>
          <w:szCs w:val="22"/>
        </w:rPr>
        <w:t>Stable i</w:t>
      </w:r>
      <w:r w:rsidR="005E4B77" w:rsidRPr="00C658B3">
        <w:rPr>
          <w:szCs w:val="22"/>
        </w:rPr>
        <w:t xml:space="preserve">sotopic characterisation of </w:t>
      </w:r>
      <w:r w:rsidR="005E4B77">
        <w:rPr>
          <w:szCs w:val="22"/>
        </w:rPr>
        <w:t>rainfall, river, lake and groundwater</w:t>
      </w:r>
      <w:r w:rsidR="00DF3E2A">
        <w:rPr>
          <w:szCs w:val="22"/>
        </w:rPr>
        <w:t xml:space="preserve"> to help understand hydrological processes</w:t>
      </w:r>
      <w:r w:rsidR="005E4B77">
        <w:rPr>
          <w:szCs w:val="22"/>
        </w:rPr>
        <w:t>;</w:t>
      </w:r>
    </w:p>
    <w:p w:rsidR="005E4B77" w:rsidRPr="00C658B3" w:rsidRDefault="005E4B77" w:rsidP="004A48E6">
      <w:pPr>
        <w:numPr>
          <w:ilvl w:val="0"/>
          <w:numId w:val="48"/>
        </w:numPr>
        <w:spacing w:before="60"/>
        <w:ind w:left="1077" w:hanging="357"/>
        <w:rPr>
          <w:szCs w:val="22"/>
        </w:rPr>
      </w:pPr>
      <w:r w:rsidRPr="00C658B3">
        <w:rPr>
          <w:szCs w:val="22"/>
        </w:rPr>
        <w:t xml:space="preserve">A program of groundwater age dating </w:t>
      </w:r>
      <w:r w:rsidR="00D26CA8">
        <w:rPr>
          <w:szCs w:val="22"/>
        </w:rPr>
        <w:t xml:space="preserve">using </w:t>
      </w:r>
      <w:r>
        <w:rPr>
          <w:szCs w:val="22"/>
        </w:rPr>
        <w:t xml:space="preserve">radiocarbon </w:t>
      </w:r>
      <w:r w:rsidR="00D26CA8">
        <w:rPr>
          <w:szCs w:val="22"/>
        </w:rPr>
        <w:t>(</w:t>
      </w:r>
      <w:r w:rsidRPr="00C658B3">
        <w:rPr>
          <w:szCs w:val="22"/>
          <w:vertAlign w:val="superscript"/>
        </w:rPr>
        <w:t>14</w:t>
      </w:r>
      <w:r w:rsidRPr="000C2CB7">
        <w:rPr>
          <w:szCs w:val="22"/>
        </w:rPr>
        <w:t>C</w:t>
      </w:r>
      <w:r w:rsidR="00D26CA8">
        <w:rPr>
          <w:szCs w:val="22"/>
        </w:rPr>
        <w:t>)</w:t>
      </w:r>
      <w:r w:rsidRPr="00C658B3">
        <w:rPr>
          <w:szCs w:val="22"/>
        </w:rPr>
        <w:t xml:space="preserve"> and </w:t>
      </w:r>
      <w:r>
        <w:rPr>
          <w:szCs w:val="22"/>
        </w:rPr>
        <w:t xml:space="preserve">chlorofluorocarbon </w:t>
      </w:r>
      <w:r w:rsidR="00D26CA8">
        <w:rPr>
          <w:szCs w:val="22"/>
        </w:rPr>
        <w:t>(</w:t>
      </w:r>
      <w:r w:rsidRPr="00C658B3">
        <w:rPr>
          <w:szCs w:val="22"/>
        </w:rPr>
        <w:t>CFC</w:t>
      </w:r>
      <w:r w:rsidR="00D26CA8">
        <w:rPr>
          <w:szCs w:val="22"/>
        </w:rPr>
        <w:t>)</w:t>
      </w:r>
      <w:r>
        <w:rPr>
          <w:szCs w:val="22"/>
        </w:rPr>
        <w:t xml:space="preserve"> tracers</w:t>
      </w:r>
      <w:r w:rsidR="00DF3E2A">
        <w:rPr>
          <w:szCs w:val="22"/>
        </w:rPr>
        <w:t>, to assess where and how often groundwater systems are being recharged</w:t>
      </w:r>
      <w:r>
        <w:rPr>
          <w:szCs w:val="22"/>
        </w:rPr>
        <w:t>;</w:t>
      </w:r>
    </w:p>
    <w:p w:rsidR="005E4B77" w:rsidRPr="00C658B3" w:rsidRDefault="005E4B77" w:rsidP="004A48E6">
      <w:pPr>
        <w:numPr>
          <w:ilvl w:val="0"/>
          <w:numId w:val="48"/>
        </w:numPr>
        <w:spacing w:before="60"/>
        <w:ind w:left="1077" w:hanging="357"/>
        <w:rPr>
          <w:szCs w:val="22"/>
        </w:rPr>
      </w:pPr>
      <w:r w:rsidRPr="00C658B3">
        <w:rPr>
          <w:szCs w:val="22"/>
        </w:rPr>
        <w:t>Limited (7-day) pump tests, and mo</w:t>
      </w:r>
      <w:r>
        <w:rPr>
          <w:szCs w:val="22"/>
        </w:rPr>
        <w:t>re extensive slug tests</w:t>
      </w:r>
      <w:r w:rsidR="00590AC1">
        <w:rPr>
          <w:szCs w:val="22"/>
        </w:rPr>
        <w:t xml:space="preserve"> to obtain estimates of aquifer hydraulic properties</w:t>
      </w:r>
      <w:r>
        <w:rPr>
          <w:szCs w:val="22"/>
        </w:rPr>
        <w:t>;</w:t>
      </w:r>
    </w:p>
    <w:p w:rsidR="005E4B77" w:rsidRPr="00C658B3" w:rsidRDefault="005E4B77" w:rsidP="004A48E6">
      <w:pPr>
        <w:numPr>
          <w:ilvl w:val="0"/>
          <w:numId w:val="48"/>
        </w:numPr>
        <w:spacing w:before="60"/>
        <w:ind w:left="1077" w:hanging="357"/>
        <w:rPr>
          <w:szCs w:val="22"/>
        </w:rPr>
      </w:pPr>
      <w:r w:rsidRPr="00C658B3">
        <w:rPr>
          <w:szCs w:val="22"/>
        </w:rPr>
        <w:t>Ground resistivity and IP surveys of potential borefield sites</w:t>
      </w:r>
      <w:r w:rsidR="00DF3E2A">
        <w:rPr>
          <w:szCs w:val="22"/>
        </w:rPr>
        <w:t xml:space="preserve"> to provide more detailed hydrogeological characterisation</w:t>
      </w:r>
      <w:r w:rsidR="00DF3E2A" w:rsidRPr="00DF3E2A">
        <w:rPr>
          <w:szCs w:val="22"/>
        </w:rPr>
        <w:t xml:space="preserve"> </w:t>
      </w:r>
      <w:r w:rsidR="00DF3E2A" w:rsidRPr="00C658B3">
        <w:rPr>
          <w:szCs w:val="22"/>
        </w:rPr>
        <w:t>of potential borefield sites</w:t>
      </w:r>
      <w:r>
        <w:rPr>
          <w:szCs w:val="22"/>
        </w:rPr>
        <w:t>;</w:t>
      </w:r>
    </w:p>
    <w:p w:rsidR="005E4B77" w:rsidRPr="00C658B3" w:rsidRDefault="005E4B77" w:rsidP="004A48E6">
      <w:pPr>
        <w:numPr>
          <w:ilvl w:val="0"/>
          <w:numId w:val="48"/>
        </w:numPr>
        <w:spacing w:before="60"/>
        <w:ind w:left="1077" w:hanging="357"/>
        <w:rPr>
          <w:szCs w:val="22"/>
        </w:rPr>
      </w:pPr>
      <w:r w:rsidRPr="00C658B3">
        <w:rPr>
          <w:szCs w:val="22"/>
        </w:rPr>
        <w:t xml:space="preserve">In-river mapping of the Darling River bed using multi-beam </w:t>
      </w:r>
      <w:r>
        <w:rPr>
          <w:szCs w:val="22"/>
        </w:rPr>
        <w:t>sonar (</w:t>
      </w:r>
      <w:r w:rsidR="001C0090">
        <w:rPr>
          <w:szCs w:val="22"/>
        </w:rPr>
        <w:t>echo sounder</w:t>
      </w:r>
      <w:r>
        <w:rPr>
          <w:szCs w:val="22"/>
        </w:rPr>
        <w:t xml:space="preserve">) and sub-bottom profiler </w:t>
      </w:r>
      <w:r w:rsidRPr="00C658B3">
        <w:rPr>
          <w:szCs w:val="22"/>
        </w:rPr>
        <w:t>methods to map river</w:t>
      </w:r>
      <w:r>
        <w:rPr>
          <w:szCs w:val="22"/>
        </w:rPr>
        <w:t xml:space="preserve"> bed bathymetry and composition</w:t>
      </w:r>
      <w:r w:rsidR="00DF3E2A">
        <w:rPr>
          <w:szCs w:val="22"/>
        </w:rPr>
        <w:t>, as baseline data to assess river-aquifer connectivity</w:t>
      </w:r>
      <w:r>
        <w:rPr>
          <w:szCs w:val="22"/>
        </w:rPr>
        <w:t>;</w:t>
      </w:r>
    </w:p>
    <w:p w:rsidR="005E4B77" w:rsidRPr="00C658B3" w:rsidRDefault="005E4B77" w:rsidP="004A48E6">
      <w:pPr>
        <w:numPr>
          <w:ilvl w:val="0"/>
          <w:numId w:val="48"/>
        </w:numPr>
        <w:spacing w:before="60"/>
        <w:ind w:left="1077" w:hanging="357"/>
        <w:rPr>
          <w:szCs w:val="22"/>
        </w:rPr>
      </w:pPr>
      <w:r w:rsidRPr="00C658B3">
        <w:rPr>
          <w:szCs w:val="22"/>
        </w:rPr>
        <w:t>Borehole geophysics including gamma</w:t>
      </w:r>
      <w:r>
        <w:rPr>
          <w:szCs w:val="22"/>
        </w:rPr>
        <w:t xml:space="preserve">, </w:t>
      </w:r>
      <w:r w:rsidRPr="00C658B3">
        <w:rPr>
          <w:szCs w:val="22"/>
        </w:rPr>
        <w:t>induction, and nuclear magnetic resonance (NMR)</w:t>
      </w:r>
      <w:r>
        <w:rPr>
          <w:szCs w:val="22"/>
        </w:rPr>
        <w:t xml:space="preserve"> logging</w:t>
      </w:r>
      <w:r w:rsidR="00DF3E2A">
        <w:rPr>
          <w:szCs w:val="22"/>
        </w:rPr>
        <w:t>, to provide information on sediment textures, salinity and hydraulic properties</w:t>
      </w:r>
      <w:r>
        <w:rPr>
          <w:szCs w:val="22"/>
        </w:rPr>
        <w:t>;</w:t>
      </w:r>
    </w:p>
    <w:p w:rsidR="005E4B77" w:rsidRPr="00C658B3" w:rsidRDefault="005E4B77" w:rsidP="004A48E6">
      <w:pPr>
        <w:numPr>
          <w:ilvl w:val="0"/>
          <w:numId w:val="48"/>
        </w:numPr>
        <w:spacing w:before="60"/>
        <w:ind w:left="1077" w:hanging="357"/>
        <w:rPr>
          <w:szCs w:val="22"/>
        </w:rPr>
      </w:pPr>
      <w:r w:rsidRPr="00C658B3">
        <w:rPr>
          <w:szCs w:val="22"/>
        </w:rPr>
        <w:t xml:space="preserve">Age dating of geological materials </w:t>
      </w:r>
      <w:r w:rsidR="00D26CA8">
        <w:rPr>
          <w:szCs w:val="22"/>
        </w:rPr>
        <w:t xml:space="preserve">with </w:t>
      </w:r>
      <w:r w:rsidR="00606A22">
        <w:rPr>
          <w:szCs w:val="22"/>
        </w:rPr>
        <w:t>optical stimulated luminescence (</w:t>
      </w:r>
      <w:r w:rsidRPr="00C658B3">
        <w:rPr>
          <w:szCs w:val="22"/>
        </w:rPr>
        <w:t>O</w:t>
      </w:r>
      <w:r>
        <w:rPr>
          <w:szCs w:val="22"/>
        </w:rPr>
        <w:t>SL</w:t>
      </w:r>
      <w:r w:rsidR="00606A22">
        <w:rPr>
          <w:szCs w:val="22"/>
        </w:rPr>
        <w:t>)</w:t>
      </w:r>
      <w:r>
        <w:rPr>
          <w:szCs w:val="22"/>
        </w:rPr>
        <w:t>, radiocarbon and palynology</w:t>
      </w:r>
      <w:r w:rsidR="00DF3E2A">
        <w:rPr>
          <w:szCs w:val="22"/>
        </w:rPr>
        <w:t>, to better understand sediment depositional history and hydrogeological variability</w:t>
      </w:r>
      <w:r>
        <w:rPr>
          <w:szCs w:val="22"/>
        </w:rPr>
        <w:t>;</w:t>
      </w:r>
    </w:p>
    <w:p w:rsidR="005E4B77" w:rsidRPr="00C658B3" w:rsidRDefault="005E4B77" w:rsidP="004A48E6">
      <w:pPr>
        <w:numPr>
          <w:ilvl w:val="0"/>
          <w:numId w:val="48"/>
        </w:numPr>
        <w:spacing w:before="60"/>
        <w:ind w:left="1077" w:hanging="357"/>
        <w:rPr>
          <w:szCs w:val="22"/>
        </w:rPr>
      </w:pPr>
      <w:r w:rsidRPr="00C658B3">
        <w:rPr>
          <w:szCs w:val="22"/>
        </w:rPr>
        <w:t>Laboratory column tests t</w:t>
      </w:r>
      <w:r>
        <w:rPr>
          <w:szCs w:val="22"/>
        </w:rPr>
        <w:t xml:space="preserve">o assess </w:t>
      </w:r>
      <w:r w:rsidR="00606A22">
        <w:rPr>
          <w:szCs w:val="22"/>
        </w:rPr>
        <w:t>aquifer storage and recovery (</w:t>
      </w:r>
      <w:r>
        <w:rPr>
          <w:szCs w:val="22"/>
        </w:rPr>
        <w:t>ASR</w:t>
      </w:r>
      <w:r w:rsidR="00606A22">
        <w:rPr>
          <w:szCs w:val="22"/>
        </w:rPr>
        <w:t>)</w:t>
      </w:r>
      <w:r>
        <w:rPr>
          <w:szCs w:val="22"/>
        </w:rPr>
        <w:t xml:space="preserve"> clogging potential;</w:t>
      </w:r>
    </w:p>
    <w:p w:rsidR="005E4B77" w:rsidRPr="00C658B3" w:rsidRDefault="005E4B77" w:rsidP="004A48E6">
      <w:pPr>
        <w:numPr>
          <w:ilvl w:val="0"/>
          <w:numId w:val="48"/>
        </w:numPr>
        <w:spacing w:before="60"/>
        <w:ind w:left="1077" w:hanging="357"/>
        <w:rPr>
          <w:szCs w:val="22"/>
        </w:rPr>
      </w:pPr>
      <w:r w:rsidRPr="00C658B3">
        <w:rPr>
          <w:szCs w:val="22"/>
        </w:rPr>
        <w:t>Laboratory permeameter</w:t>
      </w:r>
      <w:r>
        <w:rPr>
          <w:szCs w:val="22"/>
        </w:rPr>
        <w:t xml:space="preserve"> </w:t>
      </w:r>
      <w:r w:rsidR="00D26CA8">
        <w:rPr>
          <w:szCs w:val="22"/>
        </w:rPr>
        <w:t xml:space="preserve">and porosity </w:t>
      </w:r>
      <w:r>
        <w:rPr>
          <w:szCs w:val="22"/>
        </w:rPr>
        <w:t xml:space="preserve">testing of </w:t>
      </w:r>
      <w:r w:rsidR="001C0090">
        <w:rPr>
          <w:szCs w:val="22"/>
        </w:rPr>
        <w:t>drill core</w:t>
      </w:r>
      <w:r>
        <w:rPr>
          <w:szCs w:val="22"/>
        </w:rPr>
        <w:t xml:space="preserve"> materials;</w:t>
      </w:r>
    </w:p>
    <w:p w:rsidR="005E4B77" w:rsidRPr="00C658B3" w:rsidRDefault="005E4B77" w:rsidP="004A48E6">
      <w:pPr>
        <w:numPr>
          <w:ilvl w:val="0"/>
          <w:numId w:val="48"/>
        </w:numPr>
        <w:spacing w:before="60"/>
        <w:ind w:left="1077" w:hanging="357"/>
        <w:rPr>
          <w:szCs w:val="22"/>
        </w:rPr>
      </w:pPr>
      <w:r w:rsidRPr="00C658B3">
        <w:rPr>
          <w:szCs w:val="22"/>
        </w:rPr>
        <w:t xml:space="preserve">Geochemical analysis (major and trace elements) of </w:t>
      </w:r>
      <w:r w:rsidR="001C0090" w:rsidRPr="00C658B3">
        <w:rPr>
          <w:szCs w:val="22"/>
        </w:rPr>
        <w:t>dril</w:t>
      </w:r>
      <w:r w:rsidR="001C0090">
        <w:rPr>
          <w:szCs w:val="22"/>
        </w:rPr>
        <w:t>l core</w:t>
      </w:r>
      <w:r>
        <w:rPr>
          <w:szCs w:val="22"/>
        </w:rPr>
        <w:t xml:space="preserve"> materials</w:t>
      </w:r>
      <w:r w:rsidR="00DF3E2A">
        <w:rPr>
          <w:szCs w:val="22"/>
        </w:rPr>
        <w:t>,</w:t>
      </w:r>
      <w:r w:rsidR="00DF3E2A" w:rsidRPr="00DF3E2A">
        <w:rPr>
          <w:szCs w:val="22"/>
        </w:rPr>
        <w:t xml:space="preserve"> </w:t>
      </w:r>
      <w:r w:rsidR="00DF3E2A">
        <w:rPr>
          <w:szCs w:val="22"/>
        </w:rPr>
        <w:t>to assess potential water-rock interactions during MAR operations</w:t>
      </w:r>
      <w:r>
        <w:rPr>
          <w:szCs w:val="22"/>
        </w:rPr>
        <w:t>;</w:t>
      </w:r>
    </w:p>
    <w:p w:rsidR="005E4B77" w:rsidRPr="00C658B3" w:rsidRDefault="00D26CA8" w:rsidP="004A48E6">
      <w:pPr>
        <w:numPr>
          <w:ilvl w:val="0"/>
          <w:numId w:val="48"/>
        </w:numPr>
        <w:spacing w:before="60"/>
        <w:ind w:left="1077" w:hanging="357"/>
        <w:rPr>
          <w:szCs w:val="22"/>
        </w:rPr>
      </w:pPr>
      <w:r>
        <w:rPr>
          <w:szCs w:val="22"/>
        </w:rPr>
        <w:t>Scanning electron microscopy (</w:t>
      </w:r>
      <w:r w:rsidR="005E4B77" w:rsidRPr="00C658B3">
        <w:rPr>
          <w:szCs w:val="22"/>
        </w:rPr>
        <w:t>SEM</w:t>
      </w:r>
      <w:r>
        <w:rPr>
          <w:szCs w:val="22"/>
        </w:rPr>
        <w:t>)</w:t>
      </w:r>
      <w:r w:rsidR="005E4B77" w:rsidRPr="00C658B3">
        <w:rPr>
          <w:szCs w:val="22"/>
        </w:rPr>
        <w:t xml:space="preserve">, </w:t>
      </w:r>
      <w:r>
        <w:rPr>
          <w:szCs w:val="22"/>
        </w:rPr>
        <w:t>x-ray diffraction (</w:t>
      </w:r>
      <w:r w:rsidR="005E4B77" w:rsidRPr="00C658B3">
        <w:rPr>
          <w:szCs w:val="22"/>
        </w:rPr>
        <w:t>XRD</w:t>
      </w:r>
      <w:r>
        <w:rPr>
          <w:szCs w:val="22"/>
        </w:rPr>
        <w:t>)</w:t>
      </w:r>
      <w:r w:rsidR="005E4B77" w:rsidRPr="00C658B3">
        <w:rPr>
          <w:szCs w:val="22"/>
        </w:rPr>
        <w:t xml:space="preserve">, </w:t>
      </w:r>
      <w:r>
        <w:rPr>
          <w:szCs w:val="22"/>
        </w:rPr>
        <w:t>portable infrared mineral analyser (</w:t>
      </w:r>
      <w:r w:rsidR="005E4B77" w:rsidRPr="00C658B3">
        <w:rPr>
          <w:szCs w:val="22"/>
        </w:rPr>
        <w:t>PIMA</w:t>
      </w:r>
      <w:r>
        <w:rPr>
          <w:szCs w:val="22"/>
        </w:rPr>
        <w:t>)</w:t>
      </w:r>
      <w:r w:rsidR="005E4B77" w:rsidRPr="00C658B3">
        <w:rPr>
          <w:szCs w:val="22"/>
        </w:rPr>
        <w:t xml:space="preserve"> and Hylogging multi-spectral analysis of </w:t>
      </w:r>
      <w:r w:rsidR="001C0090" w:rsidRPr="00C658B3">
        <w:rPr>
          <w:szCs w:val="22"/>
        </w:rPr>
        <w:t>drill core</w:t>
      </w:r>
      <w:r w:rsidR="005E4B77" w:rsidRPr="00C658B3">
        <w:rPr>
          <w:szCs w:val="22"/>
        </w:rPr>
        <w:t xml:space="preserve"> mater</w:t>
      </w:r>
      <w:r w:rsidR="005E4B77">
        <w:rPr>
          <w:szCs w:val="22"/>
        </w:rPr>
        <w:t xml:space="preserve">ials for </w:t>
      </w:r>
      <w:r w:rsidR="00DF3E2A">
        <w:rPr>
          <w:szCs w:val="22"/>
        </w:rPr>
        <w:t xml:space="preserve">fine-scale </w:t>
      </w:r>
      <w:r w:rsidR="005E4B77">
        <w:rPr>
          <w:szCs w:val="22"/>
        </w:rPr>
        <w:t>mineralogical analysis;</w:t>
      </w:r>
      <w:r w:rsidR="005E4B77" w:rsidRPr="00C658B3">
        <w:rPr>
          <w:szCs w:val="22"/>
        </w:rPr>
        <w:t xml:space="preserve"> </w:t>
      </w:r>
    </w:p>
    <w:p w:rsidR="005E4B77" w:rsidRDefault="005E4B77" w:rsidP="004A48E6">
      <w:pPr>
        <w:numPr>
          <w:ilvl w:val="0"/>
          <w:numId w:val="48"/>
        </w:numPr>
        <w:spacing w:before="60"/>
        <w:ind w:left="1077" w:hanging="357"/>
        <w:rPr>
          <w:szCs w:val="22"/>
        </w:rPr>
      </w:pPr>
      <w:r>
        <w:rPr>
          <w:szCs w:val="22"/>
        </w:rPr>
        <w:t>Limited groundwater and water-rock interaction modelling;</w:t>
      </w:r>
    </w:p>
    <w:p w:rsidR="005E4B77" w:rsidRDefault="005E4B77" w:rsidP="004A48E6">
      <w:pPr>
        <w:numPr>
          <w:ilvl w:val="0"/>
          <w:numId w:val="48"/>
        </w:numPr>
        <w:spacing w:before="60"/>
        <w:ind w:left="1077" w:hanging="357"/>
        <w:rPr>
          <w:szCs w:val="22"/>
        </w:rPr>
      </w:pPr>
      <w:r>
        <w:rPr>
          <w:szCs w:val="22"/>
        </w:rPr>
        <w:t xml:space="preserve">Surface </w:t>
      </w:r>
      <w:r w:rsidR="00D26CA8">
        <w:rPr>
          <w:szCs w:val="22"/>
        </w:rPr>
        <w:t>g</w:t>
      </w:r>
      <w:r w:rsidRPr="00C658B3">
        <w:rPr>
          <w:szCs w:val="22"/>
        </w:rPr>
        <w:t>eomorphic mapping</w:t>
      </w:r>
      <w:r>
        <w:rPr>
          <w:szCs w:val="22"/>
        </w:rPr>
        <w:t>, trenching and hand augering</w:t>
      </w:r>
      <w:r w:rsidR="00816786">
        <w:rPr>
          <w:szCs w:val="22"/>
        </w:rPr>
        <w:t>, to assess</w:t>
      </w:r>
      <w:r w:rsidR="00552FEA">
        <w:rPr>
          <w:szCs w:val="22"/>
        </w:rPr>
        <w:t xml:space="preserve"> near-surface geology including infiltration characteristics</w:t>
      </w:r>
      <w:r>
        <w:rPr>
          <w:szCs w:val="22"/>
        </w:rPr>
        <w:t>; and</w:t>
      </w:r>
    </w:p>
    <w:p w:rsidR="005E4B77" w:rsidRDefault="005E4B77" w:rsidP="004A48E6">
      <w:pPr>
        <w:numPr>
          <w:ilvl w:val="0"/>
          <w:numId w:val="48"/>
        </w:numPr>
        <w:spacing w:before="60"/>
        <w:ind w:left="1077" w:hanging="357"/>
        <w:rPr>
          <w:szCs w:val="22"/>
        </w:rPr>
      </w:pPr>
      <w:r>
        <w:rPr>
          <w:szCs w:val="22"/>
        </w:rPr>
        <w:t>Mapping of Indigenous cultural heritage sites</w:t>
      </w:r>
      <w:r w:rsidR="00552FEA">
        <w:rPr>
          <w:szCs w:val="22"/>
        </w:rPr>
        <w:t>, to ensure protection during field operations</w:t>
      </w:r>
      <w:r>
        <w:rPr>
          <w:szCs w:val="22"/>
        </w:rPr>
        <w:t>.</w:t>
      </w:r>
    </w:p>
    <w:p w:rsidR="003D1A7E" w:rsidRPr="003D1A7E" w:rsidRDefault="003D1A7E" w:rsidP="003D1A7E"/>
    <w:p w:rsidR="000D33D9" w:rsidRPr="00851ED2" w:rsidRDefault="000D33D9" w:rsidP="000D33D9">
      <w:r w:rsidRPr="00851ED2">
        <w:t>Data processing, analysis and assessment methods are documented in detail in Lawrie</w:t>
      </w:r>
      <w:r w:rsidR="008A5F7D" w:rsidRPr="00CF7613">
        <w:rPr>
          <w:rStyle w:val="StyleItalic"/>
        </w:rPr>
        <w:t xml:space="preserve"> et al</w:t>
      </w:r>
      <w:r w:rsidRPr="00CF7613">
        <w:rPr>
          <w:rStyle w:val="StyleItalic"/>
        </w:rPr>
        <w:t>.</w:t>
      </w:r>
      <w:r w:rsidRPr="00851ED2">
        <w:t xml:space="preserve"> (2102a)</w:t>
      </w:r>
      <w:r w:rsidR="003C5D63" w:rsidRPr="00851ED2">
        <w:t>.</w:t>
      </w:r>
    </w:p>
    <w:p w:rsidR="003D1A7E" w:rsidRPr="00851ED2" w:rsidRDefault="003D1A7E" w:rsidP="000E25EB">
      <w:pPr>
        <w:spacing w:before="60"/>
        <w:rPr>
          <w:szCs w:val="22"/>
        </w:rPr>
      </w:pPr>
    </w:p>
    <w:p w:rsidR="00FE6473" w:rsidRPr="003D1A7E" w:rsidRDefault="00EF65FC" w:rsidP="00FE6473">
      <w:pPr>
        <w:pStyle w:val="Heading2"/>
        <w:tabs>
          <w:tab w:val="left" w:pos="720"/>
        </w:tabs>
        <w:spacing w:before="320"/>
      </w:pPr>
      <w:bookmarkStart w:id="160" w:name="_Toc390690096"/>
      <w:r>
        <w:t xml:space="preserve">Research </w:t>
      </w:r>
      <w:r w:rsidR="00D81A4D">
        <w:t>M</w:t>
      </w:r>
      <w:r>
        <w:t>ethodology and Project M</w:t>
      </w:r>
      <w:r w:rsidR="00FE6473">
        <w:t>anagement</w:t>
      </w:r>
      <w:bookmarkEnd w:id="160"/>
    </w:p>
    <w:p w:rsidR="00FE6473" w:rsidRDefault="00FE6473" w:rsidP="00FE6473">
      <w:pPr>
        <w:pStyle w:val="Level11"/>
        <w:numPr>
          <w:ilvl w:val="0"/>
          <w:numId w:val="0"/>
        </w:numPr>
        <w:spacing w:before="0"/>
        <w:rPr>
          <w:rFonts w:ascii="Times New Roman" w:hAnsi="Times New Roman"/>
          <w:sz w:val="22"/>
          <w:szCs w:val="22"/>
          <w:lang w:eastAsia="en-AU"/>
        </w:rPr>
      </w:pPr>
      <w:r>
        <w:rPr>
          <w:rFonts w:ascii="Times New Roman" w:hAnsi="Times New Roman"/>
          <w:sz w:val="22"/>
          <w:szCs w:val="22"/>
          <w:lang w:eastAsia="en-AU"/>
        </w:rPr>
        <w:t xml:space="preserve">In the BHMAR </w:t>
      </w:r>
      <w:r w:rsidRPr="00816D04">
        <w:rPr>
          <w:rFonts w:ascii="Times New Roman" w:hAnsi="Times New Roman"/>
          <w:sz w:val="22"/>
          <w:szCs w:val="22"/>
          <w:lang w:eastAsia="en-AU"/>
        </w:rPr>
        <w:t>project, investigations involved an integrated, multi-scale hydrogeophysical, hydrogeochemical and hydrogeological systems approach to map and assess near-surface (&lt;100</w:t>
      </w:r>
      <w:r w:rsidR="00030542">
        <w:rPr>
          <w:rFonts w:ascii="Times New Roman" w:hAnsi="Times New Roman"/>
          <w:sz w:val="22"/>
          <w:szCs w:val="22"/>
          <w:lang w:eastAsia="en-AU"/>
        </w:rPr>
        <w:t xml:space="preserve"> </w:t>
      </w:r>
      <w:r w:rsidRPr="00816D04">
        <w:rPr>
          <w:rFonts w:ascii="Times New Roman" w:hAnsi="Times New Roman"/>
          <w:sz w:val="22"/>
          <w:szCs w:val="22"/>
          <w:lang w:eastAsia="en-AU"/>
        </w:rPr>
        <w:t>m) aquifers and aquitards in unconsolidated alluvial sediments beneath the Darling River floodplain (Lawrie</w:t>
      </w:r>
      <w:r w:rsidR="008A5F7D" w:rsidRPr="008A5F7D">
        <w:rPr>
          <w:rFonts w:ascii="Times New Roman" w:hAnsi="Times New Roman"/>
          <w:i/>
          <w:sz w:val="22"/>
          <w:szCs w:val="22"/>
          <w:lang w:eastAsia="en-AU"/>
        </w:rPr>
        <w:t xml:space="preserve"> et al</w:t>
      </w:r>
      <w:r w:rsidRPr="00816D04">
        <w:rPr>
          <w:rFonts w:ascii="Times New Roman" w:hAnsi="Times New Roman"/>
          <w:sz w:val="22"/>
          <w:szCs w:val="22"/>
          <w:lang w:eastAsia="en-AU"/>
        </w:rPr>
        <w:t>., 2012</w:t>
      </w:r>
      <w:r>
        <w:rPr>
          <w:rFonts w:ascii="Times New Roman" w:hAnsi="Times New Roman"/>
          <w:sz w:val="22"/>
          <w:szCs w:val="22"/>
          <w:lang w:eastAsia="en-AU"/>
        </w:rPr>
        <w:t>b</w:t>
      </w:r>
      <w:r w:rsidRPr="00816D04">
        <w:rPr>
          <w:rFonts w:ascii="Times New Roman" w:hAnsi="Times New Roman"/>
          <w:sz w:val="22"/>
          <w:szCs w:val="22"/>
          <w:lang w:eastAsia="en-AU"/>
        </w:rPr>
        <w:t xml:space="preserve">). Data acquisition, integration and interpretation involved a large (&gt;50) multi-disciplinary group of geoscientists (geomorphologists, sedimentologists, regolith geoscientists, hydrogeologists, hydrogeophysicists, hydrogeochemists, geospatial analysts, remote sensing specialists, geochronologists, groundwater </w:t>
      </w:r>
      <w:r w:rsidR="001C0090" w:rsidRPr="00816D04">
        <w:rPr>
          <w:rFonts w:ascii="Times New Roman" w:hAnsi="Times New Roman"/>
          <w:sz w:val="22"/>
          <w:szCs w:val="22"/>
          <w:lang w:eastAsia="en-AU"/>
        </w:rPr>
        <w:t>modellers</w:t>
      </w:r>
      <w:r w:rsidRPr="00816D04">
        <w:rPr>
          <w:rFonts w:ascii="Times New Roman" w:hAnsi="Times New Roman"/>
          <w:sz w:val="22"/>
          <w:szCs w:val="22"/>
          <w:lang w:eastAsia="en-AU"/>
        </w:rPr>
        <w:t xml:space="preserve"> and structural geologists</w:t>
      </w:r>
      <w:r>
        <w:rPr>
          <w:rFonts w:ascii="Times New Roman" w:hAnsi="Times New Roman"/>
          <w:sz w:val="22"/>
          <w:szCs w:val="22"/>
          <w:lang w:eastAsia="en-AU"/>
        </w:rPr>
        <w:t xml:space="preserve">; </w:t>
      </w:r>
      <w:r w:rsidR="00B96C96" w:rsidRPr="00B96C96">
        <w:rPr>
          <w:rFonts w:ascii="Times New Roman" w:hAnsi="Times New Roman"/>
          <w:sz w:val="22"/>
          <w:szCs w:val="22"/>
          <w:lang w:eastAsia="en-AU"/>
        </w:rPr>
        <w:fldChar w:fldCharType="begin"/>
      </w:r>
      <w:r w:rsidR="00B96C96">
        <w:rPr>
          <w:rFonts w:ascii="Times New Roman" w:hAnsi="Times New Roman"/>
          <w:sz w:val="22"/>
          <w:szCs w:val="22"/>
          <w:lang w:eastAsia="en-AU"/>
        </w:rPr>
        <w:instrText xml:space="preserve"> REF _Ref325707042 \h  \* MERGEFORMAT </w:instrText>
      </w:r>
      <w:r w:rsidR="00B96C96" w:rsidRPr="00B96C96">
        <w:rPr>
          <w:rFonts w:ascii="Times New Roman" w:hAnsi="Times New Roman"/>
          <w:sz w:val="22"/>
          <w:szCs w:val="22"/>
          <w:lang w:eastAsia="en-AU"/>
        </w:rPr>
      </w:r>
      <w:r w:rsidR="00B96C96" w:rsidRPr="00B96C96">
        <w:rPr>
          <w:rFonts w:ascii="Times New Roman" w:hAnsi="Times New Roman"/>
          <w:sz w:val="22"/>
          <w:szCs w:val="22"/>
          <w:lang w:eastAsia="en-AU"/>
        </w:rPr>
        <w:fldChar w:fldCharType="separate"/>
      </w:r>
      <w:r w:rsidR="00966532" w:rsidRPr="00966532">
        <w:rPr>
          <w:rFonts w:ascii="Times New Roman" w:hAnsi="Times New Roman"/>
          <w:sz w:val="22"/>
          <w:szCs w:val="22"/>
          <w:lang w:eastAsia="en-AU"/>
        </w:rPr>
        <w:t>Figure 3</w:t>
      </w:r>
      <w:r w:rsidR="00966532" w:rsidRPr="00966532">
        <w:rPr>
          <w:rFonts w:ascii="Times New Roman" w:hAnsi="Times New Roman"/>
          <w:sz w:val="22"/>
          <w:szCs w:val="22"/>
          <w:lang w:eastAsia="en-AU"/>
        </w:rPr>
        <w:noBreakHyphen/>
        <w:t>1</w:t>
      </w:r>
      <w:r w:rsidR="00B96C96" w:rsidRPr="00B96C96">
        <w:rPr>
          <w:rFonts w:ascii="Times New Roman" w:hAnsi="Times New Roman"/>
          <w:sz w:val="22"/>
          <w:szCs w:val="22"/>
          <w:lang w:eastAsia="en-AU"/>
        </w:rPr>
        <w:fldChar w:fldCharType="end"/>
      </w:r>
      <w:r w:rsidRPr="00816D04">
        <w:rPr>
          <w:rFonts w:ascii="Times New Roman" w:hAnsi="Times New Roman"/>
          <w:sz w:val="22"/>
          <w:szCs w:val="22"/>
          <w:lang w:eastAsia="en-AU"/>
        </w:rPr>
        <w:t xml:space="preserve">), working in </w:t>
      </w:r>
      <w:r>
        <w:rPr>
          <w:rFonts w:ascii="Times New Roman" w:hAnsi="Times New Roman"/>
          <w:sz w:val="22"/>
          <w:szCs w:val="22"/>
          <w:lang w:eastAsia="en-AU"/>
        </w:rPr>
        <w:t>a team to understand the hydr</w:t>
      </w:r>
      <w:r w:rsidRPr="00816D04">
        <w:rPr>
          <w:rFonts w:ascii="Times New Roman" w:hAnsi="Times New Roman"/>
          <w:sz w:val="22"/>
          <w:szCs w:val="22"/>
          <w:lang w:eastAsia="en-AU"/>
        </w:rPr>
        <w:t>ological system and identify MAR and potential groundwater resource targets</w:t>
      </w:r>
      <w:r>
        <w:rPr>
          <w:rFonts w:ascii="Times New Roman" w:hAnsi="Times New Roman"/>
          <w:sz w:val="22"/>
          <w:szCs w:val="22"/>
          <w:lang w:eastAsia="en-AU"/>
        </w:rPr>
        <w:t xml:space="preserve"> (</w:t>
      </w:r>
      <w:r w:rsidR="00B96C96" w:rsidRPr="00B96C96">
        <w:rPr>
          <w:rFonts w:ascii="Times New Roman" w:hAnsi="Times New Roman"/>
          <w:sz w:val="22"/>
          <w:szCs w:val="22"/>
          <w:lang w:eastAsia="en-AU"/>
        </w:rPr>
        <w:fldChar w:fldCharType="begin"/>
      </w:r>
      <w:r w:rsidR="00B96C96">
        <w:rPr>
          <w:rFonts w:ascii="Times New Roman" w:hAnsi="Times New Roman"/>
          <w:sz w:val="22"/>
          <w:szCs w:val="22"/>
          <w:lang w:eastAsia="en-AU"/>
        </w:rPr>
        <w:instrText xml:space="preserve"> REF _Ref325707094 \h  \* MERGEFORMAT </w:instrText>
      </w:r>
      <w:r w:rsidR="00B96C96" w:rsidRPr="00B96C96">
        <w:rPr>
          <w:rFonts w:ascii="Times New Roman" w:hAnsi="Times New Roman"/>
          <w:sz w:val="22"/>
          <w:szCs w:val="22"/>
          <w:lang w:eastAsia="en-AU"/>
        </w:rPr>
      </w:r>
      <w:r w:rsidR="00B96C96" w:rsidRPr="00B96C96">
        <w:rPr>
          <w:rFonts w:ascii="Times New Roman" w:hAnsi="Times New Roman"/>
          <w:sz w:val="22"/>
          <w:szCs w:val="22"/>
          <w:lang w:eastAsia="en-AU"/>
        </w:rPr>
        <w:fldChar w:fldCharType="separate"/>
      </w:r>
      <w:r w:rsidR="00966532" w:rsidRPr="00966532">
        <w:rPr>
          <w:rFonts w:ascii="Times New Roman" w:hAnsi="Times New Roman"/>
          <w:sz w:val="22"/>
          <w:szCs w:val="22"/>
          <w:lang w:eastAsia="en-AU"/>
        </w:rPr>
        <w:t>Figure 3</w:t>
      </w:r>
      <w:r w:rsidR="00966532" w:rsidRPr="00966532">
        <w:rPr>
          <w:rFonts w:ascii="Times New Roman" w:hAnsi="Times New Roman"/>
          <w:sz w:val="22"/>
          <w:szCs w:val="22"/>
          <w:lang w:eastAsia="en-AU"/>
        </w:rPr>
        <w:noBreakHyphen/>
        <w:t>2</w:t>
      </w:r>
      <w:r w:rsidR="00B96C96" w:rsidRPr="00B96C96">
        <w:rPr>
          <w:rFonts w:ascii="Times New Roman" w:hAnsi="Times New Roman"/>
          <w:sz w:val="22"/>
          <w:szCs w:val="22"/>
          <w:lang w:eastAsia="en-AU"/>
        </w:rPr>
        <w:fldChar w:fldCharType="end"/>
      </w:r>
      <w:r>
        <w:rPr>
          <w:rFonts w:ascii="Times New Roman" w:hAnsi="Times New Roman"/>
          <w:sz w:val="22"/>
          <w:szCs w:val="22"/>
          <w:lang w:eastAsia="en-AU"/>
        </w:rPr>
        <w:t xml:space="preserve">). </w:t>
      </w:r>
      <w:r w:rsidR="001C0090">
        <w:rPr>
          <w:rFonts w:ascii="Times New Roman" w:hAnsi="Times New Roman"/>
          <w:sz w:val="22"/>
          <w:szCs w:val="22"/>
          <w:lang w:eastAsia="en-AU"/>
        </w:rPr>
        <w:t xml:space="preserve">The research </w:t>
      </w:r>
      <w:r w:rsidR="001C0090">
        <w:rPr>
          <w:rFonts w:ascii="Times New Roman" w:hAnsi="Times New Roman"/>
          <w:sz w:val="22"/>
          <w:szCs w:val="22"/>
          <w:lang w:eastAsia="en-AU"/>
        </w:rPr>
        <w:lastRenderedPageBreak/>
        <w:t xml:space="preserve">team was based largely at Geoscience </w:t>
      </w:r>
      <w:smartTag w:uri="urn:schemas-microsoft-com:office:smarttags" w:element="country-region">
        <w:r w:rsidR="001C0090">
          <w:rPr>
            <w:rFonts w:ascii="Times New Roman" w:hAnsi="Times New Roman"/>
            <w:sz w:val="22"/>
            <w:szCs w:val="22"/>
            <w:lang w:eastAsia="en-AU"/>
          </w:rPr>
          <w:t>Australia</w:t>
        </w:r>
      </w:smartTag>
      <w:r w:rsidR="001C0090">
        <w:rPr>
          <w:rFonts w:ascii="Times New Roman" w:hAnsi="Times New Roman"/>
          <w:sz w:val="22"/>
          <w:szCs w:val="22"/>
          <w:lang w:eastAsia="en-AU"/>
        </w:rPr>
        <w:t xml:space="preserve"> in </w:t>
      </w:r>
      <w:smartTag w:uri="urn:schemas-microsoft-com:office:smarttags" w:element="City">
        <w:r w:rsidR="001C0090">
          <w:rPr>
            <w:rFonts w:ascii="Times New Roman" w:hAnsi="Times New Roman"/>
            <w:sz w:val="22"/>
            <w:szCs w:val="22"/>
            <w:lang w:eastAsia="en-AU"/>
          </w:rPr>
          <w:t>Canberra</w:t>
        </w:r>
      </w:smartTag>
      <w:r w:rsidR="001C0090">
        <w:rPr>
          <w:rFonts w:ascii="Times New Roman" w:hAnsi="Times New Roman"/>
          <w:sz w:val="22"/>
          <w:szCs w:val="22"/>
          <w:lang w:eastAsia="en-AU"/>
        </w:rPr>
        <w:t xml:space="preserve"> however key researchers included colleagues elsewhere in </w:t>
      </w:r>
      <w:smartTag w:uri="urn:schemas-microsoft-com:office:smarttags" w:element="City">
        <w:r w:rsidR="001C0090">
          <w:rPr>
            <w:rFonts w:ascii="Times New Roman" w:hAnsi="Times New Roman"/>
            <w:sz w:val="22"/>
            <w:szCs w:val="22"/>
            <w:lang w:eastAsia="en-AU"/>
          </w:rPr>
          <w:t>Canberra</w:t>
        </w:r>
      </w:smartTag>
      <w:r w:rsidR="001C0090">
        <w:rPr>
          <w:rFonts w:ascii="Times New Roman" w:hAnsi="Times New Roman"/>
          <w:sz w:val="22"/>
          <w:szCs w:val="22"/>
          <w:lang w:eastAsia="en-AU"/>
        </w:rPr>
        <w:t xml:space="preserve">, </w:t>
      </w:r>
      <w:smartTag w:uri="urn:schemas-microsoft-com:office:smarttags" w:element="City">
        <w:r w:rsidR="001C0090">
          <w:rPr>
            <w:rFonts w:ascii="Times New Roman" w:hAnsi="Times New Roman"/>
            <w:sz w:val="22"/>
            <w:szCs w:val="22"/>
            <w:lang w:eastAsia="en-AU"/>
          </w:rPr>
          <w:t>Adelaide</w:t>
        </w:r>
      </w:smartTag>
      <w:r w:rsidR="001C0090">
        <w:rPr>
          <w:rFonts w:ascii="Times New Roman" w:hAnsi="Times New Roman"/>
          <w:sz w:val="22"/>
          <w:szCs w:val="22"/>
          <w:lang w:eastAsia="en-AU"/>
        </w:rPr>
        <w:t xml:space="preserve"> and </w:t>
      </w:r>
      <w:smartTag w:uri="urn:schemas-microsoft-com:office:smarttags" w:element="City">
        <w:r w:rsidR="001C0090">
          <w:rPr>
            <w:rFonts w:ascii="Times New Roman" w:hAnsi="Times New Roman"/>
            <w:sz w:val="22"/>
            <w:szCs w:val="22"/>
            <w:lang w:eastAsia="en-AU"/>
          </w:rPr>
          <w:t>Perth</w:t>
        </w:r>
      </w:smartTag>
      <w:r w:rsidR="001C0090">
        <w:rPr>
          <w:rFonts w:ascii="Times New Roman" w:hAnsi="Times New Roman"/>
          <w:sz w:val="22"/>
          <w:szCs w:val="22"/>
          <w:lang w:eastAsia="en-AU"/>
        </w:rPr>
        <w:t xml:space="preserve"> in </w:t>
      </w:r>
      <w:smartTag w:uri="urn:schemas-microsoft-com:office:smarttags" w:element="country-region">
        <w:r w:rsidR="001C0090">
          <w:rPr>
            <w:rFonts w:ascii="Times New Roman" w:hAnsi="Times New Roman"/>
            <w:sz w:val="22"/>
            <w:szCs w:val="22"/>
            <w:lang w:eastAsia="en-AU"/>
          </w:rPr>
          <w:t>Australia</w:t>
        </w:r>
      </w:smartTag>
      <w:r w:rsidR="001C0090">
        <w:rPr>
          <w:rFonts w:ascii="Times New Roman" w:hAnsi="Times New Roman"/>
          <w:sz w:val="22"/>
          <w:szCs w:val="22"/>
          <w:lang w:eastAsia="en-AU"/>
        </w:rPr>
        <w:t xml:space="preserve">, in </w:t>
      </w:r>
      <w:smartTag w:uri="urn:schemas-microsoft-com:office:smarttags" w:element="country-region">
        <w:r w:rsidR="001C0090">
          <w:rPr>
            <w:rFonts w:ascii="Times New Roman" w:hAnsi="Times New Roman"/>
            <w:sz w:val="22"/>
            <w:szCs w:val="22"/>
            <w:lang w:eastAsia="en-AU"/>
          </w:rPr>
          <w:t>Denmark</w:t>
        </w:r>
      </w:smartTag>
      <w:r w:rsidR="001C0090">
        <w:rPr>
          <w:rFonts w:ascii="Times New Roman" w:hAnsi="Times New Roman"/>
          <w:sz w:val="22"/>
          <w:szCs w:val="22"/>
          <w:lang w:eastAsia="en-AU"/>
        </w:rPr>
        <w:t xml:space="preserve">, and in the </w:t>
      </w:r>
      <w:smartTag w:uri="urn:schemas-microsoft-com:office:smarttags" w:element="place">
        <w:smartTag w:uri="urn:schemas-microsoft-com:office:smarttags" w:element="country-region">
          <w:r w:rsidR="001C0090">
            <w:rPr>
              <w:rFonts w:ascii="Times New Roman" w:hAnsi="Times New Roman"/>
              <w:sz w:val="22"/>
              <w:szCs w:val="22"/>
              <w:lang w:eastAsia="en-AU"/>
            </w:rPr>
            <w:t>United States of America</w:t>
          </w:r>
        </w:smartTag>
      </w:smartTag>
      <w:r w:rsidR="001C0090">
        <w:rPr>
          <w:rFonts w:ascii="Times New Roman" w:hAnsi="Times New Roman"/>
          <w:sz w:val="22"/>
          <w:szCs w:val="22"/>
          <w:lang w:eastAsia="en-AU"/>
        </w:rPr>
        <w:t>.</w:t>
      </w:r>
    </w:p>
    <w:p w:rsidR="00FE6473" w:rsidRDefault="00FE6473" w:rsidP="00FE6473">
      <w:pPr>
        <w:pStyle w:val="Level11"/>
        <w:numPr>
          <w:ilvl w:val="0"/>
          <w:numId w:val="0"/>
        </w:numPr>
        <w:spacing w:before="0"/>
        <w:rPr>
          <w:rFonts w:ascii="Times New Roman" w:hAnsi="Times New Roman"/>
          <w:sz w:val="22"/>
          <w:szCs w:val="22"/>
          <w:lang w:eastAsia="en-AU"/>
        </w:rPr>
      </w:pPr>
    </w:p>
    <w:p w:rsidR="00FE6473" w:rsidRDefault="00FE6473" w:rsidP="00FE6473">
      <w:pPr>
        <w:pStyle w:val="Level11"/>
        <w:numPr>
          <w:ilvl w:val="0"/>
          <w:numId w:val="0"/>
        </w:numPr>
        <w:spacing w:before="0"/>
        <w:rPr>
          <w:rFonts w:ascii="Times New Roman" w:hAnsi="Times New Roman"/>
          <w:sz w:val="22"/>
          <w:szCs w:val="22"/>
          <w:lang w:eastAsia="en-AU"/>
        </w:rPr>
      </w:pPr>
      <w:r w:rsidRPr="00816D04">
        <w:rPr>
          <w:rFonts w:ascii="Times New Roman" w:hAnsi="Times New Roman"/>
          <w:sz w:val="22"/>
          <w:szCs w:val="22"/>
          <w:lang w:eastAsia="en-AU"/>
        </w:rPr>
        <w:t xml:space="preserve">Critical to successful completion of MAR pre-commissioning maximal and residual risk assessments was an evolution in team science and project management from </w:t>
      </w:r>
      <w:r>
        <w:rPr>
          <w:rFonts w:ascii="Times New Roman" w:hAnsi="Times New Roman"/>
          <w:sz w:val="22"/>
          <w:szCs w:val="22"/>
          <w:lang w:eastAsia="en-AU"/>
        </w:rPr>
        <w:t>multi-disciplin</w:t>
      </w:r>
      <w:r w:rsidRPr="00816D04">
        <w:rPr>
          <w:rFonts w:ascii="Times New Roman" w:hAnsi="Times New Roman"/>
          <w:sz w:val="22"/>
          <w:szCs w:val="22"/>
          <w:lang w:eastAsia="en-AU"/>
        </w:rPr>
        <w:t xml:space="preserve">ary, to </w:t>
      </w:r>
      <w:r>
        <w:rPr>
          <w:rFonts w:ascii="Times New Roman" w:hAnsi="Times New Roman"/>
          <w:sz w:val="22"/>
          <w:szCs w:val="22"/>
          <w:lang w:eastAsia="en-AU"/>
        </w:rPr>
        <w:t>inter-disciplin</w:t>
      </w:r>
      <w:r w:rsidRPr="00816D04">
        <w:rPr>
          <w:rFonts w:ascii="Times New Roman" w:hAnsi="Times New Roman"/>
          <w:sz w:val="22"/>
          <w:szCs w:val="22"/>
          <w:lang w:eastAsia="en-AU"/>
        </w:rPr>
        <w:t xml:space="preserve">ary and finally a </w:t>
      </w:r>
      <w:r>
        <w:rPr>
          <w:rFonts w:ascii="Times New Roman" w:hAnsi="Times New Roman"/>
          <w:sz w:val="22"/>
          <w:szCs w:val="22"/>
          <w:lang w:eastAsia="en-AU"/>
        </w:rPr>
        <w:t>trans-disciplin</w:t>
      </w:r>
      <w:r w:rsidRPr="00816D04">
        <w:rPr>
          <w:rFonts w:ascii="Times New Roman" w:hAnsi="Times New Roman"/>
          <w:sz w:val="22"/>
          <w:szCs w:val="22"/>
          <w:lang w:eastAsia="en-AU"/>
        </w:rPr>
        <w:t>ary approach</w:t>
      </w:r>
      <w:r>
        <w:rPr>
          <w:rFonts w:ascii="Times New Roman" w:hAnsi="Times New Roman"/>
          <w:sz w:val="22"/>
          <w:szCs w:val="22"/>
          <w:lang w:eastAsia="en-AU"/>
        </w:rPr>
        <w:t xml:space="preserve"> (</w:t>
      </w:r>
      <w:r w:rsidR="00B96C96" w:rsidRPr="00B96C96">
        <w:rPr>
          <w:rFonts w:ascii="Times New Roman" w:hAnsi="Times New Roman"/>
          <w:sz w:val="22"/>
          <w:szCs w:val="22"/>
          <w:lang w:eastAsia="en-AU"/>
        </w:rPr>
        <w:fldChar w:fldCharType="begin"/>
      </w:r>
      <w:r w:rsidR="00B96C96">
        <w:rPr>
          <w:rFonts w:ascii="Times New Roman" w:hAnsi="Times New Roman"/>
          <w:sz w:val="22"/>
          <w:szCs w:val="22"/>
          <w:lang w:eastAsia="en-AU"/>
        </w:rPr>
        <w:instrText xml:space="preserve"> REF _Ref355623454 \h  \* MERGEFORMAT </w:instrText>
      </w:r>
      <w:r w:rsidR="00B96C96" w:rsidRPr="00B96C96">
        <w:rPr>
          <w:rFonts w:ascii="Times New Roman" w:hAnsi="Times New Roman"/>
          <w:sz w:val="22"/>
          <w:szCs w:val="22"/>
          <w:lang w:eastAsia="en-AU"/>
        </w:rPr>
      </w:r>
      <w:r w:rsidR="00B96C96" w:rsidRPr="00B96C96">
        <w:rPr>
          <w:rFonts w:ascii="Times New Roman" w:hAnsi="Times New Roman"/>
          <w:sz w:val="22"/>
          <w:szCs w:val="22"/>
          <w:lang w:eastAsia="en-AU"/>
        </w:rPr>
        <w:fldChar w:fldCharType="separate"/>
      </w:r>
      <w:r w:rsidR="00966532" w:rsidRPr="00966532">
        <w:rPr>
          <w:rFonts w:ascii="Times New Roman" w:hAnsi="Times New Roman"/>
          <w:sz w:val="22"/>
          <w:szCs w:val="22"/>
          <w:lang w:eastAsia="en-AU"/>
        </w:rPr>
        <w:t>Table 3</w:t>
      </w:r>
      <w:r w:rsidR="00966532" w:rsidRPr="00966532">
        <w:rPr>
          <w:rFonts w:ascii="Times New Roman" w:hAnsi="Times New Roman"/>
          <w:sz w:val="22"/>
          <w:szCs w:val="22"/>
          <w:lang w:eastAsia="en-AU"/>
        </w:rPr>
        <w:noBreakHyphen/>
        <w:t>1</w:t>
      </w:r>
      <w:r w:rsidR="00B96C96" w:rsidRPr="00B96C96">
        <w:rPr>
          <w:rFonts w:ascii="Times New Roman" w:hAnsi="Times New Roman"/>
          <w:sz w:val="22"/>
          <w:szCs w:val="22"/>
          <w:lang w:eastAsia="en-AU"/>
        </w:rPr>
        <w:fldChar w:fldCharType="end"/>
      </w:r>
      <w:r>
        <w:rPr>
          <w:rFonts w:ascii="Times New Roman" w:hAnsi="Times New Roman"/>
          <w:sz w:val="22"/>
          <w:szCs w:val="22"/>
          <w:lang w:eastAsia="en-AU"/>
        </w:rPr>
        <w:t>)</w:t>
      </w:r>
      <w:r w:rsidRPr="00816D04">
        <w:rPr>
          <w:rFonts w:ascii="Times New Roman" w:hAnsi="Times New Roman"/>
          <w:sz w:val="22"/>
          <w:szCs w:val="22"/>
          <w:lang w:eastAsia="en-AU"/>
        </w:rPr>
        <w:t xml:space="preserve">. </w:t>
      </w:r>
      <w:r>
        <w:rPr>
          <w:rFonts w:ascii="Times New Roman" w:hAnsi="Times New Roman"/>
          <w:sz w:val="22"/>
          <w:szCs w:val="22"/>
          <w:lang w:eastAsia="en-AU"/>
        </w:rPr>
        <w:t>Multi-disciplin</w:t>
      </w:r>
      <w:r w:rsidRPr="00816D04">
        <w:rPr>
          <w:rFonts w:ascii="Times New Roman" w:hAnsi="Times New Roman"/>
          <w:sz w:val="22"/>
          <w:szCs w:val="22"/>
          <w:lang w:eastAsia="en-AU"/>
        </w:rPr>
        <w:t xml:space="preserve">ary and </w:t>
      </w:r>
      <w:r>
        <w:rPr>
          <w:rFonts w:ascii="Times New Roman" w:hAnsi="Times New Roman"/>
          <w:sz w:val="22"/>
          <w:szCs w:val="22"/>
          <w:lang w:eastAsia="en-AU"/>
        </w:rPr>
        <w:t>inter-disciplin</w:t>
      </w:r>
      <w:r w:rsidRPr="00816D04">
        <w:rPr>
          <w:rFonts w:ascii="Times New Roman" w:hAnsi="Times New Roman"/>
          <w:sz w:val="22"/>
          <w:szCs w:val="22"/>
          <w:lang w:eastAsia="en-AU"/>
        </w:rPr>
        <w:t xml:space="preserve">ary approaches left many science questions unresolved. </w:t>
      </w:r>
    </w:p>
    <w:p w:rsidR="00FE6473" w:rsidRDefault="00FE6473" w:rsidP="00FE6473">
      <w:pPr>
        <w:pStyle w:val="Level11"/>
        <w:numPr>
          <w:ilvl w:val="0"/>
          <w:numId w:val="0"/>
        </w:numPr>
        <w:spacing w:before="0"/>
        <w:rPr>
          <w:rFonts w:ascii="Times New Roman" w:hAnsi="Times New Roman"/>
          <w:sz w:val="22"/>
          <w:szCs w:val="22"/>
          <w:lang w:eastAsia="en-AU"/>
        </w:rPr>
      </w:pPr>
    </w:p>
    <w:p w:rsidR="00FE6473" w:rsidRPr="00DC3E2D" w:rsidRDefault="00FE6473" w:rsidP="00FE6473">
      <w:pPr>
        <w:pStyle w:val="Level11"/>
        <w:numPr>
          <w:ilvl w:val="0"/>
          <w:numId w:val="0"/>
        </w:numPr>
        <w:spacing w:before="0"/>
        <w:rPr>
          <w:rFonts w:ascii="Times New Roman" w:hAnsi="Times New Roman"/>
          <w:sz w:val="22"/>
          <w:szCs w:val="22"/>
          <w:lang w:eastAsia="en-AU"/>
        </w:rPr>
      </w:pPr>
      <w:r>
        <w:rPr>
          <w:rFonts w:ascii="Times New Roman" w:hAnsi="Times New Roman"/>
          <w:sz w:val="22"/>
          <w:szCs w:val="22"/>
          <w:lang w:eastAsia="en-AU"/>
        </w:rPr>
        <w:t>Multi-disciplin</w:t>
      </w:r>
      <w:r w:rsidRPr="00DC3E2D">
        <w:rPr>
          <w:rFonts w:ascii="Times New Roman" w:hAnsi="Times New Roman"/>
          <w:sz w:val="22"/>
          <w:szCs w:val="22"/>
          <w:lang w:eastAsia="en-AU"/>
        </w:rPr>
        <w:t xml:space="preserve">arity is a process where researchers from disparate fields work independently or sequentially, periodically coming together to share their individual perspectives for purposes of achieving broader-gauged analyses of common research problems (Rosenfeld, 1992). Participants in </w:t>
      </w:r>
      <w:r>
        <w:rPr>
          <w:rFonts w:ascii="Times New Roman" w:hAnsi="Times New Roman"/>
          <w:sz w:val="22"/>
          <w:szCs w:val="22"/>
          <w:lang w:eastAsia="en-AU"/>
        </w:rPr>
        <w:t>multi-disciplin</w:t>
      </w:r>
      <w:r w:rsidRPr="00DC3E2D">
        <w:rPr>
          <w:rFonts w:ascii="Times New Roman" w:hAnsi="Times New Roman"/>
          <w:sz w:val="22"/>
          <w:szCs w:val="22"/>
          <w:lang w:eastAsia="en-AU"/>
        </w:rPr>
        <w:t xml:space="preserve">ary teams remain firmly anchored in the concepts and methods of their respective fields. </w:t>
      </w:r>
      <w:r>
        <w:rPr>
          <w:rFonts w:ascii="Times New Roman" w:hAnsi="Times New Roman"/>
          <w:sz w:val="22"/>
          <w:szCs w:val="22"/>
          <w:lang w:eastAsia="en-AU"/>
        </w:rPr>
        <w:t>Inter-disciplin</w:t>
      </w:r>
      <w:r w:rsidRPr="00DC3E2D">
        <w:rPr>
          <w:rFonts w:ascii="Times New Roman" w:hAnsi="Times New Roman"/>
          <w:sz w:val="22"/>
          <w:szCs w:val="22"/>
          <w:lang w:eastAsia="en-AU"/>
        </w:rPr>
        <w:t>arity is a more robust approach to scientific integration in the sense that team members not only combine or juxtapose concepts and methods drawn from their different fields, but also work more intensively to integrate their divergent perspectives, even while remaining anchored in their own respective fields (Stokols</w:t>
      </w:r>
      <w:r w:rsidR="008A5F7D" w:rsidRPr="008A5F7D">
        <w:rPr>
          <w:rFonts w:ascii="Times New Roman" w:hAnsi="Times New Roman"/>
          <w:i/>
          <w:sz w:val="22"/>
          <w:szCs w:val="22"/>
          <w:lang w:eastAsia="en-AU"/>
        </w:rPr>
        <w:t xml:space="preserve"> et al</w:t>
      </w:r>
      <w:r w:rsidRPr="00DC3E2D">
        <w:rPr>
          <w:rFonts w:ascii="Times New Roman" w:hAnsi="Times New Roman"/>
          <w:sz w:val="22"/>
          <w:szCs w:val="22"/>
          <w:lang w:eastAsia="en-AU"/>
        </w:rPr>
        <w:t>., 2008)</w:t>
      </w:r>
    </w:p>
    <w:p w:rsidR="00FE6473" w:rsidRDefault="00FE6473" w:rsidP="00FE6473">
      <w:pPr>
        <w:pStyle w:val="Level11"/>
        <w:numPr>
          <w:ilvl w:val="0"/>
          <w:numId w:val="0"/>
        </w:numPr>
        <w:spacing w:before="0"/>
        <w:rPr>
          <w:rFonts w:ascii="Times New Roman" w:hAnsi="Times New Roman"/>
          <w:sz w:val="22"/>
          <w:szCs w:val="22"/>
          <w:lang w:eastAsia="en-AU"/>
        </w:rPr>
      </w:pPr>
    </w:p>
    <w:p w:rsidR="0020070D" w:rsidRPr="003D1271" w:rsidRDefault="00B96C96" w:rsidP="0020070D">
      <w:pPr>
        <w:pStyle w:val="Caption"/>
        <w:keepNext/>
        <w:rPr>
          <w:i w:val="0"/>
        </w:rPr>
      </w:pPr>
      <w:bookmarkStart w:id="161" w:name="_Ref355623454"/>
      <w:r w:rsidRPr="00B96C96">
        <w:rPr>
          <w:b/>
          <w:iCs/>
        </w:rPr>
        <w:t xml:space="preserve">Table </w:t>
      </w:r>
      <w:r w:rsidRPr="00B96C96">
        <w:rPr>
          <w:b/>
          <w:iCs/>
        </w:rPr>
        <w:fldChar w:fldCharType="begin"/>
      </w:r>
      <w:r w:rsidRPr="00B96C96">
        <w:rPr>
          <w:b/>
          <w:iCs/>
        </w:rPr>
        <w:instrText xml:space="preserve"> STYLEREF 1 \s </w:instrText>
      </w:r>
      <w:r w:rsidRPr="00B96C96">
        <w:rPr>
          <w:b/>
          <w:iCs/>
        </w:rPr>
        <w:fldChar w:fldCharType="separate"/>
      </w:r>
      <w:r w:rsidR="00966532">
        <w:rPr>
          <w:b/>
          <w:iCs/>
          <w:noProof/>
        </w:rPr>
        <w:t>3</w:t>
      </w:r>
      <w:r w:rsidRPr="00B96C96">
        <w:rPr>
          <w:b/>
          <w:iCs/>
        </w:rPr>
        <w:fldChar w:fldCharType="end"/>
      </w:r>
      <w:r w:rsidRPr="00B96C96">
        <w:rPr>
          <w:b/>
          <w:iCs/>
        </w:rPr>
        <w:noBreakHyphen/>
      </w:r>
      <w:r w:rsidRPr="00B96C96">
        <w:rPr>
          <w:b/>
          <w:iCs/>
        </w:rPr>
        <w:fldChar w:fldCharType="begin"/>
      </w:r>
      <w:r w:rsidRPr="00B96C96">
        <w:rPr>
          <w:b/>
          <w:iCs/>
        </w:rPr>
        <w:instrText xml:space="preserve"> SEQ Table \* ARABIC \s 1 </w:instrText>
      </w:r>
      <w:r w:rsidRPr="00B96C96">
        <w:rPr>
          <w:b/>
          <w:iCs/>
        </w:rPr>
        <w:fldChar w:fldCharType="separate"/>
      </w:r>
      <w:r w:rsidR="00966532">
        <w:rPr>
          <w:b/>
          <w:iCs/>
          <w:noProof/>
        </w:rPr>
        <w:t>1</w:t>
      </w:r>
      <w:r w:rsidRPr="00B96C96">
        <w:rPr>
          <w:b/>
          <w:iCs/>
        </w:rPr>
        <w:fldChar w:fldCharType="end"/>
      </w:r>
      <w:bookmarkEnd w:id="161"/>
      <w:r w:rsidRPr="00B96C96">
        <w:rPr>
          <w:b/>
          <w:iCs/>
        </w:rPr>
        <w:t>.</w:t>
      </w:r>
      <w:r w:rsidR="00FE6473" w:rsidRPr="00B96C96">
        <w:t xml:space="preserve"> Definitions of scientific orientation of research teams (from Rosenfield, 1992).</w:t>
      </w:r>
      <w:r w:rsidR="0020070D" w:rsidRPr="0020070D">
        <w:rPr>
          <w:i w:val="0"/>
        </w:rPr>
        <w:t xml:space="preserve"> </w:t>
      </w:r>
      <w:r w:rsidR="0020070D" w:rsidRPr="00216027">
        <w:rPr>
          <w:i w:val="0"/>
        </w:rPr>
        <w:fldChar w:fldCharType="begin"/>
      </w:r>
      <w:r w:rsidR="0020070D" w:rsidRPr="00216027">
        <w:rPr>
          <w:i w:val="0"/>
        </w:rPr>
        <w:instrText xml:space="preserve"> TC "</w:instrText>
      </w:r>
      <w:bookmarkStart w:id="162" w:name="_Toc390690285"/>
      <w:r w:rsidR="0020070D">
        <w:rPr>
          <w:i w:val="0"/>
        </w:rPr>
        <w:instrText>Table 3-1.</w:instrText>
      </w:r>
      <w:r w:rsidR="0020070D" w:rsidRPr="00216027">
        <w:rPr>
          <w:i w:val="0"/>
        </w:rPr>
        <w:instrText xml:space="preserve"> </w:instrText>
      </w:r>
      <w:r w:rsidR="001C0090">
        <w:rPr>
          <w:i w:val="0"/>
        </w:rPr>
        <w:instrText>Definitions</w:instrText>
      </w:r>
      <w:r w:rsidR="0020070D">
        <w:rPr>
          <w:i w:val="0"/>
        </w:rPr>
        <w:instrText xml:space="preserve"> of scientific orientation of </w:instrText>
      </w:r>
      <w:r w:rsidR="001C0090">
        <w:rPr>
          <w:i w:val="0"/>
        </w:rPr>
        <w:instrText>research</w:instrText>
      </w:r>
      <w:r w:rsidR="0020070D">
        <w:rPr>
          <w:i w:val="0"/>
        </w:rPr>
        <w:instrText xml:space="preserve"> teams</w:instrText>
      </w:r>
      <w:bookmarkEnd w:id="162"/>
      <w:r w:rsidR="0020070D" w:rsidRPr="00216027">
        <w:rPr>
          <w:i w:val="0"/>
        </w:rPr>
        <w:instrText xml:space="preserve">" \f B \l "4" </w:instrText>
      </w:r>
      <w:r w:rsidR="0020070D" w:rsidRPr="00216027">
        <w:rPr>
          <w:i w:val="0"/>
        </w:rPr>
        <w:fldChar w:fldCharType="end"/>
      </w:r>
    </w:p>
    <w:tbl>
      <w:tblPr>
        <w:tblW w:w="9504" w:type="dxa"/>
        <w:jc w:val="center"/>
        <w:tblInd w:w="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7147"/>
      </w:tblGrid>
      <w:tr w:rsidR="00FE6473" w:rsidRPr="00D413D2" w:rsidTr="00256855">
        <w:trPr>
          <w:jc w:val="center"/>
        </w:trPr>
        <w:tc>
          <w:tcPr>
            <w:tcW w:w="2357" w:type="dxa"/>
            <w:shd w:val="clear" w:color="auto" w:fill="BFBFBF"/>
          </w:tcPr>
          <w:p w:rsidR="00FE6473" w:rsidRPr="00D413D2" w:rsidRDefault="00FE6473" w:rsidP="00256855">
            <w:pPr>
              <w:keepNext/>
              <w:spacing w:before="60" w:after="60"/>
              <w:rPr>
                <w:b/>
                <w:sz w:val="20"/>
                <w:szCs w:val="20"/>
              </w:rPr>
            </w:pPr>
            <w:r w:rsidRPr="00D413D2">
              <w:rPr>
                <w:b/>
                <w:sz w:val="20"/>
                <w:szCs w:val="20"/>
              </w:rPr>
              <w:t>Scientific Origin</w:t>
            </w:r>
          </w:p>
        </w:tc>
        <w:tc>
          <w:tcPr>
            <w:tcW w:w="7147" w:type="dxa"/>
            <w:shd w:val="clear" w:color="auto" w:fill="BFBFBF"/>
          </w:tcPr>
          <w:p w:rsidR="00FE6473" w:rsidRPr="00D413D2" w:rsidRDefault="00FE6473" w:rsidP="00256855">
            <w:pPr>
              <w:keepNext/>
              <w:spacing w:before="60" w:after="60"/>
              <w:rPr>
                <w:b/>
                <w:sz w:val="20"/>
                <w:szCs w:val="20"/>
              </w:rPr>
            </w:pPr>
            <w:r w:rsidRPr="00D413D2">
              <w:rPr>
                <w:b/>
                <w:sz w:val="20"/>
                <w:szCs w:val="20"/>
              </w:rPr>
              <w:t>Definition</w:t>
            </w:r>
          </w:p>
        </w:tc>
      </w:tr>
      <w:tr w:rsidR="00FE6473" w:rsidRPr="00D413D2" w:rsidTr="00256855">
        <w:trPr>
          <w:jc w:val="center"/>
        </w:trPr>
        <w:tc>
          <w:tcPr>
            <w:tcW w:w="2357" w:type="dxa"/>
            <w:shd w:val="clear" w:color="auto" w:fill="E6E6E6"/>
          </w:tcPr>
          <w:p w:rsidR="00FE6473" w:rsidRPr="00D413D2" w:rsidRDefault="00FE6473" w:rsidP="00256855">
            <w:pPr>
              <w:keepNext/>
              <w:spacing w:before="120" w:after="120"/>
              <w:ind w:left="56"/>
              <w:rPr>
                <w:sz w:val="20"/>
                <w:szCs w:val="20"/>
              </w:rPr>
            </w:pPr>
            <w:r w:rsidRPr="00D413D2">
              <w:rPr>
                <w:sz w:val="20"/>
                <w:szCs w:val="20"/>
              </w:rPr>
              <w:t>Uni-disciplinarity</w:t>
            </w:r>
          </w:p>
        </w:tc>
        <w:tc>
          <w:tcPr>
            <w:tcW w:w="7147" w:type="dxa"/>
            <w:shd w:val="clear" w:color="auto" w:fill="auto"/>
          </w:tcPr>
          <w:p w:rsidR="00FE6473" w:rsidRPr="00D413D2" w:rsidRDefault="00FE6473" w:rsidP="00256855">
            <w:pPr>
              <w:autoSpaceDE w:val="0"/>
              <w:autoSpaceDN w:val="0"/>
              <w:adjustRightInd w:val="0"/>
              <w:spacing w:before="120" w:after="120"/>
              <w:rPr>
                <w:sz w:val="20"/>
                <w:szCs w:val="20"/>
              </w:rPr>
            </w:pPr>
            <w:r w:rsidRPr="00D413D2">
              <w:rPr>
                <w:bCs/>
                <w:sz w:val="20"/>
                <w:szCs w:val="20"/>
              </w:rPr>
              <w:t xml:space="preserve">Uni-disciplinarity </w:t>
            </w:r>
            <w:r w:rsidRPr="00D413D2">
              <w:rPr>
                <w:sz w:val="20"/>
                <w:szCs w:val="20"/>
              </w:rPr>
              <w:t xml:space="preserve">is a process in which researchers from a </w:t>
            </w:r>
            <w:r w:rsidRPr="00D413D2">
              <w:rPr>
                <w:bCs/>
                <w:sz w:val="20"/>
                <w:szCs w:val="20"/>
              </w:rPr>
              <w:t xml:space="preserve">single discipline </w:t>
            </w:r>
            <w:r w:rsidRPr="00D413D2">
              <w:rPr>
                <w:sz w:val="20"/>
                <w:szCs w:val="20"/>
              </w:rPr>
              <w:t>work together to address a common research problem.</w:t>
            </w:r>
          </w:p>
        </w:tc>
      </w:tr>
      <w:tr w:rsidR="00FE6473" w:rsidRPr="00D413D2" w:rsidTr="00256855">
        <w:trPr>
          <w:jc w:val="center"/>
        </w:trPr>
        <w:tc>
          <w:tcPr>
            <w:tcW w:w="2357" w:type="dxa"/>
            <w:shd w:val="clear" w:color="auto" w:fill="E6E6E6"/>
          </w:tcPr>
          <w:p w:rsidR="00FE6473" w:rsidRPr="00D413D2" w:rsidRDefault="00FE6473" w:rsidP="00256855">
            <w:pPr>
              <w:keepNext/>
              <w:spacing w:before="120" w:after="120"/>
              <w:ind w:left="56"/>
              <w:rPr>
                <w:sz w:val="20"/>
                <w:szCs w:val="20"/>
              </w:rPr>
            </w:pPr>
            <w:r w:rsidRPr="00D413D2">
              <w:rPr>
                <w:bCs/>
                <w:sz w:val="20"/>
                <w:szCs w:val="20"/>
              </w:rPr>
              <w:t>Multi-disciplinarity</w:t>
            </w:r>
          </w:p>
        </w:tc>
        <w:tc>
          <w:tcPr>
            <w:tcW w:w="7147" w:type="dxa"/>
            <w:shd w:val="clear" w:color="auto" w:fill="auto"/>
          </w:tcPr>
          <w:p w:rsidR="00FE6473" w:rsidRPr="00D413D2" w:rsidRDefault="00FE6473" w:rsidP="00256855">
            <w:pPr>
              <w:autoSpaceDE w:val="0"/>
              <w:autoSpaceDN w:val="0"/>
              <w:adjustRightInd w:val="0"/>
              <w:spacing w:before="120" w:after="120"/>
              <w:rPr>
                <w:sz w:val="20"/>
                <w:szCs w:val="20"/>
              </w:rPr>
            </w:pPr>
            <w:r w:rsidRPr="00D413D2">
              <w:rPr>
                <w:bCs/>
                <w:sz w:val="20"/>
                <w:szCs w:val="20"/>
              </w:rPr>
              <w:t xml:space="preserve">Multi-disciplinarity </w:t>
            </w:r>
            <w:r w:rsidRPr="00D413D2">
              <w:rPr>
                <w:sz w:val="20"/>
                <w:szCs w:val="20"/>
              </w:rPr>
              <w:t xml:space="preserve">is a </w:t>
            </w:r>
            <w:r w:rsidRPr="00D413D2">
              <w:rPr>
                <w:bCs/>
                <w:sz w:val="20"/>
                <w:szCs w:val="20"/>
              </w:rPr>
              <w:t xml:space="preserve">sequential </w:t>
            </w:r>
            <w:r w:rsidRPr="00D413D2">
              <w:rPr>
                <w:sz w:val="20"/>
                <w:szCs w:val="20"/>
              </w:rPr>
              <w:t xml:space="preserve">process whereby researchers in different disciplines work </w:t>
            </w:r>
            <w:r w:rsidRPr="00D413D2">
              <w:rPr>
                <w:bCs/>
                <w:sz w:val="20"/>
                <w:szCs w:val="20"/>
              </w:rPr>
              <w:t>independently</w:t>
            </w:r>
            <w:r w:rsidRPr="00D413D2">
              <w:rPr>
                <w:sz w:val="20"/>
                <w:szCs w:val="20"/>
              </w:rPr>
              <w:t>, each from his or her own discipline-specific perspective, with a goal of eventually combining efforts to address a common research problem.</w:t>
            </w:r>
          </w:p>
        </w:tc>
      </w:tr>
      <w:tr w:rsidR="00FE6473" w:rsidRPr="00D413D2" w:rsidTr="00256855">
        <w:trPr>
          <w:jc w:val="center"/>
        </w:trPr>
        <w:tc>
          <w:tcPr>
            <w:tcW w:w="2357" w:type="dxa"/>
            <w:shd w:val="clear" w:color="auto" w:fill="E6E6E6"/>
          </w:tcPr>
          <w:p w:rsidR="00FE6473" w:rsidRPr="00D413D2" w:rsidRDefault="00FE6473" w:rsidP="00256855">
            <w:pPr>
              <w:spacing w:before="120" w:after="120"/>
              <w:ind w:left="56"/>
              <w:rPr>
                <w:sz w:val="20"/>
                <w:szCs w:val="20"/>
              </w:rPr>
            </w:pPr>
            <w:r w:rsidRPr="00D413D2">
              <w:rPr>
                <w:bCs/>
                <w:sz w:val="20"/>
                <w:szCs w:val="20"/>
              </w:rPr>
              <w:t>Inter-disciplinarity</w:t>
            </w:r>
          </w:p>
        </w:tc>
        <w:tc>
          <w:tcPr>
            <w:tcW w:w="7147" w:type="dxa"/>
            <w:shd w:val="clear" w:color="auto" w:fill="auto"/>
          </w:tcPr>
          <w:p w:rsidR="00FE6473" w:rsidRPr="00D413D2" w:rsidRDefault="00FE6473" w:rsidP="00256855">
            <w:pPr>
              <w:autoSpaceDE w:val="0"/>
              <w:autoSpaceDN w:val="0"/>
              <w:adjustRightInd w:val="0"/>
              <w:spacing w:before="120" w:after="120"/>
              <w:rPr>
                <w:sz w:val="20"/>
                <w:szCs w:val="20"/>
              </w:rPr>
            </w:pPr>
            <w:r w:rsidRPr="00D413D2">
              <w:rPr>
                <w:bCs/>
                <w:sz w:val="20"/>
                <w:szCs w:val="20"/>
              </w:rPr>
              <w:t xml:space="preserve">Inter-disciplinarity </w:t>
            </w:r>
            <w:r w:rsidRPr="00D413D2">
              <w:rPr>
                <w:sz w:val="20"/>
                <w:szCs w:val="20"/>
              </w:rPr>
              <w:t xml:space="preserve">is an </w:t>
            </w:r>
            <w:r w:rsidRPr="00D413D2">
              <w:rPr>
                <w:bCs/>
                <w:sz w:val="20"/>
                <w:szCs w:val="20"/>
              </w:rPr>
              <w:t xml:space="preserve">interactive </w:t>
            </w:r>
            <w:r w:rsidRPr="00D413D2">
              <w:rPr>
                <w:sz w:val="20"/>
                <w:szCs w:val="20"/>
              </w:rPr>
              <w:t xml:space="preserve">process in which researchers work </w:t>
            </w:r>
            <w:r w:rsidRPr="00D413D2">
              <w:rPr>
                <w:bCs/>
                <w:sz w:val="20"/>
                <w:szCs w:val="20"/>
              </w:rPr>
              <w:t>jointly</w:t>
            </w:r>
            <w:r w:rsidRPr="00D413D2">
              <w:rPr>
                <w:sz w:val="20"/>
                <w:szCs w:val="20"/>
              </w:rPr>
              <w:t>, each drawing from his or her own discipline-specific perspective, to address a common research problem.</w:t>
            </w:r>
          </w:p>
        </w:tc>
      </w:tr>
      <w:tr w:rsidR="00FE6473" w:rsidRPr="00D413D2" w:rsidTr="00256855">
        <w:trPr>
          <w:jc w:val="center"/>
        </w:trPr>
        <w:tc>
          <w:tcPr>
            <w:tcW w:w="2357" w:type="dxa"/>
            <w:shd w:val="clear" w:color="auto" w:fill="E6E6E6"/>
          </w:tcPr>
          <w:p w:rsidR="00FE6473" w:rsidRPr="00D413D2" w:rsidRDefault="00FE6473" w:rsidP="00256855">
            <w:pPr>
              <w:spacing w:before="120" w:after="120"/>
              <w:ind w:left="56"/>
              <w:rPr>
                <w:sz w:val="20"/>
                <w:szCs w:val="20"/>
              </w:rPr>
            </w:pPr>
            <w:r w:rsidRPr="00D413D2">
              <w:rPr>
                <w:bCs/>
                <w:sz w:val="20"/>
                <w:szCs w:val="20"/>
              </w:rPr>
              <w:t>Trans-disciplinarity</w:t>
            </w:r>
          </w:p>
        </w:tc>
        <w:tc>
          <w:tcPr>
            <w:tcW w:w="7147" w:type="dxa"/>
            <w:shd w:val="clear" w:color="auto" w:fill="auto"/>
          </w:tcPr>
          <w:p w:rsidR="00FE6473" w:rsidRPr="00D413D2" w:rsidRDefault="00FE6473" w:rsidP="00256855">
            <w:pPr>
              <w:autoSpaceDE w:val="0"/>
              <w:autoSpaceDN w:val="0"/>
              <w:adjustRightInd w:val="0"/>
              <w:spacing w:before="120" w:after="120"/>
              <w:rPr>
                <w:sz w:val="20"/>
                <w:szCs w:val="20"/>
              </w:rPr>
            </w:pPr>
            <w:r w:rsidRPr="00D413D2">
              <w:rPr>
                <w:bCs/>
                <w:sz w:val="20"/>
                <w:szCs w:val="20"/>
              </w:rPr>
              <w:t xml:space="preserve">Trans-disciplinarity </w:t>
            </w:r>
            <w:r w:rsidRPr="00D413D2">
              <w:rPr>
                <w:sz w:val="20"/>
                <w:szCs w:val="20"/>
              </w:rPr>
              <w:t xml:space="preserve">is an </w:t>
            </w:r>
            <w:r w:rsidRPr="00D413D2">
              <w:rPr>
                <w:bCs/>
                <w:sz w:val="20"/>
                <w:szCs w:val="20"/>
              </w:rPr>
              <w:t xml:space="preserve">integrative </w:t>
            </w:r>
            <w:r w:rsidRPr="00D413D2">
              <w:rPr>
                <w:sz w:val="20"/>
                <w:szCs w:val="20"/>
              </w:rPr>
              <w:t xml:space="preserve">process in which researchers work jointly to develop and use a shared conceptual framework that </w:t>
            </w:r>
            <w:r w:rsidRPr="00D413D2">
              <w:rPr>
                <w:bCs/>
                <w:sz w:val="20"/>
                <w:szCs w:val="20"/>
              </w:rPr>
              <w:t xml:space="preserve">synthesizes </w:t>
            </w:r>
            <w:r w:rsidRPr="00D413D2">
              <w:rPr>
                <w:sz w:val="20"/>
                <w:szCs w:val="20"/>
              </w:rPr>
              <w:t xml:space="preserve">and </w:t>
            </w:r>
            <w:r w:rsidRPr="00D413D2">
              <w:rPr>
                <w:bCs/>
                <w:sz w:val="20"/>
                <w:szCs w:val="20"/>
              </w:rPr>
              <w:t>extends</w:t>
            </w:r>
            <w:r w:rsidRPr="00D413D2">
              <w:rPr>
                <w:sz w:val="20"/>
                <w:szCs w:val="20"/>
              </w:rPr>
              <w:t xml:space="preserve"> discipline-specific theories, concepts, methods, or all three to create </w:t>
            </w:r>
            <w:r w:rsidRPr="00D413D2">
              <w:rPr>
                <w:bCs/>
                <w:sz w:val="20"/>
                <w:szCs w:val="20"/>
              </w:rPr>
              <w:t>new</w:t>
            </w:r>
            <w:r w:rsidRPr="00D413D2">
              <w:rPr>
                <w:sz w:val="20"/>
                <w:szCs w:val="20"/>
              </w:rPr>
              <w:t xml:space="preserve"> models and language to address a common research problem.</w:t>
            </w:r>
          </w:p>
        </w:tc>
      </w:tr>
    </w:tbl>
    <w:p w:rsidR="00FE6473" w:rsidRPr="00F143C3" w:rsidRDefault="00FE6473" w:rsidP="00FE6473"/>
    <w:p w:rsidR="00FE6473" w:rsidRPr="00D24BB0" w:rsidRDefault="00FE6473" w:rsidP="00FE6473">
      <w:pPr>
        <w:pStyle w:val="Level11"/>
        <w:numPr>
          <w:ilvl w:val="0"/>
          <w:numId w:val="0"/>
        </w:numPr>
        <w:spacing w:before="0"/>
        <w:rPr>
          <w:rFonts w:ascii="Times New Roman" w:hAnsi="Times New Roman"/>
          <w:sz w:val="22"/>
          <w:szCs w:val="22"/>
          <w:lang w:eastAsia="en-AU"/>
        </w:rPr>
      </w:pPr>
      <w:r w:rsidRPr="00D24BB0">
        <w:rPr>
          <w:rFonts w:ascii="Times New Roman" w:hAnsi="Times New Roman"/>
          <w:sz w:val="22"/>
          <w:szCs w:val="22"/>
          <w:lang w:eastAsia="en-AU"/>
        </w:rPr>
        <w:t>Trans</w:t>
      </w:r>
      <w:r>
        <w:rPr>
          <w:rFonts w:ascii="Times New Roman" w:hAnsi="Times New Roman"/>
          <w:sz w:val="22"/>
          <w:szCs w:val="22"/>
          <w:lang w:eastAsia="en-AU"/>
        </w:rPr>
        <w:t>-</w:t>
      </w:r>
      <w:r w:rsidRPr="00D24BB0">
        <w:rPr>
          <w:rFonts w:ascii="Times New Roman" w:hAnsi="Times New Roman"/>
          <w:sz w:val="22"/>
          <w:szCs w:val="22"/>
          <w:lang w:eastAsia="en-AU"/>
        </w:rPr>
        <w:t>disciplinarity is a process in which team members representing different fields work together over extended periods to develop shared conceptual and methodological frameworks that not only integrate but also transcend their respective disciplinary perspectives</w:t>
      </w:r>
      <w:r>
        <w:rPr>
          <w:rFonts w:ascii="Times New Roman" w:hAnsi="Times New Roman"/>
          <w:sz w:val="22"/>
          <w:szCs w:val="22"/>
          <w:lang w:eastAsia="en-AU"/>
        </w:rPr>
        <w:t xml:space="preserve"> (Rosenfeld, 1992)</w:t>
      </w:r>
      <w:r w:rsidRPr="00D24BB0">
        <w:rPr>
          <w:rFonts w:ascii="Times New Roman" w:hAnsi="Times New Roman"/>
          <w:sz w:val="22"/>
          <w:szCs w:val="22"/>
          <w:lang w:eastAsia="en-AU"/>
        </w:rPr>
        <w:t>. Trans</w:t>
      </w:r>
      <w:r>
        <w:rPr>
          <w:rFonts w:ascii="Times New Roman" w:hAnsi="Times New Roman"/>
          <w:sz w:val="22"/>
          <w:szCs w:val="22"/>
          <w:lang w:eastAsia="en-AU"/>
        </w:rPr>
        <w:t>-</w:t>
      </w:r>
      <w:r w:rsidRPr="00D24BB0">
        <w:rPr>
          <w:rFonts w:ascii="Times New Roman" w:hAnsi="Times New Roman"/>
          <w:sz w:val="22"/>
          <w:szCs w:val="22"/>
          <w:lang w:eastAsia="en-AU"/>
        </w:rPr>
        <w:t xml:space="preserve">disciplinary collaborations </w:t>
      </w:r>
      <w:r>
        <w:rPr>
          <w:rFonts w:ascii="Times New Roman" w:hAnsi="Times New Roman"/>
          <w:sz w:val="22"/>
          <w:szCs w:val="22"/>
          <w:lang w:eastAsia="en-AU"/>
        </w:rPr>
        <w:t>have significant</w:t>
      </w:r>
      <w:r w:rsidRPr="00D24BB0">
        <w:rPr>
          <w:rFonts w:ascii="Times New Roman" w:hAnsi="Times New Roman"/>
          <w:sz w:val="22"/>
          <w:szCs w:val="22"/>
          <w:lang w:eastAsia="en-AU"/>
        </w:rPr>
        <w:t xml:space="preserve"> potential to produce highly novel and generative scientific outcomes, but they are more difficult to achieve and sustain than uni</w:t>
      </w:r>
      <w:r>
        <w:rPr>
          <w:rFonts w:ascii="Times New Roman" w:hAnsi="Times New Roman"/>
          <w:sz w:val="22"/>
          <w:szCs w:val="22"/>
          <w:lang w:eastAsia="en-AU"/>
        </w:rPr>
        <w:t>-</w:t>
      </w:r>
      <w:r w:rsidRPr="00D24BB0">
        <w:rPr>
          <w:rFonts w:ascii="Times New Roman" w:hAnsi="Times New Roman"/>
          <w:sz w:val="22"/>
          <w:szCs w:val="22"/>
          <w:lang w:eastAsia="en-AU"/>
        </w:rPr>
        <w:t>disciplinary, multi</w:t>
      </w:r>
      <w:r>
        <w:rPr>
          <w:rFonts w:ascii="Times New Roman" w:hAnsi="Times New Roman"/>
          <w:sz w:val="22"/>
          <w:szCs w:val="22"/>
          <w:lang w:eastAsia="en-AU"/>
        </w:rPr>
        <w:t>-</w:t>
      </w:r>
      <w:r w:rsidRPr="00D24BB0">
        <w:rPr>
          <w:rFonts w:ascii="Times New Roman" w:hAnsi="Times New Roman"/>
          <w:sz w:val="22"/>
          <w:szCs w:val="22"/>
          <w:lang w:eastAsia="en-AU"/>
        </w:rPr>
        <w:t>disciplinary, and inter</w:t>
      </w:r>
      <w:r>
        <w:rPr>
          <w:rFonts w:ascii="Times New Roman" w:hAnsi="Times New Roman"/>
          <w:sz w:val="22"/>
          <w:szCs w:val="22"/>
          <w:lang w:eastAsia="en-AU"/>
        </w:rPr>
        <w:t>-</w:t>
      </w:r>
      <w:r w:rsidRPr="00D24BB0">
        <w:rPr>
          <w:rFonts w:ascii="Times New Roman" w:hAnsi="Times New Roman"/>
          <w:sz w:val="22"/>
          <w:szCs w:val="22"/>
          <w:lang w:eastAsia="en-AU"/>
        </w:rPr>
        <w:t>disciplinary projects due to their greater complexity</w:t>
      </w:r>
      <w:r>
        <w:rPr>
          <w:rFonts w:ascii="Times New Roman" w:hAnsi="Times New Roman"/>
          <w:sz w:val="22"/>
          <w:szCs w:val="22"/>
          <w:lang w:eastAsia="en-AU"/>
        </w:rPr>
        <w:t xml:space="preserve"> of the research, and the challenges in bring individuals and teams prepared to question their own discipline orthodoxy to achieve </w:t>
      </w:r>
      <w:r w:rsidRPr="00D24BB0">
        <w:rPr>
          <w:rFonts w:ascii="Times New Roman" w:hAnsi="Times New Roman"/>
          <w:sz w:val="22"/>
          <w:szCs w:val="22"/>
          <w:lang w:eastAsia="en-AU"/>
        </w:rPr>
        <w:t>supra-disciplinary integrations (Stokols</w:t>
      </w:r>
      <w:r w:rsidR="008A5F7D" w:rsidRPr="008A5F7D">
        <w:rPr>
          <w:rFonts w:ascii="Times New Roman" w:hAnsi="Times New Roman"/>
          <w:i/>
          <w:sz w:val="22"/>
          <w:szCs w:val="22"/>
          <w:lang w:eastAsia="en-AU"/>
        </w:rPr>
        <w:t xml:space="preserve"> et al</w:t>
      </w:r>
      <w:r w:rsidRPr="00D24BB0">
        <w:rPr>
          <w:rFonts w:ascii="Times New Roman" w:hAnsi="Times New Roman"/>
          <w:sz w:val="22"/>
          <w:szCs w:val="22"/>
          <w:lang w:eastAsia="en-AU"/>
        </w:rPr>
        <w:t>., 2003; Nash, 2008; Klein, 2008; Hirsch</w:t>
      </w:r>
      <w:r w:rsidR="008A5F7D" w:rsidRPr="008A5F7D">
        <w:rPr>
          <w:rFonts w:ascii="Times New Roman" w:hAnsi="Times New Roman"/>
          <w:i/>
          <w:sz w:val="22"/>
          <w:szCs w:val="22"/>
          <w:lang w:eastAsia="en-AU"/>
        </w:rPr>
        <w:t xml:space="preserve"> et al</w:t>
      </w:r>
      <w:r w:rsidRPr="00D24BB0">
        <w:rPr>
          <w:rFonts w:ascii="Times New Roman" w:hAnsi="Times New Roman"/>
          <w:sz w:val="22"/>
          <w:szCs w:val="22"/>
          <w:lang w:eastAsia="en-AU"/>
        </w:rPr>
        <w:t xml:space="preserve">., 2008). Overall, </w:t>
      </w:r>
      <w:r>
        <w:rPr>
          <w:rFonts w:ascii="Times New Roman" w:hAnsi="Times New Roman"/>
          <w:sz w:val="22"/>
          <w:szCs w:val="22"/>
          <w:lang w:eastAsia="en-AU"/>
        </w:rPr>
        <w:t>a</w:t>
      </w:r>
      <w:r w:rsidRPr="00816D04">
        <w:rPr>
          <w:rFonts w:ascii="Times New Roman" w:hAnsi="Times New Roman"/>
          <w:sz w:val="22"/>
          <w:szCs w:val="22"/>
          <w:lang w:eastAsia="en-AU"/>
        </w:rPr>
        <w:t xml:space="preserve"> </w:t>
      </w:r>
      <w:r>
        <w:rPr>
          <w:rFonts w:ascii="Times New Roman" w:hAnsi="Times New Roman"/>
          <w:sz w:val="22"/>
          <w:szCs w:val="22"/>
          <w:lang w:eastAsia="en-AU"/>
        </w:rPr>
        <w:t>trans-disciplin</w:t>
      </w:r>
      <w:r w:rsidRPr="00816D04">
        <w:rPr>
          <w:rFonts w:ascii="Times New Roman" w:hAnsi="Times New Roman"/>
          <w:sz w:val="22"/>
          <w:szCs w:val="22"/>
          <w:lang w:eastAsia="en-AU"/>
        </w:rPr>
        <w:t>ary approach is a more integrative process, and permits a more comprehensive analysis of all data and interpretation (Stokols</w:t>
      </w:r>
      <w:r w:rsidR="008A5F7D" w:rsidRPr="008A5F7D">
        <w:rPr>
          <w:rFonts w:ascii="Times New Roman" w:hAnsi="Times New Roman"/>
          <w:i/>
          <w:sz w:val="22"/>
          <w:szCs w:val="22"/>
          <w:lang w:eastAsia="en-AU"/>
        </w:rPr>
        <w:t xml:space="preserve"> et al</w:t>
      </w:r>
      <w:r w:rsidRPr="00816D04">
        <w:rPr>
          <w:rFonts w:ascii="Times New Roman" w:hAnsi="Times New Roman"/>
          <w:sz w:val="22"/>
          <w:szCs w:val="22"/>
          <w:lang w:eastAsia="en-AU"/>
        </w:rPr>
        <w:t xml:space="preserve">., 2008). </w:t>
      </w:r>
    </w:p>
    <w:p w:rsidR="00FE6473" w:rsidRDefault="00FE6473" w:rsidP="00FE6473">
      <w:pPr>
        <w:pStyle w:val="Level11"/>
        <w:numPr>
          <w:ilvl w:val="0"/>
          <w:numId w:val="0"/>
        </w:numPr>
        <w:spacing w:before="0"/>
        <w:rPr>
          <w:rFonts w:ascii="Times New Roman" w:hAnsi="Times New Roman"/>
          <w:sz w:val="22"/>
          <w:szCs w:val="22"/>
          <w:lang w:eastAsia="en-AU"/>
        </w:rPr>
      </w:pPr>
    </w:p>
    <w:p w:rsidR="00FE6473" w:rsidRPr="00816D04" w:rsidRDefault="00FE6473" w:rsidP="00FE6473">
      <w:pPr>
        <w:pStyle w:val="Level11"/>
        <w:numPr>
          <w:ilvl w:val="0"/>
          <w:numId w:val="0"/>
        </w:numPr>
        <w:spacing w:before="0"/>
        <w:rPr>
          <w:rFonts w:ascii="Times New Roman" w:hAnsi="Times New Roman"/>
          <w:sz w:val="22"/>
          <w:szCs w:val="22"/>
          <w:lang w:eastAsia="en-AU"/>
        </w:rPr>
      </w:pPr>
      <w:r>
        <w:rPr>
          <w:rFonts w:ascii="Times New Roman" w:hAnsi="Times New Roman"/>
          <w:sz w:val="22"/>
          <w:szCs w:val="22"/>
          <w:lang w:eastAsia="en-AU"/>
        </w:rPr>
        <w:t>Using the trans-disciplinary approach, a</w:t>
      </w:r>
      <w:r w:rsidRPr="00816D04">
        <w:rPr>
          <w:rFonts w:ascii="Times New Roman" w:hAnsi="Times New Roman"/>
          <w:sz w:val="22"/>
          <w:szCs w:val="22"/>
          <w:lang w:eastAsia="en-AU"/>
        </w:rPr>
        <w:t xml:space="preserve"> process was established for confirming and negating established discipline-based methods and assumptions, and conceptual models. This approach enabled the team to recognise fundamental problems in discipline approaches, helped identify critical data gaps, led to significant innovation across discipline boundaries, and was critical in the development of a hydrogeological conceptual model that underpinned MAR assessment (Lawrie</w:t>
      </w:r>
      <w:r w:rsidR="008A5F7D" w:rsidRPr="008A5F7D">
        <w:rPr>
          <w:rFonts w:ascii="Times New Roman" w:hAnsi="Times New Roman"/>
          <w:i/>
          <w:sz w:val="22"/>
          <w:szCs w:val="22"/>
          <w:lang w:eastAsia="en-AU"/>
        </w:rPr>
        <w:t xml:space="preserve"> et al</w:t>
      </w:r>
      <w:r w:rsidRPr="00816D04">
        <w:rPr>
          <w:rFonts w:ascii="Times New Roman" w:hAnsi="Times New Roman"/>
          <w:sz w:val="22"/>
          <w:szCs w:val="22"/>
          <w:lang w:eastAsia="en-AU"/>
        </w:rPr>
        <w:t>., 2012). The approach was facilitated by advances in geophysical and sensor technologies, and supercomputing.</w:t>
      </w:r>
    </w:p>
    <w:p w:rsidR="00FE6473" w:rsidRDefault="00FE6473" w:rsidP="00FE6473">
      <w:pPr>
        <w:pStyle w:val="Level11"/>
        <w:numPr>
          <w:ilvl w:val="0"/>
          <w:numId w:val="0"/>
        </w:numPr>
        <w:spacing w:before="0"/>
        <w:rPr>
          <w:rFonts w:ascii="Times New Roman" w:hAnsi="Times New Roman"/>
          <w:sz w:val="22"/>
          <w:szCs w:val="22"/>
          <w:lang w:eastAsia="en-AU"/>
        </w:rPr>
      </w:pPr>
    </w:p>
    <w:p w:rsidR="00FE6473" w:rsidRPr="00816D04" w:rsidRDefault="00FE6473" w:rsidP="00FE6473">
      <w:pPr>
        <w:pStyle w:val="Level11"/>
        <w:numPr>
          <w:ilvl w:val="0"/>
          <w:numId w:val="0"/>
        </w:numPr>
        <w:spacing w:before="0"/>
        <w:rPr>
          <w:rFonts w:ascii="Times New Roman" w:hAnsi="Times New Roman"/>
          <w:sz w:val="22"/>
          <w:szCs w:val="22"/>
          <w:lang w:eastAsia="en-AU"/>
        </w:rPr>
      </w:pPr>
      <w:r w:rsidRPr="00816D04">
        <w:rPr>
          <w:rFonts w:ascii="Times New Roman" w:hAnsi="Times New Roman"/>
          <w:sz w:val="22"/>
          <w:szCs w:val="22"/>
          <w:lang w:eastAsia="en-AU"/>
        </w:rPr>
        <w:t xml:space="preserve">The success of a </w:t>
      </w:r>
      <w:r>
        <w:rPr>
          <w:rFonts w:ascii="Times New Roman" w:hAnsi="Times New Roman"/>
          <w:sz w:val="22"/>
          <w:szCs w:val="22"/>
          <w:lang w:eastAsia="en-AU"/>
        </w:rPr>
        <w:t>trans-disciplin</w:t>
      </w:r>
      <w:r w:rsidRPr="00816D04">
        <w:rPr>
          <w:rFonts w:ascii="Times New Roman" w:hAnsi="Times New Roman"/>
          <w:sz w:val="22"/>
          <w:szCs w:val="22"/>
          <w:lang w:eastAsia="en-AU"/>
        </w:rPr>
        <w:t xml:space="preserve">ary approach is illustrated by the evolution in AEM inversions throughout the project. Initially, Fast Approximate Inversions (FAI) provided within 48 hours of acquisition </w:t>
      </w:r>
      <w:r w:rsidR="001C0090" w:rsidRPr="00816D04">
        <w:rPr>
          <w:rFonts w:ascii="Times New Roman" w:hAnsi="Times New Roman"/>
          <w:sz w:val="22"/>
          <w:szCs w:val="22"/>
          <w:lang w:eastAsia="en-AU"/>
        </w:rPr>
        <w:t>was</w:t>
      </w:r>
      <w:r w:rsidRPr="00816D04">
        <w:rPr>
          <w:rFonts w:ascii="Times New Roman" w:hAnsi="Times New Roman"/>
          <w:sz w:val="22"/>
          <w:szCs w:val="22"/>
          <w:lang w:eastAsia="en-AU"/>
        </w:rPr>
        <w:t xml:space="preserve"> used to target the drilling program used in part for AEM calibration and validation. Subsequently, a number of different (Laterally and Spatially Constrained) inversions of the AEM data were carried out, with </w:t>
      </w:r>
      <w:r w:rsidRPr="00816D04">
        <w:rPr>
          <w:rFonts w:ascii="Times New Roman" w:hAnsi="Times New Roman"/>
          <w:sz w:val="22"/>
          <w:szCs w:val="22"/>
          <w:lang w:eastAsia="en-AU"/>
        </w:rPr>
        <w:lastRenderedPageBreak/>
        <w:t xml:space="preserve">refinements made as additional information on vertical and lateral constraints became available. Finally, a Wave Number Domain Approximate (WANDA) Inversion procedure with a 1D multi-layer model and constraints in </w:t>
      </w:r>
      <w:r w:rsidR="00DF0CAB" w:rsidRPr="00816D04">
        <w:rPr>
          <w:rFonts w:ascii="Times New Roman" w:hAnsi="Times New Roman"/>
          <w:sz w:val="22"/>
          <w:szCs w:val="22"/>
          <w:lang w:eastAsia="en-AU"/>
        </w:rPr>
        <w:t>3D</w:t>
      </w:r>
      <w:r w:rsidRPr="00816D04">
        <w:rPr>
          <w:rFonts w:ascii="Times New Roman" w:hAnsi="Times New Roman"/>
          <w:sz w:val="22"/>
          <w:szCs w:val="22"/>
          <w:lang w:eastAsia="en-AU"/>
        </w:rPr>
        <w:t xml:space="preserve"> was used to produce a 3D conductivity model. This inversion procedure only takes days to run, enabling the rapid </w:t>
      </w:r>
      <w:r w:rsidR="00DF0CAB" w:rsidRPr="00816D04">
        <w:rPr>
          <w:rFonts w:ascii="Times New Roman" w:hAnsi="Times New Roman"/>
          <w:sz w:val="22"/>
          <w:szCs w:val="22"/>
          <w:lang w:eastAsia="en-AU"/>
        </w:rPr>
        <w:t>trialling</w:t>
      </w:r>
      <w:r w:rsidRPr="00816D04">
        <w:rPr>
          <w:rFonts w:ascii="Times New Roman" w:hAnsi="Times New Roman"/>
          <w:sz w:val="22"/>
          <w:szCs w:val="22"/>
          <w:lang w:eastAsia="en-AU"/>
        </w:rPr>
        <w:t xml:space="preserve"> to select the most appropriate vertical and horizontal constraints. Comparison of borehole induction logs with adjacent AEM fiduciary points confirm</w:t>
      </w:r>
      <w:r w:rsidR="005F4ADB">
        <w:rPr>
          <w:rFonts w:ascii="Times New Roman" w:hAnsi="Times New Roman"/>
          <w:sz w:val="22"/>
          <w:szCs w:val="22"/>
          <w:lang w:eastAsia="en-AU"/>
        </w:rPr>
        <w:t>ed</w:t>
      </w:r>
      <w:r w:rsidRPr="00816D04">
        <w:rPr>
          <w:rFonts w:ascii="Times New Roman" w:hAnsi="Times New Roman"/>
          <w:sz w:val="22"/>
          <w:szCs w:val="22"/>
          <w:lang w:eastAsia="en-AU"/>
        </w:rPr>
        <w:t xml:space="preserve"> high confidence levels in the final inversion, however, the hydrostratigraphy mapped using all of these inversions was unable to resolve fundamental aspects of the hydrogeological system, particularly in the near-surface (top 20</w:t>
      </w:r>
      <w:r w:rsidR="00030542">
        <w:rPr>
          <w:rFonts w:ascii="Times New Roman" w:hAnsi="Times New Roman"/>
          <w:sz w:val="22"/>
          <w:szCs w:val="22"/>
          <w:lang w:eastAsia="en-AU"/>
        </w:rPr>
        <w:t xml:space="preserve"> </w:t>
      </w:r>
      <w:r w:rsidRPr="00816D04">
        <w:rPr>
          <w:rFonts w:ascii="Times New Roman" w:hAnsi="Times New Roman"/>
          <w:sz w:val="22"/>
          <w:szCs w:val="22"/>
          <w:lang w:eastAsia="en-AU"/>
        </w:rPr>
        <w:t xml:space="preserve">m), where hydrodynamic data indicated a connection between the major rivers and the underlying aquifers, either through incision and/or through faults (and bypass flow). </w:t>
      </w:r>
    </w:p>
    <w:p w:rsidR="00FE6473" w:rsidRDefault="00FE6473" w:rsidP="00FE6473">
      <w:pPr>
        <w:pStyle w:val="Level11"/>
        <w:numPr>
          <w:ilvl w:val="0"/>
          <w:numId w:val="0"/>
        </w:numPr>
        <w:spacing w:before="0"/>
        <w:rPr>
          <w:rFonts w:ascii="Times New Roman" w:hAnsi="Times New Roman"/>
          <w:sz w:val="22"/>
          <w:szCs w:val="22"/>
          <w:lang w:eastAsia="en-AU"/>
        </w:rPr>
      </w:pPr>
    </w:p>
    <w:p w:rsidR="00FE6473" w:rsidRPr="00816D04" w:rsidRDefault="00FE6473" w:rsidP="00FE6473">
      <w:pPr>
        <w:pStyle w:val="Level11"/>
        <w:numPr>
          <w:ilvl w:val="0"/>
          <w:numId w:val="0"/>
        </w:numPr>
        <w:spacing w:before="0"/>
        <w:rPr>
          <w:rFonts w:ascii="Times New Roman" w:hAnsi="Times New Roman"/>
          <w:sz w:val="22"/>
          <w:szCs w:val="22"/>
          <w:lang w:eastAsia="en-AU"/>
        </w:rPr>
      </w:pPr>
      <w:r w:rsidRPr="00816D04">
        <w:rPr>
          <w:rFonts w:ascii="Times New Roman" w:hAnsi="Times New Roman"/>
          <w:sz w:val="22"/>
          <w:szCs w:val="22"/>
          <w:lang w:eastAsia="en-AU"/>
        </w:rPr>
        <w:t xml:space="preserve">To resolve these issues, a </w:t>
      </w:r>
      <w:r>
        <w:rPr>
          <w:rFonts w:ascii="Times New Roman" w:hAnsi="Times New Roman"/>
          <w:sz w:val="22"/>
          <w:szCs w:val="22"/>
          <w:lang w:eastAsia="en-AU"/>
        </w:rPr>
        <w:t>trans-disciplin</w:t>
      </w:r>
      <w:r w:rsidRPr="00816D04">
        <w:rPr>
          <w:rFonts w:ascii="Times New Roman" w:hAnsi="Times New Roman"/>
          <w:sz w:val="22"/>
          <w:szCs w:val="22"/>
          <w:lang w:eastAsia="en-AU"/>
        </w:rPr>
        <w:t>ary approach (Stokols</w:t>
      </w:r>
      <w:r w:rsidR="008A5F7D" w:rsidRPr="008A5F7D">
        <w:rPr>
          <w:rFonts w:ascii="Times New Roman" w:hAnsi="Times New Roman"/>
          <w:i/>
          <w:sz w:val="22"/>
          <w:szCs w:val="22"/>
          <w:lang w:eastAsia="en-AU"/>
        </w:rPr>
        <w:t xml:space="preserve"> et al</w:t>
      </w:r>
      <w:r w:rsidRPr="00816D04">
        <w:rPr>
          <w:rFonts w:ascii="Times New Roman" w:hAnsi="Times New Roman"/>
          <w:sz w:val="22"/>
          <w:szCs w:val="22"/>
          <w:lang w:eastAsia="en-AU"/>
        </w:rPr>
        <w:t>., 2008) was used to investigate all underlying assumptions within discipline an</w:t>
      </w:r>
      <w:r>
        <w:rPr>
          <w:rFonts w:ascii="Times New Roman" w:hAnsi="Times New Roman"/>
          <w:sz w:val="22"/>
          <w:szCs w:val="22"/>
          <w:lang w:eastAsia="en-AU"/>
        </w:rPr>
        <w:t>d inter-disciplin</w:t>
      </w:r>
      <w:r w:rsidRPr="00816D04">
        <w:rPr>
          <w:rFonts w:ascii="Times New Roman" w:hAnsi="Times New Roman"/>
          <w:sz w:val="22"/>
          <w:szCs w:val="22"/>
          <w:lang w:eastAsia="en-AU"/>
        </w:rPr>
        <w:t xml:space="preserve">ary approaches, including the regularization used in the AEM inversion. In modern laterally-correlated inversion of AEM data, the usefulness of the resulting inversion models depends critically on an optimal choice of the vertical and horizontal regularization of the inversion. Set the constraints too tight, and the resulting models will become overly smooth and potential resolution is lost. Set the constraints too </w:t>
      </w:r>
      <w:r w:rsidR="00DF0CAB" w:rsidRPr="00816D04">
        <w:rPr>
          <w:rFonts w:ascii="Times New Roman" w:hAnsi="Times New Roman"/>
          <w:sz w:val="22"/>
          <w:szCs w:val="22"/>
          <w:lang w:eastAsia="en-AU"/>
        </w:rPr>
        <w:t>loose</w:t>
      </w:r>
      <w:r w:rsidRPr="00816D04">
        <w:rPr>
          <w:rFonts w:ascii="Times New Roman" w:hAnsi="Times New Roman"/>
          <w:sz w:val="22"/>
          <w:szCs w:val="22"/>
          <w:lang w:eastAsia="en-AU"/>
        </w:rPr>
        <w:t xml:space="preserve"> and spurious model details will appear that have no bearing on the hydrogeology. There are several approaches to an automatic choice of the regularization level in AEM inversion based predominantly on obtaining a certain pre-defined data misfit with the smoothest possible model. </w:t>
      </w:r>
    </w:p>
    <w:p w:rsidR="00FE6473" w:rsidRDefault="00FE6473" w:rsidP="00FE6473">
      <w:pPr>
        <w:pStyle w:val="Level11"/>
        <w:numPr>
          <w:ilvl w:val="0"/>
          <w:numId w:val="0"/>
        </w:numPr>
        <w:spacing w:before="0"/>
        <w:rPr>
          <w:rFonts w:ascii="Times New Roman" w:hAnsi="Times New Roman"/>
          <w:sz w:val="22"/>
          <w:szCs w:val="22"/>
          <w:lang w:eastAsia="en-AU"/>
        </w:rPr>
      </w:pPr>
    </w:p>
    <w:p w:rsidR="00FE6473" w:rsidRPr="00816D04" w:rsidRDefault="00FE6473" w:rsidP="00FE6473">
      <w:pPr>
        <w:pStyle w:val="Level11"/>
        <w:numPr>
          <w:ilvl w:val="0"/>
          <w:numId w:val="0"/>
        </w:numPr>
        <w:spacing w:before="0"/>
        <w:rPr>
          <w:rFonts w:ascii="Times New Roman" w:hAnsi="Times New Roman"/>
          <w:sz w:val="22"/>
          <w:szCs w:val="22"/>
          <w:lang w:eastAsia="en-AU"/>
        </w:rPr>
      </w:pPr>
      <w:r w:rsidRPr="00816D04">
        <w:rPr>
          <w:rFonts w:ascii="Times New Roman" w:hAnsi="Times New Roman"/>
          <w:sz w:val="22"/>
          <w:szCs w:val="22"/>
          <w:lang w:eastAsia="en-AU"/>
        </w:rPr>
        <w:t>In this study</w:t>
      </w:r>
      <w:r>
        <w:rPr>
          <w:rFonts w:ascii="Times New Roman" w:hAnsi="Times New Roman"/>
          <w:sz w:val="22"/>
          <w:szCs w:val="22"/>
          <w:lang w:eastAsia="en-AU"/>
        </w:rPr>
        <w:t>,</w:t>
      </w:r>
      <w:r w:rsidRPr="00816D04">
        <w:rPr>
          <w:rFonts w:ascii="Times New Roman" w:hAnsi="Times New Roman"/>
          <w:sz w:val="22"/>
          <w:szCs w:val="22"/>
          <w:lang w:eastAsia="en-AU"/>
        </w:rPr>
        <w:t xml:space="preserve"> we used a pragmatic approach to optimizing the constraints by an iterative procedure involving all available geological, hydrogeological, geochemical, hydraulic and morphological data and understanding. In this approach, in a process of both confirming and negating established interpretations and underlying assumptions, the inversion results </w:t>
      </w:r>
      <w:r w:rsidR="005F4ADB">
        <w:rPr>
          <w:rFonts w:ascii="Times New Roman" w:hAnsi="Times New Roman"/>
          <w:sz w:val="22"/>
          <w:szCs w:val="22"/>
          <w:lang w:eastAsia="en-AU"/>
        </w:rPr>
        <w:t>we</w:t>
      </w:r>
      <w:r w:rsidRPr="00816D04">
        <w:rPr>
          <w:rFonts w:ascii="Times New Roman" w:hAnsi="Times New Roman"/>
          <w:sz w:val="22"/>
          <w:szCs w:val="22"/>
          <w:lang w:eastAsia="en-AU"/>
        </w:rPr>
        <w:t xml:space="preserve">re judged by their ability to support a coherent conceptual model based on all available information. This approach is dependent on integrating a team of scientists, where all facets of data and interpretation are considered and questioned in a </w:t>
      </w:r>
      <w:r>
        <w:rPr>
          <w:rFonts w:ascii="Times New Roman" w:hAnsi="Times New Roman"/>
          <w:sz w:val="22"/>
          <w:szCs w:val="22"/>
          <w:lang w:eastAsia="en-AU"/>
        </w:rPr>
        <w:t>trans-disciplinary analysis of the hydr</w:t>
      </w:r>
      <w:r w:rsidRPr="00816D04">
        <w:rPr>
          <w:rFonts w:ascii="Times New Roman" w:hAnsi="Times New Roman"/>
          <w:sz w:val="22"/>
          <w:szCs w:val="22"/>
          <w:lang w:eastAsia="en-AU"/>
        </w:rPr>
        <w:t xml:space="preserve">ological system. Necessary elements for this approach to succeed are the experience and professional insights of the scientists involved and a willingness and ability of scientists from diverse areas to establish a dialogue that will question and refine the inversion constraints and the quality of the final hydrogeological conceptual model. </w:t>
      </w:r>
    </w:p>
    <w:p w:rsidR="00FE6473" w:rsidRDefault="00FE6473" w:rsidP="00FE6473">
      <w:pPr>
        <w:pStyle w:val="Level11"/>
        <w:numPr>
          <w:ilvl w:val="0"/>
          <w:numId w:val="0"/>
        </w:numPr>
        <w:spacing w:before="0"/>
        <w:rPr>
          <w:rFonts w:ascii="Times New Roman" w:hAnsi="Times New Roman"/>
          <w:sz w:val="22"/>
          <w:szCs w:val="22"/>
          <w:lang w:eastAsia="en-AU"/>
        </w:rPr>
      </w:pPr>
    </w:p>
    <w:p w:rsidR="00FE6473" w:rsidRPr="00816D04" w:rsidRDefault="00FE6473" w:rsidP="00FE6473">
      <w:pPr>
        <w:pStyle w:val="Level11"/>
        <w:numPr>
          <w:ilvl w:val="0"/>
          <w:numId w:val="0"/>
        </w:numPr>
        <w:spacing w:before="0"/>
        <w:rPr>
          <w:rFonts w:ascii="Times New Roman" w:hAnsi="Times New Roman"/>
          <w:sz w:val="22"/>
          <w:szCs w:val="22"/>
          <w:lang w:eastAsia="en-AU"/>
        </w:rPr>
      </w:pPr>
      <w:r>
        <w:rPr>
          <w:rFonts w:ascii="Times New Roman" w:hAnsi="Times New Roman"/>
          <w:sz w:val="22"/>
          <w:szCs w:val="22"/>
          <w:lang w:eastAsia="en-AU"/>
        </w:rPr>
        <w:t>The trans-disciplinary</w:t>
      </w:r>
      <w:r w:rsidRPr="00816D04">
        <w:rPr>
          <w:rFonts w:ascii="Times New Roman" w:hAnsi="Times New Roman"/>
          <w:sz w:val="22"/>
          <w:szCs w:val="22"/>
          <w:lang w:eastAsia="en-AU"/>
        </w:rPr>
        <w:t xml:space="preserve"> app</w:t>
      </w:r>
      <w:r>
        <w:rPr>
          <w:rFonts w:ascii="Times New Roman" w:hAnsi="Times New Roman"/>
          <w:sz w:val="22"/>
          <w:szCs w:val="22"/>
          <w:lang w:eastAsia="en-AU"/>
        </w:rPr>
        <w:t xml:space="preserve">roach has been essential to resolving many of the more complex biophysical and hydrological systems interactions, and essential in the </w:t>
      </w:r>
      <w:r w:rsidRPr="00816D04">
        <w:rPr>
          <w:rFonts w:ascii="Times New Roman" w:hAnsi="Times New Roman"/>
          <w:sz w:val="22"/>
          <w:szCs w:val="22"/>
          <w:lang w:eastAsia="en-AU"/>
        </w:rPr>
        <w:t>assessment of MAR and groundwater extraction options. The resultant improved 3D conductivity model revealed details of the hydrostratigraphy and neotectonics. Prior to the mapping of near-surface hydrostratigraphy and structural features, it had not been possible to explain apparently contradictory data, nor develop a plausible hydrogeological conceptual model.</w:t>
      </w:r>
      <w:r>
        <w:rPr>
          <w:rFonts w:ascii="Times New Roman" w:hAnsi="Times New Roman"/>
          <w:sz w:val="22"/>
          <w:szCs w:val="22"/>
          <w:lang w:eastAsia="en-AU"/>
        </w:rPr>
        <w:t xml:space="preserve"> </w:t>
      </w:r>
    </w:p>
    <w:p w:rsidR="00FE6473" w:rsidRPr="00C36594" w:rsidRDefault="00FE6473" w:rsidP="00FE6473">
      <w:pPr>
        <w:spacing w:before="60"/>
        <w:rPr>
          <w:szCs w:val="22"/>
          <w:lang w:val="en-US"/>
        </w:rPr>
      </w:pPr>
    </w:p>
    <w:p w:rsidR="00FE6473" w:rsidRDefault="00FE6473" w:rsidP="00FE6473">
      <w:pPr>
        <w:tabs>
          <w:tab w:val="num" w:pos="1797"/>
        </w:tabs>
        <w:rPr>
          <w:szCs w:val="22"/>
        </w:rPr>
      </w:pPr>
      <w:r w:rsidRPr="00851ED2">
        <w:rPr>
          <w:szCs w:val="22"/>
        </w:rPr>
        <w:t xml:space="preserve">In summary, a </w:t>
      </w:r>
      <w:r w:rsidR="00884690">
        <w:rPr>
          <w:szCs w:val="22"/>
        </w:rPr>
        <w:t>trans-</w:t>
      </w:r>
      <w:r>
        <w:rPr>
          <w:szCs w:val="22"/>
        </w:rPr>
        <w:t>disciplin</w:t>
      </w:r>
      <w:r w:rsidRPr="00851ED2">
        <w:rPr>
          <w:szCs w:val="22"/>
        </w:rPr>
        <w:t>ary 3D hydr</w:t>
      </w:r>
      <w:r>
        <w:rPr>
          <w:szCs w:val="22"/>
        </w:rPr>
        <w:t>o</w:t>
      </w:r>
      <w:r w:rsidRPr="00851ED2">
        <w:rPr>
          <w:szCs w:val="22"/>
        </w:rPr>
        <w:t xml:space="preserve">logical systems mapping approach </w:t>
      </w:r>
      <w:r>
        <w:rPr>
          <w:szCs w:val="22"/>
        </w:rPr>
        <w:t>(Lawrie</w:t>
      </w:r>
      <w:r w:rsidR="008A5F7D" w:rsidRPr="00CF7613">
        <w:rPr>
          <w:rStyle w:val="StyleItalic"/>
        </w:rPr>
        <w:t xml:space="preserve"> et al</w:t>
      </w:r>
      <w:r>
        <w:rPr>
          <w:szCs w:val="22"/>
        </w:rPr>
        <w:t xml:space="preserve">., 2000, 2008), </w:t>
      </w:r>
      <w:r w:rsidRPr="00851ED2">
        <w:rPr>
          <w:szCs w:val="22"/>
        </w:rPr>
        <w:t>has been developed in this project to guide development of new geological and hydrogeological conceptual models, and to provide a framework for understanding complex hydrogeological and hydrogeochemical processes (Lawrie</w:t>
      </w:r>
      <w:r w:rsidR="008A5F7D" w:rsidRPr="00CF7613">
        <w:rPr>
          <w:rStyle w:val="StyleItalic"/>
        </w:rPr>
        <w:t xml:space="preserve"> et al</w:t>
      </w:r>
      <w:r w:rsidRPr="00851ED2">
        <w:rPr>
          <w:szCs w:val="22"/>
        </w:rPr>
        <w:t>., 2012b). Integration of the 3D mapping with hydrochemical and hydrodynamic data provides critical new insights into surface-groundwater interactions and groundwater flow. Using this approach, it has been possible to develop a new understanding of recharge processes, and identify potential recharge and groundwater flow pathways (Lawrie</w:t>
      </w:r>
      <w:r w:rsidR="008A5F7D" w:rsidRPr="00CF7613">
        <w:rPr>
          <w:rStyle w:val="StyleItalic"/>
        </w:rPr>
        <w:t xml:space="preserve"> et al</w:t>
      </w:r>
      <w:r>
        <w:rPr>
          <w:szCs w:val="22"/>
        </w:rPr>
        <w:t xml:space="preserve">., 2012b). </w:t>
      </w:r>
    </w:p>
    <w:p w:rsidR="00FE6473" w:rsidRDefault="00FE6473" w:rsidP="00FE6473">
      <w:pPr>
        <w:tabs>
          <w:tab w:val="num" w:pos="1797"/>
        </w:tabs>
        <w:rPr>
          <w:szCs w:val="22"/>
        </w:rPr>
      </w:pPr>
    </w:p>
    <w:p w:rsidR="00FE6473" w:rsidRDefault="00FE6473" w:rsidP="00FE6473">
      <w:pPr>
        <w:tabs>
          <w:tab w:val="num" w:pos="1797"/>
        </w:tabs>
        <w:rPr>
          <w:szCs w:val="22"/>
        </w:rPr>
      </w:pPr>
      <w:r w:rsidRPr="00851ED2">
        <w:rPr>
          <w:szCs w:val="22"/>
        </w:rPr>
        <w:t>The new datasets, knowledge and hydrogeological conceptual models generated in the project have provided a reliable basis for the identification, characterisation and initial assessment of groundwater resources and MAR options (Lawrie</w:t>
      </w:r>
      <w:r w:rsidR="008A5F7D" w:rsidRPr="00CF7613">
        <w:rPr>
          <w:rStyle w:val="StyleItalic"/>
        </w:rPr>
        <w:t xml:space="preserve"> et al</w:t>
      </w:r>
      <w:r w:rsidRPr="00851ED2">
        <w:rPr>
          <w:szCs w:val="22"/>
        </w:rPr>
        <w:t>., 2012c, d). The products and knowledge generated will also provide important inputs to assist with the parameterisation of groundwater and solute transfer models (Lawrie</w:t>
      </w:r>
      <w:r w:rsidR="008A5F7D" w:rsidRPr="00CF7613">
        <w:rPr>
          <w:rStyle w:val="StyleItalic"/>
        </w:rPr>
        <w:t xml:space="preserve"> et al</w:t>
      </w:r>
      <w:r w:rsidRPr="00851ED2">
        <w:rPr>
          <w:szCs w:val="22"/>
        </w:rPr>
        <w:t>., 2012b) that are critical to the next steps in the assessment of MAR and groundwater extraction options in the area.</w:t>
      </w:r>
      <w:r w:rsidRPr="00992BBC">
        <w:rPr>
          <w:szCs w:val="22"/>
        </w:rPr>
        <w:t xml:space="preserve"> </w:t>
      </w:r>
    </w:p>
    <w:p w:rsidR="00FE6473" w:rsidRDefault="00FE6473" w:rsidP="00FE6473">
      <w:pPr>
        <w:tabs>
          <w:tab w:val="num" w:pos="1797"/>
        </w:tabs>
        <w:rPr>
          <w:szCs w:val="22"/>
        </w:rPr>
      </w:pPr>
    </w:p>
    <w:p w:rsidR="00FE6473" w:rsidRDefault="00FE6473" w:rsidP="00FE6473">
      <w:pPr>
        <w:pStyle w:val="Heading2"/>
        <w:tabs>
          <w:tab w:val="left" w:pos="720"/>
        </w:tabs>
        <w:spacing w:before="320"/>
      </w:pPr>
      <w:bookmarkStart w:id="163" w:name="_Toc390690097"/>
      <w:r>
        <w:t xml:space="preserve">Using </w:t>
      </w:r>
      <w:smartTag w:uri="urn:schemas-microsoft-com:office:smarttags" w:element="stockticker">
        <w:r>
          <w:t>AEM</w:t>
        </w:r>
      </w:smartTag>
      <w:r>
        <w:t xml:space="preserve"> to Map </w:t>
      </w:r>
      <w:smartTag w:uri="urn:schemas-microsoft-com:office:smarttags" w:element="stockticker">
        <w:r>
          <w:t>MAR</w:t>
        </w:r>
      </w:smartTag>
      <w:r>
        <w:t xml:space="preserve"> and Groundwater Resource Targets</w:t>
      </w:r>
      <w:bookmarkEnd w:id="163"/>
    </w:p>
    <w:p w:rsidR="00FE6473" w:rsidRPr="00474360" w:rsidRDefault="00FE6473" w:rsidP="00FE6473">
      <w:pPr>
        <w:pStyle w:val="BodyText2"/>
        <w:spacing w:after="0" w:line="240" w:lineRule="auto"/>
        <w:rPr>
          <w:sz w:val="22"/>
          <w:szCs w:val="22"/>
        </w:rPr>
      </w:pPr>
      <w:r w:rsidRPr="00BB6485">
        <w:rPr>
          <w:sz w:val="22"/>
          <w:szCs w:val="22"/>
        </w:rPr>
        <w:t>Previously, the high cost of investi</w:t>
      </w:r>
      <w:smartTag w:uri="urn:schemas-microsoft-com:office:smarttags" w:element="PersonName">
        <w:r w:rsidRPr="00BB6485">
          <w:rPr>
            <w:sz w:val="22"/>
            <w:szCs w:val="22"/>
          </w:rPr>
          <w:t>ga</w:t>
        </w:r>
      </w:smartTag>
      <w:r w:rsidRPr="00BB6485">
        <w:rPr>
          <w:sz w:val="22"/>
          <w:szCs w:val="22"/>
        </w:rPr>
        <w:t xml:space="preserve">tions, low level of knowledge of risk, and time taken to fill hydrogeological knowledge </w:t>
      </w:r>
      <w:smartTag w:uri="urn:schemas-microsoft-com:office:smarttags" w:element="PersonName">
        <w:r w:rsidRPr="00BB6485">
          <w:rPr>
            <w:sz w:val="22"/>
            <w:szCs w:val="22"/>
          </w:rPr>
          <w:t>ga</w:t>
        </w:r>
      </w:smartTag>
      <w:r w:rsidRPr="00BB6485">
        <w:rPr>
          <w:sz w:val="22"/>
          <w:szCs w:val="22"/>
        </w:rPr>
        <w:t xml:space="preserve">ps have been a deterrent to development of </w:t>
      </w:r>
      <w:smartTag w:uri="urn:schemas-microsoft-com:office:smarttags" w:element="stockticker">
        <w:r w:rsidRPr="00BB6485">
          <w:rPr>
            <w:sz w:val="22"/>
            <w:szCs w:val="22"/>
          </w:rPr>
          <w:t>MAR</w:t>
        </w:r>
      </w:smartTag>
      <w:r w:rsidRPr="00BB6485">
        <w:rPr>
          <w:sz w:val="22"/>
          <w:szCs w:val="22"/>
        </w:rPr>
        <w:t xml:space="preserve"> options, especially in pioneering projects in new and/or more remote locations. In the BHMAR project, the initial scoping study </w:t>
      </w:r>
      <w:r w:rsidRPr="00BB6485">
        <w:rPr>
          <w:sz w:val="22"/>
          <w:szCs w:val="22"/>
        </w:rPr>
        <w:lastRenderedPageBreak/>
        <w:t xml:space="preserve">concluded that despite the paucity of data, </w:t>
      </w:r>
      <w:r w:rsidRPr="00474360">
        <w:rPr>
          <w:sz w:val="22"/>
          <w:szCs w:val="22"/>
        </w:rPr>
        <w:t xml:space="preserve">there were a number of possible </w:t>
      </w:r>
      <w:smartTag w:uri="urn:schemas-microsoft-com:office:smarttags" w:element="stockticker">
        <w:r w:rsidRPr="00474360">
          <w:rPr>
            <w:sz w:val="22"/>
            <w:szCs w:val="22"/>
          </w:rPr>
          <w:t>MAR</w:t>
        </w:r>
      </w:smartTag>
      <w:r w:rsidRPr="00474360">
        <w:rPr>
          <w:sz w:val="22"/>
          <w:szCs w:val="22"/>
        </w:rPr>
        <w:t xml:space="preserve"> and groundwater resource targets in the Darling Floodplain near </w:t>
      </w:r>
      <w:r>
        <w:rPr>
          <w:sz w:val="22"/>
          <w:szCs w:val="22"/>
        </w:rPr>
        <w:t xml:space="preserve">Menindee </w:t>
      </w:r>
      <w:r w:rsidRPr="00474360">
        <w:rPr>
          <w:sz w:val="22"/>
          <w:szCs w:val="22"/>
        </w:rPr>
        <w:t>(Lawrie</w:t>
      </w:r>
      <w:r w:rsidR="008A5F7D" w:rsidRPr="008A5F7D">
        <w:rPr>
          <w:i/>
          <w:sz w:val="22"/>
          <w:szCs w:val="22"/>
        </w:rPr>
        <w:t xml:space="preserve"> et al</w:t>
      </w:r>
      <w:r w:rsidRPr="00474360">
        <w:rPr>
          <w:i/>
          <w:sz w:val="22"/>
          <w:szCs w:val="22"/>
        </w:rPr>
        <w:t>.,</w:t>
      </w:r>
      <w:r w:rsidRPr="00474360">
        <w:rPr>
          <w:sz w:val="22"/>
          <w:szCs w:val="22"/>
        </w:rPr>
        <w:t xml:space="preserve"> 2008a,</w:t>
      </w:r>
      <w:r>
        <w:rPr>
          <w:sz w:val="22"/>
          <w:szCs w:val="22"/>
        </w:rPr>
        <w:t xml:space="preserve"> 2009a, </w:t>
      </w:r>
      <w:r w:rsidRPr="00474360">
        <w:rPr>
          <w:sz w:val="22"/>
          <w:szCs w:val="22"/>
        </w:rPr>
        <w:t>b).</w:t>
      </w:r>
    </w:p>
    <w:p w:rsidR="00FE6473" w:rsidRPr="00474360" w:rsidRDefault="00FE6473" w:rsidP="00FE6473">
      <w:pPr>
        <w:pStyle w:val="BodyText2"/>
        <w:spacing w:after="0" w:line="240" w:lineRule="auto"/>
        <w:rPr>
          <w:sz w:val="22"/>
          <w:szCs w:val="22"/>
        </w:rPr>
      </w:pPr>
    </w:p>
    <w:p w:rsidR="00FE6473" w:rsidRDefault="00FE6473" w:rsidP="00FE6473">
      <w:pPr>
        <w:rPr>
          <w:szCs w:val="22"/>
        </w:rPr>
      </w:pPr>
      <w:r w:rsidRPr="00474360">
        <w:rPr>
          <w:szCs w:val="22"/>
        </w:rPr>
        <w:t xml:space="preserve">To meet the challenge of rapid identification and assessment of potential </w:t>
      </w:r>
      <w:smartTag w:uri="urn:schemas-microsoft-com:office:smarttags" w:element="stockticker">
        <w:r w:rsidRPr="00474360">
          <w:rPr>
            <w:szCs w:val="22"/>
          </w:rPr>
          <w:t>MAR</w:t>
        </w:r>
      </w:smartTag>
      <w:r w:rsidRPr="00474360">
        <w:rPr>
          <w:szCs w:val="22"/>
        </w:rPr>
        <w:t xml:space="preserve"> targets and groundwater resources over a large area (7,541.5 km</w:t>
      </w:r>
      <w:r w:rsidRPr="00474360">
        <w:rPr>
          <w:szCs w:val="22"/>
          <w:vertAlign w:val="superscript"/>
        </w:rPr>
        <w:t>2</w:t>
      </w:r>
      <w:r w:rsidRPr="00474360">
        <w:rPr>
          <w:szCs w:val="22"/>
        </w:rPr>
        <w:t>) within relatively short timeframes (18 months), it was concluded that the only cost-effective method with the ability to resolve features in this depth range was airborne electromagnetics (AEM) (Lawrie</w:t>
      </w:r>
      <w:r w:rsidR="008A5F7D" w:rsidRPr="00CF7613">
        <w:rPr>
          <w:rStyle w:val="StyleItalic"/>
        </w:rPr>
        <w:t xml:space="preserve"> et al</w:t>
      </w:r>
      <w:r w:rsidRPr="00474360">
        <w:rPr>
          <w:szCs w:val="22"/>
        </w:rPr>
        <w:t xml:space="preserve">., 2009a, b). </w:t>
      </w:r>
    </w:p>
    <w:p w:rsidR="00FE6473" w:rsidRDefault="00FE6473" w:rsidP="00FE6473">
      <w:pPr>
        <w:rPr>
          <w:szCs w:val="22"/>
        </w:rPr>
      </w:pPr>
    </w:p>
    <w:p w:rsidR="00FE6473" w:rsidRDefault="00FE6473" w:rsidP="00FE6473">
      <w:pPr>
        <w:rPr>
          <w:szCs w:val="22"/>
        </w:rPr>
      </w:pPr>
      <w:r w:rsidRPr="00A83EB8">
        <w:rPr>
          <w:szCs w:val="22"/>
        </w:rPr>
        <w:t xml:space="preserve">AEM </w:t>
      </w:r>
      <w:r>
        <w:rPr>
          <w:szCs w:val="22"/>
        </w:rPr>
        <w:t>methods for near-surface hydrogeological investigations have undergone significant improvements in the past 10-15 years (Auken</w:t>
      </w:r>
      <w:r w:rsidR="008A5F7D" w:rsidRPr="00CF7613">
        <w:rPr>
          <w:rStyle w:val="StyleItalic"/>
        </w:rPr>
        <w:t xml:space="preserve"> et al</w:t>
      </w:r>
      <w:r>
        <w:rPr>
          <w:szCs w:val="22"/>
        </w:rPr>
        <w:t>., 2006; Thompson</w:t>
      </w:r>
      <w:r w:rsidR="008A5F7D" w:rsidRPr="00CF7613">
        <w:rPr>
          <w:rStyle w:val="StyleItalic"/>
        </w:rPr>
        <w:t xml:space="preserve"> et al</w:t>
      </w:r>
      <w:r>
        <w:rPr>
          <w:szCs w:val="22"/>
        </w:rPr>
        <w:t>., 2007; McNae, 2007). The depth of investigation and spatial resolution of these AEM systems varies significantly with system type and on ground conditions (Spies &amp; Woodgate, 2005; Sorensen &amp; Auken, 2004; Munday, 2008). AEM methods have been used successfully to map the hydrogeology and variations in groundwater salinity</w:t>
      </w:r>
      <w:r w:rsidR="005F4ADB">
        <w:rPr>
          <w:szCs w:val="22"/>
        </w:rPr>
        <w:t xml:space="preserve"> across</w:t>
      </w:r>
      <w:r>
        <w:rPr>
          <w:szCs w:val="22"/>
        </w:rPr>
        <w:t xml:space="preserve"> a range of geological environments (Siemon</w:t>
      </w:r>
      <w:r w:rsidR="008A5F7D" w:rsidRPr="00CF7613">
        <w:rPr>
          <w:rStyle w:val="StyleItalic"/>
        </w:rPr>
        <w:t xml:space="preserve"> et al</w:t>
      </w:r>
      <w:r>
        <w:rPr>
          <w:szCs w:val="22"/>
        </w:rPr>
        <w:t>., 2009; Viezzoli</w:t>
      </w:r>
      <w:r w:rsidR="008A5F7D" w:rsidRPr="00CF7613">
        <w:rPr>
          <w:rStyle w:val="StyleItalic"/>
        </w:rPr>
        <w:t xml:space="preserve"> et al</w:t>
      </w:r>
      <w:r>
        <w:rPr>
          <w:szCs w:val="22"/>
        </w:rPr>
        <w:t>., 2011; Abraham</w:t>
      </w:r>
      <w:r w:rsidR="008A5F7D" w:rsidRPr="00CF7613">
        <w:rPr>
          <w:rStyle w:val="StyleItalic"/>
        </w:rPr>
        <w:t xml:space="preserve"> et al</w:t>
      </w:r>
      <w:r>
        <w:rPr>
          <w:szCs w:val="22"/>
        </w:rPr>
        <w:t xml:space="preserve">., 2012). Successful applications include the mapping of seawater intrusion interfaces in both clastic and carbonate aquifer systems </w:t>
      </w:r>
      <w:r w:rsidRPr="00A83EB8">
        <w:rPr>
          <w:szCs w:val="22"/>
        </w:rPr>
        <w:t>(</w:t>
      </w:r>
      <w:r w:rsidRPr="00A83EB8">
        <w:t>Fitterman &amp; Deszcz-Pan, 1998; D’Ozouville</w:t>
      </w:r>
      <w:r w:rsidR="008A5F7D" w:rsidRPr="00CF7613">
        <w:rPr>
          <w:rStyle w:val="StyleItalic"/>
        </w:rPr>
        <w:t xml:space="preserve"> et al</w:t>
      </w:r>
      <w:r w:rsidRPr="00CF7613">
        <w:rPr>
          <w:rStyle w:val="StyleItalic"/>
        </w:rPr>
        <w:t>.,</w:t>
      </w:r>
      <w:r w:rsidRPr="00A83EB8">
        <w:t xml:space="preserve"> 2008; Supper</w:t>
      </w:r>
      <w:r w:rsidR="008A5F7D" w:rsidRPr="00CF7613">
        <w:rPr>
          <w:rStyle w:val="StyleItalic"/>
        </w:rPr>
        <w:t xml:space="preserve"> et al</w:t>
      </w:r>
      <w:r w:rsidRPr="00CF7613">
        <w:rPr>
          <w:rStyle w:val="StyleItalic"/>
        </w:rPr>
        <w:t>.,</w:t>
      </w:r>
      <w:r w:rsidRPr="00A83EB8">
        <w:t xml:space="preserve"> 2009; </w:t>
      </w:r>
      <w:hyperlink w:anchor="_ENREF_74" w:tooltip="Siemon, 2011 #112" w:history="1">
        <w:r w:rsidRPr="00A83EB8">
          <w:t>Siemon &amp; Steuer, 2011</w:t>
        </w:r>
      </w:hyperlink>
      <w:r>
        <w:t>),</w:t>
      </w:r>
      <w:r w:rsidRPr="00A83EB8">
        <w:t xml:space="preserve"> </w:t>
      </w:r>
      <w:r>
        <w:rPr>
          <w:szCs w:val="22"/>
        </w:rPr>
        <w:t xml:space="preserve">saline groundwater plumes </w:t>
      </w:r>
      <w:r>
        <w:t xml:space="preserve">(Paine, 2003), </w:t>
      </w:r>
      <w:r>
        <w:rPr>
          <w:szCs w:val="22"/>
        </w:rPr>
        <w:t>freshwater-salt water interfaces beneath inland lakes (</w:t>
      </w:r>
      <w:r>
        <w:t>Martinez &amp; Pitcher, 2008), and surface-groundwater interaction associated with rivers (Paine</w:t>
      </w:r>
      <w:r w:rsidR="008A5F7D" w:rsidRPr="00CF7613">
        <w:rPr>
          <w:rStyle w:val="StyleItalic"/>
        </w:rPr>
        <w:t xml:space="preserve"> et al</w:t>
      </w:r>
      <w:r>
        <w:t xml:space="preserve">., 2009). AEM methods have also been used to map </w:t>
      </w:r>
      <w:r w:rsidRPr="00A83EB8">
        <w:t>karstic aquifer systems</w:t>
      </w:r>
      <w:r>
        <w:t xml:space="preserve"> (Doll</w:t>
      </w:r>
      <w:r w:rsidR="008A5F7D" w:rsidRPr="00CF7613">
        <w:rPr>
          <w:rStyle w:val="StyleItalic"/>
        </w:rPr>
        <w:t xml:space="preserve"> et al</w:t>
      </w:r>
      <w:r>
        <w:t>., 2000; Smith</w:t>
      </w:r>
      <w:r w:rsidR="008A5F7D" w:rsidRPr="00CF7613">
        <w:rPr>
          <w:rStyle w:val="StyleItalic"/>
        </w:rPr>
        <w:t xml:space="preserve"> et al</w:t>
      </w:r>
      <w:r>
        <w:t>., 2003, 2005, 2008) and key elements of the hydrostratigraphy in clastic sedimentary systems (Abraham</w:t>
      </w:r>
      <w:r w:rsidR="008A5F7D" w:rsidRPr="00CF7613">
        <w:rPr>
          <w:rStyle w:val="StyleItalic"/>
        </w:rPr>
        <w:t xml:space="preserve"> et al</w:t>
      </w:r>
      <w:r>
        <w:t>., 2011), including faults (Bedrosian</w:t>
      </w:r>
      <w:r w:rsidR="008A5F7D" w:rsidRPr="00CF7613">
        <w:rPr>
          <w:rStyle w:val="StyleItalic"/>
        </w:rPr>
        <w:t xml:space="preserve"> et al</w:t>
      </w:r>
      <w:r>
        <w:t xml:space="preserve">., 2012). </w:t>
      </w:r>
    </w:p>
    <w:p w:rsidR="00FE6473" w:rsidRDefault="00FE6473" w:rsidP="00FE6473">
      <w:pPr>
        <w:rPr>
          <w:szCs w:val="22"/>
        </w:rPr>
      </w:pPr>
    </w:p>
    <w:p w:rsidR="00FE6473" w:rsidRDefault="00FE6473" w:rsidP="00FE6473">
      <w:pPr>
        <w:rPr>
          <w:szCs w:val="22"/>
        </w:rPr>
      </w:pPr>
      <w:r>
        <w:rPr>
          <w:szCs w:val="22"/>
        </w:rPr>
        <w:t xml:space="preserve">In </w:t>
      </w:r>
      <w:smartTag w:uri="urn:schemas-microsoft-com:office:smarttags" w:element="place">
        <w:smartTag w:uri="urn:schemas-microsoft-com:office:smarttags" w:element="country-region">
          <w:r>
            <w:rPr>
              <w:szCs w:val="22"/>
            </w:rPr>
            <w:t>Australia</w:t>
          </w:r>
        </w:smartTag>
      </w:smartTag>
      <w:r>
        <w:rPr>
          <w:szCs w:val="22"/>
        </w:rPr>
        <w:t>, the application of electromagnetic (EM) methods for hydrogeological investigation is made more complex by the highly salinized nature of many of the landscapes (Lawrie</w:t>
      </w:r>
      <w:r w:rsidR="008A5F7D" w:rsidRPr="00CF7613">
        <w:rPr>
          <w:rStyle w:val="StyleItalic"/>
        </w:rPr>
        <w:t xml:space="preserve"> et al</w:t>
      </w:r>
      <w:r>
        <w:rPr>
          <w:szCs w:val="22"/>
        </w:rPr>
        <w:t xml:space="preserve">., 2000, 2003a). A </w:t>
      </w:r>
      <w:r w:rsidRPr="00474360">
        <w:rPr>
          <w:szCs w:val="22"/>
        </w:rPr>
        <w:t xml:space="preserve">review facilitated by the Australian Academy of Sciences and the Australian Academy of </w:t>
      </w:r>
      <w:smartTag w:uri="urn:schemas-microsoft-com:office:smarttags" w:element="PersonName">
        <w:r w:rsidRPr="00474360">
          <w:rPr>
            <w:szCs w:val="22"/>
          </w:rPr>
          <w:t>Tech</w:t>
        </w:r>
      </w:smartTag>
      <w:r w:rsidRPr="00474360">
        <w:rPr>
          <w:szCs w:val="22"/>
        </w:rPr>
        <w:t>nological Sciences and Engineering for the Australian Federal Government’s Natural Resource Management Ministerial Council found that</w:t>
      </w:r>
      <w:r>
        <w:rPr>
          <w:szCs w:val="22"/>
        </w:rPr>
        <w:t xml:space="preserve">, despite the additional challenges posed by regolith and groundwater </w:t>
      </w:r>
      <w:r w:rsidR="00DF0CAB">
        <w:rPr>
          <w:szCs w:val="22"/>
        </w:rPr>
        <w:t>salinisation</w:t>
      </w:r>
      <w:r>
        <w:rPr>
          <w:szCs w:val="22"/>
        </w:rPr>
        <w:t>,</w:t>
      </w:r>
      <w:r w:rsidRPr="00474360">
        <w:rPr>
          <w:szCs w:val="22"/>
        </w:rPr>
        <w:t xml:space="preserve"> </w:t>
      </w:r>
      <w:r>
        <w:rPr>
          <w:szCs w:val="22"/>
        </w:rPr>
        <w:t xml:space="preserve">AEM is </w:t>
      </w:r>
      <w:r w:rsidRPr="00474360">
        <w:rPr>
          <w:szCs w:val="22"/>
        </w:rPr>
        <w:t xml:space="preserve">the only </w:t>
      </w:r>
      <w:r w:rsidR="00DF0CAB" w:rsidRPr="00474360">
        <w:rPr>
          <w:szCs w:val="22"/>
        </w:rPr>
        <w:t>broad acre</w:t>
      </w:r>
      <w:r w:rsidRPr="00474360">
        <w:rPr>
          <w:szCs w:val="22"/>
        </w:rPr>
        <w:t xml:space="preserve"> technique that </w:t>
      </w:r>
      <w:r>
        <w:rPr>
          <w:szCs w:val="22"/>
        </w:rPr>
        <w:t>can</w:t>
      </w:r>
      <w:r w:rsidRPr="00474360">
        <w:rPr>
          <w:szCs w:val="22"/>
        </w:rPr>
        <w:t xml:space="preserve"> detect and resolve hydrostratigraphy and groundwater quality (salinity) in the sub-sur</w:t>
      </w:r>
      <w:r>
        <w:rPr>
          <w:szCs w:val="22"/>
        </w:rPr>
        <w:t xml:space="preserve">face deeper than the root zone </w:t>
      </w:r>
      <w:r w:rsidRPr="00474360">
        <w:rPr>
          <w:szCs w:val="22"/>
        </w:rPr>
        <w:t>(Spies &amp; Wood</w:t>
      </w:r>
      <w:smartTag w:uri="urn:schemas-microsoft-com:office:smarttags" w:element="PersonName">
        <w:r w:rsidRPr="00474360">
          <w:rPr>
            <w:szCs w:val="22"/>
          </w:rPr>
          <w:t>ga</w:t>
        </w:r>
      </w:smartTag>
      <w:r w:rsidRPr="00474360">
        <w:rPr>
          <w:szCs w:val="22"/>
        </w:rPr>
        <w:t>te, 2005).</w:t>
      </w:r>
      <w:r w:rsidRPr="00BB6485">
        <w:rPr>
          <w:szCs w:val="22"/>
        </w:rPr>
        <w:t xml:space="preserve"> </w:t>
      </w:r>
    </w:p>
    <w:p w:rsidR="00FE6473" w:rsidRDefault="00FE6473" w:rsidP="00FE6473">
      <w:pPr>
        <w:rPr>
          <w:szCs w:val="22"/>
        </w:rPr>
      </w:pPr>
    </w:p>
    <w:p w:rsidR="00FE6473" w:rsidRDefault="00FE6473" w:rsidP="00FE6473">
      <w:pPr>
        <w:rPr>
          <w:szCs w:val="22"/>
        </w:rPr>
      </w:pPr>
      <w:r>
        <w:rPr>
          <w:szCs w:val="22"/>
        </w:rPr>
        <w:t>The processing of AEM data and the presentation of conductivity data as maps and sections is now routine, and particularly effective in regolith and flat to shallow-dipping sedimentary environments (Lane, 2000, 2002; Lawrie</w:t>
      </w:r>
      <w:r w:rsidR="008A5F7D" w:rsidRPr="00CF7613">
        <w:rPr>
          <w:rStyle w:val="StyleItalic"/>
        </w:rPr>
        <w:t xml:space="preserve"> et al</w:t>
      </w:r>
      <w:r>
        <w:rPr>
          <w:szCs w:val="22"/>
        </w:rPr>
        <w:t>., 2000), at the scale of the ‘footprint’ of most AEM systems (Munday, 2008). AEM methods are particularly relevant for regional scale mapping, with ground EM methods required for higher resolution mapping at local scales (Lawrie</w:t>
      </w:r>
      <w:r w:rsidR="008A5F7D" w:rsidRPr="00CF7613">
        <w:rPr>
          <w:rStyle w:val="StyleItalic"/>
        </w:rPr>
        <w:t xml:space="preserve"> et al</w:t>
      </w:r>
      <w:r>
        <w:rPr>
          <w:szCs w:val="22"/>
        </w:rPr>
        <w:t xml:space="preserve">., 2009c, 2012a). </w:t>
      </w:r>
    </w:p>
    <w:p w:rsidR="00FE6473" w:rsidRDefault="00FE6473" w:rsidP="00FE6473">
      <w:pPr>
        <w:rPr>
          <w:szCs w:val="22"/>
        </w:rPr>
      </w:pPr>
    </w:p>
    <w:p w:rsidR="008F097B" w:rsidRDefault="008F097B" w:rsidP="00DF3E01">
      <w:pPr>
        <w:pStyle w:val="Level11"/>
        <w:numPr>
          <w:ilvl w:val="0"/>
          <w:numId w:val="0"/>
        </w:numPr>
        <w:spacing w:before="0"/>
        <w:rPr>
          <w:rFonts w:ascii="Times New Roman" w:hAnsi="Times New Roman"/>
          <w:sz w:val="22"/>
          <w:szCs w:val="22"/>
          <w:lang w:eastAsia="en-AU"/>
        </w:rPr>
      </w:pPr>
    </w:p>
    <w:p w:rsidR="00DF3E01" w:rsidRPr="000C564B" w:rsidRDefault="00DF3E01" w:rsidP="00DF3E01">
      <w:pPr>
        <w:pStyle w:val="Caption"/>
        <w:rPr>
          <w:b/>
          <w:bCs w:val="0"/>
          <w:i w:val="0"/>
        </w:rPr>
      </w:pPr>
    </w:p>
    <w:p w:rsidR="00DF3E01" w:rsidRDefault="00DF3E01" w:rsidP="00DF3E01">
      <w:pPr>
        <w:sectPr w:rsidR="00DF3E01" w:rsidSect="00C6706D">
          <w:headerReference w:type="even" r:id="rId53"/>
          <w:headerReference w:type="default" r:id="rId54"/>
          <w:footerReference w:type="default" r:id="rId55"/>
          <w:headerReference w:type="first" r:id="rId56"/>
          <w:pgSz w:w="11906" w:h="16838" w:code="9"/>
          <w:pgMar w:top="1134" w:right="1134" w:bottom="1134" w:left="1134" w:header="709" w:footer="709" w:gutter="0"/>
          <w:cols w:space="708"/>
          <w:docGrid w:linePitch="360"/>
        </w:sectPr>
      </w:pPr>
    </w:p>
    <w:p w:rsidR="00DF3E01" w:rsidRDefault="00706A3B" w:rsidP="00284471">
      <w:pPr>
        <w:spacing w:before="120" w:after="60"/>
        <w:jc w:val="center"/>
      </w:pPr>
      <w:r>
        <w:rPr>
          <w:noProof/>
        </w:rPr>
        <w:lastRenderedPageBreak/>
        <w:drawing>
          <wp:inline distT="0" distB="0" distL="0" distR="0" wp14:anchorId="2F83D421" wp14:editId="6F6DC63C">
            <wp:extent cx="7644765" cy="5645785"/>
            <wp:effectExtent l="19050" t="190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44765" cy="5645785"/>
                    </a:xfrm>
                    <a:prstGeom prst="rect">
                      <a:avLst/>
                    </a:prstGeom>
                    <a:noFill/>
                    <a:ln w="6350" cmpd="sng">
                      <a:solidFill>
                        <a:srgbClr val="000000"/>
                      </a:solidFill>
                      <a:miter lim="800000"/>
                      <a:headEnd/>
                      <a:tailEnd/>
                    </a:ln>
                    <a:effectLst/>
                  </pic:spPr>
                </pic:pic>
              </a:graphicData>
            </a:graphic>
          </wp:inline>
        </w:drawing>
      </w:r>
    </w:p>
    <w:p w:rsidR="00484AF7" w:rsidRDefault="001741E7" w:rsidP="00D01AC3">
      <w:pPr>
        <w:pStyle w:val="Caption"/>
        <w:rPr>
          <w:bCs w:val="0"/>
          <w:i w:val="0"/>
        </w:rPr>
      </w:pPr>
      <w:bookmarkStart w:id="164" w:name="_Ref32570704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3</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164"/>
      <w:r>
        <w:rPr>
          <w:b/>
        </w:rPr>
        <w:t>.</w:t>
      </w:r>
      <w:r>
        <w:rPr>
          <w:b/>
          <w:szCs w:val="22"/>
        </w:rPr>
        <w:t xml:space="preserve"> </w:t>
      </w:r>
      <w:r w:rsidR="00D01AC3" w:rsidRPr="009F303B">
        <w:t>Datasets</w:t>
      </w:r>
      <w:r w:rsidR="00D01AC3">
        <w:t xml:space="preserve"> acquired during the project, grouped by theme.</w:t>
      </w:r>
      <w:r w:rsidR="00BE08AB" w:rsidRPr="00BE08AB">
        <w:rPr>
          <w:bCs w:val="0"/>
          <w:i w:val="0"/>
        </w:rPr>
        <w:t xml:space="preserve"> </w:t>
      </w:r>
      <w:r w:rsidR="00BE08AB" w:rsidRPr="005706E3">
        <w:rPr>
          <w:bCs w:val="0"/>
          <w:i w:val="0"/>
        </w:rPr>
        <w:fldChar w:fldCharType="begin"/>
      </w:r>
      <w:r w:rsidR="00BE08AB" w:rsidRPr="005706E3">
        <w:rPr>
          <w:bCs w:val="0"/>
          <w:i w:val="0"/>
        </w:rPr>
        <w:instrText xml:space="preserve"> TC "</w:instrText>
      </w:r>
      <w:bookmarkStart w:id="165" w:name="_Toc325975202"/>
      <w:bookmarkStart w:id="166" w:name="_Toc390690207"/>
      <w:r w:rsidR="009F303B" w:rsidRPr="00216027">
        <w:rPr>
          <w:bCs w:val="0"/>
          <w:i w:val="0"/>
        </w:rPr>
        <w:instrText xml:space="preserve">Figure </w:instrText>
      </w:r>
      <w:r w:rsidR="0020070D">
        <w:rPr>
          <w:bCs w:val="0"/>
          <w:i w:val="0"/>
        </w:rPr>
        <w:instrText>3-1.</w:instrText>
      </w:r>
      <w:r w:rsidR="00BE08AB" w:rsidRPr="00216027">
        <w:rPr>
          <w:bCs w:val="0"/>
          <w:i w:val="0"/>
        </w:rPr>
        <w:instrText xml:space="preserve"> </w:instrText>
      </w:r>
      <w:r w:rsidR="009F303B" w:rsidRPr="00216027">
        <w:rPr>
          <w:i w:val="0"/>
        </w:rPr>
        <w:instrText>Datasets acquired during the project, grouped by theme</w:instrText>
      </w:r>
      <w:bookmarkEnd w:id="165"/>
      <w:r w:rsidR="005E4B77">
        <w:rPr>
          <w:i w:val="0"/>
        </w:rPr>
        <w:instrText>.</w:instrText>
      </w:r>
      <w:bookmarkEnd w:id="166"/>
      <w:r w:rsidR="00BE08AB" w:rsidRPr="00216027">
        <w:rPr>
          <w:bCs w:val="0"/>
          <w:i w:val="0"/>
        </w:rPr>
        <w:instrText>" \f A \l “4”</w:instrText>
      </w:r>
      <w:r w:rsidR="00BE08AB" w:rsidRPr="005706E3">
        <w:rPr>
          <w:bCs w:val="0"/>
          <w:i w:val="0"/>
        </w:rPr>
        <w:instrText xml:space="preserve"> </w:instrText>
      </w:r>
      <w:r w:rsidR="00BE08AB" w:rsidRPr="005706E3">
        <w:rPr>
          <w:bCs w:val="0"/>
          <w:i w:val="0"/>
        </w:rPr>
        <w:fldChar w:fldCharType="end"/>
      </w:r>
    </w:p>
    <w:p w:rsidR="002E112D" w:rsidRDefault="002E112D" w:rsidP="00851ED2">
      <w:pPr>
        <w:spacing w:before="120"/>
        <w:jc w:val="center"/>
      </w:pPr>
    </w:p>
    <w:p w:rsidR="00DF3E01" w:rsidRDefault="00706A3B" w:rsidP="00284471">
      <w:pPr>
        <w:spacing w:before="120" w:after="60"/>
        <w:jc w:val="center"/>
      </w:pPr>
      <w:r>
        <w:rPr>
          <w:noProof/>
        </w:rPr>
        <w:drawing>
          <wp:inline distT="0" distB="0" distL="0" distR="0" wp14:anchorId="615ADA3D" wp14:editId="75734C52">
            <wp:extent cx="7953375" cy="5475605"/>
            <wp:effectExtent l="19050" t="1905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953375" cy="5475605"/>
                    </a:xfrm>
                    <a:prstGeom prst="rect">
                      <a:avLst/>
                    </a:prstGeom>
                    <a:noFill/>
                    <a:ln w="6350" cmpd="sng">
                      <a:solidFill>
                        <a:srgbClr val="000000"/>
                      </a:solidFill>
                      <a:miter lim="800000"/>
                      <a:headEnd/>
                      <a:tailEnd/>
                    </a:ln>
                    <a:effectLst/>
                  </pic:spPr>
                </pic:pic>
              </a:graphicData>
            </a:graphic>
          </wp:inline>
        </w:drawing>
      </w:r>
    </w:p>
    <w:p w:rsidR="00DF3E01" w:rsidRDefault="001741E7" w:rsidP="00D01AC3">
      <w:pPr>
        <w:pStyle w:val="Caption"/>
        <w:sectPr w:rsidR="00DF3E01" w:rsidSect="00C6706D">
          <w:pgSz w:w="16838" w:h="11906" w:orient="landscape" w:code="9"/>
          <w:pgMar w:top="1134" w:right="1134" w:bottom="1134" w:left="1134" w:header="709" w:footer="709" w:gutter="0"/>
          <w:cols w:space="708"/>
          <w:docGrid w:linePitch="360"/>
        </w:sectPr>
      </w:pPr>
      <w:bookmarkStart w:id="167" w:name="_Ref325707094"/>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3</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167"/>
      <w:r>
        <w:rPr>
          <w:b/>
        </w:rPr>
        <w:t>.</w:t>
      </w:r>
      <w:r>
        <w:rPr>
          <w:b/>
          <w:szCs w:val="22"/>
        </w:rPr>
        <w:t xml:space="preserve"> </w:t>
      </w:r>
      <w:r w:rsidR="00D01AC3">
        <w:t>Simplified project workflow. Those themes listed under acquisition of data relate to</w:t>
      </w:r>
      <w:r w:rsidR="00D23F26">
        <w:t xml:space="preserve"> </w:t>
      </w:r>
      <w:r w:rsidRPr="005E4B77">
        <w:fldChar w:fldCharType="begin"/>
      </w:r>
      <w:r w:rsidRPr="005E4B77">
        <w:instrText xml:space="preserve"> REF _Ref325707042 \h </w:instrText>
      </w:r>
      <w:r w:rsidR="005E4B77" w:rsidRPr="005E4B77">
        <w:instrText xml:space="preserve"> \* MERGEFORMAT </w:instrText>
      </w:r>
      <w:r w:rsidRPr="005E4B77">
        <w:fldChar w:fldCharType="separate"/>
      </w:r>
      <w:r w:rsidR="00966532" w:rsidRPr="00966532">
        <w:t xml:space="preserve">Figure </w:t>
      </w:r>
      <w:r w:rsidR="00966532" w:rsidRPr="00966532">
        <w:rPr>
          <w:noProof/>
        </w:rPr>
        <w:t>3</w:t>
      </w:r>
      <w:r w:rsidR="00966532" w:rsidRPr="00966532">
        <w:rPr>
          <w:noProof/>
        </w:rPr>
        <w:noBreakHyphen/>
        <w:t>1</w:t>
      </w:r>
      <w:r w:rsidRPr="005E4B77">
        <w:fldChar w:fldCharType="end"/>
      </w:r>
      <w:r w:rsidR="00D01AC3" w:rsidRPr="005E4B77">
        <w:t>.</w:t>
      </w:r>
      <w:r w:rsidR="00BE08AB" w:rsidRPr="00BE08AB">
        <w:rPr>
          <w:bCs w:val="0"/>
          <w:i w:val="0"/>
        </w:rPr>
        <w:t xml:space="preserve"> </w:t>
      </w:r>
      <w:r w:rsidR="00BE08AB" w:rsidRPr="005706E3">
        <w:rPr>
          <w:bCs w:val="0"/>
          <w:i w:val="0"/>
        </w:rPr>
        <w:fldChar w:fldCharType="begin"/>
      </w:r>
      <w:r w:rsidR="00BE08AB" w:rsidRPr="005706E3">
        <w:rPr>
          <w:bCs w:val="0"/>
          <w:i w:val="0"/>
        </w:rPr>
        <w:instrText xml:space="preserve"> </w:instrText>
      </w:r>
      <w:r w:rsidR="00BE08AB" w:rsidRPr="00216027">
        <w:rPr>
          <w:bCs w:val="0"/>
          <w:i w:val="0"/>
        </w:rPr>
        <w:instrText>TC "</w:instrText>
      </w:r>
      <w:bookmarkStart w:id="168" w:name="_Toc325975203"/>
      <w:bookmarkStart w:id="169" w:name="_Toc390690208"/>
      <w:r w:rsidR="00497AD3">
        <w:rPr>
          <w:bCs w:val="0"/>
          <w:i w:val="0"/>
        </w:rPr>
        <w:instrText xml:space="preserve">Figure </w:instrText>
      </w:r>
      <w:r w:rsidR="0020070D">
        <w:rPr>
          <w:bCs w:val="0"/>
          <w:i w:val="0"/>
        </w:rPr>
        <w:instrText>3-2</w:instrText>
      </w:r>
      <w:r w:rsidR="00497AD3">
        <w:rPr>
          <w:bCs w:val="0"/>
          <w:i w:val="0"/>
        </w:rPr>
        <w:instrText>.</w:instrText>
      </w:r>
      <w:r w:rsidR="00BE08AB" w:rsidRPr="00216027">
        <w:rPr>
          <w:bCs w:val="0"/>
          <w:i w:val="0"/>
        </w:rPr>
        <w:instrText xml:space="preserve"> </w:instrText>
      </w:r>
      <w:r w:rsidR="009F303B" w:rsidRPr="00216027">
        <w:rPr>
          <w:i w:val="0"/>
        </w:rPr>
        <w:instrText>Simplified project workflow</w:instrText>
      </w:r>
      <w:bookmarkEnd w:id="168"/>
      <w:r w:rsidR="005E4B77">
        <w:rPr>
          <w:bCs w:val="0"/>
          <w:i w:val="0"/>
        </w:rPr>
        <w:instrText>.</w:instrText>
      </w:r>
      <w:bookmarkEnd w:id="169"/>
      <w:r w:rsidR="00BE08AB" w:rsidRPr="00216027">
        <w:rPr>
          <w:bCs w:val="0"/>
          <w:i w:val="0"/>
        </w:rPr>
        <w:instrText>" \f A \l “4</w:instrText>
      </w:r>
      <w:r w:rsidR="00BE08AB" w:rsidRPr="005706E3">
        <w:rPr>
          <w:bCs w:val="0"/>
          <w:i w:val="0"/>
        </w:rPr>
        <w:instrText xml:space="preserve">” </w:instrText>
      </w:r>
      <w:r w:rsidR="00BE08AB" w:rsidRPr="005706E3">
        <w:rPr>
          <w:bCs w:val="0"/>
          <w:i w:val="0"/>
        </w:rPr>
        <w:fldChar w:fldCharType="end"/>
      </w:r>
    </w:p>
    <w:p w:rsidR="00FE6473" w:rsidRPr="00BB6485" w:rsidRDefault="00FE6473" w:rsidP="00FE6473">
      <w:pPr>
        <w:rPr>
          <w:szCs w:val="22"/>
        </w:rPr>
      </w:pPr>
      <w:r>
        <w:rPr>
          <w:szCs w:val="22"/>
        </w:rPr>
        <w:lastRenderedPageBreak/>
        <w:t>The complex electrical structure of Australia’s near-surface landscapes and the presence of conductive layers and basement in many regolith terrains, have necessitated the development of constrained inversion approaches that are able to resolve the key elements of the hydrostratigraphy and map the variability in groundwater salinity (Lane</w:t>
      </w:r>
      <w:r w:rsidR="008A5F7D" w:rsidRPr="00CF7613">
        <w:rPr>
          <w:rStyle w:val="StyleItalic"/>
        </w:rPr>
        <w:t xml:space="preserve"> et al</w:t>
      </w:r>
      <w:r>
        <w:rPr>
          <w:szCs w:val="22"/>
        </w:rPr>
        <w:t>., 2004; Lawrie</w:t>
      </w:r>
      <w:r w:rsidR="008A5F7D" w:rsidRPr="00CF7613">
        <w:rPr>
          <w:rStyle w:val="StyleItalic"/>
        </w:rPr>
        <w:t xml:space="preserve"> et al</w:t>
      </w:r>
      <w:r>
        <w:rPr>
          <w:szCs w:val="22"/>
        </w:rPr>
        <w:t>., 2008, 2009c, 2010c). This, combined with rigorous technology selection, and appropriate calibration and validation procedures (Lawrie</w:t>
      </w:r>
      <w:r w:rsidR="008A5F7D" w:rsidRPr="00CF7613">
        <w:rPr>
          <w:rStyle w:val="StyleItalic"/>
        </w:rPr>
        <w:t xml:space="preserve"> et al</w:t>
      </w:r>
      <w:r>
        <w:rPr>
          <w:szCs w:val="22"/>
        </w:rPr>
        <w:t xml:space="preserve">., 2000, 2008c, 2009c), has led to the successful mapping and assessment of groundwater </w:t>
      </w:r>
      <w:r w:rsidRPr="00A83EB8">
        <w:rPr>
          <w:szCs w:val="22"/>
        </w:rPr>
        <w:t>salinity hazard in a range of floodplain environments (</w:t>
      </w:r>
      <w:r>
        <w:rPr>
          <w:szCs w:val="22"/>
        </w:rPr>
        <w:t>George</w:t>
      </w:r>
      <w:r w:rsidR="008A5F7D" w:rsidRPr="00CF7613">
        <w:rPr>
          <w:rStyle w:val="StyleItalic"/>
        </w:rPr>
        <w:t xml:space="preserve"> et al</w:t>
      </w:r>
      <w:r>
        <w:rPr>
          <w:szCs w:val="22"/>
        </w:rPr>
        <w:t xml:space="preserve">., 1998; </w:t>
      </w:r>
      <w:r w:rsidRPr="00A83EB8">
        <w:rPr>
          <w:szCs w:val="22"/>
        </w:rPr>
        <w:t>Lawrie</w:t>
      </w:r>
      <w:r w:rsidR="008A5F7D" w:rsidRPr="00CF7613">
        <w:rPr>
          <w:rStyle w:val="StyleItalic"/>
        </w:rPr>
        <w:t xml:space="preserve"> et al</w:t>
      </w:r>
      <w:r w:rsidRPr="00A83EB8">
        <w:rPr>
          <w:szCs w:val="22"/>
        </w:rPr>
        <w:t xml:space="preserve">., 2000, 2003a, b, 2004, 2008b, </w:t>
      </w:r>
      <w:r>
        <w:rPr>
          <w:szCs w:val="22"/>
        </w:rPr>
        <w:t xml:space="preserve">2009c, </w:t>
      </w:r>
      <w:r w:rsidRPr="00A83EB8">
        <w:rPr>
          <w:szCs w:val="22"/>
        </w:rPr>
        <w:t>2010c; Lane</w:t>
      </w:r>
      <w:r w:rsidR="008A5F7D" w:rsidRPr="00CF7613">
        <w:rPr>
          <w:rStyle w:val="StyleItalic"/>
        </w:rPr>
        <w:t xml:space="preserve"> et al</w:t>
      </w:r>
      <w:r w:rsidRPr="00A83EB8">
        <w:rPr>
          <w:szCs w:val="22"/>
        </w:rPr>
        <w:t>., 2004; Chamberlain &amp; Wilkinson, 2004; Walker</w:t>
      </w:r>
      <w:r w:rsidR="008A5F7D" w:rsidRPr="00CF7613">
        <w:rPr>
          <w:rStyle w:val="StyleItalic"/>
        </w:rPr>
        <w:t xml:space="preserve"> et al</w:t>
      </w:r>
      <w:r w:rsidRPr="00A83EB8">
        <w:rPr>
          <w:szCs w:val="22"/>
        </w:rPr>
        <w:t>., 2004; Munday</w:t>
      </w:r>
      <w:r w:rsidR="008A5F7D" w:rsidRPr="00CF7613">
        <w:rPr>
          <w:rStyle w:val="StyleItalic"/>
        </w:rPr>
        <w:t xml:space="preserve"> et al</w:t>
      </w:r>
      <w:r w:rsidRPr="00A83EB8">
        <w:rPr>
          <w:szCs w:val="22"/>
        </w:rPr>
        <w:t>., 2006, 2007, 20</w:t>
      </w:r>
      <w:r>
        <w:rPr>
          <w:szCs w:val="22"/>
        </w:rPr>
        <w:t>12</w:t>
      </w:r>
      <w:r w:rsidRPr="00A83EB8">
        <w:rPr>
          <w:szCs w:val="22"/>
        </w:rPr>
        <w:t>; Cresswell</w:t>
      </w:r>
      <w:r w:rsidR="008A5F7D" w:rsidRPr="00CF7613">
        <w:rPr>
          <w:rStyle w:val="StyleItalic"/>
        </w:rPr>
        <w:t xml:space="preserve"> et al</w:t>
      </w:r>
      <w:r w:rsidRPr="00A83EB8">
        <w:rPr>
          <w:szCs w:val="22"/>
        </w:rPr>
        <w:t>., 2007; Palamera</w:t>
      </w:r>
      <w:r w:rsidR="008A5F7D" w:rsidRPr="00CF7613">
        <w:rPr>
          <w:rStyle w:val="StyleItalic"/>
        </w:rPr>
        <w:t xml:space="preserve"> et al</w:t>
      </w:r>
      <w:r w:rsidRPr="00CF7613">
        <w:rPr>
          <w:rStyle w:val="StyleItalic"/>
        </w:rPr>
        <w:t>.</w:t>
      </w:r>
      <w:r w:rsidRPr="00A83EB8">
        <w:rPr>
          <w:szCs w:val="22"/>
        </w:rPr>
        <w:t>, 2010</w:t>
      </w:r>
      <w:r>
        <w:rPr>
          <w:szCs w:val="22"/>
        </w:rPr>
        <w:t>; Munday, 2010; Tan</w:t>
      </w:r>
      <w:r w:rsidR="008A5F7D" w:rsidRPr="00CF7613">
        <w:rPr>
          <w:rStyle w:val="StyleItalic"/>
        </w:rPr>
        <w:t xml:space="preserve"> et al</w:t>
      </w:r>
      <w:r>
        <w:rPr>
          <w:szCs w:val="22"/>
        </w:rPr>
        <w:t>., 2012)</w:t>
      </w:r>
      <w:r w:rsidRPr="00A83EB8">
        <w:rPr>
          <w:szCs w:val="22"/>
        </w:rPr>
        <w:t xml:space="preserve">. </w:t>
      </w:r>
      <w:r>
        <w:rPr>
          <w:szCs w:val="22"/>
        </w:rPr>
        <w:t>Using similar approaches, A</w:t>
      </w:r>
      <w:r w:rsidRPr="00A83EB8">
        <w:rPr>
          <w:szCs w:val="22"/>
        </w:rPr>
        <w:t>EM surveys have also been used to detect potential groundwater resources (George</w:t>
      </w:r>
      <w:r w:rsidR="008A5F7D" w:rsidRPr="00CF7613">
        <w:rPr>
          <w:rStyle w:val="StyleItalic"/>
        </w:rPr>
        <w:t xml:space="preserve"> et al</w:t>
      </w:r>
      <w:r w:rsidRPr="00A83EB8">
        <w:rPr>
          <w:szCs w:val="22"/>
        </w:rPr>
        <w:t xml:space="preserve">., 1998; Edwards &amp; McAuley, </w:t>
      </w:r>
      <w:r w:rsidRPr="00CF7613">
        <w:rPr>
          <w:rStyle w:val="StyleItalic"/>
        </w:rPr>
        <w:t>2008</w:t>
      </w:r>
      <w:r w:rsidRPr="00A83EB8">
        <w:rPr>
          <w:szCs w:val="22"/>
        </w:rPr>
        <w:t>; Lawrie</w:t>
      </w:r>
      <w:r w:rsidR="008A5F7D" w:rsidRPr="00CF7613">
        <w:rPr>
          <w:rStyle w:val="StyleItalic"/>
        </w:rPr>
        <w:t xml:space="preserve"> et al</w:t>
      </w:r>
      <w:r w:rsidRPr="00CF7613">
        <w:rPr>
          <w:rStyle w:val="StyleItalic"/>
        </w:rPr>
        <w:t>.,</w:t>
      </w:r>
      <w:r w:rsidRPr="00A83EB8">
        <w:rPr>
          <w:szCs w:val="22"/>
        </w:rPr>
        <w:t xml:space="preserve"> 2009c; Fitzpatrick</w:t>
      </w:r>
      <w:r w:rsidR="008A5F7D" w:rsidRPr="00CF7613">
        <w:rPr>
          <w:rStyle w:val="StyleItalic"/>
        </w:rPr>
        <w:t xml:space="preserve"> et al</w:t>
      </w:r>
      <w:r w:rsidRPr="00A83EB8">
        <w:rPr>
          <w:szCs w:val="22"/>
        </w:rPr>
        <w:t>., 2010</w:t>
      </w:r>
      <w:r>
        <w:rPr>
          <w:szCs w:val="22"/>
        </w:rPr>
        <w:t>) and seawater intrusion interfaces (</w:t>
      </w:r>
      <w:r w:rsidRPr="00A83EB8">
        <w:rPr>
          <w:szCs w:val="22"/>
        </w:rPr>
        <w:t>Fitzpatrick &amp; Munday, 2006;</w:t>
      </w:r>
      <w:r>
        <w:rPr>
          <w:szCs w:val="22"/>
        </w:rPr>
        <w:t xml:space="preserve"> </w:t>
      </w:r>
      <w:r w:rsidRPr="00A83EB8">
        <w:rPr>
          <w:szCs w:val="22"/>
        </w:rPr>
        <w:t>Munday, 2010</w:t>
      </w:r>
      <w:r>
        <w:rPr>
          <w:szCs w:val="22"/>
        </w:rPr>
        <w:t xml:space="preserve">; </w:t>
      </w:r>
      <w:r w:rsidRPr="00A83EB8">
        <w:rPr>
          <w:szCs w:val="22"/>
        </w:rPr>
        <w:t>Tan</w:t>
      </w:r>
      <w:r w:rsidR="008A5F7D" w:rsidRPr="00CF7613">
        <w:rPr>
          <w:rStyle w:val="StyleItalic"/>
        </w:rPr>
        <w:t xml:space="preserve"> et al</w:t>
      </w:r>
      <w:r w:rsidRPr="00A83EB8">
        <w:rPr>
          <w:szCs w:val="22"/>
        </w:rPr>
        <w:t>., 2012</w:t>
      </w:r>
      <w:r>
        <w:rPr>
          <w:szCs w:val="22"/>
        </w:rPr>
        <w:t>), despite near-surface salinisation.</w:t>
      </w:r>
    </w:p>
    <w:p w:rsidR="00FE6473" w:rsidRPr="00BB6485" w:rsidRDefault="00FE6473" w:rsidP="00FE6473">
      <w:pPr>
        <w:rPr>
          <w:szCs w:val="22"/>
        </w:rPr>
      </w:pPr>
    </w:p>
    <w:p w:rsidR="00F544AE" w:rsidRPr="00BB6485" w:rsidRDefault="00FE6473" w:rsidP="00F544AE">
      <w:pPr>
        <w:rPr>
          <w:szCs w:val="22"/>
        </w:rPr>
      </w:pPr>
      <w:r w:rsidRPr="00106292">
        <w:rPr>
          <w:szCs w:val="22"/>
        </w:rPr>
        <w:t xml:space="preserve">The benefits from </w:t>
      </w:r>
      <w:smartTag w:uri="urn:schemas-microsoft-com:office:smarttags" w:element="stockticker">
        <w:r w:rsidRPr="00106292">
          <w:rPr>
            <w:szCs w:val="22"/>
          </w:rPr>
          <w:t>AEM</w:t>
        </w:r>
      </w:smartTag>
      <w:r w:rsidRPr="00106292">
        <w:rPr>
          <w:szCs w:val="22"/>
        </w:rPr>
        <w:t xml:space="preserve"> surveys are maximised when these technologies are employed within </w:t>
      </w:r>
      <w:r w:rsidR="00884690">
        <w:rPr>
          <w:szCs w:val="22"/>
        </w:rPr>
        <w:t>trans-</w:t>
      </w:r>
      <w:r w:rsidRPr="00106292">
        <w:rPr>
          <w:szCs w:val="22"/>
        </w:rPr>
        <w:t>disciplinary, systems-based approaches to the analysis of problems and the development of customised interpretation products (Lawrie</w:t>
      </w:r>
      <w:r w:rsidR="008A5F7D" w:rsidRPr="00CF7613">
        <w:rPr>
          <w:rStyle w:val="StyleItalic"/>
        </w:rPr>
        <w:t xml:space="preserve"> et al</w:t>
      </w:r>
      <w:r w:rsidRPr="00106292">
        <w:rPr>
          <w:szCs w:val="22"/>
        </w:rPr>
        <w:t>., 2000; Lawrie</w:t>
      </w:r>
      <w:r w:rsidR="008A5F7D" w:rsidRPr="00CF7613">
        <w:rPr>
          <w:rStyle w:val="StyleItalic"/>
        </w:rPr>
        <w:t xml:space="preserve"> et al</w:t>
      </w:r>
      <w:r w:rsidRPr="00CF7613">
        <w:rPr>
          <w:rStyle w:val="StyleItalic"/>
        </w:rPr>
        <w:t xml:space="preserve">., </w:t>
      </w:r>
      <w:r w:rsidRPr="00106292">
        <w:rPr>
          <w:szCs w:val="22"/>
        </w:rPr>
        <w:t>2003a, b, 2009c, 2010c; Spies &amp; Woodgate</w:t>
      </w:r>
      <w:r>
        <w:rPr>
          <w:szCs w:val="22"/>
        </w:rPr>
        <w:t xml:space="preserve">, </w:t>
      </w:r>
      <w:r w:rsidR="00F544AE" w:rsidRPr="00106292">
        <w:rPr>
          <w:szCs w:val="22"/>
        </w:rPr>
        <w:t>2005). Systems-based approaches incorporate an understanding of landscape evolution and scale, utilise modern investi</w:t>
      </w:r>
      <w:smartTag w:uri="urn:schemas-microsoft-com:office:smarttags" w:element="PersonName">
        <w:r w:rsidR="00F544AE" w:rsidRPr="00106292">
          <w:rPr>
            <w:szCs w:val="22"/>
          </w:rPr>
          <w:t>ga</w:t>
        </w:r>
      </w:smartTag>
      <w:r w:rsidR="00F544AE" w:rsidRPr="00106292">
        <w:rPr>
          <w:szCs w:val="22"/>
        </w:rPr>
        <w:t>tive approaches to the conceptualisation of aquifer systems, and incorporate data on water, salinity and vegetation dynamics to provide key constraints on aquifer systems (Lawrie</w:t>
      </w:r>
      <w:r w:rsidR="008A5F7D" w:rsidRPr="00CF7613">
        <w:rPr>
          <w:rStyle w:val="StyleItalic"/>
        </w:rPr>
        <w:t xml:space="preserve"> et al</w:t>
      </w:r>
      <w:r w:rsidR="00F544AE" w:rsidRPr="00106292">
        <w:rPr>
          <w:szCs w:val="22"/>
        </w:rPr>
        <w:t>., 2000, 2008, 2009</w:t>
      </w:r>
      <w:r w:rsidR="00106292" w:rsidRPr="00106292">
        <w:rPr>
          <w:szCs w:val="22"/>
        </w:rPr>
        <w:t>c</w:t>
      </w:r>
      <w:r w:rsidR="00F544AE" w:rsidRPr="00106292">
        <w:rPr>
          <w:szCs w:val="22"/>
        </w:rPr>
        <w:t>, 2010</w:t>
      </w:r>
      <w:r w:rsidR="00106292" w:rsidRPr="00106292">
        <w:rPr>
          <w:szCs w:val="22"/>
        </w:rPr>
        <w:t>c</w:t>
      </w:r>
      <w:r w:rsidR="00F544AE" w:rsidRPr="00106292">
        <w:rPr>
          <w:szCs w:val="22"/>
        </w:rPr>
        <w:t>).</w:t>
      </w:r>
      <w:r w:rsidR="00F544AE" w:rsidRPr="00BB6485">
        <w:rPr>
          <w:szCs w:val="22"/>
        </w:rPr>
        <w:t xml:space="preserve"> </w:t>
      </w:r>
    </w:p>
    <w:p w:rsidR="00F544AE" w:rsidRPr="00BB6485" w:rsidRDefault="00F544AE" w:rsidP="00F544AE">
      <w:pPr>
        <w:rPr>
          <w:szCs w:val="22"/>
        </w:rPr>
      </w:pPr>
    </w:p>
    <w:p w:rsidR="00F544AE" w:rsidRDefault="00F544AE" w:rsidP="00F544AE">
      <w:pPr>
        <w:rPr>
          <w:szCs w:val="22"/>
        </w:rPr>
      </w:pPr>
      <w:r w:rsidRPr="00106292">
        <w:rPr>
          <w:szCs w:val="22"/>
        </w:rPr>
        <w:t xml:space="preserve">Over the past </w:t>
      </w:r>
      <w:r w:rsidR="00D01AC3" w:rsidRPr="00106292">
        <w:rPr>
          <w:szCs w:val="22"/>
        </w:rPr>
        <w:t>five</w:t>
      </w:r>
      <w:r w:rsidRPr="00106292">
        <w:rPr>
          <w:szCs w:val="22"/>
        </w:rPr>
        <w:t xml:space="preserve"> years, a staged approach to survey design combined with forward modelling studies has ensured that appropriate </w:t>
      </w:r>
      <w:smartTag w:uri="urn:schemas-microsoft-com:office:smarttags" w:element="stockticker">
        <w:r w:rsidRPr="00106292">
          <w:rPr>
            <w:szCs w:val="22"/>
          </w:rPr>
          <w:t>AEM</w:t>
        </w:r>
      </w:smartTag>
      <w:r w:rsidRPr="00106292">
        <w:rPr>
          <w:szCs w:val="22"/>
        </w:rPr>
        <w:t xml:space="preserve"> technologies are selected to match the target objectives (Green &amp; Munday, 2004; Lawrie, 2006; Munday</w:t>
      </w:r>
      <w:r w:rsidR="008A5F7D" w:rsidRPr="00CF7613">
        <w:rPr>
          <w:rStyle w:val="StyleItalic"/>
        </w:rPr>
        <w:t xml:space="preserve"> et al</w:t>
      </w:r>
      <w:r w:rsidRPr="00106292">
        <w:rPr>
          <w:szCs w:val="22"/>
        </w:rPr>
        <w:t xml:space="preserve">., 2007, 2008d; </w:t>
      </w:r>
      <w:r w:rsidR="009D7B6E" w:rsidRPr="00106292">
        <w:rPr>
          <w:szCs w:val="22"/>
        </w:rPr>
        <w:t>Lawrie</w:t>
      </w:r>
      <w:r w:rsidR="008A5F7D" w:rsidRPr="00CF7613">
        <w:rPr>
          <w:rStyle w:val="StyleItalic"/>
        </w:rPr>
        <w:t xml:space="preserve"> et al</w:t>
      </w:r>
      <w:r w:rsidR="009D7B6E" w:rsidRPr="00CF7613">
        <w:rPr>
          <w:rStyle w:val="StyleItalic"/>
        </w:rPr>
        <w:t>.,</w:t>
      </w:r>
      <w:r w:rsidR="005152D9" w:rsidRPr="00106292">
        <w:rPr>
          <w:szCs w:val="22"/>
        </w:rPr>
        <w:t xml:space="preserve"> 2009</w:t>
      </w:r>
      <w:r w:rsidRPr="00106292">
        <w:rPr>
          <w:szCs w:val="22"/>
        </w:rPr>
        <w:t xml:space="preserve">b, </w:t>
      </w:r>
      <w:r w:rsidR="00106292" w:rsidRPr="00106292">
        <w:rPr>
          <w:szCs w:val="22"/>
        </w:rPr>
        <w:t xml:space="preserve">c, </w:t>
      </w:r>
      <w:r w:rsidRPr="00106292">
        <w:rPr>
          <w:szCs w:val="22"/>
        </w:rPr>
        <w:t>2010</w:t>
      </w:r>
      <w:r w:rsidR="00106292" w:rsidRPr="00106292">
        <w:rPr>
          <w:szCs w:val="22"/>
        </w:rPr>
        <w:t>c</w:t>
      </w:r>
      <w:r w:rsidRPr="00106292">
        <w:rPr>
          <w:szCs w:val="22"/>
        </w:rPr>
        <w:t xml:space="preserve">). In Australian landscape settings </w:t>
      </w:r>
      <w:smartTag w:uri="urn:schemas-microsoft-com:office:smarttags" w:element="stockticker">
        <w:r w:rsidRPr="00106292">
          <w:rPr>
            <w:szCs w:val="22"/>
          </w:rPr>
          <w:t>AEM</w:t>
        </w:r>
      </w:smartTag>
      <w:r w:rsidRPr="00106292">
        <w:rPr>
          <w:szCs w:val="22"/>
        </w:rPr>
        <w:t>-based products have</w:t>
      </w:r>
      <w:r w:rsidR="005F4ADB">
        <w:rPr>
          <w:szCs w:val="22"/>
        </w:rPr>
        <w:t xml:space="preserve"> been</w:t>
      </w:r>
      <w:r w:rsidRPr="00106292">
        <w:rPr>
          <w:szCs w:val="22"/>
        </w:rPr>
        <w:t xml:space="preserve"> proven effective at providing high resolution baseline data on the spatial distribution of aquifers and aquitards as well as water quality and salt stores in shallow (&lt;120</w:t>
      </w:r>
      <w:r w:rsidR="00CE0CC3" w:rsidRPr="00106292">
        <w:rPr>
          <w:szCs w:val="22"/>
        </w:rPr>
        <w:t xml:space="preserve"> </w:t>
      </w:r>
      <w:r w:rsidRPr="00106292">
        <w:rPr>
          <w:szCs w:val="22"/>
        </w:rPr>
        <w:t>m) floodplain sediments (</w:t>
      </w:r>
      <w:r w:rsidR="009F19CC" w:rsidRPr="00106292">
        <w:rPr>
          <w:szCs w:val="22"/>
        </w:rPr>
        <w:t>Tan</w:t>
      </w:r>
      <w:r w:rsidR="008A5F7D" w:rsidRPr="00CF7613">
        <w:rPr>
          <w:rStyle w:val="StyleItalic"/>
        </w:rPr>
        <w:t xml:space="preserve"> et al</w:t>
      </w:r>
      <w:r w:rsidR="009F19CC" w:rsidRPr="00106292">
        <w:rPr>
          <w:szCs w:val="22"/>
        </w:rPr>
        <w:t>., 2005; Munday</w:t>
      </w:r>
      <w:r w:rsidR="008A5F7D" w:rsidRPr="00CF7613">
        <w:rPr>
          <w:rStyle w:val="StyleItalic"/>
        </w:rPr>
        <w:t xml:space="preserve"> et al</w:t>
      </w:r>
      <w:r w:rsidR="009F19CC" w:rsidRPr="00106292">
        <w:rPr>
          <w:szCs w:val="22"/>
        </w:rPr>
        <w:t>., 2006, 2007; Lawrie</w:t>
      </w:r>
      <w:r w:rsidR="008A5F7D" w:rsidRPr="00CF7613">
        <w:rPr>
          <w:rStyle w:val="StyleItalic"/>
        </w:rPr>
        <w:t xml:space="preserve"> et al</w:t>
      </w:r>
      <w:r w:rsidR="00106292" w:rsidRPr="00106292">
        <w:rPr>
          <w:szCs w:val="22"/>
        </w:rPr>
        <w:t>., 2009c</w:t>
      </w:r>
      <w:r w:rsidR="009F19CC" w:rsidRPr="00106292">
        <w:rPr>
          <w:szCs w:val="22"/>
        </w:rPr>
        <w:t>, 2010</w:t>
      </w:r>
      <w:r w:rsidR="00106292" w:rsidRPr="00106292">
        <w:rPr>
          <w:szCs w:val="22"/>
        </w:rPr>
        <w:t>c</w:t>
      </w:r>
      <w:r w:rsidR="009F19CC" w:rsidRPr="00106292">
        <w:rPr>
          <w:szCs w:val="22"/>
        </w:rPr>
        <w:t xml:space="preserve">; </w:t>
      </w:r>
      <w:r w:rsidRPr="00106292">
        <w:rPr>
          <w:szCs w:val="22"/>
        </w:rPr>
        <w:t>Mullen</w:t>
      </w:r>
      <w:r w:rsidR="008A5F7D" w:rsidRPr="00CF7613">
        <w:rPr>
          <w:rStyle w:val="StyleItalic"/>
        </w:rPr>
        <w:t xml:space="preserve"> et al</w:t>
      </w:r>
      <w:r w:rsidR="009F19CC" w:rsidRPr="00106292">
        <w:rPr>
          <w:szCs w:val="22"/>
        </w:rPr>
        <w:t>., 2007</w:t>
      </w:r>
      <w:r w:rsidRPr="00106292">
        <w:rPr>
          <w:szCs w:val="22"/>
        </w:rPr>
        <w:t xml:space="preserve">). However, while these datasets and information products address specific </w:t>
      </w:r>
      <w:smartTag w:uri="urn:schemas-microsoft-com:office:smarttags" w:element="PersonName">
        <w:r w:rsidRPr="00106292">
          <w:rPr>
            <w:szCs w:val="22"/>
          </w:rPr>
          <w:t>ga</w:t>
        </w:r>
      </w:smartTag>
      <w:r w:rsidRPr="00106292">
        <w:rPr>
          <w:szCs w:val="22"/>
        </w:rPr>
        <w:t>ps in the biophysical knowledge framework, addressing salinity and land management questions usually requires an understanding of underlying biophysical processes and dynamics that often cannot reliably be determined from analysis of spatial patters of conductivity alone (Cresswell</w:t>
      </w:r>
      <w:r w:rsidR="008A5F7D" w:rsidRPr="00CF7613">
        <w:rPr>
          <w:rStyle w:val="StyleItalic"/>
        </w:rPr>
        <w:t xml:space="preserve"> et al</w:t>
      </w:r>
      <w:r w:rsidRPr="00106292">
        <w:rPr>
          <w:szCs w:val="22"/>
        </w:rPr>
        <w:t xml:space="preserve">., 2007, </w:t>
      </w:r>
      <w:r w:rsidR="009D7B6E" w:rsidRPr="00106292">
        <w:rPr>
          <w:szCs w:val="22"/>
        </w:rPr>
        <w:t>Lawrie</w:t>
      </w:r>
      <w:r w:rsidR="008A5F7D" w:rsidRPr="00CF7613">
        <w:rPr>
          <w:rStyle w:val="StyleItalic"/>
        </w:rPr>
        <w:t xml:space="preserve"> et al</w:t>
      </w:r>
      <w:r w:rsidR="009D7B6E" w:rsidRPr="00106292">
        <w:rPr>
          <w:szCs w:val="22"/>
        </w:rPr>
        <w:t>., 2010</w:t>
      </w:r>
      <w:r w:rsidR="00106292" w:rsidRPr="00106292">
        <w:rPr>
          <w:szCs w:val="22"/>
        </w:rPr>
        <w:t>c</w:t>
      </w:r>
      <w:r w:rsidRPr="00106292">
        <w:rPr>
          <w:szCs w:val="22"/>
        </w:rPr>
        <w:t>).</w:t>
      </w:r>
      <w:r w:rsidRPr="00BB6485">
        <w:rPr>
          <w:szCs w:val="22"/>
        </w:rPr>
        <w:t xml:space="preserve"> </w:t>
      </w:r>
    </w:p>
    <w:p w:rsidR="001E44D8" w:rsidRDefault="001E44D8" w:rsidP="00F544AE">
      <w:pPr>
        <w:rPr>
          <w:szCs w:val="22"/>
        </w:rPr>
      </w:pPr>
    </w:p>
    <w:p w:rsidR="002B69F0" w:rsidRPr="00BB6485" w:rsidRDefault="001E44D8" w:rsidP="001E44D8">
      <w:pPr>
        <w:pStyle w:val="BodyText2"/>
        <w:spacing w:after="0" w:line="240" w:lineRule="auto"/>
        <w:rPr>
          <w:sz w:val="22"/>
          <w:szCs w:val="22"/>
        </w:rPr>
      </w:pPr>
      <w:r w:rsidRPr="003E7DC1">
        <w:rPr>
          <w:sz w:val="22"/>
          <w:szCs w:val="22"/>
        </w:rPr>
        <w:t xml:space="preserve">The </w:t>
      </w:r>
      <w:r w:rsidRPr="00106292">
        <w:rPr>
          <w:sz w:val="22"/>
          <w:szCs w:val="22"/>
        </w:rPr>
        <w:t xml:space="preserve">BHMAR </w:t>
      </w:r>
      <w:smartTag w:uri="urn:schemas-microsoft-com:office:smarttags" w:element="stockticker">
        <w:r w:rsidRPr="00106292">
          <w:rPr>
            <w:sz w:val="22"/>
            <w:szCs w:val="22"/>
          </w:rPr>
          <w:t>AEM</w:t>
        </w:r>
      </w:smartTag>
      <w:r w:rsidRPr="00106292">
        <w:rPr>
          <w:sz w:val="22"/>
          <w:szCs w:val="22"/>
        </w:rPr>
        <w:t xml:space="preserve"> survey has built significantly on the principles, methodologies, experience and products developed for salinity mapping and management in </w:t>
      </w:r>
      <w:smartTag w:uri="urn:schemas-microsoft-com:office:smarttags" w:element="place">
        <w:smartTag w:uri="urn:schemas-microsoft-com:office:smarttags" w:element="country-region">
          <w:r w:rsidRPr="00106292">
            <w:rPr>
              <w:sz w:val="22"/>
              <w:szCs w:val="22"/>
            </w:rPr>
            <w:t>Australia</w:t>
          </w:r>
        </w:smartTag>
      </w:smartTag>
      <w:r w:rsidRPr="00106292">
        <w:rPr>
          <w:sz w:val="22"/>
          <w:szCs w:val="22"/>
        </w:rPr>
        <w:t>. In particular, the staged approach to technology selection and survey design</w:t>
      </w:r>
      <w:r w:rsidR="004E3A72" w:rsidRPr="00106292">
        <w:rPr>
          <w:sz w:val="22"/>
          <w:szCs w:val="22"/>
        </w:rPr>
        <w:t xml:space="preserve"> (</w:t>
      </w:r>
      <w:r w:rsidR="00106292" w:rsidRPr="00106292">
        <w:rPr>
          <w:sz w:val="22"/>
          <w:szCs w:val="22"/>
        </w:rPr>
        <w:t xml:space="preserve">Lawrie, 2006; </w:t>
      </w:r>
      <w:r w:rsidR="004E3A72" w:rsidRPr="00106292">
        <w:rPr>
          <w:sz w:val="22"/>
          <w:szCs w:val="22"/>
        </w:rPr>
        <w:t>Lawrie</w:t>
      </w:r>
      <w:r w:rsidR="008A5F7D" w:rsidRPr="008A5F7D">
        <w:rPr>
          <w:i/>
          <w:sz w:val="22"/>
          <w:szCs w:val="22"/>
        </w:rPr>
        <w:t xml:space="preserve"> et al</w:t>
      </w:r>
      <w:r w:rsidR="004E3A72" w:rsidRPr="00106292">
        <w:rPr>
          <w:sz w:val="22"/>
          <w:szCs w:val="22"/>
        </w:rPr>
        <w:t>., 200</w:t>
      </w:r>
      <w:r w:rsidR="00106292" w:rsidRPr="00106292">
        <w:rPr>
          <w:sz w:val="22"/>
          <w:szCs w:val="22"/>
        </w:rPr>
        <w:t>9c, 2010c</w:t>
      </w:r>
      <w:r w:rsidR="004E3A72" w:rsidRPr="00106292">
        <w:rPr>
          <w:sz w:val="22"/>
          <w:szCs w:val="22"/>
        </w:rPr>
        <w:t>)</w:t>
      </w:r>
      <w:r w:rsidRPr="00106292">
        <w:rPr>
          <w:sz w:val="22"/>
          <w:szCs w:val="22"/>
        </w:rPr>
        <w:t>, and the use of a 4D systems approach to integrate complex datasets and develop a range of customised information products for use in subsequent hydrogeological and geotechnical modelling was recognised as critical to the success of</w:t>
      </w:r>
      <w:r w:rsidRPr="003E7DC1">
        <w:rPr>
          <w:sz w:val="22"/>
          <w:szCs w:val="22"/>
        </w:rPr>
        <w:t xml:space="preserve"> the survey. The BHMAR survey would appear to be the first use of </w:t>
      </w:r>
      <w:smartTag w:uri="urn:schemas-microsoft-com:office:smarttags" w:element="stockticker">
        <w:r w:rsidRPr="003E7DC1">
          <w:rPr>
            <w:sz w:val="22"/>
            <w:szCs w:val="22"/>
          </w:rPr>
          <w:t>AEM</w:t>
        </w:r>
      </w:smartTag>
      <w:r w:rsidRPr="003E7DC1">
        <w:rPr>
          <w:sz w:val="22"/>
          <w:szCs w:val="22"/>
        </w:rPr>
        <w:t xml:space="preserve"> methods in </w:t>
      </w:r>
      <w:smartTag w:uri="urn:schemas-microsoft-com:office:smarttags" w:element="stockticker">
        <w:r w:rsidRPr="003E7DC1">
          <w:rPr>
            <w:sz w:val="22"/>
            <w:szCs w:val="22"/>
          </w:rPr>
          <w:t>MAR</w:t>
        </w:r>
      </w:smartTag>
      <w:r w:rsidRPr="003E7DC1">
        <w:rPr>
          <w:sz w:val="22"/>
          <w:szCs w:val="22"/>
        </w:rPr>
        <w:t xml:space="preserve"> investi</w:t>
      </w:r>
      <w:smartTag w:uri="urn:schemas-microsoft-com:office:smarttags" w:element="PersonName">
        <w:r w:rsidRPr="003E7DC1">
          <w:rPr>
            <w:sz w:val="22"/>
            <w:szCs w:val="22"/>
          </w:rPr>
          <w:t>ga</w:t>
        </w:r>
      </w:smartTag>
      <w:r w:rsidRPr="003E7DC1">
        <w:rPr>
          <w:sz w:val="22"/>
          <w:szCs w:val="22"/>
        </w:rPr>
        <w:t>tion and assessment.</w:t>
      </w:r>
      <w:r w:rsidRPr="00BB6485">
        <w:rPr>
          <w:sz w:val="22"/>
          <w:szCs w:val="22"/>
        </w:rPr>
        <w:t xml:space="preserve"> </w:t>
      </w:r>
    </w:p>
    <w:p w:rsidR="002B4B69" w:rsidRPr="00C6655F" w:rsidRDefault="00B20C51" w:rsidP="00AD2035">
      <w:pPr>
        <w:pStyle w:val="Heading3"/>
        <w:tabs>
          <w:tab w:val="clear" w:pos="907"/>
          <w:tab w:val="left" w:pos="1080"/>
        </w:tabs>
        <w:spacing w:before="320"/>
        <w:ind w:left="1080" w:hanging="1080"/>
      </w:pPr>
      <w:bookmarkStart w:id="170" w:name="_Toc325700084"/>
      <w:bookmarkStart w:id="171" w:name="_Toc325700427"/>
      <w:bookmarkStart w:id="172" w:name="_Toc325975108"/>
      <w:bookmarkStart w:id="173" w:name="_Toc390690098"/>
      <w:r w:rsidRPr="00C6655F">
        <w:t>3</w:t>
      </w:r>
      <w:r w:rsidR="00BF4E48" w:rsidRPr="00C6655F">
        <w:t>D Mapping of H</w:t>
      </w:r>
      <w:r w:rsidR="002B4B69" w:rsidRPr="00C6655F">
        <w:t>ydrostratigr</w:t>
      </w:r>
      <w:r w:rsidR="00BF4E48" w:rsidRPr="00C6655F">
        <w:t xml:space="preserve">aphy, Structure and </w:t>
      </w:r>
      <w:smartTag w:uri="urn:schemas-microsoft-com:office:smarttags" w:element="PersonName">
        <w:r w:rsidR="00BF4E48" w:rsidRPr="00C6655F">
          <w:t>Groundwater</w:t>
        </w:r>
      </w:smartTag>
      <w:r w:rsidR="00BF4E48" w:rsidRPr="00C6655F">
        <w:t xml:space="preserve"> S</w:t>
      </w:r>
      <w:r w:rsidR="002B4B69" w:rsidRPr="00C6655F">
        <w:t>alinity</w:t>
      </w:r>
      <w:bookmarkEnd w:id="170"/>
      <w:bookmarkEnd w:id="171"/>
      <w:bookmarkEnd w:id="172"/>
      <w:bookmarkEnd w:id="173"/>
    </w:p>
    <w:p w:rsidR="003E7DC1" w:rsidRPr="009B4316" w:rsidRDefault="003E7DC1" w:rsidP="003E7DC1">
      <w:pPr>
        <w:rPr>
          <w:szCs w:val="22"/>
        </w:rPr>
      </w:pPr>
      <w:r w:rsidRPr="00BB6485">
        <w:rPr>
          <w:szCs w:val="22"/>
        </w:rPr>
        <w:t xml:space="preserve">In </w:t>
      </w:r>
      <w:smartTag w:uri="urn:schemas-microsoft-com:office:smarttags" w:element="place">
        <w:smartTag w:uri="urn:schemas-microsoft-com:office:smarttags" w:element="country-region">
          <w:r w:rsidRPr="00BB6485">
            <w:rPr>
              <w:szCs w:val="22"/>
            </w:rPr>
            <w:t>Australia</w:t>
          </w:r>
        </w:smartTag>
      </w:smartTag>
      <w:r>
        <w:rPr>
          <w:szCs w:val="22"/>
        </w:rPr>
        <w:t>’s salinized landscapes</w:t>
      </w:r>
      <w:r w:rsidRPr="00BB6485">
        <w:rPr>
          <w:szCs w:val="22"/>
        </w:rPr>
        <w:t xml:space="preserve">, </w:t>
      </w:r>
      <w:smartTag w:uri="urn:schemas-microsoft-com:office:smarttags" w:element="stockticker">
        <w:r w:rsidRPr="00BB6485">
          <w:rPr>
            <w:szCs w:val="22"/>
          </w:rPr>
          <w:t>AEM</w:t>
        </w:r>
      </w:smartTag>
      <w:r w:rsidRPr="00BB6485">
        <w:rPr>
          <w:szCs w:val="22"/>
        </w:rPr>
        <w:t xml:space="preserve"> has been used effectively to map hydrostr</w:t>
      </w:r>
      <w:r>
        <w:rPr>
          <w:szCs w:val="22"/>
        </w:rPr>
        <w:t xml:space="preserve">atigraphy, groundwater salinity, </w:t>
      </w:r>
      <w:r w:rsidRPr="00BB6485">
        <w:rPr>
          <w:szCs w:val="22"/>
        </w:rPr>
        <w:t>salinity hazard and risk</w:t>
      </w:r>
      <w:r>
        <w:rPr>
          <w:szCs w:val="22"/>
        </w:rPr>
        <w:t>, and groundwater resources,</w:t>
      </w:r>
      <w:r w:rsidRPr="00BB6485">
        <w:rPr>
          <w:szCs w:val="22"/>
        </w:rPr>
        <w:t xml:space="preserve"> in a number of floodplain environments</w:t>
      </w:r>
      <w:r>
        <w:rPr>
          <w:szCs w:val="22"/>
        </w:rPr>
        <w:t xml:space="preserve">, including the Basin. </w:t>
      </w:r>
      <w:r w:rsidRPr="009B4316">
        <w:rPr>
          <w:noProof/>
          <w:szCs w:val="22"/>
        </w:rPr>
        <w:t xml:space="preserve">In the BHMAR study, it was necessary to select an AEM system with the capability of mapping key functional elements of the hydrogeological system </w:t>
      </w:r>
      <w:r>
        <w:rPr>
          <w:noProof/>
          <w:szCs w:val="22"/>
        </w:rPr>
        <w:t>critical to the success in</w:t>
      </w:r>
      <w:r w:rsidRPr="009B4316">
        <w:rPr>
          <w:noProof/>
          <w:szCs w:val="22"/>
        </w:rPr>
        <w:t xml:space="preserve"> </w:t>
      </w:r>
      <w:r>
        <w:rPr>
          <w:noProof/>
          <w:szCs w:val="22"/>
        </w:rPr>
        <w:t xml:space="preserve">identifying and </w:t>
      </w:r>
      <w:r w:rsidRPr="009B4316">
        <w:rPr>
          <w:noProof/>
          <w:szCs w:val="22"/>
        </w:rPr>
        <w:t xml:space="preserve">assessing suitable </w:t>
      </w:r>
      <w:smartTag w:uri="urn:schemas-microsoft-com:office:smarttags" w:element="stockticker">
        <w:r w:rsidRPr="009B4316">
          <w:rPr>
            <w:noProof/>
            <w:szCs w:val="22"/>
          </w:rPr>
          <w:t>MAR</w:t>
        </w:r>
      </w:smartTag>
      <w:r w:rsidRPr="009B4316">
        <w:rPr>
          <w:noProof/>
          <w:szCs w:val="22"/>
        </w:rPr>
        <w:t xml:space="preserve"> </w:t>
      </w:r>
      <w:r>
        <w:rPr>
          <w:noProof/>
          <w:szCs w:val="22"/>
        </w:rPr>
        <w:t xml:space="preserve">and groundwater resource </w:t>
      </w:r>
      <w:r w:rsidRPr="009B4316">
        <w:rPr>
          <w:noProof/>
          <w:szCs w:val="22"/>
        </w:rPr>
        <w:t xml:space="preserve">targets. </w:t>
      </w:r>
      <w:r>
        <w:rPr>
          <w:noProof/>
          <w:szCs w:val="22"/>
        </w:rPr>
        <w:t>This</w:t>
      </w:r>
      <w:r w:rsidRPr="009B4316">
        <w:rPr>
          <w:noProof/>
          <w:szCs w:val="22"/>
        </w:rPr>
        <w:t xml:space="preserve"> necessitated selecting a</w:t>
      </w:r>
      <w:r>
        <w:rPr>
          <w:noProof/>
          <w:szCs w:val="22"/>
        </w:rPr>
        <w:t>n AEM</w:t>
      </w:r>
      <w:r w:rsidRPr="009B4316">
        <w:rPr>
          <w:noProof/>
          <w:szCs w:val="22"/>
        </w:rPr>
        <w:t xml:space="preserve"> system </w:t>
      </w:r>
      <w:r>
        <w:rPr>
          <w:noProof/>
          <w:szCs w:val="22"/>
        </w:rPr>
        <w:t>capable of mapping heterogeneities in the hydrostratigraphy and hydrogeology, and more specifically, the</w:t>
      </w:r>
      <w:r w:rsidRPr="009B4316">
        <w:rPr>
          <w:noProof/>
          <w:szCs w:val="22"/>
        </w:rPr>
        <w:t>:</w:t>
      </w:r>
    </w:p>
    <w:p w:rsidR="003E7DC1" w:rsidRDefault="003E7DC1" w:rsidP="00A75725">
      <w:pPr>
        <w:numPr>
          <w:ilvl w:val="0"/>
          <w:numId w:val="49"/>
        </w:numPr>
        <w:spacing w:before="120"/>
        <w:ind w:left="714" w:hanging="357"/>
        <w:rPr>
          <w:szCs w:val="22"/>
        </w:rPr>
      </w:pPr>
      <w:r>
        <w:rPr>
          <w:szCs w:val="22"/>
        </w:rPr>
        <w:t>Thickness and extent of near-surface unconfined aquifers and aquitards that might provide recharge pathways or inhibit surface-groundwater connectivity;</w:t>
      </w:r>
    </w:p>
    <w:p w:rsidR="003E7DC1" w:rsidRPr="009B4316" w:rsidRDefault="003E7DC1" w:rsidP="00A75725">
      <w:pPr>
        <w:numPr>
          <w:ilvl w:val="0"/>
          <w:numId w:val="49"/>
        </w:numPr>
        <w:spacing w:before="60"/>
        <w:ind w:left="714" w:hanging="357"/>
        <w:rPr>
          <w:szCs w:val="22"/>
        </w:rPr>
      </w:pPr>
      <w:r>
        <w:rPr>
          <w:szCs w:val="22"/>
        </w:rPr>
        <w:t xml:space="preserve">Thickness, </w:t>
      </w:r>
      <w:r w:rsidRPr="009B4316">
        <w:rPr>
          <w:szCs w:val="22"/>
        </w:rPr>
        <w:t xml:space="preserve">extent and </w:t>
      </w:r>
      <w:r>
        <w:rPr>
          <w:szCs w:val="22"/>
        </w:rPr>
        <w:t xml:space="preserve">internal </w:t>
      </w:r>
      <w:r w:rsidRPr="009B4316">
        <w:rPr>
          <w:szCs w:val="22"/>
        </w:rPr>
        <w:t xml:space="preserve">textural variability of </w:t>
      </w:r>
      <w:r>
        <w:rPr>
          <w:szCs w:val="22"/>
        </w:rPr>
        <w:t>Pliocene s</w:t>
      </w:r>
      <w:r w:rsidRPr="009B4316">
        <w:rPr>
          <w:szCs w:val="22"/>
        </w:rPr>
        <w:t>and aquifers</w:t>
      </w:r>
      <w:r>
        <w:rPr>
          <w:szCs w:val="22"/>
        </w:rPr>
        <w:t>;</w:t>
      </w:r>
    </w:p>
    <w:p w:rsidR="003E7DC1" w:rsidRPr="009B4316" w:rsidRDefault="003E7DC1" w:rsidP="00A75725">
      <w:pPr>
        <w:numPr>
          <w:ilvl w:val="0"/>
          <w:numId w:val="49"/>
        </w:numPr>
        <w:spacing w:before="60"/>
        <w:ind w:left="714" w:hanging="357"/>
        <w:rPr>
          <w:szCs w:val="22"/>
        </w:rPr>
      </w:pPr>
      <w:r>
        <w:rPr>
          <w:szCs w:val="22"/>
        </w:rPr>
        <w:t xml:space="preserve">Thickness, </w:t>
      </w:r>
      <w:r w:rsidRPr="009B4316">
        <w:rPr>
          <w:szCs w:val="22"/>
        </w:rPr>
        <w:t xml:space="preserve">extent and </w:t>
      </w:r>
      <w:r>
        <w:rPr>
          <w:szCs w:val="22"/>
        </w:rPr>
        <w:t>internal variability in</w:t>
      </w:r>
      <w:r w:rsidRPr="009B4316">
        <w:rPr>
          <w:szCs w:val="22"/>
        </w:rPr>
        <w:t xml:space="preserve"> </w:t>
      </w:r>
      <w:r>
        <w:rPr>
          <w:szCs w:val="22"/>
        </w:rPr>
        <w:t xml:space="preserve">upper (Blanchetown Clay) and lower (upper </w:t>
      </w:r>
      <w:r w:rsidR="00C217F0">
        <w:rPr>
          <w:szCs w:val="22"/>
        </w:rPr>
        <w:t>Renmark Group</w:t>
      </w:r>
      <w:r>
        <w:rPr>
          <w:szCs w:val="22"/>
        </w:rPr>
        <w:t xml:space="preserve">) confining </w:t>
      </w:r>
      <w:r w:rsidRPr="009B4316">
        <w:rPr>
          <w:szCs w:val="22"/>
        </w:rPr>
        <w:t>aquit</w:t>
      </w:r>
      <w:r>
        <w:rPr>
          <w:szCs w:val="22"/>
        </w:rPr>
        <w:t>ards that ‘sandwich’ the</w:t>
      </w:r>
      <w:r w:rsidR="005E4B77">
        <w:rPr>
          <w:szCs w:val="22"/>
        </w:rPr>
        <w:t xml:space="preserve"> Pliocene s</w:t>
      </w:r>
      <w:r w:rsidRPr="009B4316">
        <w:rPr>
          <w:szCs w:val="22"/>
        </w:rPr>
        <w:t>and aquifers;</w:t>
      </w:r>
    </w:p>
    <w:p w:rsidR="003E7DC1" w:rsidRPr="009B4316" w:rsidRDefault="003E7DC1" w:rsidP="00A75725">
      <w:pPr>
        <w:numPr>
          <w:ilvl w:val="0"/>
          <w:numId w:val="49"/>
        </w:numPr>
        <w:spacing w:before="60"/>
        <w:ind w:left="714" w:hanging="357"/>
        <w:rPr>
          <w:szCs w:val="22"/>
        </w:rPr>
      </w:pPr>
      <w:r>
        <w:rPr>
          <w:szCs w:val="22"/>
        </w:rPr>
        <w:t>3D distribution of groundwater salinity</w:t>
      </w:r>
      <w:r w:rsidRPr="009B4316">
        <w:rPr>
          <w:szCs w:val="22"/>
        </w:rPr>
        <w:t xml:space="preserve"> </w:t>
      </w:r>
      <w:r>
        <w:rPr>
          <w:szCs w:val="22"/>
        </w:rPr>
        <w:t>(to help define</w:t>
      </w:r>
      <w:r w:rsidRPr="009B4316">
        <w:rPr>
          <w:szCs w:val="22"/>
        </w:rPr>
        <w:t xml:space="preserve"> fresh and brackish groundwater resources</w:t>
      </w:r>
      <w:r>
        <w:rPr>
          <w:szCs w:val="22"/>
        </w:rPr>
        <w:t>)</w:t>
      </w:r>
      <w:r w:rsidRPr="009B4316">
        <w:rPr>
          <w:szCs w:val="22"/>
        </w:rPr>
        <w:t>;</w:t>
      </w:r>
    </w:p>
    <w:p w:rsidR="003E7DC1" w:rsidRPr="009B4316" w:rsidRDefault="003E7DC1" w:rsidP="00A75725">
      <w:pPr>
        <w:numPr>
          <w:ilvl w:val="0"/>
          <w:numId w:val="49"/>
        </w:numPr>
        <w:spacing w:before="60"/>
        <w:ind w:left="714" w:hanging="357"/>
        <w:rPr>
          <w:szCs w:val="22"/>
        </w:rPr>
      </w:pPr>
      <w:r>
        <w:rPr>
          <w:szCs w:val="22"/>
        </w:rPr>
        <w:t>Faults that might act as discrete recharge and groundwater flow pathways;</w:t>
      </w:r>
      <w:r w:rsidR="005E4B77">
        <w:rPr>
          <w:szCs w:val="22"/>
        </w:rPr>
        <w:t xml:space="preserve"> and</w:t>
      </w:r>
    </w:p>
    <w:p w:rsidR="003E7DC1" w:rsidRDefault="003E7DC1" w:rsidP="00A75725">
      <w:pPr>
        <w:numPr>
          <w:ilvl w:val="0"/>
          <w:numId w:val="49"/>
        </w:numPr>
        <w:spacing w:before="60"/>
        <w:ind w:left="714" w:hanging="357"/>
        <w:rPr>
          <w:szCs w:val="22"/>
        </w:rPr>
      </w:pPr>
      <w:r>
        <w:rPr>
          <w:szCs w:val="22"/>
        </w:rPr>
        <w:lastRenderedPageBreak/>
        <w:t>Zones of i</w:t>
      </w:r>
      <w:r w:rsidRPr="009B4316">
        <w:rPr>
          <w:szCs w:val="22"/>
        </w:rPr>
        <w:t>nter-aquifer leakage</w:t>
      </w:r>
      <w:r>
        <w:rPr>
          <w:szCs w:val="22"/>
        </w:rPr>
        <w:t>.</w:t>
      </w:r>
    </w:p>
    <w:p w:rsidR="003E7DC1" w:rsidRPr="009B4316" w:rsidRDefault="003E7DC1" w:rsidP="003E7DC1">
      <w:pPr>
        <w:spacing w:before="60"/>
        <w:rPr>
          <w:szCs w:val="22"/>
        </w:rPr>
      </w:pPr>
    </w:p>
    <w:p w:rsidR="00CA355D" w:rsidRPr="00E74DB1" w:rsidRDefault="00CA355D" w:rsidP="00CA355D">
      <w:pPr>
        <w:rPr>
          <w:noProof/>
          <w:lang w:val="en-US"/>
        </w:rPr>
      </w:pPr>
      <w:r w:rsidRPr="00E74DB1">
        <w:rPr>
          <w:noProof/>
          <w:lang w:val="en-US"/>
        </w:rPr>
        <w:t>Experience over the past 15 years has demonstrated that the use of AEM for near-surface hydrogeological investigations often requires higher resolution data than typically used in regional mineral exploration. High resolution data over large areas are required to map key functional elements of often complex hydrogeological systems (Spies &amp; Woodgate, 2005; Auken</w:t>
      </w:r>
      <w:r w:rsidR="008A5F7D" w:rsidRPr="00CF7613">
        <w:rPr>
          <w:rStyle w:val="StyleItalic"/>
        </w:rPr>
        <w:t xml:space="preserve"> et al</w:t>
      </w:r>
      <w:r w:rsidRPr="00E74DB1">
        <w:rPr>
          <w:noProof/>
          <w:lang w:val="en-US"/>
        </w:rPr>
        <w:t>., 2006</w:t>
      </w:r>
      <w:r w:rsidRPr="00E121A0">
        <w:rPr>
          <w:noProof/>
          <w:lang w:val="en-US"/>
        </w:rPr>
        <w:t>; Lawrie</w:t>
      </w:r>
      <w:r w:rsidR="008A5F7D" w:rsidRPr="00CF7613">
        <w:rPr>
          <w:rStyle w:val="StyleItalic"/>
        </w:rPr>
        <w:t xml:space="preserve"> et al</w:t>
      </w:r>
      <w:r w:rsidRPr="00E121A0">
        <w:rPr>
          <w:noProof/>
          <w:lang w:val="en-US"/>
        </w:rPr>
        <w:t>., 2009</w:t>
      </w:r>
      <w:r w:rsidR="00E121A0" w:rsidRPr="00E121A0">
        <w:rPr>
          <w:noProof/>
          <w:lang w:val="en-US"/>
        </w:rPr>
        <w:t>c</w:t>
      </w:r>
      <w:r w:rsidRPr="00E121A0">
        <w:rPr>
          <w:noProof/>
          <w:lang w:val="en-US"/>
        </w:rPr>
        <w:t>).</w:t>
      </w:r>
      <w:r w:rsidRPr="00E74DB1">
        <w:rPr>
          <w:noProof/>
          <w:lang w:val="en-US"/>
        </w:rPr>
        <w:t xml:space="preserve"> Optimization of AEM data therefore requires careful consideration of AEM system suitability, calibration, validation and inversion methods (Green &amp; Munday, 2004; Lane</w:t>
      </w:r>
      <w:r w:rsidR="008A5F7D" w:rsidRPr="00CF7613">
        <w:rPr>
          <w:rStyle w:val="StyleItalic"/>
        </w:rPr>
        <w:t xml:space="preserve"> et al</w:t>
      </w:r>
      <w:r w:rsidRPr="00E74DB1">
        <w:rPr>
          <w:noProof/>
          <w:lang w:val="en-US"/>
        </w:rPr>
        <w:t>., 2004; Christensen &amp; Lawrie, 2012).</w:t>
      </w:r>
    </w:p>
    <w:p w:rsidR="004D632B" w:rsidRDefault="004D632B" w:rsidP="003E7DC1">
      <w:pPr>
        <w:rPr>
          <w:noProof/>
          <w:szCs w:val="22"/>
        </w:rPr>
      </w:pPr>
    </w:p>
    <w:p w:rsidR="009B4316" w:rsidRPr="00106292" w:rsidRDefault="009B4316" w:rsidP="003E7DC1">
      <w:pPr>
        <w:rPr>
          <w:noProof/>
          <w:szCs w:val="22"/>
        </w:rPr>
      </w:pPr>
      <w:r w:rsidRPr="00106292">
        <w:rPr>
          <w:noProof/>
          <w:lang w:val="en-US"/>
        </w:rPr>
        <w:t>In the BHMAR project, the helicopter-borne SkyTEM transient EM system was selected after forward modeling of system responses and comparative assessment of test line data from two systems over potential targets</w:t>
      </w:r>
      <w:r w:rsidR="004E3A72" w:rsidRPr="00106292">
        <w:rPr>
          <w:noProof/>
          <w:lang w:val="en-US"/>
        </w:rPr>
        <w:t xml:space="preserve"> (Lawrie</w:t>
      </w:r>
      <w:r w:rsidR="008A5F7D" w:rsidRPr="00CF7613">
        <w:rPr>
          <w:rStyle w:val="StyleItalic"/>
        </w:rPr>
        <w:t xml:space="preserve"> et al</w:t>
      </w:r>
      <w:r w:rsidR="004E3A72" w:rsidRPr="00106292">
        <w:rPr>
          <w:noProof/>
          <w:lang w:val="en-US"/>
        </w:rPr>
        <w:t>., 2009b)</w:t>
      </w:r>
      <w:r w:rsidRPr="00106292">
        <w:rPr>
          <w:noProof/>
          <w:lang w:val="en-US"/>
        </w:rPr>
        <w:t xml:space="preserve">. The SkyTEM system is a high-resolution helicopter-borne time-domain electromagnetic system, and was </w:t>
      </w:r>
      <w:r w:rsidRPr="00106292">
        <w:rPr>
          <w:szCs w:val="22"/>
        </w:rPr>
        <w:t>developed specifically for high-resolution groundwater and environmental investi</w:t>
      </w:r>
      <w:smartTag w:uri="urn:schemas-microsoft-com:office:smarttags" w:element="PersonName">
        <w:r w:rsidRPr="00106292">
          <w:rPr>
            <w:szCs w:val="22"/>
          </w:rPr>
          <w:t>ga</w:t>
        </w:r>
      </w:smartTag>
      <w:r w:rsidRPr="00106292">
        <w:rPr>
          <w:szCs w:val="22"/>
        </w:rPr>
        <w:t>tions. It was developed as a rapid alternative to ground-based TEM surveying and has the advantage of delivering much higher data density and spatial area coverage.</w:t>
      </w:r>
    </w:p>
    <w:p w:rsidR="009B4316" w:rsidRPr="00106292" w:rsidRDefault="009B4316" w:rsidP="00470E90">
      <w:pPr>
        <w:pStyle w:val="PlainText"/>
        <w:rPr>
          <w:rFonts w:ascii="Times New Roman" w:hAnsi="Times New Roman" w:cs="Times New Roman"/>
          <w:sz w:val="22"/>
          <w:szCs w:val="22"/>
        </w:rPr>
      </w:pPr>
    </w:p>
    <w:p w:rsidR="003E7DC1" w:rsidRPr="00106292" w:rsidRDefault="00470E90" w:rsidP="00470E90">
      <w:pPr>
        <w:pStyle w:val="PlainText"/>
        <w:rPr>
          <w:rFonts w:ascii="Times New Roman" w:hAnsi="Times New Roman" w:cs="Times New Roman"/>
          <w:sz w:val="22"/>
          <w:szCs w:val="22"/>
        </w:rPr>
      </w:pPr>
      <w:r w:rsidRPr="00106292">
        <w:rPr>
          <w:rFonts w:ascii="Times New Roman" w:hAnsi="Times New Roman" w:cs="Times New Roman"/>
          <w:sz w:val="22"/>
          <w:szCs w:val="22"/>
        </w:rPr>
        <w:t xml:space="preserve">The </w:t>
      </w:r>
      <w:r w:rsidR="005D4DD1" w:rsidRPr="00106292">
        <w:rPr>
          <w:rFonts w:ascii="Times New Roman" w:hAnsi="Times New Roman" w:cs="Times New Roman"/>
          <w:sz w:val="22"/>
          <w:szCs w:val="22"/>
        </w:rPr>
        <w:t xml:space="preserve">BHMAR </w:t>
      </w:r>
      <w:r w:rsidRPr="00106292">
        <w:rPr>
          <w:rFonts w:ascii="Times New Roman" w:hAnsi="Times New Roman" w:cs="Times New Roman"/>
          <w:sz w:val="22"/>
          <w:szCs w:val="22"/>
        </w:rPr>
        <w:t xml:space="preserve">survey involved acquisition of </w:t>
      </w:r>
      <w:r w:rsidRPr="00106292">
        <w:rPr>
          <w:rFonts w:ascii="Times New Roman" w:hAnsi="Times New Roman" w:cs="Times New Roman"/>
          <w:sz w:val="22"/>
          <w:szCs w:val="22"/>
          <w:lang w:val="en-GB"/>
        </w:rPr>
        <w:t>31,834 line km</w:t>
      </w:r>
      <w:r w:rsidRPr="00106292" w:rsidDel="00906541">
        <w:rPr>
          <w:rFonts w:ascii="Times New Roman" w:hAnsi="Times New Roman" w:cs="Times New Roman"/>
          <w:sz w:val="22"/>
          <w:szCs w:val="22"/>
        </w:rPr>
        <w:t xml:space="preserve"> </w:t>
      </w:r>
      <w:r w:rsidRPr="00106292">
        <w:rPr>
          <w:rFonts w:ascii="Times New Roman" w:hAnsi="Times New Roman" w:cs="Times New Roman"/>
          <w:sz w:val="22"/>
          <w:szCs w:val="22"/>
        </w:rPr>
        <w:t>of data over an area of 7,500 km</w:t>
      </w:r>
      <w:r w:rsidRPr="00106292">
        <w:rPr>
          <w:rFonts w:ascii="Times New Roman" w:hAnsi="Times New Roman" w:cs="Times New Roman"/>
          <w:sz w:val="22"/>
          <w:szCs w:val="22"/>
          <w:vertAlign w:val="superscript"/>
        </w:rPr>
        <w:t xml:space="preserve">2 </w:t>
      </w:r>
      <w:r w:rsidRPr="00106292">
        <w:rPr>
          <w:rFonts w:ascii="Times New Roman" w:hAnsi="Times New Roman" w:cs="Times New Roman"/>
          <w:sz w:val="22"/>
          <w:szCs w:val="22"/>
        </w:rPr>
        <w:t>of the River Darling Floodplain, and was acquired by t</w:t>
      </w:r>
      <w:r w:rsidR="003E7DC1" w:rsidRPr="00106292">
        <w:rPr>
          <w:rFonts w:ascii="Times New Roman" w:hAnsi="Times New Roman" w:cs="Times New Roman"/>
          <w:sz w:val="22"/>
          <w:szCs w:val="22"/>
        </w:rPr>
        <w:t>wo systems over a 9-week period. Initially the geophysical data was inverted (modelled) using “</w:t>
      </w:r>
      <w:r w:rsidRPr="00106292">
        <w:rPr>
          <w:rFonts w:ascii="Times New Roman" w:hAnsi="Times New Roman" w:cs="Times New Roman"/>
          <w:sz w:val="22"/>
          <w:szCs w:val="22"/>
        </w:rPr>
        <w:t>Fast Approximate Inversions (FAI)</w:t>
      </w:r>
      <w:r w:rsidR="003E7DC1" w:rsidRPr="00106292">
        <w:rPr>
          <w:rFonts w:ascii="Times New Roman" w:hAnsi="Times New Roman" w:cs="Times New Roman"/>
          <w:sz w:val="22"/>
          <w:szCs w:val="22"/>
        </w:rPr>
        <w:t>” software, in order to generate data</w:t>
      </w:r>
      <w:r w:rsidR="005E4B77" w:rsidRPr="00106292">
        <w:rPr>
          <w:rFonts w:ascii="Times New Roman" w:hAnsi="Times New Roman" w:cs="Times New Roman"/>
          <w:sz w:val="22"/>
          <w:szCs w:val="22"/>
        </w:rPr>
        <w:t xml:space="preserve"> that could be viewed as flight</w:t>
      </w:r>
      <w:r w:rsidR="003E7DC1" w:rsidRPr="00106292">
        <w:rPr>
          <w:rFonts w:ascii="Times New Roman" w:hAnsi="Times New Roman" w:cs="Times New Roman"/>
          <w:sz w:val="22"/>
          <w:szCs w:val="22"/>
        </w:rPr>
        <w:t xml:space="preserve">–line sections </w:t>
      </w:r>
      <w:r w:rsidRPr="00106292">
        <w:rPr>
          <w:rFonts w:ascii="Times New Roman" w:hAnsi="Times New Roman" w:cs="Times New Roman"/>
          <w:sz w:val="22"/>
          <w:szCs w:val="22"/>
        </w:rPr>
        <w:t>within 48 hours of acquisition</w:t>
      </w:r>
      <w:r w:rsidR="003E7DC1" w:rsidRPr="00106292">
        <w:rPr>
          <w:rFonts w:ascii="Times New Roman" w:hAnsi="Times New Roman" w:cs="Times New Roman"/>
          <w:sz w:val="22"/>
          <w:szCs w:val="22"/>
        </w:rPr>
        <w:t>, and gridded to provide maps to guide a field investigation program.</w:t>
      </w:r>
      <w:r w:rsidR="004E3A72" w:rsidRPr="00106292">
        <w:rPr>
          <w:rFonts w:ascii="Times New Roman" w:hAnsi="Times New Roman" w:cs="Times New Roman"/>
          <w:sz w:val="22"/>
          <w:szCs w:val="22"/>
        </w:rPr>
        <w:t xml:space="preserve"> More information regarding the survey is included in Lawrie</w:t>
      </w:r>
      <w:r w:rsidR="008A5F7D" w:rsidRPr="008A5F7D">
        <w:rPr>
          <w:rFonts w:ascii="Times New Roman" w:hAnsi="Times New Roman" w:cs="Times New Roman"/>
          <w:i/>
          <w:sz w:val="22"/>
          <w:szCs w:val="22"/>
        </w:rPr>
        <w:t xml:space="preserve"> et al</w:t>
      </w:r>
      <w:r w:rsidR="004E3A72" w:rsidRPr="00106292">
        <w:rPr>
          <w:rFonts w:ascii="Times New Roman" w:hAnsi="Times New Roman" w:cs="Times New Roman"/>
          <w:sz w:val="22"/>
          <w:szCs w:val="22"/>
        </w:rPr>
        <w:t>. (2012a).</w:t>
      </w:r>
      <w:r w:rsidR="00465915">
        <w:rPr>
          <w:rFonts w:ascii="Times New Roman" w:hAnsi="Times New Roman" w:cs="Times New Roman"/>
          <w:sz w:val="22"/>
          <w:szCs w:val="22"/>
        </w:rPr>
        <w:t xml:space="preserve"> </w:t>
      </w:r>
    </w:p>
    <w:p w:rsidR="003E7DC1" w:rsidRPr="00106292" w:rsidRDefault="003E7DC1" w:rsidP="00470E90">
      <w:pPr>
        <w:pStyle w:val="PlainText"/>
        <w:rPr>
          <w:rFonts w:ascii="Times New Roman" w:hAnsi="Times New Roman" w:cs="Times New Roman"/>
          <w:sz w:val="22"/>
          <w:szCs w:val="22"/>
        </w:rPr>
      </w:pPr>
    </w:p>
    <w:p w:rsidR="004E3A72" w:rsidRDefault="003E7DC1" w:rsidP="00470E90">
      <w:pPr>
        <w:pStyle w:val="PlainText"/>
        <w:rPr>
          <w:rFonts w:ascii="Times New Roman" w:hAnsi="Times New Roman" w:cs="Times New Roman"/>
          <w:sz w:val="22"/>
          <w:szCs w:val="22"/>
        </w:rPr>
      </w:pPr>
      <w:r w:rsidRPr="00106292">
        <w:rPr>
          <w:rFonts w:ascii="Times New Roman" w:hAnsi="Times New Roman" w:cs="Times New Roman"/>
          <w:sz w:val="22"/>
          <w:szCs w:val="22"/>
        </w:rPr>
        <w:t xml:space="preserve">The AEM data were used to target </w:t>
      </w:r>
      <w:r w:rsidR="00470E90" w:rsidRPr="00106292">
        <w:rPr>
          <w:rFonts w:ascii="Times New Roman" w:hAnsi="Times New Roman" w:cs="Times New Roman"/>
          <w:sz w:val="22"/>
          <w:szCs w:val="22"/>
        </w:rPr>
        <w:t xml:space="preserve">100 sonic and rotary mud holes </w:t>
      </w:r>
      <w:r w:rsidRPr="00106292">
        <w:rPr>
          <w:rFonts w:ascii="Times New Roman" w:hAnsi="Times New Roman" w:cs="Times New Roman"/>
          <w:sz w:val="22"/>
          <w:szCs w:val="22"/>
        </w:rPr>
        <w:t xml:space="preserve">that were used </w:t>
      </w:r>
      <w:r w:rsidR="00470E90" w:rsidRPr="00106292">
        <w:rPr>
          <w:rFonts w:ascii="Times New Roman" w:hAnsi="Times New Roman" w:cs="Times New Roman"/>
          <w:sz w:val="22"/>
          <w:szCs w:val="22"/>
        </w:rPr>
        <w:t>f</w:t>
      </w:r>
      <w:r w:rsidR="00241FD7" w:rsidRPr="00106292">
        <w:rPr>
          <w:rFonts w:ascii="Times New Roman" w:hAnsi="Times New Roman" w:cs="Times New Roman"/>
          <w:sz w:val="22"/>
          <w:szCs w:val="22"/>
        </w:rPr>
        <w:t>or calibration and validation</w:t>
      </w:r>
      <w:r w:rsidRPr="00106292">
        <w:rPr>
          <w:rFonts w:ascii="Times New Roman" w:hAnsi="Times New Roman" w:cs="Times New Roman"/>
          <w:sz w:val="22"/>
          <w:szCs w:val="22"/>
        </w:rPr>
        <w:t xml:space="preserve"> of the survey results</w:t>
      </w:r>
      <w:r w:rsidR="00241FD7" w:rsidRPr="00106292">
        <w:rPr>
          <w:rFonts w:ascii="Times New Roman" w:hAnsi="Times New Roman" w:cs="Times New Roman"/>
          <w:sz w:val="22"/>
          <w:szCs w:val="22"/>
        </w:rPr>
        <w:t>. Subsequently, a</w:t>
      </w:r>
      <w:r w:rsidR="00470E90" w:rsidRPr="00106292">
        <w:rPr>
          <w:rFonts w:ascii="Times New Roman" w:hAnsi="Times New Roman" w:cs="Times New Roman"/>
          <w:sz w:val="22"/>
          <w:szCs w:val="22"/>
        </w:rPr>
        <w:t xml:space="preserve"> number of different (Laterally and Spatially Constrained) inversions of the AEM data were carried out, with refineme</w:t>
      </w:r>
      <w:r w:rsidR="00470E90" w:rsidRPr="00106292">
        <w:rPr>
          <w:rFonts w:ascii="Times New Roman" w:hAnsi="Times New Roman" w:cs="Times New Roman"/>
          <w:color w:val="000000"/>
          <w:sz w:val="22"/>
          <w:szCs w:val="22"/>
        </w:rPr>
        <w:t xml:space="preserve">nts made as additional information on vertical and lateral constraints became available. Finally, a </w:t>
      </w:r>
      <w:r w:rsidRPr="00106292">
        <w:rPr>
          <w:rFonts w:ascii="Times New Roman" w:hAnsi="Times New Roman" w:cs="Times New Roman"/>
          <w:color w:val="000000"/>
          <w:sz w:val="22"/>
          <w:szCs w:val="22"/>
        </w:rPr>
        <w:t>“</w:t>
      </w:r>
      <w:r w:rsidR="00470E90" w:rsidRPr="00106292">
        <w:rPr>
          <w:rFonts w:ascii="Times New Roman" w:hAnsi="Times New Roman" w:cs="Times New Roman"/>
          <w:color w:val="000000"/>
          <w:sz w:val="22"/>
          <w:szCs w:val="22"/>
        </w:rPr>
        <w:t>Wave Number Domain Approximate Inversion</w:t>
      </w:r>
      <w:r w:rsidRPr="00106292">
        <w:rPr>
          <w:rFonts w:ascii="Times New Roman" w:hAnsi="Times New Roman" w:cs="Times New Roman"/>
          <w:color w:val="000000"/>
          <w:sz w:val="22"/>
          <w:szCs w:val="22"/>
        </w:rPr>
        <w:t xml:space="preserve">” </w:t>
      </w:r>
      <w:r w:rsidR="00470E90" w:rsidRPr="00106292">
        <w:rPr>
          <w:rFonts w:ascii="Times New Roman" w:hAnsi="Times New Roman" w:cs="Times New Roman"/>
          <w:color w:val="000000"/>
          <w:sz w:val="22"/>
          <w:szCs w:val="22"/>
        </w:rPr>
        <w:t xml:space="preserve">procedure </w:t>
      </w:r>
      <w:r w:rsidRPr="00106292">
        <w:rPr>
          <w:rFonts w:ascii="Times New Roman" w:hAnsi="Times New Roman" w:cs="Times New Roman"/>
          <w:color w:val="000000"/>
          <w:sz w:val="22"/>
          <w:szCs w:val="22"/>
        </w:rPr>
        <w:t>(Christensen, 2012; Lawrie</w:t>
      </w:r>
      <w:r w:rsidR="008A5F7D" w:rsidRPr="008A5F7D">
        <w:rPr>
          <w:rFonts w:ascii="Times New Roman" w:hAnsi="Times New Roman" w:cs="Times New Roman"/>
          <w:i/>
          <w:color w:val="000000"/>
          <w:sz w:val="22"/>
          <w:szCs w:val="22"/>
        </w:rPr>
        <w:t xml:space="preserve"> et al</w:t>
      </w:r>
      <w:r w:rsidRPr="00106292">
        <w:rPr>
          <w:rFonts w:ascii="Times New Roman" w:hAnsi="Times New Roman" w:cs="Times New Roman"/>
          <w:color w:val="000000"/>
          <w:sz w:val="22"/>
          <w:szCs w:val="22"/>
        </w:rPr>
        <w:t xml:space="preserve">., 2012a), </w:t>
      </w:r>
      <w:r w:rsidR="00470E90" w:rsidRPr="00106292">
        <w:rPr>
          <w:rFonts w:ascii="Times New Roman" w:hAnsi="Times New Roman" w:cs="Times New Roman"/>
          <w:color w:val="000000"/>
          <w:sz w:val="22"/>
          <w:szCs w:val="22"/>
        </w:rPr>
        <w:t>with a 1D multi-layer model and constraints in 3D, was used to produce a 3D conductivity model</w:t>
      </w:r>
      <w:r w:rsidR="00F96F82" w:rsidRPr="00106292">
        <w:rPr>
          <w:rFonts w:ascii="Times New Roman" w:hAnsi="Times New Roman" w:cs="Times New Roman"/>
          <w:color w:val="000000"/>
          <w:sz w:val="22"/>
          <w:szCs w:val="22"/>
        </w:rPr>
        <w:t xml:space="preserve"> (Lawrie</w:t>
      </w:r>
      <w:r w:rsidR="008A5F7D" w:rsidRPr="008A5F7D">
        <w:rPr>
          <w:rFonts w:ascii="Times New Roman" w:hAnsi="Times New Roman" w:cs="Times New Roman"/>
          <w:i/>
          <w:color w:val="000000"/>
          <w:sz w:val="22"/>
          <w:szCs w:val="22"/>
        </w:rPr>
        <w:t xml:space="preserve"> et al</w:t>
      </w:r>
      <w:r w:rsidR="00F96F82" w:rsidRPr="00106292">
        <w:rPr>
          <w:rFonts w:ascii="Times New Roman" w:hAnsi="Times New Roman" w:cs="Times New Roman"/>
          <w:i/>
          <w:color w:val="000000"/>
          <w:sz w:val="22"/>
          <w:szCs w:val="22"/>
        </w:rPr>
        <w:t>.,</w:t>
      </w:r>
      <w:r w:rsidR="00F96F82" w:rsidRPr="00106292">
        <w:rPr>
          <w:rFonts w:ascii="Times New Roman" w:hAnsi="Times New Roman" w:cs="Times New Roman"/>
          <w:color w:val="000000"/>
          <w:sz w:val="22"/>
          <w:szCs w:val="22"/>
        </w:rPr>
        <w:t xml:space="preserve"> 2012a)</w:t>
      </w:r>
      <w:r w:rsidR="00470E90" w:rsidRPr="00106292">
        <w:rPr>
          <w:rFonts w:ascii="Times New Roman" w:hAnsi="Times New Roman" w:cs="Times New Roman"/>
          <w:color w:val="000000"/>
          <w:sz w:val="22"/>
          <w:szCs w:val="22"/>
        </w:rPr>
        <w:t>.</w:t>
      </w:r>
      <w:r w:rsidR="00470E90" w:rsidRPr="00106292">
        <w:rPr>
          <w:rFonts w:ascii="Times New Roman" w:hAnsi="Times New Roman" w:cs="Times New Roman"/>
          <w:sz w:val="22"/>
          <w:szCs w:val="22"/>
        </w:rPr>
        <w:t xml:space="preserve"> This inversion procedure only </w:t>
      </w:r>
      <w:r w:rsidR="00313694" w:rsidRPr="00106292">
        <w:rPr>
          <w:rFonts w:ascii="Times New Roman" w:hAnsi="Times New Roman" w:cs="Times New Roman"/>
          <w:sz w:val="22"/>
          <w:szCs w:val="22"/>
        </w:rPr>
        <w:t xml:space="preserve">takes days to run, enabling </w:t>
      </w:r>
      <w:r w:rsidR="00470E90" w:rsidRPr="00106292">
        <w:rPr>
          <w:rFonts w:ascii="Times New Roman" w:hAnsi="Times New Roman" w:cs="Times New Roman"/>
          <w:sz w:val="22"/>
          <w:szCs w:val="22"/>
        </w:rPr>
        <w:t xml:space="preserve">rapid </w:t>
      </w:r>
      <w:r w:rsidR="00AA4D8A" w:rsidRPr="00106292">
        <w:rPr>
          <w:rFonts w:ascii="Times New Roman" w:hAnsi="Times New Roman" w:cs="Times New Roman"/>
          <w:sz w:val="22"/>
          <w:szCs w:val="22"/>
        </w:rPr>
        <w:t>trialling</w:t>
      </w:r>
      <w:r w:rsidR="00470E90" w:rsidRPr="00106292">
        <w:rPr>
          <w:rFonts w:ascii="Times New Roman" w:hAnsi="Times New Roman" w:cs="Times New Roman"/>
          <w:sz w:val="22"/>
          <w:szCs w:val="22"/>
        </w:rPr>
        <w:t xml:space="preserve"> to select the most appropriate </w:t>
      </w:r>
      <w:r w:rsidR="00F96F82" w:rsidRPr="00106292">
        <w:rPr>
          <w:rFonts w:ascii="Times New Roman" w:hAnsi="Times New Roman" w:cs="Times New Roman"/>
          <w:sz w:val="22"/>
          <w:szCs w:val="22"/>
        </w:rPr>
        <w:t>spatial</w:t>
      </w:r>
      <w:r w:rsidR="00470E90" w:rsidRPr="00106292">
        <w:rPr>
          <w:rFonts w:ascii="Times New Roman" w:hAnsi="Times New Roman" w:cs="Times New Roman"/>
          <w:sz w:val="22"/>
          <w:szCs w:val="22"/>
        </w:rPr>
        <w:t xml:space="preserve"> constraints.</w:t>
      </w:r>
      <w:r w:rsidR="00470E90" w:rsidRPr="00241FD7">
        <w:rPr>
          <w:rFonts w:ascii="Times New Roman" w:hAnsi="Times New Roman" w:cs="Times New Roman"/>
          <w:sz w:val="22"/>
          <w:szCs w:val="22"/>
        </w:rPr>
        <w:t xml:space="preserve"> </w:t>
      </w:r>
      <w:r w:rsidR="004E3A72">
        <w:rPr>
          <w:rFonts w:ascii="Times New Roman" w:hAnsi="Times New Roman" w:cs="Times New Roman"/>
          <w:sz w:val="22"/>
          <w:szCs w:val="22"/>
        </w:rPr>
        <w:t xml:space="preserve">Methods </w:t>
      </w:r>
      <w:r w:rsidR="004E3A72" w:rsidRPr="00106292">
        <w:rPr>
          <w:rFonts w:ascii="Times New Roman" w:hAnsi="Times New Roman" w:cs="Times New Roman"/>
          <w:sz w:val="22"/>
          <w:szCs w:val="22"/>
        </w:rPr>
        <w:t>perta</w:t>
      </w:r>
      <w:r w:rsidR="00106292" w:rsidRPr="00106292">
        <w:rPr>
          <w:rFonts w:ascii="Times New Roman" w:hAnsi="Times New Roman" w:cs="Times New Roman"/>
          <w:sz w:val="22"/>
          <w:szCs w:val="22"/>
        </w:rPr>
        <w:t>ining to the generation of the inversions and derivative</w:t>
      </w:r>
      <w:r w:rsidR="004E3A72" w:rsidRPr="00106292">
        <w:rPr>
          <w:rFonts w:ascii="Times New Roman" w:hAnsi="Times New Roman" w:cs="Times New Roman"/>
          <w:sz w:val="22"/>
          <w:szCs w:val="22"/>
        </w:rPr>
        <w:t xml:space="preserve"> products are documented in detail in Lawrie</w:t>
      </w:r>
      <w:r w:rsidR="008A5F7D" w:rsidRPr="008A5F7D">
        <w:rPr>
          <w:rFonts w:ascii="Times New Roman" w:hAnsi="Times New Roman" w:cs="Times New Roman"/>
          <w:i/>
          <w:sz w:val="22"/>
          <w:szCs w:val="22"/>
        </w:rPr>
        <w:t xml:space="preserve"> et al</w:t>
      </w:r>
      <w:r w:rsidR="004E3A72" w:rsidRPr="00106292">
        <w:rPr>
          <w:rFonts w:ascii="Times New Roman" w:hAnsi="Times New Roman" w:cs="Times New Roman"/>
          <w:sz w:val="22"/>
          <w:szCs w:val="22"/>
        </w:rPr>
        <w:t>. (2012a).</w:t>
      </w:r>
      <w:r w:rsidR="004E3A72">
        <w:rPr>
          <w:rFonts w:ascii="Times New Roman" w:hAnsi="Times New Roman" w:cs="Times New Roman"/>
          <w:sz w:val="22"/>
          <w:szCs w:val="22"/>
        </w:rPr>
        <w:t xml:space="preserve"> </w:t>
      </w:r>
    </w:p>
    <w:p w:rsidR="0088054A" w:rsidRDefault="0088054A" w:rsidP="00470E90">
      <w:pPr>
        <w:pStyle w:val="PlainText"/>
        <w:rPr>
          <w:rFonts w:ascii="Times New Roman" w:hAnsi="Times New Roman" w:cs="Times New Roman"/>
          <w:sz w:val="22"/>
          <w:szCs w:val="22"/>
        </w:rPr>
      </w:pPr>
    </w:p>
    <w:p w:rsidR="0025758B" w:rsidRDefault="0025758B" w:rsidP="0025758B">
      <w:pPr>
        <w:pStyle w:val="PlainText"/>
        <w:rPr>
          <w:rFonts w:ascii="Times New Roman" w:hAnsi="Times New Roman" w:cs="Times New Roman"/>
          <w:sz w:val="22"/>
          <w:szCs w:val="22"/>
        </w:rPr>
      </w:pPr>
      <w:r>
        <w:rPr>
          <w:rFonts w:ascii="Times New Roman" w:hAnsi="Times New Roman" w:cs="Times New Roman"/>
          <w:sz w:val="22"/>
          <w:szCs w:val="22"/>
        </w:rPr>
        <w:t>The improvements in the inversions through time are shown in</w:t>
      </w:r>
      <w:r w:rsidR="009835C7" w:rsidRPr="0025758B">
        <w:rPr>
          <w:rFonts w:ascii="Times New Roman" w:hAnsi="Times New Roman" w:cs="Times New Roman"/>
          <w:sz w:val="22"/>
          <w:szCs w:val="22"/>
        </w:rPr>
        <w:t xml:space="preserve"> (</w:t>
      </w:r>
      <w:r w:rsidR="00B96C96" w:rsidRPr="00B96C96">
        <w:rPr>
          <w:rFonts w:ascii="Times New Roman" w:hAnsi="Times New Roman" w:cs="Times New Roman"/>
          <w:sz w:val="22"/>
          <w:szCs w:val="22"/>
        </w:rPr>
        <w:fldChar w:fldCharType="begin"/>
      </w:r>
      <w:r w:rsidR="00B96C96">
        <w:rPr>
          <w:rFonts w:ascii="Times New Roman" w:hAnsi="Times New Roman" w:cs="Times New Roman"/>
          <w:sz w:val="22"/>
          <w:szCs w:val="22"/>
        </w:rPr>
        <w:instrText xml:space="preserve"> REF _Ref355623649 \h  \* MERGEFORMAT </w:instrText>
      </w:r>
      <w:r w:rsidR="00B96C96" w:rsidRPr="00B96C96">
        <w:rPr>
          <w:rFonts w:ascii="Times New Roman" w:hAnsi="Times New Roman" w:cs="Times New Roman"/>
          <w:sz w:val="22"/>
          <w:szCs w:val="22"/>
        </w:rPr>
      </w:r>
      <w:r w:rsidR="00B96C96" w:rsidRPr="00B96C96">
        <w:rPr>
          <w:rFonts w:ascii="Times New Roman" w:hAnsi="Times New Roman" w:cs="Times New Roman"/>
          <w:sz w:val="22"/>
          <w:szCs w:val="22"/>
        </w:rPr>
        <w:fldChar w:fldCharType="separate"/>
      </w:r>
      <w:r w:rsidR="00966532" w:rsidRPr="00966532">
        <w:rPr>
          <w:rFonts w:ascii="Times New Roman" w:hAnsi="Times New Roman" w:cs="Times New Roman"/>
          <w:sz w:val="22"/>
          <w:szCs w:val="22"/>
        </w:rPr>
        <w:t>Figure 3</w:t>
      </w:r>
      <w:r w:rsidR="00966532" w:rsidRPr="00966532">
        <w:rPr>
          <w:rFonts w:ascii="Times New Roman" w:hAnsi="Times New Roman" w:cs="Times New Roman"/>
          <w:sz w:val="22"/>
          <w:szCs w:val="22"/>
        </w:rPr>
        <w:noBreakHyphen/>
        <w:t>3</w:t>
      </w:r>
      <w:r w:rsidR="00B96C96" w:rsidRPr="00B96C96">
        <w:rPr>
          <w:rFonts w:ascii="Times New Roman" w:hAnsi="Times New Roman" w:cs="Times New Roman"/>
          <w:sz w:val="22"/>
          <w:szCs w:val="22"/>
        </w:rPr>
        <w:fldChar w:fldCharType="end"/>
      </w:r>
      <w:r w:rsidR="009835C7" w:rsidRPr="0025758B">
        <w:rPr>
          <w:rFonts w:ascii="Times New Roman" w:hAnsi="Times New Roman" w:cs="Times New Roman"/>
          <w:sz w:val="22"/>
          <w:szCs w:val="22"/>
        </w:rPr>
        <w:t>). In the previous AEM inversions, regularisation and lateral parameter correlation parameters were not optimized for the local hydrostratigraphy and complex structural architecture of the area (Lawrie</w:t>
      </w:r>
      <w:r w:rsidR="008A5F7D" w:rsidRPr="008A5F7D">
        <w:rPr>
          <w:rFonts w:ascii="Times New Roman" w:hAnsi="Times New Roman" w:cs="Times New Roman"/>
          <w:i/>
          <w:sz w:val="22"/>
          <w:szCs w:val="22"/>
        </w:rPr>
        <w:t xml:space="preserve"> et al</w:t>
      </w:r>
      <w:r w:rsidR="009835C7" w:rsidRPr="0025758B">
        <w:rPr>
          <w:rFonts w:ascii="Times New Roman" w:hAnsi="Times New Roman" w:cs="Times New Roman"/>
          <w:sz w:val="22"/>
          <w:szCs w:val="22"/>
        </w:rPr>
        <w:t xml:space="preserve">., 2012a). This is evident in </w:t>
      </w:r>
      <w:r w:rsidR="00B96C96">
        <w:rPr>
          <w:rFonts w:ascii="Times New Roman" w:hAnsi="Times New Roman" w:cs="Times New Roman"/>
          <w:sz w:val="22"/>
          <w:szCs w:val="22"/>
        </w:rPr>
        <w:fldChar w:fldCharType="begin"/>
      </w:r>
      <w:r w:rsidR="00B96C96">
        <w:rPr>
          <w:rFonts w:ascii="Times New Roman" w:hAnsi="Times New Roman" w:cs="Times New Roman"/>
          <w:sz w:val="22"/>
          <w:szCs w:val="22"/>
        </w:rPr>
        <w:instrText xml:space="preserve"> REF _Ref355623649 \h  \* MERGEFORMAT </w:instrText>
      </w:r>
      <w:r w:rsidR="00B96C96">
        <w:rPr>
          <w:rFonts w:ascii="Times New Roman" w:hAnsi="Times New Roman" w:cs="Times New Roman"/>
          <w:sz w:val="22"/>
          <w:szCs w:val="22"/>
        </w:rPr>
      </w:r>
      <w:r w:rsidR="00B96C96">
        <w:rPr>
          <w:rFonts w:ascii="Times New Roman" w:hAnsi="Times New Roman" w:cs="Times New Roman"/>
          <w:sz w:val="22"/>
          <w:szCs w:val="22"/>
        </w:rPr>
        <w:fldChar w:fldCharType="separate"/>
      </w:r>
      <w:r w:rsidR="00966532" w:rsidRPr="00966532">
        <w:rPr>
          <w:rFonts w:ascii="Times New Roman" w:hAnsi="Times New Roman" w:cs="Times New Roman"/>
          <w:sz w:val="22"/>
          <w:szCs w:val="22"/>
        </w:rPr>
        <w:t>Figure 3</w:t>
      </w:r>
      <w:r w:rsidR="00966532" w:rsidRPr="00966532">
        <w:rPr>
          <w:rFonts w:ascii="Times New Roman" w:hAnsi="Times New Roman" w:cs="Times New Roman"/>
          <w:sz w:val="22"/>
          <w:szCs w:val="22"/>
        </w:rPr>
        <w:noBreakHyphen/>
        <w:t>3</w:t>
      </w:r>
      <w:r w:rsidR="00B96C96">
        <w:rPr>
          <w:rFonts w:ascii="Times New Roman" w:hAnsi="Times New Roman" w:cs="Times New Roman"/>
          <w:sz w:val="22"/>
          <w:szCs w:val="22"/>
        </w:rPr>
        <w:fldChar w:fldCharType="end"/>
      </w:r>
      <w:r w:rsidR="009835C7" w:rsidRPr="0025758B">
        <w:rPr>
          <w:rFonts w:ascii="Times New Roman" w:hAnsi="Times New Roman" w:cs="Times New Roman"/>
          <w:sz w:val="22"/>
          <w:szCs w:val="22"/>
        </w:rPr>
        <w:t>, where the Blanchetown Clay aquitard (electrically conductive), is offset along a discrete f</w:t>
      </w:r>
      <w:smartTag w:uri="urn:schemas-microsoft-com:office:smarttags" w:element="PersonName">
        <w:r w:rsidR="009835C7" w:rsidRPr="0025758B">
          <w:rPr>
            <w:rFonts w:ascii="Times New Roman" w:hAnsi="Times New Roman" w:cs="Times New Roman"/>
            <w:sz w:val="22"/>
            <w:szCs w:val="22"/>
          </w:rPr>
          <w:t>au</w:t>
        </w:r>
      </w:smartTag>
      <w:r w:rsidR="009835C7" w:rsidRPr="0025758B">
        <w:rPr>
          <w:rFonts w:ascii="Times New Roman" w:hAnsi="Times New Roman" w:cs="Times New Roman"/>
          <w:sz w:val="22"/>
          <w:szCs w:val="22"/>
        </w:rPr>
        <w:t>lt with a vertical offset of ~20</w:t>
      </w:r>
      <w:r w:rsidR="0008529C">
        <w:rPr>
          <w:rFonts w:ascii="Times New Roman" w:hAnsi="Times New Roman" w:cs="Times New Roman"/>
          <w:sz w:val="22"/>
          <w:szCs w:val="22"/>
        </w:rPr>
        <w:t xml:space="preserve"> </w:t>
      </w:r>
      <w:r w:rsidR="009835C7" w:rsidRPr="0025758B">
        <w:rPr>
          <w:rFonts w:ascii="Times New Roman" w:hAnsi="Times New Roman" w:cs="Times New Roman"/>
          <w:sz w:val="22"/>
          <w:szCs w:val="22"/>
        </w:rPr>
        <w:t xml:space="preserve">m (bottom panel). </w:t>
      </w:r>
      <w:r w:rsidRPr="0088054A">
        <w:rPr>
          <w:rFonts w:ascii="Times New Roman" w:hAnsi="Times New Roman" w:cs="Times New Roman"/>
          <w:sz w:val="22"/>
          <w:szCs w:val="22"/>
        </w:rPr>
        <w:t>Previously, there was insufficient confidence in the layer boundary mapping to either identify or map these structures with any degree of confidence.</w:t>
      </w:r>
    </w:p>
    <w:p w:rsidR="0025758B" w:rsidRPr="00B96C96" w:rsidRDefault="0025758B" w:rsidP="00B96C96">
      <w:pPr>
        <w:pStyle w:val="PlainText"/>
        <w:rPr>
          <w:rFonts w:ascii="Times New Roman" w:hAnsi="Times New Roman" w:cs="Times New Roman"/>
          <w:sz w:val="22"/>
          <w:szCs w:val="22"/>
        </w:rPr>
      </w:pPr>
    </w:p>
    <w:p w:rsidR="0088054A" w:rsidRDefault="00B96C96" w:rsidP="00470E90">
      <w:pPr>
        <w:pStyle w:val="PlainText"/>
        <w:rPr>
          <w:rFonts w:ascii="Times New Roman" w:hAnsi="Times New Roman" w:cs="Times New Roman"/>
          <w:sz w:val="22"/>
          <w:szCs w:val="22"/>
        </w:rPr>
      </w:pPr>
      <w:r w:rsidRPr="00B96C96">
        <w:rPr>
          <w:rFonts w:ascii="Times New Roman" w:hAnsi="Times New Roman" w:cs="Times New Roman"/>
          <w:sz w:val="22"/>
          <w:szCs w:val="22"/>
        </w:rPr>
        <w:fldChar w:fldCharType="begin"/>
      </w:r>
      <w:r>
        <w:rPr>
          <w:rFonts w:ascii="Times New Roman" w:hAnsi="Times New Roman" w:cs="Times New Roman"/>
          <w:sz w:val="22"/>
          <w:szCs w:val="22"/>
        </w:rPr>
        <w:instrText xml:space="preserve"> REF _Ref355623662 \h  \* MERGEFORMAT </w:instrText>
      </w:r>
      <w:r w:rsidRPr="00B96C96">
        <w:rPr>
          <w:rFonts w:ascii="Times New Roman" w:hAnsi="Times New Roman" w:cs="Times New Roman"/>
          <w:sz w:val="22"/>
          <w:szCs w:val="22"/>
        </w:rPr>
      </w:r>
      <w:r w:rsidRPr="00B96C96">
        <w:rPr>
          <w:rFonts w:ascii="Times New Roman" w:hAnsi="Times New Roman" w:cs="Times New Roman"/>
          <w:sz w:val="22"/>
          <w:szCs w:val="22"/>
        </w:rPr>
        <w:fldChar w:fldCharType="separate"/>
      </w:r>
      <w:r w:rsidR="00966532" w:rsidRPr="00966532">
        <w:rPr>
          <w:rFonts w:ascii="Times New Roman" w:hAnsi="Times New Roman" w:cs="Times New Roman"/>
          <w:sz w:val="22"/>
          <w:szCs w:val="22"/>
        </w:rPr>
        <w:t>Figure 3</w:t>
      </w:r>
      <w:r w:rsidR="00966532" w:rsidRPr="00966532">
        <w:rPr>
          <w:rFonts w:ascii="Times New Roman" w:hAnsi="Times New Roman" w:cs="Times New Roman"/>
          <w:sz w:val="22"/>
          <w:szCs w:val="22"/>
        </w:rPr>
        <w:noBreakHyphen/>
        <w:t>4</w:t>
      </w:r>
      <w:r w:rsidRPr="00B96C96">
        <w:rPr>
          <w:rFonts w:ascii="Times New Roman" w:hAnsi="Times New Roman" w:cs="Times New Roman"/>
          <w:sz w:val="22"/>
          <w:szCs w:val="22"/>
        </w:rPr>
        <w:fldChar w:fldCharType="end"/>
      </w:r>
      <w:r w:rsidR="0088054A">
        <w:rPr>
          <w:rFonts w:ascii="Times New Roman" w:hAnsi="Times New Roman" w:cs="Times New Roman"/>
          <w:sz w:val="22"/>
          <w:szCs w:val="22"/>
        </w:rPr>
        <w:t xml:space="preserve">is the same flight line section, showing the results of the WANDA inversion with different </w:t>
      </w:r>
      <w:r w:rsidR="00DF0CAB">
        <w:rPr>
          <w:rFonts w:ascii="Times New Roman" w:hAnsi="Times New Roman" w:cs="Times New Roman"/>
          <w:sz w:val="22"/>
          <w:szCs w:val="22"/>
        </w:rPr>
        <w:t>regularization</w:t>
      </w:r>
      <w:r w:rsidR="0088054A">
        <w:rPr>
          <w:rFonts w:ascii="Times New Roman" w:hAnsi="Times New Roman" w:cs="Times New Roman"/>
          <w:sz w:val="22"/>
          <w:szCs w:val="22"/>
        </w:rPr>
        <w:t xml:space="preserve"> constraints. The final inversion procedure used ‘loose’</w:t>
      </w:r>
      <w:r w:rsidR="00D106D8">
        <w:rPr>
          <w:rFonts w:ascii="Times New Roman" w:hAnsi="Times New Roman" w:cs="Times New Roman"/>
          <w:sz w:val="22"/>
          <w:szCs w:val="22"/>
        </w:rPr>
        <w:t xml:space="preserve"> regularization constraints and a new lateral parameter correlation procedure to enable details of the hydrostratigraphy and structure to be revealed.</w:t>
      </w:r>
    </w:p>
    <w:p w:rsidR="0088054A" w:rsidRDefault="0088054A" w:rsidP="00470E90">
      <w:pPr>
        <w:pStyle w:val="PlainText"/>
        <w:rPr>
          <w:rFonts w:ascii="Times New Roman" w:hAnsi="Times New Roman" w:cs="Times New Roman"/>
          <w:sz w:val="22"/>
          <w:szCs w:val="22"/>
        </w:rPr>
      </w:pPr>
    </w:p>
    <w:p w:rsidR="0025758B" w:rsidRPr="00B96C96" w:rsidRDefault="0025758B" w:rsidP="00B96C96">
      <w:pPr>
        <w:pStyle w:val="PlainText"/>
        <w:rPr>
          <w:rFonts w:ascii="Times New Roman" w:hAnsi="Times New Roman" w:cs="Times New Roman"/>
          <w:sz w:val="22"/>
          <w:szCs w:val="22"/>
        </w:rPr>
      </w:pPr>
      <w:r w:rsidRPr="00B96C96">
        <w:rPr>
          <w:rFonts w:ascii="Times New Roman" w:hAnsi="Times New Roman" w:cs="Times New Roman"/>
          <w:sz w:val="22"/>
          <w:szCs w:val="22"/>
        </w:rPr>
        <w:t>Of equal importance, new lateral correlation methods were developed in the inversion procedures so that a strictly horizontal correlation in the inversions was possible. For the first time, this meant that stratigraphic layers did not automatically follow topography when inverted (</w:t>
      </w:r>
      <w:r w:rsidR="00B96C96" w:rsidRPr="00B96C96">
        <w:rPr>
          <w:rFonts w:ascii="Times New Roman" w:hAnsi="Times New Roman" w:cs="Times New Roman"/>
          <w:sz w:val="22"/>
          <w:szCs w:val="22"/>
        </w:rPr>
        <w:fldChar w:fldCharType="begin"/>
      </w:r>
      <w:r w:rsidR="00B96C96" w:rsidRPr="00B96C96">
        <w:rPr>
          <w:rFonts w:ascii="Times New Roman" w:hAnsi="Times New Roman" w:cs="Times New Roman"/>
          <w:sz w:val="22"/>
          <w:szCs w:val="22"/>
        </w:rPr>
        <w:instrText xml:space="preserve"> REF _Ref355623727 \h </w:instrText>
      </w:r>
      <w:r w:rsidR="00B96C96">
        <w:rPr>
          <w:rFonts w:ascii="Times New Roman" w:hAnsi="Times New Roman" w:cs="Times New Roman"/>
          <w:sz w:val="22"/>
          <w:szCs w:val="22"/>
        </w:rPr>
        <w:instrText xml:space="preserve"> \* MERGEFORMAT </w:instrText>
      </w:r>
      <w:r w:rsidR="00B96C96" w:rsidRPr="00B96C96">
        <w:rPr>
          <w:rFonts w:ascii="Times New Roman" w:hAnsi="Times New Roman" w:cs="Times New Roman"/>
          <w:sz w:val="22"/>
          <w:szCs w:val="22"/>
        </w:rPr>
      </w:r>
      <w:r w:rsidR="00B96C96" w:rsidRPr="00B96C96">
        <w:rPr>
          <w:rFonts w:ascii="Times New Roman" w:hAnsi="Times New Roman" w:cs="Times New Roman"/>
          <w:sz w:val="22"/>
          <w:szCs w:val="22"/>
        </w:rPr>
        <w:fldChar w:fldCharType="separate"/>
      </w:r>
      <w:r w:rsidR="00966532" w:rsidRPr="00966532">
        <w:rPr>
          <w:rFonts w:ascii="Times New Roman" w:hAnsi="Times New Roman" w:cs="Times New Roman"/>
          <w:sz w:val="22"/>
          <w:szCs w:val="22"/>
        </w:rPr>
        <w:t>Figure 3</w:t>
      </w:r>
      <w:r w:rsidR="00966532" w:rsidRPr="00966532">
        <w:rPr>
          <w:rFonts w:ascii="Times New Roman" w:hAnsi="Times New Roman" w:cs="Times New Roman"/>
          <w:sz w:val="22"/>
          <w:szCs w:val="22"/>
        </w:rPr>
        <w:noBreakHyphen/>
        <w:t>5</w:t>
      </w:r>
      <w:r w:rsidR="00B96C96" w:rsidRPr="00B96C96">
        <w:rPr>
          <w:rFonts w:ascii="Times New Roman" w:hAnsi="Times New Roman" w:cs="Times New Roman"/>
          <w:sz w:val="22"/>
          <w:szCs w:val="22"/>
        </w:rPr>
        <w:fldChar w:fldCharType="end"/>
      </w:r>
      <w:r w:rsidRPr="00B96C96">
        <w:rPr>
          <w:rFonts w:ascii="Times New Roman" w:hAnsi="Times New Roman" w:cs="Times New Roman"/>
          <w:sz w:val="22"/>
          <w:szCs w:val="22"/>
        </w:rPr>
        <w:t xml:space="preserve">). These </w:t>
      </w:r>
      <w:r w:rsidR="00DF0CAB" w:rsidRPr="00B96C96">
        <w:rPr>
          <w:rFonts w:ascii="Times New Roman" w:hAnsi="Times New Roman" w:cs="Times New Roman"/>
          <w:sz w:val="22"/>
          <w:szCs w:val="22"/>
        </w:rPr>
        <w:t>improvements</w:t>
      </w:r>
      <w:r w:rsidRPr="00B96C96">
        <w:rPr>
          <w:rFonts w:ascii="Times New Roman" w:hAnsi="Times New Roman" w:cs="Times New Roman"/>
          <w:sz w:val="22"/>
          <w:szCs w:val="22"/>
        </w:rPr>
        <w:t xml:space="preserve"> in inversion procedures have provided confidence in </w:t>
      </w:r>
      <w:r w:rsidR="00DF0CAB" w:rsidRPr="00B96C96">
        <w:rPr>
          <w:rFonts w:ascii="Times New Roman" w:hAnsi="Times New Roman" w:cs="Times New Roman"/>
          <w:sz w:val="22"/>
          <w:szCs w:val="22"/>
        </w:rPr>
        <w:t>th</w:t>
      </w:r>
      <w:r w:rsidR="00DF0CAB">
        <w:rPr>
          <w:rFonts w:ascii="Times New Roman" w:hAnsi="Times New Roman" w:cs="Times New Roman"/>
          <w:sz w:val="22"/>
          <w:szCs w:val="22"/>
        </w:rPr>
        <w:t xml:space="preserve">e </w:t>
      </w:r>
      <w:r w:rsidR="00DF0CAB" w:rsidRPr="00B96C96">
        <w:rPr>
          <w:rFonts w:ascii="Times New Roman" w:hAnsi="Times New Roman" w:cs="Times New Roman"/>
          <w:sz w:val="22"/>
          <w:szCs w:val="22"/>
        </w:rPr>
        <w:t>ability</w:t>
      </w:r>
      <w:r w:rsidRPr="00B96C96">
        <w:rPr>
          <w:rFonts w:ascii="Times New Roman" w:hAnsi="Times New Roman" w:cs="Times New Roman"/>
          <w:sz w:val="22"/>
          <w:szCs w:val="22"/>
        </w:rPr>
        <w:t xml:space="preserve"> to map a multi-layered hydrostratigraphy, and to identify faults (</w:t>
      </w:r>
      <w:r w:rsidR="00B96C96" w:rsidRPr="00B96C96">
        <w:rPr>
          <w:rFonts w:ascii="Times New Roman" w:hAnsi="Times New Roman" w:cs="Times New Roman"/>
          <w:sz w:val="22"/>
          <w:szCs w:val="22"/>
        </w:rPr>
        <w:fldChar w:fldCharType="begin"/>
      </w:r>
      <w:r w:rsidR="00B96C96" w:rsidRPr="00B96C96">
        <w:rPr>
          <w:rFonts w:ascii="Times New Roman" w:hAnsi="Times New Roman" w:cs="Times New Roman"/>
          <w:sz w:val="22"/>
          <w:szCs w:val="22"/>
        </w:rPr>
        <w:instrText xml:space="preserve"> REF _Ref355623735 \h </w:instrText>
      </w:r>
      <w:r w:rsidR="00B96C96">
        <w:rPr>
          <w:rFonts w:ascii="Times New Roman" w:hAnsi="Times New Roman" w:cs="Times New Roman"/>
          <w:sz w:val="22"/>
          <w:szCs w:val="22"/>
        </w:rPr>
        <w:instrText xml:space="preserve"> \* MERGEFORMAT </w:instrText>
      </w:r>
      <w:r w:rsidR="00B96C96" w:rsidRPr="00B96C96">
        <w:rPr>
          <w:rFonts w:ascii="Times New Roman" w:hAnsi="Times New Roman" w:cs="Times New Roman"/>
          <w:sz w:val="22"/>
          <w:szCs w:val="22"/>
        </w:rPr>
      </w:r>
      <w:r w:rsidR="00B96C96" w:rsidRPr="00B96C96">
        <w:rPr>
          <w:rFonts w:ascii="Times New Roman" w:hAnsi="Times New Roman" w:cs="Times New Roman"/>
          <w:sz w:val="22"/>
          <w:szCs w:val="22"/>
        </w:rPr>
        <w:fldChar w:fldCharType="separate"/>
      </w:r>
      <w:r w:rsidR="00966532" w:rsidRPr="00966532">
        <w:rPr>
          <w:rFonts w:ascii="Times New Roman" w:hAnsi="Times New Roman" w:cs="Times New Roman"/>
          <w:sz w:val="22"/>
          <w:szCs w:val="22"/>
        </w:rPr>
        <w:t>Figure 3</w:t>
      </w:r>
      <w:r w:rsidR="00966532" w:rsidRPr="00966532">
        <w:rPr>
          <w:rFonts w:ascii="Times New Roman" w:hAnsi="Times New Roman" w:cs="Times New Roman"/>
          <w:sz w:val="22"/>
          <w:szCs w:val="22"/>
        </w:rPr>
        <w:noBreakHyphen/>
        <w:t>6</w:t>
      </w:r>
      <w:r w:rsidR="00B96C96" w:rsidRPr="00B96C96">
        <w:rPr>
          <w:rFonts w:ascii="Times New Roman" w:hAnsi="Times New Roman" w:cs="Times New Roman"/>
          <w:sz w:val="22"/>
          <w:szCs w:val="22"/>
        </w:rPr>
        <w:fldChar w:fldCharType="end"/>
      </w:r>
      <w:r w:rsidRPr="00B96C96">
        <w:rPr>
          <w:rFonts w:ascii="Times New Roman" w:hAnsi="Times New Roman" w:cs="Times New Roman"/>
          <w:sz w:val="22"/>
          <w:szCs w:val="22"/>
        </w:rPr>
        <w:t xml:space="preserve">). A 3D block model showing the conductivity model is shown in </w:t>
      </w:r>
      <w:r w:rsidRPr="00B96C96">
        <w:rPr>
          <w:rFonts w:ascii="Times New Roman" w:hAnsi="Times New Roman" w:cs="Times New Roman"/>
          <w:sz w:val="22"/>
          <w:szCs w:val="22"/>
        </w:rPr>
        <w:fldChar w:fldCharType="begin"/>
      </w:r>
      <w:r w:rsidRPr="00B96C96">
        <w:rPr>
          <w:rFonts w:ascii="Times New Roman" w:hAnsi="Times New Roman" w:cs="Times New Roman"/>
          <w:sz w:val="22"/>
          <w:szCs w:val="22"/>
        </w:rPr>
        <w:instrText xml:space="preserve"> REF _Ref325912054 \h  \* MERGEFORMAT </w:instrText>
      </w:r>
      <w:r w:rsidRPr="00B96C96">
        <w:rPr>
          <w:rFonts w:ascii="Times New Roman" w:hAnsi="Times New Roman" w:cs="Times New Roman"/>
          <w:sz w:val="22"/>
          <w:szCs w:val="22"/>
        </w:rPr>
      </w:r>
      <w:r w:rsidRPr="00B96C96">
        <w:rPr>
          <w:rFonts w:ascii="Times New Roman" w:hAnsi="Times New Roman" w:cs="Times New Roman"/>
          <w:sz w:val="22"/>
          <w:szCs w:val="22"/>
        </w:rPr>
        <w:fldChar w:fldCharType="separate"/>
      </w:r>
      <w:r w:rsidR="00966532" w:rsidRPr="00966532">
        <w:rPr>
          <w:rFonts w:ascii="Times New Roman" w:hAnsi="Times New Roman" w:cs="Times New Roman"/>
          <w:sz w:val="22"/>
          <w:szCs w:val="22"/>
        </w:rPr>
        <w:t>Figure 3</w:t>
      </w:r>
      <w:r w:rsidR="00966532" w:rsidRPr="00966532">
        <w:rPr>
          <w:rFonts w:ascii="Times New Roman" w:hAnsi="Times New Roman" w:cs="Times New Roman"/>
          <w:sz w:val="22"/>
          <w:szCs w:val="22"/>
        </w:rPr>
        <w:noBreakHyphen/>
        <w:t>7</w:t>
      </w:r>
      <w:r w:rsidRPr="00B96C96">
        <w:rPr>
          <w:rFonts w:ascii="Times New Roman" w:hAnsi="Times New Roman" w:cs="Times New Roman"/>
          <w:sz w:val="22"/>
          <w:szCs w:val="22"/>
        </w:rPr>
        <w:fldChar w:fldCharType="end"/>
      </w:r>
      <w:r w:rsidRPr="00B96C96">
        <w:rPr>
          <w:rFonts w:ascii="Times New Roman" w:hAnsi="Times New Roman" w:cs="Times New Roman"/>
          <w:sz w:val="22"/>
          <w:szCs w:val="22"/>
        </w:rPr>
        <w:t>.</w:t>
      </w:r>
    </w:p>
    <w:p w:rsidR="0025758B" w:rsidRDefault="0025758B" w:rsidP="0025758B">
      <w:pPr>
        <w:rPr>
          <w:szCs w:val="22"/>
        </w:rPr>
      </w:pPr>
    </w:p>
    <w:p w:rsidR="0088054A" w:rsidRPr="0088054A" w:rsidRDefault="00706A3B" w:rsidP="00284471">
      <w:pPr>
        <w:spacing w:after="60"/>
        <w:rPr>
          <w:i/>
          <w:sz w:val="20"/>
          <w:szCs w:val="20"/>
        </w:rPr>
      </w:pPr>
      <w:r>
        <w:rPr>
          <w:i/>
          <w:noProof/>
          <w:sz w:val="20"/>
          <w:szCs w:val="20"/>
        </w:rPr>
        <w:lastRenderedPageBreak/>
        <mc:AlternateContent>
          <mc:Choice Requires="wpc">
            <w:drawing>
              <wp:anchor distT="0" distB="0" distL="114300" distR="114300" simplePos="0" relativeHeight="251641856" behindDoc="0" locked="0" layoutInCell="1" allowOverlap="1" wp14:anchorId="6343D0C9" wp14:editId="3BAD978C">
                <wp:simplePos x="0" y="0"/>
                <wp:positionH relativeFrom="character">
                  <wp:posOffset>0</wp:posOffset>
                </wp:positionH>
                <wp:positionV relativeFrom="line">
                  <wp:posOffset>0</wp:posOffset>
                </wp:positionV>
                <wp:extent cx="6120130" cy="5633085"/>
                <wp:effectExtent l="5715" t="5715" r="8255" b="9525"/>
                <wp:wrapNone/>
                <wp:docPr id="2012" name="Canvas 20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99" name="Picture 2014"/>
                          <pic:cNvPicPr>
                            <a:picLocks noChangeAspect="1" noChangeArrowheads="1"/>
                          </pic:cNvPicPr>
                        </pic:nvPicPr>
                        <pic:blipFill>
                          <a:blip r:embed="rId59">
                            <a:extLst>
                              <a:ext uri="{28A0092B-C50C-407E-A947-70E740481C1C}">
                                <a14:useLocalDpi xmlns:a14="http://schemas.microsoft.com/office/drawing/2010/main" val="0"/>
                              </a:ext>
                            </a:extLst>
                          </a:blip>
                          <a:srcRect b="51950"/>
                          <a:stretch>
                            <a:fillRect/>
                          </a:stretch>
                        </pic:blipFill>
                        <pic:spPr bwMode="auto">
                          <a:xfrm>
                            <a:off x="0" y="0"/>
                            <a:ext cx="6120130" cy="41695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0" name="Picture 2015" descr="line_25k_cont_Line23421"/>
                          <pic:cNvPicPr>
                            <a:picLocks noChangeAspect="1" noChangeArrowheads="1"/>
                          </pic:cNvPicPr>
                        </pic:nvPicPr>
                        <pic:blipFill>
                          <a:blip r:embed="rId60" cstate="print">
                            <a:extLst>
                              <a:ext uri="{28A0092B-C50C-407E-A947-70E740481C1C}">
                                <a14:useLocalDpi xmlns:a14="http://schemas.microsoft.com/office/drawing/2010/main" val="0"/>
                              </a:ext>
                            </a:extLst>
                          </a:blip>
                          <a:srcRect r="12437"/>
                          <a:stretch>
                            <a:fillRect/>
                          </a:stretch>
                        </pic:blipFill>
                        <pic:spPr bwMode="auto">
                          <a:xfrm>
                            <a:off x="0" y="4134623"/>
                            <a:ext cx="6120130" cy="14984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01" name="Oval 2016"/>
                        <wps:cNvSpPr>
                          <a:spLocks noChangeArrowheads="1"/>
                        </wps:cNvSpPr>
                        <wps:spPr bwMode="auto">
                          <a:xfrm>
                            <a:off x="2996027" y="4302658"/>
                            <a:ext cx="1074883" cy="1055789"/>
                          </a:xfrm>
                          <a:prstGeom prst="ellipse">
                            <a:avLst/>
                          </a:prstGeom>
                          <a:noFill/>
                          <a:ln w="1587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03" name="Oval 2017"/>
                        <wps:cNvSpPr>
                          <a:spLocks noChangeArrowheads="1"/>
                        </wps:cNvSpPr>
                        <wps:spPr bwMode="auto">
                          <a:xfrm>
                            <a:off x="3048095" y="3022220"/>
                            <a:ext cx="1074883" cy="1055789"/>
                          </a:xfrm>
                          <a:prstGeom prst="ellipse">
                            <a:avLst/>
                          </a:prstGeom>
                          <a:noFill/>
                          <a:ln w="1587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04" name="Oval 2018"/>
                        <wps:cNvSpPr>
                          <a:spLocks noChangeArrowheads="1"/>
                        </wps:cNvSpPr>
                        <wps:spPr bwMode="auto">
                          <a:xfrm>
                            <a:off x="3048095" y="1689383"/>
                            <a:ext cx="1074883" cy="1055789"/>
                          </a:xfrm>
                          <a:prstGeom prst="ellipse">
                            <a:avLst/>
                          </a:prstGeom>
                          <a:noFill/>
                          <a:ln w="1587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505" name="Oval 2019"/>
                        <wps:cNvSpPr>
                          <a:spLocks noChangeArrowheads="1"/>
                        </wps:cNvSpPr>
                        <wps:spPr bwMode="auto">
                          <a:xfrm>
                            <a:off x="3098368" y="480014"/>
                            <a:ext cx="1074883" cy="1055789"/>
                          </a:xfrm>
                          <a:prstGeom prst="ellipse">
                            <a:avLst/>
                          </a:prstGeom>
                          <a:noFill/>
                          <a:ln w="1587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id="Canvas 2012" o:spid="_x0000_s1026" editas="canvas" style="position:absolute;margin-left:0;margin-top:0;width:481.9pt;height:443.55pt;z-index:251641856;mso-position-horizontal-relative:char;mso-position-vertical-relative:line" coordsize="61201,5633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201;height:56330;visibility:visible;mso-wrap-style:square">
                  <v:fill o:detectmouseclick="t"/>
                  <v:path o:connecttype="none"/>
                </v:shape>
                <v:shape id="Picture 2014" o:spid="_x0000_s1028" type="#_x0000_t75" style="position:absolute;width:61201;height:4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MeEDDAAAA3AAAAA8AAABkcnMvZG93bnJldi54bWxEj0FrAjEUhO8F/0N4greaVUtXV6MsgtJr&#10;bdHrY/PMBjcvyybq6q9vCoUeh5n5hllteteIG3XBelYwGWcgiCuvLRsF31+71zmIEJE1Np5JwYMC&#10;bNaDlxUW2t/5k26HaESCcChQQR1jW0gZqpochrFviZN39p3DmGRnpO7wnuCukdMse5cOLaeFGlva&#10;1lRdDlenIJyMlfnTVafc7K/HC5e7mS2VGg37cgkiUh//w3/tD63gbbGA3zPpCM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x4QMMAAADcAAAADwAAAAAAAAAAAAAAAACf&#10;AgAAZHJzL2Rvd25yZXYueG1sUEsFBgAAAAAEAAQA9wAAAI8DAAAAAA==&#10;" stroked="t">
                  <v:imagedata r:id="rId62" o:title="" cropbottom="34046f"/>
                </v:shape>
                <v:shape id="Picture 2015" o:spid="_x0000_s1029" type="#_x0000_t75" alt="line_25k_cont_Line23421" style="position:absolute;top:41346;width:61201;height:14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S7fCAAAA3AAAAA8AAABkcnMvZG93bnJldi54bWxET8lqwzAQvRf6D2IKvTWSC2kTN4pJCoYe&#10;SskGuQ7W1DaxRkZSbOfvo0Ohx8fbV8VkOzGQD61jDdlMgSCunGm51nA6li8LECEiG+wck4YbBSjW&#10;jw8rzI0beU/DIdYihXDIUUMTY59LGaqGLIaZ64kT9+u8xZigr6XxOKZw28lXpd6kxZZTQ4M9fTZU&#10;XQ5Xq2G7P1+yrPx5N2Nctv57Nx5P5U7r56dp8wEi0hT/xX/uL6NhrtL8dCYdAb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0Eu3wgAAANwAAAAPAAAAAAAAAAAAAAAAAJ8C&#10;AABkcnMvZG93bnJldi54bWxQSwUGAAAAAAQABAD3AAAAjgMAAAAA&#10;" stroked="t">
                  <v:imagedata r:id="rId63" o:title="line_25k_cont_Line23421" cropright="8151f"/>
                </v:shape>
                <v:oval id="Oval 2016" o:spid="_x0000_s1030" style="position:absolute;left:29960;top:43026;width:10749;height:10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4cMA&#10;AADcAAAADwAAAGRycy9kb3ducmV2LnhtbESPT4vCMBTE74LfITzBm6YVXKRrFF3WdQUv65/7I3m2&#10;1ealNFmt394IgsdhZn7DTOetrcSVGl86VpAOExDE2pmScwWH/WowAeEDssHKMSm4k4f5rNuZYmbc&#10;jf/ougu5iBD2GSooQqgzKb0uyKIfupo4eifXWAxRNrk0Dd4i3FZylCQf0mLJcaHAmr4K0pfdv1Xg&#10;7+36eNieL6n9+R7nm70+6qVXqt9rF58gArXhHX61f42CcZLC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4cMAAADcAAAADwAAAAAAAAAAAAAAAACYAgAAZHJzL2Rv&#10;d25yZXYueG1sUEsFBgAAAAAEAAQA9QAAAIgDAAAAAA==&#10;" filled="f" fillcolor="#bbe0e3" strokeweight="1.25pt"/>
                <v:oval id="Oval 2017" o:spid="_x0000_s1031" style="position:absolute;left:30480;top:30222;width:10749;height:10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vDcQA&#10;AADcAAAADwAAAGRycy9kb3ducmV2LnhtbESPS4sCMRCE74L/IbSwtzWjiyKjUVR8rLCX9XFvknZm&#10;dNIZJlHHf28WFjwWVfUVNZk1thR3qn3hWEGvm4Ag1s4UnCk4HtafIxA+IBssHZOCJ3mYTdutCabG&#10;PfiX7vuQiQhhn6KCPIQqldLrnCz6rquIo3d2tcUQZZ1JU+Mjwm0p+0kylBYLjgs5VrTMSV/3N6vA&#10;P5vt6fhzufbsZjXIdgd90guv1EenmY9BBGrCO/zf/jYKBskX/J2JR0B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3Lw3EAAAA3AAAAA8AAAAAAAAAAAAAAAAAmAIAAGRycy9k&#10;b3ducmV2LnhtbFBLBQYAAAAABAAEAPUAAACJAwAAAAA=&#10;" filled="f" fillcolor="#bbe0e3" strokeweight="1.25pt"/>
                <v:oval id="Oval 2018" o:spid="_x0000_s1032" style="position:absolute;left:30480;top:16893;width:10749;height:10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63ecQA&#10;AADcAAAADwAAAGRycy9kb3ducmV2LnhtbESPS4sCMRCE74L/IbSwtzWjrCKjUVR8rLCX9XFvknZm&#10;dNIZJlHHf28WFjwWVfUVNZk1thR3qn3hWEGvm4Ag1s4UnCk4HtafIxA+IBssHZOCJ3mYTdutCabG&#10;PfiX7vuQiQhhn6KCPIQqldLrnCz6rquIo3d2tcUQZZ1JU+Mjwm0p+0kylBYLjgs5VrTMSV/3N6vA&#10;P5vt6fhzufbsZjXIdgd90guv1EenmY9BBGrCO/zf/jYKBskX/J2JR0B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t3nEAAAA3AAAAA8AAAAAAAAAAAAAAAAAmAIAAGRycy9k&#10;b3ducmV2LnhtbFBLBQYAAAAABAAEAPUAAACJAwAAAAA=&#10;" filled="f" fillcolor="#bbe0e3" strokeweight="1.25pt"/>
                <v:oval id="Oval 2019" o:spid="_x0000_s1033" style="position:absolute;left:30983;top:4800;width:10749;height:10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IS4sMA&#10;AADcAAAADwAAAGRycy9kb3ducmV2LnhtbESPT4vCMBTE74LfITxhb5oqdJGuUXZF3RW8rH/uj+TZ&#10;VpuX0kSt394IgsdhZn7DTGatrcSVGl86VjAcJCCItTMl5wr2u2V/DMIHZIOVY1JwJw+zabczwcy4&#10;G//TdRtyESHsM1RQhFBnUnpdkEU/cDVx9I6usRiibHJpGrxFuK3kKEk+pcWS40KBNc0L0uftxSrw&#10;9/b3sN+czkO7WqT5eqcP+scr9dFrv79ABGrDO/xq/xkFaZLC80w8An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IS4sMAAADcAAAADwAAAAAAAAAAAAAAAACYAgAAZHJzL2Rv&#10;d25yZXYueG1sUEsFBgAAAAAEAAQA9QAAAIgDAAAAAA==&#10;" filled="f" fillcolor="#bbe0e3" strokeweight="1.25pt"/>
                <w10:wrap anchory="line"/>
              </v:group>
            </w:pict>
          </mc:Fallback>
        </mc:AlternateContent>
      </w:r>
      <w:r>
        <w:rPr>
          <w:i/>
          <w:noProof/>
          <w:sz w:val="20"/>
          <w:szCs w:val="20"/>
        </w:rPr>
        <mc:AlternateContent>
          <mc:Choice Requires="wps">
            <w:drawing>
              <wp:inline distT="0" distB="0" distL="0" distR="0" wp14:anchorId="0D9B9840" wp14:editId="252C802E">
                <wp:extent cx="6124575" cy="5634990"/>
                <wp:effectExtent l="0" t="0" r="0" b="0"/>
                <wp:docPr id="4"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24575" cy="563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482.25pt;height:44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" filled="f" stroked="f">
                <o:lock v:ext="edit" aspectratio="t"/>
                <w10:anchorlock/>
              </v:rect>
            </w:pict>
          </mc:Fallback>
        </mc:AlternateContent>
      </w:r>
    </w:p>
    <w:p w:rsidR="0088054A" w:rsidRDefault="00B96C96" w:rsidP="00B96C96">
      <w:pPr>
        <w:pStyle w:val="Caption"/>
        <w:rPr>
          <w:bCs w:val="0"/>
          <w:i w:val="0"/>
        </w:rPr>
      </w:pPr>
      <w:bookmarkStart w:id="174" w:name="_Ref355623649"/>
      <w:bookmarkStart w:id="175" w:name="_Ref355788959"/>
      <w:r w:rsidRPr="00B96C96">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3</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3</w:t>
      </w:r>
      <w:r w:rsidR="00A23C59">
        <w:rPr>
          <w:b/>
          <w:iCs/>
        </w:rPr>
        <w:fldChar w:fldCharType="end"/>
      </w:r>
      <w:bookmarkEnd w:id="174"/>
      <w:bookmarkEnd w:id="175"/>
      <w:r w:rsidRPr="00B96C96">
        <w:rPr>
          <w:b/>
          <w:iCs/>
        </w:rPr>
        <w:t>.</w:t>
      </w:r>
      <w:r w:rsidR="0088054A" w:rsidRPr="00B96C96">
        <w:t xml:space="preserve"> This figure shows a series of conductivity depth section for one flight line. The figure illustrates the improvements in mapping the hydrostratigraphy and faults by optimizing the inversion constraints. The final inversion product (bottom image) clearly shows the offset in conductive layers </w:t>
      </w:r>
      <w:r w:rsidR="00564741">
        <w:t>(clay aquitard) in the middle o</w:t>
      </w:r>
      <w:r w:rsidR="0088054A" w:rsidRPr="00B96C96">
        <w:t>f</w:t>
      </w:r>
      <w:r w:rsidR="00DF0CAB">
        <w:t xml:space="preserve"> </w:t>
      </w:r>
      <w:r w:rsidR="0088054A" w:rsidRPr="00B96C96">
        <w:t xml:space="preserve">the area circled. Previously, there was insufficient confidence in the layer boundary mapping to either identify or map these structures with any degree of confidence. </w:t>
      </w:r>
      <w:r w:rsidR="0020070D" w:rsidRPr="005706E3">
        <w:rPr>
          <w:bCs w:val="0"/>
          <w:i w:val="0"/>
        </w:rPr>
        <w:fldChar w:fldCharType="begin"/>
      </w:r>
      <w:r w:rsidR="0020070D" w:rsidRPr="005706E3">
        <w:rPr>
          <w:bCs w:val="0"/>
          <w:i w:val="0"/>
        </w:rPr>
        <w:instrText xml:space="preserve"> </w:instrText>
      </w:r>
      <w:r w:rsidR="0020070D" w:rsidRPr="00216027">
        <w:rPr>
          <w:bCs w:val="0"/>
          <w:i w:val="0"/>
        </w:rPr>
        <w:instrText>TC "</w:instrText>
      </w:r>
      <w:bookmarkStart w:id="176" w:name="_Toc390690209"/>
      <w:r w:rsidR="0020070D">
        <w:rPr>
          <w:bCs w:val="0"/>
          <w:i w:val="0"/>
        </w:rPr>
        <w:instrText>Figure 3-3.</w:instrText>
      </w:r>
      <w:r w:rsidR="0020070D" w:rsidRPr="00216027">
        <w:rPr>
          <w:bCs w:val="0"/>
          <w:i w:val="0"/>
        </w:rPr>
        <w:instrText xml:space="preserve"> </w:instrText>
      </w:r>
      <w:r w:rsidR="0020070D">
        <w:rPr>
          <w:bCs w:val="0"/>
          <w:i w:val="0"/>
        </w:rPr>
        <w:instrText>AEM inversion comparison</w:instrText>
      </w:r>
      <w:bookmarkEnd w:id="176"/>
      <w:r w:rsidR="0020070D" w:rsidRPr="00216027">
        <w:rPr>
          <w:bCs w:val="0"/>
          <w:i w:val="0"/>
        </w:rPr>
        <w:instrText>" \f A \l “4</w:instrText>
      </w:r>
      <w:r w:rsidR="0020070D" w:rsidRPr="005706E3">
        <w:rPr>
          <w:bCs w:val="0"/>
          <w:i w:val="0"/>
        </w:rPr>
        <w:instrText xml:space="preserve">” </w:instrText>
      </w:r>
      <w:r w:rsidR="0020070D" w:rsidRPr="005706E3">
        <w:rPr>
          <w:bCs w:val="0"/>
          <w:i w:val="0"/>
        </w:rPr>
        <w:fldChar w:fldCharType="end"/>
      </w:r>
    </w:p>
    <w:p w:rsidR="00AF0556" w:rsidRDefault="00AF0556" w:rsidP="00CF7613">
      <w:pPr>
        <w:pStyle w:val="BodyText1"/>
      </w:pPr>
    </w:p>
    <w:p w:rsidR="00AF0556" w:rsidRDefault="00AF0556" w:rsidP="00AF0556">
      <w:pPr>
        <w:pStyle w:val="BodyText1"/>
        <w:sectPr w:rsidR="00AF0556" w:rsidSect="001756F3">
          <w:pgSz w:w="11906" w:h="16838" w:code="9"/>
          <w:pgMar w:top="1134" w:right="1134" w:bottom="1134" w:left="1134" w:header="709" w:footer="709" w:gutter="0"/>
          <w:cols w:space="708"/>
          <w:docGrid w:linePitch="360"/>
        </w:sectPr>
      </w:pPr>
    </w:p>
    <w:p w:rsidR="0088054A" w:rsidRPr="0088054A" w:rsidRDefault="00706A3B" w:rsidP="00284471">
      <w:pPr>
        <w:spacing w:after="60"/>
        <w:jc w:val="center"/>
        <w:rPr>
          <w:i/>
          <w:sz w:val="20"/>
          <w:szCs w:val="20"/>
        </w:rPr>
      </w:pPr>
      <w:r>
        <w:rPr>
          <w:noProof/>
        </w:rPr>
        <w:lastRenderedPageBreak/>
        <w:drawing>
          <wp:inline distT="0" distB="0" distL="0" distR="0" wp14:anchorId="373E2FA4" wp14:editId="67B672A1">
            <wp:extent cx="8920480" cy="4274185"/>
            <wp:effectExtent l="19050" t="19050" r="13970"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t="48035" b="18182"/>
                    <a:stretch>
                      <a:fillRect/>
                    </a:stretch>
                  </pic:blipFill>
                  <pic:spPr bwMode="auto">
                    <a:xfrm>
                      <a:off x="0" y="0"/>
                      <a:ext cx="8920480" cy="4274185"/>
                    </a:xfrm>
                    <a:prstGeom prst="rect">
                      <a:avLst/>
                    </a:prstGeom>
                    <a:noFill/>
                    <a:ln w="9525" cmpd="sng">
                      <a:solidFill>
                        <a:srgbClr val="000000"/>
                      </a:solidFill>
                      <a:miter lim="800000"/>
                      <a:headEnd/>
                      <a:tailEnd/>
                    </a:ln>
                    <a:effectLst/>
                  </pic:spPr>
                </pic:pic>
              </a:graphicData>
            </a:graphic>
          </wp:inline>
        </w:drawing>
      </w:r>
    </w:p>
    <w:p w:rsidR="00AF0556" w:rsidRPr="00123AF5" w:rsidRDefault="00B96C96" w:rsidP="00CF7613">
      <w:pPr>
        <w:pStyle w:val="BodyText1"/>
        <w:rPr>
          <w:sz w:val="20"/>
          <w:szCs w:val="20"/>
        </w:rPr>
      </w:pPr>
      <w:bookmarkStart w:id="177" w:name="_Ref355623662"/>
      <w:bookmarkStart w:id="178" w:name="_Ref355789027"/>
      <w:r w:rsidRPr="00CF7613">
        <w:rPr>
          <w:rStyle w:val="CaptionChar2"/>
          <w:b/>
          <w:szCs w:val="20"/>
        </w:rPr>
        <w:t xml:space="preserve">Figure </w:t>
      </w:r>
      <w:r w:rsidR="00A23C59" w:rsidRPr="00CF7613">
        <w:rPr>
          <w:rStyle w:val="CaptionChar2"/>
          <w:b/>
          <w:szCs w:val="20"/>
        </w:rPr>
        <w:fldChar w:fldCharType="begin"/>
      </w:r>
      <w:r w:rsidR="00A23C59" w:rsidRPr="00CF7613">
        <w:rPr>
          <w:rStyle w:val="CaptionChar2"/>
          <w:b/>
          <w:szCs w:val="20"/>
        </w:rPr>
        <w:instrText xml:space="preserve"> STYLEREF 1 \s </w:instrText>
      </w:r>
      <w:r w:rsidR="00A23C59" w:rsidRPr="00CF7613">
        <w:rPr>
          <w:rStyle w:val="CaptionChar2"/>
          <w:b/>
          <w:szCs w:val="20"/>
        </w:rPr>
        <w:fldChar w:fldCharType="separate"/>
      </w:r>
      <w:r w:rsidR="00966532">
        <w:rPr>
          <w:rStyle w:val="CaptionChar2"/>
          <w:b/>
          <w:noProof/>
          <w:szCs w:val="20"/>
        </w:rPr>
        <w:t>3</w:t>
      </w:r>
      <w:r w:rsidR="00A23C59" w:rsidRPr="00CF7613">
        <w:rPr>
          <w:rStyle w:val="CaptionChar2"/>
          <w:b/>
          <w:szCs w:val="20"/>
        </w:rPr>
        <w:fldChar w:fldCharType="end"/>
      </w:r>
      <w:r w:rsidR="00A23C59" w:rsidRPr="00CF7613">
        <w:rPr>
          <w:rStyle w:val="CaptionChar2"/>
          <w:b/>
          <w:szCs w:val="20"/>
        </w:rPr>
        <w:noBreakHyphen/>
      </w:r>
      <w:r w:rsidR="00A23C59" w:rsidRPr="00CF7613">
        <w:rPr>
          <w:rStyle w:val="CaptionChar2"/>
          <w:b/>
          <w:szCs w:val="20"/>
        </w:rPr>
        <w:fldChar w:fldCharType="begin"/>
      </w:r>
      <w:r w:rsidR="00A23C59" w:rsidRPr="00CF7613">
        <w:rPr>
          <w:rStyle w:val="CaptionChar2"/>
          <w:b/>
          <w:szCs w:val="20"/>
        </w:rPr>
        <w:instrText xml:space="preserve"> SEQ Figure \* ARABIC \s 1 </w:instrText>
      </w:r>
      <w:r w:rsidR="00A23C59" w:rsidRPr="00CF7613">
        <w:rPr>
          <w:rStyle w:val="CaptionChar2"/>
          <w:b/>
          <w:szCs w:val="20"/>
        </w:rPr>
        <w:fldChar w:fldCharType="separate"/>
      </w:r>
      <w:r w:rsidR="00966532">
        <w:rPr>
          <w:rStyle w:val="CaptionChar2"/>
          <w:b/>
          <w:noProof/>
          <w:szCs w:val="20"/>
        </w:rPr>
        <w:t>4</w:t>
      </w:r>
      <w:r w:rsidR="00A23C59" w:rsidRPr="00CF7613">
        <w:rPr>
          <w:rStyle w:val="CaptionChar2"/>
          <w:b/>
          <w:szCs w:val="20"/>
        </w:rPr>
        <w:fldChar w:fldCharType="end"/>
      </w:r>
      <w:bookmarkEnd w:id="177"/>
      <w:bookmarkEnd w:id="178"/>
      <w:r w:rsidR="0088054A" w:rsidRPr="00CF7613">
        <w:rPr>
          <w:rStyle w:val="CaptionChar2"/>
          <w:b/>
          <w:szCs w:val="20"/>
        </w:rPr>
        <w:t>.</w:t>
      </w:r>
      <w:r w:rsidR="0088054A" w:rsidRPr="00CF7613">
        <w:rPr>
          <w:rStyle w:val="CaptionChar2"/>
          <w:szCs w:val="20"/>
        </w:rPr>
        <w:t xml:space="preserve"> This figure shows two conductivity depth sections produced using the new Wave Number Domain Approximate (WANDA) Inversion procedure with a 1D multi-layer model and constraints in 3D. The top image was produced using standard ‘tight’ regularisation constraints, </w:t>
      </w:r>
      <w:r w:rsidR="00DF0CAB" w:rsidRPr="00CF7613">
        <w:rPr>
          <w:rStyle w:val="CaptionChar2"/>
          <w:szCs w:val="20"/>
        </w:rPr>
        <w:t>while</w:t>
      </w:r>
      <w:r w:rsidR="0088054A" w:rsidRPr="00CF7613">
        <w:rPr>
          <w:rStyle w:val="CaptionChar2"/>
          <w:szCs w:val="20"/>
        </w:rPr>
        <w:t xml:space="preserve"> the bottom section was produced using ‘loose’ regularisation settings. Comparison of borehole induction logs with adjacent AEM fiduciary points confirms high confidence levels in the final inversion (bottom section).</w:t>
      </w:r>
      <w:r w:rsidR="00D106D8" w:rsidRPr="00CF7613">
        <w:rPr>
          <w:rStyle w:val="CaptionChar2"/>
          <w:szCs w:val="20"/>
        </w:rPr>
        <w:t xml:space="preserve"> The bottom image shows the location of a fault offsetting the Blanchetown Clay aquitard (pink dots). Inter-aquifer leakage is facilitated between the overlying unconfined aquifer and the Calivil Formation aquifer (yellow star) at this location.</w:t>
      </w:r>
      <w:r w:rsidR="0020070D" w:rsidRPr="00CF7613">
        <w:rPr>
          <w:i/>
          <w:szCs w:val="20"/>
        </w:rPr>
        <w:t xml:space="preserve"> </w:t>
      </w:r>
      <w:r w:rsidR="0020070D" w:rsidRPr="00123AF5">
        <w:rPr>
          <w:bCs/>
          <w:szCs w:val="20"/>
        </w:rPr>
        <w:fldChar w:fldCharType="begin"/>
      </w:r>
      <w:r w:rsidR="0020070D" w:rsidRPr="00123AF5">
        <w:rPr>
          <w:bCs/>
          <w:szCs w:val="20"/>
        </w:rPr>
        <w:instrText xml:space="preserve"> TC "</w:instrText>
      </w:r>
      <w:bookmarkStart w:id="179" w:name="_Toc390690210"/>
      <w:r w:rsidR="0020070D" w:rsidRPr="00123AF5">
        <w:rPr>
          <w:bCs/>
          <w:szCs w:val="20"/>
        </w:rPr>
        <w:instrText>Figure 3-4. Comparison between tight and loose WANDA inversions</w:instrText>
      </w:r>
      <w:bookmarkEnd w:id="179"/>
      <w:r w:rsidR="0020070D" w:rsidRPr="00123AF5">
        <w:rPr>
          <w:bCs/>
          <w:szCs w:val="20"/>
        </w:rPr>
        <w:instrText xml:space="preserve">" \f A \l “4” </w:instrText>
      </w:r>
      <w:r w:rsidR="0020070D" w:rsidRPr="00123AF5">
        <w:rPr>
          <w:szCs w:val="20"/>
        </w:rPr>
        <w:fldChar w:fldCharType="end"/>
      </w:r>
    </w:p>
    <w:p w:rsidR="0025758B" w:rsidRPr="00093F28" w:rsidRDefault="00706A3B" w:rsidP="00284471">
      <w:pPr>
        <w:autoSpaceDE w:val="0"/>
        <w:autoSpaceDN w:val="0"/>
        <w:adjustRightInd w:val="0"/>
        <w:spacing w:after="60"/>
        <w:rPr>
          <w:iCs/>
          <w:color w:val="000000"/>
          <w:szCs w:val="22"/>
        </w:rPr>
      </w:pPr>
      <w:r>
        <w:rPr>
          <w:iCs/>
          <w:noProof/>
          <w:color w:val="000000"/>
          <w:szCs w:val="22"/>
        </w:rPr>
        <w:lastRenderedPageBreak/>
        <w:drawing>
          <wp:inline distT="0" distB="0" distL="0" distR="0" wp14:anchorId="5D587256" wp14:editId="25274401">
            <wp:extent cx="9260840" cy="19138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60840" cy="1913890"/>
                    </a:xfrm>
                    <a:prstGeom prst="rect">
                      <a:avLst/>
                    </a:prstGeom>
                    <a:noFill/>
                    <a:ln>
                      <a:noFill/>
                    </a:ln>
                  </pic:spPr>
                </pic:pic>
              </a:graphicData>
            </a:graphic>
          </wp:inline>
        </w:drawing>
      </w:r>
    </w:p>
    <w:p w:rsidR="0025758B" w:rsidRPr="00B96C96" w:rsidRDefault="00B96C96" w:rsidP="00B96C96">
      <w:pPr>
        <w:pStyle w:val="Caption"/>
      </w:pPr>
      <w:bookmarkStart w:id="180" w:name="_Ref355623727"/>
      <w:r w:rsidRPr="00B96C96">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3</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5</w:t>
      </w:r>
      <w:r w:rsidR="00A23C59">
        <w:rPr>
          <w:b/>
          <w:iCs/>
        </w:rPr>
        <w:fldChar w:fldCharType="end"/>
      </w:r>
      <w:bookmarkEnd w:id="180"/>
      <w:r w:rsidRPr="00B96C96">
        <w:rPr>
          <w:b/>
          <w:iCs/>
        </w:rPr>
        <w:t>.</w:t>
      </w:r>
      <w:r w:rsidR="00465915">
        <w:t xml:space="preserve"> </w:t>
      </w:r>
      <w:r w:rsidR="0025758B" w:rsidRPr="00B96C96">
        <w:t xml:space="preserve">Conductivity depth section produced using the new lateral parameter correlation procedures. The strong conductive layer in the middle of the figure is the Blanchetown Clay. It is flat-lying, and is not influenced by the overlying dune (topographic high) in the middle of the </w:t>
      </w:r>
      <w:r w:rsidR="00DF0CAB" w:rsidRPr="00B96C96">
        <w:t xml:space="preserve">line. </w:t>
      </w:r>
      <w:r w:rsidR="0020070D" w:rsidRPr="005706E3">
        <w:rPr>
          <w:bCs w:val="0"/>
          <w:i w:val="0"/>
        </w:rPr>
        <w:fldChar w:fldCharType="begin"/>
      </w:r>
      <w:r w:rsidR="0020070D" w:rsidRPr="005706E3">
        <w:rPr>
          <w:bCs w:val="0"/>
          <w:i w:val="0"/>
        </w:rPr>
        <w:instrText xml:space="preserve"> </w:instrText>
      </w:r>
      <w:r w:rsidR="0020070D" w:rsidRPr="00216027">
        <w:rPr>
          <w:bCs w:val="0"/>
          <w:i w:val="0"/>
        </w:rPr>
        <w:instrText>TC "</w:instrText>
      </w:r>
      <w:bookmarkStart w:id="181" w:name="_Toc390690211"/>
      <w:r w:rsidR="0020070D">
        <w:rPr>
          <w:bCs w:val="0"/>
          <w:i w:val="0"/>
        </w:rPr>
        <w:instrText>Figure 3-5.</w:instrText>
      </w:r>
      <w:r w:rsidR="0020070D" w:rsidRPr="00216027">
        <w:rPr>
          <w:bCs w:val="0"/>
          <w:i w:val="0"/>
        </w:rPr>
        <w:instrText xml:space="preserve"> </w:instrText>
      </w:r>
      <w:r w:rsidR="0020070D">
        <w:rPr>
          <w:bCs w:val="0"/>
          <w:i w:val="0"/>
        </w:rPr>
        <w:instrText xml:space="preserve">Conductivity depth slice generated </w:instrText>
      </w:r>
      <w:r w:rsidR="008F12F7">
        <w:rPr>
          <w:bCs w:val="0"/>
          <w:i w:val="0"/>
        </w:rPr>
        <w:instrText>us</w:instrText>
      </w:r>
      <w:r w:rsidR="0020070D">
        <w:rPr>
          <w:bCs w:val="0"/>
          <w:i w:val="0"/>
        </w:rPr>
        <w:instrText>ing the lateral parameter correlation method</w:instrText>
      </w:r>
      <w:bookmarkEnd w:id="181"/>
      <w:r w:rsidR="0020070D" w:rsidRPr="00216027">
        <w:rPr>
          <w:bCs w:val="0"/>
          <w:i w:val="0"/>
        </w:rPr>
        <w:instrText>" \f A \l “4</w:instrText>
      </w:r>
      <w:r w:rsidR="0020070D" w:rsidRPr="005706E3">
        <w:rPr>
          <w:bCs w:val="0"/>
          <w:i w:val="0"/>
        </w:rPr>
        <w:instrText xml:space="preserve">” </w:instrText>
      </w:r>
      <w:r w:rsidR="0020070D" w:rsidRPr="005706E3">
        <w:rPr>
          <w:bCs w:val="0"/>
          <w:i w:val="0"/>
        </w:rPr>
        <w:fldChar w:fldCharType="end"/>
      </w:r>
    </w:p>
    <w:p w:rsidR="0025758B" w:rsidRDefault="0025758B" w:rsidP="0025758B">
      <w:pPr>
        <w:autoSpaceDE w:val="0"/>
        <w:autoSpaceDN w:val="0"/>
        <w:adjustRightInd w:val="0"/>
        <w:rPr>
          <w:iCs/>
          <w:color w:val="000000"/>
          <w:szCs w:val="22"/>
        </w:rPr>
      </w:pPr>
    </w:p>
    <w:p w:rsidR="00D106D8" w:rsidRDefault="00706A3B" w:rsidP="00284471">
      <w:pPr>
        <w:spacing w:after="60"/>
        <w:jc w:val="center"/>
        <w:rPr>
          <w:iCs/>
          <w:color w:val="000000"/>
          <w:szCs w:val="22"/>
        </w:rPr>
      </w:pPr>
      <w:r>
        <w:rPr>
          <w:iCs/>
          <w:noProof/>
          <w:color w:val="000000"/>
          <w:szCs w:val="22"/>
        </w:rPr>
        <w:drawing>
          <wp:inline distT="0" distB="0" distL="0" distR="0" wp14:anchorId="6E68B061" wp14:editId="41436729">
            <wp:extent cx="8228015" cy="32385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5">
                      <a:extLst>
                        <a:ext uri="{28A0092B-C50C-407E-A947-70E740481C1C}">
                          <a14:useLocalDpi xmlns:a14="http://schemas.microsoft.com/office/drawing/2010/main" val="0"/>
                        </a:ext>
                      </a:extLst>
                    </a:blip>
                    <a:srcRect t="1" b="1734"/>
                    <a:stretch/>
                  </pic:blipFill>
                  <pic:spPr bwMode="auto">
                    <a:xfrm>
                      <a:off x="0" y="0"/>
                      <a:ext cx="8229600" cy="3239124"/>
                    </a:xfrm>
                    <a:prstGeom prst="rect">
                      <a:avLst/>
                    </a:prstGeom>
                    <a:noFill/>
                    <a:ln>
                      <a:noFill/>
                    </a:ln>
                    <a:extLst>
                      <a:ext uri="{53640926-AAD7-44D8-BBD7-CCE9431645EC}">
                        <a14:shadowObscured xmlns:a14="http://schemas.microsoft.com/office/drawing/2010/main"/>
                      </a:ext>
                    </a:extLst>
                  </pic:spPr>
                </pic:pic>
              </a:graphicData>
            </a:graphic>
          </wp:inline>
        </w:drawing>
      </w:r>
    </w:p>
    <w:p w:rsidR="0025758B" w:rsidRPr="00B96C96" w:rsidRDefault="00B96C96" w:rsidP="00B96C96">
      <w:pPr>
        <w:pStyle w:val="Caption"/>
        <w:rPr>
          <w:szCs w:val="20"/>
        </w:rPr>
      </w:pPr>
      <w:bookmarkStart w:id="182" w:name="_Ref355623735"/>
      <w:bookmarkStart w:id="183" w:name="_Ref355789143"/>
      <w:r w:rsidRPr="00B96C96">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3</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6</w:t>
      </w:r>
      <w:r w:rsidR="00A23C59">
        <w:rPr>
          <w:b/>
          <w:iCs/>
        </w:rPr>
        <w:fldChar w:fldCharType="end"/>
      </w:r>
      <w:bookmarkEnd w:id="182"/>
      <w:bookmarkEnd w:id="183"/>
      <w:r w:rsidRPr="00B96C96">
        <w:rPr>
          <w:b/>
          <w:iCs/>
        </w:rPr>
        <w:t>.</w:t>
      </w:r>
      <w:r w:rsidR="00465915">
        <w:t xml:space="preserve"> </w:t>
      </w:r>
      <w:r w:rsidR="0025758B" w:rsidRPr="00B96C96">
        <w:t xml:space="preserve">Conductivity depth section showing the Blanchetown Clay layer (dotted line) offset by a number of faults (solid black lines). </w:t>
      </w:r>
      <w:r w:rsidR="0020070D" w:rsidRPr="005706E3">
        <w:rPr>
          <w:bCs w:val="0"/>
          <w:i w:val="0"/>
        </w:rPr>
        <w:fldChar w:fldCharType="begin"/>
      </w:r>
      <w:r w:rsidR="0020070D" w:rsidRPr="005706E3">
        <w:rPr>
          <w:bCs w:val="0"/>
          <w:i w:val="0"/>
        </w:rPr>
        <w:instrText xml:space="preserve"> </w:instrText>
      </w:r>
      <w:r w:rsidR="0020070D" w:rsidRPr="00216027">
        <w:rPr>
          <w:bCs w:val="0"/>
          <w:i w:val="0"/>
        </w:rPr>
        <w:instrText>TC "</w:instrText>
      </w:r>
      <w:bookmarkStart w:id="184" w:name="_Toc390690212"/>
      <w:r w:rsidR="0020070D">
        <w:rPr>
          <w:bCs w:val="0"/>
          <w:i w:val="0"/>
        </w:rPr>
        <w:instrText>Figure 3-6.</w:instrText>
      </w:r>
      <w:r w:rsidR="0020070D" w:rsidRPr="00216027">
        <w:rPr>
          <w:bCs w:val="0"/>
          <w:i w:val="0"/>
        </w:rPr>
        <w:instrText xml:space="preserve"> </w:instrText>
      </w:r>
      <w:r w:rsidR="0020070D">
        <w:rPr>
          <w:bCs w:val="0"/>
          <w:i w:val="0"/>
        </w:rPr>
        <w:instrText>AEM conductivity depth slice of Blanchetown Clay with fault offset</w:instrText>
      </w:r>
      <w:bookmarkEnd w:id="184"/>
      <w:r w:rsidR="0020070D" w:rsidRPr="00216027">
        <w:rPr>
          <w:bCs w:val="0"/>
          <w:i w:val="0"/>
        </w:rPr>
        <w:instrText>" \f A \l “4</w:instrText>
      </w:r>
      <w:r w:rsidR="0020070D" w:rsidRPr="005706E3">
        <w:rPr>
          <w:bCs w:val="0"/>
          <w:i w:val="0"/>
        </w:rPr>
        <w:instrText xml:space="preserve">” </w:instrText>
      </w:r>
      <w:r w:rsidR="0020070D" w:rsidRPr="005706E3">
        <w:rPr>
          <w:bCs w:val="0"/>
          <w:i w:val="0"/>
        </w:rPr>
        <w:fldChar w:fldCharType="end"/>
      </w:r>
    </w:p>
    <w:p w:rsidR="0025758B" w:rsidRDefault="0025758B" w:rsidP="0088054A">
      <w:pPr>
        <w:rPr>
          <w:i/>
          <w:sz w:val="20"/>
          <w:szCs w:val="20"/>
        </w:rPr>
        <w:sectPr w:rsidR="0025758B" w:rsidSect="0025758B">
          <w:pgSz w:w="16838" w:h="11906" w:orient="landscape" w:code="9"/>
          <w:pgMar w:top="1134" w:right="1134" w:bottom="1134" w:left="1134" w:header="709" w:footer="709" w:gutter="0"/>
          <w:cols w:space="708"/>
          <w:docGrid w:linePitch="360"/>
        </w:sectPr>
      </w:pPr>
    </w:p>
    <w:p w:rsidR="0025758B" w:rsidRPr="0088054A" w:rsidRDefault="0025758B" w:rsidP="0088054A">
      <w:pPr>
        <w:rPr>
          <w:i/>
          <w:sz w:val="20"/>
          <w:szCs w:val="20"/>
        </w:rPr>
      </w:pPr>
    </w:p>
    <w:p w:rsidR="0088054A" w:rsidRDefault="0088054A" w:rsidP="0025758B">
      <w:pPr>
        <w:pStyle w:val="PlainText"/>
        <w:spacing w:before="120"/>
        <w:rPr>
          <w:rFonts w:ascii="Times New Roman" w:hAnsi="Times New Roman" w:cs="Times New Roman"/>
          <w:sz w:val="22"/>
          <w:szCs w:val="22"/>
        </w:rPr>
      </w:pPr>
    </w:p>
    <w:p w:rsidR="00F524E0" w:rsidRPr="004A48E6" w:rsidRDefault="00706A3B" w:rsidP="00284471">
      <w:pPr>
        <w:pStyle w:val="PlainText"/>
        <w:spacing w:before="120" w:after="60"/>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51D9555A" wp14:editId="19AC4626">
            <wp:extent cx="6007100" cy="5347970"/>
            <wp:effectExtent l="19050" t="1905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07100" cy="5347970"/>
                    </a:xfrm>
                    <a:prstGeom prst="rect">
                      <a:avLst/>
                    </a:prstGeom>
                    <a:noFill/>
                    <a:ln w="6350" cmpd="sng">
                      <a:solidFill>
                        <a:srgbClr val="000000"/>
                      </a:solidFill>
                      <a:miter lim="800000"/>
                      <a:headEnd/>
                      <a:tailEnd/>
                    </a:ln>
                    <a:effectLst/>
                  </pic:spPr>
                </pic:pic>
              </a:graphicData>
            </a:graphic>
          </wp:inline>
        </w:drawing>
      </w:r>
    </w:p>
    <w:p w:rsidR="00F524E0" w:rsidRPr="00216027" w:rsidRDefault="001741E7" w:rsidP="009F303B">
      <w:pPr>
        <w:pStyle w:val="Caption"/>
        <w:rPr>
          <w:i w:val="0"/>
          <w:noProof/>
          <w:sz w:val="22"/>
          <w:szCs w:val="24"/>
          <w:lang w:val="en-US"/>
        </w:rPr>
      </w:pPr>
      <w:bookmarkStart w:id="185" w:name="_Ref325912054"/>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3</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7</w:t>
      </w:r>
      <w:r w:rsidR="00A23C59">
        <w:rPr>
          <w:b/>
        </w:rPr>
        <w:fldChar w:fldCharType="end"/>
      </w:r>
      <w:bookmarkEnd w:id="185"/>
      <w:r>
        <w:rPr>
          <w:b/>
        </w:rPr>
        <w:t>.</w:t>
      </w:r>
      <w:r>
        <w:rPr>
          <w:b/>
          <w:szCs w:val="22"/>
        </w:rPr>
        <w:t xml:space="preserve"> </w:t>
      </w:r>
      <w:r w:rsidR="009F303B" w:rsidRPr="009F303B">
        <w:t xml:space="preserve">Perspective view of </w:t>
      </w:r>
      <w:r w:rsidR="00514F56">
        <w:t xml:space="preserve">AEM-derived conductivity data for the </w:t>
      </w:r>
      <w:r w:rsidR="009F303B" w:rsidRPr="009F303B">
        <w:t xml:space="preserve">BHMAR Project </w:t>
      </w:r>
      <w:r w:rsidR="00514F56">
        <w:t xml:space="preserve">area. The figure comprises </w:t>
      </w:r>
      <w:r w:rsidR="00514F56" w:rsidRPr="00514F56">
        <w:t>a representative conductivity depth slice (43-51 m) and regional cross sections of the AEM data. Blue areas map low electrical conductivity in both the depth slice and cross sections. Coloured dots represent the different types of holes drilled as part of the BHMAR Project (green=sonic, cored; yellow=sonic,</w:t>
      </w:r>
      <w:r w:rsidR="00514F56">
        <w:t xml:space="preserve"> non-cored; purple=rotary mud)</w:t>
      </w:r>
      <w:r w:rsidR="00DF0CAB">
        <w:t>.</w:t>
      </w:r>
      <w:r w:rsidR="00465915">
        <w:t xml:space="preserve"> </w:t>
      </w:r>
      <w:r w:rsidR="009F303B" w:rsidRPr="00216027">
        <w:rPr>
          <w:i w:val="0"/>
        </w:rPr>
        <w:fldChar w:fldCharType="begin"/>
      </w:r>
      <w:r w:rsidR="009F303B" w:rsidRPr="00216027">
        <w:rPr>
          <w:i w:val="0"/>
        </w:rPr>
        <w:instrText xml:space="preserve"> TC "</w:instrText>
      </w:r>
      <w:bookmarkStart w:id="186" w:name="_Toc325975204"/>
      <w:bookmarkStart w:id="187" w:name="_Toc390690213"/>
      <w:r w:rsidR="00497AD3">
        <w:rPr>
          <w:i w:val="0"/>
        </w:rPr>
        <w:instrText xml:space="preserve">Figure </w:instrText>
      </w:r>
      <w:r w:rsidR="0020070D">
        <w:rPr>
          <w:i w:val="0"/>
        </w:rPr>
        <w:instrText>3-</w:instrText>
      </w:r>
      <w:r w:rsidR="00497AD3">
        <w:rPr>
          <w:i w:val="0"/>
        </w:rPr>
        <w:instrText>7.</w:instrText>
      </w:r>
      <w:r w:rsidR="009F303B" w:rsidRPr="00216027">
        <w:rPr>
          <w:i w:val="0"/>
        </w:rPr>
        <w:instrText xml:space="preserve"> Perspective view of BHMAR Project AEM 3D conductivity model</w:instrText>
      </w:r>
      <w:bookmarkEnd w:id="186"/>
      <w:r w:rsidR="005E4B77">
        <w:rPr>
          <w:i w:val="0"/>
        </w:rPr>
        <w:instrText>.</w:instrText>
      </w:r>
      <w:bookmarkEnd w:id="187"/>
      <w:r w:rsidR="009F303B" w:rsidRPr="00216027">
        <w:rPr>
          <w:i w:val="0"/>
        </w:rPr>
        <w:instrText xml:space="preserve">" \f A \l “4” </w:instrText>
      </w:r>
      <w:r w:rsidR="009F303B" w:rsidRPr="00216027">
        <w:rPr>
          <w:i w:val="0"/>
        </w:rPr>
        <w:fldChar w:fldCharType="end"/>
      </w:r>
    </w:p>
    <w:p w:rsidR="00241FD7" w:rsidRPr="00284471" w:rsidRDefault="00BF4E48" w:rsidP="00AD2035">
      <w:pPr>
        <w:pStyle w:val="Heading3"/>
        <w:tabs>
          <w:tab w:val="clear" w:pos="907"/>
          <w:tab w:val="left" w:pos="1080"/>
        </w:tabs>
        <w:spacing w:before="320"/>
        <w:ind w:left="1080" w:hanging="1080"/>
      </w:pPr>
      <w:bookmarkStart w:id="188" w:name="_Toc325700085"/>
      <w:bookmarkStart w:id="189" w:name="_Toc325700428"/>
      <w:bookmarkStart w:id="190" w:name="_Toc325975109"/>
      <w:bookmarkStart w:id="191" w:name="_Toc390690099"/>
      <w:r w:rsidRPr="00284471">
        <w:t>How R</w:t>
      </w:r>
      <w:r w:rsidR="00241FD7" w:rsidRPr="00284471">
        <w:t xml:space="preserve">eliable </w:t>
      </w:r>
      <w:r w:rsidR="009978C1" w:rsidRPr="00284471">
        <w:t xml:space="preserve">are the Final </w:t>
      </w:r>
      <w:r w:rsidR="00CE514E" w:rsidRPr="00284471">
        <w:t xml:space="preserve">AEM </w:t>
      </w:r>
      <w:r w:rsidR="009978C1" w:rsidRPr="00284471">
        <w:t>Inversions</w:t>
      </w:r>
      <w:r w:rsidR="00241FD7" w:rsidRPr="00284471">
        <w:t>?</w:t>
      </w:r>
      <w:bookmarkEnd w:id="188"/>
      <w:bookmarkEnd w:id="189"/>
      <w:bookmarkEnd w:id="190"/>
      <w:bookmarkEnd w:id="191"/>
    </w:p>
    <w:p w:rsidR="009978C1" w:rsidRDefault="009978C1" w:rsidP="00692402">
      <w:pPr>
        <w:tabs>
          <w:tab w:val="center" w:pos="4800"/>
          <w:tab w:val="right" w:pos="9500"/>
        </w:tabs>
        <w:rPr>
          <w:noProof/>
          <w:lang w:val="en-US"/>
        </w:rPr>
      </w:pPr>
      <w:r>
        <w:rPr>
          <w:noProof/>
          <w:lang w:val="en-US"/>
        </w:rPr>
        <w:t xml:space="preserve">The reliability of AEM inversions is commonly assessed by comparison with borehole conductivity data. </w:t>
      </w:r>
      <w:r w:rsidRPr="00DA098E">
        <w:rPr>
          <w:noProof/>
          <w:lang w:val="en-US"/>
        </w:rPr>
        <w:t xml:space="preserve">Traditionally </w:t>
      </w:r>
      <w:r w:rsidR="00241FD7" w:rsidRPr="00DA098E">
        <w:rPr>
          <w:noProof/>
          <w:lang w:val="en-US"/>
        </w:rPr>
        <w:t>the misfit between borehole conductivity logs and AEM inversion models has been ex</w:t>
      </w:r>
      <w:r w:rsidR="00241FD7">
        <w:rPr>
          <w:noProof/>
          <w:lang w:val="en-US"/>
        </w:rPr>
        <w:t xml:space="preserve">pressed through the so-called </w:t>
      </w:r>
      <w:r w:rsidR="00680C55">
        <w:rPr>
          <w:noProof/>
          <w:lang w:val="en-US"/>
        </w:rPr>
        <w:t>fiduciary (</w:t>
      </w:r>
      <w:r w:rsidR="00241FD7">
        <w:rPr>
          <w:noProof/>
          <w:lang w:val="en-US"/>
        </w:rPr>
        <w:t>‘FID</w:t>
      </w:r>
      <w:r w:rsidR="00680C55">
        <w:rPr>
          <w:noProof/>
        </w:rPr>
        <w:t>’</w:t>
      </w:r>
      <w:r w:rsidR="00680C55">
        <w:rPr>
          <w:noProof/>
          <w:lang w:val="en-US"/>
        </w:rPr>
        <w:t xml:space="preserve">) </w:t>
      </w:r>
      <w:r w:rsidR="00241FD7">
        <w:rPr>
          <w:noProof/>
          <w:lang w:val="en-US"/>
        </w:rPr>
        <w:t xml:space="preserve">point comparison. </w:t>
      </w:r>
      <w:r w:rsidR="00241FD7" w:rsidRPr="00DA098E">
        <w:rPr>
          <w:noProof/>
          <w:lang w:val="en-US"/>
        </w:rPr>
        <w:t>In this approach, borehole conductivity log</w:t>
      </w:r>
      <w:r w:rsidR="00241FD7">
        <w:rPr>
          <w:noProof/>
          <w:lang w:val="en-US"/>
        </w:rPr>
        <w:t>s</w:t>
      </w:r>
      <w:r w:rsidR="00241FD7" w:rsidRPr="00DA098E">
        <w:rPr>
          <w:noProof/>
          <w:lang w:val="en-US"/>
        </w:rPr>
        <w:t xml:space="preserve"> </w:t>
      </w:r>
      <w:r w:rsidR="00241FD7">
        <w:rPr>
          <w:noProof/>
          <w:lang w:val="en-US"/>
        </w:rPr>
        <w:t>are</w:t>
      </w:r>
      <w:r w:rsidR="00241FD7" w:rsidRPr="00DA098E">
        <w:rPr>
          <w:noProof/>
          <w:lang w:val="en-US"/>
        </w:rPr>
        <w:t xml:space="preserve"> compared with model conductivities obtained from inversion of AEM data from the location closest to the borehole</w:t>
      </w:r>
      <w:r w:rsidR="00241FD7">
        <w:rPr>
          <w:noProof/>
          <w:lang w:val="en-US"/>
        </w:rPr>
        <w:t xml:space="preserve">. </w:t>
      </w:r>
    </w:p>
    <w:p w:rsidR="009978C1" w:rsidRDefault="009978C1" w:rsidP="00692402">
      <w:pPr>
        <w:tabs>
          <w:tab w:val="center" w:pos="4800"/>
          <w:tab w:val="right" w:pos="9500"/>
        </w:tabs>
        <w:rPr>
          <w:noProof/>
          <w:lang w:val="en-US"/>
        </w:rPr>
      </w:pPr>
    </w:p>
    <w:p w:rsidR="00241FD7" w:rsidRDefault="00241FD7" w:rsidP="00692402">
      <w:pPr>
        <w:tabs>
          <w:tab w:val="center" w:pos="4800"/>
          <w:tab w:val="right" w:pos="9500"/>
        </w:tabs>
        <w:rPr>
          <w:noProof/>
          <w:lang w:val="en-US"/>
        </w:rPr>
      </w:pPr>
      <w:r w:rsidRPr="00DA098E">
        <w:rPr>
          <w:noProof/>
          <w:lang w:val="en-US"/>
        </w:rPr>
        <w:t xml:space="preserve">The basic problem with the comparison is the huge scale difference between the volume occupied by the sensitivity of the log tool and the corresponding volume for the sensitivity function of an airborne TEM measurement. </w:t>
      </w:r>
      <w:r w:rsidR="009978C1">
        <w:t>At early delay times for the AEM data, the ratio between the log volume and the AEM volume is of the order of 1:10,000 while for late times, the ratio is of the order of 1:10,000,000. In a comparison between geophysical methods with such a huge scale difference, there will potentially be many cases of apparent, but false, inconsistency between the borehole conduct</w:t>
      </w:r>
      <w:r w:rsidR="00D11AD4">
        <w:t>ivity and the AEM conductivity.</w:t>
      </w:r>
    </w:p>
    <w:p w:rsidR="00241FD7" w:rsidRDefault="00241FD7" w:rsidP="00692402">
      <w:pPr>
        <w:tabs>
          <w:tab w:val="center" w:pos="4800"/>
          <w:tab w:val="right" w:pos="9500"/>
        </w:tabs>
        <w:rPr>
          <w:noProof/>
          <w:lang w:val="en-US"/>
        </w:rPr>
      </w:pPr>
    </w:p>
    <w:p w:rsidR="00B658A4" w:rsidRPr="00106292" w:rsidRDefault="00D11AD4" w:rsidP="00692402">
      <w:pPr>
        <w:tabs>
          <w:tab w:val="center" w:pos="4800"/>
          <w:tab w:val="right" w:pos="9500"/>
        </w:tabs>
        <w:rPr>
          <w:noProof/>
          <w:lang w:val="en-US"/>
        </w:rPr>
      </w:pPr>
      <w:r>
        <w:rPr>
          <w:noProof/>
          <w:lang w:val="en-US"/>
        </w:rPr>
        <w:lastRenderedPageBreak/>
        <w:t xml:space="preserve">One problem with the traditional approach is that downhole conductivity logging tools actually provide an apparent-conductivity value rather than a conductivity value. This means that two quantities which are not strictly equivalent are being compared. </w:t>
      </w:r>
      <w:r w:rsidR="00241FD7" w:rsidRPr="00DA098E">
        <w:rPr>
          <w:noProof/>
          <w:lang w:val="en-US"/>
        </w:rPr>
        <w:t xml:space="preserve">A more consistent approach to the comparison </w:t>
      </w:r>
      <w:r w:rsidR="00241FD7">
        <w:rPr>
          <w:noProof/>
          <w:lang w:val="en-US"/>
        </w:rPr>
        <w:t xml:space="preserve">has been taken in this project </w:t>
      </w:r>
      <w:r w:rsidR="00241FD7" w:rsidRPr="00DA098E">
        <w:rPr>
          <w:noProof/>
          <w:lang w:val="en-US"/>
        </w:rPr>
        <w:t>to avoid comparing numbers from m</w:t>
      </w:r>
      <w:r w:rsidR="00241FD7">
        <w:rPr>
          <w:noProof/>
          <w:lang w:val="en-US"/>
        </w:rPr>
        <w:t xml:space="preserve">odel space and data space. </w:t>
      </w:r>
      <w:r w:rsidR="009978C1">
        <w:rPr>
          <w:noProof/>
          <w:lang w:val="en-US"/>
        </w:rPr>
        <w:t>C</w:t>
      </w:r>
      <w:r w:rsidR="00241FD7" w:rsidRPr="00DA098E">
        <w:rPr>
          <w:noProof/>
          <w:lang w:val="en-US"/>
        </w:rPr>
        <w:t>omparison</w:t>
      </w:r>
      <w:r w:rsidR="00241FD7">
        <w:rPr>
          <w:noProof/>
          <w:lang w:val="en-US"/>
        </w:rPr>
        <w:t>s have been made</w:t>
      </w:r>
      <w:r w:rsidR="00241FD7" w:rsidRPr="00DA098E">
        <w:rPr>
          <w:noProof/>
          <w:lang w:val="en-US"/>
        </w:rPr>
        <w:t xml:space="preserve"> in the model space for both methods (ModMod) </w:t>
      </w:r>
      <w:r w:rsidR="009978C1">
        <w:rPr>
          <w:noProof/>
          <w:lang w:val="en-US"/>
        </w:rPr>
        <w:t xml:space="preserve">and </w:t>
      </w:r>
      <w:r w:rsidR="00241FD7" w:rsidRPr="00DA098E">
        <w:rPr>
          <w:noProof/>
          <w:lang w:val="en-US"/>
        </w:rPr>
        <w:t>in the data space (DatDat</w:t>
      </w:r>
      <w:r w:rsidR="00241FD7" w:rsidRPr="00795774">
        <w:rPr>
          <w:noProof/>
          <w:lang w:val="en-US"/>
        </w:rPr>
        <w:t>)</w:t>
      </w:r>
      <w:r w:rsidR="00D01AC3" w:rsidRPr="00795774">
        <w:rPr>
          <w:noProof/>
          <w:lang w:val="en-US"/>
        </w:rPr>
        <w:t xml:space="preserve"> </w:t>
      </w:r>
      <w:r w:rsidR="00D01AC3" w:rsidRPr="00795774">
        <w:t>(</w:t>
      </w:r>
      <w:r w:rsidR="001741E7" w:rsidRPr="00795774">
        <w:fldChar w:fldCharType="begin"/>
      </w:r>
      <w:r w:rsidR="001741E7" w:rsidRPr="00795774">
        <w:instrText xml:space="preserve"> REF _Ref325707137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3</w:t>
      </w:r>
      <w:r w:rsidR="00966532" w:rsidRPr="00966532">
        <w:rPr>
          <w:noProof/>
        </w:rPr>
        <w:noBreakHyphen/>
        <w:t>8</w:t>
      </w:r>
      <w:r w:rsidR="001741E7" w:rsidRPr="00795774">
        <w:fldChar w:fldCharType="end"/>
      </w:r>
      <w:r w:rsidR="00D01AC3" w:rsidRPr="00795774">
        <w:t>)</w:t>
      </w:r>
      <w:r w:rsidR="00241FD7" w:rsidRPr="00795774">
        <w:t>.</w:t>
      </w:r>
      <w:r w:rsidR="00241FD7" w:rsidRPr="00795774">
        <w:rPr>
          <w:noProof/>
          <w:lang w:val="en-US"/>
        </w:rPr>
        <w:t xml:space="preserve"> </w:t>
      </w:r>
      <w:r w:rsidR="009978C1" w:rsidRPr="00795774">
        <w:rPr>
          <w:noProof/>
          <w:lang w:val="en-US"/>
        </w:rPr>
        <w:t>The borehole</w:t>
      </w:r>
      <w:r w:rsidR="009978C1">
        <w:rPr>
          <w:noProof/>
          <w:lang w:val="en-US"/>
        </w:rPr>
        <w:t xml:space="preserve"> data were compared against 101-layer </w:t>
      </w:r>
      <w:r w:rsidR="009978C1" w:rsidRPr="00106292">
        <w:rPr>
          <w:noProof/>
          <w:lang w:val="en-US"/>
        </w:rPr>
        <w:t xml:space="preserve">and 30-layer inversions. </w:t>
      </w:r>
      <w:r w:rsidR="00241FD7" w:rsidRPr="00106292">
        <w:rPr>
          <w:noProof/>
          <w:lang w:val="en-US"/>
        </w:rPr>
        <w:t>The methodology</w:t>
      </w:r>
      <w:r w:rsidR="009978C1" w:rsidRPr="00106292">
        <w:rPr>
          <w:noProof/>
          <w:lang w:val="en-US"/>
        </w:rPr>
        <w:t xml:space="preserve"> used and results from the comparisons are</w:t>
      </w:r>
      <w:r w:rsidR="00241FD7" w:rsidRPr="00106292">
        <w:rPr>
          <w:noProof/>
          <w:lang w:val="en-US"/>
        </w:rPr>
        <w:t xml:space="preserve"> explained fully in Lawrie</w:t>
      </w:r>
      <w:r w:rsidR="008A5F7D" w:rsidRPr="00CF7613">
        <w:rPr>
          <w:rStyle w:val="StyleItalic"/>
        </w:rPr>
        <w:t xml:space="preserve"> et al</w:t>
      </w:r>
      <w:r w:rsidR="005E4B77" w:rsidRPr="00106292">
        <w:rPr>
          <w:noProof/>
          <w:lang w:val="en-US"/>
        </w:rPr>
        <w:t>.</w:t>
      </w:r>
      <w:r w:rsidR="00241FD7" w:rsidRPr="00106292">
        <w:rPr>
          <w:noProof/>
          <w:lang w:val="en-US"/>
        </w:rPr>
        <w:t xml:space="preserve"> (2012a). </w:t>
      </w:r>
      <w:r w:rsidR="00B658A4" w:rsidRPr="00106292">
        <w:rPr>
          <w:noProof/>
          <w:lang w:val="en-US"/>
        </w:rPr>
        <w:t>Very little difference was found between these different layer approaches (Lawrie</w:t>
      </w:r>
      <w:r w:rsidR="008A5F7D" w:rsidRPr="00CF7613">
        <w:rPr>
          <w:rStyle w:val="StyleItalic"/>
        </w:rPr>
        <w:t xml:space="preserve"> et al</w:t>
      </w:r>
      <w:r w:rsidR="00B658A4" w:rsidRPr="00106292">
        <w:rPr>
          <w:noProof/>
          <w:lang w:val="en-US"/>
        </w:rPr>
        <w:t xml:space="preserve">., 2012a). </w:t>
      </w:r>
    </w:p>
    <w:p w:rsidR="00BF4E48" w:rsidRPr="00106292" w:rsidRDefault="00BF4E48" w:rsidP="00692402">
      <w:pPr>
        <w:tabs>
          <w:tab w:val="center" w:pos="4800"/>
          <w:tab w:val="right" w:pos="9500"/>
        </w:tabs>
        <w:rPr>
          <w:noProof/>
          <w:lang w:val="en-US"/>
        </w:rPr>
      </w:pPr>
    </w:p>
    <w:p w:rsidR="00241FD7" w:rsidRPr="00106292" w:rsidRDefault="00D11AD4" w:rsidP="00E10C4C">
      <w:pPr>
        <w:tabs>
          <w:tab w:val="center" w:pos="4800"/>
          <w:tab w:val="right" w:pos="9500"/>
        </w:tabs>
        <w:rPr>
          <w:noProof/>
          <w:lang w:val="en-US"/>
        </w:rPr>
      </w:pPr>
      <w:r w:rsidRPr="00106292">
        <w:rPr>
          <w:noProof/>
          <w:szCs w:val="22"/>
          <w:lang w:val="en-US"/>
        </w:rPr>
        <w:t>As conductivity logs from 96 of the boreholes drilled during the project were used as constraints in the final AEM inversion, a very high correlation is found in the ModMod space with</w:t>
      </w:r>
      <w:r w:rsidR="005F4ADB">
        <w:rPr>
          <w:noProof/>
          <w:szCs w:val="22"/>
          <w:lang w:val="en-US"/>
        </w:rPr>
        <w:t xml:space="preserve"> </w:t>
      </w:r>
      <w:r w:rsidR="005F4ADB" w:rsidRPr="00CF7613">
        <w:rPr>
          <w:rStyle w:val="StyleItalic"/>
        </w:rPr>
        <w:t>R</w:t>
      </w:r>
      <w:r w:rsidR="005F4ADB" w:rsidRPr="005F4ADB">
        <w:rPr>
          <w:i/>
          <w:noProof/>
          <w:szCs w:val="22"/>
          <w:vertAlign w:val="superscript"/>
          <w:lang w:val="en-US"/>
        </w:rPr>
        <w:t>2</w:t>
      </w:r>
      <w:r w:rsidR="005F4ADB">
        <w:rPr>
          <w:noProof/>
          <w:szCs w:val="22"/>
          <w:lang w:val="en-US"/>
        </w:rPr>
        <w:t xml:space="preserve"> = 0.98347</w:t>
      </w:r>
      <w:r w:rsidR="00465915">
        <w:rPr>
          <w:noProof/>
          <w:position w:val="-6"/>
          <w:szCs w:val="22"/>
        </w:rPr>
        <w:t xml:space="preserve"> </w:t>
      </w:r>
      <w:r w:rsidRPr="00106292">
        <w:rPr>
          <w:szCs w:val="22"/>
        </w:rPr>
        <w:t>The fact that the ModMod residuals are of the order of 1 shows that, overall, there is good consistency between the borehole models and the AEM models.</w:t>
      </w:r>
      <w:r w:rsidR="00E10C4C" w:rsidRPr="00106292">
        <w:rPr>
          <w:szCs w:val="22"/>
        </w:rPr>
        <w:t xml:space="preserve"> </w:t>
      </w:r>
      <w:r w:rsidRPr="00106292">
        <w:rPr>
          <w:szCs w:val="22"/>
        </w:rPr>
        <w:t>Overall, there is a good consistency between the measured data and the predicted data from the borehole models.</w:t>
      </w:r>
      <w:r w:rsidR="00E10C4C" w:rsidRPr="00106292">
        <w:rPr>
          <w:szCs w:val="22"/>
        </w:rPr>
        <w:t xml:space="preserve"> </w:t>
      </w:r>
      <w:r w:rsidR="00497AD3" w:rsidRPr="00106292">
        <w:rPr>
          <w:szCs w:val="22"/>
        </w:rPr>
        <w:t>FiD comparisons for all boreholes are contained in Appendix 4 (Apps</w:t>
      </w:r>
      <w:r w:rsidR="008A5F7D" w:rsidRPr="00CF7613">
        <w:rPr>
          <w:rStyle w:val="StyleItalic"/>
        </w:rPr>
        <w:t xml:space="preserve"> et al</w:t>
      </w:r>
      <w:r w:rsidR="00497AD3" w:rsidRPr="00106292">
        <w:rPr>
          <w:szCs w:val="22"/>
        </w:rPr>
        <w:t xml:space="preserve">., </w:t>
      </w:r>
      <w:r w:rsidR="00D67F70" w:rsidRPr="00106292">
        <w:rPr>
          <w:szCs w:val="22"/>
        </w:rPr>
        <w:t>2012</w:t>
      </w:r>
      <w:r w:rsidR="00B03359">
        <w:rPr>
          <w:szCs w:val="22"/>
        </w:rPr>
        <w:t>c</w:t>
      </w:r>
      <w:r w:rsidR="00497AD3" w:rsidRPr="00106292">
        <w:rPr>
          <w:szCs w:val="22"/>
        </w:rPr>
        <w:t>).</w:t>
      </w:r>
    </w:p>
    <w:p w:rsidR="00D11AD4" w:rsidRPr="00106292" w:rsidRDefault="00D11AD4" w:rsidP="00241FD7">
      <w:pPr>
        <w:tabs>
          <w:tab w:val="center" w:pos="4800"/>
          <w:tab w:val="right" w:pos="9500"/>
        </w:tabs>
        <w:jc w:val="both"/>
        <w:rPr>
          <w:noProof/>
          <w:lang w:val="en-US"/>
        </w:rPr>
      </w:pPr>
    </w:p>
    <w:p w:rsidR="00241FD7" w:rsidRDefault="00241FD7" w:rsidP="00241FD7">
      <w:pPr>
        <w:tabs>
          <w:tab w:val="center" w:pos="4800"/>
          <w:tab w:val="right" w:pos="9500"/>
        </w:tabs>
        <w:jc w:val="both"/>
        <w:rPr>
          <w:noProof/>
          <w:lang w:val="en-US"/>
        </w:rPr>
      </w:pPr>
      <w:r w:rsidRPr="00106292">
        <w:rPr>
          <w:noProof/>
          <w:lang w:val="en-US"/>
        </w:rPr>
        <w:t xml:space="preserve">As an additional test, comparisons were made for 11 boreholes </w:t>
      </w:r>
      <w:r w:rsidR="00D11AD4" w:rsidRPr="00106292">
        <w:rPr>
          <w:noProof/>
          <w:lang w:val="en-US"/>
        </w:rPr>
        <w:t>that were</w:t>
      </w:r>
      <w:r w:rsidRPr="00106292">
        <w:rPr>
          <w:noProof/>
          <w:lang w:val="en-US"/>
        </w:rPr>
        <w:t xml:space="preserve"> drilled and logged prior to the BHMAR survey, </w:t>
      </w:r>
      <w:r w:rsidR="00D11AD4" w:rsidRPr="00106292">
        <w:rPr>
          <w:noProof/>
          <w:lang w:val="en-US"/>
        </w:rPr>
        <w:t xml:space="preserve">are not close to </w:t>
      </w:r>
      <w:r w:rsidR="00E10C4C" w:rsidRPr="00106292">
        <w:rPr>
          <w:noProof/>
          <w:lang w:val="en-US"/>
        </w:rPr>
        <w:t xml:space="preserve">those bores used </w:t>
      </w:r>
      <w:r w:rsidRPr="00106292">
        <w:rPr>
          <w:noProof/>
          <w:lang w:val="en-US"/>
        </w:rPr>
        <w:t>a</w:t>
      </w:r>
      <w:r w:rsidR="00E10C4C" w:rsidRPr="00106292">
        <w:rPr>
          <w:noProof/>
          <w:lang w:val="en-US"/>
        </w:rPr>
        <w:t xml:space="preserve">s constraints in the inversion. These </w:t>
      </w:r>
      <w:r w:rsidR="00DF41CE">
        <w:rPr>
          <w:noProof/>
          <w:lang w:val="en-US"/>
        </w:rPr>
        <w:t xml:space="preserve">11 </w:t>
      </w:r>
      <w:r w:rsidR="00E10C4C" w:rsidRPr="00106292">
        <w:rPr>
          <w:noProof/>
          <w:lang w:val="en-US"/>
        </w:rPr>
        <w:t>bore</w:t>
      </w:r>
      <w:r w:rsidR="00DF41CE">
        <w:rPr>
          <w:noProof/>
          <w:lang w:val="en-US"/>
        </w:rPr>
        <w:t>hole</w:t>
      </w:r>
      <w:r w:rsidR="00E10C4C" w:rsidRPr="00106292">
        <w:rPr>
          <w:noProof/>
          <w:lang w:val="en-US"/>
        </w:rPr>
        <w:t xml:space="preserve">s were not used as constraints in the inversion </w:t>
      </w:r>
      <w:r w:rsidRPr="00106292">
        <w:rPr>
          <w:noProof/>
          <w:lang w:val="en-US"/>
        </w:rPr>
        <w:t xml:space="preserve">partly because of less confidence in the calibration of the tool used in the borehole survey run. For these 11 bores, the correlation coefficient for the ModMod comparison is </w:t>
      </w:r>
      <w:r w:rsidR="00DF41CE" w:rsidRPr="00CF7613">
        <w:rPr>
          <w:rStyle w:val="StyleItalic"/>
        </w:rPr>
        <w:t>R</w:t>
      </w:r>
      <w:r w:rsidR="00DF41CE" w:rsidRPr="00DF41CE">
        <w:rPr>
          <w:i/>
          <w:noProof/>
          <w:vertAlign w:val="superscript"/>
          <w:lang w:val="en-US"/>
        </w:rPr>
        <w:t>2</w:t>
      </w:r>
      <w:r w:rsidR="00DF41CE">
        <w:rPr>
          <w:noProof/>
          <w:lang w:val="en-US"/>
        </w:rPr>
        <w:t xml:space="preserve"> = 0.94765</w:t>
      </w:r>
      <w:r w:rsidR="002A083E" w:rsidRPr="00106292">
        <w:rPr>
          <w:noProof/>
          <w:lang w:val="en-US"/>
        </w:rPr>
        <w:t xml:space="preserve"> (</w:t>
      </w:r>
      <w:r w:rsidR="000B4790" w:rsidRPr="00106292">
        <w:rPr>
          <w:szCs w:val="22"/>
        </w:rPr>
        <w:fldChar w:fldCharType="begin"/>
      </w:r>
      <w:r w:rsidR="000B4790" w:rsidRPr="00106292">
        <w:rPr>
          <w:noProof/>
          <w:lang w:val="en-US"/>
        </w:rPr>
        <w:instrText xml:space="preserve"> REF _Ref325912074 \h </w:instrText>
      </w:r>
      <w:r w:rsidR="000B4790" w:rsidRPr="00106292">
        <w:rPr>
          <w:szCs w:val="22"/>
        </w:rPr>
        <w:instrText xml:space="preserve"> \* MERGEFORMAT </w:instrText>
      </w:r>
      <w:r w:rsidR="000B4790" w:rsidRPr="00106292">
        <w:rPr>
          <w:szCs w:val="22"/>
        </w:rPr>
      </w:r>
      <w:r w:rsidR="000B4790" w:rsidRPr="00106292">
        <w:rPr>
          <w:szCs w:val="22"/>
        </w:rPr>
        <w:fldChar w:fldCharType="separate"/>
      </w:r>
      <w:r w:rsidR="00966532" w:rsidRPr="00966532">
        <w:t xml:space="preserve">Figure </w:t>
      </w:r>
      <w:r w:rsidR="00966532" w:rsidRPr="00966532">
        <w:rPr>
          <w:noProof/>
        </w:rPr>
        <w:t>3</w:t>
      </w:r>
      <w:r w:rsidR="00966532" w:rsidRPr="00966532">
        <w:rPr>
          <w:noProof/>
        </w:rPr>
        <w:noBreakHyphen/>
        <w:t>9</w:t>
      </w:r>
      <w:r w:rsidR="000B4790" w:rsidRPr="00106292">
        <w:rPr>
          <w:szCs w:val="22"/>
        </w:rPr>
        <w:fldChar w:fldCharType="end"/>
      </w:r>
      <w:r w:rsidR="002A083E" w:rsidRPr="00106292">
        <w:rPr>
          <w:szCs w:val="22"/>
        </w:rPr>
        <w:t xml:space="preserve">). </w:t>
      </w:r>
      <w:r w:rsidR="00E10C4C" w:rsidRPr="00106292">
        <w:rPr>
          <w:noProof/>
          <w:lang w:val="en-US"/>
        </w:rPr>
        <w:t>This is an excellent result, particularly given the uncertainties in the calibration of the borehole logging tool used.</w:t>
      </w:r>
      <w:r w:rsidR="00497AD3" w:rsidRPr="00106292">
        <w:rPr>
          <w:noProof/>
          <w:lang w:val="en-US"/>
        </w:rPr>
        <w:t xml:space="preserve"> All the individual FiD comparisons for the 11 bores are contained in Appendix 4 (Apps</w:t>
      </w:r>
      <w:r w:rsidR="008A5F7D" w:rsidRPr="00CF7613">
        <w:rPr>
          <w:rStyle w:val="StyleItalic"/>
        </w:rPr>
        <w:t xml:space="preserve"> et al</w:t>
      </w:r>
      <w:r w:rsidR="00497AD3" w:rsidRPr="00106292">
        <w:rPr>
          <w:noProof/>
          <w:lang w:val="en-US"/>
        </w:rPr>
        <w:t xml:space="preserve">., </w:t>
      </w:r>
      <w:r w:rsidR="00D67F70" w:rsidRPr="00106292">
        <w:rPr>
          <w:noProof/>
          <w:lang w:val="en-US"/>
        </w:rPr>
        <w:t>2012</w:t>
      </w:r>
      <w:r w:rsidR="00B03359">
        <w:rPr>
          <w:noProof/>
          <w:lang w:val="en-US"/>
        </w:rPr>
        <w:t>c</w:t>
      </w:r>
      <w:r w:rsidR="00497AD3" w:rsidRPr="00106292">
        <w:rPr>
          <w:noProof/>
          <w:lang w:val="en-US"/>
        </w:rPr>
        <w:t>).</w:t>
      </w:r>
      <w:r w:rsidR="00497AD3">
        <w:rPr>
          <w:noProof/>
          <w:lang w:val="en-US"/>
        </w:rPr>
        <w:t xml:space="preserve"> </w:t>
      </w:r>
    </w:p>
    <w:p w:rsidR="009978C1" w:rsidRDefault="009978C1" w:rsidP="00241FD7">
      <w:pPr>
        <w:tabs>
          <w:tab w:val="center" w:pos="4800"/>
          <w:tab w:val="right" w:pos="9500"/>
        </w:tabs>
        <w:jc w:val="both"/>
        <w:rPr>
          <w:noProof/>
          <w:lang w:val="en-US"/>
        </w:rPr>
      </w:pPr>
    </w:p>
    <w:p w:rsidR="00DE0FB3" w:rsidRPr="00106292" w:rsidRDefault="00DE0FB3" w:rsidP="00DE0FB3">
      <w:pPr>
        <w:pStyle w:val="PlainText"/>
        <w:rPr>
          <w:rFonts w:ascii="Times New Roman" w:hAnsi="Times New Roman" w:cs="Times New Roman"/>
          <w:sz w:val="22"/>
          <w:szCs w:val="22"/>
        </w:rPr>
      </w:pPr>
      <w:r w:rsidRPr="00106292">
        <w:rPr>
          <w:rFonts w:ascii="Times New Roman" w:hAnsi="Times New Roman" w:cs="Times New Roman"/>
          <w:sz w:val="22"/>
          <w:szCs w:val="22"/>
        </w:rPr>
        <w:t xml:space="preserve">In summary, with the exception of </w:t>
      </w:r>
      <w:r w:rsidR="00E10C4C" w:rsidRPr="00106292">
        <w:rPr>
          <w:rFonts w:ascii="Times New Roman" w:hAnsi="Times New Roman" w:cs="Times New Roman"/>
          <w:sz w:val="22"/>
          <w:szCs w:val="22"/>
        </w:rPr>
        <w:t>&lt;</w:t>
      </w:r>
      <w:r w:rsidRPr="00106292">
        <w:rPr>
          <w:rFonts w:ascii="Times New Roman" w:hAnsi="Times New Roman" w:cs="Times New Roman"/>
          <w:sz w:val="22"/>
          <w:szCs w:val="22"/>
        </w:rPr>
        <w:t xml:space="preserve">10% of the boreholes, generally there is no significant discrepancy between the AEM inversion results and the borehole conductivity logs. Using this approach has produced quantitative estimates of the 3D conductivity structure that provide a reliable platform for identifying new groundwater resources and a range of MAR options, and developing new geological and hydrogeological conceptual models. Integration of the AEM data with borehole lithology, textural, mineralogical, groundwater and pore fluid hydrochemical and borehole NMR data has enabled maps of hydrostratigraphy, hydraulic conductivity, groundwater salinity, salt store and </w:t>
      </w:r>
      <w:r w:rsidR="008C2768" w:rsidRPr="00106292">
        <w:rPr>
          <w:rFonts w:ascii="Times New Roman" w:hAnsi="Times New Roman" w:cs="Times New Roman"/>
          <w:sz w:val="22"/>
          <w:szCs w:val="22"/>
        </w:rPr>
        <w:t>tectonic activity</w:t>
      </w:r>
      <w:r w:rsidRPr="00106292">
        <w:rPr>
          <w:rFonts w:ascii="Times New Roman" w:hAnsi="Times New Roman" w:cs="Times New Roman"/>
          <w:sz w:val="22"/>
          <w:szCs w:val="22"/>
        </w:rPr>
        <w:t xml:space="preserve"> to be produced. </w:t>
      </w:r>
    </w:p>
    <w:p w:rsidR="00DE0FB3" w:rsidRPr="00106292" w:rsidRDefault="00DE0FB3" w:rsidP="00DA40F0">
      <w:pPr>
        <w:rPr>
          <w:szCs w:val="22"/>
        </w:rPr>
      </w:pPr>
    </w:p>
    <w:p w:rsidR="00DE0FB3" w:rsidRPr="00106292" w:rsidRDefault="00DE0FB3" w:rsidP="00DA40F0">
      <w:pPr>
        <w:tabs>
          <w:tab w:val="center" w:pos="4800"/>
          <w:tab w:val="right" w:pos="9500"/>
        </w:tabs>
        <w:rPr>
          <w:noProof/>
          <w:lang w:val="en-US"/>
        </w:rPr>
      </w:pPr>
      <w:r w:rsidRPr="00106292">
        <w:rPr>
          <w:noProof/>
          <w:lang w:val="en-US"/>
        </w:rPr>
        <w:t xml:space="preserve">To gain an insight into the uncertainty of the AEM derived conductivity models, Bayesian inference via a </w:t>
      </w:r>
      <w:r w:rsidR="002A083E" w:rsidRPr="00106292">
        <w:rPr>
          <w:noProof/>
          <w:lang w:val="en-US"/>
        </w:rPr>
        <w:t xml:space="preserve">trans-dimensional </w:t>
      </w:r>
      <w:r w:rsidRPr="00106292">
        <w:rPr>
          <w:noProof/>
          <w:lang w:val="en-US"/>
        </w:rPr>
        <w:t>reversible jump Markov Chain Monte Carlo (RJ-McMC) inversion (</w:t>
      </w:r>
      <w:r w:rsidR="00536F3B" w:rsidRPr="00106292">
        <w:rPr>
          <w:noProof/>
          <w:lang w:val="en-US"/>
        </w:rPr>
        <w:t xml:space="preserve">Minsley, </w:t>
      </w:r>
      <w:r w:rsidR="009F19CC" w:rsidRPr="00106292">
        <w:rPr>
          <w:noProof/>
          <w:lang w:val="en-US"/>
        </w:rPr>
        <w:t>201</w:t>
      </w:r>
      <w:r w:rsidR="00536F3B" w:rsidRPr="00106292">
        <w:rPr>
          <w:noProof/>
          <w:lang w:val="en-US"/>
        </w:rPr>
        <w:t xml:space="preserve">1; Malinverno, 2002; </w:t>
      </w:r>
      <w:r w:rsidRPr="00106292">
        <w:rPr>
          <w:noProof/>
          <w:lang w:val="en-US"/>
        </w:rPr>
        <w:t>Brodie &amp; Sambridge, 2012) was carried out on nine selected AEM data sets selected from the same SkyTEM data set as was used in the final inversion of the complete BHMAR survey. The selected data sets were the nearest AEM data sets to nine geologically representative borehole sites for which downhole conductivity logs were available.</w:t>
      </w:r>
    </w:p>
    <w:p w:rsidR="00DE0FB3" w:rsidRPr="00106292" w:rsidRDefault="00DE0FB3" w:rsidP="00DA40F0">
      <w:pPr>
        <w:tabs>
          <w:tab w:val="center" w:pos="4800"/>
          <w:tab w:val="right" w:pos="9500"/>
        </w:tabs>
        <w:rPr>
          <w:noProof/>
          <w:lang w:val="en-US"/>
        </w:rPr>
      </w:pPr>
    </w:p>
    <w:p w:rsidR="00DE0FB3" w:rsidRDefault="00DE0FB3" w:rsidP="00DA40F0">
      <w:pPr>
        <w:tabs>
          <w:tab w:val="center" w:pos="4800"/>
          <w:tab w:val="right" w:pos="9500"/>
        </w:tabs>
        <w:rPr>
          <w:noProof/>
          <w:lang w:val="en-US"/>
        </w:rPr>
      </w:pPr>
      <w:r w:rsidRPr="00106292">
        <w:rPr>
          <w:noProof/>
          <w:lang w:val="en-US"/>
        </w:rPr>
        <w:t>Sixteen independent Markov chains were sampled in parallel in the inversion of each data set. In each chain 200,000 samples were acquired. Models were accumulated into the posterior probability and change-point histograms after the burn-in period</w:t>
      </w:r>
      <w:r w:rsidRPr="00094526">
        <w:rPr>
          <w:noProof/>
          <w:lang w:val="en-US"/>
        </w:rPr>
        <w:t xml:space="preserve"> of 10,000 samples. Therefore a total of 3.04 million (190,000</w:t>
      </w:r>
      <w:r w:rsidRPr="00BD716F">
        <w:rPr>
          <w:noProof/>
          <w:position w:val="-6"/>
        </w:rPr>
        <w:object w:dxaOrig="44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5pt;height:13.1pt" o:ole="">
            <v:imagedata r:id="rId67" o:title=""/>
          </v:shape>
          <o:OLEObject Type="Embed" ProgID="Equation.3" ShapeID="_x0000_i1025" DrawAspect="Content" ObjectID="_1465128336" r:id="rId68"/>
        </w:object>
      </w:r>
      <w:r w:rsidRPr="00094526">
        <w:rPr>
          <w:noProof/>
          <w:lang w:val="en-US"/>
        </w:rPr>
        <w:t>) samples were acquired after the burn-in period. The data were fitted to around the expected misfit level of 39 (18+21 data) within the 10,000 sample burn-in period.</w:t>
      </w:r>
    </w:p>
    <w:p w:rsidR="009978C1" w:rsidRDefault="009978C1" w:rsidP="00DA40F0">
      <w:pPr>
        <w:tabs>
          <w:tab w:val="center" w:pos="4800"/>
          <w:tab w:val="right" w:pos="9500"/>
        </w:tabs>
        <w:rPr>
          <w:noProof/>
          <w:lang w:val="en-US"/>
        </w:rPr>
      </w:pPr>
    </w:p>
    <w:p w:rsidR="00DE0FB3" w:rsidRPr="00F46299" w:rsidRDefault="00DE0FB3" w:rsidP="00DA40F0">
      <w:pPr>
        <w:tabs>
          <w:tab w:val="center" w:pos="4800"/>
          <w:tab w:val="right" w:pos="9500"/>
        </w:tabs>
        <w:rPr>
          <w:noProof/>
          <w:lang w:val="en-US"/>
        </w:rPr>
      </w:pPr>
      <w:r w:rsidRPr="00F46299">
        <w:rPr>
          <w:noProof/>
          <w:lang w:val="en-US"/>
        </w:rPr>
        <w:t xml:space="preserve">From the large number of models, statistical statements can be made about the likelihood distribution of the subsurface conductivity. Nine data sets were selected for the analyses, namely the ones closest to nine of the boreholes with conductivity logs. This made it possible to compare </w:t>
      </w:r>
      <w:r w:rsidRPr="00795774">
        <w:rPr>
          <w:noProof/>
          <w:lang w:val="en-US"/>
        </w:rPr>
        <w:t>the full nonlinear analysis of the RJ-McMC method with the AEM inversion models and the conductivity logs</w:t>
      </w:r>
      <w:r w:rsidR="004D632B" w:rsidRPr="00795774">
        <w:rPr>
          <w:noProof/>
          <w:lang w:val="en-US"/>
        </w:rPr>
        <w:t xml:space="preserve"> (</w:t>
      </w:r>
      <w:r w:rsidR="000B4790" w:rsidRPr="00795774">
        <w:rPr>
          <w:noProof/>
          <w:highlight w:val="yellow"/>
          <w:lang w:val="en-US"/>
        </w:rPr>
        <w:fldChar w:fldCharType="begin"/>
      </w:r>
      <w:r w:rsidR="000B4790" w:rsidRPr="00795774">
        <w:rPr>
          <w:noProof/>
          <w:lang w:val="en-US"/>
        </w:rPr>
        <w:instrText xml:space="preserve"> REF _Ref325912084 \h </w:instrText>
      </w:r>
      <w:r w:rsidR="00795774" w:rsidRPr="00795774">
        <w:rPr>
          <w:noProof/>
          <w:highlight w:val="yellow"/>
          <w:lang w:val="en-US"/>
        </w:rPr>
        <w:instrText xml:space="preserve"> \* MERGEFORMAT </w:instrText>
      </w:r>
      <w:r w:rsidR="000B4790" w:rsidRPr="00795774">
        <w:rPr>
          <w:noProof/>
          <w:highlight w:val="yellow"/>
          <w:lang w:val="en-US"/>
        </w:rPr>
      </w:r>
      <w:r w:rsidR="000B4790" w:rsidRPr="00795774">
        <w:rPr>
          <w:noProof/>
          <w:highlight w:val="yellow"/>
          <w:lang w:val="en-US"/>
        </w:rPr>
        <w:fldChar w:fldCharType="separate"/>
      </w:r>
      <w:r w:rsidR="00966532" w:rsidRPr="00966532">
        <w:t xml:space="preserve">Figure </w:t>
      </w:r>
      <w:r w:rsidR="00966532" w:rsidRPr="00966532">
        <w:rPr>
          <w:noProof/>
        </w:rPr>
        <w:t>3</w:t>
      </w:r>
      <w:r w:rsidR="00966532" w:rsidRPr="00966532">
        <w:rPr>
          <w:noProof/>
        </w:rPr>
        <w:noBreakHyphen/>
        <w:t>10</w:t>
      </w:r>
      <w:r w:rsidR="000B4790" w:rsidRPr="00795774">
        <w:rPr>
          <w:noProof/>
          <w:highlight w:val="yellow"/>
          <w:lang w:val="en-US"/>
        </w:rPr>
        <w:fldChar w:fldCharType="end"/>
      </w:r>
      <w:r w:rsidR="004D632B" w:rsidRPr="00795774">
        <w:rPr>
          <w:noProof/>
          <w:lang w:val="en-US"/>
        </w:rPr>
        <w:t>)</w:t>
      </w:r>
      <w:r w:rsidRPr="00795774">
        <w:rPr>
          <w:noProof/>
          <w:lang w:val="en-US"/>
        </w:rPr>
        <w:t>. Overall, the AEM inversion models and the borehole conductivity logs are consistent with the likelihood distribution</w:t>
      </w:r>
      <w:r w:rsidRPr="00F46299">
        <w:rPr>
          <w:noProof/>
          <w:lang w:val="en-US"/>
        </w:rPr>
        <w:t xml:space="preserve"> derived in the RJ-McMC analysis.</w:t>
      </w:r>
      <w:r w:rsidR="002A083E">
        <w:rPr>
          <w:noProof/>
          <w:lang w:val="en-US"/>
        </w:rPr>
        <w:t xml:space="preserve"> However, this analysis also reveals the importance of using the boreholes to constrain near-su</w:t>
      </w:r>
      <w:r w:rsidR="005E4B77">
        <w:rPr>
          <w:noProof/>
          <w:lang w:val="en-US"/>
        </w:rPr>
        <w:t>rface (top 15</w:t>
      </w:r>
      <w:r w:rsidR="0008529C">
        <w:rPr>
          <w:noProof/>
          <w:lang w:val="en-US"/>
        </w:rPr>
        <w:t xml:space="preserve"> </w:t>
      </w:r>
      <w:r w:rsidR="005E4B77">
        <w:rPr>
          <w:noProof/>
          <w:lang w:val="en-US"/>
        </w:rPr>
        <w:t xml:space="preserve">m) conductivities, and </w:t>
      </w:r>
      <w:r w:rsidR="002028F3">
        <w:rPr>
          <w:noProof/>
          <w:lang w:val="en-US"/>
        </w:rPr>
        <w:t xml:space="preserve">shows the inherent bias in AEM systems towards the ability to resolve more conductive layers. </w:t>
      </w:r>
    </w:p>
    <w:p w:rsidR="00DE0FB3" w:rsidRPr="00313694" w:rsidRDefault="00DE0FB3" w:rsidP="00DA40F0">
      <w:pPr>
        <w:rPr>
          <w:szCs w:val="22"/>
          <w:lang w:val="en-US"/>
        </w:rPr>
      </w:pPr>
    </w:p>
    <w:p w:rsidR="00DE0FB3" w:rsidRDefault="00DE0FB3" w:rsidP="00DA40F0">
      <w:pPr>
        <w:rPr>
          <w:szCs w:val="22"/>
        </w:rPr>
      </w:pPr>
      <w:r w:rsidRPr="00241FD7">
        <w:rPr>
          <w:szCs w:val="22"/>
        </w:rPr>
        <w:t xml:space="preserve">The hydrogeological complexity revealed by AEM mapping greatly improves the parameterisation of groundwater models, and provides a framework for understanding complex hydrogeological and </w:t>
      </w:r>
      <w:r w:rsidRPr="00241FD7">
        <w:rPr>
          <w:szCs w:val="22"/>
        </w:rPr>
        <w:lastRenderedPageBreak/>
        <w:t>hydrogeochemical processes. This will aid groundwater management and the assessment of a range of MAR, surface water and groundwater extraction options.</w:t>
      </w:r>
    </w:p>
    <w:p w:rsidR="00AD2035" w:rsidRPr="00470E90" w:rsidRDefault="00AD2035" w:rsidP="00DA40F0">
      <w:pPr>
        <w:rPr>
          <w:szCs w:val="22"/>
        </w:rPr>
      </w:pPr>
    </w:p>
    <w:p w:rsidR="00DE0FB3" w:rsidRPr="00DE0FB3" w:rsidRDefault="00DE0FB3" w:rsidP="00241FD7">
      <w:pPr>
        <w:tabs>
          <w:tab w:val="center" w:pos="4800"/>
          <w:tab w:val="right" w:pos="9500"/>
        </w:tabs>
        <w:jc w:val="both"/>
        <w:rPr>
          <w:noProof/>
        </w:rPr>
      </w:pPr>
    </w:p>
    <w:p w:rsidR="00470E90" w:rsidRPr="00BF4E48" w:rsidRDefault="00706A3B" w:rsidP="00216BA0">
      <w:pPr>
        <w:pStyle w:val="PlainText"/>
        <w:spacing w:before="120" w:after="60"/>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010BDB3A" wp14:editId="3EE5F51F">
            <wp:extent cx="5901055" cy="4168140"/>
            <wp:effectExtent l="19050" t="19050" r="444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t="2432" b="1463"/>
                    <a:stretch>
                      <a:fillRect/>
                    </a:stretch>
                  </pic:blipFill>
                  <pic:spPr bwMode="auto">
                    <a:xfrm>
                      <a:off x="0" y="0"/>
                      <a:ext cx="5901055" cy="4168140"/>
                    </a:xfrm>
                    <a:prstGeom prst="rect">
                      <a:avLst/>
                    </a:prstGeom>
                    <a:noFill/>
                    <a:ln w="6350" cmpd="sng">
                      <a:solidFill>
                        <a:srgbClr val="000000"/>
                      </a:solidFill>
                      <a:miter lim="800000"/>
                      <a:headEnd/>
                      <a:tailEnd/>
                    </a:ln>
                    <a:effectLst/>
                  </pic:spPr>
                </pic:pic>
              </a:graphicData>
            </a:graphic>
          </wp:inline>
        </w:drawing>
      </w:r>
    </w:p>
    <w:p w:rsidR="0081751C" w:rsidRPr="00216027" w:rsidRDefault="001741E7" w:rsidP="00DA40F0">
      <w:pPr>
        <w:pStyle w:val="Caption"/>
        <w:rPr>
          <w:i w:val="0"/>
          <w:noProof/>
          <w:lang w:val="en-US"/>
        </w:rPr>
      </w:pPr>
      <w:bookmarkStart w:id="192" w:name="_Ref325707137"/>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3</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8</w:t>
      </w:r>
      <w:r w:rsidR="00A23C59">
        <w:rPr>
          <w:b/>
        </w:rPr>
        <w:fldChar w:fldCharType="end"/>
      </w:r>
      <w:bookmarkEnd w:id="192"/>
      <w:r>
        <w:rPr>
          <w:b/>
        </w:rPr>
        <w:t>.</w:t>
      </w:r>
      <w:r>
        <w:rPr>
          <w:b/>
          <w:szCs w:val="22"/>
        </w:rPr>
        <w:t xml:space="preserve"> </w:t>
      </w:r>
      <w:r w:rsidR="0081751C" w:rsidRPr="009978C1">
        <w:rPr>
          <w:noProof/>
          <w:lang w:val="en-US"/>
        </w:rPr>
        <w:t xml:space="preserve">ModMod and DatDat comparison plots for the </w:t>
      </w:r>
      <w:r w:rsidR="009978C1" w:rsidRPr="009978C1">
        <w:rPr>
          <w:noProof/>
          <w:lang w:val="en-US"/>
        </w:rPr>
        <w:t>GW36812</w:t>
      </w:r>
      <w:r w:rsidR="0081751C">
        <w:rPr>
          <w:noProof/>
          <w:lang w:val="en-US"/>
        </w:rPr>
        <w:t xml:space="preserve"> </w:t>
      </w:r>
      <w:r w:rsidR="0081751C" w:rsidRPr="009978C1">
        <w:rPr>
          <w:noProof/>
          <w:lang w:val="en-US"/>
        </w:rPr>
        <w:t xml:space="preserve">borehole. Borehole conductivity </w:t>
      </w:r>
      <w:r w:rsidR="0081751C">
        <w:rPr>
          <w:noProof/>
          <w:lang w:val="en-US"/>
        </w:rPr>
        <w:t xml:space="preserve">is </w:t>
      </w:r>
      <w:r w:rsidR="0081751C" w:rsidRPr="009978C1">
        <w:rPr>
          <w:noProof/>
          <w:lang w:val="en-US"/>
        </w:rPr>
        <w:t xml:space="preserve">plotted in dark red as vertical line segments </w:t>
      </w:r>
      <w:r w:rsidR="005E4B77">
        <w:rPr>
          <w:noProof/>
          <w:lang w:val="en-US"/>
        </w:rPr>
        <w:t xml:space="preserve">(rather than a single line) to denote the </w:t>
      </w:r>
      <w:r w:rsidR="0081751C" w:rsidRPr="009978C1">
        <w:rPr>
          <w:noProof/>
          <w:lang w:val="en-US"/>
        </w:rPr>
        <w:t>uncertainty</w:t>
      </w:r>
      <w:r w:rsidR="005E4B77">
        <w:rPr>
          <w:noProof/>
          <w:lang w:val="en-US"/>
        </w:rPr>
        <w:t xml:space="preserve"> in measurements</w:t>
      </w:r>
      <w:r w:rsidR="0081751C" w:rsidRPr="009978C1">
        <w:rPr>
          <w:noProof/>
          <w:lang w:val="en-US"/>
        </w:rPr>
        <w:t xml:space="preserve">. The 30-layer AEM model closest to the borehole is plotted in black with layer conductivity uncertainties indicated by the gray bars. The 30-layer borehole inversion model is plotted in </w:t>
      </w:r>
      <w:r w:rsidR="005E4B77">
        <w:rPr>
          <w:noProof/>
          <w:lang w:val="en-US"/>
        </w:rPr>
        <w:t xml:space="preserve">bright </w:t>
      </w:r>
      <w:r w:rsidR="0081751C" w:rsidRPr="009978C1">
        <w:rPr>
          <w:noProof/>
          <w:lang w:val="en-US"/>
        </w:rPr>
        <w:t>red</w:t>
      </w:r>
      <w:r w:rsidR="005E4B77">
        <w:rPr>
          <w:noProof/>
          <w:lang w:val="en-US"/>
        </w:rPr>
        <w:t>,</w:t>
      </w:r>
      <w:r w:rsidR="0081751C" w:rsidRPr="009978C1">
        <w:rPr>
          <w:noProof/>
          <w:lang w:val="en-US"/>
        </w:rPr>
        <w:t xml:space="preserve"> with layer conductivity uncertainties indicated by the</w:t>
      </w:r>
      <w:r w:rsidR="005E4B77">
        <w:rPr>
          <w:noProof/>
          <w:lang w:val="en-US"/>
        </w:rPr>
        <w:t xml:space="preserve"> bright</w:t>
      </w:r>
      <w:r w:rsidR="0081751C" w:rsidRPr="009978C1">
        <w:rPr>
          <w:noProof/>
          <w:lang w:val="en-US"/>
        </w:rPr>
        <w:t xml:space="preserve"> red error bars. The distance between borehole and AEM model is given in the plot title together with the DatMod </w:t>
      </w:r>
      <w:r w:rsidR="002A083E">
        <w:rPr>
          <w:noProof/>
          <w:lang w:val="en-US"/>
        </w:rPr>
        <w:t>residual and the ModMod residua</w:t>
      </w:r>
      <w:r w:rsidR="002A083E" w:rsidRPr="002A083E">
        <w:rPr>
          <w:i w:val="0"/>
          <w:noProof/>
          <w:lang w:val="en-US"/>
        </w:rPr>
        <w:t xml:space="preserve">. </w:t>
      </w:r>
      <w:r w:rsidR="002A083E" w:rsidRPr="002A083E">
        <w:rPr>
          <w:noProof/>
          <w:lang w:val="en-US"/>
        </w:rPr>
        <w:t xml:space="preserve">For the GW36812 </w:t>
      </w:r>
      <w:r w:rsidR="00DF41CE">
        <w:rPr>
          <w:noProof/>
          <w:lang w:val="en-US"/>
        </w:rPr>
        <w:t xml:space="preserve">borehole </w:t>
      </w:r>
      <w:r w:rsidR="002A083E" w:rsidRPr="002A083E">
        <w:rPr>
          <w:noProof/>
          <w:lang w:val="en-US"/>
        </w:rPr>
        <w:t>there is a very high degree of consistency in the FID point comparison</w:t>
      </w:r>
      <w:r w:rsidR="002A083E" w:rsidRPr="00216027">
        <w:rPr>
          <w:i w:val="0"/>
          <w:noProof/>
          <w:lang w:val="en-US"/>
        </w:rPr>
        <w:t>.</w:t>
      </w:r>
      <w:r w:rsidR="00BE08AB" w:rsidRPr="00216027">
        <w:rPr>
          <w:bCs w:val="0"/>
          <w:i w:val="0"/>
        </w:rPr>
        <w:fldChar w:fldCharType="begin"/>
      </w:r>
      <w:r w:rsidR="00BE08AB" w:rsidRPr="00216027">
        <w:rPr>
          <w:bCs w:val="0"/>
          <w:i w:val="0"/>
        </w:rPr>
        <w:instrText xml:space="preserve"> TC "</w:instrText>
      </w:r>
      <w:bookmarkStart w:id="193" w:name="_Toc325975205"/>
      <w:bookmarkStart w:id="194" w:name="_Toc390690214"/>
      <w:r w:rsidR="009F303B" w:rsidRPr="00216027">
        <w:rPr>
          <w:bCs w:val="0"/>
          <w:i w:val="0"/>
        </w:rPr>
        <w:instrText xml:space="preserve">Figure </w:instrText>
      </w:r>
      <w:r w:rsidR="0020070D">
        <w:rPr>
          <w:bCs w:val="0"/>
          <w:i w:val="0"/>
        </w:rPr>
        <w:instrText>3-</w:instrText>
      </w:r>
      <w:r w:rsidR="009F303B" w:rsidRPr="00216027">
        <w:rPr>
          <w:bCs w:val="0"/>
          <w:i w:val="0"/>
        </w:rPr>
        <w:instrText>8</w:instrText>
      </w:r>
      <w:r w:rsidR="00497AD3">
        <w:rPr>
          <w:bCs w:val="0"/>
          <w:i w:val="0"/>
        </w:rPr>
        <w:instrText>.</w:instrText>
      </w:r>
      <w:r w:rsidR="00BE08AB" w:rsidRPr="00216027">
        <w:rPr>
          <w:bCs w:val="0"/>
          <w:i w:val="0"/>
        </w:rPr>
        <w:instrText xml:space="preserve"> </w:instrText>
      </w:r>
      <w:r w:rsidR="009F303B" w:rsidRPr="00216027">
        <w:rPr>
          <w:i w:val="0"/>
          <w:noProof/>
          <w:lang w:val="en-US"/>
        </w:rPr>
        <w:instrText>ModMod and DatDat comparison plots for the GW36812 borehole</w:instrText>
      </w:r>
      <w:bookmarkEnd w:id="193"/>
      <w:r w:rsidR="005E4B77">
        <w:rPr>
          <w:i w:val="0"/>
          <w:noProof/>
          <w:lang w:val="en-US"/>
        </w:rPr>
        <w:instrText>.</w:instrText>
      </w:r>
      <w:bookmarkEnd w:id="194"/>
      <w:r w:rsidR="00BE08AB" w:rsidRPr="00216027">
        <w:rPr>
          <w:bCs w:val="0"/>
          <w:i w:val="0"/>
        </w:rPr>
        <w:instrText xml:space="preserve">" \f A \l “4” </w:instrText>
      </w:r>
      <w:r w:rsidR="00BE08AB" w:rsidRPr="00216027">
        <w:rPr>
          <w:bCs w:val="0"/>
          <w:i w:val="0"/>
        </w:rPr>
        <w:fldChar w:fldCharType="end"/>
      </w:r>
    </w:p>
    <w:p w:rsidR="00470E90" w:rsidRPr="009978C1" w:rsidRDefault="00470E90" w:rsidP="00470E90">
      <w:pPr>
        <w:pStyle w:val="PlainText"/>
        <w:rPr>
          <w:rFonts w:ascii="Times New Roman" w:hAnsi="Times New Roman" w:cs="Times New Roman"/>
          <w:i/>
        </w:rPr>
      </w:pPr>
    </w:p>
    <w:p w:rsidR="00BF4E48" w:rsidRPr="00BF4E48" w:rsidRDefault="00DE0FB3" w:rsidP="00216BA0">
      <w:pPr>
        <w:pStyle w:val="PlainText"/>
        <w:spacing w:before="120" w:after="60"/>
        <w:jc w:val="center"/>
        <w:rPr>
          <w:rFonts w:ascii="Times New Roman" w:hAnsi="Times New Roman" w:cs="Times New Roman"/>
          <w:sz w:val="22"/>
          <w:szCs w:val="22"/>
        </w:rPr>
      </w:pPr>
      <w:r>
        <w:rPr>
          <w:rFonts w:ascii="Times New Roman" w:hAnsi="Times New Roman" w:cs="Times New Roman"/>
          <w:sz w:val="22"/>
          <w:szCs w:val="22"/>
        </w:rPr>
        <w:br w:type="page"/>
      </w:r>
      <w:r w:rsidR="00706A3B">
        <w:rPr>
          <w:rFonts w:ascii="Times New Roman" w:hAnsi="Times New Roman" w:cs="Times New Roman"/>
          <w:noProof/>
          <w:sz w:val="22"/>
          <w:szCs w:val="22"/>
        </w:rPr>
        <w:lastRenderedPageBreak/>
        <w:drawing>
          <wp:inline distT="0" distB="0" distL="0" distR="0" wp14:anchorId="16F970D2" wp14:editId="7A69DCF6">
            <wp:extent cx="4146550" cy="4029710"/>
            <wp:effectExtent l="19050" t="19050" r="635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6550" cy="4029710"/>
                    </a:xfrm>
                    <a:prstGeom prst="rect">
                      <a:avLst/>
                    </a:prstGeom>
                    <a:noFill/>
                    <a:ln w="6350" cmpd="sng">
                      <a:solidFill>
                        <a:srgbClr val="000000"/>
                      </a:solidFill>
                      <a:miter lim="800000"/>
                      <a:headEnd/>
                      <a:tailEnd/>
                    </a:ln>
                    <a:effectLst/>
                  </pic:spPr>
                </pic:pic>
              </a:graphicData>
            </a:graphic>
          </wp:inline>
        </w:drawing>
      </w:r>
    </w:p>
    <w:p w:rsidR="009978C1" w:rsidRPr="009978C1" w:rsidRDefault="001741E7" w:rsidP="00D01AC3">
      <w:pPr>
        <w:pStyle w:val="Caption"/>
        <w:rPr>
          <w:i w:val="0"/>
          <w:noProof/>
          <w:szCs w:val="20"/>
          <w:lang w:val="en-US"/>
        </w:rPr>
      </w:pPr>
      <w:bookmarkStart w:id="195" w:name="_Ref325912074"/>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3</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9</w:t>
      </w:r>
      <w:r w:rsidR="00A23C59">
        <w:rPr>
          <w:b/>
        </w:rPr>
        <w:fldChar w:fldCharType="end"/>
      </w:r>
      <w:bookmarkEnd w:id="195"/>
      <w:r>
        <w:rPr>
          <w:b/>
        </w:rPr>
        <w:t>.</w:t>
      </w:r>
      <w:r>
        <w:rPr>
          <w:b/>
          <w:szCs w:val="22"/>
        </w:rPr>
        <w:t xml:space="preserve"> </w:t>
      </w:r>
      <w:r w:rsidR="009978C1" w:rsidRPr="00D01AC3">
        <w:rPr>
          <w:noProof/>
          <w:szCs w:val="20"/>
          <w:lang w:val="en-US"/>
        </w:rPr>
        <w:t>Cross plots on a logarithmic scale of the AEM model conductivity as a function of the borehole model conductivity. The identity mapping is shown with a thin cyan line while the least squares linear fit, taking uncertainties on both parameters into account, is indicated with a thicker red line. The error bars have been omitted for clarity.</w:t>
      </w:r>
      <w:r w:rsidR="00BE08AB" w:rsidRPr="005706E3">
        <w:rPr>
          <w:bCs w:val="0"/>
          <w:i w:val="0"/>
        </w:rPr>
        <w:fldChar w:fldCharType="begin"/>
      </w:r>
      <w:r w:rsidR="00BE08AB" w:rsidRPr="005706E3">
        <w:rPr>
          <w:bCs w:val="0"/>
          <w:i w:val="0"/>
        </w:rPr>
        <w:instrText xml:space="preserve"> TC "</w:instrText>
      </w:r>
      <w:bookmarkStart w:id="196" w:name="_Toc325975206"/>
      <w:bookmarkStart w:id="197" w:name="_Toc390690215"/>
      <w:r w:rsidR="009F303B" w:rsidRPr="00216027">
        <w:rPr>
          <w:bCs w:val="0"/>
          <w:i w:val="0"/>
        </w:rPr>
        <w:instrText xml:space="preserve">Figure </w:instrText>
      </w:r>
      <w:r w:rsidR="0020070D">
        <w:rPr>
          <w:bCs w:val="0"/>
          <w:i w:val="0"/>
        </w:rPr>
        <w:instrText>3-</w:instrText>
      </w:r>
      <w:r w:rsidR="009F303B" w:rsidRPr="00216027">
        <w:rPr>
          <w:bCs w:val="0"/>
          <w:i w:val="0"/>
        </w:rPr>
        <w:instrText>9</w:instrText>
      </w:r>
      <w:r w:rsidR="00497AD3">
        <w:rPr>
          <w:bCs w:val="0"/>
          <w:i w:val="0"/>
        </w:rPr>
        <w:instrText>.</w:instrText>
      </w:r>
      <w:r w:rsidR="00BE08AB" w:rsidRPr="00216027">
        <w:rPr>
          <w:bCs w:val="0"/>
          <w:i w:val="0"/>
        </w:rPr>
        <w:instrText xml:space="preserve"> </w:instrText>
      </w:r>
      <w:r w:rsidR="009F303B" w:rsidRPr="00216027">
        <w:rPr>
          <w:i w:val="0"/>
          <w:noProof/>
          <w:szCs w:val="20"/>
          <w:lang w:val="en-US"/>
        </w:rPr>
        <w:instrText>Cross plots on a logarithmic scale of the AEM model conductivity</w:instrText>
      </w:r>
      <w:bookmarkEnd w:id="196"/>
      <w:r w:rsidR="005E4B77">
        <w:rPr>
          <w:bCs w:val="0"/>
          <w:i w:val="0"/>
        </w:rPr>
        <w:instrText>.</w:instrText>
      </w:r>
      <w:bookmarkEnd w:id="197"/>
      <w:r w:rsidR="00BE08AB" w:rsidRPr="00216027">
        <w:rPr>
          <w:bCs w:val="0"/>
          <w:i w:val="0"/>
        </w:rPr>
        <w:instrText>" \f A \l “4”</w:instrText>
      </w:r>
      <w:r w:rsidR="00BE08AB" w:rsidRPr="005706E3">
        <w:rPr>
          <w:bCs w:val="0"/>
          <w:i w:val="0"/>
        </w:rPr>
        <w:instrText xml:space="preserve"> </w:instrText>
      </w:r>
      <w:r w:rsidR="00BE08AB" w:rsidRPr="005706E3">
        <w:rPr>
          <w:bCs w:val="0"/>
          <w:i w:val="0"/>
        </w:rPr>
        <w:fldChar w:fldCharType="end"/>
      </w:r>
    </w:p>
    <w:p w:rsidR="002A083E" w:rsidRPr="00BF4E48" w:rsidRDefault="00706A3B" w:rsidP="00216BA0">
      <w:pPr>
        <w:tabs>
          <w:tab w:val="center" w:pos="4800"/>
          <w:tab w:val="right" w:pos="9500"/>
        </w:tabs>
        <w:spacing w:after="60"/>
        <w:jc w:val="center"/>
        <w:rPr>
          <w:noProof/>
          <w:szCs w:val="22"/>
          <w:lang w:val="en-US"/>
        </w:rPr>
      </w:pPr>
      <w:r>
        <w:rPr>
          <w:noProof/>
          <w:szCs w:val="22"/>
        </w:rPr>
        <w:drawing>
          <wp:inline distT="0" distB="0" distL="0" distR="0" wp14:anchorId="4A4EBDCE" wp14:editId="49D46C04">
            <wp:extent cx="5092065" cy="3677920"/>
            <wp:effectExtent l="19050" t="19050" r="13335" b="17780"/>
            <wp:docPr id="498"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92065" cy="3677920"/>
                    </a:xfrm>
                    <a:prstGeom prst="rect">
                      <a:avLst/>
                    </a:prstGeom>
                    <a:noFill/>
                    <a:ln w="9525">
                      <a:solidFill>
                        <a:srgbClr val="000000"/>
                      </a:solidFill>
                      <a:miter lim="800000"/>
                      <a:headEnd/>
                      <a:tailEnd/>
                    </a:ln>
                    <a:effectLst/>
                  </pic:spPr>
                </pic:pic>
              </a:graphicData>
            </a:graphic>
          </wp:inline>
        </w:drawing>
      </w:r>
    </w:p>
    <w:p w:rsidR="00D106D8" w:rsidRPr="002B69F0" w:rsidRDefault="006E524B" w:rsidP="00D106D8">
      <w:pPr>
        <w:pStyle w:val="Caption"/>
        <w:rPr>
          <w:i w:val="0"/>
          <w:noProof/>
          <w:szCs w:val="20"/>
          <w:lang w:val="en-US"/>
        </w:rPr>
      </w:pPr>
      <w:bookmarkStart w:id="198" w:name="_Ref325912084"/>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3</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10</w:t>
      </w:r>
      <w:r w:rsidR="00A23C59">
        <w:rPr>
          <w:b/>
        </w:rPr>
        <w:fldChar w:fldCharType="end"/>
      </w:r>
      <w:bookmarkEnd w:id="198"/>
      <w:r>
        <w:rPr>
          <w:b/>
        </w:rPr>
        <w:t>.</w:t>
      </w:r>
      <w:r w:rsidR="002A083E">
        <w:rPr>
          <w:b/>
          <w:szCs w:val="22"/>
        </w:rPr>
        <w:t xml:space="preserve"> </w:t>
      </w:r>
      <w:r w:rsidR="002A083E">
        <w:rPr>
          <w:noProof/>
        </w:rPr>
        <w:t>R</w:t>
      </w:r>
      <w:r w:rsidR="002A083E" w:rsidRPr="00094526">
        <w:rPr>
          <w:noProof/>
          <w:lang w:val="en-US"/>
        </w:rPr>
        <w:t>eversible jump Markov Chain</w:t>
      </w:r>
      <w:r w:rsidR="002A083E">
        <w:rPr>
          <w:noProof/>
          <w:lang w:val="en-US"/>
        </w:rPr>
        <w:t xml:space="preserve"> Monte Carlo (RJ-McMC) inversion of one of 9 representative sections in the AEM data</w:t>
      </w:r>
      <w:r w:rsidR="002A083E" w:rsidRPr="00D01AC3">
        <w:rPr>
          <w:noProof/>
          <w:szCs w:val="20"/>
          <w:lang w:val="en-US"/>
        </w:rPr>
        <w:t>.</w:t>
      </w:r>
      <w:r w:rsidR="00536F3B">
        <w:rPr>
          <w:noProof/>
          <w:szCs w:val="20"/>
          <w:lang w:val="en-US"/>
        </w:rPr>
        <w:t xml:space="preserve"> </w:t>
      </w:r>
      <w:r w:rsidR="00536F3B" w:rsidRPr="00094526">
        <w:rPr>
          <w:noProof/>
          <w:lang w:val="en-US"/>
        </w:rPr>
        <w:t xml:space="preserve">The centre panel shows the model domain down to 120 m depth with the nearest downhole conductivity log (magenta) and the 30 layer inversion model (green) produced by the gradient based inversion algorithm applied to the whole </w:t>
      </w:r>
      <w:r w:rsidR="00536F3B">
        <w:rPr>
          <w:noProof/>
          <w:lang w:val="en-US"/>
        </w:rPr>
        <w:t>BHMAR da</w:t>
      </w:r>
      <w:r w:rsidR="00D106D8">
        <w:rPr>
          <w:noProof/>
          <w:lang w:val="en-US"/>
        </w:rPr>
        <w:t xml:space="preserve">ta set. </w:t>
      </w:r>
      <w:r w:rsidR="00D106D8" w:rsidRPr="00216027">
        <w:rPr>
          <w:i w:val="0"/>
        </w:rPr>
        <w:fldChar w:fldCharType="begin"/>
      </w:r>
      <w:r w:rsidR="00D106D8" w:rsidRPr="00216027">
        <w:rPr>
          <w:i w:val="0"/>
        </w:rPr>
        <w:instrText xml:space="preserve"> TC "</w:instrText>
      </w:r>
      <w:bookmarkStart w:id="199" w:name="_Toc325975207"/>
      <w:bookmarkStart w:id="200" w:name="_Toc390690216"/>
      <w:r w:rsidR="00D106D8" w:rsidRPr="00216027">
        <w:rPr>
          <w:i w:val="0"/>
        </w:rPr>
        <w:instrText xml:space="preserve">Figure </w:instrText>
      </w:r>
      <w:r w:rsidR="0020070D">
        <w:rPr>
          <w:i w:val="0"/>
        </w:rPr>
        <w:instrText>3-</w:instrText>
      </w:r>
      <w:r w:rsidR="00D106D8" w:rsidRPr="00216027">
        <w:rPr>
          <w:i w:val="0"/>
        </w:rPr>
        <w:instrText xml:space="preserve">10. </w:instrText>
      </w:r>
      <w:r w:rsidR="00D106D8" w:rsidRPr="00216027">
        <w:rPr>
          <w:i w:val="0"/>
          <w:noProof/>
        </w:rPr>
        <w:instrText>R</w:instrText>
      </w:r>
      <w:r w:rsidR="00D106D8" w:rsidRPr="00216027">
        <w:rPr>
          <w:i w:val="0"/>
          <w:noProof/>
          <w:lang w:val="en-US"/>
        </w:rPr>
        <w:instrText>eversible jump Markov Chain Monte Carlo (RJ-McMC) inversion of one of 9 representative sections in the AEM data (near borehole BHMAR08-1)</w:instrText>
      </w:r>
      <w:r w:rsidR="00D106D8" w:rsidRPr="00216027">
        <w:rPr>
          <w:i w:val="0"/>
          <w:noProof/>
          <w:szCs w:val="20"/>
          <w:lang w:val="en-US"/>
        </w:rPr>
        <w:instrText>.</w:instrText>
      </w:r>
      <w:bookmarkEnd w:id="199"/>
      <w:bookmarkEnd w:id="200"/>
      <w:r w:rsidR="00D106D8" w:rsidRPr="00216027">
        <w:rPr>
          <w:i w:val="0"/>
        </w:rPr>
        <w:instrText xml:space="preserve">" \f A \l “4” </w:instrText>
      </w:r>
      <w:r w:rsidR="00D106D8" w:rsidRPr="00216027">
        <w:rPr>
          <w:i w:val="0"/>
        </w:rPr>
        <w:fldChar w:fldCharType="end"/>
      </w:r>
    </w:p>
    <w:p w:rsidR="00CA355D" w:rsidRDefault="00CA355D" w:rsidP="00CA355D">
      <w:pPr>
        <w:pStyle w:val="Heading3"/>
        <w:tabs>
          <w:tab w:val="clear" w:pos="907"/>
          <w:tab w:val="left" w:pos="1080"/>
        </w:tabs>
        <w:spacing w:before="320"/>
        <w:ind w:left="1080" w:hanging="1080"/>
      </w:pPr>
      <w:bookmarkStart w:id="201" w:name="_Toc355796766"/>
      <w:bookmarkStart w:id="202" w:name="_Toc390690100"/>
      <w:bookmarkEnd w:id="201"/>
      <w:r>
        <w:lastRenderedPageBreak/>
        <w:t>Customised Interpretation Products</w:t>
      </w:r>
      <w:bookmarkEnd w:id="202"/>
    </w:p>
    <w:p w:rsidR="00CA355D" w:rsidRDefault="00CA355D" w:rsidP="00CA355D">
      <w:pPr>
        <w:tabs>
          <w:tab w:val="center" w:pos="4800"/>
          <w:tab w:val="right" w:pos="9500"/>
        </w:tabs>
        <w:rPr>
          <w:noProof/>
          <w:lang w:val="en-US"/>
        </w:rPr>
      </w:pPr>
      <w:r w:rsidRPr="00E74DB1">
        <w:rPr>
          <w:noProof/>
          <w:lang w:val="en-US"/>
        </w:rPr>
        <w:t xml:space="preserve">A suite of customized interpretation products were produced through integration of AEM data with </w:t>
      </w:r>
      <w:r>
        <w:rPr>
          <w:noProof/>
          <w:lang w:val="en-US"/>
        </w:rPr>
        <w:t xml:space="preserve">the other project datasets, notably the information from </w:t>
      </w:r>
      <w:r w:rsidRPr="00E74DB1">
        <w:rPr>
          <w:noProof/>
          <w:lang w:val="en-US"/>
        </w:rPr>
        <w:t>40 new rotary mud and 60 sonic-cored hole</w:t>
      </w:r>
      <w:r>
        <w:rPr>
          <w:noProof/>
          <w:lang w:val="en-US"/>
        </w:rPr>
        <w:t>s. Data obtained from the drilling</w:t>
      </w:r>
      <w:r w:rsidRPr="00E74DB1">
        <w:rPr>
          <w:noProof/>
          <w:lang w:val="en-US"/>
        </w:rPr>
        <w:t xml:space="preserve"> program includes: sedimentary facies, textures (including grain size), mineralogy, redox state and whole rock geochemistry; hydrogeophysical data (nuclear magnetic resonance (NMR), induction and gamma logs); hydraulic data (from slug and pump tests), hydrochemistry (from groundwater and porefluid samples), and hydrodynamic data from the monitoring of groundwater levels in 40 boreholes pre- and post-flooding in 2010-2011. </w:t>
      </w:r>
    </w:p>
    <w:p w:rsidR="00CA355D" w:rsidRPr="00E74DB1" w:rsidRDefault="00CA355D" w:rsidP="00CA355D">
      <w:pPr>
        <w:tabs>
          <w:tab w:val="center" w:pos="4800"/>
          <w:tab w:val="right" w:pos="9500"/>
        </w:tabs>
        <w:rPr>
          <w:noProof/>
          <w:lang w:val="en-US"/>
        </w:rPr>
      </w:pPr>
    </w:p>
    <w:p w:rsidR="00CA355D" w:rsidRPr="00E74DB1" w:rsidRDefault="00CA355D" w:rsidP="00CA355D">
      <w:pPr>
        <w:tabs>
          <w:tab w:val="center" w:pos="4800"/>
          <w:tab w:val="right" w:pos="9500"/>
        </w:tabs>
        <w:rPr>
          <w:noProof/>
          <w:lang w:val="en-US"/>
        </w:rPr>
      </w:pPr>
      <w:r w:rsidRPr="00E74DB1">
        <w:rPr>
          <w:noProof/>
          <w:lang w:val="en-US"/>
        </w:rPr>
        <w:t>Customised interpretation products developed through integration of these datasets include maps of:</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The sedimentary system including the location of palaeochannels with</w:t>
      </w:r>
      <w:r w:rsidRPr="00DF0CAB">
        <w:rPr>
          <w:color w:val="333333"/>
          <w:sz w:val="22"/>
          <w:szCs w:val="22"/>
          <w:lang w:val="en-AU"/>
        </w:rPr>
        <w:t xml:space="preserve"> favourable</w:t>
      </w:r>
      <w:r w:rsidRPr="00E74DB1">
        <w:rPr>
          <w:color w:val="333333"/>
          <w:sz w:val="22"/>
          <w:szCs w:val="22"/>
        </w:rPr>
        <w:t xml:space="preserve"> hydraulic properties;</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 xml:space="preserve">Hydrostratigraphy including the thickness, extent and depth to unconfined and confined aquifers; </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The thickness, extent, depth to, and holes in confining aquitards;</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Textural classes within the clastic sedimentary system;</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 xml:space="preserve">Neotectonic elements including faults that might act as potential recharge, inter-aquifer leakage and groundwater flow pathways; </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 xml:space="preserve">Groundwater salinity (to help define </w:t>
      </w:r>
      <w:r w:rsidR="000F55FD">
        <w:rPr>
          <w:color w:val="333333"/>
          <w:sz w:val="22"/>
          <w:szCs w:val="22"/>
        </w:rPr>
        <w:t>‘good’</w:t>
      </w:r>
      <w:r w:rsidRPr="00E74DB1">
        <w:rPr>
          <w:color w:val="333333"/>
          <w:sz w:val="22"/>
          <w:szCs w:val="22"/>
        </w:rPr>
        <w:t>, ‘acceptable’ and brackish groundwater resources, and potential zones of salinity ingress), and salt store in the unsaturated zone;</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Zones of inter-aquifer leakage;</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Aquifer transmissivity;</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MAR storage volumes;</w:t>
      </w:r>
    </w:p>
    <w:p w:rsidR="00CA355D" w:rsidRPr="00E74DB1" w:rsidRDefault="00CA355D" w:rsidP="00256855">
      <w:pPr>
        <w:pStyle w:val="Bulletlevel1"/>
        <w:numPr>
          <w:ilvl w:val="0"/>
          <w:numId w:val="65"/>
        </w:numPr>
        <w:ind w:left="426" w:hanging="284"/>
        <w:rPr>
          <w:color w:val="333333"/>
          <w:sz w:val="22"/>
          <w:szCs w:val="22"/>
        </w:rPr>
      </w:pPr>
      <w:r w:rsidRPr="00E74DB1">
        <w:rPr>
          <w:color w:val="333333"/>
          <w:sz w:val="22"/>
          <w:szCs w:val="22"/>
        </w:rPr>
        <w:t>Groundwater storage estimates in various water quality classes (0-600; 600-1200; and 1200-3000 mg/L).</w:t>
      </w:r>
    </w:p>
    <w:p w:rsidR="00CA355D" w:rsidRDefault="00CA355D" w:rsidP="00CA355D">
      <w:pPr>
        <w:tabs>
          <w:tab w:val="center" w:pos="4800"/>
          <w:tab w:val="right" w:pos="9500"/>
        </w:tabs>
        <w:rPr>
          <w:noProof/>
          <w:lang w:val="en-US"/>
        </w:rPr>
      </w:pPr>
    </w:p>
    <w:p w:rsidR="00CA355D" w:rsidRPr="00E74DB1" w:rsidRDefault="00CA355D" w:rsidP="00CA355D">
      <w:pPr>
        <w:tabs>
          <w:tab w:val="center" w:pos="4800"/>
          <w:tab w:val="right" w:pos="9500"/>
        </w:tabs>
        <w:rPr>
          <w:noProof/>
          <w:lang w:val="en-US"/>
        </w:rPr>
      </w:pPr>
      <w:r>
        <w:rPr>
          <w:noProof/>
          <w:lang w:val="en-US"/>
        </w:rPr>
        <w:t>Development of these customised interpretation</w:t>
      </w:r>
      <w:r w:rsidRPr="00E74DB1">
        <w:rPr>
          <w:noProof/>
          <w:lang w:val="en-US"/>
        </w:rPr>
        <w:t xml:space="preserve"> products </w:t>
      </w:r>
      <w:r>
        <w:rPr>
          <w:noProof/>
          <w:lang w:val="en-US"/>
        </w:rPr>
        <w:t xml:space="preserve">was critical to the completion of </w:t>
      </w:r>
      <w:r w:rsidRPr="00E74DB1">
        <w:rPr>
          <w:noProof/>
          <w:lang w:val="en-US"/>
        </w:rPr>
        <w:t xml:space="preserve">MAR risk assessments </w:t>
      </w:r>
      <w:r>
        <w:rPr>
          <w:noProof/>
          <w:lang w:val="en-US"/>
        </w:rPr>
        <w:t>and the assessment of potential groundwater resources.</w:t>
      </w:r>
    </w:p>
    <w:p w:rsidR="00CA355D" w:rsidRDefault="00CA355D" w:rsidP="00CA355D"/>
    <w:p w:rsidR="00B51C2E" w:rsidRPr="00FC0827" w:rsidRDefault="00B004B9" w:rsidP="00DD022A">
      <w:pPr>
        <w:pStyle w:val="Heading1"/>
        <w:tabs>
          <w:tab w:val="clear" w:pos="360"/>
          <w:tab w:val="num" w:pos="720"/>
        </w:tabs>
        <w:ind w:left="720" w:hanging="720"/>
      </w:pPr>
      <w:bookmarkStart w:id="203" w:name="_Ref325644473"/>
      <w:bookmarkStart w:id="204" w:name="_Toc325700086"/>
      <w:bookmarkStart w:id="205" w:name="_Toc325700429"/>
      <w:bookmarkStart w:id="206" w:name="_Toc325975110"/>
      <w:r>
        <w:br w:type="page"/>
      </w:r>
      <w:bookmarkStart w:id="207" w:name="_Toc390690101"/>
      <w:r w:rsidR="00DD022A">
        <w:lastRenderedPageBreak/>
        <w:t xml:space="preserve">MAR and </w:t>
      </w:r>
      <w:r w:rsidR="00B51C2E">
        <w:t>MAR Risk Assessment Framework</w:t>
      </w:r>
      <w:bookmarkEnd w:id="203"/>
      <w:bookmarkEnd w:id="204"/>
      <w:bookmarkEnd w:id="205"/>
      <w:bookmarkEnd w:id="206"/>
      <w:bookmarkEnd w:id="207"/>
    </w:p>
    <w:p w:rsidR="00B51C2E" w:rsidRDefault="00C6655F" w:rsidP="004053EE">
      <w:pPr>
        <w:pStyle w:val="Heading2"/>
        <w:tabs>
          <w:tab w:val="left" w:pos="720"/>
        </w:tabs>
        <w:spacing w:before="320"/>
      </w:pPr>
      <w:bookmarkStart w:id="208" w:name="_Toc325700087"/>
      <w:bookmarkStart w:id="209" w:name="_Toc325700430"/>
      <w:bookmarkStart w:id="210" w:name="_Toc325975111"/>
      <w:bookmarkStart w:id="211" w:name="_Toc390690102"/>
      <w:r>
        <w:t>Managed A</w:t>
      </w:r>
      <w:r w:rsidR="00B51C2E">
        <w:t xml:space="preserve">quifer </w:t>
      </w:r>
      <w:r>
        <w:t>R</w:t>
      </w:r>
      <w:r w:rsidR="00B51C2E">
        <w:t>echarge (MAR)</w:t>
      </w:r>
      <w:bookmarkEnd w:id="208"/>
      <w:bookmarkEnd w:id="209"/>
      <w:bookmarkEnd w:id="210"/>
      <w:bookmarkEnd w:id="211"/>
    </w:p>
    <w:p w:rsidR="00B51C2E" w:rsidRDefault="00B51C2E" w:rsidP="00B51C2E">
      <w:pPr>
        <w:autoSpaceDE w:val="0"/>
        <w:autoSpaceDN w:val="0"/>
        <w:adjustRightInd w:val="0"/>
      </w:pPr>
      <w:r>
        <w:t xml:space="preserve">Managed Aquifer Recharge (MAR) covers a range of on-ground works that seek to deliberately increase the volume of </w:t>
      </w:r>
      <w:r w:rsidR="003721DD">
        <w:t xml:space="preserve">useable </w:t>
      </w:r>
      <w:r>
        <w:t xml:space="preserve">water stored in an aquifer for recovery at a later date. </w:t>
      </w:r>
      <w:r w:rsidR="00EA52F3">
        <w:t>In this way, g</w:t>
      </w:r>
      <w:r>
        <w:t xml:space="preserve">roundwater recharge is enhanced, rather than solely relying on natural processes such as rainfall or river leakage to replenish the aquifer storage. There </w:t>
      </w:r>
      <w:r w:rsidR="00497AD3">
        <w:t>are a number</w:t>
      </w:r>
      <w:r w:rsidRPr="0060059D">
        <w:t xml:space="preserve"> of </w:t>
      </w:r>
      <w:r w:rsidR="00497AD3">
        <w:t xml:space="preserve">different </w:t>
      </w:r>
      <w:r w:rsidRPr="0060059D">
        <w:t xml:space="preserve">methods </w:t>
      </w:r>
      <w:r w:rsidR="00497AD3">
        <w:t xml:space="preserve">and landscape settings where </w:t>
      </w:r>
      <w:r w:rsidRPr="0060059D">
        <w:t xml:space="preserve">MAR </w:t>
      </w:r>
      <w:r w:rsidR="00497AD3">
        <w:t xml:space="preserve">is utilised </w:t>
      </w:r>
      <w:r w:rsidRPr="0060059D">
        <w:t>(</w:t>
      </w:r>
      <w:r>
        <w:t>Dillon</w:t>
      </w:r>
      <w:r w:rsidR="008A5F7D" w:rsidRPr="00CF7613">
        <w:rPr>
          <w:rStyle w:val="StyleItalic"/>
        </w:rPr>
        <w:t xml:space="preserve"> et al</w:t>
      </w:r>
      <w:r w:rsidRPr="00CF7613">
        <w:rPr>
          <w:rStyle w:val="StyleItalic"/>
        </w:rPr>
        <w:t>.</w:t>
      </w:r>
      <w:r>
        <w:t>, 2005</w:t>
      </w:r>
      <w:r w:rsidRPr="0060059D">
        <w:t>)</w:t>
      </w:r>
      <w:r w:rsidR="00497AD3">
        <w:t>. Two examples focussed on in this report are</w:t>
      </w:r>
      <w:r w:rsidR="00EA52F3">
        <w:t xml:space="preserve"> Aquifer Storage and Recovery (ASR)</w:t>
      </w:r>
      <w:r w:rsidR="00497AD3">
        <w:t>, and bank filtration augmentation of ASR (</w:t>
      </w:r>
      <w:r w:rsidR="00497AD3" w:rsidRPr="00497AD3">
        <w:fldChar w:fldCharType="begin"/>
      </w:r>
      <w:r w:rsidR="00497AD3" w:rsidRPr="00497AD3">
        <w:instrText xml:space="preserve"> REF _Ref325707328 \h  \* MERGEFORMAT </w:instrText>
      </w:r>
      <w:r w:rsidR="00497AD3" w:rsidRPr="00497AD3">
        <w:fldChar w:fldCharType="separate"/>
      </w:r>
      <w:r w:rsidR="00966532" w:rsidRPr="00966532">
        <w:t xml:space="preserve">Figure </w:t>
      </w:r>
      <w:r w:rsidR="00966532" w:rsidRPr="00966532">
        <w:rPr>
          <w:noProof/>
        </w:rPr>
        <w:t>4</w:t>
      </w:r>
      <w:r w:rsidR="00966532" w:rsidRPr="00966532">
        <w:rPr>
          <w:noProof/>
        </w:rPr>
        <w:noBreakHyphen/>
        <w:t>1</w:t>
      </w:r>
      <w:r w:rsidR="00497AD3" w:rsidRPr="00497AD3">
        <w:fldChar w:fldCharType="end"/>
      </w:r>
      <w:r w:rsidR="00497AD3">
        <w:t>)</w:t>
      </w:r>
      <w:r w:rsidRPr="0060059D">
        <w:t xml:space="preserve">. Worldwide, there is general acceptance that </w:t>
      </w:r>
      <w:smartTag w:uri="urn:schemas-microsoft-com:office:smarttags" w:element="stockticker">
        <w:r w:rsidRPr="0060059D">
          <w:t>MAR</w:t>
        </w:r>
      </w:smartTag>
      <w:r w:rsidRPr="0060059D">
        <w:t xml:space="preserve"> is a safe and effective way to enhance water security for communities in the face of</w:t>
      </w:r>
      <w:r>
        <w:t xml:space="preserve"> climate variability and longer-</w:t>
      </w:r>
      <w:r w:rsidRPr="0060059D">
        <w:t xml:space="preserve">term climate change. </w:t>
      </w:r>
      <w:smartTag w:uri="urn:schemas-microsoft-com:office:smarttags" w:element="stockticker">
        <w:r w:rsidRPr="0060059D">
          <w:t>MAR</w:t>
        </w:r>
      </w:smartTag>
      <w:r w:rsidRPr="0060059D">
        <w:t xml:space="preserve"> is used </w:t>
      </w:r>
      <w:r>
        <w:t>as part of the potable water supply infrastructure for</w:t>
      </w:r>
      <w:r w:rsidRPr="0060059D">
        <w:t xml:space="preserve"> major conurbations internationally. Th</w:t>
      </w:r>
      <w:r>
        <w:t xml:space="preserve">is </w:t>
      </w:r>
      <w:r w:rsidRPr="0060059D">
        <w:t>include</w:t>
      </w:r>
      <w:r>
        <w:t>s</w:t>
      </w:r>
      <w:r w:rsidRPr="0060059D">
        <w:t xml:space="preserve"> the cities of </w:t>
      </w:r>
      <w:smartTag w:uri="urn:schemas-microsoft-com:office:smarttags" w:element="City">
        <w:r w:rsidRPr="0060059D">
          <w:t>London</w:t>
        </w:r>
      </w:smartTag>
      <w:r w:rsidRPr="0060059D">
        <w:t xml:space="preserve">, </w:t>
      </w:r>
      <w:smartTag w:uri="urn:schemas-microsoft-com:office:smarttags" w:element="City">
        <w:r w:rsidRPr="0060059D">
          <w:t>Los Angeles</w:t>
        </w:r>
      </w:smartTag>
      <w:r w:rsidRPr="0060059D">
        <w:t xml:space="preserve">, </w:t>
      </w:r>
      <w:smartTag w:uri="urn:schemas-microsoft-com:office:smarttags" w:element="City">
        <w:r w:rsidRPr="0060059D">
          <w:t>Phoenix</w:t>
        </w:r>
      </w:smartTag>
      <w:r w:rsidRPr="0060059D">
        <w:t xml:space="preserve">, </w:t>
      </w:r>
      <w:smartTag w:uri="urn:schemas-microsoft-com:office:smarttags" w:element="City">
        <w:r w:rsidRPr="0060059D">
          <w:t>Tu</w:t>
        </w:r>
        <w:r>
          <w:t>cs</w:t>
        </w:r>
        <w:r w:rsidRPr="0060059D">
          <w:t>on</w:t>
        </w:r>
      </w:smartTag>
      <w:r w:rsidRPr="0060059D">
        <w:t xml:space="preserve">, many cities in </w:t>
      </w:r>
      <w:smartTag w:uri="urn:schemas-microsoft-com:office:smarttags" w:element="State">
        <w:r w:rsidRPr="0060059D">
          <w:t>Florida</w:t>
        </w:r>
      </w:smartTag>
      <w:r w:rsidRPr="0060059D">
        <w:t xml:space="preserve">, </w:t>
      </w:r>
      <w:smartTag w:uri="urn:schemas-microsoft-com:office:smarttags" w:element="State">
        <w:r w:rsidRPr="0060059D">
          <w:t>Berlin</w:t>
        </w:r>
      </w:smartTag>
      <w:r w:rsidRPr="0060059D">
        <w:t>, Atlantis (</w:t>
      </w:r>
      <w:smartTag w:uri="urn:schemas-microsoft-com:office:smarttags" w:element="country-region">
        <w:r w:rsidRPr="0060059D">
          <w:t>S</w:t>
        </w:r>
        <w:r>
          <w:t>ou</w:t>
        </w:r>
        <w:r w:rsidRPr="0060059D">
          <w:t>th Africa</w:t>
        </w:r>
      </w:smartTag>
      <w:r w:rsidRPr="0060059D">
        <w:t xml:space="preserve">), </w:t>
      </w:r>
      <w:smartTag w:uri="urn:schemas-microsoft-com:office:smarttags" w:element="City">
        <w:r w:rsidRPr="0060059D">
          <w:t>Windhoek</w:t>
        </w:r>
      </w:smartTag>
      <w:r w:rsidRPr="0060059D">
        <w:t xml:space="preserve"> (</w:t>
      </w:r>
      <w:smartTag w:uri="urn:schemas-microsoft-com:office:smarttags" w:element="country-region">
        <w:r w:rsidRPr="0060059D">
          <w:t>Namibia</w:t>
        </w:r>
      </w:smartTag>
      <w:r w:rsidRPr="0060059D">
        <w:t>), Abu Dhabi (UAE) and Majorca (</w:t>
      </w:r>
      <w:smartTag w:uri="urn:schemas-microsoft-com:office:smarttags" w:element="place">
        <w:smartTag w:uri="urn:schemas-microsoft-com:office:smarttags" w:element="country-region">
          <w:r w:rsidRPr="0060059D">
            <w:t>Spain</w:t>
          </w:r>
        </w:smartTag>
      </w:smartTag>
      <w:r w:rsidRPr="0060059D">
        <w:t xml:space="preserve">). </w:t>
      </w:r>
    </w:p>
    <w:p w:rsidR="00B51C2E" w:rsidRDefault="00B51C2E" w:rsidP="00B51C2E">
      <w:pPr>
        <w:autoSpaceDE w:val="0"/>
        <w:autoSpaceDN w:val="0"/>
        <w:adjustRightInd w:val="0"/>
      </w:pPr>
    </w:p>
    <w:p w:rsidR="00B51C2E" w:rsidRDefault="00B51C2E" w:rsidP="00B51C2E">
      <w:pPr>
        <w:autoSpaceDE w:val="0"/>
        <w:autoSpaceDN w:val="0"/>
        <w:adjustRightInd w:val="0"/>
        <w:rPr>
          <w:szCs w:val="22"/>
        </w:rPr>
      </w:pPr>
      <w:r>
        <w:t xml:space="preserve">The first and largest MAR scheme in </w:t>
      </w:r>
      <w:smartTag w:uri="urn:schemas-microsoft-com:office:smarttags" w:element="place">
        <w:smartTag w:uri="urn:schemas-microsoft-com:office:smarttags" w:element="country-region">
          <w:r>
            <w:t>Australia</w:t>
          </w:r>
        </w:smartTag>
      </w:smartTag>
      <w:r>
        <w:t xml:space="preserve"> was established in 1965 in the Burdekin Irrigation District, Queensland. In this scheme, a network of surface lagoons and recharge infiltration pits/ponds are used to replenish the underlying aquifer for later extraction for irrigated agriculture. </w:t>
      </w:r>
      <w:r w:rsidRPr="0060059D">
        <w:t xml:space="preserve">In </w:t>
      </w:r>
      <w:smartTag w:uri="urn:schemas-microsoft-com:office:smarttags" w:element="place">
        <w:smartTag w:uri="urn:schemas-microsoft-com:office:smarttags" w:element="country-region">
          <w:r w:rsidRPr="0060059D">
            <w:t>Australia</w:t>
          </w:r>
        </w:smartTag>
      </w:smartTag>
      <w:r w:rsidRPr="0060059D">
        <w:t xml:space="preserve">, the Warruwi (NT) scheme is </w:t>
      </w:r>
      <w:r>
        <w:t xml:space="preserve">currently </w:t>
      </w:r>
      <w:r w:rsidRPr="0060059D">
        <w:t xml:space="preserve">the </w:t>
      </w:r>
      <w:r>
        <w:t>only on</w:t>
      </w:r>
      <w:r w:rsidRPr="0060059D">
        <w:t xml:space="preserve">e </w:t>
      </w:r>
      <w:r>
        <w:t>established</w:t>
      </w:r>
      <w:r w:rsidRPr="0060059D">
        <w:t xml:space="preserve"> with a</w:t>
      </w:r>
      <w:r>
        <w:t>n operational</w:t>
      </w:r>
      <w:r w:rsidRPr="0060059D">
        <w:t xml:space="preserve"> potable </w:t>
      </w:r>
      <w:smartTag w:uri="urn:schemas-microsoft-com:office:smarttags" w:element="stockticker">
        <w:r w:rsidRPr="0060059D">
          <w:t>ASR</w:t>
        </w:r>
      </w:smartTag>
      <w:r w:rsidRPr="0060059D">
        <w:t xml:space="preserve"> supply (Page</w:t>
      </w:r>
      <w:r w:rsidR="008A5F7D" w:rsidRPr="00CF7613">
        <w:rPr>
          <w:rStyle w:val="StyleItalic"/>
        </w:rPr>
        <w:t xml:space="preserve"> et al</w:t>
      </w:r>
      <w:r w:rsidRPr="0060059D">
        <w:t>., 2010</w:t>
      </w:r>
      <w:r w:rsidR="003015AB">
        <w:t>a</w:t>
      </w:r>
      <w:r w:rsidRPr="0060059D">
        <w:t xml:space="preserve">). </w:t>
      </w:r>
      <w:r>
        <w:t xml:space="preserve">Perth (WA) has a significant passive recharge system while the </w:t>
      </w:r>
      <w:r w:rsidRPr="0060059D">
        <w:t xml:space="preserve">Beenyup, </w:t>
      </w:r>
      <w:r>
        <w:t xml:space="preserve">WA </w:t>
      </w:r>
      <w:smartTag w:uri="urn:schemas-microsoft-com:office:smarttags" w:element="PersonName">
        <w:r>
          <w:t>Groundwater</w:t>
        </w:r>
      </w:smartTag>
      <w:r>
        <w:t xml:space="preserve"> Replenishment </w:t>
      </w:r>
      <w:r w:rsidRPr="0060059D">
        <w:t xml:space="preserve">Project trial commenced </w:t>
      </w:r>
      <w:r>
        <w:t xml:space="preserve">in </w:t>
      </w:r>
      <w:r w:rsidRPr="0060059D">
        <w:t xml:space="preserve">2009. </w:t>
      </w:r>
      <w:r>
        <w:t>The latter</w:t>
      </w:r>
      <w:r w:rsidRPr="0060059D">
        <w:t xml:space="preserve"> will help sustain drinking water supplies for </w:t>
      </w:r>
      <w:smartTag w:uri="urn:schemas-microsoft-com:office:smarttags" w:element="place">
        <w:smartTag w:uri="urn:schemas-microsoft-com:office:smarttags" w:element="City">
          <w:r w:rsidRPr="0060059D">
            <w:t>Perth</w:t>
          </w:r>
        </w:smartTag>
      </w:smartTag>
      <w:r>
        <w:t xml:space="preserve"> (Martin</w:t>
      </w:r>
      <w:r w:rsidR="008A5F7D" w:rsidRPr="00CF7613">
        <w:rPr>
          <w:rStyle w:val="StyleItalic"/>
        </w:rPr>
        <w:t xml:space="preserve"> et al</w:t>
      </w:r>
      <w:r>
        <w:t xml:space="preserve">., </w:t>
      </w:r>
      <w:r w:rsidRPr="0060059D">
        <w:t>20</w:t>
      </w:r>
      <w:r>
        <w:t>09</w:t>
      </w:r>
      <w:r w:rsidRPr="0060059D">
        <w:t>)</w:t>
      </w:r>
      <w:r>
        <w:t xml:space="preserve">. There are also </w:t>
      </w:r>
      <w:r w:rsidRPr="0060059D">
        <w:t xml:space="preserve">a number of schemes in the trial and </w:t>
      </w:r>
      <w:r>
        <w:t xml:space="preserve">design phases, while </w:t>
      </w:r>
      <w:smartTag w:uri="urn:schemas-microsoft-com:office:smarttags" w:element="stockticker">
        <w:r>
          <w:t>MAR</w:t>
        </w:r>
      </w:smartTag>
      <w:r>
        <w:t xml:space="preserve"> is used more widely for a variety of non-potable supply purposes in </w:t>
      </w:r>
      <w:smartTag w:uri="urn:schemas-microsoft-com:office:smarttags" w:element="place">
        <w:smartTag w:uri="urn:schemas-microsoft-com:office:smarttags" w:element="country-region">
          <w:r>
            <w:t>Australia</w:t>
          </w:r>
        </w:smartTag>
      </w:smartTag>
      <w:r w:rsidRPr="00B107BC">
        <w:t xml:space="preserve">. Mt Gambier, SA relies on intentional recharge of stormwater via wells to maintain </w:t>
      </w:r>
      <w:smartTag w:uri="urn:schemas-microsoft-com:office:smarttags" w:element="place">
        <w:smartTag w:uri="urn:schemas-microsoft-com:office:smarttags" w:element="PlaceName">
          <w:r w:rsidRPr="00B107BC">
            <w:t>Blue</w:t>
          </w:r>
        </w:smartTag>
        <w:r w:rsidRPr="00B107BC">
          <w:t xml:space="preserve"> </w:t>
        </w:r>
        <w:smartTag w:uri="urn:schemas-microsoft-com:office:smarttags" w:element="PlaceType">
          <w:r w:rsidRPr="00B107BC">
            <w:t>Lake</w:t>
          </w:r>
        </w:smartTag>
      </w:smartTag>
      <w:r w:rsidRPr="00B107BC">
        <w:t xml:space="preserve"> groundwater levels (Page</w:t>
      </w:r>
      <w:r w:rsidR="008A5F7D" w:rsidRPr="00CF7613">
        <w:rPr>
          <w:rStyle w:val="StyleItalic"/>
        </w:rPr>
        <w:t xml:space="preserve"> et al</w:t>
      </w:r>
      <w:r w:rsidRPr="00B107BC">
        <w:t>., 2010</w:t>
      </w:r>
      <w:r w:rsidR="003015AB">
        <w:t>a</w:t>
      </w:r>
      <w:r w:rsidRPr="00B107BC">
        <w:t>). Risk management plans are in place for Warruwi and Beenyup, and being finalised for Mt Gambier, with no unexpected management identified issues at any site.</w:t>
      </w:r>
      <w:r>
        <w:t xml:space="preserve"> In the </w:t>
      </w:r>
      <w:r w:rsidR="000F55FD">
        <w:t xml:space="preserve">BHMAR </w:t>
      </w:r>
      <w:r>
        <w:t xml:space="preserve">project area, </w:t>
      </w:r>
      <w:r>
        <w:rPr>
          <w:szCs w:val="22"/>
        </w:rPr>
        <w:t xml:space="preserve">the only previous MAR study modelled a scenario with one year injection, storage for </w:t>
      </w:r>
      <w:r w:rsidR="00E06D3F">
        <w:rPr>
          <w:szCs w:val="22"/>
        </w:rPr>
        <w:t>eight</w:t>
      </w:r>
      <w:r>
        <w:rPr>
          <w:szCs w:val="22"/>
        </w:rPr>
        <w:t xml:space="preserve"> years, and extraction over an 18 month period</w:t>
      </w:r>
      <w:r w:rsidRPr="000F1260">
        <w:rPr>
          <w:szCs w:val="22"/>
        </w:rPr>
        <w:t xml:space="preserve"> </w:t>
      </w:r>
      <w:r>
        <w:rPr>
          <w:szCs w:val="22"/>
        </w:rPr>
        <w:t>(SKM, 2009).</w:t>
      </w:r>
    </w:p>
    <w:p w:rsidR="00B51C2E" w:rsidRDefault="00B51C2E" w:rsidP="00B51C2E">
      <w:pPr>
        <w:autoSpaceDE w:val="0"/>
        <w:autoSpaceDN w:val="0"/>
        <w:adjustRightInd w:val="0"/>
      </w:pPr>
    </w:p>
    <w:p w:rsidR="00B51C2E" w:rsidRDefault="00B51C2E" w:rsidP="00B51C2E">
      <w:pPr>
        <w:autoSpaceDE w:val="0"/>
        <w:autoSpaceDN w:val="0"/>
        <w:adjustRightInd w:val="0"/>
        <w:rPr>
          <w:szCs w:val="22"/>
        </w:rPr>
      </w:pPr>
      <w:r>
        <w:rPr>
          <w:szCs w:val="22"/>
        </w:rPr>
        <w:t xml:space="preserve">Storage of water in aquifers has a number of advantages over surface storages, particularly in arid and semi-arid areas of </w:t>
      </w:r>
      <w:smartTag w:uri="urn:schemas-microsoft-com:office:smarttags" w:element="place">
        <w:smartTag w:uri="urn:schemas-microsoft-com:office:smarttags" w:element="country-region">
          <w:r>
            <w:rPr>
              <w:szCs w:val="22"/>
            </w:rPr>
            <w:t>Australia</w:t>
          </w:r>
        </w:smartTag>
      </w:smartTag>
      <w:r>
        <w:rPr>
          <w:szCs w:val="22"/>
        </w:rPr>
        <w:t>. Some of the benefits are summarised below:</w:t>
      </w:r>
    </w:p>
    <w:p w:rsidR="00B51C2E" w:rsidRDefault="00B51C2E" w:rsidP="00B51C2E">
      <w:pPr>
        <w:numPr>
          <w:ilvl w:val="0"/>
          <w:numId w:val="12"/>
        </w:numPr>
        <w:tabs>
          <w:tab w:val="num" w:pos="900"/>
        </w:tabs>
        <w:spacing w:before="60"/>
        <w:ind w:left="896" w:hanging="357"/>
        <w:rPr>
          <w:szCs w:val="22"/>
        </w:rPr>
      </w:pPr>
      <w:r>
        <w:rPr>
          <w:szCs w:val="22"/>
        </w:rPr>
        <w:t xml:space="preserve">Surface water storages in arid and semi-arid areas of </w:t>
      </w:r>
      <w:smartTag w:uri="urn:schemas-microsoft-com:office:smarttags" w:element="place">
        <w:smartTag w:uri="urn:schemas-microsoft-com:office:smarttags" w:element="country-region">
          <w:r>
            <w:rPr>
              <w:szCs w:val="22"/>
            </w:rPr>
            <w:t>Australia</w:t>
          </w:r>
        </w:smartTag>
      </w:smartTag>
      <w:r>
        <w:rPr>
          <w:szCs w:val="22"/>
        </w:rPr>
        <w:t xml:space="preserve"> experience very high losses due to evaporation. This loss is eliminated through use of sub-surface aquifer storage;</w:t>
      </w:r>
    </w:p>
    <w:p w:rsidR="00B51C2E" w:rsidRDefault="00B51C2E" w:rsidP="00B51C2E">
      <w:pPr>
        <w:numPr>
          <w:ilvl w:val="0"/>
          <w:numId w:val="12"/>
        </w:numPr>
        <w:tabs>
          <w:tab w:val="num" w:pos="900"/>
        </w:tabs>
        <w:spacing w:before="60"/>
        <w:ind w:left="896" w:hanging="357"/>
        <w:rPr>
          <w:szCs w:val="22"/>
        </w:rPr>
      </w:pPr>
      <w:r>
        <w:rPr>
          <w:szCs w:val="22"/>
        </w:rPr>
        <w:t>Water saved through elimination of evaporative losses frees up water for environment flows or use for alternative purposes (e.g. irrigation or community water supply);</w:t>
      </w:r>
    </w:p>
    <w:p w:rsidR="00B51C2E" w:rsidRDefault="00B51C2E" w:rsidP="00B51C2E">
      <w:pPr>
        <w:numPr>
          <w:ilvl w:val="0"/>
          <w:numId w:val="12"/>
        </w:numPr>
        <w:tabs>
          <w:tab w:val="num" w:pos="900"/>
        </w:tabs>
        <w:spacing w:before="60"/>
        <w:ind w:left="896" w:hanging="357"/>
        <w:rPr>
          <w:szCs w:val="22"/>
        </w:rPr>
      </w:pPr>
      <w:r>
        <w:rPr>
          <w:szCs w:val="22"/>
        </w:rPr>
        <w:t xml:space="preserve">With a </w:t>
      </w:r>
      <w:smartTag w:uri="urn:schemas-microsoft-com:office:smarttags" w:element="stockticker">
        <w:r>
          <w:rPr>
            <w:szCs w:val="22"/>
          </w:rPr>
          <w:t>MAR</w:t>
        </w:r>
      </w:smartTag>
      <w:r>
        <w:rPr>
          <w:szCs w:val="22"/>
        </w:rPr>
        <w:t xml:space="preserve"> option in place, existing surface storages can be returned to more natural conditions, enhancing the natural environment and wetland ecosystems;</w:t>
      </w:r>
    </w:p>
    <w:p w:rsidR="00B51C2E" w:rsidRDefault="00B51C2E" w:rsidP="00B51C2E">
      <w:pPr>
        <w:numPr>
          <w:ilvl w:val="0"/>
          <w:numId w:val="12"/>
        </w:numPr>
        <w:tabs>
          <w:tab w:val="num" w:pos="900"/>
        </w:tabs>
        <w:spacing w:before="60"/>
        <w:ind w:left="896" w:hanging="357"/>
        <w:rPr>
          <w:szCs w:val="22"/>
        </w:rPr>
      </w:pPr>
      <w:r>
        <w:rPr>
          <w:szCs w:val="22"/>
        </w:rPr>
        <w:t xml:space="preserve">Use of </w:t>
      </w:r>
      <w:smartTag w:uri="urn:schemas-microsoft-com:office:smarttags" w:element="stockticker">
        <w:r>
          <w:rPr>
            <w:szCs w:val="22"/>
          </w:rPr>
          <w:t>MAR</w:t>
        </w:r>
      </w:smartTag>
      <w:r>
        <w:rPr>
          <w:szCs w:val="22"/>
        </w:rPr>
        <w:t xml:space="preserve"> as part of a conjunctive water use scheme means that a surface storage capacity is retained to provide a supply of surface water in times of plenty, and to ensure local amenity values are retained;</w:t>
      </w:r>
    </w:p>
    <w:p w:rsidR="00B51C2E" w:rsidRDefault="00B51C2E" w:rsidP="00B51C2E">
      <w:pPr>
        <w:numPr>
          <w:ilvl w:val="0"/>
          <w:numId w:val="12"/>
        </w:numPr>
        <w:tabs>
          <w:tab w:val="num" w:pos="900"/>
        </w:tabs>
        <w:spacing w:before="60"/>
        <w:ind w:left="896" w:hanging="357"/>
        <w:rPr>
          <w:szCs w:val="22"/>
        </w:rPr>
      </w:pPr>
      <w:r>
        <w:rPr>
          <w:szCs w:val="22"/>
        </w:rPr>
        <w:t xml:space="preserve">National Water Quality and </w:t>
      </w:r>
      <w:smartTag w:uri="urn:schemas-microsoft-com:office:smarttags" w:element="stockticker">
        <w:r>
          <w:rPr>
            <w:szCs w:val="22"/>
          </w:rPr>
          <w:t>MAR</w:t>
        </w:r>
      </w:smartTag>
      <w:r>
        <w:rPr>
          <w:szCs w:val="22"/>
        </w:rPr>
        <w:t xml:space="preserve"> Guidelines for the treatment of potable water means that stringent guidelines have to be followed, with state of the art treatment processing required to ensure delivery of very high quality water with no contaminant or taste issues;</w:t>
      </w:r>
    </w:p>
    <w:p w:rsidR="00B51C2E" w:rsidRDefault="00B51C2E" w:rsidP="00B51C2E">
      <w:pPr>
        <w:numPr>
          <w:ilvl w:val="0"/>
          <w:numId w:val="12"/>
        </w:numPr>
        <w:tabs>
          <w:tab w:val="num" w:pos="900"/>
        </w:tabs>
        <w:spacing w:before="60"/>
        <w:ind w:left="896" w:hanging="357"/>
        <w:rPr>
          <w:szCs w:val="22"/>
        </w:rPr>
      </w:pPr>
      <w:r>
        <w:rPr>
          <w:szCs w:val="22"/>
        </w:rPr>
        <w:t>Purposeful recharge of treated fresh river or lake water to the aquifer leads to improved water quality in the aquifers, from a salinity perspective;</w:t>
      </w:r>
    </w:p>
    <w:p w:rsidR="00B51C2E" w:rsidRDefault="00B51C2E" w:rsidP="00B51C2E">
      <w:pPr>
        <w:numPr>
          <w:ilvl w:val="0"/>
          <w:numId w:val="12"/>
        </w:numPr>
        <w:tabs>
          <w:tab w:val="num" w:pos="900"/>
        </w:tabs>
        <w:spacing w:before="60"/>
        <w:ind w:left="896" w:hanging="357"/>
        <w:rPr>
          <w:szCs w:val="22"/>
        </w:rPr>
      </w:pPr>
      <w:smartTag w:uri="urn:schemas-microsoft-com:office:smarttags" w:element="stockticker">
        <w:r>
          <w:rPr>
            <w:szCs w:val="22"/>
          </w:rPr>
          <w:t>MAR</w:t>
        </w:r>
      </w:smartTag>
      <w:r>
        <w:rPr>
          <w:szCs w:val="22"/>
        </w:rPr>
        <w:t xml:space="preserve"> storage infrastructure has a very small surface footprint, with little impact on landscapes and ecosystems;</w:t>
      </w:r>
    </w:p>
    <w:p w:rsidR="00B51C2E" w:rsidRDefault="00B51C2E" w:rsidP="00B51C2E">
      <w:pPr>
        <w:numPr>
          <w:ilvl w:val="0"/>
          <w:numId w:val="12"/>
        </w:numPr>
        <w:tabs>
          <w:tab w:val="num" w:pos="900"/>
        </w:tabs>
        <w:spacing w:before="60"/>
        <w:ind w:left="896" w:hanging="357"/>
        <w:rPr>
          <w:szCs w:val="22"/>
        </w:rPr>
      </w:pPr>
      <w:smartTag w:uri="urn:schemas-microsoft-com:office:smarttags" w:element="stockticker">
        <w:r>
          <w:rPr>
            <w:szCs w:val="22"/>
          </w:rPr>
          <w:t>MAR</w:t>
        </w:r>
      </w:smartTag>
      <w:r>
        <w:rPr>
          <w:szCs w:val="22"/>
        </w:rPr>
        <w:t xml:space="preserve"> has lower greenhouse gas emissions than alternative water supply options;</w:t>
      </w:r>
    </w:p>
    <w:p w:rsidR="00B51C2E" w:rsidRDefault="00B51C2E" w:rsidP="00B51C2E">
      <w:pPr>
        <w:numPr>
          <w:ilvl w:val="0"/>
          <w:numId w:val="12"/>
        </w:numPr>
        <w:tabs>
          <w:tab w:val="num" w:pos="900"/>
        </w:tabs>
        <w:spacing w:before="60"/>
        <w:ind w:left="896" w:hanging="357"/>
        <w:rPr>
          <w:szCs w:val="22"/>
        </w:rPr>
      </w:pPr>
      <w:smartTag w:uri="urn:schemas-microsoft-com:office:smarttags" w:element="stockticker">
        <w:r>
          <w:rPr>
            <w:szCs w:val="22"/>
          </w:rPr>
          <w:t>MAR</w:t>
        </w:r>
      </w:smartTag>
      <w:r>
        <w:rPr>
          <w:szCs w:val="22"/>
        </w:rPr>
        <w:t xml:space="preserve"> has low capital and operating costs compared to many alternative water supply options;</w:t>
      </w:r>
      <w:r w:rsidR="005E4B77">
        <w:rPr>
          <w:szCs w:val="22"/>
        </w:rPr>
        <w:t xml:space="preserve"> and</w:t>
      </w:r>
    </w:p>
    <w:p w:rsidR="00B51C2E" w:rsidRDefault="00B51C2E" w:rsidP="00B51C2E">
      <w:pPr>
        <w:numPr>
          <w:ilvl w:val="0"/>
          <w:numId w:val="12"/>
        </w:numPr>
        <w:tabs>
          <w:tab w:val="num" w:pos="900"/>
        </w:tabs>
        <w:spacing w:before="60"/>
        <w:ind w:left="896" w:hanging="357"/>
        <w:rPr>
          <w:szCs w:val="22"/>
        </w:rPr>
      </w:pPr>
      <w:r>
        <w:rPr>
          <w:szCs w:val="22"/>
        </w:rPr>
        <w:t>MAR is a more sustainable option than groundwater extraction-only, particularly in semi-arid environments.</w:t>
      </w:r>
    </w:p>
    <w:p w:rsidR="00B51C2E" w:rsidRPr="00404E19" w:rsidRDefault="00B51C2E" w:rsidP="004053EE">
      <w:pPr>
        <w:pStyle w:val="Heading2"/>
        <w:tabs>
          <w:tab w:val="left" w:pos="720"/>
        </w:tabs>
        <w:spacing w:before="320"/>
      </w:pPr>
      <w:bookmarkStart w:id="212" w:name="_Toc325700088"/>
      <w:bookmarkStart w:id="213" w:name="_Toc325700431"/>
      <w:bookmarkStart w:id="214" w:name="_Toc325975112"/>
      <w:bookmarkStart w:id="215" w:name="_Toc390690103"/>
      <w:r>
        <w:lastRenderedPageBreak/>
        <w:t>MAR O</w:t>
      </w:r>
      <w:r w:rsidR="00C6655F">
        <w:t>ptions</w:t>
      </w:r>
      <w:r>
        <w:t xml:space="preserve"> C</w:t>
      </w:r>
      <w:r w:rsidR="00C6655F">
        <w:t>onsidered in</w:t>
      </w:r>
      <w:r>
        <w:t xml:space="preserve"> </w:t>
      </w:r>
      <w:r>
        <w:rPr>
          <w:rFonts w:hint="eastAsia"/>
        </w:rPr>
        <w:t>the</w:t>
      </w:r>
      <w:r>
        <w:t xml:space="preserve"> BHMAR P</w:t>
      </w:r>
      <w:r w:rsidR="00C6655F">
        <w:t>roject</w:t>
      </w:r>
      <w:bookmarkEnd w:id="212"/>
      <w:bookmarkEnd w:id="213"/>
      <w:bookmarkEnd w:id="214"/>
      <w:bookmarkEnd w:id="215"/>
    </w:p>
    <w:p w:rsidR="00B51C2E" w:rsidRPr="00795774" w:rsidRDefault="00B51C2E" w:rsidP="00B51C2E">
      <w:pPr>
        <w:autoSpaceDE w:val="0"/>
        <w:autoSpaceDN w:val="0"/>
        <w:adjustRightInd w:val="0"/>
        <w:rPr>
          <w:szCs w:val="22"/>
        </w:rPr>
      </w:pPr>
      <w:r>
        <w:rPr>
          <w:szCs w:val="22"/>
        </w:rPr>
        <w:t>Of the range of MAR strategies, t</w:t>
      </w:r>
      <w:r w:rsidRPr="00FC0827">
        <w:rPr>
          <w:szCs w:val="22"/>
        </w:rPr>
        <w:t xml:space="preserve">he BHMAR project has assessed </w:t>
      </w:r>
      <w:r>
        <w:rPr>
          <w:szCs w:val="22"/>
        </w:rPr>
        <w:t xml:space="preserve">dune filtration, bank filtration, infiltration </w:t>
      </w:r>
      <w:r w:rsidRPr="00795774">
        <w:rPr>
          <w:szCs w:val="22"/>
        </w:rPr>
        <w:t>basin</w:t>
      </w:r>
      <w:r w:rsidR="00177FC7" w:rsidRPr="00795774">
        <w:rPr>
          <w:szCs w:val="22"/>
        </w:rPr>
        <w:t>s</w:t>
      </w:r>
      <w:r w:rsidRPr="00795774">
        <w:rPr>
          <w:szCs w:val="22"/>
        </w:rPr>
        <w:t>, Aquifer Storage and Recovery (</w:t>
      </w:r>
      <w:smartTag w:uri="urn:schemas-microsoft-com:office:smarttags" w:element="stockticker">
        <w:r w:rsidRPr="00795774">
          <w:rPr>
            <w:szCs w:val="22"/>
          </w:rPr>
          <w:t>A</w:t>
        </w:r>
        <w:smartTag w:uri="urn:schemas-microsoft-com:office:smarttags" w:element="PersonName">
          <w:r w:rsidRPr="00795774">
            <w:rPr>
              <w:szCs w:val="22"/>
            </w:rPr>
            <w:t>SR</w:t>
          </w:r>
        </w:smartTag>
      </w:smartTag>
      <w:r w:rsidRPr="00795774">
        <w:rPr>
          <w:szCs w:val="22"/>
        </w:rPr>
        <w:t>), and Aquifer Storage, Transport and Recovery (ASTR) options</w:t>
      </w:r>
      <w:r w:rsidR="00EA52F3">
        <w:rPr>
          <w:szCs w:val="22"/>
        </w:rPr>
        <w:t>. The two preferred options, ASR and a combination of bank filtration and ASR are shown in</w:t>
      </w:r>
      <w:r w:rsidRPr="00795774">
        <w:rPr>
          <w:szCs w:val="22"/>
        </w:rPr>
        <w:t xml:space="preserve"> </w:t>
      </w:r>
      <w:r w:rsidR="001741E7" w:rsidRPr="00795774">
        <w:rPr>
          <w:szCs w:val="22"/>
        </w:rPr>
        <w:fldChar w:fldCharType="begin"/>
      </w:r>
      <w:r w:rsidR="001741E7" w:rsidRPr="00795774">
        <w:rPr>
          <w:szCs w:val="22"/>
        </w:rPr>
        <w:instrText xml:space="preserve"> REF _Ref325707328 \h </w:instrText>
      </w:r>
      <w:r w:rsidR="00795774" w:rsidRPr="00795774">
        <w:rPr>
          <w:szCs w:val="22"/>
        </w:rPr>
        <w:instrText xml:space="preserve"> \* MERGEFORMAT </w:instrText>
      </w:r>
      <w:r w:rsidR="001741E7" w:rsidRPr="00795774">
        <w:rPr>
          <w:szCs w:val="22"/>
        </w:rPr>
      </w:r>
      <w:r w:rsidR="001741E7" w:rsidRPr="00795774">
        <w:rPr>
          <w:szCs w:val="22"/>
        </w:rPr>
        <w:fldChar w:fldCharType="separate"/>
      </w:r>
      <w:r w:rsidR="00966532" w:rsidRPr="00966532">
        <w:t xml:space="preserve">Figure </w:t>
      </w:r>
      <w:r w:rsidR="00966532" w:rsidRPr="00966532">
        <w:rPr>
          <w:noProof/>
        </w:rPr>
        <w:t>4</w:t>
      </w:r>
      <w:r w:rsidR="00966532" w:rsidRPr="00966532">
        <w:rPr>
          <w:noProof/>
        </w:rPr>
        <w:noBreakHyphen/>
        <w:t>1</w:t>
      </w:r>
      <w:r w:rsidR="001741E7" w:rsidRPr="00795774">
        <w:rPr>
          <w:szCs w:val="22"/>
        </w:rPr>
        <w:fldChar w:fldCharType="end"/>
      </w:r>
      <w:r w:rsidRPr="00795774">
        <w:rPr>
          <w:szCs w:val="22"/>
        </w:rPr>
        <w:t xml:space="preserve">. </w:t>
      </w:r>
    </w:p>
    <w:p w:rsidR="00B51C2E" w:rsidRDefault="00B51C2E" w:rsidP="00B51C2E">
      <w:pPr>
        <w:autoSpaceDE w:val="0"/>
        <w:autoSpaceDN w:val="0"/>
        <w:adjustRightInd w:val="0"/>
        <w:rPr>
          <w:szCs w:val="22"/>
        </w:rPr>
      </w:pPr>
    </w:p>
    <w:p w:rsidR="00B443B8" w:rsidRDefault="00B443B8" w:rsidP="00B443B8">
      <w:pPr>
        <w:autoSpaceDE w:val="0"/>
        <w:autoSpaceDN w:val="0"/>
        <w:adjustRightInd w:val="0"/>
        <w:rPr>
          <w:szCs w:val="22"/>
        </w:rPr>
      </w:pPr>
      <w:r>
        <w:rPr>
          <w:szCs w:val="22"/>
        </w:rPr>
        <w:t xml:space="preserve">ASR </w:t>
      </w:r>
      <w:r w:rsidRPr="00FC0827">
        <w:rPr>
          <w:szCs w:val="22"/>
        </w:rPr>
        <w:t>involves injection</w:t>
      </w:r>
      <w:r w:rsidR="001D1BFC">
        <w:rPr>
          <w:szCs w:val="22"/>
        </w:rPr>
        <w:t xml:space="preserve">, via a well, </w:t>
      </w:r>
      <w:r w:rsidRPr="00FC0827">
        <w:rPr>
          <w:szCs w:val="22"/>
        </w:rPr>
        <w:t xml:space="preserve">of </w:t>
      </w:r>
      <w:r w:rsidR="002B6D6A">
        <w:rPr>
          <w:szCs w:val="22"/>
        </w:rPr>
        <w:t xml:space="preserve">treated </w:t>
      </w:r>
      <w:r>
        <w:rPr>
          <w:szCs w:val="22"/>
        </w:rPr>
        <w:t xml:space="preserve">surface </w:t>
      </w:r>
      <w:r w:rsidRPr="00FC0827">
        <w:rPr>
          <w:szCs w:val="22"/>
        </w:rPr>
        <w:t>water into an aquifer</w:t>
      </w:r>
      <w:r>
        <w:rPr>
          <w:szCs w:val="22"/>
        </w:rPr>
        <w:t xml:space="preserve"> for </w:t>
      </w:r>
      <w:r w:rsidR="001D1BFC">
        <w:rPr>
          <w:szCs w:val="22"/>
        </w:rPr>
        <w:t xml:space="preserve">the purpose of water </w:t>
      </w:r>
      <w:r>
        <w:rPr>
          <w:szCs w:val="22"/>
        </w:rPr>
        <w:t>storage</w:t>
      </w:r>
      <w:r w:rsidRPr="00FC0827">
        <w:rPr>
          <w:szCs w:val="22"/>
        </w:rPr>
        <w:t xml:space="preserve">, </w:t>
      </w:r>
      <w:r w:rsidR="001D1BFC">
        <w:rPr>
          <w:szCs w:val="22"/>
        </w:rPr>
        <w:t>with</w:t>
      </w:r>
      <w:r w:rsidRPr="00FC0827">
        <w:rPr>
          <w:szCs w:val="22"/>
        </w:rPr>
        <w:t xml:space="preserve"> </w:t>
      </w:r>
      <w:r>
        <w:rPr>
          <w:szCs w:val="22"/>
        </w:rPr>
        <w:t xml:space="preserve">later </w:t>
      </w:r>
      <w:r w:rsidRPr="00FC0827">
        <w:rPr>
          <w:szCs w:val="22"/>
        </w:rPr>
        <w:t xml:space="preserve">recovery </w:t>
      </w:r>
      <w:r>
        <w:rPr>
          <w:szCs w:val="22"/>
        </w:rPr>
        <w:t xml:space="preserve">of the water </w:t>
      </w:r>
      <w:r w:rsidRPr="00FC0827">
        <w:rPr>
          <w:szCs w:val="22"/>
        </w:rPr>
        <w:t xml:space="preserve">from the same </w:t>
      </w:r>
      <w:r w:rsidRPr="00795774">
        <w:rPr>
          <w:szCs w:val="22"/>
        </w:rPr>
        <w:t xml:space="preserve">well </w:t>
      </w:r>
      <w:r w:rsidRPr="00795774">
        <w:t>(</w:t>
      </w:r>
      <w:r w:rsidRPr="00795774">
        <w:rPr>
          <w:szCs w:val="22"/>
        </w:rPr>
        <w:fldChar w:fldCharType="begin"/>
      </w:r>
      <w:r w:rsidRPr="00795774">
        <w:rPr>
          <w:szCs w:val="22"/>
        </w:rPr>
        <w:instrText xml:space="preserve"> REF _Ref325707328 \h  \* MERGEFORMAT </w:instrText>
      </w:r>
      <w:r w:rsidRPr="00795774">
        <w:rPr>
          <w:szCs w:val="22"/>
        </w:rPr>
      </w:r>
      <w:r w:rsidRPr="00795774">
        <w:rPr>
          <w:szCs w:val="22"/>
        </w:rPr>
        <w:fldChar w:fldCharType="separate"/>
      </w:r>
      <w:r w:rsidR="00966532" w:rsidRPr="00966532">
        <w:t xml:space="preserve">Figure </w:t>
      </w:r>
      <w:r w:rsidR="00966532" w:rsidRPr="00966532">
        <w:rPr>
          <w:noProof/>
        </w:rPr>
        <w:t>4</w:t>
      </w:r>
      <w:r w:rsidR="00966532" w:rsidRPr="00966532">
        <w:rPr>
          <w:noProof/>
        </w:rPr>
        <w:noBreakHyphen/>
        <w:t>1</w:t>
      </w:r>
      <w:r w:rsidRPr="00795774">
        <w:rPr>
          <w:szCs w:val="22"/>
        </w:rPr>
        <w:fldChar w:fldCharType="end"/>
      </w:r>
      <w:r w:rsidRPr="00795774">
        <w:t xml:space="preserve">a). The aquifer may be confined or unconfined. This is useful in brackish aquifers, where storage is the primary goal and water treatment is a smaller consideration. </w:t>
      </w:r>
      <w:r>
        <w:t>ASR can be supplemented by bank filtration</w:t>
      </w:r>
      <w:r w:rsidR="001D1BFC">
        <w:t xml:space="preserve"> which </w:t>
      </w:r>
      <w:r>
        <w:rPr>
          <w:szCs w:val="22"/>
        </w:rPr>
        <w:t xml:space="preserve">makes use of hydraulic connections between the river and the shallow alluvial aquifer. Pumping from near-river shallow bores can induce river leakage with the adsorptive capacity of the aquifer providing the potential for removal of impurities (such as suspended solids, nutrients or pathogens). </w:t>
      </w:r>
      <w:smartTag w:uri="urn:schemas-microsoft-com:office:smarttags" w:element="PersonName">
        <w:r>
          <w:rPr>
            <w:szCs w:val="22"/>
          </w:rPr>
          <w:t>Groundwater</w:t>
        </w:r>
      </w:smartTag>
      <w:r>
        <w:rPr>
          <w:szCs w:val="22"/>
        </w:rPr>
        <w:t xml:space="preserve"> extracted from the shallow aquifer can then supplement </w:t>
      </w:r>
      <w:r w:rsidR="001D1BFC">
        <w:rPr>
          <w:szCs w:val="22"/>
        </w:rPr>
        <w:t xml:space="preserve">treated </w:t>
      </w:r>
      <w:r>
        <w:rPr>
          <w:szCs w:val="22"/>
        </w:rPr>
        <w:t xml:space="preserve">water being pumped from surface water </w:t>
      </w:r>
      <w:r w:rsidR="001D1BFC">
        <w:rPr>
          <w:szCs w:val="22"/>
        </w:rPr>
        <w:t>storages</w:t>
      </w:r>
      <w:r>
        <w:rPr>
          <w:szCs w:val="22"/>
        </w:rPr>
        <w:t>. Both water sources</w:t>
      </w:r>
      <w:r w:rsidR="001D1BFC">
        <w:rPr>
          <w:szCs w:val="22"/>
        </w:rPr>
        <w:t xml:space="preserve">, </w:t>
      </w:r>
      <w:r>
        <w:rPr>
          <w:szCs w:val="22"/>
        </w:rPr>
        <w:t>surface water and shallow groundwater</w:t>
      </w:r>
      <w:r w:rsidR="001D1BFC">
        <w:rPr>
          <w:szCs w:val="22"/>
        </w:rPr>
        <w:t xml:space="preserve">, </w:t>
      </w:r>
      <w:r>
        <w:rPr>
          <w:szCs w:val="22"/>
        </w:rPr>
        <w:t xml:space="preserve">can be injected into a deeper aquifer (i.e. </w:t>
      </w:r>
      <w:r w:rsidR="00C217F0">
        <w:rPr>
          <w:szCs w:val="22"/>
        </w:rPr>
        <w:t>Calivil Formation</w:t>
      </w:r>
      <w:r>
        <w:rPr>
          <w:szCs w:val="22"/>
        </w:rPr>
        <w:t xml:space="preserve"> aqu</w:t>
      </w:r>
      <w:r w:rsidR="001968EF">
        <w:rPr>
          <w:szCs w:val="22"/>
        </w:rPr>
        <w:t xml:space="preserve">ifer) for longer-term storage. </w:t>
      </w:r>
      <w:r>
        <w:rPr>
          <w:szCs w:val="22"/>
        </w:rPr>
        <w:t xml:space="preserve">Assessment is required of the option of using shallow pumping bores in the </w:t>
      </w:r>
      <w:r w:rsidR="00C217F0">
        <w:rPr>
          <w:szCs w:val="22"/>
        </w:rPr>
        <w:t>Coonambidgal Formation</w:t>
      </w:r>
      <w:r>
        <w:rPr>
          <w:szCs w:val="22"/>
        </w:rPr>
        <w:t xml:space="preserve"> or </w:t>
      </w:r>
      <w:r w:rsidR="00C217F0">
        <w:rPr>
          <w:szCs w:val="22"/>
        </w:rPr>
        <w:t>Menindee Formation</w:t>
      </w:r>
      <w:r>
        <w:rPr>
          <w:szCs w:val="22"/>
        </w:rPr>
        <w:t xml:space="preserve"> aquifers, particularly during high flows in the Darling, to provide additional source water</w:t>
      </w:r>
      <w:r w:rsidR="001D1BFC">
        <w:rPr>
          <w:szCs w:val="22"/>
        </w:rPr>
        <w:t xml:space="preserve"> with a degree of natural water treatment.</w:t>
      </w:r>
    </w:p>
    <w:p w:rsidR="001968EF" w:rsidRDefault="001968EF" w:rsidP="001968EF">
      <w:pPr>
        <w:autoSpaceDE w:val="0"/>
        <w:autoSpaceDN w:val="0"/>
        <w:adjustRightInd w:val="0"/>
        <w:rPr>
          <w:szCs w:val="22"/>
        </w:rPr>
      </w:pPr>
    </w:p>
    <w:p w:rsidR="001968EF" w:rsidRPr="00FC0827" w:rsidRDefault="00706A3B" w:rsidP="00216BA0">
      <w:pPr>
        <w:autoSpaceDE w:val="0"/>
        <w:autoSpaceDN w:val="0"/>
        <w:adjustRightInd w:val="0"/>
        <w:spacing w:after="60"/>
        <w:jc w:val="center"/>
        <w:rPr>
          <w:bCs/>
          <w:iCs/>
          <w:szCs w:val="22"/>
        </w:rPr>
      </w:pPr>
      <w:r>
        <w:rPr>
          <w:noProof/>
        </w:rPr>
        <w:drawing>
          <wp:inline distT="0" distB="0" distL="0" distR="0" wp14:anchorId="7540A9AB" wp14:editId="4CBA0B9E">
            <wp:extent cx="5677535" cy="2594610"/>
            <wp:effectExtent l="19050" t="19050" r="0" b="0"/>
            <wp:docPr id="34" name="Picture 34" descr="12-6308-3__ASR_BankFil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6308-3__ASR_BankFiltration"/>
                    <pic:cNvPicPr>
                      <a:picLocks noChangeAspect="1" noChangeArrowheads="1"/>
                    </pic:cNvPicPr>
                  </pic:nvPicPr>
                  <pic:blipFill>
                    <a:blip r:embed="rId72" cstate="print">
                      <a:extLst>
                        <a:ext uri="{28A0092B-C50C-407E-A947-70E740481C1C}">
                          <a14:useLocalDpi xmlns:a14="http://schemas.microsoft.com/office/drawing/2010/main" val="0"/>
                        </a:ext>
                      </a:extLst>
                    </a:blip>
                    <a:srcRect t="65959" r="47958"/>
                    <a:stretch>
                      <a:fillRect/>
                    </a:stretch>
                  </pic:blipFill>
                  <pic:spPr bwMode="auto">
                    <a:xfrm>
                      <a:off x="0" y="0"/>
                      <a:ext cx="5677535" cy="2594610"/>
                    </a:xfrm>
                    <a:prstGeom prst="rect">
                      <a:avLst/>
                    </a:prstGeom>
                    <a:noFill/>
                    <a:ln w="6350" cmpd="sng">
                      <a:solidFill>
                        <a:srgbClr val="000000"/>
                      </a:solidFill>
                      <a:miter lim="800000"/>
                      <a:headEnd/>
                      <a:tailEnd/>
                    </a:ln>
                    <a:effectLst/>
                  </pic:spPr>
                </pic:pic>
              </a:graphicData>
            </a:graphic>
          </wp:inline>
        </w:drawing>
      </w:r>
    </w:p>
    <w:p w:rsidR="001968EF" w:rsidRDefault="001968EF" w:rsidP="001968EF">
      <w:pPr>
        <w:pStyle w:val="Caption"/>
        <w:rPr>
          <w:i w:val="0"/>
          <w:szCs w:val="20"/>
        </w:rPr>
      </w:pPr>
      <w:bookmarkStart w:id="216" w:name="_Ref325707328"/>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4</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216"/>
      <w:r>
        <w:rPr>
          <w:b/>
        </w:rPr>
        <w:t>.</w:t>
      </w:r>
      <w:r>
        <w:rPr>
          <w:b/>
          <w:szCs w:val="22"/>
        </w:rPr>
        <w:t xml:space="preserve"> </w:t>
      </w:r>
      <w:r w:rsidRPr="00E06D3F">
        <w:rPr>
          <w:szCs w:val="20"/>
        </w:rPr>
        <w:t xml:space="preserve">Schematic diagrams showing </w:t>
      </w:r>
      <w:smartTag w:uri="urn:schemas-microsoft-com:office:smarttags" w:element="stockticker">
        <w:r w:rsidRPr="00E06D3F">
          <w:rPr>
            <w:szCs w:val="20"/>
          </w:rPr>
          <w:t>MAR</w:t>
        </w:r>
      </w:smartTag>
      <w:r w:rsidRPr="00E06D3F">
        <w:rPr>
          <w:szCs w:val="20"/>
        </w:rPr>
        <w:t xml:space="preserve"> options: (a) ASR</w:t>
      </w:r>
      <w:r>
        <w:rPr>
          <w:szCs w:val="20"/>
        </w:rPr>
        <w:t xml:space="preserve"> and (b</w:t>
      </w:r>
      <w:r w:rsidRPr="00E06D3F">
        <w:rPr>
          <w:szCs w:val="20"/>
        </w:rPr>
        <w:t xml:space="preserve">) bank filtration. </w:t>
      </w:r>
      <w:r w:rsidRPr="005706E3">
        <w:rPr>
          <w:bCs w:val="0"/>
          <w:i w:val="0"/>
        </w:rPr>
        <w:fldChar w:fldCharType="begin"/>
      </w:r>
      <w:r w:rsidRPr="005706E3">
        <w:rPr>
          <w:bCs w:val="0"/>
          <w:i w:val="0"/>
        </w:rPr>
        <w:instrText xml:space="preserve"> TC "</w:instrText>
      </w:r>
      <w:bookmarkStart w:id="217" w:name="_Toc325975208"/>
      <w:bookmarkStart w:id="218" w:name="_Toc390690217"/>
      <w:r w:rsidR="00497AD3">
        <w:rPr>
          <w:bCs w:val="0"/>
          <w:i w:val="0"/>
        </w:rPr>
        <w:instrText xml:space="preserve">Figure </w:instrText>
      </w:r>
      <w:r w:rsidR="0020070D">
        <w:rPr>
          <w:bCs w:val="0"/>
          <w:i w:val="0"/>
        </w:rPr>
        <w:instrText>4-</w:instrText>
      </w:r>
      <w:r w:rsidR="00497AD3">
        <w:rPr>
          <w:bCs w:val="0"/>
          <w:i w:val="0"/>
        </w:rPr>
        <w:instrText>1.</w:instrText>
      </w:r>
      <w:r w:rsidRPr="00216027">
        <w:rPr>
          <w:bCs w:val="0"/>
          <w:i w:val="0"/>
        </w:rPr>
        <w:instrText xml:space="preserve"> </w:instrText>
      </w:r>
      <w:r w:rsidRPr="00216027">
        <w:rPr>
          <w:i w:val="0"/>
          <w:szCs w:val="20"/>
        </w:rPr>
        <w:instrText xml:space="preserve">Schematic diagrams showing </w:instrText>
      </w:r>
      <w:smartTag w:uri="urn:schemas-microsoft-com:office:smarttags" w:element="stockticker">
        <w:r w:rsidRPr="00216027">
          <w:rPr>
            <w:i w:val="0"/>
            <w:szCs w:val="20"/>
          </w:rPr>
          <w:instrText>MAR</w:instrText>
        </w:r>
      </w:smartTag>
      <w:r w:rsidRPr="00216027">
        <w:rPr>
          <w:i w:val="0"/>
          <w:szCs w:val="20"/>
        </w:rPr>
        <w:instrText xml:space="preserve"> options</w:instrText>
      </w:r>
      <w:bookmarkEnd w:id="217"/>
      <w:r>
        <w:rPr>
          <w:bCs w:val="0"/>
          <w:i w:val="0"/>
        </w:rPr>
        <w:instrText>.</w:instrText>
      </w:r>
      <w:bookmarkEnd w:id="218"/>
      <w:r w:rsidRPr="00216027">
        <w:rPr>
          <w:bCs w:val="0"/>
          <w:i w:val="0"/>
        </w:rPr>
        <w:instrText>" \f A \l “4”</w:instrText>
      </w:r>
      <w:r w:rsidRPr="005706E3">
        <w:rPr>
          <w:bCs w:val="0"/>
          <w:i w:val="0"/>
        </w:rPr>
        <w:instrText xml:space="preserve"> </w:instrText>
      </w:r>
      <w:r w:rsidRPr="005706E3">
        <w:rPr>
          <w:bCs w:val="0"/>
          <w:i w:val="0"/>
        </w:rPr>
        <w:fldChar w:fldCharType="end"/>
      </w:r>
    </w:p>
    <w:p w:rsidR="00B443B8" w:rsidRPr="00106292" w:rsidRDefault="00B443B8" w:rsidP="00B443B8">
      <w:pPr>
        <w:autoSpaceDE w:val="0"/>
        <w:autoSpaceDN w:val="0"/>
        <w:adjustRightInd w:val="0"/>
        <w:rPr>
          <w:szCs w:val="22"/>
        </w:rPr>
      </w:pPr>
      <w:r w:rsidRPr="00795774">
        <w:t xml:space="preserve">ASTR uses an adjacent well to draw the water through the aquifer which increases the opportunity for water </w:t>
      </w:r>
      <w:r w:rsidRPr="00106292">
        <w:t>quality treatment. The potential</w:t>
      </w:r>
      <w:r w:rsidRPr="00106292">
        <w:rPr>
          <w:szCs w:val="22"/>
        </w:rPr>
        <w:t xml:space="preserve"> design and cost of implementing and operating an ASR scheme at </w:t>
      </w:r>
      <w:r w:rsidR="00C217F0">
        <w:rPr>
          <w:szCs w:val="22"/>
        </w:rPr>
        <w:t xml:space="preserve">Menindee </w:t>
      </w:r>
      <w:r w:rsidRPr="00106292">
        <w:rPr>
          <w:szCs w:val="22"/>
        </w:rPr>
        <w:t>has been previously considered (</w:t>
      </w:r>
      <w:smartTag w:uri="urn:schemas-microsoft-com:office:smarttags" w:element="stockticker">
        <w:r w:rsidRPr="00106292">
          <w:rPr>
            <w:szCs w:val="22"/>
          </w:rPr>
          <w:t>SKM</w:t>
        </w:r>
      </w:smartTag>
      <w:r w:rsidRPr="00106292">
        <w:rPr>
          <w:szCs w:val="22"/>
        </w:rPr>
        <w:t>, 2010, Lawrie</w:t>
      </w:r>
      <w:r w:rsidR="008A5F7D" w:rsidRPr="00CF7613">
        <w:rPr>
          <w:rStyle w:val="StyleItalic"/>
        </w:rPr>
        <w:t xml:space="preserve"> et al</w:t>
      </w:r>
      <w:r w:rsidRPr="00106292">
        <w:rPr>
          <w:szCs w:val="22"/>
        </w:rPr>
        <w:t>., 2010b) and further developed in the latter phases of the BHMAR project.</w:t>
      </w:r>
    </w:p>
    <w:p w:rsidR="00B443B8" w:rsidRPr="00106292" w:rsidRDefault="00B443B8" w:rsidP="00B443B8">
      <w:pPr>
        <w:autoSpaceDE w:val="0"/>
        <w:autoSpaceDN w:val="0"/>
        <w:adjustRightInd w:val="0"/>
        <w:rPr>
          <w:bCs/>
          <w:szCs w:val="22"/>
        </w:rPr>
      </w:pPr>
    </w:p>
    <w:p w:rsidR="00B51C2E" w:rsidRDefault="00B51C2E" w:rsidP="00B51C2E">
      <w:pPr>
        <w:autoSpaceDE w:val="0"/>
        <w:autoSpaceDN w:val="0"/>
        <w:adjustRightInd w:val="0"/>
        <w:rPr>
          <w:szCs w:val="22"/>
        </w:rPr>
      </w:pPr>
      <w:r w:rsidRPr="00106292">
        <w:rPr>
          <w:szCs w:val="22"/>
        </w:rPr>
        <w:t xml:space="preserve">Dune filtration is used primarily for water treatment where water is pumped into a dune swale and then harvested at a lower level after gravity transport through the dune sands. This can have water quality benefits by removing organic material, nutrients or pathogens, but can also potentially provide pathways for recharge to underlying aquifers. Detailed geomorphic mapping across the floodplain recognised several dune morphology types and ages. AEM mapping validated by drilling and augering, shows that there is commonly a thick </w:t>
      </w:r>
      <w:r w:rsidR="001E3931" w:rsidRPr="00106292">
        <w:rPr>
          <w:szCs w:val="22"/>
        </w:rPr>
        <w:t>mud</w:t>
      </w:r>
      <w:r w:rsidRPr="00106292">
        <w:rPr>
          <w:szCs w:val="22"/>
        </w:rPr>
        <w:t xml:space="preserve"> drape beneath the dunes, with minor localised groundwater perching. There are also cemented hardpan layers in many of the dunes. The dunes do not appear to provide a recharge pathway to suitable aquifers at depth. Dunes in the study area often contain sites of cultural and heritage sensitivity. The overall assessment is that dune filtration is not an effective MAR option in the study area</w:t>
      </w:r>
      <w:r w:rsidR="0035779D" w:rsidRPr="00106292">
        <w:rPr>
          <w:szCs w:val="22"/>
        </w:rPr>
        <w:t xml:space="preserve"> (Lawrie</w:t>
      </w:r>
      <w:r w:rsidR="008A5F7D" w:rsidRPr="00CF7613">
        <w:rPr>
          <w:rStyle w:val="StyleItalic"/>
        </w:rPr>
        <w:t xml:space="preserve"> et al</w:t>
      </w:r>
      <w:r w:rsidR="0035779D" w:rsidRPr="00106292">
        <w:rPr>
          <w:szCs w:val="22"/>
        </w:rPr>
        <w:t>., 2010</w:t>
      </w:r>
      <w:r w:rsidR="00106292">
        <w:rPr>
          <w:szCs w:val="22"/>
        </w:rPr>
        <w:t>a</w:t>
      </w:r>
      <w:r w:rsidR="0035779D" w:rsidRPr="00106292">
        <w:rPr>
          <w:szCs w:val="22"/>
        </w:rPr>
        <w:t>)</w:t>
      </w:r>
      <w:r w:rsidRPr="00106292">
        <w:rPr>
          <w:szCs w:val="22"/>
        </w:rPr>
        <w:t>.</w:t>
      </w:r>
    </w:p>
    <w:p w:rsidR="00B51C2E" w:rsidRDefault="00B51C2E" w:rsidP="00B51C2E">
      <w:pPr>
        <w:autoSpaceDE w:val="0"/>
        <w:autoSpaceDN w:val="0"/>
        <w:adjustRightInd w:val="0"/>
        <w:rPr>
          <w:szCs w:val="22"/>
        </w:rPr>
      </w:pPr>
    </w:p>
    <w:p w:rsidR="00B51C2E" w:rsidRDefault="00B51C2E" w:rsidP="00B51C2E">
      <w:pPr>
        <w:autoSpaceDE w:val="0"/>
        <w:autoSpaceDN w:val="0"/>
        <w:adjustRightInd w:val="0"/>
        <w:rPr>
          <w:szCs w:val="22"/>
        </w:rPr>
      </w:pPr>
      <w:r>
        <w:rPr>
          <w:szCs w:val="22"/>
        </w:rPr>
        <w:t xml:space="preserve">Basin infiltration involves pumping water onto a permeable surface area above the target aquifer to allow vertical infiltration to the shallow watertable. Laboratory experiments of clogging were carried out, and a number of field sites examined to assess infiltration rates. Particular attention was paid to observations of infiltration and aquifer responses during flooding. Near-surface </w:t>
      </w:r>
      <w:r w:rsidR="001E3931">
        <w:rPr>
          <w:szCs w:val="22"/>
        </w:rPr>
        <w:t>mud</w:t>
      </w:r>
      <w:r>
        <w:rPr>
          <w:szCs w:val="22"/>
        </w:rPr>
        <w:t xml:space="preserve"> horizons as well as the laterally </w:t>
      </w:r>
      <w:r w:rsidRPr="00106292">
        <w:rPr>
          <w:szCs w:val="22"/>
        </w:rPr>
        <w:lastRenderedPageBreak/>
        <w:t>extensive Blanchetown Clay make the locating of suitable sites for infiltration basins difficult across the Darling floodplain</w:t>
      </w:r>
      <w:r w:rsidR="0035779D" w:rsidRPr="00106292">
        <w:rPr>
          <w:szCs w:val="22"/>
        </w:rPr>
        <w:t xml:space="preserve"> (Lawrie</w:t>
      </w:r>
      <w:r w:rsidR="008A5F7D" w:rsidRPr="00CF7613">
        <w:rPr>
          <w:rStyle w:val="StyleItalic"/>
        </w:rPr>
        <w:t xml:space="preserve"> et al</w:t>
      </w:r>
      <w:r w:rsidR="0035779D" w:rsidRPr="00CF7613">
        <w:rPr>
          <w:rStyle w:val="StyleItalic"/>
        </w:rPr>
        <w:t>.,</w:t>
      </w:r>
      <w:r w:rsidR="00497AD3" w:rsidRPr="00106292">
        <w:rPr>
          <w:szCs w:val="22"/>
        </w:rPr>
        <w:t xml:space="preserve"> 2010a, b,</w:t>
      </w:r>
      <w:r w:rsidR="0035779D" w:rsidRPr="00106292">
        <w:rPr>
          <w:szCs w:val="22"/>
        </w:rPr>
        <w:t xml:space="preserve"> 2012</w:t>
      </w:r>
      <w:r w:rsidR="00106292" w:rsidRPr="00106292">
        <w:rPr>
          <w:szCs w:val="22"/>
        </w:rPr>
        <w:t xml:space="preserve">b, </w:t>
      </w:r>
      <w:r w:rsidR="0035779D" w:rsidRPr="00106292">
        <w:rPr>
          <w:szCs w:val="22"/>
        </w:rPr>
        <w:t>c</w:t>
      </w:r>
      <w:r w:rsidR="00106292" w:rsidRPr="00106292">
        <w:rPr>
          <w:szCs w:val="22"/>
        </w:rPr>
        <w:t>, d</w:t>
      </w:r>
      <w:r w:rsidR="0035779D" w:rsidRPr="00106292">
        <w:rPr>
          <w:szCs w:val="22"/>
        </w:rPr>
        <w:t>)</w:t>
      </w:r>
      <w:r w:rsidRPr="00106292">
        <w:rPr>
          <w:szCs w:val="22"/>
        </w:rPr>
        <w:t>.</w:t>
      </w:r>
    </w:p>
    <w:p w:rsidR="001968EF" w:rsidRDefault="001968EF" w:rsidP="00B51C2E">
      <w:pPr>
        <w:autoSpaceDE w:val="0"/>
        <w:autoSpaceDN w:val="0"/>
        <w:adjustRightInd w:val="0"/>
        <w:rPr>
          <w:szCs w:val="22"/>
        </w:rPr>
      </w:pPr>
    </w:p>
    <w:p w:rsidR="00B51C2E" w:rsidRPr="00106292" w:rsidRDefault="00B51C2E" w:rsidP="00B51C2E">
      <w:pPr>
        <w:autoSpaceDE w:val="0"/>
        <w:autoSpaceDN w:val="0"/>
        <w:adjustRightInd w:val="0"/>
        <w:rPr>
          <w:szCs w:val="22"/>
        </w:rPr>
      </w:pPr>
      <w:r w:rsidRPr="00106292">
        <w:rPr>
          <w:szCs w:val="22"/>
        </w:rPr>
        <w:t xml:space="preserve">In </w:t>
      </w:r>
      <w:smartTag w:uri="urn:schemas-microsoft-com:office:smarttags" w:element="place">
        <w:smartTag w:uri="urn:schemas-microsoft-com:office:smarttags" w:element="country-region">
          <w:r w:rsidRPr="00106292">
            <w:rPr>
              <w:szCs w:val="22"/>
            </w:rPr>
            <w:t>Australia</w:t>
          </w:r>
        </w:smartTag>
      </w:smartTag>
      <w:r w:rsidRPr="00106292">
        <w:rPr>
          <w:szCs w:val="22"/>
        </w:rPr>
        <w:t xml:space="preserve">, a stringent risk assessment framework for consideration of </w:t>
      </w:r>
      <w:smartTag w:uri="urn:schemas-microsoft-com:office:smarttags" w:element="stockticker">
        <w:r w:rsidRPr="00106292">
          <w:rPr>
            <w:szCs w:val="22"/>
          </w:rPr>
          <w:t>MAR</w:t>
        </w:r>
      </w:smartTag>
      <w:r w:rsidRPr="00106292">
        <w:rPr>
          <w:szCs w:val="22"/>
        </w:rPr>
        <w:t xml:space="preserve"> schemes was adopted in 2008-2009. The national risk assessment framework is set out in the Australian Guidelines for Water Recycling: Augmentation of Drinking Water Supplies (NRMMC–EPHC–NHMRC, 2008</w:t>
      </w:r>
      <w:r w:rsidR="00177FC7" w:rsidRPr="00106292">
        <w:rPr>
          <w:szCs w:val="22"/>
        </w:rPr>
        <w:t>; NHMRC-NRMMC, 2011</w:t>
      </w:r>
      <w:r w:rsidRPr="00106292">
        <w:rPr>
          <w:szCs w:val="22"/>
        </w:rPr>
        <w:t>) and Managed Aquifer Recharge (NRMMC–EPHC–NHMRC, 2009). Importantly, this approach, and the detailed steps outlined within, were developed after commencement of Phase 2 of the BHMAR Project, and hence there is not an exact match between the 5-Phase approach identified in the BHMAR project (Lewis</w:t>
      </w:r>
      <w:r w:rsidR="008A5F7D" w:rsidRPr="00CF7613">
        <w:rPr>
          <w:rStyle w:val="StyleItalic"/>
        </w:rPr>
        <w:t xml:space="preserve"> et al</w:t>
      </w:r>
      <w:r w:rsidRPr="00CF7613">
        <w:rPr>
          <w:rStyle w:val="StyleItalic"/>
        </w:rPr>
        <w:t>.,</w:t>
      </w:r>
      <w:r w:rsidRPr="00106292">
        <w:rPr>
          <w:szCs w:val="22"/>
        </w:rPr>
        <w:t xml:space="preserve"> 2008, </w:t>
      </w:r>
      <w:r w:rsidR="009D7B6E" w:rsidRPr="00106292">
        <w:rPr>
          <w:szCs w:val="22"/>
        </w:rPr>
        <w:t>Lawrie</w:t>
      </w:r>
      <w:r w:rsidR="008A5F7D" w:rsidRPr="00CF7613">
        <w:rPr>
          <w:rStyle w:val="StyleItalic"/>
        </w:rPr>
        <w:t xml:space="preserve"> et al</w:t>
      </w:r>
      <w:r w:rsidR="009D7B6E" w:rsidRPr="00CF7613">
        <w:rPr>
          <w:rStyle w:val="StyleItalic"/>
        </w:rPr>
        <w:t>.</w:t>
      </w:r>
      <w:r w:rsidR="009D7B6E" w:rsidRPr="00106292">
        <w:rPr>
          <w:szCs w:val="22"/>
        </w:rPr>
        <w:t>, 2009a</w:t>
      </w:r>
      <w:r w:rsidR="00106292" w:rsidRPr="00106292">
        <w:rPr>
          <w:szCs w:val="22"/>
        </w:rPr>
        <w:t>, 2010a, b</w:t>
      </w:r>
      <w:r w:rsidRPr="00106292">
        <w:rPr>
          <w:szCs w:val="22"/>
        </w:rPr>
        <w:t xml:space="preserve">), and the new 4-step risk management approach assessment approach identified in the national MAR risk management framework (NRMMC-EPHC-NHMRC, 2009). </w:t>
      </w:r>
    </w:p>
    <w:p w:rsidR="00C8452D" w:rsidRPr="00106292" w:rsidRDefault="00C8452D" w:rsidP="00B51C2E">
      <w:pPr>
        <w:autoSpaceDE w:val="0"/>
        <w:autoSpaceDN w:val="0"/>
        <w:adjustRightInd w:val="0"/>
        <w:rPr>
          <w:szCs w:val="22"/>
        </w:rPr>
      </w:pPr>
    </w:p>
    <w:p w:rsidR="00B51C2E" w:rsidRPr="00FC0827" w:rsidRDefault="00B51C2E" w:rsidP="00B51C2E">
      <w:pPr>
        <w:autoSpaceDE w:val="0"/>
        <w:autoSpaceDN w:val="0"/>
        <w:adjustRightInd w:val="0"/>
        <w:rPr>
          <w:szCs w:val="22"/>
        </w:rPr>
      </w:pPr>
      <w:r w:rsidRPr="00106292">
        <w:rPr>
          <w:szCs w:val="22"/>
        </w:rPr>
        <w:t xml:space="preserve">The national guidelines ensure that considerable investigative effort is undertaken to assess the viability of proposed schemes, and to ensure the engineering design meets all requirements and standards. In particular, hydrogeological investigations are undertaken in a phased approached to ensure aquifer suitability. These investigations take time, and rigorous risk assessments are carried out at each stage in the investigations to ensure all aspects of </w:t>
      </w:r>
      <w:smartTag w:uri="urn:schemas-microsoft-com:office:smarttags" w:element="stockticker">
        <w:r w:rsidRPr="00106292">
          <w:rPr>
            <w:szCs w:val="22"/>
          </w:rPr>
          <w:t>MAR</w:t>
        </w:r>
      </w:smartTag>
      <w:r w:rsidRPr="00106292">
        <w:rPr>
          <w:szCs w:val="22"/>
        </w:rPr>
        <w:t xml:space="preserve"> viability are considered in a timely and cost-effective manner. The new national approach provides a useful framework for assessing </w:t>
      </w:r>
      <w:smartTag w:uri="urn:schemas-microsoft-com:office:smarttags" w:element="stockticker">
        <w:r w:rsidRPr="00106292">
          <w:rPr>
            <w:szCs w:val="22"/>
          </w:rPr>
          <w:t>MAR</w:t>
        </w:r>
      </w:smartTag>
      <w:r w:rsidRPr="00106292">
        <w:rPr>
          <w:szCs w:val="22"/>
        </w:rPr>
        <w:t xml:space="preserve"> options, and for assessing suitability a</w:t>
      </w:r>
      <w:smartTag w:uri="urn:schemas-microsoft-com:office:smarttags" w:element="PersonName">
        <w:r w:rsidRPr="00106292">
          <w:rPr>
            <w:szCs w:val="22"/>
          </w:rPr>
          <w:t>ga</w:t>
        </w:r>
      </w:smartTag>
      <w:r w:rsidRPr="00106292">
        <w:rPr>
          <w:szCs w:val="22"/>
        </w:rPr>
        <w:t>inst water quality guidelines in particular. Phase 2 and 3 of the BHMAR Project were completed using these new guidelines.</w:t>
      </w:r>
    </w:p>
    <w:p w:rsidR="00B51C2E" w:rsidRDefault="00B51C2E" w:rsidP="00B51C2E">
      <w:pPr>
        <w:autoSpaceDE w:val="0"/>
        <w:autoSpaceDN w:val="0"/>
        <w:adjustRightInd w:val="0"/>
        <w:rPr>
          <w:szCs w:val="22"/>
        </w:rPr>
      </w:pPr>
    </w:p>
    <w:p w:rsidR="00B51C2E" w:rsidRDefault="00B51C2E" w:rsidP="00B51C2E">
      <w:pPr>
        <w:autoSpaceDE w:val="0"/>
        <w:autoSpaceDN w:val="0"/>
        <w:adjustRightInd w:val="0"/>
      </w:pPr>
      <w:r w:rsidRPr="00106292">
        <w:rPr>
          <w:szCs w:val="22"/>
        </w:rPr>
        <w:t xml:space="preserve">Essentially, the risk assessment framework encompasses four stages of project development and assessment, with the information required for assessment at each stage increasing in complexity. The four stages are shown in </w:t>
      </w:r>
      <w:r w:rsidR="001741E7" w:rsidRPr="00106292">
        <w:rPr>
          <w:szCs w:val="22"/>
        </w:rPr>
        <w:fldChar w:fldCharType="begin"/>
      </w:r>
      <w:r w:rsidR="001741E7" w:rsidRPr="00106292">
        <w:rPr>
          <w:szCs w:val="22"/>
        </w:rPr>
        <w:instrText xml:space="preserve"> REF _Ref325707360 \h </w:instrText>
      </w:r>
      <w:r w:rsidR="00795774" w:rsidRPr="00106292">
        <w:rPr>
          <w:szCs w:val="22"/>
        </w:rPr>
        <w:instrText xml:space="preserve"> \* MERGEFORMAT </w:instrText>
      </w:r>
      <w:r w:rsidR="001741E7" w:rsidRPr="00106292">
        <w:rPr>
          <w:szCs w:val="22"/>
        </w:rPr>
      </w:r>
      <w:r w:rsidR="001741E7" w:rsidRPr="00106292">
        <w:rPr>
          <w:szCs w:val="22"/>
        </w:rPr>
        <w:fldChar w:fldCharType="separate"/>
      </w:r>
      <w:r w:rsidR="00966532" w:rsidRPr="00966532">
        <w:t xml:space="preserve">Figure </w:t>
      </w:r>
      <w:r w:rsidR="00966532" w:rsidRPr="00966532">
        <w:rPr>
          <w:noProof/>
        </w:rPr>
        <w:t>4</w:t>
      </w:r>
      <w:r w:rsidR="00966532" w:rsidRPr="00966532">
        <w:rPr>
          <w:noProof/>
        </w:rPr>
        <w:noBreakHyphen/>
        <w:t>2</w:t>
      </w:r>
      <w:r w:rsidR="001741E7" w:rsidRPr="00106292">
        <w:rPr>
          <w:szCs w:val="22"/>
        </w:rPr>
        <w:fldChar w:fldCharType="end"/>
      </w:r>
      <w:r w:rsidRPr="00106292">
        <w:rPr>
          <w:szCs w:val="22"/>
        </w:rPr>
        <w:t>. Interim assessments carried out against Stage 1 of the national assessment framework for the BHMAR project were reported in Lawrie</w:t>
      </w:r>
      <w:r w:rsidR="008A5F7D" w:rsidRPr="00CF7613">
        <w:rPr>
          <w:rStyle w:val="StyleItalic"/>
        </w:rPr>
        <w:t xml:space="preserve"> et al</w:t>
      </w:r>
      <w:r w:rsidR="009E2332" w:rsidRPr="00106292">
        <w:rPr>
          <w:szCs w:val="22"/>
        </w:rPr>
        <w:t>.</w:t>
      </w:r>
      <w:r w:rsidRPr="00106292">
        <w:rPr>
          <w:szCs w:val="22"/>
        </w:rPr>
        <w:t xml:space="preserve"> (2010</w:t>
      </w:r>
      <w:r w:rsidR="00106292" w:rsidRPr="00106292">
        <w:rPr>
          <w:szCs w:val="22"/>
        </w:rPr>
        <w:t>a</w:t>
      </w:r>
      <w:r w:rsidRPr="00106292">
        <w:rPr>
          <w:szCs w:val="22"/>
        </w:rPr>
        <w:t>), with</w:t>
      </w:r>
      <w:r w:rsidRPr="00106292">
        <w:t xml:space="preserve"> interim findings for Stage 2 assessments for a priority area reported in Lawrie</w:t>
      </w:r>
      <w:r w:rsidR="008A5F7D" w:rsidRPr="00CF7613">
        <w:rPr>
          <w:rStyle w:val="StyleItalic"/>
        </w:rPr>
        <w:t xml:space="preserve"> et al</w:t>
      </w:r>
      <w:r w:rsidR="009E2332" w:rsidRPr="00106292">
        <w:t>.</w:t>
      </w:r>
      <w:r w:rsidRPr="00106292">
        <w:t xml:space="preserve"> (2011). Final assessments are documented more fully in Lawrie</w:t>
      </w:r>
      <w:r w:rsidR="008A5F7D" w:rsidRPr="00CF7613">
        <w:rPr>
          <w:rStyle w:val="StyleItalic"/>
        </w:rPr>
        <w:t xml:space="preserve"> et al</w:t>
      </w:r>
      <w:r w:rsidR="009E2332" w:rsidRPr="00106292">
        <w:t>.</w:t>
      </w:r>
      <w:r w:rsidRPr="00106292">
        <w:t xml:space="preserve"> (2012c</w:t>
      </w:r>
      <w:r w:rsidR="00106292" w:rsidRPr="00106292">
        <w:t>, d</w:t>
      </w:r>
      <w:r w:rsidRPr="00106292">
        <w:t>), with assessments for the highest priority sites and options summarised later in this report.</w:t>
      </w:r>
    </w:p>
    <w:p w:rsidR="00B51C2E" w:rsidRPr="00482C4C" w:rsidRDefault="00B51C2E" w:rsidP="00EF7E00">
      <w:pPr>
        <w:pStyle w:val="Heading3"/>
        <w:tabs>
          <w:tab w:val="left" w:pos="1080"/>
        </w:tabs>
        <w:spacing w:before="320"/>
        <w:ind w:left="1080" w:hanging="1080"/>
      </w:pPr>
      <w:bookmarkStart w:id="219" w:name="_Toc325700089"/>
      <w:bookmarkStart w:id="220" w:name="_Toc325700432"/>
      <w:bookmarkStart w:id="221" w:name="_Toc325975113"/>
      <w:bookmarkStart w:id="222" w:name="_Toc390690104"/>
      <w:r w:rsidRPr="00482C4C">
        <w:t xml:space="preserve">MAR Risk Assessment Framework </w:t>
      </w:r>
      <w:r>
        <w:t>used in</w:t>
      </w:r>
      <w:r w:rsidRPr="00482C4C">
        <w:t xml:space="preserve"> BHMAR Phase 1</w:t>
      </w:r>
      <w:bookmarkEnd w:id="219"/>
      <w:bookmarkEnd w:id="220"/>
      <w:bookmarkEnd w:id="221"/>
      <w:bookmarkEnd w:id="222"/>
    </w:p>
    <w:p w:rsidR="00B51C2E" w:rsidRPr="00B666A8" w:rsidRDefault="00B51C2E" w:rsidP="00B51C2E">
      <w:pPr>
        <w:rPr>
          <w:szCs w:val="22"/>
        </w:rPr>
      </w:pPr>
      <w:r w:rsidRPr="00106292">
        <w:rPr>
          <w:szCs w:val="22"/>
        </w:rPr>
        <w:t xml:space="preserve">In Phase 1 of the BHMAR project, a novel assessment framework was developed for </w:t>
      </w:r>
      <w:smartTag w:uri="urn:schemas-microsoft-com:office:smarttags" w:element="stockticker">
        <w:r w:rsidRPr="00106292">
          <w:rPr>
            <w:szCs w:val="22"/>
          </w:rPr>
          <w:t>MAR</w:t>
        </w:r>
      </w:smartTag>
      <w:r w:rsidRPr="00106292">
        <w:rPr>
          <w:szCs w:val="22"/>
        </w:rPr>
        <w:t xml:space="preserve"> site selection in data poor areas (</w:t>
      </w:r>
      <w:r w:rsidR="009D7B6E" w:rsidRPr="00106292">
        <w:rPr>
          <w:szCs w:val="22"/>
        </w:rPr>
        <w:t>Lawrie</w:t>
      </w:r>
      <w:r w:rsidR="008A5F7D" w:rsidRPr="00CF7613">
        <w:rPr>
          <w:rStyle w:val="StyleItalic"/>
        </w:rPr>
        <w:t xml:space="preserve"> et al</w:t>
      </w:r>
      <w:r w:rsidR="009D7B6E" w:rsidRPr="00106292">
        <w:rPr>
          <w:szCs w:val="22"/>
        </w:rPr>
        <w:t>., 2009a</w:t>
      </w:r>
      <w:r w:rsidRPr="00106292">
        <w:rPr>
          <w:szCs w:val="22"/>
        </w:rPr>
        <w:t xml:space="preserve">). An initial scoping study identified </w:t>
      </w:r>
      <w:r w:rsidR="00E06D3F" w:rsidRPr="00106292">
        <w:rPr>
          <w:szCs w:val="22"/>
        </w:rPr>
        <w:t>five</w:t>
      </w:r>
      <w:r w:rsidRPr="00106292">
        <w:rPr>
          <w:szCs w:val="22"/>
        </w:rPr>
        <w:t xml:space="preserve"> broad areas within a 150</w:t>
      </w:r>
      <w:r w:rsidR="00887AB3" w:rsidRPr="00106292">
        <w:rPr>
          <w:szCs w:val="22"/>
        </w:rPr>
        <w:t xml:space="preserve"> </w:t>
      </w:r>
      <w:r w:rsidRPr="00106292">
        <w:rPr>
          <w:szCs w:val="22"/>
        </w:rPr>
        <w:t xml:space="preserve">km radius of Broken Hill where </w:t>
      </w:r>
      <w:smartTag w:uri="urn:schemas-microsoft-com:office:smarttags" w:element="stockticker">
        <w:r w:rsidRPr="00106292">
          <w:rPr>
            <w:szCs w:val="22"/>
          </w:rPr>
          <w:t>MAR</w:t>
        </w:r>
      </w:smartTag>
      <w:r w:rsidRPr="00106292">
        <w:rPr>
          <w:szCs w:val="22"/>
        </w:rPr>
        <w:t xml:space="preserve"> storage options and/or groundwater extraction could provide alternative sources of water for the </w:t>
      </w:r>
      <w:r w:rsidR="009E2332" w:rsidRPr="00106292">
        <w:rPr>
          <w:szCs w:val="22"/>
        </w:rPr>
        <w:t>city</w:t>
      </w:r>
      <w:r w:rsidRPr="00106292">
        <w:rPr>
          <w:szCs w:val="22"/>
        </w:rPr>
        <w:t xml:space="preserve"> (Lewis</w:t>
      </w:r>
      <w:r w:rsidR="008A5F7D" w:rsidRPr="00CF7613">
        <w:rPr>
          <w:rStyle w:val="StyleItalic"/>
        </w:rPr>
        <w:t xml:space="preserve"> et al</w:t>
      </w:r>
      <w:r w:rsidRPr="00106292">
        <w:rPr>
          <w:szCs w:val="22"/>
        </w:rPr>
        <w:t xml:space="preserve">., 2008). However, in order to select a single area, and focus </w:t>
      </w:r>
      <w:r w:rsidR="008C4656" w:rsidRPr="00106292">
        <w:rPr>
          <w:szCs w:val="22"/>
        </w:rPr>
        <w:t>future</w:t>
      </w:r>
      <w:r w:rsidR="00106292">
        <w:rPr>
          <w:szCs w:val="22"/>
        </w:rPr>
        <w:t xml:space="preserve"> </w:t>
      </w:r>
      <w:r w:rsidRPr="00106292">
        <w:rPr>
          <w:szCs w:val="22"/>
        </w:rPr>
        <w:t>hydrogeological investi</w:t>
      </w:r>
      <w:smartTag w:uri="urn:schemas-microsoft-com:office:smarttags" w:element="PersonName">
        <w:r w:rsidRPr="00106292">
          <w:rPr>
            <w:szCs w:val="22"/>
          </w:rPr>
          <w:t>ga</w:t>
        </w:r>
      </w:smartTag>
      <w:r w:rsidRPr="00106292">
        <w:rPr>
          <w:szCs w:val="22"/>
        </w:rPr>
        <w:t xml:space="preserve">tions, an assessment framework was developed for </w:t>
      </w:r>
      <w:smartTag w:uri="urn:schemas-microsoft-com:office:smarttags" w:element="stockticker">
        <w:r w:rsidRPr="00106292">
          <w:rPr>
            <w:szCs w:val="22"/>
          </w:rPr>
          <w:t>MAR</w:t>
        </w:r>
      </w:smartTag>
      <w:r w:rsidRPr="00106292">
        <w:rPr>
          <w:szCs w:val="22"/>
        </w:rPr>
        <w:t xml:space="preserve"> site selection</w:t>
      </w:r>
      <w:r w:rsidR="00887AB3" w:rsidRPr="00106292">
        <w:rPr>
          <w:szCs w:val="22"/>
        </w:rPr>
        <w:t xml:space="preserve"> (Lawrie</w:t>
      </w:r>
      <w:r w:rsidR="008A5F7D" w:rsidRPr="00CF7613">
        <w:rPr>
          <w:rStyle w:val="StyleItalic"/>
        </w:rPr>
        <w:t xml:space="preserve"> et al</w:t>
      </w:r>
      <w:r w:rsidR="00887AB3" w:rsidRPr="00106292">
        <w:rPr>
          <w:szCs w:val="22"/>
        </w:rPr>
        <w:t>., 2012c, d)</w:t>
      </w:r>
      <w:r w:rsidRPr="00106292">
        <w:rPr>
          <w:szCs w:val="22"/>
        </w:rPr>
        <w:t>.</w:t>
      </w:r>
      <w:r w:rsidRPr="00B666A8">
        <w:rPr>
          <w:szCs w:val="22"/>
        </w:rPr>
        <w:t xml:space="preserve"> </w:t>
      </w:r>
    </w:p>
    <w:p w:rsidR="00B51C2E" w:rsidRDefault="00B51C2E" w:rsidP="00B51C2E">
      <w:pPr>
        <w:rPr>
          <w:szCs w:val="22"/>
        </w:rPr>
      </w:pPr>
    </w:p>
    <w:p w:rsidR="00B51C2E" w:rsidRPr="00B666A8" w:rsidRDefault="00B51C2E" w:rsidP="00B51C2E">
      <w:pPr>
        <w:rPr>
          <w:szCs w:val="22"/>
        </w:rPr>
      </w:pPr>
      <w:r>
        <w:rPr>
          <w:szCs w:val="22"/>
        </w:rPr>
        <w:t>Specific o</w:t>
      </w:r>
      <w:r w:rsidRPr="00B666A8">
        <w:rPr>
          <w:szCs w:val="22"/>
        </w:rPr>
        <w:t>ptions assessed, included:</w:t>
      </w:r>
    </w:p>
    <w:p w:rsidR="00B51C2E" w:rsidRPr="00B666A8" w:rsidRDefault="00B51C2E" w:rsidP="00B51C2E">
      <w:pPr>
        <w:numPr>
          <w:ilvl w:val="0"/>
          <w:numId w:val="12"/>
        </w:numPr>
        <w:tabs>
          <w:tab w:val="clear" w:pos="1440"/>
          <w:tab w:val="num" w:pos="482"/>
        </w:tabs>
        <w:ind w:left="482" w:hanging="357"/>
        <w:rPr>
          <w:szCs w:val="22"/>
        </w:rPr>
      </w:pPr>
      <w:r w:rsidRPr="00B666A8">
        <w:rPr>
          <w:szCs w:val="22"/>
        </w:rPr>
        <w:t>Enhanced recharge or extraction of fresh to brackish quality water from near-surface (0-30</w:t>
      </w:r>
      <w:r w:rsidR="00887AB3">
        <w:rPr>
          <w:szCs w:val="22"/>
        </w:rPr>
        <w:t xml:space="preserve"> </w:t>
      </w:r>
      <w:r w:rsidRPr="00B666A8">
        <w:rPr>
          <w:szCs w:val="22"/>
        </w:rPr>
        <w:t>m) alluvial</w:t>
      </w:r>
      <w:r>
        <w:rPr>
          <w:szCs w:val="22"/>
        </w:rPr>
        <w:t xml:space="preserve"> aquifers and river flush zones.</w:t>
      </w:r>
    </w:p>
    <w:p w:rsidR="00B51C2E" w:rsidRPr="00B666A8" w:rsidRDefault="00B51C2E" w:rsidP="00B51C2E">
      <w:pPr>
        <w:numPr>
          <w:ilvl w:val="0"/>
          <w:numId w:val="12"/>
        </w:numPr>
        <w:tabs>
          <w:tab w:val="clear" w:pos="1440"/>
          <w:tab w:val="num" w:pos="482"/>
        </w:tabs>
        <w:ind w:left="482" w:hanging="357"/>
        <w:rPr>
          <w:szCs w:val="22"/>
        </w:rPr>
      </w:pPr>
      <w:r w:rsidRPr="00B666A8">
        <w:rPr>
          <w:szCs w:val="22"/>
        </w:rPr>
        <w:t>Extraction of fresh to saline groundwater from intermediate-level (30-120</w:t>
      </w:r>
      <w:r w:rsidR="00887AB3">
        <w:rPr>
          <w:szCs w:val="22"/>
        </w:rPr>
        <w:t xml:space="preserve"> </w:t>
      </w:r>
      <w:r w:rsidRPr="00B666A8">
        <w:rPr>
          <w:szCs w:val="22"/>
        </w:rPr>
        <w:t>m) aquifers; and/or use of these formations for MAR</w:t>
      </w:r>
      <w:r>
        <w:rPr>
          <w:szCs w:val="22"/>
        </w:rPr>
        <w:t>.</w:t>
      </w:r>
    </w:p>
    <w:p w:rsidR="00B51C2E" w:rsidRPr="00B666A8" w:rsidRDefault="00B51C2E" w:rsidP="00B51C2E">
      <w:pPr>
        <w:numPr>
          <w:ilvl w:val="0"/>
          <w:numId w:val="12"/>
        </w:numPr>
        <w:tabs>
          <w:tab w:val="clear" w:pos="1440"/>
          <w:tab w:val="num" w:pos="482"/>
        </w:tabs>
        <w:ind w:left="482" w:hanging="357"/>
        <w:rPr>
          <w:szCs w:val="22"/>
        </w:rPr>
      </w:pPr>
      <w:r w:rsidRPr="00B666A8">
        <w:rPr>
          <w:szCs w:val="22"/>
        </w:rPr>
        <w:t>Extraction of brackish groundwater or use of sto</w:t>
      </w:r>
      <w:r>
        <w:rPr>
          <w:szCs w:val="22"/>
        </w:rPr>
        <w:t>rage in deeper (&gt;250</w:t>
      </w:r>
      <w:r w:rsidR="00887AB3">
        <w:rPr>
          <w:szCs w:val="22"/>
        </w:rPr>
        <w:t xml:space="preserve"> </w:t>
      </w:r>
      <w:r>
        <w:rPr>
          <w:szCs w:val="22"/>
        </w:rPr>
        <w:t>m) aquifers.</w:t>
      </w:r>
    </w:p>
    <w:p w:rsidR="00B51C2E" w:rsidRPr="00B666A8" w:rsidRDefault="00B51C2E" w:rsidP="00B51C2E">
      <w:pPr>
        <w:numPr>
          <w:ilvl w:val="0"/>
          <w:numId w:val="12"/>
        </w:numPr>
        <w:tabs>
          <w:tab w:val="clear" w:pos="1440"/>
          <w:tab w:val="num" w:pos="482"/>
        </w:tabs>
        <w:ind w:left="482" w:hanging="357"/>
        <w:rPr>
          <w:szCs w:val="22"/>
        </w:rPr>
      </w:pPr>
      <w:smartTag w:uri="urn:schemas-microsoft-com:office:smarttags" w:element="PersonName">
        <w:r w:rsidRPr="00B666A8">
          <w:rPr>
            <w:szCs w:val="22"/>
          </w:rPr>
          <w:t>Groundwater</w:t>
        </w:r>
      </w:smartTag>
      <w:r w:rsidRPr="00B666A8">
        <w:rPr>
          <w:szCs w:val="22"/>
        </w:rPr>
        <w:t xml:space="preserve"> resource and </w:t>
      </w:r>
      <w:smartTag w:uri="urn:schemas-microsoft-com:office:smarttags" w:element="stockticker">
        <w:r w:rsidRPr="00B666A8">
          <w:rPr>
            <w:szCs w:val="22"/>
          </w:rPr>
          <w:t>MAR</w:t>
        </w:r>
      </w:smartTag>
      <w:r w:rsidRPr="00B666A8">
        <w:rPr>
          <w:szCs w:val="22"/>
        </w:rPr>
        <w:t xml:space="preserve"> potential of alluvial fan syst</w:t>
      </w:r>
      <w:r>
        <w:rPr>
          <w:szCs w:val="22"/>
        </w:rPr>
        <w:t>ems.</w:t>
      </w:r>
    </w:p>
    <w:p w:rsidR="00B51C2E" w:rsidRPr="00B666A8" w:rsidRDefault="00B51C2E" w:rsidP="00B51C2E">
      <w:pPr>
        <w:numPr>
          <w:ilvl w:val="0"/>
          <w:numId w:val="12"/>
        </w:numPr>
        <w:tabs>
          <w:tab w:val="clear" w:pos="1440"/>
          <w:tab w:val="num" w:pos="482"/>
        </w:tabs>
        <w:ind w:left="482" w:hanging="357"/>
        <w:rPr>
          <w:szCs w:val="22"/>
        </w:rPr>
      </w:pPr>
      <w:r w:rsidRPr="00B666A8">
        <w:rPr>
          <w:szCs w:val="22"/>
        </w:rPr>
        <w:t>Capture of groundwater seepage from existing reservoirs.</w:t>
      </w:r>
    </w:p>
    <w:p w:rsidR="00B51C2E" w:rsidRPr="00B666A8" w:rsidRDefault="00B51C2E" w:rsidP="00B51C2E">
      <w:pPr>
        <w:rPr>
          <w:szCs w:val="22"/>
        </w:rPr>
      </w:pPr>
    </w:p>
    <w:p w:rsidR="00B51C2E" w:rsidRPr="00B666A8" w:rsidRDefault="00B51C2E" w:rsidP="00B51C2E">
      <w:pPr>
        <w:rPr>
          <w:szCs w:val="22"/>
        </w:rPr>
      </w:pPr>
      <w:r>
        <w:rPr>
          <w:szCs w:val="22"/>
        </w:rPr>
        <w:t>The assessment framework utilised a matrix approach, and prioritised two key criteria</w:t>
      </w:r>
      <w:r w:rsidRPr="00B666A8">
        <w:rPr>
          <w:szCs w:val="22"/>
        </w:rPr>
        <w:t>:</w:t>
      </w:r>
    </w:p>
    <w:p w:rsidR="00B51C2E" w:rsidRPr="00B666A8" w:rsidRDefault="00B51C2E" w:rsidP="00B51C2E">
      <w:pPr>
        <w:numPr>
          <w:ilvl w:val="0"/>
          <w:numId w:val="12"/>
        </w:numPr>
        <w:tabs>
          <w:tab w:val="clear" w:pos="1440"/>
          <w:tab w:val="num" w:pos="482"/>
        </w:tabs>
        <w:ind w:left="482" w:hanging="357"/>
        <w:rPr>
          <w:szCs w:val="22"/>
        </w:rPr>
      </w:pPr>
      <w:r>
        <w:rPr>
          <w:szCs w:val="22"/>
        </w:rPr>
        <w:t>The l</w:t>
      </w:r>
      <w:r w:rsidRPr="00B666A8">
        <w:rPr>
          <w:szCs w:val="22"/>
        </w:rPr>
        <w:t>i</w:t>
      </w:r>
      <w:r>
        <w:rPr>
          <w:szCs w:val="22"/>
        </w:rPr>
        <w:t xml:space="preserve">kelihood of technical success: </w:t>
      </w:r>
      <w:r w:rsidRPr="00B666A8">
        <w:rPr>
          <w:szCs w:val="22"/>
        </w:rPr>
        <w:t>accounting for the probability that the required groundwater resource is likely to be present, discoverable with the available technology, and the water supply</w:t>
      </w:r>
      <w:r>
        <w:rPr>
          <w:szCs w:val="22"/>
        </w:rPr>
        <w:t xml:space="preserve"> alternative can be implemented.</w:t>
      </w:r>
    </w:p>
    <w:p w:rsidR="00B51C2E" w:rsidRPr="00B666A8" w:rsidRDefault="00B51C2E" w:rsidP="00B51C2E">
      <w:pPr>
        <w:numPr>
          <w:ilvl w:val="0"/>
          <w:numId w:val="12"/>
        </w:numPr>
        <w:tabs>
          <w:tab w:val="clear" w:pos="1440"/>
          <w:tab w:val="num" w:pos="482"/>
        </w:tabs>
        <w:ind w:left="482" w:hanging="357"/>
        <w:rPr>
          <w:szCs w:val="22"/>
        </w:rPr>
      </w:pPr>
      <w:r>
        <w:rPr>
          <w:szCs w:val="22"/>
        </w:rPr>
        <w:t>The l</w:t>
      </w:r>
      <w:r w:rsidRPr="00B666A8">
        <w:rPr>
          <w:szCs w:val="22"/>
        </w:rPr>
        <w:t>ikeli</w:t>
      </w:r>
      <w:r>
        <w:rPr>
          <w:szCs w:val="22"/>
        </w:rPr>
        <w:t>hood of ne</w:t>
      </w:r>
      <w:smartTag w:uri="urn:schemas-microsoft-com:office:smarttags" w:element="PersonName">
        <w:r>
          <w:rPr>
            <w:szCs w:val="22"/>
          </w:rPr>
          <w:t>ga</w:t>
        </w:r>
      </w:smartTag>
      <w:r>
        <w:rPr>
          <w:szCs w:val="22"/>
        </w:rPr>
        <w:t xml:space="preserve">tive consequences: </w:t>
      </w:r>
      <w:r w:rsidRPr="00B666A8">
        <w:rPr>
          <w:szCs w:val="22"/>
        </w:rPr>
        <w:t>accounting for the potential and significance of impacts to the water resource, ecosystems and other groundwater users if the option was to be implemented.</w:t>
      </w:r>
    </w:p>
    <w:p w:rsidR="00B51C2E" w:rsidRDefault="00B51C2E" w:rsidP="00B51C2E">
      <w:pPr>
        <w:rPr>
          <w:szCs w:val="22"/>
        </w:rPr>
      </w:pPr>
    </w:p>
    <w:p w:rsidR="00B51C2E" w:rsidRDefault="00B51C2E" w:rsidP="00B51C2E">
      <w:pPr>
        <w:rPr>
          <w:szCs w:val="22"/>
        </w:rPr>
      </w:pPr>
      <w:r w:rsidRPr="00B666A8">
        <w:rPr>
          <w:szCs w:val="22"/>
        </w:rPr>
        <w:t xml:space="preserve">The approach </w:t>
      </w:r>
      <w:r>
        <w:rPr>
          <w:szCs w:val="22"/>
        </w:rPr>
        <w:t>also included</w:t>
      </w:r>
      <w:r w:rsidRPr="00B666A8">
        <w:rPr>
          <w:szCs w:val="22"/>
        </w:rPr>
        <w:t xml:space="preserve"> an analysis of the characteristics of key aquifer systems in each of the </w:t>
      </w:r>
      <w:r w:rsidR="00E06D3F">
        <w:rPr>
          <w:szCs w:val="22"/>
        </w:rPr>
        <w:t>five</w:t>
      </w:r>
      <w:r w:rsidRPr="00B666A8">
        <w:rPr>
          <w:szCs w:val="22"/>
        </w:rPr>
        <w:t xml:space="preserve"> priority areas, with a focus on a review of their internal architecture and yield potential, in addition to their </w:t>
      </w:r>
      <w:r w:rsidRPr="00106292">
        <w:rPr>
          <w:szCs w:val="22"/>
        </w:rPr>
        <w:t>bounding relationships</w:t>
      </w:r>
      <w:r w:rsidR="00887AB3" w:rsidRPr="00106292">
        <w:rPr>
          <w:szCs w:val="22"/>
        </w:rPr>
        <w:t xml:space="preserve"> (Lawrie</w:t>
      </w:r>
      <w:r w:rsidR="008A5F7D" w:rsidRPr="00CF7613">
        <w:rPr>
          <w:rStyle w:val="StyleItalic"/>
        </w:rPr>
        <w:t xml:space="preserve"> et al</w:t>
      </w:r>
      <w:r w:rsidR="00887AB3" w:rsidRPr="00106292">
        <w:rPr>
          <w:szCs w:val="22"/>
        </w:rPr>
        <w:t xml:space="preserve">., </w:t>
      </w:r>
      <w:r w:rsidR="00106292" w:rsidRPr="00106292">
        <w:rPr>
          <w:szCs w:val="22"/>
        </w:rPr>
        <w:t xml:space="preserve">2008a, 2009a, </w:t>
      </w:r>
      <w:r w:rsidR="00887AB3" w:rsidRPr="00106292">
        <w:rPr>
          <w:szCs w:val="22"/>
        </w:rPr>
        <w:t>2012</w:t>
      </w:r>
      <w:r w:rsidR="00106292" w:rsidRPr="00106292">
        <w:rPr>
          <w:szCs w:val="22"/>
        </w:rPr>
        <w:t xml:space="preserve">a, </w:t>
      </w:r>
      <w:r w:rsidR="00887AB3" w:rsidRPr="00106292">
        <w:rPr>
          <w:szCs w:val="22"/>
        </w:rPr>
        <w:t>c)</w:t>
      </w:r>
      <w:r w:rsidRPr="00106292">
        <w:rPr>
          <w:szCs w:val="22"/>
        </w:rPr>
        <w:t xml:space="preserve">. As a result of this risk assessment, the </w:t>
      </w:r>
      <w:r w:rsidRPr="00106292">
        <w:rPr>
          <w:szCs w:val="22"/>
        </w:rPr>
        <w:lastRenderedPageBreak/>
        <w:t>Darling Floodplain was ranked as the highest priority, and the BHMAR Project Phase 2 was established. Final project boundaries were chosen based on the use of salinity yield maps to delineate zones of possible fresh to brackish groundwater in target aquifers.</w:t>
      </w:r>
    </w:p>
    <w:p w:rsidR="00B51C2E" w:rsidRPr="00482C4C" w:rsidRDefault="00B51C2E" w:rsidP="00EF7E00">
      <w:pPr>
        <w:pStyle w:val="Heading3"/>
        <w:tabs>
          <w:tab w:val="left" w:pos="1080"/>
        </w:tabs>
        <w:spacing w:before="320"/>
        <w:ind w:left="1080" w:hanging="1080"/>
      </w:pPr>
      <w:bookmarkStart w:id="223" w:name="_Toc317423875"/>
      <w:bookmarkStart w:id="224" w:name="_Toc325700090"/>
      <w:bookmarkStart w:id="225" w:name="_Toc325700433"/>
      <w:bookmarkStart w:id="226" w:name="_Toc325975114"/>
      <w:bookmarkStart w:id="227" w:name="_Toc390690105"/>
      <w:r w:rsidRPr="00482C4C">
        <w:t>MAR Risk Assessment Framework for BHMAR Phase</w:t>
      </w:r>
      <w:r>
        <w:t>s</w:t>
      </w:r>
      <w:r w:rsidRPr="00482C4C">
        <w:t xml:space="preserve"> 2</w:t>
      </w:r>
      <w:bookmarkEnd w:id="223"/>
      <w:r>
        <w:t>-5</w:t>
      </w:r>
      <w:bookmarkEnd w:id="224"/>
      <w:bookmarkEnd w:id="225"/>
      <w:bookmarkEnd w:id="226"/>
      <w:bookmarkEnd w:id="227"/>
    </w:p>
    <w:p w:rsidR="00B51C2E" w:rsidRPr="00795774" w:rsidRDefault="00B51C2E" w:rsidP="00B51C2E">
      <w:pPr>
        <w:autoSpaceDE w:val="0"/>
        <w:autoSpaceDN w:val="0"/>
        <w:adjustRightInd w:val="0"/>
        <w:rPr>
          <w:szCs w:val="22"/>
        </w:rPr>
      </w:pPr>
      <w:r>
        <w:rPr>
          <w:szCs w:val="22"/>
        </w:rPr>
        <w:t xml:space="preserve">In this new national framework approach for large scale projects, there </w:t>
      </w:r>
      <w:r w:rsidRPr="00C03699">
        <w:rPr>
          <w:szCs w:val="22"/>
        </w:rPr>
        <w:t xml:space="preserve">are four assessment </w:t>
      </w:r>
      <w:r w:rsidRPr="00795774">
        <w:rPr>
          <w:szCs w:val="22"/>
        </w:rPr>
        <w:t>stages</w:t>
      </w:r>
      <w:r w:rsidR="00E06D3F" w:rsidRPr="00795774">
        <w:rPr>
          <w:szCs w:val="22"/>
        </w:rPr>
        <w:t xml:space="preserve"> (</w:t>
      </w:r>
      <w:r w:rsidR="001741E7" w:rsidRPr="00795774">
        <w:rPr>
          <w:szCs w:val="22"/>
        </w:rPr>
        <w:fldChar w:fldCharType="begin"/>
      </w:r>
      <w:r w:rsidR="001741E7" w:rsidRPr="00795774">
        <w:rPr>
          <w:szCs w:val="22"/>
        </w:rPr>
        <w:instrText xml:space="preserve"> REF _Ref325707360 \h </w:instrText>
      </w:r>
      <w:r w:rsidR="00795774" w:rsidRPr="00795774">
        <w:rPr>
          <w:szCs w:val="22"/>
        </w:rPr>
        <w:instrText xml:space="preserve"> \* MERGEFORMAT </w:instrText>
      </w:r>
      <w:r w:rsidR="001741E7" w:rsidRPr="00795774">
        <w:rPr>
          <w:szCs w:val="22"/>
        </w:rPr>
      </w:r>
      <w:r w:rsidR="001741E7" w:rsidRPr="00795774">
        <w:rPr>
          <w:szCs w:val="22"/>
        </w:rPr>
        <w:fldChar w:fldCharType="separate"/>
      </w:r>
      <w:r w:rsidR="00966532" w:rsidRPr="00966532">
        <w:t xml:space="preserve">Figure </w:t>
      </w:r>
      <w:r w:rsidR="00966532" w:rsidRPr="00966532">
        <w:rPr>
          <w:noProof/>
        </w:rPr>
        <w:t>4</w:t>
      </w:r>
      <w:r w:rsidR="00966532" w:rsidRPr="00966532">
        <w:rPr>
          <w:noProof/>
        </w:rPr>
        <w:noBreakHyphen/>
        <w:t>2</w:t>
      </w:r>
      <w:r w:rsidR="001741E7" w:rsidRPr="00795774">
        <w:rPr>
          <w:szCs w:val="22"/>
        </w:rPr>
        <w:fldChar w:fldCharType="end"/>
      </w:r>
      <w:r w:rsidR="00E06D3F" w:rsidRPr="00795774">
        <w:rPr>
          <w:szCs w:val="22"/>
        </w:rPr>
        <w:t>)</w:t>
      </w:r>
      <w:r w:rsidRPr="00795774">
        <w:rPr>
          <w:szCs w:val="22"/>
        </w:rPr>
        <w:t xml:space="preserve"> identified:</w:t>
      </w:r>
    </w:p>
    <w:p w:rsidR="00B51C2E" w:rsidRPr="00CE514E" w:rsidRDefault="00B51C2E" w:rsidP="00B51C2E">
      <w:pPr>
        <w:numPr>
          <w:ilvl w:val="0"/>
          <w:numId w:val="38"/>
        </w:numPr>
        <w:autoSpaceDE w:val="0"/>
        <w:autoSpaceDN w:val="0"/>
        <w:adjustRightInd w:val="0"/>
        <w:rPr>
          <w:szCs w:val="22"/>
        </w:rPr>
      </w:pPr>
      <w:r w:rsidRPr="00C03699">
        <w:rPr>
          <w:b/>
          <w:i/>
          <w:szCs w:val="22"/>
        </w:rPr>
        <w:t>Entry-level assessment</w:t>
      </w:r>
      <w:r w:rsidRPr="00C03699">
        <w:rPr>
          <w:szCs w:val="22"/>
        </w:rPr>
        <w:t xml:space="preserve">. </w:t>
      </w:r>
      <w:r w:rsidRPr="00CE514E">
        <w:rPr>
          <w:szCs w:val="22"/>
        </w:rPr>
        <w:t xml:space="preserve">This involves </w:t>
      </w:r>
      <w:smartTag w:uri="urn:schemas-microsoft-com:office:smarttags" w:element="PersonName">
        <w:r w:rsidRPr="00CE514E">
          <w:rPr>
            <w:szCs w:val="22"/>
          </w:rPr>
          <w:t>ga</w:t>
        </w:r>
      </w:smartTag>
      <w:r w:rsidRPr="00CE514E">
        <w:rPr>
          <w:szCs w:val="22"/>
        </w:rPr>
        <w:t>thering information that is normally readily available within the locale of the project and performing a basic desktop assessment to determine whether the project is viable and the likely degree of difficulty. This indicates the extent of field investi</w:t>
      </w:r>
      <w:smartTag w:uri="urn:schemas-microsoft-com:office:smarttags" w:element="PersonName">
        <w:r w:rsidRPr="00CE514E">
          <w:rPr>
            <w:szCs w:val="22"/>
          </w:rPr>
          <w:t>ga</w:t>
        </w:r>
      </w:smartTag>
      <w:r w:rsidRPr="00CE514E">
        <w:rPr>
          <w:szCs w:val="22"/>
        </w:rPr>
        <w:t>tions required in step 2.</w:t>
      </w:r>
    </w:p>
    <w:p w:rsidR="00B51C2E" w:rsidRPr="00C03699" w:rsidRDefault="00B51C2E" w:rsidP="00B51C2E">
      <w:pPr>
        <w:numPr>
          <w:ilvl w:val="0"/>
          <w:numId w:val="38"/>
        </w:numPr>
        <w:autoSpaceDE w:val="0"/>
        <w:autoSpaceDN w:val="0"/>
        <w:adjustRightInd w:val="0"/>
        <w:rPr>
          <w:szCs w:val="22"/>
        </w:rPr>
      </w:pPr>
      <w:r w:rsidRPr="00C03699">
        <w:rPr>
          <w:b/>
          <w:i/>
          <w:szCs w:val="22"/>
        </w:rPr>
        <w:t>Maximal risk assessment</w:t>
      </w:r>
      <w:r w:rsidRPr="00C03699">
        <w:rPr>
          <w:szCs w:val="22"/>
        </w:rPr>
        <w:t>. These baseline investi</w:t>
      </w:r>
      <w:smartTag w:uri="urn:schemas-microsoft-com:office:smarttags" w:element="PersonName">
        <w:r w:rsidRPr="00C03699">
          <w:rPr>
            <w:szCs w:val="22"/>
          </w:rPr>
          <w:t>ga</w:t>
        </w:r>
      </w:smartTag>
      <w:r w:rsidRPr="00C03699">
        <w:rPr>
          <w:szCs w:val="22"/>
        </w:rPr>
        <w:t>tions and site-specific data reveal inherent risks associated with a checklist of key hazards. This assessment will reveal whether preventive measures are required (as is normally the case).</w:t>
      </w:r>
    </w:p>
    <w:p w:rsidR="00B51C2E" w:rsidRPr="00C03699" w:rsidRDefault="00B51C2E" w:rsidP="00B51C2E">
      <w:pPr>
        <w:numPr>
          <w:ilvl w:val="0"/>
          <w:numId w:val="38"/>
        </w:numPr>
        <w:autoSpaceDE w:val="0"/>
        <w:autoSpaceDN w:val="0"/>
        <w:adjustRightInd w:val="0"/>
        <w:rPr>
          <w:szCs w:val="22"/>
        </w:rPr>
      </w:pPr>
      <w:r w:rsidRPr="00C03699">
        <w:rPr>
          <w:b/>
          <w:i/>
          <w:szCs w:val="22"/>
        </w:rPr>
        <w:t>Residual risk assessment (pre-commissioning)</w:t>
      </w:r>
      <w:r w:rsidRPr="00C03699">
        <w:rPr>
          <w:szCs w:val="22"/>
        </w:rPr>
        <w:t>. This assessment identifies proposed preventive measures and operational procedures that will ensure acceptably low residual risks to human health and the environment from constructing and commissioning the project. This assessment also informs on hazards or aspects that require validation monitoring during commissioning trials.</w:t>
      </w:r>
    </w:p>
    <w:p w:rsidR="00B51C2E" w:rsidRDefault="00B51C2E" w:rsidP="00B51C2E">
      <w:pPr>
        <w:numPr>
          <w:ilvl w:val="0"/>
          <w:numId w:val="38"/>
        </w:numPr>
        <w:autoSpaceDE w:val="0"/>
        <w:autoSpaceDN w:val="0"/>
        <w:adjustRightInd w:val="0"/>
        <w:rPr>
          <w:szCs w:val="22"/>
        </w:rPr>
      </w:pPr>
      <w:r w:rsidRPr="00C03699">
        <w:rPr>
          <w:b/>
          <w:i/>
          <w:szCs w:val="22"/>
        </w:rPr>
        <w:t>Residual risk assessment (operational)</w:t>
      </w:r>
      <w:r w:rsidRPr="00C03699">
        <w:rPr>
          <w:szCs w:val="22"/>
        </w:rPr>
        <w:t>. This is based on the results of commissioning trials and determines whether the ongoing operation of the project has acceptably low residual risks to human health and the environment. This assessment also informs the risk management plan including types and levels of verification and operational monitoring for ongoing operation of the project.</w:t>
      </w:r>
    </w:p>
    <w:p w:rsidR="00B51C2E" w:rsidRPr="008815E0" w:rsidRDefault="00B51C2E" w:rsidP="00B51C2E">
      <w:pPr>
        <w:autoSpaceDE w:val="0"/>
        <w:autoSpaceDN w:val="0"/>
        <w:adjustRightInd w:val="0"/>
        <w:rPr>
          <w:szCs w:val="22"/>
        </w:rPr>
      </w:pPr>
    </w:p>
    <w:p w:rsidR="00B51C2E" w:rsidRPr="00795774" w:rsidRDefault="00B51C2E" w:rsidP="003779C5">
      <w:r w:rsidRPr="008815E0">
        <w:t xml:space="preserve">The detailed objectives of each of these </w:t>
      </w:r>
      <w:r>
        <w:t xml:space="preserve">new </w:t>
      </w:r>
      <w:r w:rsidRPr="00795774">
        <w:t xml:space="preserve">risk assessment steps are shown in </w:t>
      </w:r>
      <w:r w:rsidR="00CD2825" w:rsidRPr="00795774">
        <w:fldChar w:fldCharType="begin"/>
      </w:r>
      <w:r w:rsidR="00CD2825" w:rsidRPr="00795774">
        <w:instrText xml:space="preserve"> REF _Ref325709505 \h </w:instrText>
      </w:r>
      <w:r w:rsidR="00795774" w:rsidRPr="00795774">
        <w:instrText xml:space="preserve"> \* MERGEFORMAT </w:instrText>
      </w:r>
      <w:r w:rsidR="00CD2825" w:rsidRPr="00795774">
        <w:fldChar w:fldCharType="separate"/>
      </w:r>
      <w:r w:rsidR="00966532" w:rsidRPr="00966532">
        <w:t xml:space="preserve">Table </w:t>
      </w:r>
      <w:r w:rsidR="00966532" w:rsidRPr="00966532">
        <w:rPr>
          <w:noProof/>
        </w:rPr>
        <w:t>4</w:t>
      </w:r>
      <w:r w:rsidR="00966532" w:rsidRPr="00966532">
        <w:rPr>
          <w:noProof/>
        </w:rPr>
        <w:noBreakHyphen/>
        <w:t>1</w:t>
      </w:r>
      <w:r w:rsidR="00CD2825" w:rsidRPr="00795774">
        <w:fldChar w:fldCharType="end"/>
      </w:r>
      <w:r w:rsidRPr="00795774">
        <w:t xml:space="preserve"> and</w:t>
      </w:r>
      <w:r w:rsidR="002F227D" w:rsidRPr="00795774">
        <w:t xml:space="preserve"> </w:t>
      </w:r>
      <w:r w:rsidR="00CD2825" w:rsidRPr="00795774">
        <w:fldChar w:fldCharType="begin"/>
      </w:r>
      <w:r w:rsidR="00CD2825" w:rsidRPr="00795774">
        <w:instrText xml:space="preserve"> REF _Ref325709511 \h </w:instrText>
      </w:r>
      <w:r w:rsidR="00795774" w:rsidRPr="00795774">
        <w:instrText xml:space="preserve"> \* MERGEFORMAT </w:instrText>
      </w:r>
      <w:r w:rsidR="00CD2825" w:rsidRPr="00795774">
        <w:fldChar w:fldCharType="separate"/>
      </w:r>
      <w:r w:rsidR="00966532" w:rsidRPr="00966532">
        <w:t xml:space="preserve">Table </w:t>
      </w:r>
      <w:r w:rsidR="00966532" w:rsidRPr="00966532">
        <w:rPr>
          <w:noProof/>
        </w:rPr>
        <w:t>4</w:t>
      </w:r>
      <w:r w:rsidR="00966532" w:rsidRPr="00966532">
        <w:rPr>
          <w:noProof/>
        </w:rPr>
        <w:noBreakHyphen/>
        <w:t>2</w:t>
      </w:r>
      <w:r w:rsidR="00CD2825" w:rsidRPr="00795774">
        <w:fldChar w:fldCharType="end"/>
      </w:r>
      <w:r w:rsidRPr="00795774">
        <w:t xml:space="preserve">. Stage 1 of the new national </w:t>
      </w:r>
      <w:smartTag w:uri="urn:schemas-microsoft-com:office:smarttags" w:element="stockticker">
        <w:r w:rsidRPr="00795774">
          <w:t>MAR</w:t>
        </w:r>
      </w:smartTag>
      <w:r w:rsidRPr="00795774">
        <w:t xml:space="preserve"> risk assessment approach</w:t>
      </w:r>
      <w:r w:rsidR="00E06D3F" w:rsidRPr="00795774">
        <w:t xml:space="preserve"> (</w:t>
      </w:r>
      <w:r w:rsidR="001741E7" w:rsidRPr="00795774">
        <w:fldChar w:fldCharType="begin"/>
      </w:r>
      <w:r w:rsidR="001741E7" w:rsidRPr="00795774">
        <w:instrText xml:space="preserve"> REF _Ref325707360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4</w:t>
      </w:r>
      <w:r w:rsidR="00966532" w:rsidRPr="00966532">
        <w:rPr>
          <w:noProof/>
        </w:rPr>
        <w:noBreakHyphen/>
        <w:t>2</w:t>
      </w:r>
      <w:r w:rsidR="001741E7" w:rsidRPr="00795774">
        <w:fldChar w:fldCharType="end"/>
      </w:r>
      <w:r w:rsidR="00E06D3F" w:rsidRPr="00795774">
        <w:t>)</w:t>
      </w:r>
      <w:r w:rsidRPr="00795774">
        <w:t xml:space="preserve"> envisages that an Entry-level risk assessment can be completed using existing information in a desktop study (</w:t>
      </w:r>
      <w:r w:rsidR="00CD2825" w:rsidRPr="00795774">
        <w:fldChar w:fldCharType="begin"/>
      </w:r>
      <w:r w:rsidR="00CD2825" w:rsidRPr="00795774">
        <w:instrText xml:space="preserve"> REF _Ref325709511 \h </w:instrText>
      </w:r>
      <w:r w:rsidR="00795774" w:rsidRPr="00795774">
        <w:instrText xml:space="preserve"> \* MERGEFORMAT </w:instrText>
      </w:r>
      <w:r w:rsidR="00CD2825" w:rsidRPr="00795774">
        <w:fldChar w:fldCharType="separate"/>
      </w:r>
      <w:r w:rsidR="00966532" w:rsidRPr="00966532">
        <w:t xml:space="preserve">Table </w:t>
      </w:r>
      <w:r w:rsidR="00966532" w:rsidRPr="00966532">
        <w:rPr>
          <w:noProof/>
        </w:rPr>
        <w:t>4</w:t>
      </w:r>
      <w:r w:rsidR="00966532" w:rsidRPr="00966532">
        <w:rPr>
          <w:noProof/>
        </w:rPr>
        <w:noBreakHyphen/>
        <w:t>2</w:t>
      </w:r>
      <w:r w:rsidR="00CD2825" w:rsidRPr="00795774">
        <w:fldChar w:fldCharType="end"/>
      </w:r>
      <w:r w:rsidRPr="00795774">
        <w:t xml:space="preserve">). Unfortunately, this approach does not fully take into consideration regional </w:t>
      </w:r>
      <w:smartTag w:uri="urn:schemas-microsoft-com:office:smarttags" w:element="stockticker">
        <w:r w:rsidRPr="00795774">
          <w:t>MAR</w:t>
        </w:r>
      </w:smartTag>
      <w:r w:rsidRPr="00795774">
        <w:t xml:space="preserve"> investi</w:t>
      </w:r>
      <w:smartTag w:uri="urn:schemas-microsoft-com:office:smarttags" w:element="PersonName">
        <w:r w:rsidRPr="00795774">
          <w:t>ga</w:t>
        </w:r>
      </w:smartTag>
      <w:r w:rsidRPr="00795774">
        <w:t>tions in large data-poor areas such as the Darling Floodplain. In the BHMAR project area, an Entry-level risk assessment was not deemed feasible without the acquisition of new hydrogeological datasets.</w:t>
      </w:r>
    </w:p>
    <w:p w:rsidR="00B51C2E" w:rsidRPr="00795774" w:rsidRDefault="00B51C2E" w:rsidP="003779C5"/>
    <w:p w:rsidR="00B51C2E" w:rsidRPr="00795774" w:rsidRDefault="00B51C2E" w:rsidP="003779C5">
      <w:r w:rsidRPr="00795774">
        <w:t>New hydrogeological investi</w:t>
      </w:r>
      <w:smartTag w:uri="urn:schemas-microsoft-com:office:smarttags" w:element="PersonName">
        <w:r w:rsidRPr="00795774">
          <w:t>ga</w:t>
        </w:r>
      </w:smartTag>
      <w:r w:rsidRPr="00795774">
        <w:t xml:space="preserve">tions and </w:t>
      </w:r>
      <w:r w:rsidRPr="00935679">
        <w:t>groundwater modelling have been identified as necessary in Stage 2 of the new risk assessment framework (</w:t>
      </w:r>
      <w:r w:rsidR="00CD2825" w:rsidRPr="00935679">
        <w:fldChar w:fldCharType="begin"/>
      </w:r>
      <w:r w:rsidR="00CD2825" w:rsidRPr="00935679">
        <w:instrText xml:space="preserve"> REF _Ref325709505 \h </w:instrText>
      </w:r>
      <w:r w:rsidR="00795774" w:rsidRPr="00935679">
        <w:instrText xml:space="preserve"> \* MERGEFORMAT </w:instrText>
      </w:r>
      <w:r w:rsidR="00CD2825" w:rsidRPr="00935679">
        <w:fldChar w:fldCharType="separate"/>
      </w:r>
      <w:r w:rsidR="00966532" w:rsidRPr="00966532">
        <w:t xml:space="preserve">Table </w:t>
      </w:r>
      <w:r w:rsidR="00966532" w:rsidRPr="00966532">
        <w:rPr>
          <w:noProof/>
        </w:rPr>
        <w:t>4</w:t>
      </w:r>
      <w:r w:rsidR="00966532" w:rsidRPr="00966532">
        <w:rPr>
          <w:noProof/>
        </w:rPr>
        <w:noBreakHyphen/>
        <w:t>1</w:t>
      </w:r>
      <w:r w:rsidR="00CD2825" w:rsidRPr="00935679">
        <w:fldChar w:fldCharType="end"/>
      </w:r>
      <w:r w:rsidRPr="00935679">
        <w:t xml:space="preserve"> and </w:t>
      </w:r>
      <w:r w:rsidR="00CD2825" w:rsidRPr="00935679">
        <w:fldChar w:fldCharType="begin"/>
      </w:r>
      <w:r w:rsidR="00CD2825" w:rsidRPr="00935679">
        <w:instrText xml:space="preserve"> REF _Ref325709511 \h </w:instrText>
      </w:r>
      <w:r w:rsidR="00795774" w:rsidRPr="00935679">
        <w:instrText xml:space="preserve"> \* MERGEFORMAT </w:instrText>
      </w:r>
      <w:r w:rsidR="00CD2825" w:rsidRPr="00935679">
        <w:fldChar w:fldCharType="separate"/>
      </w:r>
      <w:r w:rsidR="00966532" w:rsidRPr="00966532">
        <w:t xml:space="preserve">Table </w:t>
      </w:r>
      <w:r w:rsidR="00966532" w:rsidRPr="00966532">
        <w:rPr>
          <w:noProof/>
        </w:rPr>
        <w:t>4</w:t>
      </w:r>
      <w:r w:rsidR="00966532" w:rsidRPr="00966532">
        <w:rPr>
          <w:noProof/>
        </w:rPr>
        <w:noBreakHyphen/>
        <w:t>2</w:t>
      </w:r>
      <w:r w:rsidR="00CD2825" w:rsidRPr="00935679">
        <w:fldChar w:fldCharType="end"/>
      </w:r>
      <w:r w:rsidRPr="00935679">
        <w:t>; NRMMC-EPHC-NHMRC, 2009). However, the investi</w:t>
      </w:r>
      <w:smartTag w:uri="urn:schemas-microsoft-com:office:smarttags" w:element="PersonName">
        <w:r w:rsidRPr="00935679">
          <w:t>ga</w:t>
        </w:r>
      </w:smartTag>
      <w:r w:rsidRPr="00935679">
        <w:t>tive phase of Stage 2 in the new risk assessment approach is designed</w:t>
      </w:r>
      <w:r w:rsidRPr="00795774">
        <w:t xml:space="preserve"> to characterise specific sites in detail, while Phase 2 of the BHMAR Project is restricted to a detection and assessment of </w:t>
      </w:r>
      <w:smartTag w:uri="urn:schemas-microsoft-com:office:smarttags" w:element="stockticker">
        <w:r w:rsidRPr="00795774">
          <w:t>MAR</w:t>
        </w:r>
      </w:smartTag>
      <w:r w:rsidRPr="00795774">
        <w:t xml:space="preserve"> options at a regional scale, with limited data on individual potential targets. Furthermore, Stage 2 of the new risk management approach</w:t>
      </w:r>
      <w:r w:rsidR="003779C5" w:rsidRPr="00795774">
        <w:t xml:space="preserve"> (</w:t>
      </w:r>
      <w:r w:rsidR="001741E7" w:rsidRPr="00795774">
        <w:fldChar w:fldCharType="begin"/>
      </w:r>
      <w:r w:rsidR="001741E7" w:rsidRPr="00795774">
        <w:instrText xml:space="preserve"> REF _Ref325707360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4</w:t>
      </w:r>
      <w:r w:rsidR="00966532" w:rsidRPr="00966532">
        <w:rPr>
          <w:noProof/>
        </w:rPr>
        <w:noBreakHyphen/>
        <w:t>2</w:t>
      </w:r>
      <w:r w:rsidR="001741E7" w:rsidRPr="00795774">
        <w:fldChar w:fldCharType="end"/>
      </w:r>
      <w:r w:rsidR="003779C5" w:rsidRPr="00795774">
        <w:t>)</w:t>
      </w:r>
      <w:r w:rsidRPr="00795774">
        <w:t xml:space="preserve"> incorporates site-specific hydrogeochemical, water-rock interaction and groundwater modelling studies, while these have been earmarked for Phase 3 of the BHMAR study (</w:t>
      </w:r>
      <w:r w:rsidR="001741E7" w:rsidRPr="00795774">
        <w:fldChar w:fldCharType="begin"/>
      </w:r>
      <w:r w:rsidR="001741E7" w:rsidRPr="00795774">
        <w:instrText xml:space="preserve"> REF _Ref325707360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4</w:t>
      </w:r>
      <w:r w:rsidR="00966532" w:rsidRPr="00966532">
        <w:rPr>
          <w:noProof/>
        </w:rPr>
        <w:noBreakHyphen/>
        <w:t>2</w:t>
      </w:r>
      <w:r w:rsidR="001741E7" w:rsidRPr="00795774">
        <w:fldChar w:fldCharType="end"/>
      </w:r>
      <w:r w:rsidRPr="00795774">
        <w:t xml:space="preserve">). </w:t>
      </w:r>
    </w:p>
    <w:p w:rsidR="00B51C2E" w:rsidRPr="00795774" w:rsidRDefault="00B51C2E" w:rsidP="00B51C2E">
      <w:pPr>
        <w:autoSpaceDE w:val="0"/>
        <w:autoSpaceDN w:val="0"/>
        <w:adjustRightInd w:val="0"/>
        <w:rPr>
          <w:szCs w:val="22"/>
        </w:rPr>
      </w:pPr>
    </w:p>
    <w:p w:rsidR="00B51C2E" w:rsidRPr="00595B11" w:rsidRDefault="00B51C2E" w:rsidP="00B51C2E">
      <w:pPr>
        <w:autoSpaceDE w:val="0"/>
        <w:autoSpaceDN w:val="0"/>
        <w:adjustRightInd w:val="0"/>
      </w:pPr>
      <w:r>
        <w:rPr>
          <w:szCs w:val="22"/>
        </w:rPr>
        <w:t xml:space="preserve">In summary, the acquisition and interpretation of new hydrological and geoscientific datasets in Phase 2 of the BHMAR </w:t>
      </w:r>
      <w:r w:rsidR="00DF0CAB">
        <w:rPr>
          <w:szCs w:val="22"/>
        </w:rPr>
        <w:t>Project</w:t>
      </w:r>
      <w:r>
        <w:rPr>
          <w:szCs w:val="22"/>
        </w:rPr>
        <w:t xml:space="preserve"> enabled an </w:t>
      </w:r>
      <w:r>
        <w:rPr>
          <w:b/>
          <w:szCs w:val="22"/>
        </w:rPr>
        <w:t>entry-l</w:t>
      </w:r>
      <w:r w:rsidRPr="004F784A">
        <w:rPr>
          <w:b/>
          <w:szCs w:val="22"/>
        </w:rPr>
        <w:t xml:space="preserve">evel </w:t>
      </w:r>
      <w:r>
        <w:rPr>
          <w:b/>
          <w:szCs w:val="22"/>
        </w:rPr>
        <w:t xml:space="preserve">risk </w:t>
      </w:r>
      <w:r w:rsidRPr="004F784A">
        <w:rPr>
          <w:b/>
          <w:szCs w:val="22"/>
        </w:rPr>
        <w:t>assessment</w:t>
      </w:r>
      <w:r>
        <w:rPr>
          <w:szCs w:val="22"/>
        </w:rPr>
        <w:t xml:space="preserve"> of </w:t>
      </w:r>
      <w:smartTag w:uri="urn:schemas-microsoft-com:office:smarttags" w:element="stockticker">
        <w:r>
          <w:rPr>
            <w:szCs w:val="22"/>
          </w:rPr>
          <w:t>MAR</w:t>
        </w:r>
      </w:smartTag>
      <w:r>
        <w:rPr>
          <w:szCs w:val="22"/>
        </w:rPr>
        <w:t xml:space="preserve"> options to be carried out for a number of sites and options. </w:t>
      </w:r>
      <w:r w:rsidRPr="00595B11">
        <w:t>Entry-level assessment evaluates the apparent viability of managed aquifer recharge, and is undertaken in two parts:</w:t>
      </w:r>
    </w:p>
    <w:p w:rsidR="00B51C2E" w:rsidRPr="000B028E" w:rsidRDefault="00B51C2E" w:rsidP="007B61E9">
      <w:pPr>
        <w:numPr>
          <w:ilvl w:val="0"/>
          <w:numId w:val="39"/>
        </w:numPr>
        <w:spacing w:before="60"/>
        <w:ind w:left="714" w:hanging="357"/>
        <w:jc w:val="both"/>
        <w:rPr>
          <w:szCs w:val="22"/>
        </w:rPr>
      </w:pPr>
      <w:r w:rsidRPr="000B028E">
        <w:rPr>
          <w:szCs w:val="22"/>
        </w:rPr>
        <w:t xml:space="preserve">a </w:t>
      </w:r>
      <w:r w:rsidRPr="000B028E">
        <w:rPr>
          <w:b/>
          <w:szCs w:val="22"/>
        </w:rPr>
        <w:t>viability assessment</w:t>
      </w:r>
      <w:r w:rsidRPr="000B028E">
        <w:rPr>
          <w:szCs w:val="22"/>
        </w:rPr>
        <w:t>, which is intended to inform proponents of any fatal flaws in their</w:t>
      </w:r>
      <w:r>
        <w:rPr>
          <w:szCs w:val="22"/>
        </w:rPr>
        <w:t xml:space="preserve"> </w:t>
      </w:r>
      <w:r w:rsidRPr="000B028E">
        <w:rPr>
          <w:szCs w:val="22"/>
        </w:rPr>
        <w:t>intended project, based on existing, readily available information</w:t>
      </w:r>
    </w:p>
    <w:p w:rsidR="00B51C2E" w:rsidRDefault="00B51C2E" w:rsidP="007B61E9">
      <w:pPr>
        <w:numPr>
          <w:ilvl w:val="0"/>
          <w:numId w:val="39"/>
        </w:numPr>
        <w:spacing w:before="60"/>
        <w:ind w:left="714" w:hanging="357"/>
        <w:jc w:val="both"/>
        <w:rPr>
          <w:szCs w:val="22"/>
        </w:rPr>
      </w:pPr>
      <w:r w:rsidRPr="000B028E">
        <w:rPr>
          <w:szCs w:val="22"/>
        </w:rPr>
        <w:t xml:space="preserve">assessment of the likely </w:t>
      </w:r>
      <w:r w:rsidRPr="000B028E">
        <w:rPr>
          <w:b/>
          <w:szCs w:val="22"/>
        </w:rPr>
        <w:t>degree of difficulty</w:t>
      </w:r>
      <w:r w:rsidRPr="000B028E">
        <w:rPr>
          <w:szCs w:val="22"/>
        </w:rPr>
        <w:t xml:space="preserve"> of the project, which is intended to provide information about the amount of effort likely to be needed to achieve public health and environmental approvals from the relevant jurisdiction.</w:t>
      </w:r>
    </w:p>
    <w:p w:rsidR="00B51C2E" w:rsidRDefault="00B51C2E" w:rsidP="00B51C2E">
      <w:pPr>
        <w:rPr>
          <w:szCs w:val="22"/>
        </w:rPr>
      </w:pPr>
    </w:p>
    <w:p w:rsidR="00B51C2E" w:rsidRPr="00117E8E" w:rsidRDefault="00B51C2E" w:rsidP="00216BA0">
      <w:pPr>
        <w:autoSpaceDE w:val="0"/>
        <w:autoSpaceDN w:val="0"/>
        <w:adjustRightInd w:val="0"/>
        <w:spacing w:after="60"/>
        <w:jc w:val="center"/>
        <w:rPr>
          <w:szCs w:val="22"/>
        </w:rPr>
      </w:pPr>
      <w:r>
        <w:rPr>
          <w:szCs w:val="22"/>
        </w:rPr>
        <w:br w:type="page"/>
      </w:r>
      <w:r w:rsidR="00706A3B">
        <w:rPr>
          <w:noProof/>
        </w:rPr>
        <w:lastRenderedPageBreak/>
        <w:drawing>
          <wp:inline distT="0" distB="0" distL="0" distR="0" wp14:anchorId="185C880A" wp14:editId="30DBA0BB">
            <wp:extent cx="5720080" cy="8218805"/>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0080" cy="8218805"/>
                    </a:xfrm>
                    <a:prstGeom prst="rect">
                      <a:avLst/>
                    </a:prstGeom>
                    <a:noFill/>
                    <a:ln w="6350" cmpd="sng">
                      <a:solidFill>
                        <a:srgbClr val="000000"/>
                      </a:solidFill>
                      <a:miter lim="800000"/>
                      <a:headEnd/>
                      <a:tailEnd/>
                    </a:ln>
                    <a:effectLst/>
                  </pic:spPr>
                </pic:pic>
              </a:graphicData>
            </a:graphic>
          </wp:inline>
        </w:drawing>
      </w:r>
    </w:p>
    <w:p w:rsidR="00B51C2E" w:rsidRPr="00216027" w:rsidRDefault="001741E7" w:rsidP="00E06D3F">
      <w:pPr>
        <w:pStyle w:val="Caption"/>
        <w:rPr>
          <w:bCs w:val="0"/>
          <w:i w:val="0"/>
        </w:rPr>
      </w:pPr>
      <w:bookmarkStart w:id="228" w:name="_Ref32570736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4</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228"/>
      <w:r>
        <w:rPr>
          <w:b/>
        </w:rPr>
        <w:t>.</w:t>
      </w:r>
      <w:r>
        <w:rPr>
          <w:b/>
          <w:szCs w:val="22"/>
        </w:rPr>
        <w:t xml:space="preserve"> </w:t>
      </w:r>
      <w:r w:rsidR="00B51C2E" w:rsidRPr="00E06D3F">
        <w:rPr>
          <w:szCs w:val="20"/>
        </w:rPr>
        <w:t xml:space="preserve">Stages in establishing a </w:t>
      </w:r>
      <w:smartTag w:uri="urn:schemas-microsoft-com:office:smarttags" w:element="stockticker">
        <w:r w:rsidR="00B51C2E" w:rsidRPr="00E06D3F">
          <w:rPr>
            <w:szCs w:val="20"/>
          </w:rPr>
          <w:t>MAR</w:t>
        </w:r>
      </w:smartTag>
      <w:r w:rsidR="00B51C2E" w:rsidRPr="00E06D3F">
        <w:rPr>
          <w:szCs w:val="20"/>
        </w:rPr>
        <w:t xml:space="preserve"> project to meet human health and environmental needs in accordance with </w:t>
      </w:r>
      <w:smartTag w:uri="urn:schemas-microsoft-com:office:smarttags" w:element="stockticker">
        <w:r w:rsidR="00B51C2E" w:rsidRPr="00E06D3F">
          <w:rPr>
            <w:szCs w:val="20"/>
          </w:rPr>
          <w:t>MAR</w:t>
        </w:r>
      </w:smartTag>
      <w:r w:rsidR="00B51C2E" w:rsidRPr="00E06D3F">
        <w:rPr>
          <w:szCs w:val="20"/>
        </w:rPr>
        <w:t xml:space="preserve"> Guidelines (</w:t>
      </w:r>
      <w:r w:rsidR="009E2332" w:rsidRPr="00935679">
        <w:rPr>
          <w:szCs w:val="20"/>
        </w:rPr>
        <w:t>NRMMC-</w:t>
      </w:r>
      <w:r w:rsidR="00B51C2E" w:rsidRPr="00935679">
        <w:rPr>
          <w:szCs w:val="20"/>
        </w:rPr>
        <w:t>EPHC</w:t>
      </w:r>
      <w:r w:rsidR="009E2332" w:rsidRPr="00935679">
        <w:rPr>
          <w:szCs w:val="20"/>
        </w:rPr>
        <w:t>-NHMRC</w:t>
      </w:r>
      <w:r w:rsidR="00B51C2E" w:rsidRPr="00935679">
        <w:rPr>
          <w:szCs w:val="20"/>
        </w:rPr>
        <w:t>, 200</w:t>
      </w:r>
      <w:r w:rsidR="009E2332" w:rsidRPr="00935679">
        <w:rPr>
          <w:szCs w:val="20"/>
        </w:rPr>
        <w:t>9</w:t>
      </w:r>
      <w:r w:rsidR="00B51C2E" w:rsidRPr="00935679">
        <w:rPr>
          <w:szCs w:val="20"/>
        </w:rPr>
        <w:t>) (Source</w:t>
      </w:r>
      <w:r w:rsidR="00B51C2E" w:rsidRPr="00E06D3F">
        <w:rPr>
          <w:szCs w:val="20"/>
        </w:rPr>
        <w:t>: Peter Newland, SA EPA).</w:t>
      </w:r>
      <w:r w:rsidR="00BE08AB" w:rsidRPr="00BE08AB">
        <w:rPr>
          <w:bCs w:val="0"/>
          <w:i w:val="0"/>
        </w:rPr>
        <w:t xml:space="preserve"> </w:t>
      </w:r>
      <w:r w:rsidR="00BE08AB" w:rsidRPr="00216027">
        <w:rPr>
          <w:bCs w:val="0"/>
          <w:i w:val="0"/>
        </w:rPr>
        <w:fldChar w:fldCharType="begin"/>
      </w:r>
      <w:r w:rsidR="00BE08AB" w:rsidRPr="00216027">
        <w:rPr>
          <w:bCs w:val="0"/>
          <w:i w:val="0"/>
        </w:rPr>
        <w:instrText xml:space="preserve"> TC "</w:instrText>
      </w:r>
      <w:bookmarkStart w:id="229" w:name="_Toc325975209"/>
      <w:bookmarkStart w:id="230" w:name="_Toc390690218"/>
      <w:r w:rsidR="00BE08AB" w:rsidRPr="00216027">
        <w:rPr>
          <w:bCs w:val="0"/>
          <w:i w:val="0"/>
        </w:rPr>
        <w:instrText>Figur</w:instrText>
      </w:r>
      <w:r w:rsidR="009F303B" w:rsidRPr="00216027">
        <w:rPr>
          <w:bCs w:val="0"/>
          <w:i w:val="0"/>
        </w:rPr>
        <w:instrText xml:space="preserve">e </w:instrText>
      </w:r>
      <w:r w:rsidR="0020070D">
        <w:rPr>
          <w:bCs w:val="0"/>
          <w:i w:val="0"/>
        </w:rPr>
        <w:instrText>4-</w:instrText>
      </w:r>
      <w:r w:rsidR="004F6B8D" w:rsidRPr="00216027">
        <w:rPr>
          <w:bCs w:val="0"/>
          <w:i w:val="0"/>
        </w:rPr>
        <w:instrText>2</w:instrText>
      </w:r>
      <w:r w:rsidR="00497AD3">
        <w:rPr>
          <w:bCs w:val="0"/>
          <w:i w:val="0"/>
        </w:rPr>
        <w:instrText>.</w:instrText>
      </w:r>
      <w:r w:rsidR="00BE08AB" w:rsidRPr="00216027">
        <w:rPr>
          <w:bCs w:val="0"/>
          <w:i w:val="0"/>
        </w:rPr>
        <w:instrText xml:space="preserve"> </w:instrText>
      </w:r>
      <w:r w:rsidR="009F303B" w:rsidRPr="00216027">
        <w:rPr>
          <w:i w:val="0"/>
          <w:szCs w:val="20"/>
        </w:rPr>
        <w:instrText xml:space="preserve">Stages in establishing a </w:instrText>
      </w:r>
      <w:smartTag w:uri="urn:schemas-microsoft-com:office:smarttags" w:element="stockticker">
        <w:r w:rsidR="009F303B" w:rsidRPr="00216027">
          <w:rPr>
            <w:i w:val="0"/>
            <w:szCs w:val="20"/>
          </w:rPr>
          <w:instrText>MAR</w:instrText>
        </w:r>
      </w:smartTag>
      <w:r w:rsidR="009F303B" w:rsidRPr="00216027">
        <w:rPr>
          <w:i w:val="0"/>
          <w:szCs w:val="20"/>
        </w:rPr>
        <w:instrText xml:space="preserve"> project to meet human health and environmental needs</w:instrText>
      </w:r>
      <w:bookmarkEnd w:id="229"/>
      <w:r w:rsidR="005E4B77">
        <w:rPr>
          <w:bCs w:val="0"/>
          <w:i w:val="0"/>
        </w:rPr>
        <w:instrText>.</w:instrText>
      </w:r>
      <w:bookmarkEnd w:id="230"/>
      <w:r w:rsidR="00BE08AB" w:rsidRPr="00216027">
        <w:rPr>
          <w:bCs w:val="0"/>
          <w:i w:val="0"/>
        </w:rPr>
        <w:instrText xml:space="preserve">" \f A \l “4” </w:instrText>
      </w:r>
      <w:r w:rsidR="00BE08AB" w:rsidRPr="00216027">
        <w:rPr>
          <w:bCs w:val="0"/>
          <w:i w:val="0"/>
        </w:rPr>
        <w:fldChar w:fldCharType="end"/>
      </w:r>
    </w:p>
    <w:p w:rsidR="002B69F0" w:rsidRPr="002B69F0" w:rsidRDefault="002B69F0" w:rsidP="002B69F0">
      <w:pPr>
        <w:pStyle w:val="BodyText1"/>
      </w:pPr>
    </w:p>
    <w:p w:rsidR="00B51C2E" w:rsidRPr="004026AE" w:rsidRDefault="00CD2825" w:rsidP="00E06D3F">
      <w:pPr>
        <w:pStyle w:val="Caption"/>
        <w:rPr>
          <w:i w:val="0"/>
          <w:szCs w:val="20"/>
        </w:rPr>
      </w:pPr>
      <w:bookmarkStart w:id="231" w:name="_Ref325709505"/>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4</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231"/>
      <w:r w:rsidRPr="00CD2825">
        <w:rPr>
          <w:b/>
        </w:rPr>
        <w:t>.</w:t>
      </w:r>
      <w:r>
        <w:t xml:space="preserve"> </w:t>
      </w:r>
      <w:r w:rsidR="000F55FD">
        <w:t xml:space="preserve">Summary of the </w:t>
      </w:r>
      <w:r w:rsidR="00B51C2E" w:rsidRPr="00E06D3F">
        <w:rPr>
          <w:szCs w:val="20"/>
        </w:rPr>
        <w:t>4-stage approach for assessing risks in MAR projects. From the National MAR Guidelines (</w:t>
      </w:r>
      <w:r w:rsidR="00B51C2E" w:rsidRPr="005C4461">
        <w:rPr>
          <w:szCs w:val="20"/>
        </w:rPr>
        <w:t>NRMMC-EPHC-NHMRC, 2009).</w:t>
      </w:r>
      <w:r w:rsidR="00B51C2E" w:rsidRPr="004026AE">
        <w:rPr>
          <w:i w:val="0"/>
          <w:szCs w:val="20"/>
        </w:rPr>
        <w:t xml:space="preserve"> </w:t>
      </w:r>
      <w:r w:rsidR="00B51C2E" w:rsidRPr="004026AE">
        <w:rPr>
          <w:i w:val="0"/>
          <w:szCs w:val="20"/>
        </w:rPr>
        <w:fldChar w:fldCharType="begin"/>
      </w:r>
      <w:r w:rsidR="00B51C2E" w:rsidRPr="004026AE">
        <w:rPr>
          <w:i w:val="0"/>
          <w:szCs w:val="20"/>
        </w:rPr>
        <w:instrText xml:space="preserve"> TC "</w:instrText>
      </w:r>
      <w:bookmarkStart w:id="232" w:name="_Toc257801346"/>
      <w:bookmarkStart w:id="233" w:name="_Toc264521621"/>
      <w:bookmarkStart w:id="234" w:name="_Toc325975297"/>
      <w:bookmarkStart w:id="235" w:name="_Toc390690286"/>
      <w:r w:rsidR="00497AD3">
        <w:rPr>
          <w:i w:val="0"/>
          <w:szCs w:val="20"/>
        </w:rPr>
        <w:instrText xml:space="preserve">Table </w:instrText>
      </w:r>
      <w:r w:rsidR="0020070D">
        <w:rPr>
          <w:i w:val="0"/>
          <w:szCs w:val="20"/>
        </w:rPr>
        <w:instrText>4-1</w:instrText>
      </w:r>
      <w:r w:rsidR="00497AD3">
        <w:rPr>
          <w:i w:val="0"/>
          <w:szCs w:val="20"/>
        </w:rPr>
        <w:instrText>.</w:instrText>
      </w:r>
      <w:r w:rsidR="00B51C2E" w:rsidRPr="004026AE">
        <w:rPr>
          <w:i w:val="0"/>
          <w:szCs w:val="20"/>
        </w:rPr>
        <w:instrText xml:space="preserve"> </w:instrText>
      </w:r>
      <w:bookmarkEnd w:id="232"/>
      <w:r w:rsidR="000F55FD">
        <w:rPr>
          <w:i w:val="0"/>
          <w:szCs w:val="20"/>
        </w:rPr>
        <w:instrText>Summary of</w:instrText>
      </w:r>
      <w:r w:rsidR="00B51C2E" w:rsidRPr="004026AE">
        <w:rPr>
          <w:i w:val="0"/>
          <w:szCs w:val="20"/>
        </w:rPr>
        <w:instrText xml:space="preserve"> the 4-stage approach for assessing risks in MAR projects</w:instrText>
      </w:r>
      <w:bookmarkEnd w:id="233"/>
      <w:bookmarkEnd w:id="234"/>
      <w:r w:rsidR="005E4B77">
        <w:rPr>
          <w:i w:val="0"/>
          <w:szCs w:val="20"/>
        </w:rPr>
        <w:instrText>.</w:instrText>
      </w:r>
      <w:bookmarkEnd w:id="235"/>
      <w:r w:rsidR="00B51C2E" w:rsidRPr="004026AE">
        <w:rPr>
          <w:i w:val="0"/>
          <w:szCs w:val="20"/>
        </w:rPr>
        <w:instrText xml:space="preserve">" \f B \l "4" </w:instrText>
      </w:r>
      <w:r w:rsidR="00B51C2E" w:rsidRPr="004026AE">
        <w:rPr>
          <w:i w:val="0"/>
          <w:szCs w:val="2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268"/>
        <w:gridCol w:w="4961"/>
      </w:tblGrid>
      <w:tr w:rsidR="00B51C2E" w:rsidRPr="0020070D" w:rsidTr="00B51C2E">
        <w:trPr>
          <w:jc w:val="center"/>
        </w:trPr>
        <w:tc>
          <w:tcPr>
            <w:tcW w:w="1951" w:type="dxa"/>
            <w:shd w:val="clear" w:color="auto" w:fill="BFBFBF"/>
          </w:tcPr>
          <w:p w:rsidR="00B51C2E" w:rsidRPr="0020070D" w:rsidRDefault="00B51C2E" w:rsidP="00B51C2E">
            <w:pPr>
              <w:spacing w:before="60" w:after="60"/>
              <w:rPr>
                <w:b/>
                <w:sz w:val="20"/>
                <w:szCs w:val="20"/>
              </w:rPr>
            </w:pPr>
            <w:r w:rsidRPr="0020070D">
              <w:rPr>
                <w:b/>
                <w:sz w:val="20"/>
                <w:szCs w:val="20"/>
              </w:rPr>
              <w:t>Assessment Step</w:t>
            </w:r>
          </w:p>
        </w:tc>
        <w:tc>
          <w:tcPr>
            <w:tcW w:w="2268" w:type="dxa"/>
            <w:shd w:val="clear" w:color="auto" w:fill="BFBFBF"/>
          </w:tcPr>
          <w:p w:rsidR="00B51C2E" w:rsidRPr="0020070D" w:rsidRDefault="00B51C2E" w:rsidP="00B51C2E">
            <w:pPr>
              <w:spacing w:before="60" w:after="60"/>
              <w:rPr>
                <w:b/>
                <w:sz w:val="20"/>
                <w:szCs w:val="20"/>
              </w:rPr>
            </w:pPr>
            <w:r w:rsidRPr="0020070D">
              <w:rPr>
                <w:b/>
                <w:sz w:val="20"/>
                <w:szCs w:val="20"/>
              </w:rPr>
              <w:t>Information Available</w:t>
            </w:r>
          </w:p>
        </w:tc>
        <w:tc>
          <w:tcPr>
            <w:tcW w:w="4961" w:type="dxa"/>
            <w:shd w:val="clear" w:color="auto" w:fill="BFBFBF"/>
          </w:tcPr>
          <w:p w:rsidR="00B51C2E" w:rsidRPr="0020070D" w:rsidRDefault="00B51C2E" w:rsidP="00B51C2E">
            <w:pPr>
              <w:spacing w:before="60" w:after="60"/>
              <w:rPr>
                <w:b/>
                <w:sz w:val="20"/>
                <w:szCs w:val="20"/>
              </w:rPr>
            </w:pPr>
            <w:r w:rsidRPr="0020070D">
              <w:rPr>
                <w:b/>
                <w:sz w:val="20"/>
                <w:szCs w:val="20"/>
              </w:rPr>
              <w:t>Objectives</w:t>
            </w:r>
          </w:p>
        </w:tc>
      </w:tr>
      <w:tr w:rsidR="00B51C2E" w:rsidRPr="0020070D" w:rsidTr="00B51C2E">
        <w:trPr>
          <w:jc w:val="center"/>
        </w:trPr>
        <w:tc>
          <w:tcPr>
            <w:tcW w:w="1951" w:type="dxa"/>
            <w:shd w:val="clear" w:color="auto" w:fill="E6E6E6"/>
          </w:tcPr>
          <w:p w:rsidR="00B51C2E" w:rsidRPr="0020070D" w:rsidRDefault="00B51C2E" w:rsidP="00B51C2E">
            <w:pPr>
              <w:spacing w:before="60" w:after="60"/>
              <w:rPr>
                <w:sz w:val="20"/>
                <w:szCs w:val="20"/>
              </w:rPr>
            </w:pPr>
            <w:r w:rsidRPr="0020070D">
              <w:rPr>
                <w:sz w:val="20"/>
                <w:szCs w:val="20"/>
              </w:rPr>
              <w:t>Entry-level assessment</w:t>
            </w:r>
          </w:p>
        </w:tc>
        <w:tc>
          <w:tcPr>
            <w:tcW w:w="2268" w:type="dxa"/>
            <w:shd w:val="clear" w:color="auto" w:fill="auto"/>
          </w:tcPr>
          <w:p w:rsidR="00B51C2E" w:rsidRPr="0020070D" w:rsidRDefault="00B51C2E" w:rsidP="00B51C2E">
            <w:pPr>
              <w:spacing w:before="60" w:after="60"/>
              <w:rPr>
                <w:sz w:val="20"/>
                <w:szCs w:val="20"/>
              </w:rPr>
            </w:pPr>
            <w:r w:rsidRPr="0020070D">
              <w:rPr>
                <w:sz w:val="20"/>
                <w:szCs w:val="20"/>
              </w:rPr>
              <w:t xml:space="preserve">Existing information and regulations </w:t>
            </w:r>
          </w:p>
          <w:p w:rsidR="00B51C2E" w:rsidRPr="0020070D" w:rsidRDefault="00B51C2E" w:rsidP="00B51C2E">
            <w:pPr>
              <w:spacing w:before="60" w:after="60"/>
              <w:rPr>
                <w:sz w:val="20"/>
                <w:szCs w:val="20"/>
              </w:rPr>
            </w:pPr>
            <w:r w:rsidRPr="0020070D">
              <w:rPr>
                <w:sz w:val="20"/>
                <w:szCs w:val="20"/>
              </w:rPr>
              <w:t>(Stage 1)</w:t>
            </w:r>
          </w:p>
        </w:tc>
        <w:tc>
          <w:tcPr>
            <w:tcW w:w="4961" w:type="dxa"/>
            <w:shd w:val="clear" w:color="auto" w:fill="auto"/>
          </w:tcPr>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assess likely presence of a suitable aquifer</w:t>
            </w:r>
          </w:p>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assess conformity with catchment and aquifer management plans and local government requirements</w:t>
            </w:r>
          </w:p>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identify, using only rudimentary information, the likely degree of difficulty of the managed aquifer recharge project; this will inform the extent of investigations and level of operational expertise likely to be required at Stage 2</w:t>
            </w:r>
          </w:p>
        </w:tc>
      </w:tr>
      <w:tr w:rsidR="00B51C2E" w:rsidRPr="0020070D" w:rsidTr="00B51C2E">
        <w:trPr>
          <w:jc w:val="center"/>
        </w:trPr>
        <w:tc>
          <w:tcPr>
            <w:tcW w:w="1951" w:type="dxa"/>
            <w:shd w:val="clear" w:color="auto" w:fill="E6E6E6"/>
          </w:tcPr>
          <w:p w:rsidR="00B51C2E" w:rsidRPr="0020070D" w:rsidRDefault="00B51C2E" w:rsidP="00B51C2E">
            <w:pPr>
              <w:spacing w:before="60" w:after="60"/>
              <w:rPr>
                <w:sz w:val="20"/>
                <w:szCs w:val="20"/>
              </w:rPr>
            </w:pPr>
            <w:r w:rsidRPr="0020070D">
              <w:rPr>
                <w:sz w:val="20"/>
                <w:szCs w:val="20"/>
              </w:rPr>
              <w:t>Maximal risk assessment</w:t>
            </w:r>
          </w:p>
        </w:tc>
        <w:tc>
          <w:tcPr>
            <w:tcW w:w="2268" w:type="dxa"/>
            <w:shd w:val="clear" w:color="auto" w:fill="auto"/>
          </w:tcPr>
          <w:p w:rsidR="00B51C2E" w:rsidRPr="0020070D" w:rsidRDefault="00B51C2E" w:rsidP="00B51C2E">
            <w:pPr>
              <w:spacing w:before="60" w:after="60"/>
              <w:rPr>
                <w:sz w:val="20"/>
                <w:szCs w:val="20"/>
              </w:rPr>
            </w:pPr>
            <w:r w:rsidRPr="0020070D">
              <w:rPr>
                <w:sz w:val="20"/>
                <w:szCs w:val="20"/>
              </w:rPr>
              <w:t>Investigations (Stage 2) plus Stage 1</w:t>
            </w:r>
          </w:p>
        </w:tc>
        <w:tc>
          <w:tcPr>
            <w:tcW w:w="4961" w:type="dxa"/>
            <w:shd w:val="clear" w:color="auto" w:fill="auto"/>
          </w:tcPr>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assess whether the project has low maximal (inherent) human health and environmental risks based on investigation data</w:t>
            </w:r>
          </w:p>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In low maximal risk cases, planning for construction and commissioning is simplified. This avoids the requirement for additional preventive measures and precommissioning residual risk assessment</w:t>
            </w:r>
          </w:p>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In moderate or high maximal risk cases, preventive measures must be identified</w:t>
            </w:r>
          </w:p>
        </w:tc>
      </w:tr>
      <w:tr w:rsidR="00B51C2E" w:rsidRPr="0020070D" w:rsidTr="00B51C2E">
        <w:trPr>
          <w:jc w:val="center"/>
        </w:trPr>
        <w:tc>
          <w:tcPr>
            <w:tcW w:w="1951" w:type="dxa"/>
            <w:shd w:val="clear" w:color="auto" w:fill="E6E6E6"/>
          </w:tcPr>
          <w:p w:rsidR="00B51C2E" w:rsidRPr="0020070D" w:rsidRDefault="00B51C2E" w:rsidP="00B51C2E">
            <w:pPr>
              <w:spacing w:before="60" w:after="60"/>
              <w:rPr>
                <w:sz w:val="20"/>
                <w:szCs w:val="20"/>
              </w:rPr>
            </w:pPr>
            <w:r w:rsidRPr="0020070D">
              <w:rPr>
                <w:sz w:val="20"/>
                <w:szCs w:val="20"/>
              </w:rPr>
              <w:t>Residual risk assessment: precommissioning</w:t>
            </w:r>
          </w:p>
        </w:tc>
        <w:tc>
          <w:tcPr>
            <w:tcW w:w="2268" w:type="dxa"/>
            <w:shd w:val="clear" w:color="auto" w:fill="auto"/>
          </w:tcPr>
          <w:p w:rsidR="00B51C2E" w:rsidRPr="0020070D" w:rsidRDefault="00B51C2E" w:rsidP="00B51C2E">
            <w:pPr>
              <w:spacing w:before="60" w:after="60"/>
              <w:rPr>
                <w:sz w:val="20"/>
                <w:szCs w:val="20"/>
              </w:rPr>
            </w:pPr>
            <w:r w:rsidRPr="0020070D">
              <w:rPr>
                <w:sz w:val="20"/>
                <w:szCs w:val="20"/>
              </w:rPr>
              <w:t>Investigations (Stage 2) plus Stage 1</w:t>
            </w:r>
          </w:p>
        </w:tc>
        <w:tc>
          <w:tcPr>
            <w:tcW w:w="4961" w:type="dxa"/>
            <w:shd w:val="clear" w:color="auto" w:fill="auto"/>
          </w:tcPr>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assess whether proposed preventive measures and operational procedures ensure acceptably low residual risks to human health and the environment from constructing and commissioning the project</w:t>
            </w:r>
          </w:p>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inform on hazards or aspects that may require validation monitoring during commissioning trials</w:t>
            </w:r>
          </w:p>
        </w:tc>
      </w:tr>
      <w:tr w:rsidR="00B51C2E" w:rsidRPr="0020070D" w:rsidTr="00B51C2E">
        <w:trPr>
          <w:jc w:val="center"/>
        </w:trPr>
        <w:tc>
          <w:tcPr>
            <w:tcW w:w="1951" w:type="dxa"/>
            <w:shd w:val="clear" w:color="auto" w:fill="E6E6E6"/>
          </w:tcPr>
          <w:p w:rsidR="00B51C2E" w:rsidRPr="0020070D" w:rsidRDefault="00B51C2E" w:rsidP="00B51C2E">
            <w:pPr>
              <w:spacing w:before="60" w:after="60"/>
              <w:rPr>
                <w:sz w:val="20"/>
                <w:szCs w:val="20"/>
              </w:rPr>
            </w:pPr>
            <w:r w:rsidRPr="0020070D">
              <w:rPr>
                <w:sz w:val="20"/>
                <w:szCs w:val="20"/>
              </w:rPr>
              <w:t>Residual risk assessment: operational</w:t>
            </w:r>
          </w:p>
        </w:tc>
        <w:tc>
          <w:tcPr>
            <w:tcW w:w="2268" w:type="dxa"/>
            <w:shd w:val="clear" w:color="auto" w:fill="auto"/>
          </w:tcPr>
          <w:p w:rsidR="00B51C2E" w:rsidRPr="0020070D" w:rsidRDefault="00B51C2E" w:rsidP="00B51C2E">
            <w:pPr>
              <w:spacing w:before="60" w:after="60"/>
              <w:rPr>
                <w:sz w:val="20"/>
                <w:szCs w:val="20"/>
              </w:rPr>
            </w:pPr>
            <w:r w:rsidRPr="0020070D">
              <w:rPr>
                <w:sz w:val="20"/>
                <w:szCs w:val="20"/>
              </w:rPr>
              <w:t>Validation data from commissioning (Stage 3) plus Stages 1 and 2</w:t>
            </w:r>
          </w:p>
        </w:tc>
        <w:tc>
          <w:tcPr>
            <w:tcW w:w="4961" w:type="dxa"/>
            <w:shd w:val="clear" w:color="auto" w:fill="auto"/>
          </w:tcPr>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assess whether ongoing operation of the project has acceptably low human health and environmental risks</w:t>
            </w:r>
          </w:p>
          <w:p w:rsidR="00B51C2E" w:rsidRPr="0020070D" w:rsidRDefault="00B51C2E" w:rsidP="00A75725">
            <w:pPr>
              <w:numPr>
                <w:ilvl w:val="0"/>
                <w:numId w:val="56"/>
              </w:numPr>
              <w:tabs>
                <w:tab w:val="clear" w:pos="1080"/>
                <w:tab w:val="num" w:pos="484"/>
              </w:tabs>
              <w:spacing w:before="60" w:after="60"/>
              <w:ind w:left="484"/>
              <w:rPr>
                <w:sz w:val="20"/>
                <w:szCs w:val="20"/>
              </w:rPr>
            </w:pPr>
            <w:r w:rsidRPr="0020070D">
              <w:rPr>
                <w:sz w:val="20"/>
                <w:szCs w:val="20"/>
              </w:rPr>
              <w:t>To inform the management plan, including operational and verification monitoring for ongoing operation (Stage 4)</w:t>
            </w:r>
            <w:r w:rsidR="008C4656" w:rsidRPr="0020070D">
              <w:rPr>
                <w:sz w:val="20"/>
                <w:szCs w:val="20"/>
              </w:rPr>
              <w:t>.</w:t>
            </w:r>
          </w:p>
        </w:tc>
      </w:tr>
    </w:tbl>
    <w:p w:rsidR="00B51C2E" w:rsidRDefault="00B51C2E" w:rsidP="00B51C2E">
      <w:pPr>
        <w:pStyle w:val="Caption"/>
        <w:spacing w:before="0" w:after="0"/>
      </w:pPr>
    </w:p>
    <w:p w:rsidR="00B51C2E" w:rsidRPr="004026AE" w:rsidRDefault="00CD2825" w:rsidP="002B69F0">
      <w:pPr>
        <w:pStyle w:val="Caption"/>
        <w:keepNext/>
        <w:rPr>
          <w:b/>
          <w:i w:val="0"/>
        </w:rPr>
      </w:pPr>
      <w:bookmarkStart w:id="236" w:name="_Ref325709511"/>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4</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2</w:t>
      </w:r>
      <w:r w:rsidR="00B96C96">
        <w:rPr>
          <w:b/>
        </w:rPr>
        <w:fldChar w:fldCharType="end"/>
      </w:r>
      <w:bookmarkEnd w:id="236"/>
      <w:r w:rsidRPr="00CD2825">
        <w:rPr>
          <w:b/>
        </w:rPr>
        <w:t>.</w:t>
      </w:r>
      <w:r>
        <w:t xml:space="preserve"> </w:t>
      </w:r>
      <w:r w:rsidR="000F55FD">
        <w:t>D</w:t>
      </w:r>
      <w:r w:rsidR="00B51C2E" w:rsidRPr="00A0262A">
        <w:t xml:space="preserve">etails of the activities proposed to be undertaken in the 4-stage approach for assessing risks in MAR projects. From the National MAR </w:t>
      </w:r>
      <w:r w:rsidR="00B51C2E" w:rsidRPr="005C4461">
        <w:t>Guidelines (</w:t>
      </w:r>
      <w:r w:rsidR="00B51C2E" w:rsidRPr="005C4461">
        <w:rPr>
          <w:szCs w:val="22"/>
        </w:rPr>
        <w:t>NRMMC-EPHC-NHMRC, 2009).</w:t>
      </w:r>
      <w:r w:rsidR="00E823BA">
        <w:t xml:space="preserve"> </w:t>
      </w:r>
      <w:r w:rsidR="00B51C2E" w:rsidRPr="00216027">
        <w:rPr>
          <w:i w:val="0"/>
        </w:rPr>
        <w:fldChar w:fldCharType="begin"/>
      </w:r>
      <w:r w:rsidR="00B51C2E" w:rsidRPr="00216027">
        <w:rPr>
          <w:i w:val="0"/>
        </w:rPr>
        <w:instrText xml:space="preserve"> TC "</w:instrText>
      </w:r>
      <w:bookmarkStart w:id="237" w:name="_Toc325975298"/>
      <w:bookmarkStart w:id="238" w:name="_Toc390690287"/>
      <w:r w:rsidR="00497AD3">
        <w:rPr>
          <w:i w:val="0"/>
        </w:rPr>
        <w:instrText xml:space="preserve">Table </w:instrText>
      </w:r>
      <w:r w:rsidR="0020070D">
        <w:rPr>
          <w:i w:val="0"/>
        </w:rPr>
        <w:instrText>4-2</w:instrText>
      </w:r>
      <w:r w:rsidR="00497AD3">
        <w:rPr>
          <w:i w:val="0"/>
        </w:rPr>
        <w:instrText>.</w:instrText>
      </w:r>
      <w:r w:rsidR="00B51C2E" w:rsidRPr="00216027">
        <w:rPr>
          <w:i w:val="0"/>
        </w:rPr>
        <w:instrText xml:space="preserve"> </w:instrText>
      </w:r>
      <w:r w:rsidR="000F55FD">
        <w:rPr>
          <w:i w:val="0"/>
        </w:rPr>
        <w:instrText>D</w:instrText>
      </w:r>
      <w:r w:rsidR="00B51C2E" w:rsidRPr="00216027">
        <w:rPr>
          <w:i w:val="0"/>
        </w:rPr>
        <w:instrText>etails of the activities proposed to be undertaken in the 4-stage approach for assessing risks in MAR projects</w:instrText>
      </w:r>
      <w:bookmarkEnd w:id="237"/>
      <w:r w:rsidR="005E4B77">
        <w:rPr>
          <w:i w:val="0"/>
        </w:rPr>
        <w:instrText>.</w:instrText>
      </w:r>
      <w:bookmarkEnd w:id="238"/>
      <w:r w:rsidR="00B51C2E" w:rsidRPr="00216027">
        <w:rPr>
          <w:i w:val="0"/>
        </w:rPr>
        <w:instrText xml:space="preserve">" \f B \l "4" </w:instrText>
      </w:r>
      <w:r w:rsidR="00B51C2E" w:rsidRPr="00216027">
        <w:rPr>
          <w:i w:val="0"/>
        </w:rPr>
        <w:fldChar w:fldCharType="end"/>
      </w:r>
    </w:p>
    <w:tbl>
      <w:tblPr>
        <w:tblW w:w="9504" w:type="dxa"/>
        <w:jc w:val="center"/>
        <w:tblInd w:w="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7147"/>
      </w:tblGrid>
      <w:tr w:rsidR="00B51C2E" w:rsidRPr="0020070D" w:rsidTr="00B51C2E">
        <w:trPr>
          <w:jc w:val="center"/>
        </w:trPr>
        <w:tc>
          <w:tcPr>
            <w:tcW w:w="2357" w:type="dxa"/>
            <w:shd w:val="clear" w:color="auto" w:fill="BFBFBF"/>
          </w:tcPr>
          <w:p w:rsidR="00B51C2E" w:rsidRPr="0020070D" w:rsidRDefault="00B51C2E" w:rsidP="002B69F0">
            <w:pPr>
              <w:keepNext/>
              <w:spacing w:before="60" w:after="60"/>
              <w:rPr>
                <w:b/>
                <w:sz w:val="20"/>
                <w:szCs w:val="20"/>
              </w:rPr>
            </w:pPr>
            <w:r w:rsidRPr="0020070D">
              <w:rPr>
                <w:b/>
                <w:sz w:val="20"/>
                <w:szCs w:val="20"/>
              </w:rPr>
              <w:t>Investigation Stage</w:t>
            </w:r>
          </w:p>
        </w:tc>
        <w:tc>
          <w:tcPr>
            <w:tcW w:w="7147" w:type="dxa"/>
            <w:shd w:val="clear" w:color="auto" w:fill="BFBFBF"/>
          </w:tcPr>
          <w:p w:rsidR="00B51C2E" w:rsidRPr="0020070D" w:rsidRDefault="00B51C2E" w:rsidP="002B69F0">
            <w:pPr>
              <w:keepNext/>
              <w:spacing w:before="60" w:after="60"/>
              <w:rPr>
                <w:b/>
                <w:sz w:val="20"/>
                <w:szCs w:val="20"/>
              </w:rPr>
            </w:pPr>
            <w:r w:rsidRPr="0020070D">
              <w:rPr>
                <w:b/>
                <w:sz w:val="20"/>
                <w:szCs w:val="20"/>
              </w:rPr>
              <w:t>Issues Addressed</w:t>
            </w:r>
          </w:p>
        </w:tc>
      </w:tr>
      <w:tr w:rsidR="00B51C2E" w:rsidRPr="0020070D" w:rsidTr="00B51C2E">
        <w:trPr>
          <w:jc w:val="center"/>
        </w:trPr>
        <w:tc>
          <w:tcPr>
            <w:tcW w:w="2357" w:type="dxa"/>
            <w:shd w:val="clear" w:color="auto" w:fill="E6E6E6"/>
          </w:tcPr>
          <w:p w:rsidR="00B51C2E" w:rsidRPr="0020070D" w:rsidRDefault="00B51C2E" w:rsidP="00A75725">
            <w:pPr>
              <w:keepNext/>
              <w:numPr>
                <w:ilvl w:val="0"/>
                <w:numId w:val="40"/>
              </w:numPr>
              <w:spacing w:before="60" w:after="60"/>
              <w:ind w:left="420" w:hanging="364"/>
              <w:rPr>
                <w:sz w:val="20"/>
                <w:szCs w:val="20"/>
              </w:rPr>
            </w:pPr>
            <w:r w:rsidRPr="0020070D">
              <w:rPr>
                <w:sz w:val="20"/>
                <w:szCs w:val="20"/>
              </w:rPr>
              <w:t>Desktop</w:t>
            </w:r>
          </w:p>
        </w:tc>
        <w:tc>
          <w:tcPr>
            <w:tcW w:w="7147" w:type="dxa"/>
            <w:shd w:val="clear" w:color="auto" w:fill="auto"/>
          </w:tcPr>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Type and scale of scheme</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Source-water availability</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Compatibility with catchment and groundwater management plans</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Intended uses of recovered water</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Existence of a suitable aquifer</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Sour water, native groundwater and end-use environmental values</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Similarity to successful projects</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Management capability</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Planning and development requirements</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Preliminary evaluation of project viability and degree of difficulty</w:t>
            </w:r>
          </w:p>
        </w:tc>
      </w:tr>
      <w:tr w:rsidR="00B51C2E" w:rsidRPr="0020070D" w:rsidTr="00B51C2E">
        <w:trPr>
          <w:jc w:val="center"/>
        </w:trPr>
        <w:tc>
          <w:tcPr>
            <w:tcW w:w="2357" w:type="dxa"/>
            <w:shd w:val="clear" w:color="auto" w:fill="E6E6E6"/>
          </w:tcPr>
          <w:p w:rsidR="00B51C2E" w:rsidRPr="0020070D" w:rsidRDefault="00B51C2E" w:rsidP="00A75725">
            <w:pPr>
              <w:keepNext/>
              <w:numPr>
                <w:ilvl w:val="0"/>
                <w:numId w:val="40"/>
              </w:numPr>
              <w:spacing w:before="60" w:after="60"/>
              <w:ind w:left="420" w:hanging="364"/>
              <w:rPr>
                <w:sz w:val="20"/>
                <w:szCs w:val="20"/>
              </w:rPr>
            </w:pPr>
            <w:r w:rsidRPr="0020070D">
              <w:rPr>
                <w:sz w:val="20"/>
                <w:szCs w:val="20"/>
              </w:rPr>
              <w:t>Investigations, drilling, basic modelling</w:t>
            </w:r>
          </w:p>
        </w:tc>
        <w:tc>
          <w:tcPr>
            <w:tcW w:w="7147" w:type="dxa"/>
            <w:shd w:val="clear" w:color="auto" w:fill="auto"/>
          </w:tcPr>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Source-water quality</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Source-water catchment land use assessment</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smartTag w:uri="urn:schemas-microsoft-com:office:smarttags" w:element="PersonName">
              <w:r w:rsidRPr="0020070D">
                <w:rPr>
                  <w:sz w:val="20"/>
                  <w:szCs w:val="20"/>
                </w:rPr>
                <w:t>Groundwater</w:t>
              </w:r>
            </w:smartTag>
            <w:r w:rsidRPr="0020070D">
              <w:rPr>
                <w:sz w:val="20"/>
                <w:szCs w:val="20"/>
              </w:rPr>
              <w:t xml:space="preserve"> quality</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Soil, aquifer and aquitard characteristics, and fate of recharged water</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Aquifer storage competence</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smartTag w:uri="urn:schemas-microsoft-com:office:smarttags" w:element="PersonName">
              <w:r w:rsidRPr="0020070D">
                <w:rPr>
                  <w:sz w:val="20"/>
                  <w:szCs w:val="20"/>
                </w:rPr>
                <w:t>Groundwater</w:t>
              </w:r>
            </w:smartTag>
            <w:r w:rsidRPr="0020070D">
              <w:rPr>
                <w:sz w:val="20"/>
                <w:szCs w:val="20"/>
              </w:rPr>
              <w:t xml:space="preserve"> pressures and gradients</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Reactions between recharge water, groundwater and aquifer minerals</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Water treatment options and effectiveness</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Management of clogging</w:t>
            </w:r>
          </w:p>
          <w:p w:rsidR="00B51C2E" w:rsidRPr="0020070D" w:rsidRDefault="00B51C2E" w:rsidP="00A75725">
            <w:pPr>
              <w:keepNext/>
              <w:numPr>
                <w:ilvl w:val="0"/>
                <w:numId w:val="57"/>
              </w:numPr>
              <w:tabs>
                <w:tab w:val="clear" w:pos="1080"/>
                <w:tab w:val="num" w:pos="348"/>
              </w:tabs>
              <w:spacing w:before="60" w:after="60"/>
              <w:ind w:left="348" w:hanging="348"/>
              <w:rPr>
                <w:sz w:val="20"/>
                <w:szCs w:val="20"/>
              </w:rPr>
            </w:pPr>
            <w:r w:rsidRPr="0020070D">
              <w:rPr>
                <w:sz w:val="20"/>
                <w:szCs w:val="20"/>
              </w:rPr>
              <w:t>Biodegradation and inactivation of contaminants</w:t>
            </w:r>
          </w:p>
        </w:tc>
      </w:tr>
      <w:tr w:rsidR="00B51C2E" w:rsidRPr="0020070D" w:rsidTr="00B51C2E">
        <w:trPr>
          <w:jc w:val="center"/>
        </w:trPr>
        <w:tc>
          <w:tcPr>
            <w:tcW w:w="2357" w:type="dxa"/>
            <w:shd w:val="clear" w:color="auto" w:fill="E6E6E6"/>
          </w:tcPr>
          <w:p w:rsidR="00B51C2E" w:rsidRPr="0020070D" w:rsidRDefault="00B51C2E" w:rsidP="00A75725">
            <w:pPr>
              <w:numPr>
                <w:ilvl w:val="0"/>
                <w:numId w:val="40"/>
              </w:numPr>
              <w:spacing w:before="60" w:after="60"/>
              <w:ind w:left="420" w:hanging="364"/>
              <w:rPr>
                <w:sz w:val="20"/>
                <w:szCs w:val="20"/>
              </w:rPr>
            </w:pPr>
            <w:r w:rsidRPr="0020070D">
              <w:rPr>
                <w:sz w:val="20"/>
                <w:szCs w:val="20"/>
              </w:rPr>
              <w:t>Trials, detailed modelling</w:t>
            </w:r>
          </w:p>
        </w:tc>
        <w:tc>
          <w:tcPr>
            <w:tcW w:w="7147" w:type="dxa"/>
            <w:shd w:val="clear" w:color="auto" w:fill="auto"/>
          </w:tcPr>
          <w:p w:rsidR="00B51C2E" w:rsidRPr="0020070D" w:rsidRDefault="00B51C2E" w:rsidP="00A75725">
            <w:pPr>
              <w:numPr>
                <w:ilvl w:val="0"/>
                <w:numId w:val="57"/>
              </w:numPr>
              <w:tabs>
                <w:tab w:val="clear" w:pos="1080"/>
                <w:tab w:val="num" w:pos="348"/>
              </w:tabs>
              <w:spacing w:before="60" w:after="60"/>
              <w:ind w:left="348" w:hanging="348"/>
              <w:rPr>
                <w:sz w:val="20"/>
                <w:szCs w:val="20"/>
              </w:rPr>
            </w:pPr>
            <w:r w:rsidRPr="0020070D">
              <w:rPr>
                <w:sz w:val="20"/>
                <w:szCs w:val="20"/>
              </w:rPr>
              <w:t>Effectiveness of preventive measures and operational controls</w:t>
            </w:r>
          </w:p>
          <w:p w:rsidR="00B51C2E" w:rsidRPr="0020070D" w:rsidRDefault="00B51C2E" w:rsidP="00A75725">
            <w:pPr>
              <w:numPr>
                <w:ilvl w:val="0"/>
                <w:numId w:val="57"/>
              </w:numPr>
              <w:tabs>
                <w:tab w:val="clear" w:pos="1080"/>
                <w:tab w:val="num" w:pos="348"/>
              </w:tabs>
              <w:spacing w:before="60" w:after="60"/>
              <w:ind w:left="348" w:hanging="348"/>
              <w:rPr>
                <w:sz w:val="20"/>
                <w:szCs w:val="20"/>
              </w:rPr>
            </w:pPr>
            <w:r w:rsidRPr="0020070D">
              <w:rPr>
                <w:sz w:val="20"/>
                <w:szCs w:val="20"/>
              </w:rPr>
              <w:t>Suitability of recovered water for intended uses</w:t>
            </w:r>
          </w:p>
          <w:p w:rsidR="00B51C2E" w:rsidRPr="0020070D" w:rsidRDefault="00B51C2E" w:rsidP="00A75725">
            <w:pPr>
              <w:numPr>
                <w:ilvl w:val="0"/>
                <w:numId w:val="57"/>
              </w:numPr>
              <w:tabs>
                <w:tab w:val="clear" w:pos="1080"/>
                <w:tab w:val="num" w:pos="348"/>
              </w:tabs>
              <w:spacing w:before="60" w:after="60"/>
              <w:ind w:left="348" w:hanging="348"/>
              <w:rPr>
                <w:sz w:val="20"/>
                <w:szCs w:val="20"/>
              </w:rPr>
            </w:pPr>
            <w:r w:rsidRPr="0020070D">
              <w:rPr>
                <w:sz w:val="20"/>
                <w:szCs w:val="20"/>
              </w:rPr>
              <w:t>Size of attenuation and impact zones</w:t>
            </w:r>
          </w:p>
          <w:p w:rsidR="00B51C2E" w:rsidRPr="0020070D" w:rsidRDefault="00B51C2E" w:rsidP="00A75725">
            <w:pPr>
              <w:numPr>
                <w:ilvl w:val="0"/>
                <w:numId w:val="57"/>
              </w:numPr>
              <w:tabs>
                <w:tab w:val="clear" w:pos="1080"/>
                <w:tab w:val="num" w:pos="348"/>
              </w:tabs>
              <w:spacing w:before="60" w:after="60"/>
              <w:ind w:left="348" w:hanging="348"/>
              <w:rPr>
                <w:sz w:val="20"/>
                <w:szCs w:val="20"/>
              </w:rPr>
            </w:pPr>
            <w:r w:rsidRPr="0020070D">
              <w:rPr>
                <w:sz w:val="20"/>
                <w:szCs w:val="20"/>
              </w:rPr>
              <w:t>Recovery efficiency</w:t>
            </w:r>
          </w:p>
          <w:p w:rsidR="00B51C2E" w:rsidRPr="0020070D" w:rsidRDefault="00B51C2E" w:rsidP="00A75725">
            <w:pPr>
              <w:numPr>
                <w:ilvl w:val="0"/>
                <w:numId w:val="57"/>
              </w:numPr>
              <w:tabs>
                <w:tab w:val="clear" w:pos="1080"/>
                <w:tab w:val="num" w:pos="348"/>
              </w:tabs>
              <w:spacing w:before="60" w:after="60"/>
              <w:ind w:left="348" w:hanging="348"/>
              <w:rPr>
                <w:sz w:val="20"/>
                <w:szCs w:val="20"/>
              </w:rPr>
            </w:pPr>
            <w:r w:rsidRPr="0020070D">
              <w:rPr>
                <w:sz w:val="20"/>
                <w:szCs w:val="20"/>
              </w:rPr>
              <w:t>Targeted studies covering identified hazards</w:t>
            </w:r>
          </w:p>
        </w:tc>
      </w:tr>
    </w:tbl>
    <w:p w:rsidR="00B51C2E" w:rsidRPr="00D21C33" w:rsidRDefault="00B51C2E" w:rsidP="00B51C2E">
      <w:pPr>
        <w:pStyle w:val="Heading4"/>
        <w:tabs>
          <w:tab w:val="left" w:pos="1021"/>
        </w:tabs>
        <w:spacing w:before="320"/>
        <w:ind w:left="1021" w:hanging="1021"/>
      </w:pPr>
      <w:bookmarkStart w:id="239" w:name="_Toc265505636"/>
      <w:bookmarkStart w:id="240" w:name="_Toc317423876"/>
      <w:r w:rsidRPr="00D21C33">
        <w:t xml:space="preserve">MAR </w:t>
      </w:r>
      <w:r>
        <w:t>Viability A</w:t>
      </w:r>
      <w:r w:rsidRPr="00D21C33">
        <w:t>ssessmen</w:t>
      </w:r>
      <w:bookmarkEnd w:id="239"/>
      <w:bookmarkEnd w:id="240"/>
      <w:r>
        <w:t>ts</w:t>
      </w:r>
    </w:p>
    <w:p w:rsidR="00B51C2E" w:rsidRPr="00B277BE" w:rsidRDefault="00B51C2E" w:rsidP="00B51C2E">
      <w:pPr>
        <w:autoSpaceDE w:val="0"/>
        <w:autoSpaceDN w:val="0"/>
        <w:adjustRightInd w:val="0"/>
        <w:rPr>
          <w:szCs w:val="22"/>
        </w:rPr>
      </w:pPr>
      <w:r>
        <w:rPr>
          <w:szCs w:val="22"/>
        </w:rPr>
        <w:t xml:space="preserve">At the highest level, there are </w:t>
      </w:r>
      <w:r w:rsidRPr="00B277BE">
        <w:rPr>
          <w:szCs w:val="22"/>
        </w:rPr>
        <w:t>five critical elemen</w:t>
      </w:r>
      <w:r>
        <w:rPr>
          <w:szCs w:val="22"/>
        </w:rPr>
        <w:t xml:space="preserve">ts for a successful </w:t>
      </w:r>
      <w:smartTag w:uri="urn:schemas-microsoft-com:office:smarttags" w:element="stockticker">
        <w:r>
          <w:rPr>
            <w:szCs w:val="22"/>
          </w:rPr>
          <w:t>MAR</w:t>
        </w:r>
      </w:smartTag>
      <w:r>
        <w:rPr>
          <w:szCs w:val="22"/>
        </w:rPr>
        <w:t xml:space="preserve"> project (Dillon</w:t>
      </w:r>
      <w:r w:rsidR="008A5F7D" w:rsidRPr="00CF7613">
        <w:rPr>
          <w:rStyle w:val="StyleItalic"/>
        </w:rPr>
        <w:t xml:space="preserve"> et al</w:t>
      </w:r>
      <w:r w:rsidRPr="00CF7613">
        <w:rPr>
          <w:rStyle w:val="StyleItalic"/>
        </w:rPr>
        <w:t>.,</w:t>
      </w:r>
      <w:r>
        <w:rPr>
          <w:szCs w:val="22"/>
        </w:rPr>
        <w:t xml:space="preserve"> 2009). These </w:t>
      </w:r>
      <w:r w:rsidRPr="00B277BE">
        <w:rPr>
          <w:szCs w:val="22"/>
        </w:rPr>
        <w:t>are:</w:t>
      </w:r>
    </w:p>
    <w:p w:rsidR="00B51C2E" w:rsidRPr="0065048F" w:rsidRDefault="00B51C2E" w:rsidP="00B51C2E">
      <w:pPr>
        <w:numPr>
          <w:ilvl w:val="0"/>
          <w:numId w:val="39"/>
        </w:numPr>
        <w:jc w:val="both"/>
        <w:rPr>
          <w:szCs w:val="22"/>
        </w:rPr>
      </w:pPr>
      <w:r w:rsidRPr="0065048F">
        <w:rPr>
          <w:szCs w:val="22"/>
        </w:rPr>
        <w:t>a sufficient demand for recovered water</w:t>
      </w:r>
      <w:r w:rsidR="00DF0CAB">
        <w:rPr>
          <w:szCs w:val="22"/>
        </w:rPr>
        <w:t>,</w:t>
      </w:r>
    </w:p>
    <w:p w:rsidR="00B51C2E" w:rsidRPr="0065048F" w:rsidRDefault="00B51C2E" w:rsidP="00B51C2E">
      <w:pPr>
        <w:numPr>
          <w:ilvl w:val="0"/>
          <w:numId w:val="39"/>
        </w:numPr>
        <w:jc w:val="both"/>
        <w:rPr>
          <w:szCs w:val="22"/>
        </w:rPr>
      </w:pPr>
      <w:r w:rsidRPr="0065048F">
        <w:rPr>
          <w:szCs w:val="22"/>
        </w:rPr>
        <w:t>an adequate source of water for recharge</w:t>
      </w:r>
      <w:r w:rsidR="00DF0CAB">
        <w:rPr>
          <w:szCs w:val="22"/>
        </w:rPr>
        <w:t>,</w:t>
      </w:r>
    </w:p>
    <w:p w:rsidR="00B51C2E" w:rsidRPr="0065048F" w:rsidRDefault="00B51C2E" w:rsidP="00B51C2E">
      <w:pPr>
        <w:numPr>
          <w:ilvl w:val="0"/>
          <w:numId w:val="39"/>
        </w:numPr>
        <w:jc w:val="both"/>
        <w:rPr>
          <w:szCs w:val="22"/>
        </w:rPr>
      </w:pPr>
      <w:r w:rsidRPr="0065048F">
        <w:rPr>
          <w:szCs w:val="22"/>
        </w:rPr>
        <w:t>a suitable aquifer in which to store and recover the water</w:t>
      </w:r>
      <w:r w:rsidR="00DF0CAB">
        <w:rPr>
          <w:szCs w:val="22"/>
        </w:rPr>
        <w:t>,</w:t>
      </w:r>
    </w:p>
    <w:p w:rsidR="00B51C2E" w:rsidRPr="0065048F" w:rsidRDefault="00B51C2E" w:rsidP="00B51C2E">
      <w:pPr>
        <w:numPr>
          <w:ilvl w:val="0"/>
          <w:numId w:val="39"/>
        </w:numPr>
        <w:jc w:val="both"/>
        <w:rPr>
          <w:szCs w:val="22"/>
        </w:rPr>
      </w:pPr>
      <w:r w:rsidRPr="0065048F">
        <w:rPr>
          <w:szCs w:val="22"/>
        </w:rPr>
        <w:t>sufficient land to harvest and treat water</w:t>
      </w:r>
      <w:r w:rsidR="00DF0CAB">
        <w:rPr>
          <w:szCs w:val="22"/>
        </w:rPr>
        <w:t>, and</w:t>
      </w:r>
    </w:p>
    <w:p w:rsidR="00B51C2E" w:rsidRPr="0065048F" w:rsidRDefault="00B51C2E" w:rsidP="00B51C2E">
      <w:pPr>
        <w:numPr>
          <w:ilvl w:val="0"/>
          <w:numId w:val="39"/>
        </w:numPr>
        <w:jc w:val="both"/>
        <w:rPr>
          <w:szCs w:val="22"/>
        </w:rPr>
      </w:pPr>
      <w:r w:rsidRPr="0065048F">
        <w:rPr>
          <w:szCs w:val="22"/>
        </w:rPr>
        <w:t>capability to effectively manage a project</w:t>
      </w:r>
      <w:r>
        <w:rPr>
          <w:szCs w:val="22"/>
        </w:rPr>
        <w:t>.</w:t>
      </w:r>
    </w:p>
    <w:p w:rsidR="00B51C2E" w:rsidRDefault="00B51C2E" w:rsidP="00B51C2E">
      <w:pPr>
        <w:autoSpaceDE w:val="0"/>
        <w:autoSpaceDN w:val="0"/>
        <w:adjustRightInd w:val="0"/>
        <w:rPr>
          <w:szCs w:val="22"/>
        </w:rPr>
      </w:pPr>
    </w:p>
    <w:p w:rsidR="00B51C2E" w:rsidRPr="00795774" w:rsidRDefault="00B51C2E" w:rsidP="00B51C2E">
      <w:pPr>
        <w:autoSpaceDE w:val="0"/>
        <w:autoSpaceDN w:val="0"/>
        <w:adjustRightInd w:val="0"/>
        <w:rPr>
          <w:szCs w:val="22"/>
        </w:rPr>
      </w:pPr>
      <w:r>
        <w:rPr>
          <w:szCs w:val="22"/>
        </w:rPr>
        <w:t xml:space="preserve">Addressing these </w:t>
      </w:r>
      <w:r w:rsidR="003779C5">
        <w:rPr>
          <w:szCs w:val="22"/>
        </w:rPr>
        <w:t>five</w:t>
      </w:r>
      <w:r>
        <w:rPr>
          <w:szCs w:val="22"/>
        </w:rPr>
        <w:t xml:space="preserve"> key questions is the first step in an </w:t>
      </w:r>
      <w:r>
        <w:rPr>
          <w:b/>
          <w:szCs w:val="22"/>
        </w:rPr>
        <w:t>e</w:t>
      </w:r>
      <w:r w:rsidRPr="00954969">
        <w:rPr>
          <w:b/>
          <w:szCs w:val="22"/>
        </w:rPr>
        <w:t xml:space="preserve">ntry-level </w:t>
      </w:r>
      <w:smartTag w:uri="urn:schemas-microsoft-com:office:smarttags" w:element="stockticker">
        <w:r>
          <w:rPr>
            <w:szCs w:val="22"/>
          </w:rPr>
          <w:t>MAR</w:t>
        </w:r>
      </w:smartTag>
      <w:r>
        <w:rPr>
          <w:szCs w:val="22"/>
        </w:rPr>
        <w:t xml:space="preserve"> assessment, and is termed a </w:t>
      </w:r>
      <w:smartTag w:uri="urn:schemas-microsoft-com:office:smarttags" w:element="stockticker">
        <w:r>
          <w:rPr>
            <w:szCs w:val="22"/>
          </w:rPr>
          <w:t>MAR</w:t>
        </w:r>
      </w:smartTag>
      <w:r>
        <w:rPr>
          <w:szCs w:val="22"/>
        </w:rPr>
        <w:t xml:space="preserve"> </w:t>
      </w:r>
      <w:r w:rsidRPr="00954969">
        <w:rPr>
          <w:b/>
          <w:i/>
          <w:szCs w:val="22"/>
        </w:rPr>
        <w:t>Viability Assessment</w:t>
      </w:r>
      <w:r>
        <w:rPr>
          <w:szCs w:val="22"/>
        </w:rPr>
        <w:t xml:space="preserve">. These </w:t>
      </w:r>
      <w:r w:rsidR="003779C5">
        <w:rPr>
          <w:szCs w:val="22"/>
        </w:rPr>
        <w:t>five</w:t>
      </w:r>
      <w:r>
        <w:rPr>
          <w:szCs w:val="22"/>
        </w:rPr>
        <w:t xml:space="preserve"> criteria are explained below, and an example of the decision process given </w:t>
      </w:r>
      <w:r w:rsidRPr="00795774">
        <w:rPr>
          <w:szCs w:val="22"/>
        </w:rPr>
        <w:t xml:space="preserve">in </w:t>
      </w:r>
      <w:r w:rsidR="001741E7" w:rsidRPr="00795774">
        <w:rPr>
          <w:szCs w:val="22"/>
        </w:rPr>
        <w:fldChar w:fldCharType="begin"/>
      </w:r>
      <w:r w:rsidR="001741E7" w:rsidRPr="00795774">
        <w:rPr>
          <w:szCs w:val="22"/>
        </w:rPr>
        <w:instrText xml:space="preserve"> REF _Ref325707419 \h </w:instrText>
      </w:r>
      <w:r w:rsidR="00795774" w:rsidRPr="00795774">
        <w:rPr>
          <w:szCs w:val="22"/>
        </w:rPr>
        <w:instrText xml:space="preserve"> \* MERGEFORMAT </w:instrText>
      </w:r>
      <w:r w:rsidR="001741E7" w:rsidRPr="00795774">
        <w:rPr>
          <w:szCs w:val="22"/>
        </w:rPr>
      </w:r>
      <w:r w:rsidR="001741E7" w:rsidRPr="00795774">
        <w:rPr>
          <w:szCs w:val="22"/>
        </w:rPr>
        <w:fldChar w:fldCharType="separate"/>
      </w:r>
      <w:r w:rsidR="00966532" w:rsidRPr="00966532">
        <w:t xml:space="preserve">Figure </w:t>
      </w:r>
      <w:r w:rsidR="00966532" w:rsidRPr="00966532">
        <w:rPr>
          <w:noProof/>
        </w:rPr>
        <w:t>4</w:t>
      </w:r>
      <w:r w:rsidR="00966532" w:rsidRPr="00966532">
        <w:rPr>
          <w:noProof/>
        </w:rPr>
        <w:noBreakHyphen/>
        <w:t>3</w:t>
      </w:r>
      <w:r w:rsidR="001741E7" w:rsidRPr="00795774">
        <w:rPr>
          <w:szCs w:val="22"/>
        </w:rPr>
        <w:fldChar w:fldCharType="end"/>
      </w:r>
      <w:r w:rsidRPr="00795774">
        <w:rPr>
          <w:szCs w:val="22"/>
        </w:rPr>
        <w:t>.</w:t>
      </w:r>
    </w:p>
    <w:p w:rsidR="00B51C2E" w:rsidRDefault="00B51C2E" w:rsidP="00B51C2E">
      <w:pPr>
        <w:autoSpaceDE w:val="0"/>
        <w:autoSpaceDN w:val="0"/>
        <w:adjustRightInd w:val="0"/>
        <w:rPr>
          <w:szCs w:val="22"/>
        </w:rPr>
      </w:pPr>
    </w:p>
    <w:p w:rsidR="00B51C2E" w:rsidRDefault="00B51C2E" w:rsidP="00B51C2E">
      <w:pPr>
        <w:autoSpaceDE w:val="0"/>
        <w:autoSpaceDN w:val="0"/>
        <w:adjustRightInd w:val="0"/>
        <w:rPr>
          <w:szCs w:val="22"/>
        </w:rPr>
      </w:pPr>
      <w:r w:rsidRPr="00B277BE">
        <w:rPr>
          <w:b/>
          <w:bCs/>
          <w:i/>
          <w:iCs/>
          <w:szCs w:val="22"/>
        </w:rPr>
        <w:t xml:space="preserve">Demand: </w:t>
      </w:r>
      <w:r w:rsidRPr="00B277BE">
        <w:rPr>
          <w:szCs w:val="22"/>
        </w:rPr>
        <w:t>The volumetric demand for recovered water (within an economic scale) or a clearly</w:t>
      </w:r>
      <w:r>
        <w:rPr>
          <w:szCs w:val="22"/>
        </w:rPr>
        <w:t xml:space="preserve"> </w:t>
      </w:r>
      <w:r w:rsidRPr="00B277BE">
        <w:rPr>
          <w:szCs w:val="22"/>
        </w:rPr>
        <w:t xml:space="preserve">defined environmental benefit of recharge is essential for </w:t>
      </w:r>
      <w:smartTag w:uri="urn:schemas-microsoft-com:office:smarttags" w:element="stockticker">
        <w:r w:rsidRPr="00B277BE">
          <w:rPr>
            <w:szCs w:val="22"/>
          </w:rPr>
          <w:t>MAR</w:t>
        </w:r>
      </w:smartTag>
      <w:r w:rsidRPr="00B277BE">
        <w:rPr>
          <w:szCs w:val="22"/>
        </w:rPr>
        <w:t>. The purposes for which</w:t>
      </w:r>
      <w:r>
        <w:rPr>
          <w:szCs w:val="22"/>
        </w:rPr>
        <w:t xml:space="preserve"> </w:t>
      </w:r>
      <w:r w:rsidRPr="00B277BE">
        <w:rPr>
          <w:szCs w:val="22"/>
        </w:rPr>
        <w:t>water will be re</w:t>
      </w:r>
      <w:r>
        <w:rPr>
          <w:szCs w:val="22"/>
        </w:rPr>
        <w:t xml:space="preserve">covered also need to be defined. </w:t>
      </w:r>
      <w:r w:rsidRPr="00B277BE">
        <w:rPr>
          <w:szCs w:val="22"/>
        </w:rPr>
        <w:t>Generally</w:t>
      </w:r>
      <w:r>
        <w:rPr>
          <w:szCs w:val="22"/>
        </w:rPr>
        <w:t>,</w:t>
      </w:r>
      <w:r w:rsidRPr="00B277BE">
        <w:rPr>
          <w:szCs w:val="22"/>
        </w:rPr>
        <w:t xml:space="preserve"> this will provide the</w:t>
      </w:r>
      <w:r>
        <w:rPr>
          <w:szCs w:val="22"/>
        </w:rPr>
        <w:t xml:space="preserve"> </w:t>
      </w:r>
      <w:r w:rsidRPr="00B277BE">
        <w:rPr>
          <w:szCs w:val="22"/>
        </w:rPr>
        <w:t xml:space="preserve">revenue stream to pay for the water supply cost elements of the project. </w:t>
      </w:r>
    </w:p>
    <w:p w:rsidR="00B51C2E" w:rsidRDefault="00B51C2E" w:rsidP="00B51C2E">
      <w:pPr>
        <w:autoSpaceDE w:val="0"/>
        <w:autoSpaceDN w:val="0"/>
        <w:adjustRightInd w:val="0"/>
        <w:rPr>
          <w:szCs w:val="22"/>
        </w:rPr>
      </w:pPr>
    </w:p>
    <w:p w:rsidR="00B51C2E" w:rsidRDefault="00B51C2E" w:rsidP="00B51C2E">
      <w:pPr>
        <w:autoSpaceDE w:val="0"/>
        <w:autoSpaceDN w:val="0"/>
        <w:adjustRightInd w:val="0"/>
        <w:rPr>
          <w:szCs w:val="22"/>
        </w:rPr>
      </w:pPr>
      <w:r w:rsidRPr="00B277BE">
        <w:rPr>
          <w:b/>
          <w:bCs/>
          <w:i/>
          <w:iCs/>
          <w:szCs w:val="22"/>
        </w:rPr>
        <w:lastRenderedPageBreak/>
        <w:t xml:space="preserve">Source: </w:t>
      </w:r>
      <w:r w:rsidRPr="00B277BE">
        <w:rPr>
          <w:szCs w:val="22"/>
        </w:rPr>
        <w:t>Entitlement to water to be used for recharge needs to be secured. Mean annual</w:t>
      </w:r>
      <w:r>
        <w:rPr>
          <w:szCs w:val="22"/>
        </w:rPr>
        <w:t xml:space="preserve"> </w:t>
      </w:r>
      <w:r w:rsidRPr="00B277BE">
        <w:rPr>
          <w:szCs w:val="22"/>
        </w:rPr>
        <w:t>volume of recharge should exceed mean annual demand with sufficient excesses to build up</w:t>
      </w:r>
      <w:r>
        <w:rPr>
          <w:szCs w:val="22"/>
        </w:rPr>
        <w:t xml:space="preserve"> </w:t>
      </w:r>
      <w:r w:rsidR="00DF0CAB" w:rsidRPr="00B277BE">
        <w:rPr>
          <w:szCs w:val="22"/>
        </w:rPr>
        <w:t>buffer</w:t>
      </w:r>
      <w:r w:rsidRPr="00B277BE">
        <w:rPr>
          <w:szCs w:val="22"/>
        </w:rPr>
        <w:t xml:space="preserve"> storage to meet reliability and quality requirements. In an over-allocated catchment it</w:t>
      </w:r>
      <w:r>
        <w:rPr>
          <w:szCs w:val="22"/>
        </w:rPr>
        <w:t xml:space="preserve"> </w:t>
      </w:r>
      <w:r w:rsidRPr="00B277BE">
        <w:rPr>
          <w:szCs w:val="22"/>
        </w:rPr>
        <w:t>is unlikely that an entitlement to surface water would be available.</w:t>
      </w:r>
    </w:p>
    <w:p w:rsidR="00B51C2E" w:rsidRDefault="00B51C2E" w:rsidP="00B51C2E">
      <w:pPr>
        <w:autoSpaceDE w:val="0"/>
        <w:autoSpaceDN w:val="0"/>
        <w:adjustRightInd w:val="0"/>
        <w:rPr>
          <w:szCs w:val="22"/>
        </w:rPr>
      </w:pPr>
    </w:p>
    <w:p w:rsidR="00B51C2E" w:rsidRDefault="00B51C2E" w:rsidP="00B51C2E">
      <w:pPr>
        <w:autoSpaceDE w:val="0"/>
        <w:autoSpaceDN w:val="0"/>
        <w:adjustRightInd w:val="0"/>
        <w:rPr>
          <w:szCs w:val="22"/>
        </w:rPr>
      </w:pPr>
      <w:r w:rsidRPr="00B277BE">
        <w:rPr>
          <w:b/>
          <w:bCs/>
          <w:i/>
          <w:iCs/>
          <w:szCs w:val="22"/>
        </w:rPr>
        <w:t xml:space="preserve">Aquifer: </w:t>
      </w:r>
      <w:r w:rsidRPr="00B277BE">
        <w:rPr>
          <w:szCs w:val="22"/>
        </w:rPr>
        <w:t xml:space="preserve">A suitable aquifer is critical for </w:t>
      </w:r>
      <w:smartTag w:uri="urn:schemas-microsoft-com:office:smarttags" w:element="stockticker">
        <w:r w:rsidRPr="00B277BE">
          <w:rPr>
            <w:szCs w:val="22"/>
          </w:rPr>
          <w:t>MAR</w:t>
        </w:r>
      </w:smartTag>
      <w:r w:rsidRPr="00B277BE">
        <w:rPr>
          <w:szCs w:val="22"/>
        </w:rPr>
        <w:t>. It needs to have an adequate rate of recharge,</w:t>
      </w:r>
      <w:r>
        <w:rPr>
          <w:szCs w:val="22"/>
        </w:rPr>
        <w:t xml:space="preserve"> </w:t>
      </w:r>
      <w:r w:rsidRPr="00B277BE">
        <w:rPr>
          <w:szCs w:val="22"/>
        </w:rPr>
        <w:t>sufficient storage capacity and be capable of retaining the water where it can be recovered.</w:t>
      </w:r>
      <w:r>
        <w:rPr>
          <w:szCs w:val="22"/>
        </w:rPr>
        <w:t xml:space="preserve"> </w:t>
      </w:r>
      <w:r w:rsidRPr="00B277BE">
        <w:rPr>
          <w:szCs w:val="22"/>
        </w:rPr>
        <w:t>Low salinity and marginally brackish aquifers are preferred so that mixing with fresh recharge</w:t>
      </w:r>
      <w:r>
        <w:rPr>
          <w:szCs w:val="22"/>
        </w:rPr>
        <w:t xml:space="preserve"> </w:t>
      </w:r>
      <w:r w:rsidRPr="00B277BE">
        <w:rPr>
          <w:szCs w:val="22"/>
        </w:rPr>
        <w:t xml:space="preserve">water should still allow recovered water to be fit for use. Maps of </w:t>
      </w:r>
      <w:smartTag w:uri="urn:schemas-microsoft-com:office:smarttags" w:element="stockticker">
        <w:r w:rsidRPr="00B277BE">
          <w:rPr>
            <w:szCs w:val="22"/>
          </w:rPr>
          <w:t>MAR</w:t>
        </w:r>
      </w:smartTag>
      <w:r w:rsidRPr="00B277BE">
        <w:rPr>
          <w:szCs w:val="22"/>
        </w:rPr>
        <w:t xml:space="preserve"> opportunity will assist</w:t>
      </w:r>
      <w:r>
        <w:rPr>
          <w:szCs w:val="22"/>
        </w:rPr>
        <w:t xml:space="preserve"> </w:t>
      </w:r>
      <w:r w:rsidRPr="00B277BE">
        <w:rPr>
          <w:szCs w:val="22"/>
        </w:rPr>
        <w:t>in determining likelihood of one or more suitable aquifers being present at the proposed site.</w:t>
      </w:r>
    </w:p>
    <w:p w:rsidR="00B51C2E" w:rsidRDefault="00B51C2E" w:rsidP="00B51C2E">
      <w:pPr>
        <w:autoSpaceDE w:val="0"/>
        <w:autoSpaceDN w:val="0"/>
        <w:adjustRightInd w:val="0"/>
        <w:rPr>
          <w:szCs w:val="22"/>
        </w:rPr>
      </w:pPr>
    </w:p>
    <w:p w:rsidR="00B51C2E" w:rsidRDefault="00B51C2E" w:rsidP="00B51C2E">
      <w:pPr>
        <w:autoSpaceDE w:val="0"/>
        <w:autoSpaceDN w:val="0"/>
        <w:adjustRightInd w:val="0"/>
        <w:rPr>
          <w:szCs w:val="22"/>
        </w:rPr>
      </w:pPr>
      <w:r w:rsidRPr="00B277BE">
        <w:rPr>
          <w:b/>
          <w:bCs/>
          <w:i/>
          <w:iCs/>
          <w:szCs w:val="22"/>
        </w:rPr>
        <w:t xml:space="preserve">Detention Storage: </w:t>
      </w:r>
      <w:r w:rsidRPr="00B277BE">
        <w:rPr>
          <w:szCs w:val="22"/>
        </w:rPr>
        <w:t>There should be open space, or dams, wetlands, ponds or basins to</w:t>
      </w:r>
      <w:r>
        <w:rPr>
          <w:szCs w:val="22"/>
        </w:rPr>
        <w:t xml:space="preserve"> </w:t>
      </w:r>
      <w:r w:rsidRPr="00B277BE">
        <w:rPr>
          <w:szCs w:val="22"/>
        </w:rPr>
        <w:t>detain sufficient water without causing flood damage to enable the target volume of recharge</w:t>
      </w:r>
      <w:r>
        <w:rPr>
          <w:szCs w:val="22"/>
        </w:rPr>
        <w:t xml:space="preserve"> </w:t>
      </w:r>
      <w:r w:rsidRPr="00B277BE">
        <w:rPr>
          <w:szCs w:val="22"/>
        </w:rPr>
        <w:t>to be achieved. Similarly</w:t>
      </w:r>
      <w:r>
        <w:rPr>
          <w:szCs w:val="22"/>
        </w:rPr>
        <w:t>,</w:t>
      </w:r>
      <w:r w:rsidRPr="00B277BE">
        <w:rPr>
          <w:szCs w:val="22"/>
        </w:rPr>
        <w:t xml:space="preserve"> there needs to be space available for whatever treatment process, if</w:t>
      </w:r>
      <w:r>
        <w:rPr>
          <w:szCs w:val="22"/>
        </w:rPr>
        <w:t xml:space="preserve"> </w:t>
      </w:r>
      <w:r w:rsidRPr="00B277BE">
        <w:rPr>
          <w:szCs w:val="22"/>
        </w:rPr>
        <w:t xml:space="preserve">any, is subsequently determined to be required. </w:t>
      </w:r>
    </w:p>
    <w:p w:rsidR="00B51C2E" w:rsidRDefault="00B51C2E" w:rsidP="00B51C2E">
      <w:pPr>
        <w:autoSpaceDE w:val="0"/>
        <w:autoSpaceDN w:val="0"/>
        <w:adjustRightInd w:val="0"/>
        <w:rPr>
          <w:b/>
          <w:bCs/>
          <w:i/>
          <w:iCs/>
          <w:szCs w:val="22"/>
        </w:rPr>
      </w:pPr>
    </w:p>
    <w:p w:rsidR="00B51C2E" w:rsidRDefault="00B51C2E" w:rsidP="00B51C2E">
      <w:pPr>
        <w:autoSpaceDE w:val="0"/>
        <w:autoSpaceDN w:val="0"/>
        <w:adjustRightInd w:val="0"/>
        <w:rPr>
          <w:szCs w:val="22"/>
        </w:rPr>
      </w:pPr>
      <w:r w:rsidRPr="00B277BE">
        <w:rPr>
          <w:b/>
          <w:bCs/>
          <w:i/>
          <w:iCs/>
          <w:szCs w:val="22"/>
        </w:rPr>
        <w:t xml:space="preserve">Management capability: </w:t>
      </w:r>
      <w:r w:rsidRPr="00B277BE">
        <w:rPr>
          <w:szCs w:val="22"/>
        </w:rPr>
        <w:t>Hydrogeological and geotechnical knowledge, as well as</w:t>
      </w:r>
      <w:r>
        <w:rPr>
          <w:szCs w:val="22"/>
        </w:rPr>
        <w:t xml:space="preserve"> </w:t>
      </w:r>
      <w:r w:rsidRPr="00B277BE">
        <w:rPr>
          <w:szCs w:val="22"/>
        </w:rPr>
        <w:t>knowledge on water storage and treatment design, water quality management, water</w:t>
      </w:r>
      <w:r>
        <w:rPr>
          <w:szCs w:val="22"/>
        </w:rPr>
        <w:t xml:space="preserve"> </w:t>
      </w:r>
      <w:r w:rsidRPr="00B277BE">
        <w:rPr>
          <w:szCs w:val="22"/>
        </w:rPr>
        <w:t>sensitive urban design, hydrology and modelling, monitoring and reporting are all required to</w:t>
      </w:r>
      <w:r>
        <w:rPr>
          <w:szCs w:val="22"/>
        </w:rPr>
        <w:t xml:space="preserve"> </w:t>
      </w:r>
      <w:r w:rsidRPr="00B277BE">
        <w:rPr>
          <w:szCs w:val="22"/>
        </w:rPr>
        <w:t>meet governance requirements. Such expertise will be required from Stage 2 and a growing</w:t>
      </w:r>
      <w:r>
        <w:rPr>
          <w:szCs w:val="22"/>
        </w:rPr>
        <w:t xml:space="preserve"> </w:t>
      </w:r>
      <w:r w:rsidRPr="00B277BE">
        <w:rPr>
          <w:szCs w:val="22"/>
        </w:rPr>
        <w:t>number of consultants are experienced in investi</w:t>
      </w:r>
      <w:smartTag w:uri="urn:schemas-microsoft-com:office:smarttags" w:element="PersonName">
        <w:r w:rsidRPr="00B277BE">
          <w:rPr>
            <w:szCs w:val="22"/>
          </w:rPr>
          <w:t>ga</w:t>
        </w:r>
      </w:smartTag>
      <w:r w:rsidRPr="00B277BE">
        <w:rPr>
          <w:szCs w:val="22"/>
        </w:rPr>
        <w:t xml:space="preserve">tions and design of </w:t>
      </w:r>
      <w:smartTag w:uri="urn:schemas-microsoft-com:office:smarttags" w:element="stockticker">
        <w:r w:rsidRPr="00B277BE">
          <w:rPr>
            <w:szCs w:val="22"/>
          </w:rPr>
          <w:t>MAR</w:t>
        </w:r>
      </w:smartTag>
      <w:r w:rsidRPr="00B277BE">
        <w:rPr>
          <w:szCs w:val="22"/>
        </w:rPr>
        <w:t xml:space="preserve"> projects.</w:t>
      </w:r>
      <w:r>
        <w:rPr>
          <w:szCs w:val="22"/>
        </w:rPr>
        <w:t xml:space="preserve"> </w:t>
      </w:r>
      <w:r w:rsidRPr="00B277BE">
        <w:rPr>
          <w:szCs w:val="22"/>
        </w:rPr>
        <w:t>National guidelines have been developed</w:t>
      </w:r>
      <w:r>
        <w:rPr>
          <w:szCs w:val="22"/>
        </w:rPr>
        <w:t>.</w:t>
      </w:r>
    </w:p>
    <w:p w:rsidR="00B51C2E" w:rsidRDefault="00706A3B" w:rsidP="00216BA0">
      <w:pPr>
        <w:autoSpaceDE w:val="0"/>
        <w:autoSpaceDN w:val="0"/>
        <w:adjustRightInd w:val="0"/>
        <w:spacing w:before="120" w:after="60"/>
        <w:jc w:val="center"/>
        <w:rPr>
          <w:szCs w:val="22"/>
        </w:rPr>
      </w:pPr>
      <w:r>
        <w:rPr>
          <w:noProof/>
          <w:szCs w:val="22"/>
        </w:rPr>
        <w:drawing>
          <wp:inline distT="0" distB="0" distL="0" distR="0" wp14:anchorId="74B1E924" wp14:editId="684A07A8">
            <wp:extent cx="3594100" cy="4901565"/>
            <wp:effectExtent l="19050" t="1905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94100" cy="4901565"/>
                    </a:xfrm>
                    <a:prstGeom prst="rect">
                      <a:avLst/>
                    </a:prstGeom>
                    <a:noFill/>
                    <a:ln w="6350" cmpd="sng">
                      <a:solidFill>
                        <a:srgbClr val="000000"/>
                      </a:solidFill>
                      <a:miter lim="800000"/>
                      <a:headEnd/>
                      <a:tailEnd/>
                    </a:ln>
                    <a:effectLst/>
                  </pic:spPr>
                </pic:pic>
              </a:graphicData>
            </a:graphic>
          </wp:inline>
        </w:drawing>
      </w:r>
    </w:p>
    <w:p w:rsidR="00B51C2E" w:rsidRPr="00216027" w:rsidRDefault="001741E7" w:rsidP="003779C5">
      <w:pPr>
        <w:pStyle w:val="Caption"/>
        <w:rPr>
          <w:b/>
          <w:i w:val="0"/>
        </w:rPr>
      </w:pPr>
      <w:bookmarkStart w:id="241" w:name="_Ref325707419"/>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4</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241"/>
      <w:r>
        <w:rPr>
          <w:b/>
        </w:rPr>
        <w:t>.</w:t>
      </w:r>
      <w:r>
        <w:rPr>
          <w:b/>
          <w:szCs w:val="22"/>
        </w:rPr>
        <w:t xml:space="preserve"> </w:t>
      </w:r>
      <w:r w:rsidR="00B51C2E" w:rsidRPr="009F303B">
        <w:t>Viability</w:t>
      </w:r>
      <w:r w:rsidR="00B51C2E" w:rsidRPr="003779C5">
        <w:t xml:space="preserve"> Assessment decision flow chart</w:t>
      </w:r>
      <w:r w:rsidR="005E4B77">
        <w:t>.</w:t>
      </w:r>
      <w:r w:rsidR="00BE08AB" w:rsidRPr="00216027">
        <w:rPr>
          <w:bCs w:val="0"/>
          <w:i w:val="0"/>
        </w:rPr>
        <w:fldChar w:fldCharType="begin"/>
      </w:r>
      <w:r w:rsidR="00BE08AB" w:rsidRPr="00216027">
        <w:rPr>
          <w:bCs w:val="0"/>
          <w:i w:val="0"/>
        </w:rPr>
        <w:instrText xml:space="preserve"> TC "</w:instrText>
      </w:r>
      <w:bookmarkStart w:id="242" w:name="_Toc325975210"/>
      <w:bookmarkStart w:id="243" w:name="_Toc390690219"/>
      <w:r w:rsidR="0020070D">
        <w:rPr>
          <w:bCs w:val="0"/>
          <w:i w:val="0"/>
        </w:rPr>
        <w:instrText>Figure 4-3</w:instrText>
      </w:r>
      <w:r w:rsidR="00497AD3">
        <w:rPr>
          <w:bCs w:val="0"/>
          <w:i w:val="0"/>
        </w:rPr>
        <w:instrText>.</w:instrText>
      </w:r>
      <w:r w:rsidR="00BE08AB" w:rsidRPr="00216027">
        <w:rPr>
          <w:bCs w:val="0"/>
          <w:i w:val="0"/>
        </w:rPr>
        <w:instrText xml:space="preserve"> </w:instrText>
      </w:r>
      <w:r w:rsidR="009F303B" w:rsidRPr="00216027">
        <w:rPr>
          <w:i w:val="0"/>
        </w:rPr>
        <w:instrText>Viability Assessment decision flow chart</w:instrText>
      </w:r>
      <w:bookmarkEnd w:id="242"/>
      <w:r w:rsidR="005E4B77">
        <w:rPr>
          <w:i w:val="0"/>
        </w:rPr>
        <w:instrText>.</w:instrText>
      </w:r>
      <w:bookmarkEnd w:id="243"/>
      <w:r w:rsidR="00BE08AB" w:rsidRPr="00216027">
        <w:rPr>
          <w:bCs w:val="0"/>
          <w:i w:val="0"/>
        </w:rPr>
        <w:instrText xml:space="preserve">" \f A \l “4” </w:instrText>
      </w:r>
      <w:r w:rsidR="00BE08AB" w:rsidRPr="00216027">
        <w:rPr>
          <w:bCs w:val="0"/>
          <w:i w:val="0"/>
        </w:rPr>
        <w:fldChar w:fldCharType="end"/>
      </w:r>
    </w:p>
    <w:p w:rsidR="00B51C2E" w:rsidRDefault="00B51C2E" w:rsidP="00B51C2E">
      <w:pPr>
        <w:autoSpaceDE w:val="0"/>
        <w:autoSpaceDN w:val="0"/>
        <w:adjustRightInd w:val="0"/>
        <w:rPr>
          <w:szCs w:val="22"/>
        </w:rPr>
      </w:pPr>
      <w:r w:rsidRPr="000B028E">
        <w:rPr>
          <w:szCs w:val="22"/>
        </w:rPr>
        <w:t xml:space="preserve">If the answer to </w:t>
      </w:r>
      <w:r w:rsidRPr="000B028E">
        <w:rPr>
          <w:b/>
          <w:szCs w:val="22"/>
        </w:rPr>
        <w:t>all</w:t>
      </w:r>
      <w:r w:rsidRPr="000B028E">
        <w:rPr>
          <w:szCs w:val="22"/>
        </w:rPr>
        <w:t xml:space="preserve"> of the </w:t>
      </w:r>
      <w:r w:rsidRPr="00795774">
        <w:rPr>
          <w:szCs w:val="22"/>
        </w:rPr>
        <w:t xml:space="preserve">questions given in </w:t>
      </w:r>
      <w:r w:rsidR="001741E7" w:rsidRPr="00795774">
        <w:rPr>
          <w:szCs w:val="22"/>
        </w:rPr>
        <w:fldChar w:fldCharType="begin"/>
      </w:r>
      <w:r w:rsidR="001741E7" w:rsidRPr="00795774">
        <w:rPr>
          <w:szCs w:val="22"/>
        </w:rPr>
        <w:instrText xml:space="preserve"> REF _Ref325707419 \h </w:instrText>
      </w:r>
      <w:r w:rsidR="00795774" w:rsidRPr="00795774">
        <w:rPr>
          <w:szCs w:val="22"/>
        </w:rPr>
        <w:instrText xml:space="preserve"> \* MERGEFORMAT </w:instrText>
      </w:r>
      <w:r w:rsidR="001741E7" w:rsidRPr="00795774">
        <w:rPr>
          <w:szCs w:val="22"/>
        </w:rPr>
      </w:r>
      <w:r w:rsidR="001741E7" w:rsidRPr="00795774">
        <w:rPr>
          <w:szCs w:val="22"/>
        </w:rPr>
        <w:fldChar w:fldCharType="separate"/>
      </w:r>
      <w:r w:rsidR="00966532" w:rsidRPr="00966532">
        <w:t xml:space="preserve">Figure </w:t>
      </w:r>
      <w:r w:rsidR="00966532" w:rsidRPr="00966532">
        <w:rPr>
          <w:noProof/>
        </w:rPr>
        <w:t>4</w:t>
      </w:r>
      <w:r w:rsidR="00966532" w:rsidRPr="00966532">
        <w:rPr>
          <w:noProof/>
        </w:rPr>
        <w:noBreakHyphen/>
        <w:t>3</w:t>
      </w:r>
      <w:r w:rsidR="001741E7" w:rsidRPr="00795774">
        <w:rPr>
          <w:szCs w:val="22"/>
        </w:rPr>
        <w:fldChar w:fldCharType="end"/>
      </w:r>
      <w:r w:rsidR="003779C5" w:rsidRPr="00795774">
        <w:t xml:space="preserve"> </w:t>
      </w:r>
      <w:r w:rsidRPr="00795774">
        <w:rPr>
          <w:szCs w:val="22"/>
        </w:rPr>
        <w:t>is</w:t>
      </w:r>
      <w:r w:rsidRPr="000B028E">
        <w:rPr>
          <w:szCs w:val="22"/>
        </w:rPr>
        <w:t xml:space="preserve"> ‘Yes’, proponents then proceed to determine the degree of difficulty.</w:t>
      </w:r>
      <w:r>
        <w:rPr>
          <w:szCs w:val="22"/>
        </w:rPr>
        <w:t xml:space="preserve"> In this project, the project scope was restricted to an assessment of hydrogeological issues, with consideration of water entitlements and management capacity the remit of </w:t>
      </w:r>
      <w:r w:rsidR="00B637B7">
        <w:rPr>
          <w:szCs w:val="22"/>
        </w:rPr>
        <w:t>the Department of the Environment</w:t>
      </w:r>
      <w:r>
        <w:rPr>
          <w:szCs w:val="22"/>
        </w:rPr>
        <w:t xml:space="preserve"> and the broader DRWSP. </w:t>
      </w:r>
    </w:p>
    <w:p w:rsidR="00B51C2E" w:rsidRPr="00AC42FD" w:rsidRDefault="00B51C2E" w:rsidP="00EF7E00">
      <w:pPr>
        <w:pStyle w:val="Heading4"/>
        <w:spacing w:before="320"/>
      </w:pPr>
      <w:bookmarkStart w:id="244" w:name="_Toc265505637"/>
      <w:bookmarkStart w:id="245" w:name="_Toc317423877"/>
      <w:r w:rsidRPr="00EF7E00">
        <w:rPr>
          <w:sz w:val="22"/>
        </w:rPr>
        <w:lastRenderedPageBreak/>
        <w:t>Degree</w:t>
      </w:r>
      <w:r w:rsidRPr="000B028E">
        <w:t xml:space="preserve"> of Difficulty Assessment</w:t>
      </w:r>
      <w:bookmarkEnd w:id="244"/>
      <w:bookmarkEnd w:id="245"/>
      <w:r>
        <w:t>s</w:t>
      </w:r>
    </w:p>
    <w:p w:rsidR="00B51C2E" w:rsidRPr="0089737C" w:rsidRDefault="00B51C2E" w:rsidP="00B51C2E">
      <w:pPr>
        <w:autoSpaceDE w:val="0"/>
        <w:autoSpaceDN w:val="0"/>
        <w:adjustRightInd w:val="0"/>
        <w:rPr>
          <w:szCs w:val="22"/>
        </w:rPr>
      </w:pPr>
      <w:r w:rsidRPr="000B028E">
        <w:rPr>
          <w:szCs w:val="22"/>
        </w:rPr>
        <w:t xml:space="preserve">The second part of the </w:t>
      </w:r>
      <w:r w:rsidRPr="00473632">
        <w:rPr>
          <w:b/>
          <w:szCs w:val="22"/>
        </w:rPr>
        <w:t>entry-level</w:t>
      </w:r>
      <w:r w:rsidRPr="000B028E">
        <w:rPr>
          <w:szCs w:val="22"/>
        </w:rPr>
        <w:t xml:space="preserve"> assessment is intended to inform stakeholders of the </w:t>
      </w:r>
      <w:r w:rsidRPr="00473632">
        <w:rPr>
          <w:b/>
          <w:i/>
          <w:szCs w:val="22"/>
        </w:rPr>
        <w:t>degree of difficulty</w:t>
      </w:r>
      <w:r w:rsidRPr="000B028E">
        <w:rPr>
          <w:szCs w:val="22"/>
        </w:rPr>
        <w:t xml:space="preserve"> of the proposed </w:t>
      </w:r>
      <w:r w:rsidRPr="0089737C">
        <w:rPr>
          <w:szCs w:val="22"/>
        </w:rPr>
        <w:t>project (NRMMC-EPHC-NHMRC, 2009). It also serves as a preliminary indicator of human health and environmental risks. The entry-level assessment is intended to help proponents to make better informed decisions about whether to proceed with the Stage 2 investi</w:t>
      </w:r>
      <w:smartTag w:uri="urn:schemas-microsoft-com:office:smarttags" w:element="PersonName">
        <w:r w:rsidRPr="0089737C">
          <w:rPr>
            <w:szCs w:val="22"/>
          </w:rPr>
          <w:t>ga</w:t>
        </w:r>
      </w:smartTag>
      <w:r w:rsidRPr="0089737C">
        <w:rPr>
          <w:szCs w:val="22"/>
        </w:rPr>
        <w:t xml:space="preserve">tions that would allow a more rigorous risk assessment (of specific sites). </w:t>
      </w:r>
    </w:p>
    <w:p w:rsidR="00B51C2E" w:rsidRPr="0089737C" w:rsidRDefault="00B51C2E" w:rsidP="00B51C2E">
      <w:pPr>
        <w:autoSpaceDE w:val="0"/>
        <w:autoSpaceDN w:val="0"/>
        <w:adjustRightInd w:val="0"/>
        <w:rPr>
          <w:szCs w:val="22"/>
        </w:rPr>
      </w:pPr>
    </w:p>
    <w:p w:rsidR="00B51C2E" w:rsidRPr="00C25155" w:rsidRDefault="00B51C2E" w:rsidP="00B51C2E">
      <w:pPr>
        <w:autoSpaceDE w:val="0"/>
        <w:autoSpaceDN w:val="0"/>
        <w:adjustRightInd w:val="0"/>
        <w:rPr>
          <w:szCs w:val="22"/>
        </w:rPr>
      </w:pPr>
      <w:r w:rsidRPr="0089737C">
        <w:rPr>
          <w:szCs w:val="22"/>
        </w:rPr>
        <w:t>The template for the degree of difficulty assessment provides 14 questions related to information needs, and the answers determine the scope of Stage 2 (site-specific) investi</w:t>
      </w:r>
      <w:smartTag w:uri="urn:schemas-microsoft-com:office:smarttags" w:element="PersonName">
        <w:r w:rsidRPr="0089737C">
          <w:rPr>
            <w:szCs w:val="22"/>
          </w:rPr>
          <w:t>ga</w:t>
        </w:r>
      </w:smartTag>
      <w:r w:rsidRPr="0089737C">
        <w:rPr>
          <w:szCs w:val="22"/>
        </w:rPr>
        <w:t>tions. The 14 questions are detailed below. The number of questions for which additional information is required in Stage 2 is a further qualitative indicator of the degree of difficulty of a project. It is also an indicator of the order of magnitude of resources likely to be required for investi</w:t>
      </w:r>
      <w:smartTag w:uri="urn:schemas-microsoft-com:office:smarttags" w:element="PersonName">
        <w:r w:rsidRPr="0089737C">
          <w:rPr>
            <w:szCs w:val="22"/>
          </w:rPr>
          <w:t>ga</w:t>
        </w:r>
      </w:smartTag>
      <w:r w:rsidRPr="0089737C">
        <w:rPr>
          <w:szCs w:val="22"/>
        </w:rPr>
        <w:t>tions and for the preventive measures that would be needed to result in a low level of risk at a subsequent pre-commissioning risk assessment, which in turn would enable construction and trials (NRMMC-EPHC-NHMRC, 2009).</w:t>
      </w:r>
    </w:p>
    <w:p w:rsidR="00B51C2E" w:rsidRPr="00A0262A" w:rsidRDefault="00B51C2E" w:rsidP="00B51C2E">
      <w:pPr>
        <w:autoSpaceDE w:val="0"/>
        <w:autoSpaceDN w:val="0"/>
        <w:adjustRightInd w:val="0"/>
      </w:pPr>
    </w:p>
    <w:p w:rsidR="00B51C2E" w:rsidRPr="00C25155" w:rsidRDefault="00B51C2E" w:rsidP="00B51C2E">
      <w:r>
        <w:t xml:space="preserve">Answers to the </w:t>
      </w:r>
      <w:r w:rsidR="00FA6A92">
        <w:t>questions asked in these assessments</w:t>
      </w:r>
      <w:r>
        <w:t xml:space="preserve"> are indicative only, and suggest the level of effort required for next stage investi</w:t>
      </w:r>
      <w:smartTag w:uri="urn:schemas-microsoft-com:office:smarttags" w:element="PersonName">
        <w:r>
          <w:t>ga</w:t>
        </w:r>
      </w:smartTag>
      <w:r>
        <w:t xml:space="preserve">tions (and subsequent maximal and residual risk assessments prior to commissioning). </w:t>
      </w:r>
      <w:r w:rsidRPr="00473632">
        <w:rPr>
          <w:szCs w:val="22"/>
        </w:rPr>
        <w:t>Some criteria are more onerous than for subsequent assessments (e.g. depth to watertable for infiltration systems), because considerably more information on sub</w:t>
      </w:r>
      <w:r>
        <w:rPr>
          <w:szCs w:val="22"/>
        </w:rPr>
        <w:t>-</w:t>
      </w:r>
      <w:r w:rsidRPr="00473632">
        <w:rPr>
          <w:szCs w:val="22"/>
        </w:rPr>
        <w:t>surface conditions is needed than is presumed to be available at the entry-level stage in order to be able to assess actual risk. By answering these entry-level questions, proponents will discover the types of information that will subsequently be required. Projects that have a high degree of difficulty for a large number of questions will require substantial Stage 2 investi</w:t>
      </w:r>
      <w:smartTag w:uri="urn:schemas-microsoft-com:office:smarttags" w:element="PersonName">
        <w:r w:rsidRPr="00473632">
          <w:rPr>
            <w:szCs w:val="22"/>
          </w:rPr>
          <w:t>ga</w:t>
        </w:r>
      </w:smartTag>
      <w:r w:rsidRPr="00473632">
        <w:rPr>
          <w:szCs w:val="22"/>
        </w:rPr>
        <w:t>tions and/or preventive measures. In such cases, reconsideration of the project concept or location may potentially be more cost effective.</w:t>
      </w:r>
    </w:p>
    <w:p w:rsidR="00B51C2E" w:rsidRDefault="00B51C2E" w:rsidP="00E655C7">
      <w:pPr>
        <w:rPr>
          <w:szCs w:val="22"/>
        </w:rPr>
      </w:pPr>
    </w:p>
    <w:p w:rsidR="00B51C2E" w:rsidRDefault="00B51C2E" w:rsidP="00E655C7">
      <w:pPr>
        <w:spacing w:before="60"/>
        <w:rPr>
          <w:szCs w:val="22"/>
        </w:rPr>
      </w:pPr>
      <w:r w:rsidRPr="00106292">
        <w:t xml:space="preserve">Also of note is the method chosen for recharge depends on site-specific conditions. If aquifers are confined, then well-injection methods are preferred; these include </w:t>
      </w:r>
      <w:smartTag w:uri="urn:schemas-microsoft-com:office:smarttags" w:element="stockticker">
        <w:r w:rsidRPr="00106292">
          <w:t>ASR</w:t>
        </w:r>
      </w:smartTag>
      <w:r w:rsidRPr="00106292">
        <w:t xml:space="preserve"> and ASTR. If infiltration is restricted by surficial </w:t>
      </w:r>
      <w:r w:rsidR="001E3931" w:rsidRPr="00106292">
        <w:t>mud</w:t>
      </w:r>
      <w:r w:rsidRPr="00106292">
        <w:t xml:space="preserve">, then </w:t>
      </w:r>
      <w:smartTag w:uri="urn:schemas-microsoft-com:office:smarttags" w:element="PersonName">
        <w:r w:rsidRPr="00106292">
          <w:t>ga</w:t>
        </w:r>
      </w:smartTag>
      <w:r w:rsidRPr="00106292">
        <w:t xml:space="preserve">lleries, ponds, sumps or wells may be constructed to </w:t>
      </w:r>
      <w:r w:rsidR="00C8452D" w:rsidRPr="00106292">
        <w:t>cut completely through</w:t>
      </w:r>
      <w:r w:rsidRPr="00106292">
        <w:t xml:space="preserve"> the low-permeability layer, exposing underlying formations that have higher permeability. The chosen configuration and size will depend on </w:t>
      </w:r>
      <w:r w:rsidR="00FA6A92" w:rsidRPr="00106292">
        <w:t xml:space="preserve">a range of factors, including the depth to the base of the confining </w:t>
      </w:r>
      <w:r w:rsidR="001E3931" w:rsidRPr="00106292">
        <w:t>mud</w:t>
      </w:r>
      <w:r w:rsidR="00FA6A92" w:rsidRPr="00106292">
        <w:t xml:space="preserve"> layer (</w:t>
      </w:r>
      <w:r w:rsidR="009D7B6E" w:rsidRPr="00106292">
        <w:t>Lawrie</w:t>
      </w:r>
      <w:r w:rsidR="008A5F7D" w:rsidRPr="00CF7613">
        <w:rPr>
          <w:rStyle w:val="StyleItalic"/>
        </w:rPr>
        <w:t xml:space="preserve"> et al</w:t>
      </w:r>
      <w:r w:rsidR="009D7B6E" w:rsidRPr="00CF7613">
        <w:rPr>
          <w:rStyle w:val="StyleItalic"/>
        </w:rPr>
        <w:t>.,</w:t>
      </w:r>
      <w:r w:rsidR="009D7B6E" w:rsidRPr="00106292">
        <w:t xml:space="preserve"> 2010</w:t>
      </w:r>
      <w:r w:rsidR="00FA6A92" w:rsidRPr="00106292">
        <w:t>a, 2012c).</w:t>
      </w:r>
      <w:r w:rsidR="00FA6A92" w:rsidRPr="00106292">
        <w:rPr>
          <w:szCs w:val="22"/>
        </w:rPr>
        <w:t xml:space="preserve"> The</w:t>
      </w:r>
      <w:r w:rsidRPr="00106292">
        <w:rPr>
          <w:szCs w:val="22"/>
        </w:rPr>
        <w:t xml:space="preserve"> guidelines have produced a risk matrix to help with assessments (</w:t>
      </w:r>
      <w:r w:rsidR="00CD2825" w:rsidRPr="00106292">
        <w:rPr>
          <w:szCs w:val="22"/>
        </w:rPr>
        <w:fldChar w:fldCharType="begin"/>
      </w:r>
      <w:r w:rsidR="00CD2825" w:rsidRPr="00106292">
        <w:rPr>
          <w:szCs w:val="22"/>
        </w:rPr>
        <w:instrText xml:space="preserve"> REF _Ref325709548 \h </w:instrText>
      </w:r>
      <w:r w:rsidR="00795774" w:rsidRPr="00106292">
        <w:rPr>
          <w:szCs w:val="22"/>
        </w:rPr>
        <w:instrText xml:space="preserve"> \* MERGEFORMAT </w:instrText>
      </w:r>
      <w:r w:rsidR="00CD2825" w:rsidRPr="00106292">
        <w:rPr>
          <w:szCs w:val="22"/>
        </w:rPr>
      </w:r>
      <w:r w:rsidR="00CD2825" w:rsidRPr="00106292">
        <w:rPr>
          <w:szCs w:val="22"/>
        </w:rPr>
        <w:fldChar w:fldCharType="separate"/>
      </w:r>
      <w:r w:rsidR="00966532" w:rsidRPr="00966532">
        <w:t xml:space="preserve">Table </w:t>
      </w:r>
      <w:r w:rsidR="00966532" w:rsidRPr="00966532">
        <w:rPr>
          <w:noProof/>
        </w:rPr>
        <w:t>4</w:t>
      </w:r>
      <w:r w:rsidR="00966532" w:rsidRPr="00966532">
        <w:rPr>
          <w:noProof/>
        </w:rPr>
        <w:noBreakHyphen/>
        <w:t>3</w:t>
      </w:r>
      <w:r w:rsidR="00CD2825" w:rsidRPr="00106292">
        <w:rPr>
          <w:szCs w:val="22"/>
        </w:rPr>
        <w:fldChar w:fldCharType="end"/>
      </w:r>
      <w:r w:rsidR="00D83E45" w:rsidRPr="00106292">
        <w:t>)</w:t>
      </w:r>
      <w:r w:rsidRPr="00106292">
        <w:t>.</w:t>
      </w:r>
      <w:r w:rsidRPr="00106292">
        <w:rPr>
          <w:szCs w:val="22"/>
        </w:rPr>
        <w:t xml:space="preserve"> However, it should be noted that i</w:t>
      </w:r>
      <w:r w:rsidR="005C4461" w:rsidRPr="00106292">
        <w:rPr>
          <w:szCs w:val="22"/>
        </w:rPr>
        <w:t>f</w:t>
      </w:r>
      <w:r w:rsidRPr="00106292">
        <w:rPr>
          <w:szCs w:val="22"/>
        </w:rPr>
        <w:t xml:space="preserve"> this is followed prescriptively, all intended drinking water uses are assessed as a high risk, and need to</w:t>
      </w:r>
      <w:r>
        <w:rPr>
          <w:szCs w:val="22"/>
        </w:rPr>
        <w:t xml:space="preserve"> be further qualified. </w:t>
      </w:r>
    </w:p>
    <w:p w:rsidR="00B51C2E" w:rsidRDefault="00B51C2E" w:rsidP="00B51C2E">
      <w:pPr>
        <w:jc w:val="both"/>
        <w:rPr>
          <w:szCs w:val="22"/>
        </w:rPr>
      </w:pPr>
    </w:p>
    <w:p w:rsidR="00FA6A92" w:rsidRDefault="00FA6A92" w:rsidP="00FA6A92">
      <w:pPr>
        <w:autoSpaceDE w:val="0"/>
        <w:autoSpaceDN w:val="0"/>
        <w:adjustRightInd w:val="0"/>
        <w:rPr>
          <w:szCs w:val="22"/>
        </w:rPr>
      </w:pPr>
      <w:r>
        <w:rPr>
          <w:szCs w:val="22"/>
        </w:rPr>
        <w:t>The assessment method outlined above has enabled</w:t>
      </w:r>
      <w:r>
        <w:t xml:space="preserve"> </w:t>
      </w:r>
      <w:r w:rsidRPr="00A71602">
        <w:t xml:space="preserve">confidence estimates </w:t>
      </w:r>
      <w:r>
        <w:t xml:space="preserve">to be placed </w:t>
      </w:r>
      <w:r w:rsidRPr="00A71602">
        <w:t xml:space="preserve">on the viability of implementing a </w:t>
      </w:r>
      <w:smartTag w:uri="urn:schemas-microsoft-com:office:smarttags" w:element="stockticker">
        <w:r>
          <w:t>MAR</w:t>
        </w:r>
      </w:smartTag>
      <w:r w:rsidRPr="00A71602">
        <w:t xml:space="preserve"> system in the </w:t>
      </w:r>
      <w:r w:rsidR="00C217F0">
        <w:t xml:space="preserve">Menindee </w:t>
      </w:r>
      <w:r w:rsidRPr="00A71602">
        <w:t>region</w:t>
      </w:r>
      <w:r>
        <w:t xml:space="preserve">. The approach adopted in the BHMAR Phase 2 study enabled potential </w:t>
      </w:r>
      <w:smartTag w:uri="urn:schemas-microsoft-com:office:smarttags" w:element="stockticker">
        <w:r>
          <w:t>MAR</w:t>
        </w:r>
      </w:smartTag>
      <w:r>
        <w:t xml:space="preserve"> sites to be identified, and enabled the identification of specific issues for further detailed investi</w:t>
      </w:r>
      <w:smartTag w:uri="urn:schemas-microsoft-com:office:smarttags" w:element="PersonName">
        <w:r>
          <w:t>ga</w:t>
        </w:r>
      </w:smartTag>
      <w:r>
        <w:t>tion and modelling of prioritised sites in Phase 3.</w:t>
      </w:r>
      <w:r>
        <w:rPr>
          <w:szCs w:val="22"/>
        </w:rPr>
        <w:t xml:space="preserve"> </w:t>
      </w:r>
    </w:p>
    <w:p w:rsidR="00FA6A92" w:rsidRDefault="00FA6A92" w:rsidP="00FA6A92">
      <w:pPr>
        <w:autoSpaceDE w:val="0"/>
        <w:autoSpaceDN w:val="0"/>
        <w:adjustRightInd w:val="0"/>
        <w:rPr>
          <w:szCs w:val="22"/>
        </w:rPr>
      </w:pPr>
    </w:p>
    <w:p w:rsidR="00FA6A92" w:rsidRDefault="00FA6A92" w:rsidP="00FA6A92">
      <w:pPr>
        <w:autoSpaceDE w:val="0"/>
        <w:autoSpaceDN w:val="0"/>
        <w:adjustRightInd w:val="0"/>
        <w:rPr>
          <w:szCs w:val="22"/>
        </w:rPr>
      </w:pPr>
      <w:r w:rsidRPr="00CE514E">
        <w:rPr>
          <w:szCs w:val="22"/>
        </w:rPr>
        <w:t xml:space="preserve">It is further noted that to complete </w:t>
      </w:r>
      <w:r w:rsidRPr="00CE514E">
        <w:rPr>
          <w:b/>
          <w:szCs w:val="22"/>
        </w:rPr>
        <w:t>maximal risk</w:t>
      </w:r>
      <w:r w:rsidRPr="00CE514E">
        <w:rPr>
          <w:szCs w:val="22"/>
        </w:rPr>
        <w:t xml:space="preserve"> and </w:t>
      </w:r>
      <w:r w:rsidRPr="00CE514E">
        <w:rPr>
          <w:b/>
          <w:szCs w:val="22"/>
        </w:rPr>
        <w:t>pre-commissioning residual risk assessments</w:t>
      </w:r>
      <w:r w:rsidRPr="00CE514E">
        <w:rPr>
          <w:szCs w:val="22"/>
        </w:rPr>
        <w:t xml:space="preserve"> (identified in Stage 2 of the national risk assessment framework), infill drilling, and site-specific hydrogeochemical, water-rock interaction and groundwater modelling studies, </w:t>
      </w:r>
      <w:r>
        <w:rPr>
          <w:szCs w:val="22"/>
        </w:rPr>
        <w:t xml:space="preserve">were </w:t>
      </w:r>
      <w:r w:rsidRPr="00CE514E">
        <w:rPr>
          <w:szCs w:val="22"/>
        </w:rPr>
        <w:t>required. Other investi</w:t>
      </w:r>
      <w:smartTag w:uri="urn:schemas-microsoft-com:office:smarttags" w:element="PersonName">
        <w:r w:rsidRPr="00CE514E">
          <w:rPr>
            <w:szCs w:val="22"/>
          </w:rPr>
          <w:t>ga</w:t>
        </w:r>
      </w:smartTag>
      <w:r w:rsidRPr="00CE514E">
        <w:rPr>
          <w:szCs w:val="22"/>
        </w:rPr>
        <w:t xml:space="preserve">tions necessary for the completion of site-specific </w:t>
      </w:r>
      <w:r w:rsidRPr="00CE514E">
        <w:rPr>
          <w:b/>
          <w:szCs w:val="22"/>
        </w:rPr>
        <w:t>maximal risk</w:t>
      </w:r>
      <w:r w:rsidRPr="00CE514E">
        <w:rPr>
          <w:szCs w:val="22"/>
        </w:rPr>
        <w:t xml:space="preserve"> assessments include</w:t>
      </w:r>
      <w:r>
        <w:rPr>
          <w:szCs w:val="22"/>
        </w:rPr>
        <w:t>d</w:t>
      </w:r>
      <w:r w:rsidRPr="00CE514E">
        <w:rPr>
          <w:szCs w:val="22"/>
        </w:rPr>
        <w:t xml:space="preserve"> studies of aquifer storage, groundwater pressures and gradients, reactions between recharge water, groundwater and aquifer minerals, water treatment</w:t>
      </w:r>
      <w:r w:rsidRPr="008815E0">
        <w:rPr>
          <w:szCs w:val="22"/>
        </w:rPr>
        <w:t xml:space="preserve"> options and effectiveness</w:t>
      </w:r>
      <w:r>
        <w:rPr>
          <w:szCs w:val="22"/>
        </w:rPr>
        <w:t>, m</w:t>
      </w:r>
      <w:r w:rsidRPr="008815E0">
        <w:rPr>
          <w:szCs w:val="22"/>
        </w:rPr>
        <w:t>anagement of clogging</w:t>
      </w:r>
      <w:r>
        <w:rPr>
          <w:szCs w:val="22"/>
        </w:rPr>
        <w:t>, and b</w:t>
      </w:r>
      <w:r w:rsidRPr="008815E0">
        <w:rPr>
          <w:szCs w:val="22"/>
        </w:rPr>
        <w:t>iodegradation and inactivation of contaminants</w:t>
      </w:r>
      <w:r>
        <w:rPr>
          <w:szCs w:val="22"/>
        </w:rPr>
        <w:t xml:space="preserve">. </w:t>
      </w:r>
    </w:p>
    <w:p w:rsidR="00FA6A92" w:rsidRDefault="00FA6A92" w:rsidP="00FA6A92">
      <w:pPr>
        <w:autoSpaceDE w:val="0"/>
        <w:autoSpaceDN w:val="0"/>
        <w:adjustRightInd w:val="0"/>
        <w:rPr>
          <w:szCs w:val="22"/>
        </w:rPr>
      </w:pPr>
    </w:p>
    <w:p w:rsidR="00FA6A92" w:rsidRDefault="00FA6A92" w:rsidP="00FA6A92">
      <w:pPr>
        <w:autoSpaceDE w:val="0"/>
        <w:autoSpaceDN w:val="0"/>
        <w:adjustRightInd w:val="0"/>
        <w:rPr>
          <w:szCs w:val="22"/>
        </w:rPr>
      </w:pPr>
      <w:r w:rsidRPr="00106292">
        <w:rPr>
          <w:szCs w:val="22"/>
        </w:rPr>
        <w:t xml:space="preserve">These modelling activities and infill data </w:t>
      </w:r>
      <w:smartTag w:uri="urn:schemas-microsoft-com:office:smarttags" w:element="PersonName">
        <w:r w:rsidRPr="00106292">
          <w:rPr>
            <w:szCs w:val="22"/>
          </w:rPr>
          <w:t>ga</w:t>
        </w:r>
      </w:smartTag>
      <w:r w:rsidRPr="00106292">
        <w:rPr>
          <w:szCs w:val="22"/>
        </w:rPr>
        <w:t>thering require significant investigative effort, and hence have been applied to high priority sites and options only during Phase 3 of the BHMAR Project. The findings of these assessments for priority sites are documented later in this report. For</w:t>
      </w:r>
      <w:r>
        <w:rPr>
          <w:szCs w:val="22"/>
        </w:rPr>
        <w:t xml:space="preserve"> this project, MAR storage of 30</w:t>
      </w:r>
      <w:r w:rsidR="00DB488F">
        <w:rPr>
          <w:szCs w:val="22"/>
        </w:rPr>
        <w:t xml:space="preserve"> </w:t>
      </w:r>
      <w:r>
        <w:rPr>
          <w:szCs w:val="22"/>
        </w:rPr>
        <w:t>GL is sought to secure a three-year drought security supply for Broken Hill when surface storage at the MLS is low. The only previous MAR study in this area has modelled a scenario with one-year injection, storage for 8 years, and extraction over an 18 month period</w:t>
      </w:r>
      <w:r w:rsidRPr="000F1260">
        <w:rPr>
          <w:szCs w:val="22"/>
        </w:rPr>
        <w:t xml:space="preserve"> </w:t>
      </w:r>
      <w:r>
        <w:rPr>
          <w:szCs w:val="22"/>
        </w:rPr>
        <w:t>SKM (2009).</w:t>
      </w:r>
    </w:p>
    <w:p w:rsidR="00FA6A92" w:rsidRDefault="00FA6A92" w:rsidP="00B51C2E">
      <w:pPr>
        <w:jc w:val="both"/>
        <w:rPr>
          <w:szCs w:val="22"/>
        </w:rPr>
      </w:pPr>
    </w:p>
    <w:p w:rsidR="00700573" w:rsidRDefault="00700573" w:rsidP="00B51C2E">
      <w:pPr>
        <w:jc w:val="both"/>
        <w:rPr>
          <w:szCs w:val="22"/>
        </w:rPr>
      </w:pPr>
    </w:p>
    <w:p w:rsidR="00B51C2E" w:rsidRPr="009916A6" w:rsidRDefault="00CD2825" w:rsidP="00D83E45">
      <w:pPr>
        <w:pStyle w:val="Caption"/>
        <w:rPr>
          <w:i w:val="0"/>
          <w:szCs w:val="20"/>
        </w:rPr>
      </w:pPr>
      <w:bookmarkStart w:id="246" w:name="_Ref325709548"/>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4</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3</w:t>
      </w:r>
      <w:r w:rsidR="00B96C96">
        <w:rPr>
          <w:b/>
        </w:rPr>
        <w:fldChar w:fldCharType="end"/>
      </w:r>
      <w:bookmarkEnd w:id="246"/>
      <w:r w:rsidRPr="00CD2825">
        <w:rPr>
          <w:b/>
        </w:rPr>
        <w:t>.</w:t>
      </w:r>
      <w:r>
        <w:t xml:space="preserve"> </w:t>
      </w:r>
      <w:r w:rsidR="00B51C2E" w:rsidRPr="00D83E45">
        <w:rPr>
          <w:szCs w:val="20"/>
        </w:rPr>
        <w:t>Entry-level assessment, indicating relative degree of difficulty in relation to specific environmental values of the aquifer and intended uses of recovered water (From Table A1.2</w:t>
      </w:r>
      <w:r w:rsidR="00B51C2E" w:rsidRPr="0089737C">
        <w:rPr>
          <w:szCs w:val="20"/>
        </w:rPr>
        <w:t>, NRMMC-EPHC-NHMRC, 2009</w:t>
      </w:r>
      <w:r w:rsidR="00B51C2E" w:rsidRPr="0089737C">
        <w:rPr>
          <w:i w:val="0"/>
          <w:szCs w:val="20"/>
        </w:rPr>
        <w:t>).</w:t>
      </w:r>
      <w:r w:rsidR="00B51C2E" w:rsidRPr="0089737C">
        <w:rPr>
          <w:i w:val="0"/>
          <w:szCs w:val="20"/>
        </w:rPr>
        <w:fldChar w:fldCharType="begin"/>
      </w:r>
      <w:r w:rsidR="00B51C2E" w:rsidRPr="0089737C">
        <w:rPr>
          <w:i w:val="0"/>
          <w:szCs w:val="20"/>
        </w:rPr>
        <w:instrText xml:space="preserve"> TC "</w:instrText>
      </w:r>
      <w:bookmarkStart w:id="247" w:name="_Toc257801348"/>
      <w:bookmarkStart w:id="248" w:name="_Toc264521623"/>
      <w:bookmarkStart w:id="249" w:name="_Toc325975299"/>
      <w:bookmarkStart w:id="250" w:name="_Toc390690288"/>
      <w:r w:rsidR="0020070D">
        <w:rPr>
          <w:i w:val="0"/>
          <w:szCs w:val="20"/>
        </w:rPr>
        <w:instrText>Table 4-3.</w:instrText>
      </w:r>
      <w:r w:rsidR="00B51C2E" w:rsidRPr="0089737C">
        <w:rPr>
          <w:i w:val="0"/>
          <w:szCs w:val="20"/>
        </w:rPr>
        <w:instrText xml:space="preserve"> Entry-level assessment, indicating relative degree of difficulty in relation to specific environmental values of the aquifer and intended uses of recovered water</w:instrText>
      </w:r>
      <w:bookmarkEnd w:id="247"/>
      <w:bookmarkEnd w:id="248"/>
      <w:bookmarkEnd w:id="249"/>
      <w:r w:rsidR="005E4B77" w:rsidRPr="0089737C">
        <w:rPr>
          <w:i w:val="0"/>
          <w:szCs w:val="20"/>
        </w:rPr>
        <w:instrText>.</w:instrText>
      </w:r>
      <w:bookmarkEnd w:id="250"/>
      <w:r w:rsidR="00B51C2E" w:rsidRPr="0089737C">
        <w:rPr>
          <w:i w:val="0"/>
          <w:szCs w:val="20"/>
        </w:rPr>
        <w:instrText xml:space="preserve">" \f B \l "4" </w:instrText>
      </w:r>
      <w:r w:rsidR="00B51C2E" w:rsidRPr="0089737C">
        <w:rPr>
          <w:i w:val="0"/>
          <w:szCs w:val="20"/>
        </w:rPr>
        <w:fldChar w:fldCharType="end"/>
      </w:r>
      <w:r w:rsidR="00B51C2E" w:rsidRPr="00D83E45">
        <w:rPr>
          <w:szCs w:val="20"/>
        </w:rPr>
        <w:t xml:space="preserve"> </w:t>
      </w:r>
    </w:p>
    <w:tbl>
      <w:tblPr>
        <w:tblW w:w="0" w:type="auto"/>
        <w:jc w:val="center"/>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5"/>
        <w:gridCol w:w="851"/>
        <w:gridCol w:w="851"/>
        <w:gridCol w:w="851"/>
        <w:gridCol w:w="851"/>
        <w:gridCol w:w="851"/>
        <w:gridCol w:w="851"/>
        <w:gridCol w:w="851"/>
        <w:gridCol w:w="851"/>
      </w:tblGrid>
      <w:tr w:rsidR="00B51C2E" w:rsidRPr="000F55FD" w:rsidTr="000F55FD">
        <w:trPr>
          <w:jc w:val="center"/>
        </w:trPr>
        <w:tc>
          <w:tcPr>
            <w:tcW w:w="2205" w:type="dxa"/>
            <w:vMerge w:val="restart"/>
            <w:shd w:val="clear" w:color="auto" w:fill="BFBFBF"/>
          </w:tcPr>
          <w:p w:rsidR="00B51C2E" w:rsidRPr="000F55FD" w:rsidRDefault="00B51C2E" w:rsidP="00700573">
            <w:pPr>
              <w:spacing w:before="60" w:after="60"/>
              <w:rPr>
                <w:b/>
                <w:sz w:val="20"/>
                <w:szCs w:val="20"/>
              </w:rPr>
            </w:pPr>
            <w:r w:rsidRPr="000F55FD">
              <w:rPr>
                <w:b/>
                <w:sz w:val="20"/>
                <w:szCs w:val="20"/>
              </w:rPr>
              <w:t>Recovered water environmental values</w:t>
            </w:r>
          </w:p>
        </w:tc>
        <w:tc>
          <w:tcPr>
            <w:tcW w:w="6808" w:type="dxa"/>
            <w:gridSpan w:val="8"/>
            <w:shd w:val="clear" w:color="auto" w:fill="BFBFBF"/>
          </w:tcPr>
          <w:p w:rsidR="00B51C2E" w:rsidRPr="000F55FD" w:rsidRDefault="00B51C2E" w:rsidP="00700573">
            <w:pPr>
              <w:spacing w:before="60" w:after="60"/>
              <w:jc w:val="center"/>
              <w:rPr>
                <w:b/>
                <w:sz w:val="20"/>
                <w:szCs w:val="20"/>
              </w:rPr>
            </w:pPr>
            <w:r w:rsidRPr="000F55FD">
              <w:rPr>
                <w:b/>
                <w:sz w:val="20"/>
                <w:szCs w:val="20"/>
              </w:rPr>
              <w:t>Aquifer environmental values</w:t>
            </w:r>
          </w:p>
        </w:tc>
      </w:tr>
      <w:tr w:rsidR="00B51C2E" w:rsidRPr="000F55FD" w:rsidTr="000F55FD">
        <w:trPr>
          <w:cantSplit/>
          <w:trHeight w:val="1690"/>
          <w:jc w:val="center"/>
        </w:trPr>
        <w:tc>
          <w:tcPr>
            <w:tcW w:w="2205" w:type="dxa"/>
            <w:vMerge/>
            <w:shd w:val="clear" w:color="auto" w:fill="BFBFBF"/>
          </w:tcPr>
          <w:p w:rsidR="00B51C2E" w:rsidRPr="000F55FD" w:rsidRDefault="00B51C2E" w:rsidP="00B51C2E">
            <w:pPr>
              <w:rPr>
                <w:b/>
                <w:sz w:val="20"/>
                <w:szCs w:val="20"/>
              </w:rPr>
            </w:pP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Aquatic ecosystems 1</w:t>
            </w:r>
            <w:r w:rsidRPr="000F55FD">
              <w:rPr>
                <w:b/>
                <w:sz w:val="20"/>
                <w:szCs w:val="20"/>
                <w:vertAlign w:val="superscript"/>
              </w:rPr>
              <w:t>a</w:t>
            </w: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Aquatic ecosystems 2</w:t>
            </w:r>
            <w:r w:rsidRPr="000F55FD">
              <w:rPr>
                <w:b/>
                <w:sz w:val="20"/>
                <w:szCs w:val="20"/>
                <w:vertAlign w:val="superscript"/>
              </w:rPr>
              <w:t>b</w:t>
            </w: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Aquatic ecosystems 3</w:t>
            </w:r>
            <w:r w:rsidRPr="000F55FD">
              <w:rPr>
                <w:b/>
                <w:sz w:val="20"/>
                <w:szCs w:val="20"/>
                <w:vertAlign w:val="superscript"/>
              </w:rPr>
              <w:t>c</w:t>
            </w: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Drinking</w:t>
            </w: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Aquaculture</w:t>
            </w: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Recreation</w:t>
            </w: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Irrigation</w:t>
            </w:r>
          </w:p>
        </w:tc>
        <w:tc>
          <w:tcPr>
            <w:tcW w:w="851" w:type="dxa"/>
            <w:shd w:val="clear" w:color="auto" w:fill="D9D9D9"/>
            <w:textDirection w:val="btLr"/>
            <w:vAlign w:val="center"/>
          </w:tcPr>
          <w:p w:rsidR="00B51C2E" w:rsidRPr="000F55FD" w:rsidRDefault="00B51C2E" w:rsidP="00B51C2E">
            <w:pPr>
              <w:ind w:left="113" w:right="113"/>
              <w:jc w:val="center"/>
              <w:rPr>
                <w:b/>
                <w:sz w:val="20"/>
                <w:szCs w:val="20"/>
              </w:rPr>
            </w:pPr>
            <w:r w:rsidRPr="000F55FD">
              <w:rPr>
                <w:b/>
                <w:sz w:val="20"/>
                <w:szCs w:val="20"/>
              </w:rPr>
              <w:t>Livestock</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Aquatic ecosystems 1</w:t>
            </w:r>
            <w:r w:rsidRPr="000F55FD">
              <w:rPr>
                <w:b/>
                <w:sz w:val="20"/>
                <w:szCs w:val="20"/>
                <w:vertAlign w:val="superscript"/>
              </w:rPr>
              <w:t>a</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Aquatic ecosystems 2</w:t>
            </w:r>
            <w:r w:rsidRPr="000F55FD">
              <w:rPr>
                <w:b/>
                <w:sz w:val="20"/>
                <w:szCs w:val="20"/>
                <w:vertAlign w:val="superscript"/>
              </w:rPr>
              <w:t>b</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Aquatic ecosystems 3</w:t>
            </w:r>
            <w:r w:rsidRPr="000F55FD">
              <w:rPr>
                <w:b/>
                <w:sz w:val="20"/>
                <w:szCs w:val="20"/>
                <w:vertAlign w:val="superscript"/>
              </w:rPr>
              <w:t>c</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Drinking</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Aquaculture</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Recreation</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Irrigation</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r>
      <w:tr w:rsidR="00B51C2E" w:rsidRPr="000F55FD" w:rsidTr="000F55FD">
        <w:trPr>
          <w:jc w:val="center"/>
        </w:trPr>
        <w:tc>
          <w:tcPr>
            <w:tcW w:w="2205" w:type="dxa"/>
            <w:shd w:val="clear" w:color="auto" w:fill="D9D9D9"/>
          </w:tcPr>
          <w:p w:rsidR="00B51C2E" w:rsidRPr="000F55FD" w:rsidRDefault="00B51C2E" w:rsidP="00B51C2E">
            <w:pPr>
              <w:spacing w:before="60" w:after="60"/>
              <w:rPr>
                <w:b/>
                <w:sz w:val="20"/>
                <w:szCs w:val="20"/>
              </w:rPr>
            </w:pPr>
            <w:r w:rsidRPr="000F55FD">
              <w:rPr>
                <w:b/>
                <w:sz w:val="20"/>
                <w:szCs w:val="20"/>
              </w:rPr>
              <w:t>Livestock</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H</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M</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c>
          <w:tcPr>
            <w:tcW w:w="851" w:type="dxa"/>
            <w:shd w:val="clear" w:color="auto" w:fill="auto"/>
          </w:tcPr>
          <w:p w:rsidR="00B51C2E" w:rsidRPr="000F55FD" w:rsidRDefault="00B51C2E" w:rsidP="00B51C2E">
            <w:pPr>
              <w:spacing w:before="60" w:after="60"/>
              <w:jc w:val="center"/>
              <w:rPr>
                <w:sz w:val="20"/>
                <w:szCs w:val="20"/>
              </w:rPr>
            </w:pPr>
            <w:r w:rsidRPr="000F55FD">
              <w:rPr>
                <w:sz w:val="20"/>
                <w:szCs w:val="20"/>
              </w:rPr>
              <w:t>L</w:t>
            </w:r>
          </w:p>
        </w:tc>
      </w:tr>
    </w:tbl>
    <w:p w:rsidR="00B51C2E" w:rsidRDefault="00B51C2E" w:rsidP="00B51C2E"/>
    <w:p w:rsidR="00B51C2E" w:rsidRDefault="00B51C2E" w:rsidP="00B51C2E">
      <w:pPr>
        <w:ind w:left="540"/>
      </w:pPr>
      <w:r>
        <w:t>H = higher difficulty, generally corresponding with high risk;</w:t>
      </w:r>
    </w:p>
    <w:p w:rsidR="00B51C2E" w:rsidRDefault="00B51C2E" w:rsidP="00B51C2E">
      <w:pPr>
        <w:ind w:left="540"/>
      </w:pPr>
      <w:r>
        <w:t>M = moderate difficulty, generally corresponding with moderate risk;</w:t>
      </w:r>
    </w:p>
    <w:p w:rsidR="00B51C2E" w:rsidRDefault="00B51C2E" w:rsidP="00B51C2E">
      <w:pPr>
        <w:ind w:left="540"/>
      </w:pPr>
      <w:r>
        <w:t>H = lower difficulty, generally corresponding with low risk.</w:t>
      </w:r>
    </w:p>
    <w:p w:rsidR="00B51C2E" w:rsidRDefault="00B51C2E" w:rsidP="00B51C2E">
      <w:pPr>
        <w:ind w:left="540"/>
      </w:pPr>
      <w:r w:rsidRPr="00DF0CAB">
        <w:rPr>
          <w:vertAlign w:val="superscript"/>
        </w:rPr>
        <w:t>a</w:t>
      </w:r>
      <w:r>
        <w:t xml:space="preserve"> Aquatic ecosystems 1 = high conservation or ecological values.</w:t>
      </w:r>
    </w:p>
    <w:p w:rsidR="00B51C2E" w:rsidRDefault="00B51C2E" w:rsidP="00B51C2E">
      <w:pPr>
        <w:ind w:left="540"/>
      </w:pPr>
      <w:r w:rsidRPr="00DF0CAB">
        <w:rPr>
          <w:vertAlign w:val="superscript"/>
        </w:rPr>
        <w:t>b</w:t>
      </w:r>
      <w:r>
        <w:t xml:space="preserve"> Aquatic ecosystems 2 = slightly to moderately disturbed systems.</w:t>
      </w:r>
    </w:p>
    <w:p w:rsidR="00B51C2E" w:rsidRDefault="00B51C2E" w:rsidP="00B51C2E">
      <w:pPr>
        <w:ind w:left="540"/>
      </w:pPr>
      <w:r w:rsidRPr="00DF0CAB">
        <w:rPr>
          <w:vertAlign w:val="superscript"/>
        </w:rPr>
        <w:t>c</w:t>
      </w:r>
      <w:r>
        <w:t xml:space="preserve"> Aquatic ecosystems 3 = highly disturbed systems.</w:t>
      </w:r>
    </w:p>
    <w:p w:rsidR="00B51C2E" w:rsidRPr="00CE514E" w:rsidRDefault="00B51C2E" w:rsidP="00EF7E00">
      <w:pPr>
        <w:pStyle w:val="Heading3"/>
        <w:tabs>
          <w:tab w:val="left" w:pos="1080"/>
        </w:tabs>
        <w:spacing w:before="320"/>
        <w:ind w:left="1080" w:hanging="1080"/>
      </w:pPr>
      <w:bookmarkStart w:id="251" w:name="_Toc317423879"/>
      <w:bookmarkStart w:id="252" w:name="_Toc325700091"/>
      <w:bookmarkStart w:id="253" w:name="_Toc325700434"/>
      <w:bookmarkStart w:id="254" w:name="_Toc325975115"/>
      <w:bookmarkStart w:id="255" w:name="_Toc390690106"/>
      <w:r w:rsidRPr="00CE514E">
        <w:t>BHMAR</w:t>
      </w:r>
      <w:r>
        <w:t xml:space="preserve"> Project</w:t>
      </w:r>
      <w:r w:rsidRPr="00CE514E">
        <w:t xml:space="preserve"> Phase </w:t>
      </w:r>
      <w:r>
        <w:t xml:space="preserve">2-3 </w:t>
      </w:r>
      <w:r w:rsidRPr="00CE514E">
        <w:t>MAR Risk Assessment</w:t>
      </w:r>
      <w:r>
        <w:t>s</w:t>
      </w:r>
      <w:bookmarkEnd w:id="251"/>
      <w:bookmarkEnd w:id="252"/>
      <w:bookmarkEnd w:id="253"/>
      <w:bookmarkEnd w:id="254"/>
      <w:bookmarkEnd w:id="255"/>
    </w:p>
    <w:p w:rsidR="00B51C2E" w:rsidRDefault="00B51C2E" w:rsidP="00EF7E00">
      <w:pPr>
        <w:pStyle w:val="Heading4"/>
        <w:spacing w:before="320"/>
      </w:pPr>
      <w:r>
        <w:t>BHMAR Phase 2 Assessments</w:t>
      </w:r>
    </w:p>
    <w:p w:rsidR="00B51C2E" w:rsidRPr="00106292" w:rsidRDefault="00B51C2E" w:rsidP="00B51C2E">
      <w:pPr>
        <w:autoSpaceDE w:val="0"/>
        <w:autoSpaceDN w:val="0"/>
        <w:adjustRightInd w:val="0"/>
        <w:rPr>
          <w:szCs w:val="22"/>
        </w:rPr>
      </w:pPr>
      <w:r w:rsidRPr="00106292">
        <w:rPr>
          <w:szCs w:val="22"/>
        </w:rPr>
        <w:t xml:space="preserve">In Phase 2 of the BHMAR study, initial Viability Assessments for MAR options in the </w:t>
      </w:r>
      <w:r w:rsidR="00C217F0">
        <w:rPr>
          <w:szCs w:val="22"/>
        </w:rPr>
        <w:t xml:space="preserve">Menindee </w:t>
      </w:r>
      <w:r w:rsidRPr="00106292">
        <w:rPr>
          <w:szCs w:val="22"/>
        </w:rPr>
        <w:t>area were positive, with the caveat that issues of source water entitlements and licensing are outside the remit of this project (</w:t>
      </w:r>
      <w:r w:rsidR="009D7B6E" w:rsidRPr="00106292">
        <w:rPr>
          <w:szCs w:val="22"/>
        </w:rPr>
        <w:t>Lawrie</w:t>
      </w:r>
      <w:r w:rsidR="008A5F7D" w:rsidRPr="00CF7613">
        <w:rPr>
          <w:rStyle w:val="StyleItalic"/>
        </w:rPr>
        <w:t xml:space="preserve"> et al</w:t>
      </w:r>
      <w:r w:rsidR="009D7B6E" w:rsidRPr="00CF7613">
        <w:rPr>
          <w:rStyle w:val="StyleItalic"/>
        </w:rPr>
        <w:t>.</w:t>
      </w:r>
      <w:r w:rsidR="009D7B6E" w:rsidRPr="00106292">
        <w:rPr>
          <w:szCs w:val="22"/>
        </w:rPr>
        <w:t>, 2010a</w:t>
      </w:r>
      <w:r w:rsidRPr="00106292">
        <w:rPr>
          <w:szCs w:val="22"/>
        </w:rPr>
        <w:t>). It was therefore decided to carry out the Part 2 Degree of Difficulty Assessments based on this positive assessment.</w:t>
      </w:r>
    </w:p>
    <w:p w:rsidR="00B51C2E" w:rsidRPr="00106292" w:rsidRDefault="00B51C2E" w:rsidP="00B51C2E">
      <w:pPr>
        <w:autoSpaceDE w:val="0"/>
        <w:autoSpaceDN w:val="0"/>
        <w:adjustRightInd w:val="0"/>
        <w:rPr>
          <w:szCs w:val="22"/>
        </w:rPr>
      </w:pPr>
    </w:p>
    <w:p w:rsidR="00B51C2E" w:rsidRDefault="00B51C2E" w:rsidP="00B51C2E">
      <w:pPr>
        <w:autoSpaceDE w:val="0"/>
        <w:autoSpaceDN w:val="0"/>
        <w:adjustRightInd w:val="0"/>
        <w:rPr>
          <w:szCs w:val="22"/>
        </w:rPr>
      </w:pPr>
      <w:r w:rsidRPr="00106292">
        <w:rPr>
          <w:szCs w:val="22"/>
        </w:rPr>
        <w:t>The results of the Part 2 Degree of Difficult</w:t>
      </w:r>
      <w:r w:rsidR="005C4461" w:rsidRPr="00106292">
        <w:rPr>
          <w:szCs w:val="22"/>
        </w:rPr>
        <w:t>y</w:t>
      </w:r>
      <w:r w:rsidRPr="00106292">
        <w:rPr>
          <w:szCs w:val="22"/>
        </w:rPr>
        <w:t xml:space="preserve"> Assessment demonstrated there is a moderate to high degree of difficulty in developing </w:t>
      </w:r>
      <w:smartTag w:uri="urn:schemas-microsoft-com:office:smarttags" w:element="stockticker">
        <w:r w:rsidRPr="00106292">
          <w:rPr>
            <w:szCs w:val="22"/>
          </w:rPr>
          <w:t>MAR</w:t>
        </w:r>
      </w:smartTag>
      <w:r w:rsidRPr="00106292">
        <w:rPr>
          <w:szCs w:val="22"/>
        </w:rPr>
        <w:t xml:space="preserve"> options in this region (</w:t>
      </w:r>
      <w:r w:rsidR="009D7B6E" w:rsidRPr="00106292">
        <w:rPr>
          <w:szCs w:val="22"/>
        </w:rPr>
        <w:t>Lawrie</w:t>
      </w:r>
      <w:r w:rsidR="008A5F7D" w:rsidRPr="00CF7613">
        <w:rPr>
          <w:rStyle w:val="StyleItalic"/>
        </w:rPr>
        <w:t xml:space="preserve"> et al</w:t>
      </w:r>
      <w:r w:rsidR="009D7B6E" w:rsidRPr="00106292">
        <w:rPr>
          <w:szCs w:val="22"/>
        </w:rPr>
        <w:t>., 2010a</w:t>
      </w:r>
      <w:r w:rsidRPr="00106292">
        <w:rPr>
          <w:szCs w:val="22"/>
        </w:rPr>
        <w:t>, 2012c</w:t>
      </w:r>
      <w:r w:rsidR="00106292" w:rsidRPr="00106292">
        <w:rPr>
          <w:szCs w:val="22"/>
        </w:rPr>
        <w:t>, d</w:t>
      </w:r>
      <w:r w:rsidRPr="00106292">
        <w:rPr>
          <w:szCs w:val="22"/>
        </w:rPr>
        <w:t xml:space="preserve">). In part, this is due to the data paucity and the pioneering nature of the project. Also, the hydrogeological complexity in the area </w:t>
      </w:r>
      <w:r w:rsidR="00887AB3" w:rsidRPr="00106292">
        <w:rPr>
          <w:szCs w:val="22"/>
        </w:rPr>
        <w:t>(Lawrie</w:t>
      </w:r>
      <w:r w:rsidR="008A5F7D" w:rsidRPr="00CF7613">
        <w:rPr>
          <w:rStyle w:val="StyleItalic"/>
        </w:rPr>
        <w:t xml:space="preserve"> et al</w:t>
      </w:r>
      <w:r w:rsidR="00887AB3" w:rsidRPr="00CF7613">
        <w:rPr>
          <w:rStyle w:val="StyleItalic"/>
        </w:rPr>
        <w:t>.</w:t>
      </w:r>
      <w:r w:rsidR="00887AB3" w:rsidRPr="00106292">
        <w:rPr>
          <w:szCs w:val="22"/>
        </w:rPr>
        <w:t xml:space="preserve">, 2012b) </w:t>
      </w:r>
      <w:r w:rsidRPr="00106292">
        <w:rPr>
          <w:szCs w:val="22"/>
        </w:rPr>
        <w:t xml:space="preserve">that has provided a diversity of potential </w:t>
      </w:r>
      <w:smartTag w:uri="urn:schemas-microsoft-com:office:smarttags" w:element="stockticker">
        <w:r w:rsidRPr="00106292">
          <w:rPr>
            <w:szCs w:val="22"/>
          </w:rPr>
          <w:t>MAR</w:t>
        </w:r>
      </w:smartTag>
      <w:r w:rsidRPr="00106292">
        <w:rPr>
          <w:szCs w:val="22"/>
        </w:rPr>
        <w:t xml:space="preserve"> alternatives</w:t>
      </w:r>
      <w:r w:rsidR="00887AB3" w:rsidRPr="00106292">
        <w:rPr>
          <w:szCs w:val="22"/>
        </w:rPr>
        <w:t xml:space="preserve"> (Lawrie</w:t>
      </w:r>
      <w:r w:rsidR="008A5F7D" w:rsidRPr="00CF7613">
        <w:rPr>
          <w:rStyle w:val="StyleItalic"/>
        </w:rPr>
        <w:t xml:space="preserve"> et al</w:t>
      </w:r>
      <w:r w:rsidR="00887AB3" w:rsidRPr="00106292">
        <w:rPr>
          <w:szCs w:val="22"/>
        </w:rPr>
        <w:t>., 2012c, d)</w:t>
      </w:r>
      <w:r w:rsidRPr="00106292">
        <w:rPr>
          <w:szCs w:val="22"/>
        </w:rPr>
        <w:t>, also brings with it the challenges of understanding key processes. The analysis identified a number of issues that warranted further analysis, both in source water quality suitability, and in groundwater hydrogeochemistry (</w:t>
      </w:r>
      <w:r w:rsidR="009D7B6E" w:rsidRPr="00106292">
        <w:rPr>
          <w:szCs w:val="22"/>
        </w:rPr>
        <w:t>Lawrie</w:t>
      </w:r>
      <w:r w:rsidR="008A5F7D" w:rsidRPr="00CF7613">
        <w:rPr>
          <w:rStyle w:val="StyleItalic"/>
        </w:rPr>
        <w:t xml:space="preserve"> et al</w:t>
      </w:r>
      <w:r w:rsidR="009D7B6E" w:rsidRPr="00CF7613">
        <w:rPr>
          <w:rStyle w:val="StyleItalic"/>
        </w:rPr>
        <w:t>.</w:t>
      </w:r>
      <w:r w:rsidR="009D7B6E" w:rsidRPr="00106292">
        <w:rPr>
          <w:szCs w:val="22"/>
        </w:rPr>
        <w:t>, 2010a</w:t>
      </w:r>
      <w:r w:rsidRPr="00106292">
        <w:rPr>
          <w:szCs w:val="22"/>
        </w:rPr>
        <w:t>).</w:t>
      </w:r>
      <w:r>
        <w:rPr>
          <w:szCs w:val="22"/>
        </w:rPr>
        <w:t xml:space="preserve"> </w:t>
      </w:r>
    </w:p>
    <w:p w:rsidR="00B51C2E" w:rsidRDefault="00B51C2E" w:rsidP="00B51C2E">
      <w:pPr>
        <w:rPr>
          <w:szCs w:val="22"/>
        </w:rPr>
      </w:pPr>
    </w:p>
    <w:p w:rsidR="00B51C2E" w:rsidRDefault="00B51C2E" w:rsidP="00B51C2E">
      <w:pPr>
        <w:rPr>
          <w:szCs w:val="22"/>
        </w:rPr>
      </w:pPr>
      <w:r w:rsidRPr="00106292">
        <w:rPr>
          <w:szCs w:val="22"/>
        </w:rPr>
        <w:t xml:space="preserve">In Phase 2 of the project, </w:t>
      </w:r>
      <w:r w:rsidR="005C4461" w:rsidRPr="00106292">
        <w:rPr>
          <w:szCs w:val="22"/>
        </w:rPr>
        <w:t>‘</w:t>
      </w:r>
      <w:r w:rsidRPr="00106292">
        <w:rPr>
          <w:szCs w:val="22"/>
        </w:rPr>
        <w:t>Degree of Difficulty’ and ‘Entry level’ assessments were carried out for a large number of potential MAR sites and options distributed across the project area (</w:t>
      </w:r>
      <w:r w:rsidR="009D7B6E" w:rsidRPr="00106292">
        <w:rPr>
          <w:szCs w:val="22"/>
        </w:rPr>
        <w:t>Lawrie</w:t>
      </w:r>
      <w:r w:rsidR="008A5F7D" w:rsidRPr="00CF7613">
        <w:rPr>
          <w:rStyle w:val="StyleItalic"/>
        </w:rPr>
        <w:t xml:space="preserve"> et al</w:t>
      </w:r>
      <w:r w:rsidR="009D7B6E" w:rsidRPr="00106292">
        <w:rPr>
          <w:szCs w:val="22"/>
        </w:rPr>
        <w:t>., 2010a</w:t>
      </w:r>
      <w:r w:rsidRPr="00106292">
        <w:rPr>
          <w:szCs w:val="22"/>
        </w:rPr>
        <w:t xml:space="preserve">). These assessments were carried out in accordance with the national assessment framework for </w:t>
      </w:r>
      <w:r w:rsidR="008C2768" w:rsidRPr="00106292">
        <w:rPr>
          <w:szCs w:val="22"/>
        </w:rPr>
        <w:t xml:space="preserve">drinking water quality guidelines </w:t>
      </w:r>
      <w:r w:rsidR="005C4461" w:rsidRPr="00106292">
        <w:rPr>
          <w:szCs w:val="22"/>
        </w:rPr>
        <w:t>(</w:t>
      </w:r>
      <w:r w:rsidR="008C2768" w:rsidRPr="00106292">
        <w:rPr>
          <w:szCs w:val="22"/>
        </w:rPr>
        <w:t>NRMMC–EPHC–NHMRC 2008; NHMRC-NRMMC, 2011</w:t>
      </w:r>
      <w:r w:rsidR="005C4461" w:rsidRPr="00106292">
        <w:rPr>
          <w:szCs w:val="22"/>
        </w:rPr>
        <w:t>)</w:t>
      </w:r>
      <w:r w:rsidR="008C2768" w:rsidRPr="00106292">
        <w:rPr>
          <w:szCs w:val="22"/>
        </w:rPr>
        <w:t xml:space="preserve"> and </w:t>
      </w:r>
      <w:r w:rsidRPr="00106292">
        <w:rPr>
          <w:szCs w:val="22"/>
        </w:rPr>
        <w:t>MAR assessments (</w:t>
      </w:r>
      <w:r w:rsidR="008C2768" w:rsidRPr="00106292">
        <w:rPr>
          <w:szCs w:val="22"/>
        </w:rPr>
        <w:t>NRMMC–EPHC–NHMRC 2009</w:t>
      </w:r>
      <w:r w:rsidRPr="00106292">
        <w:rPr>
          <w:szCs w:val="22"/>
        </w:rPr>
        <w:t>). A number of sites were favourably assessed (</w:t>
      </w:r>
      <w:r w:rsidR="009D7B6E" w:rsidRPr="00106292">
        <w:rPr>
          <w:szCs w:val="22"/>
        </w:rPr>
        <w:t>Lawrie</w:t>
      </w:r>
      <w:r w:rsidR="008A5F7D" w:rsidRPr="00CF7613">
        <w:rPr>
          <w:rStyle w:val="StyleItalic"/>
        </w:rPr>
        <w:t xml:space="preserve"> et al</w:t>
      </w:r>
      <w:r w:rsidR="009D7B6E" w:rsidRPr="00CF7613">
        <w:rPr>
          <w:rStyle w:val="StyleItalic"/>
        </w:rPr>
        <w:t>.,</w:t>
      </w:r>
      <w:r w:rsidR="009D7B6E" w:rsidRPr="00106292">
        <w:rPr>
          <w:szCs w:val="22"/>
        </w:rPr>
        <w:t xml:space="preserve"> 2010a</w:t>
      </w:r>
      <w:r w:rsidRPr="00106292">
        <w:rPr>
          <w:szCs w:val="22"/>
        </w:rPr>
        <w:t xml:space="preserve">, b, 2012c), and the recommendation made to proceed to Phase 3 of the project, with an emphasis on investigating MAR opportunities close to </w:t>
      </w:r>
      <w:r w:rsidR="00C217F0">
        <w:rPr>
          <w:szCs w:val="22"/>
        </w:rPr>
        <w:t xml:space="preserve">Menindee </w:t>
      </w:r>
      <w:r w:rsidRPr="00106292">
        <w:rPr>
          <w:szCs w:val="22"/>
        </w:rPr>
        <w:t>in order to secure Broken Hill’s water supply.</w:t>
      </w:r>
      <w:r w:rsidR="00106292" w:rsidRPr="00106292">
        <w:rPr>
          <w:szCs w:val="22"/>
        </w:rPr>
        <w:t xml:space="preserve"> A number of sites that were not favourably assessed against the risk </w:t>
      </w:r>
      <w:r w:rsidR="00DF0CAB" w:rsidRPr="00106292">
        <w:rPr>
          <w:szCs w:val="22"/>
        </w:rPr>
        <w:t>criteria</w:t>
      </w:r>
      <w:r w:rsidR="00106292" w:rsidRPr="00106292">
        <w:rPr>
          <w:szCs w:val="22"/>
        </w:rPr>
        <w:t xml:space="preserve"> are documented in Lawrie</w:t>
      </w:r>
      <w:r w:rsidR="008A5F7D" w:rsidRPr="00CF7613">
        <w:rPr>
          <w:rStyle w:val="StyleItalic"/>
        </w:rPr>
        <w:t xml:space="preserve"> et al</w:t>
      </w:r>
      <w:r w:rsidR="00106292" w:rsidRPr="00106292">
        <w:rPr>
          <w:szCs w:val="22"/>
        </w:rPr>
        <w:t>. (2012d).</w:t>
      </w:r>
    </w:p>
    <w:p w:rsidR="00B51C2E" w:rsidRDefault="00B51C2E" w:rsidP="00EF7E00">
      <w:pPr>
        <w:pStyle w:val="Heading4"/>
        <w:spacing w:before="320"/>
      </w:pPr>
      <w:r w:rsidRPr="00EF7E00">
        <w:rPr>
          <w:sz w:val="22"/>
        </w:rPr>
        <w:lastRenderedPageBreak/>
        <w:t>BHMAR</w:t>
      </w:r>
      <w:r>
        <w:t xml:space="preserve"> Phase 3 Assessments</w:t>
      </w:r>
    </w:p>
    <w:p w:rsidR="00B51C2E" w:rsidRDefault="00B51C2E" w:rsidP="00B51C2E">
      <w:pPr>
        <w:rPr>
          <w:szCs w:val="22"/>
        </w:rPr>
      </w:pPr>
      <w:r w:rsidRPr="00E118F0">
        <w:rPr>
          <w:szCs w:val="22"/>
        </w:rPr>
        <w:t xml:space="preserve">Significant additional scientific and technical investigations are required to </w:t>
      </w:r>
      <w:r>
        <w:rPr>
          <w:szCs w:val="22"/>
        </w:rPr>
        <w:t xml:space="preserve">carry out Maximal Risk Assessments and Pre-Commissioning Residual Risk Assessments under the national MAR guidelines </w:t>
      </w:r>
      <w:r w:rsidRPr="0089737C">
        <w:rPr>
          <w:szCs w:val="22"/>
        </w:rPr>
        <w:t>(</w:t>
      </w:r>
      <w:r w:rsidRPr="0089737C">
        <w:t>NRMMC–EPHC–NHMRC</w:t>
      </w:r>
      <w:r w:rsidR="005C4461">
        <w:t>,</w:t>
      </w:r>
      <w:r w:rsidRPr="0089737C">
        <w:t xml:space="preserve"> 2009)</w:t>
      </w:r>
      <w:r w:rsidRPr="0089737C">
        <w:rPr>
          <w:szCs w:val="22"/>
        </w:rPr>
        <w:t xml:space="preserve">. </w:t>
      </w:r>
      <w:r w:rsidRPr="0089737C">
        <w:t>Pre-commissioning semi-quantitative residual risk assessments include an assessment of 12 hazard types and all the</w:t>
      </w:r>
      <w:r w:rsidRPr="00651FA3">
        <w:t xml:space="preserve"> barriers: source control; bank filtration or engineered pre-treatment (coagulation/flocculation and chlorination); aquifer treatment; engineered post-treatment (coagulation/flocculation, rapid sand filtration, UV disinfection, chlorination and powdered activated carbon dosing if required).</w:t>
      </w:r>
      <w:r>
        <w:t xml:space="preserve"> </w:t>
      </w:r>
      <w:r>
        <w:rPr>
          <w:szCs w:val="22"/>
        </w:rPr>
        <w:t>In the BHMAR project, s</w:t>
      </w:r>
      <w:r w:rsidRPr="00651FA3">
        <w:rPr>
          <w:szCs w:val="22"/>
        </w:rPr>
        <w:t>pecial emphasis was placed on pathogen risks consistent with the Augmentation of Drinking Water Supplies Guidelines</w:t>
      </w:r>
      <w:r w:rsidR="00C067BA">
        <w:rPr>
          <w:szCs w:val="22"/>
        </w:rPr>
        <w:t xml:space="preserve"> (Page</w:t>
      </w:r>
      <w:r w:rsidR="008A5F7D" w:rsidRPr="00CF7613">
        <w:rPr>
          <w:rStyle w:val="StyleItalic"/>
        </w:rPr>
        <w:t xml:space="preserve"> et al</w:t>
      </w:r>
      <w:r w:rsidR="00C067BA">
        <w:rPr>
          <w:szCs w:val="22"/>
        </w:rPr>
        <w:t>., 2010b, 2012)</w:t>
      </w:r>
      <w:r w:rsidRPr="00651FA3">
        <w:rPr>
          <w:szCs w:val="22"/>
        </w:rPr>
        <w:t>. Analysis of the summary results also gives a rationale for further risk-based studies to support a future pilot trial prior to connecting BHMAR water to the Broken Hill mains water supply.</w:t>
      </w:r>
    </w:p>
    <w:p w:rsidR="00B51C2E" w:rsidRDefault="00B51C2E" w:rsidP="00B51C2E">
      <w:pPr>
        <w:rPr>
          <w:szCs w:val="22"/>
        </w:rPr>
      </w:pPr>
    </w:p>
    <w:p w:rsidR="00B51C2E" w:rsidRDefault="00B51C2E" w:rsidP="00B51C2E">
      <w:pPr>
        <w:rPr>
          <w:szCs w:val="22"/>
        </w:rPr>
      </w:pPr>
      <w:r>
        <w:rPr>
          <w:szCs w:val="22"/>
        </w:rPr>
        <w:t xml:space="preserve">Initially, Phase 3 of the project assessed aquifer storage and recovery (ASR), aquifer storage, transport and recovery (ASTR), bank filtration and infiltration basin options, within a 40 km radius of </w:t>
      </w:r>
      <w:r w:rsidR="007D1583">
        <w:rPr>
          <w:szCs w:val="22"/>
        </w:rPr>
        <w:t>Menindee township</w:t>
      </w:r>
      <w:r>
        <w:rPr>
          <w:szCs w:val="22"/>
        </w:rPr>
        <w:t xml:space="preserve">. However, parallel assessments of MAR options and costs (SKM, 2010), led to BHMAR investigations being narrowed to a radius of within 20 km from </w:t>
      </w:r>
      <w:r w:rsidR="00C217F0">
        <w:rPr>
          <w:szCs w:val="22"/>
        </w:rPr>
        <w:t>Menindee</w:t>
      </w:r>
      <w:r>
        <w:rPr>
          <w:szCs w:val="22"/>
        </w:rPr>
        <w:t xml:space="preserve">. </w:t>
      </w:r>
    </w:p>
    <w:p w:rsidR="00B51C2E" w:rsidRPr="00651FA3" w:rsidRDefault="00B51C2E" w:rsidP="00B51C2E">
      <w:pPr>
        <w:rPr>
          <w:szCs w:val="22"/>
        </w:rPr>
      </w:pPr>
    </w:p>
    <w:p w:rsidR="00B51C2E" w:rsidRPr="00106292" w:rsidRDefault="00B51C2E" w:rsidP="00B51C2E">
      <w:pPr>
        <w:rPr>
          <w:szCs w:val="22"/>
        </w:rPr>
      </w:pPr>
      <w:r w:rsidRPr="00106292">
        <w:rPr>
          <w:szCs w:val="22"/>
        </w:rPr>
        <w:t xml:space="preserve">Subsequently, after consideration of eight sites, sites at Jimargil and </w:t>
      </w:r>
      <w:r w:rsidR="00C217F0">
        <w:rPr>
          <w:szCs w:val="22"/>
        </w:rPr>
        <w:t xml:space="preserve">Menindee </w:t>
      </w:r>
      <w:r w:rsidRPr="00106292">
        <w:rPr>
          <w:szCs w:val="22"/>
        </w:rPr>
        <w:t>Common</w:t>
      </w:r>
      <w:r w:rsidR="001E1E35" w:rsidRPr="00106292">
        <w:rPr>
          <w:szCs w:val="22"/>
        </w:rPr>
        <w:t xml:space="preserve"> </w:t>
      </w:r>
      <w:r w:rsidRPr="00106292">
        <w:rPr>
          <w:szCs w:val="22"/>
        </w:rPr>
        <w:t>were prioritised for further detailed hydrogeological investigations and MAR assessment</w:t>
      </w:r>
      <w:r w:rsidR="00471C17" w:rsidRPr="00106292">
        <w:rPr>
          <w:szCs w:val="22"/>
        </w:rPr>
        <w:t xml:space="preserve"> (Lawrie</w:t>
      </w:r>
      <w:r w:rsidR="008A5F7D" w:rsidRPr="00CF7613">
        <w:rPr>
          <w:rStyle w:val="StyleItalic"/>
        </w:rPr>
        <w:t xml:space="preserve"> et al</w:t>
      </w:r>
      <w:r w:rsidR="00471C17" w:rsidRPr="00106292">
        <w:rPr>
          <w:szCs w:val="22"/>
        </w:rPr>
        <w:t xml:space="preserve">., </w:t>
      </w:r>
      <w:r w:rsidR="00106292" w:rsidRPr="00106292">
        <w:rPr>
          <w:szCs w:val="22"/>
        </w:rPr>
        <w:t xml:space="preserve">2010b, 2011, </w:t>
      </w:r>
      <w:r w:rsidR="00471C17" w:rsidRPr="00106292">
        <w:rPr>
          <w:szCs w:val="22"/>
        </w:rPr>
        <w:t>2012c</w:t>
      </w:r>
      <w:r w:rsidR="00106292" w:rsidRPr="00106292">
        <w:rPr>
          <w:szCs w:val="22"/>
        </w:rPr>
        <w:t>, d</w:t>
      </w:r>
      <w:r w:rsidR="00C067BA">
        <w:rPr>
          <w:szCs w:val="22"/>
        </w:rPr>
        <w:t>; Page</w:t>
      </w:r>
      <w:r w:rsidR="008A5F7D" w:rsidRPr="00CF7613">
        <w:rPr>
          <w:rStyle w:val="StyleItalic"/>
        </w:rPr>
        <w:t xml:space="preserve"> et al</w:t>
      </w:r>
      <w:r w:rsidR="00C067BA">
        <w:rPr>
          <w:szCs w:val="22"/>
        </w:rPr>
        <w:t>., 2010b</w:t>
      </w:r>
      <w:r w:rsidR="00471C17" w:rsidRPr="00106292">
        <w:rPr>
          <w:szCs w:val="22"/>
        </w:rPr>
        <w:t>)</w:t>
      </w:r>
      <w:r w:rsidRPr="00106292">
        <w:rPr>
          <w:szCs w:val="22"/>
        </w:rPr>
        <w:t xml:space="preserve">. After significant endeavour, work at the site at </w:t>
      </w:r>
      <w:r w:rsidR="00C217F0">
        <w:rPr>
          <w:szCs w:val="22"/>
        </w:rPr>
        <w:t xml:space="preserve">Menindee </w:t>
      </w:r>
      <w:r w:rsidRPr="00106292">
        <w:rPr>
          <w:szCs w:val="22"/>
        </w:rPr>
        <w:t>Common was curtailed as a number of hydrogeochemical and hydrogeological issues emerged which increased the difficulty of developing MAR options at this site (Lawrie</w:t>
      </w:r>
      <w:r w:rsidR="008A5F7D" w:rsidRPr="00CF7613">
        <w:rPr>
          <w:rStyle w:val="StyleItalic"/>
        </w:rPr>
        <w:t xml:space="preserve"> et al</w:t>
      </w:r>
      <w:r w:rsidRPr="00106292">
        <w:rPr>
          <w:szCs w:val="22"/>
        </w:rPr>
        <w:t>., 2011, 2012</w:t>
      </w:r>
      <w:r w:rsidR="00106292" w:rsidRPr="00106292">
        <w:rPr>
          <w:szCs w:val="22"/>
        </w:rPr>
        <w:t>d</w:t>
      </w:r>
      <w:r w:rsidRPr="00106292">
        <w:rPr>
          <w:szCs w:val="22"/>
        </w:rPr>
        <w:t xml:space="preserve">). Consequently, Maximal and Pre-Commissioning Residual Risk Assessments have only been fully completed for an ASR option at the highest priority site (Jimargil), with the findings summarised later in this report. </w:t>
      </w:r>
    </w:p>
    <w:p w:rsidR="00B51C2E" w:rsidRPr="00106292" w:rsidRDefault="00B51C2E" w:rsidP="00B51C2E">
      <w:pPr>
        <w:rPr>
          <w:szCs w:val="22"/>
        </w:rPr>
      </w:pPr>
    </w:p>
    <w:p w:rsidR="00B51C2E" w:rsidRDefault="00B51C2E" w:rsidP="00B51C2E">
      <w:pPr>
        <w:rPr>
          <w:szCs w:val="22"/>
        </w:rPr>
      </w:pPr>
      <w:r w:rsidRPr="00106292">
        <w:t xml:space="preserve">While the </w:t>
      </w:r>
      <w:r w:rsidRPr="00106292">
        <w:rPr>
          <w:szCs w:val="22"/>
        </w:rPr>
        <w:t>Jimargil (EB-J-W) site is identified as the</w:t>
      </w:r>
      <w:r>
        <w:rPr>
          <w:szCs w:val="22"/>
        </w:rPr>
        <w:t xml:space="preserve"> highest priority site for potential development, </w:t>
      </w:r>
      <w:r>
        <w:t>t</w:t>
      </w:r>
      <w:r>
        <w:rPr>
          <w:rFonts w:cs="Angsana New"/>
          <w:szCs w:val="22"/>
          <w:lang w:eastAsia="zh-CN" w:bidi="th-TH"/>
        </w:rPr>
        <w:t>hree additional</w:t>
      </w:r>
      <w:r w:rsidRPr="00E118F0">
        <w:rPr>
          <w:rFonts w:cs="Angsana New"/>
          <w:szCs w:val="22"/>
          <w:lang w:eastAsia="zh-CN" w:bidi="th-TH"/>
        </w:rPr>
        <w:t xml:space="preserve"> </w:t>
      </w:r>
      <w:r>
        <w:rPr>
          <w:rFonts w:cs="Angsana New"/>
          <w:szCs w:val="22"/>
          <w:lang w:eastAsia="zh-CN" w:bidi="th-TH"/>
        </w:rPr>
        <w:t>sites</w:t>
      </w:r>
      <w:r w:rsidRPr="00E118F0">
        <w:rPr>
          <w:szCs w:val="22"/>
        </w:rPr>
        <w:t xml:space="preserve">: north </w:t>
      </w:r>
      <w:r w:rsidR="00C217F0">
        <w:rPr>
          <w:szCs w:val="22"/>
        </w:rPr>
        <w:t>Lake Menindee</w:t>
      </w:r>
      <w:r w:rsidRPr="00E118F0">
        <w:rPr>
          <w:szCs w:val="22"/>
        </w:rPr>
        <w:t xml:space="preserve"> (LM), Larloona (L1) and Kinchega National park (KNP 1a, b and 2 a, b)</w:t>
      </w:r>
      <w:r>
        <w:rPr>
          <w:szCs w:val="22"/>
        </w:rPr>
        <w:t xml:space="preserve"> are also summarised in this report. These should be considered only as back-up sites should problems be encountered with the Jimargil site</w:t>
      </w:r>
      <w:r w:rsidRPr="00E118F0">
        <w:rPr>
          <w:szCs w:val="22"/>
        </w:rPr>
        <w:t>. There is insufficient drilling and complementary data to complete pre-commissioning residual risk assessments of other options at this site, and in the lower priority sites.</w:t>
      </w:r>
      <w:r>
        <w:rPr>
          <w:szCs w:val="22"/>
        </w:rPr>
        <w:t xml:space="preserve"> </w:t>
      </w:r>
    </w:p>
    <w:p w:rsidR="00B51C2E" w:rsidRDefault="00B51C2E" w:rsidP="00B51C2E">
      <w:pPr>
        <w:rPr>
          <w:szCs w:val="22"/>
        </w:rPr>
      </w:pPr>
    </w:p>
    <w:p w:rsidR="00B51C2E" w:rsidRPr="002C4197" w:rsidRDefault="00B51C2E" w:rsidP="00B51C2E">
      <w:pPr>
        <w:rPr>
          <w:szCs w:val="22"/>
        </w:rPr>
      </w:pPr>
      <w:r w:rsidRPr="00106292">
        <w:rPr>
          <w:szCs w:val="22"/>
        </w:rPr>
        <w:t>The overall assessments of the MAR options in this report therefore reflect a varying level of confidence commensurate with the level of investigations. A comprehensive assessment of the MAR options at these sites and at ot</w:t>
      </w:r>
      <w:r w:rsidR="00C0765F" w:rsidRPr="00106292">
        <w:rPr>
          <w:szCs w:val="22"/>
        </w:rPr>
        <w:t>her sites across the study area</w:t>
      </w:r>
      <w:r w:rsidRPr="00106292">
        <w:rPr>
          <w:szCs w:val="22"/>
        </w:rPr>
        <w:t xml:space="preserve"> is presented in Lawrie</w:t>
      </w:r>
      <w:r w:rsidR="008A5F7D" w:rsidRPr="00CF7613">
        <w:rPr>
          <w:rStyle w:val="StyleItalic"/>
        </w:rPr>
        <w:t xml:space="preserve"> et al</w:t>
      </w:r>
      <w:r w:rsidR="00E26C44" w:rsidRPr="00CF7613">
        <w:rPr>
          <w:rStyle w:val="StyleItalic"/>
        </w:rPr>
        <w:t>.</w:t>
      </w:r>
      <w:r w:rsidRPr="00106292">
        <w:rPr>
          <w:szCs w:val="22"/>
        </w:rPr>
        <w:t xml:space="preserve"> (2012c</w:t>
      </w:r>
      <w:r w:rsidR="00106292" w:rsidRPr="00106292">
        <w:rPr>
          <w:szCs w:val="22"/>
        </w:rPr>
        <w:t>, d</w:t>
      </w:r>
      <w:r w:rsidRPr="00106292">
        <w:rPr>
          <w:szCs w:val="22"/>
        </w:rPr>
        <w:t xml:space="preserve">). Degree of difficulty and entry level </w:t>
      </w:r>
      <w:r w:rsidR="001E1E35" w:rsidRPr="00106292">
        <w:rPr>
          <w:szCs w:val="22"/>
        </w:rPr>
        <w:t>a</w:t>
      </w:r>
      <w:r w:rsidRPr="00106292">
        <w:rPr>
          <w:szCs w:val="22"/>
        </w:rPr>
        <w:t xml:space="preserve">ssessments of other sites within 20 km of </w:t>
      </w:r>
      <w:r w:rsidR="00C217F0">
        <w:rPr>
          <w:szCs w:val="22"/>
        </w:rPr>
        <w:t xml:space="preserve">Menindee </w:t>
      </w:r>
      <w:r w:rsidRPr="00106292">
        <w:rPr>
          <w:szCs w:val="22"/>
        </w:rPr>
        <w:t xml:space="preserve">which were assessed unfavourably (e.g. Lake Wetherell, Southern </w:t>
      </w:r>
      <w:r w:rsidR="00C217F0">
        <w:rPr>
          <w:szCs w:val="22"/>
        </w:rPr>
        <w:t>Lake Menindee</w:t>
      </w:r>
      <w:r w:rsidRPr="00106292">
        <w:rPr>
          <w:szCs w:val="22"/>
        </w:rPr>
        <w:t>, Eastern Larloona and Appin Station), are also detailed in Lawrie</w:t>
      </w:r>
      <w:r w:rsidR="008A5F7D" w:rsidRPr="00CF7613">
        <w:rPr>
          <w:rStyle w:val="StyleItalic"/>
        </w:rPr>
        <w:t xml:space="preserve"> et al</w:t>
      </w:r>
      <w:r w:rsidRPr="00CF7613">
        <w:rPr>
          <w:rStyle w:val="StyleItalic"/>
        </w:rPr>
        <w:t>.</w:t>
      </w:r>
      <w:r w:rsidR="00106292" w:rsidRPr="00106292">
        <w:rPr>
          <w:szCs w:val="22"/>
        </w:rPr>
        <w:t xml:space="preserve"> (2012d</w:t>
      </w:r>
      <w:r w:rsidRPr="00106292">
        <w:rPr>
          <w:szCs w:val="22"/>
        </w:rPr>
        <w:t>).</w:t>
      </w:r>
      <w:r>
        <w:rPr>
          <w:szCs w:val="22"/>
        </w:rPr>
        <w:t xml:space="preserve"> </w:t>
      </w:r>
    </w:p>
    <w:p w:rsidR="00B51C2E" w:rsidRDefault="00B51C2E" w:rsidP="00B51C2E">
      <w:pPr>
        <w:rPr>
          <w:szCs w:val="22"/>
        </w:rPr>
      </w:pPr>
    </w:p>
    <w:p w:rsidR="00FE722F" w:rsidRDefault="00B51C2E" w:rsidP="00D35ACA">
      <w:pPr>
        <w:pStyle w:val="Heading1"/>
        <w:tabs>
          <w:tab w:val="clear" w:pos="360"/>
          <w:tab w:val="num" w:pos="720"/>
        </w:tabs>
        <w:ind w:left="720" w:hanging="720"/>
      </w:pPr>
      <w:r>
        <w:br w:type="page"/>
      </w:r>
      <w:bookmarkStart w:id="256" w:name="_Toc325700092"/>
      <w:bookmarkStart w:id="257" w:name="_Toc325700435"/>
      <w:bookmarkStart w:id="258" w:name="_Toc325975116"/>
      <w:bookmarkStart w:id="259" w:name="_Toc390690107"/>
      <w:r w:rsidR="00351032">
        <w:lastRenderedPageBreak/>
        <w:t>Geological and Geomorphic Framework</w:t>
      </w:r>
      <w:bookmarkEnd w:id="256"/>
      <w:bookmarkEnd w:id="257"/>
      <w:bookmarkEnd w:id="258"/>
      <w:bookmarkEnd w:id="259"/>
    </w:p>
    <w:p w:rsidR="00124DC9" w:rsidRPr="00795774" w:rsidRDefault="005D4293" w:rsidP="00CF4183">
      <w:pPr>
        <w:autoSpaceDE w:val="0"/>
        <w:autoSpaceDN w:val="0"/>
        <w:adjustRightInd w:val="0"/>
        <w:rPr>
          <w:szCs w:val="22"/>
        </w:rPr>
      </w:pPr>
      <w:r w:rsidRPr="00513ABC">
        <w:rPr>
          <w:szCs w:val="22"/>
        </w:rPr>
        <w:t xml:space="preserve">The focus of hydrogeological investigations in the BHMAR study </w:t>
      </w:r>
      <w:r w:rsidR="00CF4183" w:rsidRPr="00513ABC">
        <w:rPr>
          <w:szCs w:val="22"/>
        </w:rPr>
        <w:t>has been</w:t>
      </w:r>
      <w:r w:rsidRPr="00513ABC">
        <w:rPr>
          <w:szCs w:val="22"/>
        </w:rPr>
        <w:t xml:space="preserve"> the </w:t>
      </w:r>
      <w:r w:rsidR="00CF4183" w:rsidRPr="00513ABC">
        <w:rPr>
          <w:szCs w:val="22"/>
        </w:rPr>
        <w:t xml:space="preserve">shallow </w:t>
      </w:r>
      <w:r w:rsidR="00471C17">
        <w:rPr>
          <w:szCs w:val="22"/>
        </w:rPr>
        <w:t>semi-</w:t>
      </w:r>
      <w:r w:rsidRPr="00513ABC">
        <w:rPr>
          <w:szCs w:val="22"/>
        </w:rPr>
        <w:t xml:space="preserve">consolidated sediments </w:t>
      </w:r>
      <w:r w:rsidR="00CF4183" w:rsidRPr="00513ABC">
        <w:rPr>
          <w:szCs w:val="22"/>
        </w:rPr>
        <w:t xml:space="preserve">of the </w:t>
      </w:r>
      <w:smartTag w:uri="urn:schemas-microsoft-com:office:smarttags" w:element="place">
        <w:smartTag w:uri="urn:schemas-microsoft-com:office:smarttags" w:element="PlaceName">
          <w:r w:rsidRPr="00513ABC">
            <w:rPr>
              <w:szCs w:val="22"/>
            </w:rPr>
            <w:t>Cenozoic</w:t>
          </w:r>
        </w:smartTag>
        <w:r w:rsidRPr="00513ABC">
          <w:rPr>
            <w:szCs w:val="22"/>
          </w:rPr>
          <w:t xml:space="preserve"> </w:t>
        </w:r>
        <w:smartTag w:uri="urn:schemas-microsoft-com:office:smarttags" w:element="PlaceName">
          <w:r w:rsidRPr="00513ABC">
            <w:rPr>
              <w:szCs w:val="22"/>
            </w:rPr>
            <w:t>Murray</w:t>
          </w:r>
        </w:smartTag>
        <w:r w:rsidRPr="00513ABC">
          <w:rPr>
            <w:szCs w:val="22"/>
          </w:rPr>
          <w:t xml:space="preserve"> </w:t>
        </w:r>
        <w:smartTag w:uri="urn:schemas-microsoft-com:office:smarttags" w:element="PlaceName">
          <w:r w:rsidR="005C4461">
            <w:rPr>
              <w:szCs w:val="22"/>
            </w:rPr>
            <w:t>Geological</w:t>
          </w:r>
        </w:smartTag>
        <w:r w:rsidR="005C4461">
          <w:rPr>
            <w:szCs w:val="22"/>
          </w:rPr>
          <w:t xml:space="preserve"> </w:t>
        </w:r>
        <w:smartTag w:uri="urn:schemas-microsoft-com:office:smarttags" w:element="PlaceType">
          <w:r w:rsidR="005C4461">
            <w:rPr>
              <w:szCs w:val="22"/>
            </w:rPr>
            <w:t>Basin</w:t>
          </w:r>
        </w:smartTag>
      </w:smartTag>
      <w:r w:rsidR="005C4461">
        <w:rPr>
          <w:szCs w:val="22"/>
        </w:rPr>
        <w:t xml:space="preserve"> </w:t>
      </w:r>
      <w:r w:rsidR="00CF4183" w:rsidRPr="00795774">
        <w:rPr>
          <w:szCs w:val="22"/>
        </w:rPr>
        <w:t>(</w:t>
      </w:r>
      <w:r w:rsidR="000B4790" w:rsidRPr="00795774">
        <w:rPr>
          <w:szCs w:val="22"/>
        </w:rPr>
        <w:fldChar w:fldCharType="begin"/>
      </w:r>
      <w:r w:rsidR="000B4790" w:rsidRPr="00795774">
        <w:rPr>
          <w:szCs w:val="22"/>
        </w:rPr>
        <w:instrText xml:space="preserve"> REF _Ref325642490 \h </w:instrText>
      </w:r>
      <w:r w:rsidR="00795774" w:rsidRPr="00795774">
        <w:rPr>
          <w:szCs w:val="22"/>
        </w:rPr>
        <w:instrText xml:space="preserve"> \* MERGEFORMAT </w:instrText>
      </w:r>
      <w:r w:rsidR="000B4790" w:rsidRPr="00795774">
        <w:rPr>
          <w:szCs w:val="22"/>
        </w:rPr>
      </w:r>
      <w:r w:rsidR="000B4790" w:rsidRPr="00795774">
        <w:rPr>
          <w:szCs w:val="22"/>
        </w:rPr>
        <w:fldChar w:fldCharType="separate"/>
      </w:r>
      <w:r w:rsidR="00966532" w:rsidRPr="00966532">
        <w:t xml:space="preserve">Figure </w:t>
      </w:r>
      <w:r w:rsidR="00966532" w:rsidRPr="00966532">
        <w:rPr>
          <w:noProof/>
        </w:rPr>
        <w:t>1</w:t>
      </w:r>
      <w:r w:rsidR="00966532" w:rsidRPr="00966532">
        <w:rPr>
          <w:noProof/>
        </w:rPr>
        <w:noBreakHyphen/>
        <w:t>1</w:t>
      </w:r>
      <w:r w:rsidR="000B4790" w:rsidRPr="00795774">
        <w:rPr>
          <w:szCs w:val="22"/>
        </w:rPr>
        <w:fldChar w:fldCharType="end"/>
      </w:r>
      <w:r w:rsidR="00CF4183" w:rsidRPr="00795774">
        <w:rPr>
          <w:szCs w:val="22"/>
        </w:rPr>
        <w:t>)</w:t>
      </w:r>
      <w:r w:rsidRPr="00795774">
        <w:rPr>
          <w:szCs w:val="22"/>
        </w:rPr>
        <w:t xml:space="preserve">. </w:t>
      </w:r>
      <w:r w:rsidR="005C4461">
        <w:rPr>
          <w:szCs w:val="22"/>
        </w:rPr>
        <w:t>The area lies</w:t>
      </w:r>
      <w:r w:rsidR="00124DC9" w:rsidRPr="00795774">
        <w:rPr>
          <w:szCs w:val="22"/>
        </w:rPr>
        <w:t xml:space="preserve"> largely within the Murray-Darling Drainage Basin (defined by the present </w:t>
      </w:r>
      <w:r w:rsidR="00AE7EF2" w:rsidRPr="00795774">
        <w:rPr>
          <w:szCs w:val="22"/>
        </w:rPr>
        <w:t>surface</w:t>
      </w:r>
      <w:r w:rsidR="00AE7EF2">
        <w:rPr>
          <w:szCs w:val="22"/>
        </w:rPr>
        <w:t>-</w:t>
      </w:r>
      <w:r w:rsidR="00124DC9" w:rsidRPr="00795774">
        <w:rPr>
          <w:szCs w:val="22"/>
        </w:rPr>
        <w:t xml:space="preserve">water catchment; </w:t>
      </w:r>
      <w:r w:rsidR="000B4790" w:rsidRPr="00795774">
        <w:rPr>
          <w:szCs w:val="22"/>
          <w:highlight w:val="yellow"/>
        </w:rPr>
        <w:fldChar w:fldCharType="begin"/>
      </w:r>
      <w:r w:rsidR="000B4790" w:rsidRPr="00795774">
        <w:rPr>
          <w:szCs w:val="22"/>
        </w:rPr>
        <w:instrText xml:space="preserve"> REF _Ref325642490 \h </w:instrText>
      </w:r>
      <w:r w:rsidR="00795774" w:rsidRPr="00795774">
        <w:rPr>
          <w:szCs w:val="22"/>
          <w:highlight w:val="yellow"/>
        </w:rPr>
        <w:instrText xml:space="preserve"> \* MERGEFORMAT </w:instrText>
      </w:r>
      <w:r w:rsidR="000B4790" w:rsidRPr="00795774">
        <w:rPr>
          <w:szCs w:val="22"/>
          <w:highlight w:val="yellow"/>
        </w:rPr>
      </w:r>
      <w:r w:rsidR="000B4790" w:rsidRPr="00795774">
        <w:rPr>
          <w:szCs w:val="22"/>
          <w:highlight w:val="yellow"/>
        </w:rPr>
        <w:fldChar w:fldCharType="separate"/>
      </w:r>
      <w:r w:rsidR="00966532" w:rsidRPr="00966532">
        <w:t xml:space="preserve">Figure </w:t>
      </w:r>
      <w:r w:rsidR="00966532" w:rsidRPr="00966532">
        <w:rPr>
          <w:noProof/>
        </w:rPr>
        <w:t>1</w:t>
      </w:r>
      <w:r w:rsidR="00966532" w:rsidRPr="00966532">
        <w:rPr>
          <w:noProof/>
        </w:rPr>
        <w:noBreakHyphen/>
        <w:t>1</w:t>
      </w:r>
      <w:r w:rsidR="000B4790" w:rsidRPr="00795774">
        <w:rPr>
          <w:szCs w:val="22"/>
          <w:highlight w:val="yellow"/>
        </w:rPr>
        <w:fldChar w:fldCharType="end"/>
      </w:r>
      <w:r w:rsidR="00124DC9" w:rsidRPr="00795774">
        <w:rPr>
          <w:szCs w:val="22"/>
        </w:rPr>
        <w:t>).</w:t>
      </w:r>
      <w:r w:rsidR="00471C17" w:rsidRPr="00471C17">
        <w:rPr>
          <w:szCs w:val="22"/>
        </w:rPr>
        <w:t xml:space="preserve"> </w:t>
      </w:r>
    </w:p>
    <w:p w:rsidR="005A6A00" w:rsidRDefault="005A6A00" w:rsidP="00CF4183">
      <w:pPr>
        <w:autoSpaceDE w:val="0"/>
        <w:autoSpaceDN w:val="0"/>
        <w:adjustRightInd w:val="0"/>
        <w:rPr>
          <w:szCs w:val="22"/>
        </w:rPr>
      </w:pPr>
    </w:p>
    <w:p w:rsidR="00B55679" w:rsidRPr="00B55679" w:rsidRDefault="005A6A00" w:rsidP="005A6A00">
      <w:pPr>
        <w:autoSpaceDE w:val="0"/>
        <w:autoSpaceDN w:val="0"/>
        <w:adjustRightInd w:val="0"/>
        <w:rPr>
          <w:szCs w:val="22"/>
        </w:rPr>
      </w:pPr>
      <w:r w:rsidRPr="00513ABC">
        <w:rPr>
          <w:szCs w:val="22"/>
        </w:rPr>
        <w:t>Prior to this study, there was only a very broad regional understanding of the large-scale sedimentary features, tectonic history</w:t>
      </w:r>
      <w:r>
        <w:rPr>
          <w:szCs w:val="22"/>
        </w:rPr>
        <w:t>, geomorphology</w:t>
      </w:r>
      <w:r w:rsidRPr="00513ABC">
        <w:rPr>
          <w:szCs w:val="22"/>
        </w:rPr>
        <w:t xml:space="preserve"> and groundwater systems of the </w:t>
      </w:r>
      <w:r w:rsidR="00DF0CAB">
        <w:rPr>
          <w:szCs w:val="22"/>
        </w:rPr>
        <w:t>north-western</w:t>
      </w:r>
      <w:r>
        <w:rPr>
          <w:szCs w:val="22"/>
        </w:rPr>
        <w:t xml:space="preserve"> portion of the </w:t>
      </w:r>
      <w:smartTag w:uri="urn:schemas-microsoft-com:office:smarttags" w:element="place">
        <w:smartTag w:uri="urn:schemas-microsoft-com:office:smarttags" w:element="PlaceName">
          <w:r w:rsidRPr="00513ABC">
            <w:rPr>
              <w:szCs w:val="22"/>
            </w:rPr>
            <w:t>Cenozoic</w:t>
          </w:r>
        </w:smartTag>
        <w:r w:rsidRPr="00513ABC">
          <w:rPr>
            <w:szCs w:val="22"/>
          </w:rPr>
          <w:t xml:space="preserve"> </w:t>
        </w:r>
        <w:smartTag w:uri="urn:schemas-microsoft-com:office:smarttags" w:element="PlaceName">
          <w:r w:rsidRPr="00513ABC">
            <w:rPr>
              <w:szCs w:val="22"/>
            </w:rPr>
            <w:t>Murray</w:t>
          </w:r>
        </w:smartTag>
        <w:r w:rsidRPr="00513ABC">
          <w:rPr>
            <w:szCs w:val="22"/>
          </w:rPr>
          <w:t xml:space="preserve"> </w:t>
        </w:r>
        <w:smartTag w:uri="urn:schemas-microsoft-com:office:smarttags" w:element="PlaceName">
          <w:r w:rsidR="000F55FD">
            <w:rPr>
              <w:szCs w:val="22"/>
            </w:rPr>
            <w:t>Geological</w:t>
          </w:r>
        </w:smartTag>
        <w:r w:rsidR="000F55FD">
          <w:rPr>
            <w:szCs w:val="22"/>
          </w:rPr>
          <w:t xml:space="preserve"> </w:t>
        </w:r>
        <w:smartTag w:uri="urn:schemas-microsoft-com:office:smarttags" w:element="PlaceType">
          <w:r w:rsidRPr="00513ABC">
            <w:rPr>
              <w:szCs w:val="22"/>
            </w:rPr>
            <w:t>Basin</w:t>
          </w:r>
        </w:smartTag>
      </w:smartTag>
      <w:r w:rsidRPr="00513ABC">
        <w:rPr>
          <w:szCs w:val="22"/>
        </w:rPr>
        <w:t xml:space="preserve"> </w:t>
      </w:r>
      <w:r w:rsidR="002C4197" w:rsidRPr="00513ABC">
        <w:rPr>
          <w:szCs w:val="22"/>
        </w:rPr>
        <w:t>(</w:t>
      </w:r>
      <w:r w:rsidR="002C4197" w:rsidRPr="009D7B6E">
        <w:rPr>
          <w:szCs w:val="22"/>
        </w:rPr>
        <w:t xml:space="preserve">Bowler </w:t>
      </w:r>
      <w:r w:rsidR="00D34AB0">
        <w:rPr>
          <w:szCs w:val="22"/>
        </w:rPr>
        <w:t>&amp;</w:t>
      </w:r>
      <w:r w:rsidR="00D34AB0" w:rsidRPr="009D7B6E">
        <w:rPr>
          <w:szCs w:val="22"/>
        </w:rPr>
        <w:t xml:space="preserve"> </w:t>
      </w:r>
      <w:r w:rsidR="009D7B6E" w:rsidRPr="009D7B6E">
        <w:rPr>
          <w:szCs w:val="22"/>
        </w:rPr>
        <w:t>Magee, 1978</w:t>
      </w:r>
      <w:r w:rsidR="0082324E">
        <w:rPr>
          <w:szCs w:val="22"/>
        </w:rPr>
        <w:t>;</w:t>
      </w:r>
      <w:r w:rsidR="002C4197">
        <w:rPr>
          <w:szCs w:val="22"/>
        </w:rPr>
        <w:t xml:space="preserve"> </w:t>
      </w:r>
      <w:r w:rsidR="002C4197" w:rsidRPr="00513ABC">
        <w:rPr>
          <w:szCs w:val="22"/>
        </w:rPr>
        <w:t xml:space="preserve">Brown, 1989; Brown </w:t>
      </w:r>
      <w:r w:rsidR="009E14A2">
        <w:rPr>
          <w:szCs w:val="22"/>
        </w:rPr>
        <w:t xml:space="preserve">&amp; </w:t>
      </w:r>
      <w:r w:rsidR="002C4197" w:rsidRPr="00513ABC">
        <w:rPr>
          <w:szCs w:val="22"/>
        </w:rPr>
        <w:t>Stephenson, 1991</w:t>
      </w:r>
      <w:r w:rsidR="002C4197" w:rsidRPr="005C4461">
        <w:rPr>
          <w:szCs w:val="22"/>
        </w:rPr>
        <w:t>; Brodie, 1994; Brodie, 199</w:t>
      </w:r>
      <w:r w:rsidR="008C2768" w:rsidRPr="005C4461">
        <w:rPr>
          <w:szCs w:val="22"/>
        </w:rPr>
        <w:t>8</w:t>
      </w:r>
      <w:r w:rsidR="002C4197" w:rsidRPr="005C4461">
        <w:rPr>
          <w:szCs w:val="22"/>
        </w:rPr>
        <w:t>; Lewis</w:t>
      </w:r>
      <w:r w:rsidR="008A5F7D" w:rsidRPr="00CF7613">
        <w:rPr>
          <w:rStyle w:val="StyleItalic"/>
        </w:rPr>
        <w:t xml:space="preserve"> et al</w:t>
      </w:r>
      <w:r w:rsidR="002C4197" w:rsidRPr="005C4461">
        <w:rPr>
          <w:szCs w:val="22"/>
        </w:rPr>
        <w:t xml:space="preserve">., 2008). </w:t>
      </w:r>
      <w:r w:rsidRPr="005C4461">
        <w:rPr>
          <w:szCs w:val="22"/>
        </w:rPr>
        <w:t xml:space="preserve">In general, more was known about the </w:t>
      </w:r>
      <w:r w:rsidR="00B55679" w:rsidRPr="005C4461">
        <w:rPr>
          <w:szCs w:val="22"/>
        </w:rPr>
        <w:t xml:space="preserve">geology of the </w:t>
      </w:r>
      <w:r w:rsidRPr="005C4461">
        <w:rPr>
          <w:szCs w:val="22"/>
        </w:rPr>
        <w:t>deeper sedimentary basins underlying the study area, large</w:t>
      </w:r>
      <w:r w:rsidRPr="00513ABC">
        <w:rPr>
          <w:szCs w:val="22"/>
        </w:rPr>
        <w:t>ly on account of their oil and gas prospectivity (Blevin</w:t>
      </w:r>
      <w:r w:rsidR="008A5F7D" w:rsidRPr="00CF7613">
        <w:rPr>
          <w:rStyle w:val="StyleItalic"/>
        </w:rPr>
        <w:t xml:space="preserve"> et al</w:t>
      </w:r>
      <w:r w:rsidRPr="00513ABC">
        <w:rPr>
          <w:szCs w:val="22"/>
        </w:rPr>
        <w:t xml:space="preserve">., 2007). </w:t>
      </w:r>
      <w:r w:rsidR="00471C17">
        <w:rPr>
          <w:szCs w:val="22"/>
        </w:rPr>
        <w:t xml:space="preserve">The new geological framework and hydrogeological conceptual model are discussed in detail in </w:t>
      </w:r>
      <w:r w:rsidR="00471C17" w:rsidRPr="00106292">
        <w:rPr>
          <w:szCs w:val="22"/>
        </w:rPr>
        <w:t>Lawrie</w:t>
      </w:r>
      <w:r w:rsidR="008A5F7D" w:rsidRPr="00CF7613">
        <w:rPr>
          <w:rStyle w:val="StyleItalic"/>
        </w:rPr>
        <w:t xml:space="preserve"> et al</w:t>
      </w:r>
      <w:r w:rsidR="00471C17" w:rsidRPr="00106292">
        <w:rPr>
          <w:szCs w:val="22"/>
        </w:rPr>
        <w:t>. (2012b).</w:t>
      </w:r>
      <w:r w:rsidR="00471C17">
        <w:rPr>
          <w:szCs w:val="22"/>
        </w:rPr>
        <w:t xml:space="preserve"> </w:t>
      </w:r>
    </w:p>
    <w:p w:rsidR="005A6A00" w:rsidRDefault="00C6655F" w:rsidP="004053EE">
      <w:pPr>
        <w:pStyle w:val="Heading2"/>
        <w:tabs>
          <w:tab w:val="left" w:pos="720"/>
        </w:tabs>
        <w:spacing w:before="320"/>
      </w:pPr>
      <w:bookmarkStart w:id="260" w:name="_Toc325700093"/>
      <w:bookmarkStart w:id="261" w:name="_Toc325700436"/>
      <w:bookmarkStart w:id="262" w:name="_Toc325975117"/>
      <w:bookmarkStart w:id="263" w:name="_Toc390690108"/>
      <w:r>
        <w:t>G</w:t>
      </w:r>
      <w:r w:rsidR="002C4197">
        <w:t xml:space="preserve">eomorphology, </w:t>
      </w:r>
      <w:r>
        <w:t>S</w:t>
      </w:r>
      <w:r w:rsidR="002C4197">
        <w:t xml:space="preserve">tratigraphy and </w:t>
      </w:r>
      <w:r>
        <w:t>L</w:t>
      </w:r>
      <w:r w:rsidR="002C4197">
        <w:t xml:space="preserve">andscape </w:t>
      </w:r>
      <w:r>
        <w:t>E</w:t>
      </w:r>
      <w:r w:rsidR="002C4197">
        <w:t>volution</w:t>
      </w:r>
      <w:bookmarkEnd w:id="260"/>
      <w:bookmarkEnd w:id="261"/>
      <w:bookmarkEnd w:id="262"/>
      <w:bookmarkEnd w:id="263"/>
    </w:p>
    <w:p w:rsidR="0051632A" w:rsidRDefault="00A726CF" w:rsidP="00A726CF">
      <w:r>
        <w:t xml:space="preserve">The </w:t>
      </w:r>
      <w:smartTag w:uri="urn:schemas-microsoft-com:office:smarttags" w:element="place">
        <w:smartTag w:uri="urn:schemas-microsoft-com:office:smarttags" w:element="PlaceName">
          <w:r>
            <w:t>Murray</w:t>
          </w:r>
        </w:smartTag>
        <w:r>
          <w:t xml:space="preserve"> </w:t>
        </w:r>
        <w:smartTag w:uri="urn:schemas-microsoft-com:office:smarttags" w:element="PlaceName">
          <w:r>
            <w:t>Geological</w:t>
          </w:r>
        </w:smartTag>
        <w:r>
          <w:t xml:space="preserve"> </w:t>
        </w:r>
        <w:smartTag w:uri="urn:schemas-microsoft-com:office:smarttags" w:element="PlaceType">
          <w:r>
            <w:t>Basin</w:t>
          </w:r>
        </w:smartTag>
      </w:smartTag>
      <w:r>
        <w:t xml:space="preserve"> contains sedimentary sequences formed in aeolian, fluvial, marine and marginal marine depositional environments.</w:t>
      </w:r>
      <w:r w:rsidR="00E823BA">
        <w:t xml:space="preserve"> </w:t>
      </w:r>
      <w:r>
        <w:t xml:space="preserve">Towards the north-west basin margin, in the area of interest for this study (Mallee region of western NSW and </w:t>
      </w:r>
      <w:smartTag w:uri="urn:schemas-microsoft-com:office:smarttags" w:element="place">
        <w:smartTag w:uri="urn:schemas-microsoft-com:office:smarttags" w:element="State">
          <w:r>
            <w:t>South Australia</w:t>
          </w:r>
        </w:smartTag>
      </w:smartTag>
      <w:r>
        <w:t xml:space="preserve">) sediment fill is mostly of </w:t>
      </w:r>
      <w:r w:rsidR="005C4461">
        <w:t>fluvial</w:t>
      </w:r>
      <w:r>
        <w:t xml:space="preserve"> </w:t>
      </w:r>
      <w:r w:rsidR="001E1E35">
        <w:t>origin</w:t>
      </w:r>
      <w:r w:rsidR="005C4461">
        <w:t xml:space="preserve"> with minor lacustrine deposits</w:t>
      </w:r>
      <w:r w:rsidR="001E1E35">
        <w:t xml:space="preserve">. </w:t>
      </w:r>
      <w:r w:rsidR="00680C55">
        <w:t>T</w:t>
      </w:r>
      <w:r>
        <w:t xml:space="preserve">he regional stratigraphy and the hydrogeologic properties of the different stratigraphic units are </w:t>
      </w:r>
      <w:r w:rsidRPr="00795774">
        <w:t>summarised in</w:t>
      </w:r>
      <w:r w:rsidR="00A6797D" w:rsidRPr="00795774">
        <w:t xml:space="preserve"> </w:t>
      </w:r>
      <w:r w:rsidR="00A6797D" w:rsidRPr="00795774">
        <w:fldChar w:fldCharType="begin"/>
      </w:r>
      <w:r w:rsidR="00A6797D" w:rsidRPr="00795774">
        <w:instrText xml:space="preserve"> REF _Ref325709558 \h </w:instrText>
      </w:r>
      <w:r w:rsidR="00795774" w:rsidRPr="00795774">
        <w:instrText xml:space="preserve"> \* MERGEFORMAT </w:instrText>
      </w:r>
      <w:r w:rsidR="00A6797D" w:rsidRPr="00795774">
        <w:fldChar w:fldCharType="separate"/>
      </w:r>
      <w:r w:rsidR="00966532" w:rsidRPr="00966532">
        <w:t xml:space="preserve">Table </w:t>
      </w:r>
      <w:r w:rsidR="00966532" w:rsidRPr="00966532">
        <w:rPr>
          <w:noProof/>
        </w:rPr>
        <w:t>5</w:t>
      </w:r>
      <w:r w:rsidR="00966532" w:rsidRPr="00966532">
        <w:rPr>
          <w:noProof/>
        </w:rPr>
        <w:noBreakHyphen/>
        <w:t>1</w:t>
      </w:r>
      <w:r w:rsidR="00A6797D" w:rsidRPr="00795774">
        <w:fldChar w:fldCharType="end"/>
      </w:r>
      <w:r w:rsidRPr="00795774">
        <w:t xml:space="preserve">. </w:t>
      </w:r>
    </w:p>
    <w:p w:rsidR="0051632A" w:rsidRPr="00C6655F" w:rsidRDefault="007D1583" w:rsidP="0051632A">
      <w:pPr>
        <w:pStyle w:val="Heading3"/>
        <w:tabs>
          <w:tab w:val="left" w:pos="1080"/>
        </w:tabs>
        <w:spacing w:before="320"/>
        <w:ind w:left="1080" w:hanging="1080"/>
      </w:pPr>
      <w:bookmarkStart w:id="264" w:name="_Toc390690109"/>
      <w:smartTag w:uri="urn:schemas-microsoft-com:office:smarttags" w:element="place">
        <w:smartTag w:uri="urn:schemas-microsoft-com:office:smarttags" w:element="PlaceName">
          <w:r>
            <w:t>Menindee</w:t>
          </w:r>
        </w:smartTag>
        <w:r>
          <w:t xml:space="preserve"> </w:t>
        </w:r>
        <w:smartTag w:uri="urn:schemas-microsoft-com:office:smarttags" w:element="PlaceType">
          <w:r>
            <w:t>Lakes</w:t>
          </w:r>
        </w:smartTag>
      </w:smartTag>
      <w:bookmarkEnd w:id="264"/>
    </w:p>
    <w:p w:rsidR="0051632A" w:rsidRPr="005C4461" w:rsidRDefault="0051632A" w:rsidP="0051632A">
      <w:pPr>
        <w:rPr>
          <w:szCs w:val="22"/>
        </w:rPr>
      </w:pPr>
      <w:r w:rsidRPr="005C4461">
        <w:rPr>
          <w:szCs w:val="22"/>
        </w:rPr>
        <w:t xml:space="preserve">The </w:t>
      </w:r>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r w:rsidRPr="005C4461">
        <w:rPr>
          <w:szCs w:val="22"/>
        </w:rPr>
        <w:t xml:space="preserve"> are located on the Darling River approximately 100 km upstream of the junction with the </w:t>
      </w:r>
      <w:smartTag w:uri="urn:schemas-microsoft-com:office:smarttags" w:element="place">
        <w:r w:rsidRPr="005C4461">
          <w:rPr>
            <w:szCs w:val="22"/>
          </w:rPr>
          <w:t>Murray River</w:t>
        </w:r>
      </w:smartTag>
      <w:r w:rsidRPr="005C4461">
        <w:rPr>
          <w:szCs w:val="22"/>
        </w:rPr>
        <w:t xml:space="preserve"> and 110 km east of Broken Hill (Figure 2; Figure 3). The principal lakes are </w:t>
      </w:r>
      <w:r w:rsidR="00C217F0">
        <w:rPr>
          <w:szCs w:val="22"/>
        </w:rPr>
        <w:t>Menindee</w:t>
      </w:r>
      <w:r w:rsidRPr="005C4461">
        <w:rPr>
          <w:szCs w:val="22"/>
        </w:rPr>
        <w:t xml:space="preserve">, Cawndilla, and Pamamaroo, with smaller lakes including Tandure, </w:t>
      </w:r>
      <w:r w:rsidR="00971C9D">
        <w:rPr>
          <w:szCs w:val="22"/>
        </w:rPr>
        <w:t>Speculation, Spectacle, Bijiji</w:t>
      </w:r>
      <w:r w:rsidRPr="005C4461">
        <w:rPr>
          <w:szCs w:val="22"/>
        </w:rPr>
        <w:t xml:space="preserve">, </w:t>
      </w:r>
      <w:smartTag w:uri="urn:schemas-microsoft-com:office:smarttags" w:element="place">
        <w:smartTag w:uri="urn:schemas-microsoft-com:office:smarttags" w:element="City">
          <w:r w:rsidRPr="005C4461">
            <w:rPr>
              <w:szCs w:val="22"/>
            </w:rPr>
            <w:t>Balaka</w:t>
          </w:r>
        </w:smartTag>
        <w:r w:rsidRPr="005C4461">
          <w:rPr>
            <w:szCs w:val="22"/>
          </w:rPr>
          <w:t xml:space="preserve">, </w:t>
        </w:r>
        <w:smartTag w:uri="urn:schemas-microsoft-com:office:smarttags" w:element="country-region">
          <w:r w:rsidRPr="005C4461">
            <w:rPr>
              <w:szCs w:val="22"/>
            </w:rPr>
            <w:t>Malta</w:t>
          </w:r>
        </w:smartTag>
      </w:smartTag>
      <w:r w:rsidRPr="005C4461">
        <w:rPr>
          <w:szCs w:val="22"/>
        </w:rPr>
        <w:t>, Eurobili and Emu (</w:t>
      </w:r>
      <w:r w:rsidRPr="005C4461">
        <w:rPr>
          <w:szCs w:val="22"/>
          <w:highlight w:val="yellow"/>
        </w:rPr>
        <w:fldChar w:fldCharType="begin"/>
      </w:r>
      <w:r w:rsidRPr="005C4461">
        <w:rPr>
          <w:szCs w:val="22"/>
        </w:rPr>
        <w:instrText xml:space="preserve"> REF _Ref325706870 \h </w:instrText>
      </w:r>
      <w:r w:rsidRPr="005C4461">
        <w:rPr>
          <w:szCs w:val="22"/>
          <w:highlight w:val="yellow"/>
        </w:rPr>
        <w:instrText xml:space="preserve"> \* MERGEFORMAT </w:instrText>
      </w:r>
      <w:r w:rsidRPr="005C4461">
        <w:rPr>
          <w:szCs w:val="22"/>
          <w:highlight w:val="yellow"/>
        </w:rPr>
      </w:r>
      <w:r w:rsidRPr="005C4461">
        <w:rPr>
          <w:szCs w:val="22"/>
          <w:highlight w:val="yellow"/>
        </w:rPr>
        <w:fldChar w:fldCharType="separate"/>
      </w:r>
      <w:r w:rsidR="00966532" w:rsidRPr="00966532">
        <w:rPr>
          <w:szCs w:val="22"/>
        </w:rPr>
        <w:t xml:space="preserve">Figure </w:t>
      </w:r>
      <w:r w:rsidR="00966532" w:rsidRPr="00966532">
        <w:rPr>
          <w:noProof/>
          <w:szCs w:val="22"/>
        </w:rPr>
        <w:t>2</w:t>
      </w:r>
      <w:r w:rsidR="00966532" w:rsidRPr="00966532">
        <w:rPr>
          <w:noProof/>
          <w:szCs w:val="22"/>
        </w:rPr>
        <w:noBreakHyphen/>
        <w:t>2</w:t>
      </w:r>
      <w:r w:rsidRPr="005C4461">
        <w:rPr>
          <w:szCs w:val="22"/>
          <w:highlight w:val="yellow"/>
        </w:rPr>
        <w:fldChar w:fldCharType="end"/>
      </w:r>
      <w:r w:rsidRPr="005C4461">
        <w:rPr>
          <w:szCs w:val="22"/>
        </w:rPr>
        <w:t xml:space="preserve">). </w:t>
      </w:r>
      <w:r w:rsidRPr="005C4461">
        <w:rPr>
          <w:color w:val="231F20"/>
          <w:szCs w:val="22"/>
        </w:rPr>
        <w:t xml:space="preserve">Most of these lakes were originally flood-out lakes, although </w:t>
      </w:r>
      <w:r>
        <w:rPr>
          <w:color w:val="231F20"/>
          <w:szCs w:val="22"/>
        </w:rPr>
        <w:t xml:space="preserve">some </w:t>
      </w:r>
      <w:r w:rsidRPr="005C4461">
        <w:rPr>
          <w:color w:val="231F20"/>
          <w:szCs w:val="22"/>
        </w:rPr>
        <w:t xml:space="preserve">had overflow to separate lake basins (e.g. </w:t>
      </w:r>
      <w:smartTag w:uri="urn:schemas-microsoft-com:office:smarttags" w:element="PlaceType">
        <w:r w:rsidR="00C217F0">
          <w:rPr>
            <w:color w:val="231F20"/>
            <w:szCs w:val="22"/>
          </w:rPr>
          <w:t>Lake</w:t>
        </w:r>
      </w:smartTag>
      <w:r w:rsidR="00C217F0">
        <w:rPr>
          <w:color w:val="231F20"/>
          <w:szCs w:val="22"/>
        </w:rPr>
        <w:t xml:space="preserve"> </w:t>
      </w:r>
      <w:smartTag w:uri="urn:schemas-microsoft-com:office:smarttags" w:element="PlaceName">
        <w:r w:rsidR="00C217F0">
          <w:rPr>
            <w:color w:val="231F20"/>
            <w:szCs w:val="22"/>
          </w:rPr>
          <w:t>Menindee</w:t>
        </w:r>
      </w:smartTag>
      <w:r w:rsidRPr="005C4461">
        <w:rPr>
          <w:color w:val="231F20"/>
          <w:szCs w:val="22"/>
        </w:rPr>
        <w:t xml:space="preserve"> to </w:t>
      </w:r>
      <w:smartTag w:uri="urn:schemas-microsoft-com:office:smarttags" w:element="PlaceType">
        <w:r w:rsidRPr="005C4461">
          <w:rPr>
            <w:color w:val="231F20"/>
            <w:szCs w:val="22"/>
          </w:rPr>
          <w:t>Lake</w:t>
        </w:r>
      </w:smartTag>
      <w:r w:rsidRPr="005C4461">
        <w:rPr>
          <w:color w:val="231F20"/>
          <w:szCs w:val="22"/>
        </w:rPr>
        <w:t xml:space="preserve"> </w:t>
      </w:r>
      <w:smartTag w:uri="urn:schemas-microsoft-com:office:smarttags" w:element="PlaceName">
        <w:r w:rsidRPr="005C4461">
          <w:rPr>
            <w:color w:val="231F20"/>
            <w:szCs w:val="22"/>
          </w:rPr>
          <w:t>Cawndilla</w:t>
        </w:r>
      </w:smartTag>
      <w:r w:rsidRPr="005C4461">
        <w:rPr>
          <w:color w:val="231F20"/>
          <w:szCs w:val="22"/>
        </w:rPr>
        <w:t xml:space="preserve"> and </w:t>
      </w:r>
      <w:smartTag w:uri="urn:schemas-microsoft-com:office:smarttags" w:element="place">
        <w:smartTag w:uri="urn:schemas-microsoft-com:office:smarttags" w:element="PlaceName">
          <w:r w:rsidRPr="005C4461">
            <w:rPr>
              <w:color w:val="231F20"/>
              <w:szCs w:val="22"/>
            </w:rPr>
            <w:t>Speculation</w:t>
          </w:r>
        </w:smartTag>
        <w:r w:rsidRPr="005C4461">
          <w:rPr>
            <w:color w:val="231F20"/>
            <w:szCs w:val="22"/>
          </w:rPr>
          <w:t xml:space="preserve"> </w:t>
        </w:r>
        <w:smartTag w:uri="urn:schemas-microsoft-com:office:smarttags" w:element="PlaceType">
          <w:r w:rsidRPr="005C4461">
            <w:rPr>
              <w:color w:val="231F20"/>
              <w:szCs w:val="22"/>
            </w:rPr>
            <w:t>Lake</w:t>
          </w:r>
        </w:smartTag>
      </w:smartTag>
      <w:r w:rsidRPr="005C4461">
        <w:rPr>
          <w:color w:val="231F20"/>
          <w:szCs w:val="22"/>
        </w:rPr>
        <w:t>).</w:t>
      </w:r>
      <w:r w:rsidRPr="005C4461">
        <w:rPr>
          <w:szCs w:val="22"/>
        </w:rPr>
        <w:t xml:space="preserve"> All of the natural lakes are shallow (</w:t>
      </w:r>
      <w:r w:rsidRPr="005C4461">
        <w:rPr>
          <w:szCs w:val="22"/>
        </w:rPr>
        <w:fldChar w:fldCharType="begin"/>
      </w:r>
      <w:r w:rsidRPr="005C4461">
        <w:rPr>
          <w:szCs w:val="22"/>
        </w:rPr>
        <w:instrText xml:space="preserve"> REF _Ref325709476 \h  \* MERGEFORMAT </w:instrText>
      </w:r>
      <w:r w:rsidRPr="005C4461">
        <w:rPr>
          <w:szCs w:val="22"/>
        </w:rPr>
      </w:r>
      <w:r w:rsidRPr="005C4461">
        <w:rPr>
          <w:szCs w:val="22"/>
        </w:rPr>
        <w:fldChar w:fldCharType="separate"/>
      </w:r>
      <w:r w:rsidR="00966532" w:rsidRPr="00966532">
        <w:rPr>
          <w:szCs w:val="22"/>
        </w:rPr>
        <w:t xml:space="preserve">Table </w:t>
      </w:r>
      <w:r w:rsidR="00966532" w:rsidRPr="00966532">
        <w:rPr>
          <w:noProof/>
          <w:szCs w:val="22"/>
        </w:rPr>
        <w:t>2</w:t>
      </w:r>
      <w:r w:rsidR="00966532" w:rsidRPr="00966532">
        <w:rPr>
          <w:noProof/>
          <w:szCs w:val="22"/>
        </w:rPr>
        <w:noBreakHyphen/>
        <w:t>1</w:t>
      </w:r>
      <w:r w:rsidRPr="005C4461">
        <w:rPr>
          <w:szCs w:val="22"/>
        </w:rPr>
        <w:fldChar w:fldCharType="end"/>
      </w:r>
      <w:r w:rsidRPr="005C4461">
        <w:rPr>
          <w:szCs w:val="22"/>
        </w:rPr>
        <w:t xml:space="preserve">), with relatively symmetrical flat-floored dish morphology with fan deltas located at the channel entrance and multiple channels crossing these deltas. </w:t>
      </w:r>
      <w:r w:rsidRPr="005C4461">
        <w:rPr>
          <w:color w:val="231F20"/>
          <w:szCs w:val="22"/>
        </w:rPr>
        <w:t xml:space="preserve">The morphology of the lake bottoms is controlled largely by the presence of flat-lying, lacustrine Blanchetown Clay aquitards that </w:t>
      </w:r>
      <w:r w:rsidR="00AE7EF2">
        <w:rPr>
          <w:color w:val="231F20"/>
          <w:szCs w:val="22"/>
        </w:rPr>
        <w:t xml:space="preserve">underlie </w:t>
      </w:r>
      <w:r w:rsidRPr="005C4461">
        <w:rPr>
          <w:color w:val="231F20"/>
          <w:szCs w:val="22"/>
        </w:rPr>
        <w:t>most of the lake</w:t>
      </w:r>
      <w:r w:rsidR="00AE7EF2">
        <w:rPr>
          <w:color w:val="231F20"/>
          <w:szCs w:val="22"/>
        </w:rPr>
        <w:t xml:space="preserve"> </w:t>
      </w:r>
      <w:r w:rsidR="00AE7EF2" w:rsidRPr="005C4461">
        <w:rPr>
          <w:color w:val="231F20"/>
          <w:szCs w:val="22"/>
        </w:rPr>
        <w:t>floor</w:t>
      </w:r>
      <w:r w:rsidRPr="005C4461">
        <w:rPr>
          <w:color w:val="231F20"/>
          <w:szCs w:val="22"/>
        </w:rPr>
        <w:t xml:space="preserve">s, while groundwater-controlled deflation would also have contributed to the flat lake floor morphology. </w:t>
      </w:r>
    </w:p>
    <w:p w:rsidR="0051632A" w:rsidRPr="005C4461" w:rsidRDefault="0051632A" w:rsidP="0051632A">
      <w:pPr>
        <w:rPr>
          <w:szCs w:val="22"/>
        </w:rPr>
      </w:pPr>
    </w:p>
    <w:p w:rsidR="0051632A" w:rsidRPr="00795774" w:rsidRDefault="0051632A" w:rsidP="0051632A">
      <w:r w:rsidRPr="002028F3">
        <w:t xml:space="preserve">In common with all flood-out lakes, the pre-regulation </w:t>
      </w:r>
      <w:smartTag w:uri="urn:schemas-microsoft-com:office:smarttags" w:element="PlaceName">
        <w:r w:rsidR="007D1583">
          <w:t>Menindee</w:t>
        </w:r>
      </w:smartTag>
      <w:r w:rsidR="007D1583">
        <w:t xml:space="preserve"> </w:t>
      </w:r>
      <w:smartTag w:uri="urn:schemas-microsoft-com:office:smarttags" w:element="PlaceType">
        <w:r w:rsidR="007D1583">
          <w:t>Lakes</w:t>
        </w:r>
      </w:smartTag>
      <w:r w:rsidRPr="002028F3" w:rsidDel="001A2B37">
        <w:rPr>
          <w:szCs w:val="22"/>
        </w:rPr>
        <w:t xml:space="preserve"> </w:t>
      </w:r>
      <w:r w:rsidRPr="002028F3">
        <w:rPr>
          <w:szCs w:val="22"/>
        </w:rPr>
        <w:t xml:space="preserve">under natural flow conditions filled only during high river flows, and </w:t>
      </w:r>
      <w:r w:rsidRPr="002028F3">
        <w:t>would have commenced to fill</w:t>
      </w:r>
      <w:r w:rsidRPr="002028F3">
        <w:rPr>
          <w:szCs w:val="22"/>
        </w:rPr>
        <w:t xml:space="preserve"> when flood levels exceeded the sill level in the channels connecting the lakes to the </w:t>
      </w:r>
      <w:smartTag w:uri="urn:schemas-microsoft-com:office:smarttags" w:element="place">
        <w:r w:rsidRPr="002028F3">
          <w:rPr>
            <w:szCs w:val="22"/>
          </w:rPr>
          <w:t>Darling River</w:t>
        </w:r>
      </w:smartTag>
      <w:r w:rsidRPr="002028F3">
        <w:rPr>
          <w:szCs w:val="22"/>
        </w:rPr>
        <w:t xml:space="preserve">. Subsequently, the water would either drain back into the river or slowly evaporate, depending on subsequent flows. </w:t>
      </w:r>
    </w:p>
    <w:p w:rsidR="0051632A" w:rsidRDefault="0051632A" w:rsidP="0051632A">
      <w:pPr>
        <w:rPr>
          <w:color w:val="231F20"/>
          <w:szCs w:val="22"/>
        </w:rPr>
      </w:pPr>
    </w:p>
    <w:p w:rsidR="0051632A" w:rsidRPr="005C4461" w:rsidRDefault="0051632A" w:rsidP="0051632A">
      <w:pPr>
        <w:rPr>
          <w:szCs w:val="22"/>
        </w:rPr>
      </w:pPr>
      <w:r w:rsidRPr="005C4461">
        <w:rPr>
          <w:color w:val="231F20"/>
          <w:szCs w:val="22"/>
        </w:rPr>
        <w:t xml:space="preserve">All these lakes are characterized by lunette dunes on their downwind shorelines which are </w:t>
      </w:r>
      <w:r w:rsidR="00AE7EF2">
        <w:rPr>
          <w:color w:val="231F20"/>
          <w:szCs w:val="22"/>
        </w:rPr>
        <w:t xml:space="preserve">either </w:t>
      </w:r>
      <w:r w:rsidRPr="005C4461">
        <w:rPr>
          <w:color w:val="231F20"/>
          <w:szCs w:val="22"/>
        </w:rPr>
        <w:t xml:space="preserve">quartz-rich and contain biogenic carbonate indicating surface-water domination </w:t>
      </w:r>
      <w:r w:rsidR="00AE7EF2">
        <w:rPr>
          <w:color w:val="231F20"/>
          <w:szCs w:val="22"/>
        </w:rPr>
        <w:t xml:space="preserve">or clay-pellet and gypsum rich indicating saline groundwater-controlled deflation of the lake floors </w:t>
      </w:r>
      <w:r w:rsidRPr="005C4461">
        <w:rPr>
          <w:color w:val="000000"/>
          <w:szCs w:val="22"/>
        </w:rPr>
        <w:t>(Bowler, 1973</w:t>
      </w:r>
      <w:r w:rsidR="0082324E">
        <w:rPr>
          <w:color w:val="000000"/>
          <w:szCs w:val="22"/>
        </w:rPr>
        <w:t>,</w:t>
      </w:r>
      <w:r w:rsidRPr="005C4461">
        <w:rPr>
          <w:color w:val="000000"/>
          <w:szCs w:val="22"/>
        </w:rPr>
        <w:t xml:space="preserve"> 1983; </w:t>
      </w:r>
      <w:r w:rsidRPr="0082324E">
        <w:rPr>
          <w:szCs w:val="22"/>
        </w:rPr>
        <w:t>Magee, 1991</w:t>
      </w:r>
      <w:r w:rsidRPr="005C4461">
        <w:rPr>
          <w:color w:val="000000"/>
          <w:szCs w:val="22"/>
        </w:rPr>
        <w:t>).</w:t>
      </w:r>
      <w:r w:rsidRPr="005C4461">
        <w:rPr>
          <w:color w:val="231F20"/>
          <w:szCs w:val="22"/>
        </w:rPr>
        <w:t xml:space="preserve"> </w:t>
      </w:r>
      <w:r w:rsidRPr="005C4461">
        <w:rPr>
          <w:szCs w:val="22"/>
        </w:rPr>
        <w:t xml:space="preserve">In contrast, ‘Lake’ Wetherell was formed by damming of the </w:t>
      </w:r>
      <w:smartTag w:uri="urn:schemas-microsoft-com:office:smarttags" w:element="place">
        <w:r w:rsidRPr="005C4461">
          <w:rPr>
            <w:szCs w:val="22"/>
          </w:rPr>
          <w:t>Darling River</w:t>
        </w:r>
      </w:smartTag>
      <w:r w:rsidRPr="005C4461">
        <w:rPr>
          <w:szCs w:val="22"/>
        </w:rPr>
        <w:t xml:space="preserve"> during construction of the MLS, </w:t>
      </w:r>
      <w:r w:rsidRPr="002028F3">
        <w:rPr>
          <w:szCs w:val="22"/>
        </w:rPr>
        <w:t xml:space="preserve">and hence </w:t>
      </w:r>
      <w:r w:rsidRPr="00106292">
        <w:rPr>
          <w:szCs w:val="22"/>
        </w:rPr>
        <w:t>has a different morphology and character to the other natural lakes in the system (</w:t>
      </w:r>
      <w:r w:rsidRPr="00106292">
        <w:rPr>
          <w:szCs w:val="22"/>
        </w:rPr>
        <w:fldChar w:fldCharType="begin"/>
      </w:r>
      <w:r w:rsidRPr="00106292">
        <w:rPr>
          <w:szCs w:val="22"/>
        </w:rPr>
        <w:instrText xml:space="preserve"> REF _Ref325706870 \h  \* MERGEFORMAT </w:instrText>
      </w:r>
      <w:r w:rsidRPr="00106292">
        <w:rPr>
          <w:szCs w:val="22"/>
        </w:rPr>
      </w:r>
      <w:r w:rsidRPr="00106292">
        <w:rPr>
          <w:szCs w:val="22"/>
        </w:rPr>
        <w:fldChar w:fldCharType="separate"/>
      </w:r>
      <w:r w:rsidR="00966532" w:rsidRPr="00966532">
        <w:t xml:space="preserve">Figure </w:t>
      </w:r>
      <w:r w:rsidR="00966532" w:rsidRPr="00966532">
        <w:rPr>
          <w:noProof/>
        </w:rPr>
        <w:t>2</w:t>
      </w:r>
      <w:r w:rsidR="00966532" w:rsidRPr="00966532">
        <w:rPr>
          <w:noProof/>
        </w:rPr>
        <w:noBreakHyphen/>
        <w:t>2</w:t>
      </w:r>
      <w:r w:rsidRPr="00106292">
        <w:rPr>
          <w:szCs w:val="22"/>
        </w:rPr>
        <w:fldChar w:fldCharType="end"/>
      </w:r>
      <w:r w:rsidRPr="00106292">
        <w:rPr>
          <w:szCs w:val="22"/>
        </w:rPr>
        <w:t xml:space="preserve">). </w:t>
      </w:r>
      <w:smartTag w:uri="urn:schemas-microsoft-com:office:smarttags" w:element="place">
        <w:smartTag w:uri="urn:schemas-microsoft-com:office:smarttags" w:element="PlaceType">
          <w:r w:rsidRPr="00106292">
            <w:rPr>
              <w:szCs w:val="22"/>
            </w:rPr>
            <w:t>Lake</w:t>
          </w:r>
        </w:smartTag>
        <w:r w:rsidRPr="00106292">
          <w:rPr>
            <w:szCs w:val="22"/>
          </w:rPr>
          <w:t xml:space="preserve"> </w:t>
        </w:r>
        <w:smartTag w:uri="urn:schemas-microsoft-com:office:smarttags" w:element="PlaceName">
          <w:r w:rsidRPr="00106292">
            <w:rPr>
              <w:szCs w:val="22"/>
            </w:rPr>
            <w:t>Wetherell</w:t>
          </w:r>
        </w:smartTag>
      </w:smartTag>
      <w:r w:rsidRPr="00106292">
        <w:rPr>
          <w:szCs w:val="22"/>
        </w:rPr>
        <w:t xml:space="preserve"> lacks a lunette, and is formed in an area where the river course is more deeply incised. Greater discussion pertaining to lake morphology is found in Lawrie</w:t>
      </w:r>
      <w:r w:rsidR="008A5F7D" w:rsidRPr="00CF7613">
        <w:rPr>
          <w:rStyle w:val="StyleItalic"/>
        </w:rPr>
        <w:t xml:space="preserve"> et al</w:t>
      </w:r>
      <w:r w:rsidRPr="00106292">
        <w:rPr>
          <w:szCs w:val="22"/>
        </w:rPr>
        <w:t>. (2012b).</w:t>
      </w:r>
    </w:p>
    <w:p w:rsidR="002028F3" w:rsidRPr="00C6655F" w:rsidRDefault="002028F3" w:rsidP="00EF7E00">
      <w:pPr>
        <w:pStyle w:val="Heading3"/>
        <w:tabs>
          <w:tab w:val="left" w:pos="1080"/>
        </w:tabs>
        <w:spacing w:before="320"/>
        <w:ind w:left="1080" w:hanging="1080"/>
      </w:pPr>
      <w:bookmarkStart w:id="265" w:name="_Toc325700095"/>
      <w:bookmarkStart w:id="266" w:name="_Toc325700438"/>
      <w:bookmarkStart w:id="267" w:name="_Toc325975118"/>
      <w:bookmarkStart w:id="268" w:name="_Toc390690110"/>
      <w:r w:rsidRPr="00C6655F">
        <w:t xml:space="preserve">Quaternary </w:t>
      </w:r>
      <w:r>
        <w:t>F</w:t>
      </w:r>
      <w:r w:rsidRPr="00C6655F">
        <w:t xml:space="preserve">luvial </w:t>
      </w:r>
      <w:r>
        <w:t>U</w:t>
      </w:r>
      <w:r w:rsidRPr="00C6655F">
        <w:t xml:space="preserve">nits and </w:t>
      </w:r>
      <w:r>
        <w:t>G</w:t>
      </w:r>
      <w:r w:rsidRPr="00C6655F">
        <w:t xml:space="preserve">eomorphology, </w:t>
      </w:r>
      <w:smartTag w:uri="urn:schemas-microsoft-com:office:smarttags" w:element="place">
        <w:smartTag w:uri="urn:schemas-microsoft-com:office:smarttags" w:element="PlaceName">
          <w:r w:rsidRPr="00C6655F">
            <w:t>Lower</w:t>
          </w:r>
        </w:smartTag>
        <w:r w:rsidRPr="00C6655F">
          <w:t xml:space="preserve"> </w:t>
        </w:r>
        <w:smartTag w:uri="urn:schemas-microsoft-com:office:smarttags" w:element="PlaceName">
          <w:r w:rsidRPr="00C6655F">
            <w:t>Darling</w:t>
          </w:r>
        </w:smartTag>
        <w:r w:rsidRPr="00C6655F">
          <w:t xml:space="preserve"> </w:t>
        </w:r>
        <w:smartTag w:uri="urn:schemas-microsoft-com:office:smarttags" w:element="PlaceType">
          <w:r w:rsidRPr="00C6655F">
            <w:t>Valley</w:t>
          </w:r>
        </w:smartTag>
      </w:smartTag>
      <w:bookmarkEnd w:id="265"/>
      <w:bookmarkEnd w:id="266"/>
      <w:bookmarkEnd w:id="267"/>
      <w:bookmarkEnd w:id="268"/>
    </w:p>
    <w:p w:rsidR="0051632A" w:rsidRDefault="0051632A" w:rsidP="0051632A">
      <w:pPr>
        <w:rPr>
          <w:szCs w:val="22"/>
        </w:rPr>
      </w:pPr>
      <w:r>
        <w:rPr>
          <w:szCs w:val="22"/>
        </w:rPr>
        <w:t xml:space="preserve">The </w:t>
      </w:r>
      <w:smartTag w:uri="urn:schemas-microsoft-com:office:smarttags" w:element="PlaceName">
        <w:r>
          <w:rPr>
            <w:szCs w:val="22"/>
          </w:rPr>
          <w:t>Lower</w:t>
        </w:r>
      </w:smartTag>
      <w:r>
        <w:rPr>
          <w:szCs w:val="22"/>
        </w:rPr>
        <w:t xml:space="preserve"> </w:t>
      </w:r>
      <w:smartTag w:uri="urn:schemas-microsoft-com:office:smarttags" w:element="PlaceName">
        <w:r>
          <w:rPr>
            <w:szCs w:val="22"/>
          </w:rPr>
          <w:t>Darling</w:t>
        </w:r>
      </w:smartTag>
      <w:r>
        <w:rPr>
          <w:szCs w:val="22"/>
        </w:rPr>
        <w:t xml:space="preserve"> </w:t>
      </w:r>
      <w:smartTag w:uri="urn:schemas-microsoft-com:office:smarttags" w:element="PlaceType">
        <w:r>
          <w:rPr>
            <w:szCs w:val="22"/>
          </w:rPr>
          <w:t>V</w:t>
        </w:r>
        <w:r w:rsidR="002028F3" w:rsidRPr="00FE46B5">
          <w:rPr>
            <w:szCs w:val="22"/>
          </w:rPr>
          <w:t>alley</w:t>
        </w:r>
      </w:smartTag>
      <w:r w:rsidR="002028F3" w:rsidRPr="00FE46B5">
        <w:rPr>
          <w:szCs w:val="22"/>
        </w:rPr>
        <w:t xml:space="preserve"> is a single fluvial system</w:t>
      </w:r>
      <w:r w:rsidR="002028F3">
        <w:rPr>
          <w:szCs w:val="22"/>
        </w:rPr>
        <w:t xml:space="preserve"> in a laterally confined </w:t>
      </w:r>
      <w:r w:rsidR="002028F3" w:rsidRPr="00FE46B5">
        <w:rPr>
          <w:szCs w:val="22"/>
        </w:rPr>
        <w:t xml:space="preserve">valley, which widens southwards into the </w:t>
      </w:r>
      <w:smartTag w:uri="urn:schemas-microsoft-com:office:smarttags" w:element="place">
        <w:smartTag w:uri="urn:schemas-microsoft-com:office:smarttags" w:element="PlaceName">
          <w:r w:rsidR="002028F3" w:rsidRPr="00FE46B5">
            <w:rPr>
              <w:szCs w:val="22"/>
            </w:rPr>
            <w:t>Murray</w:t>
          </w:r>
        </w:smartTag>
        <w:r w:rsidR="002028F3" w:rsidRPr="00FE46B5">
          <w:rPr>
            <w:szCs w:val="22"/>
          </w:rPr>
          <w:t xml:space="preserve"> </w:t>
        </w:r>
        <w:smartTag w:uri="urn:schemas-microsoft-com:office:smarttags" w:element="PlaceName">
          <w:r w:rsidR="000F55FD">
            <w:rPr>
              <w:szCs w:val="22"/>
            </w:rPr>
            <w:t>Geological</w:t>
          </w:r>
        </w:smartTag>
        <w:r w:rsidR="000F55FD">
          <w:rPr>
            <w:szCs w:val="22"/>
          </w:rPr>
          <w:t xml:space="preserve"> </w:t>
        </w:r>
        <w:smartTag w:uri="urn:schemas-microsoft-com:office:smarttags" w:element="PlaceType">
          <w:r w:rsidR="002028F3" w:rsidRPr="00FE46B5">
            <w:rPr>
              <w:szCs w:val="22"/>
            </w:rPr>
            <w:t>Basin</w:t>
          </w:r>
        </w:smartTag>
      </w:smartTag>
      <w:r w:rsidR="002028F3" w:rsidRPr="00FE46B5">
        <w:rPr>
          <w:szCs w:val="22"/>
        </w:rPr>
        <w:t xml:space="preserve"> from a constriction at Wilcannia. The surficial Quaternary fluvial units of the valley form a complex group of morphostratigraphic units which vary in their distribution, character and geomorphic expression through the BHMAR project </w:t>
      </w:r>
      <w:r w:rsidR="002028F3" w:rsidRPr="00795774">
        <w:rPr>
          <w:szCs w:val="22"/>
        </w:rPr>
        <w:t>area (</w:t>
      </w:r>
      <w:r w:rsidR="000B4790" w:rsidRPr="00795774">
        <w:rPr>
          <w:szCs w:val="22"/>
          <w:highlight w:val="yellow"/>
        </w:rPr>
        <w:fldChar w:fldCharType="begin"/>
      </w:r>
      <w:r w:rsidR="000B4790" w:rsidRPr="00795774">
        <w:rPr>
          <w:szCs w:val="22"/>
        </w:rPr>
        <w:instrText xml:space="preserve"> REF _Ref325912136 \h </w:instrText>
      </w:r>
      <w:r w:rsidR="00795774" w:rsidRPr="00795774">
        <w:rPr>
          <w:szCs w:val="22"/>
          <w:highlight w:val="yellow"/>
        </w:rPr>
        <w:instrText xml:space="preserve"> \* MERGEFORMAT </w:instrText>
      </w:r>
      <w:r w:rsidR="000B4790" w:rsidRPr="00795774">
        <w:rPr>
          <w:szCs w:val="22"/>
          <w:highlight w:val="yellow"/>
        </w:rPr>
      </w:r>
      <w:r w:rsidR="000B4790" w:rsidRPr="00795774">
        <w:rPr>
          <w:szCs w:val="22"/>
          <w:highlight w:val="yellow"/>
        </w:rPr>
        <w:fldChar w:fldCharType="separate"/>
      </w:r>
      <w:r w:rsidR="00966532" w:rsidRPr="00966532">
        <w:t xml:space="preserve">Figure </w:t>
      </w:r>
      <w:r w:rsidR="00966532" w:rsidRPr="00966532">
        <w:rPr>
          <w:noProof/>
        </w:rPr>
        <w:t>5</w:t>
      </w:r>
      <w:r w:rsidR="00966532" w:rsidRPr="00966532">
        <w:rPr>
          <w:noProof/>
        </w:rPr>
        <w:noBreakHyphen/>
        <w:t>1</w:t>
      </w:r>
      <w:r w:rsidR="000B4790" w:rsidRPr="00795774">
        <w:rPr>
          <w:szCs w:val="22"/>
          <w:highlight w:val="yellow"/>
        </w:rPr>
        <w:fldChar w:fldCharType="end"/>
      </w:r>
      <w:r w:rsidR="002028F3" w:rsidRPr="00795774">
        <w:rPr>
          <w:szCs w:val="22"/>
        </w:rPr>
        <w:t>). The BHMAR</w:t>
      </w:r>
      <w:r w:rsidR="002028F3" w:rsidRPr="00FE46B5">
        <w:rPr>
          <w:szCs w:val="22"/>
        </w:rPr>
        <w:t xml:space="preserve"> Project has established that the setting of the </w:t>
      </w:r>
      <w:smartTag w:uri="urn:schemas-microsoft-com:office:smarttags" w:element="PlaceName">
        <w:r w:rsidR="002028F3" w:rsidRPr="00FE46B5">
          <w:rPr>
            <w:szCs w:val="22"/>
          </w:rPr>
          <w:t>Lower</w:t>
        </w:r>
      </w:smartTag>
      <w:r w:rsidR="002028F3" w:rsidRPr="00FE46B5">
        <w:rPr>
          <w:szCs w:val="22"/>
        </w:rPr>
        <w:t xml:space="preserve"> </w:t>
      </w:r>
      <w:smartTag w:uri="urn:schemas-microsoft-com:office:smarttags" w:element="PlaceName">
        <w:r w:rsidR="002028F3" w:rsidRPr="00FE46B5">
          <w:rPr>
            <w:szCs w:val="22"/>
          </w:rPr>
          <w:t>Darling</w:t>
        </w:r>
      </w:smartTag>
      <w:r w:rsidR="002028F3" w:rsidRPr="00FE46B5">
        <w:rPr>
          <w:szCs w:val="22"/>
        </w:rPr>
        <w:t xml:space="preserve"> </w:t>
      </w:r>
      <w:smartTag w:uri="urn:schemas-microsoft-com:office:smarttags" w:element="PlaceType">
        <w:r w:rsidR="002028F3" w:rsidRPr="00FE46B5">
          <w:rPr>
            <w:szCs w:val="22"/>
          </w:rPr>
          <w:t>Valley</w:t>
        </w:r>
      </w:smartTag>
      <w:r w:rsidR="002028F3" w:rsidRPr="00FE46B5">
        <w:rPr>
          <w:szCs w:val="22"/>
        </w:rPr>
        <w:t xml:space="preserve"> of the project area has resulted in a stratigraphic framework which is incompatible with elements of the Riverine Plain sequence previously generalised for the whole </w:t>
      </w:r>
      <w:smartTag w:uri="urn:schemas-microsoft-com:office:smarttags" w:element="place">
        <w:smartTag w:uri="urn:schemas-microsoft-com:office:smarttags" w:element="PlaceName">
          <w:r w:rsidR="002028F3" w:rsidRPr="00FE46B5">
            <w:rPr>
              <w:szCs w:val="22"/>
            </w:rPr>
            <w:lastRenderedPageBreak/>
            <w:t>Murray</w:t>
          </w:r>
        </w:smartTag>
        <w:r w:rsidR="002028F3" w:rsidRPr="00FE46B5">
          <w:rPr>
            <w:szCs w:val="22"/>
          </w:rPr>
          <w:t xml:space="preserve"> </w:t>
        </w:r>
        <w:smartTag w:uri="urn:schemas-microsoft-com:office:smarttags" w:element="PlaceName">
          <w:r w:rsidR="000F55FD">
            <w:rPr>
              <w:szCs w:val="22"/>
            </w:rPr>
            <w:t>Geological</w:t>
          </w:r>
        </w:smartTag>
        <w:r w:rsidR="000F55FD">
          <w:rPr>
            <w:szCs w:val="22"/>
          </w:rPr>
          <w:t xml:space="preserve"> </w:t>
        </w:r>
        <w:smartTag w:uri="urn:schemas-microsoft-com:office:smarttags" w:element="PlaceType">
          <w:r w:rsidR="002028F3" w:rsidRPr="00FE46B5">
            <w:rPr>
              <w:szCs w:val="22"/>
            </w:rPr>
            <w:t>Basin</w:t>
          </w:r>
        </w:smartTag>
      </w:smartTag>
      <w:r w:rsidR="002028F3" w:rsidRPr="00FE46B5">
        <w:rPr>
          <w:szCs w:val="22"/>
        </w:rPr>
        <w:t xml:space="preserve"> in terms of the depositional styles, the intra- and inter-formational relationships and the </w:t>
      </w:r>
      <w:r w:rsidR="002028F3" w:rsidRPr="00106292">
        <w:rPr>
          <w:szCs w:val="22"/>
        </w:rPr>
        <w:t>chronostratigraphy</w:t>
      </w:r>
      <w:r w:rsidR="00471C17" w:rsidRPr="00106292">
        <w:rPr>
          <w:szCs w:val="22"/>
        </w:rPr>
        <w:t xml:space="preserve"> (Lawrie</w:t>
      </w:r>
      <w:r w:rsidR="008A5F7D" w:rsidRPr="00CF7613">
        <w:rPr>
          <w:rStyle w:val="StyleItalic"/>
        </w:rPr>
        <w:t xml:space="preserve"> et al</w:t>
      </w:r>
      <w:r w:rsidR="00471C17" w:rsidRPr="00106292">
        <w:rPr>
          <w:szCs w:val="22"/>
        </w:rPr>
        <w:t>., 2012b)</w:t>
      </w:r>
      <w:r w:rsidR="002028F3" w:rsidRPr="00106292">
        <w:rPr>
          <w:szCs w:val="22"/>
        </w:rPr>
        <w:t>.</w:t>
      </w:r>
      <w:r w:rsidR="002028F3" w:rsidRPr="00FE46B5">
        <w:rPr>
          <w:szCs w:val="22"/>
        </w:rPr>
        <w:t xml:space="preserve"> </w:t>
      </w:r>
    </w:p>
    <w:p w:rsidR="0051632A" w:rsidRDefault="0051632A" w:rsidP="0051632A">
      <w:pPr>
        <w:rPr>
          <w:szCs w:val="22"/>
        </w:rPr>
      </w:pPr>
    </w:p>
    <w:p w:rsidR="0051632A" w:rsidRPr="00795774" w:rsidRDefault="0051632A" w:rsidP="0051632A">
      <w:pPr>
        <w:rPr>
          <w:szCs w:val="22"/>
        </w:rPr>
      </w:pPr>
      <w:r>
        <w:rPr>
          <w:szCs w:val="22"/>
        </w:rPr>
        <w:t>Two</w:t>
      </w:r>
      <w:r w:rsidRPr="00FE46B5">
        <w:rPr>
          <w:szCs w:val="22"/>
        </w:rPr>
        <w:t xml:space="preserve"> new </w:t>
      </w:r>
      <w:r>
        <w:rPr>
          <w:szCs w:val="22"/>
        </w:rPr>
        <w:t xml:space="preserve">stratigraphic </w:t>
      </w:r>
      <w:r w:rsidRPr="00FE46B5">
        <w:rPr>
          <w:szCs w:val="22"/>
        </w:rPr>
        <w:t xml:space="preserve">units, the </w:t>
      </w:r>
      <w:r w:rsidR="00B32F4D">
        <w:rPr>
          <w:szCs w:val="22"/>
        </w:rPr>
        <w:t>Willotia bed</w:t>
      </w:r>
      <w:r w:rsidR="00CB7EA6">
        <w:rPr>
          <w:szCs w:val="22"/>
        </w:rPr>
        <w:t>s</w:t>
      </w:r>
      <w:r w:rsidRPr="00FE46B5">
        <w:rPr>
          <w:szCs w:val="22"/>
        </w:rPr>
        <w:t xml:space="preserve"> and the </w:t>
      </w:r>
      <w:r w:rsidR="00C217F0">
        <w:rPr>
          <w:szCs w:val="22"/>
        </w:rPr>
        <w:t>Menindee Formation</w:t>
      </w:r>
      <w:r w:rsidRPr="00795774">
        <w:rPr>
          <w:szCs w:val="22"/>
        </w:rPr>
        <w:t xml:space="preserve"> (</w:t>
      </w:r>
      <w:r w:rsidRPr="00795774">
        <w:rPr>
          <w:szCs w:val="22"/>
        </w:rPr>
        <w:fldChar w:fldCharType="begin"/>
      </w:r>
      <w:r w:rsidRPr="00795774">
        <w:rPr>
          <w:szCs w:val="22"/>
        </w:rPr>
        <w:instrText xml:space="preserve"> REF _Ref325709558 \h  \* MERGEFORMAT </w:instrText>
      </w:r>
      <w:r w:rsidRPr="00795774">
        <w:rPr>
          <w:szCs w:val="22"/>
        </w:rPr>
      </w:r>
      <w:r w:rsidRPr="00795774">
        <w:rPr>
          <w:szCs w:val="22"/>
        </w:rPr>
        <w:fldChar w:fldCharType="separate"/>
      </w:r>
      <w:r w:rsidR="00966532" w:rsidRPr="00966532">
        <w:t xml:space="preserve">Table </w:t>
      </w:r>
      <w:r w:rsidR="00966532" w:rsidRPr="00966532">
        <w:rPr>
          <w:noProof/>
        </w:rPr>
        <w:t>5</w:t>
      </w:r>
      <w:r w:rsidR="00966532" w:rsidRPr="00966532">
        <w:rPr>
          <w:noProof/>
        </w:rPr>
        <w:noBreakHyphen/>
        <w:t>1</w:t>
      </w:r>
      <w:r w:rsidRPr="00795774">
        <w:rPr>
          <w:szCs w:val="22"/>
        </w:rPr>
        <w:fldChar w:fldCharType="end"/>
      </w:r>
      <w:r w:rsidRPr="00795774">
        <w:t xml:space="preserve">; </w:t>
      </w:r>
      <w:r w:rsidRPr="00795774">
        <w:fldChar w:fldCharType="begin"/>
      </w:r>
      <w:r w:rsidRPr="00795774">
        <w:instrText xml:space="preserve"> REF _Ref325707443 \h  \* MERGEFORMAT </w:instrText>
      </w:r>
      <w:r w:rsidRPr="00795774">
        <w:fldChar w:fldCharType="separate"/>
      </w:r>
      <w:r w:rsidR="00966532" w:rsidRPr="00966532">
        <w:t xml:space="preserve">Figure </w:t>
      </w:r>
      <w:r w:rsidR="00966532" w:rsidRPr="00966532">
        <w:rPr>
          <w:noProof/>
        </w:rPr>
        <w:t>5</w:t>
      </w:r>
      <w:r w:rsidR="00966532" w:rsidRPr="00966532">
        <w:rPr>
          <w:noProof/>
        </w:rPr>
        <w:noBreakHyphen/>
        <w:t>2</w:t>
      </w:r>
      <w:r w:rsidRPr="00795774">
        <w:fldChar w:fldCharType="end"/>
      </w:r>
      <w:r w:rsidRPr="00795774">
        <w:rPr>
          <w:szCs w:val="22"/>
        </w:rPr>
        <w:t>) have been</w:t>
      </w:r>
      <w:r w:rsidRPr="00FE46B5">
        <w:rPr>
          <w:szCs w:val="22"/>
        </w:rPr>
        <w:t xml:space="preserve"> recognised for the </w:t>
      </w:r>
      <w:r w:rsidRPr="00106292">
        <w:rPr>
          <w:szCs w:val="22"/>
        </w:rPr>
        <w:t xml:space="preserve">older fluvial units, while the previously defined </w:t>
      </w:r>
      <w:r w:rsidR="00C217F0">
        <w:rPr>
          <w:szCs w:val="22"/>
        </w:rPr>
        <w:t>Coonambidgal Formation</w:t>
      </w:r>
      <w:r w:rsidRPr="00106292">
        <w:rPr>
          <w:szCs w:val="22"/>
        </w:rPr>
        <w:t xml:space="preserve"> is retained for the youngest unit (Lawrie</w:t>
      </w:r>
      <w:r w:rsidR="008A5F7D" w:rsidRPr="00CF7613">
        <w:rPr>
          <w:rStyle w:val="StyleItalic"/>
        </w:rPr>
        <w:t xml:space="preserve"> et al</w:t>
      </w:r>
      <w:r w:rsidRPr="00106292">
        <w:rPr>
          <w:szCs w:val="22"/>
        </w:rPr>
        <w:t>., 2012b). All three fluvial units were deposited by active meandering lateral-migration phases apparently separated by phases</w:t>
      </w:r>
      <w:r w:rsidRPr="00FE46B5">
        <w:rPr>
          <w:szCs w:val="22"/>
        </w:rPr>
        <w:t xml:space="preserve"> of</w:t>
      </w:r>
      <w:r>
        <w:rPr>
          <w:szCs w:val="22"/>
        </w:rPr>
        <w:t xml:space="preserve"> non-</w:t>
      </w:r>
      <w:r w:rsidRPr="00FE46B5">
        <w:rPr>
          <w:szCs w:val="22"/>
        </w:rPr>
        <w:t>channel migration and suspended sediment load domination, as occurs at present.</w:t>
      </w:r>
      <w:r>
        <w:rPr>
          <w:szCs w:val="22"/>
        </w:rPr>
        <w:t xml:space="preserve"> </w:t>
      </w:r>
      <w:r w:rsidRPr="00FE46B5">
        <w:rPr>
          <w:szCs w:val="22"/>
        </w:rPr>
        <w:t xml:space="preserve">Over time, continued overbank mud deposition buries and obscures scroll-plain morphology and pedogenesis and precipitation of secondary deposits such as carbonate alter the sediment character and reduce the effectiveness of the surficial aquifers. The location of the active river tract </w:t>
      </w:r>
      <w:r w:rsidRPr="00106292">
        <w:rPr>
          <w:szCs w:val="22"/>
        </w:rPr>
        <w:t>has changed through time (</w:t>
      </w:r>
      <w:r w:rsidRPr="00106292">
        <w:fldChar w:fldCharType="begin"/>
      </w:r>
      <w:r w:rsidRPr="00106292">
        <w:instrText xml:space="preserve"> REF _Ref325707443 \h  \* MERGEFORMAT </w:instrText>
      </w:r>
      <w:r w:rsidRPr="00106292">
        <w:fldChar w:fldCharType="separate"/>
      </w:r>
      <w:r w:rsidR="00966532" w:rsidRPr="00966532">
        <w:t xml:space="preserve">Figure </w:t>
      </w:r>
      <w:r w:rsidR="00966532" w:rsidRPr="00966532">
        <w:rPr>
          <w:noProof/>
        </w:rPr>
        <w:t>5</w:t>
      </w:r>
      <w:r w:rsidR="00966532" w:rsidRPr="00966532">
        <w:rPr>
          <w:noProof/>
        </w:rPr>
        <w:noBreakHyphen/>
        <w:t>2</w:t>
      </w:r>
      <w:r w:rsidRPr="00106292">
        <w:fldChar w:fldCharType="end"/>
      </w:r>
      <w:r w:rsidRPr="00106292">
        <w:rPr>
          <w:szCs w:val="22"/>
        </w:rPr>
        <w:t>), almost certainly influenced by neotectonic structural movements (Lawrie</w:t>
      </w:r>
      <w:r w:rsidR="008A5F7D" w:rsidRPr="00CF7613">
        <w:rPr>
          <w:rStyle w:val="StyleItalic"/>
        </w:rPr>
        <w:t xml:space="preserve"> et al</w:t>
      </w:r>
      <w:r w:rsidRPr="00106292">
        <w:rPr>
          <w:szCs w:val="22"/>
        </w:rPr>
        <w:t>., 2012b).</w:t>
      </w:r>
    </w:p>
    <w:p w:rsidR="0051632A" w:rsidRDefault="0051632A" w:rsidP="002028F3"/>
    <w:p w:rsidR="002028F3" w:rsidRPr="00106292" w:rsidRDefault="0051632A" w:rsidP="002028F3">
      <w:r w:rsidRPr="00106292">
        <w:t xml:space="preserve">At </w:t>
      </w:r>
      <w:r w:rsidR="002028F3" w:rsidRPr="00106292">
        <w:t xml:space="preserve">least </w:t>
      </w:r>
      <w:r w:rsidR="000B6435">
        <w:t>four</w:t>
      </w:r>
      <w:r w:rsidR="000B6435" w:rsidRPr="00106292">
        <w:t xml:space="preserve"> </w:t>
      </w:r>
      <w:r w:rsidR="002028F3" w:rsidRPr="00106292">
        <w:t>successive cro</w:t>
      </w:r>
      <w:r w:rsidRPr="00106292">
        <w:t xml:space="preserve">ss-cutting scroll-plain tracts, indicating episodic lateral-migration phases, have been mapped in the </w:t>
      </w:r>
      <w:r w:rsidR="00C217F0">
        <w:t>Coonambidgal Formation</w:t>
      </w:r>
      <w:r w:rsidRPr="00106292">
        <w:t xml:space="preserve"> </w:t>
      </w:r>
      <w:r w:rsidR="002028F3" w:rsidRPr="00106292">
        <w:t>(Lawrie</w:t>
      </w:r>
      <w:r w:rsidR="008A5F7D" w:rsidRPr="00CF7613">
        <w:rPr>
          <w:rStyle w:val="StyleItalic"/>
        </w:rPr>
        <w:t xml:space="preserve"> et al</w:t>
      </w:r>
      <w:r w:rsidR="002028F3" w:rsidRPr="00106292">
        <w:t>., 2012b</w:t>
      </w:r>
      <w:r w:rsidRPr="00106292">
        <w:t xml:space="preserve">). </w:t>
      </w:r>
      <w:r w:rsidR="002028F3" w:rsidRPr="00106292">
        <w:t xml:space="preserve">Drilling and AEM data also show that the older </w:t>
      </w:r>
      <w:r w:rsidR="00C217F0">
        <w:t>Menindee Formation</w:t>
      </w:r>
      <w:r w:rsidR="002028F3" w:rsidRPr="00106292">
        <w:t xml:space="preserve"> (higher floodplain) consists of similar lateral-migration phases with scroll traces now obscured by deeper burial by overbank mud. The morphology of scroll traces and channel dimensions in the </w:t>
      </w:r>
      <w:r w:rsidR="000B6435">
        <w:t>Coonambidgal Formation</w:t>
      </w:r>
      <w:r w:rsidR="000B6435" w:rsidRPr="00106292">
        <w:t xml:space="preserve"> </w:t>
      </w:r>
      <w:r w:rsidR="002028F3" w:rsidRPr="00106292">
        <w:t xml:space="preserve">scroll-plain tracts demonstrates that stream </w:t>
      </w:r>
      <w:r w:rsidR="00471C17" w:rsidRPr="00106292">
        <w:t>flows</w:t>
      </w:r>
      <w:r w:rsidR="002028F3" w:rsidRPr="00106292">
        <w:t xml:space="preserve"> have been higher during past lateral-migration episodes than the most recent one associated with the modern Darling (Lawrie</w:t>
      </w:r>
      <w:r w:rsidR="008A5F7D" w:rsidRPr="00CF7613">
        <w:rPr>
          <w:rStyle w:val="StyleItalic"/>
        </w:rPr>
        <w:t xml:space="preserve"> et al</w:t>
      </w:r>
      <w:r w:rsidR="002028F3" w:rsidRPr="00106292">
        <w:t>., 2012b).</w:t>
      </w:r>
    </w:p>
    <w:p w:rsidR="002028F3" w:rsidRPr="00106292" w:rsidRDefault="002028F3" w:rsidP="002028F3"/>
    <w:p w:rsidR="002028F3" w:rsidRDefault="002028F3" w:rsidP="002028F3">
      <w:r w:rsidRPr="00106292">
        <w:t xml:space="preserve">Optically stimulated luminescence (OSL) and radiocarbon age dates from fluvial phases in the </w:t>
      </w:r>
      <w:r w:rsidR="00C217F0">
        <w:t xml:space="preserve">Menindee </w:t>
      </w:r>
      <w:r w:rsidRPr="00106292">
        <w:t>region indicate that the youngest, now inactive, scroll-plain phase, associated with the modern Darling Rive</w:t>
      </w:r>
      <w:r w:rsidR="00C8452D" w:rsidRPr="00106292">
        <w:t>r, was active in the period 5-2</w:t>
      </w:r>
      <w:r w:rsidR="00B03359">
        <w:t xml:space="preserve"> </w:t>
      </w:r>
      <w:r w:rsidRPr="00106292">
        <w:t>ka (Lawrie</w:t>
      </w:r>
      <w:r w:rsidR="008A5F7D" w:rsidRPr="00CF7613">
        <w:rPr>
          <w:rStyle w:val="StyleItalic"/>
        </w:rPr>
        <w:t xml:space="preserve"> et al</w:t>
      </w:r>
      <w:r w:rsidRPr="00CF7613">
        <w:rPr>
          <w:rStyle w:val="StyleItalic"/>
        </w:rPr>
        <w:t>.,</w:t>
      </w:r>
      <w:r w:rsidRPr="00106292">
        <w:t xml:space="preserve"> 2012b</w:t>
      </w:r>
      <w:r w:rsidR="00471C17" w:rsidRPr="00106292">
        <w:t xml:space="preserve">; </w:t>
      </w:r>
      <w:r w:rsidR="00B03359">
        <w:t>Appendix 7,</w:t>
      </w:r>
      <w:r w:rsidR="00471C17" w:rsidRPr="00106292">
        <w:t>Apps</w:t>
      </w:r>
      <w:r w:rsidR="008A5F7D" w:rsidRPr="00CF7613">
        <w:rPr>
          <w:rStyle w:val="StyleItalic"/>
        </w:rPr>
        <w:t xml:space="preserve"> et al</w:t>
      </w:r>
      <w:r w:rsidR="00471C17" w:rsidRPr="00CF7613">
        <w:rPr>
          <w:rStyle w:val="StyleItalic"/>
        </w:rPr>
        <w:t>.</w:t>
      </w:r>
      <w:r w:rsidR="00471C17" w:rsidRPr="00106292">
        <w:t xml:space="preserve">, </w:t>
      </w:r>
      <w:r w:rsidR="00844A8A" w:rsidRPr="00106292">
        <w:t>2012</w:t>
      </w:r>
      <w:r w:rsidR="00B03359">
        <w:t>e</w:t>
      </w:r>
      <w:r w:rsidRPr="00106292">
        <w:t xml:space="preserve">). The previous anabranch scroll-plain phase, associated with the Talyawalka, Redbank and Tandou creeks and the </w:t>
      </w:r>
      <w:r w:rsidRPr="00106292">
        <w:rPr>
          <w:szCs w:val="22"/>
        </w:rPr>
        <w:t>Great Darling Anabranch, has Last Glacial Maximum (LGM) dates around 20</w:t>
      </w:r>
      <w:r w:rsidR="00471C17" w:rsidRPr="00106292">
        <w:rPr>
          <w:szCs w:val="22"/>
        </w:rPr>
        <w:t xml:space="preserve"> </w:t>
      </w:r>
      <w:r w:rsidRPr="00106292">
        <w:rPr>
          <w:szCs w:val="22"/>
        </w:rPr>
        <w:t xml:space="preserve">ka. Indistinct scroll-plain tracts older than the anabranch system, are evident both upstream and downstream of </w:t>
      </w:r>
      <w:r w:rsidR="00C217F0">
        <w:rPr>
          <w:szCs w:val="22"/>
        </w:rPr>
        <w:t xml:space="preserve">Menindee </w:t>
      </w:r>
      <w:r w:rsidRPr="00106292">
        <w:rPr>
          <w:szCs w:val="22"/>
        </w:rPr>
        <w:t>and have ages around 30</w:t>
      </w:r>
      <w:r w:rsidR="00D413D2">
        <w:rPr>
          <w:szCs w:val="22"/>
        </w:rPr>
        <w:t xml:space="preserve"> </w:t>
      </w:r>
      <w:r w:rsidRPr="00106292">
        <w:rPr>
          <w:szCs w:val="22"/>
        </w:rPr>
        <w:t xml:space="preserve">ka. </w:t>
      </w:r>
      <w:r w:rsidR="000B6435">
        <w:rPr>
          <w:szCs w:val="22"/>
        </w:rPr>
        <w:t xml:space="preserve">The indistinct fourth relict scroll-plain tract, associated with the </w:t>
      </w:r>
      <w:smartTag w:uri="urn:schemas-microsoft-com:office:smarttags" w:element="place">
        <w:r w:rsidR="000B6435">
          <w:rPr>
            <w:szCs w:val="22"/>
          </w:rPr>
          <w:t>Darling River</w:t>
        </w:r>
      </w:smartTag>
      <w:r w:rsidR="000B6435">
        <w:rPr>
          <w:szCs w:val="22"/>
        </w:rPr>
        <w:t xml:space="preserve">, is undated. </w:t>
      </w:r>
      <w:r w:rsidRPr="00106292">
        <w:rPr>
          <w:szCs w:val="22"/>
        </w:rPr>
        <w:t>Older da</w:t>
      </w:r>
      <w:r w:rsidR="00C8452D" w:rsidRPr="00106292">
        <w:rPr>
          <w:szCs w:val="22"/>
        </w:rPr>
        <w:t>tes of 45-50</w:t>
      </w:r>
      <w:r w:rsidR="00D413D2">
        <w:rPr>
          <w:szCs w:val="22"/>
        </w:rPr>
        <w:t xml:space="preserve"> </w:t>
      </w:r>
      <w:r w:rsidR="00C8452D" w:rsidRPr="00106292">
        <w:rPr>
          <w:szCs w:val="22"/>
        </w:rPr>
        <w:t>ka, 85</w:t>
      </w:r>
      <w:r w:rsidR="00D413D2">
        <w:rPr>
          <w:szCs w:val="22"/>
        </w:rPr>
        <w:t xml:space="preserve"> </w:t>
      </w:r>
      <w:r w:rsidR="00C8452D" w:rsidRPr="00106292">
        <w:rPr>
          <w:szCs w:val="22"/>
        </w:rPr>
        <w:t>ka and &gt;150</w:t>
      </w:r>
      <w:r w:rsidR="00D413D2">
        <w:rPr>
          <w:szCs w:val="22"/>
        </w:rPr>
        <w:t xml:space="preserve"> </w:t>
      </w:r>
      <w:r w:rsidRPr="00106292">
        <w:rPr>
          <w:szCs w:val="22"/>
        </w:rPr>
        <w:t xml:space="preserve">ka have been obtained beneath the </w:t>
      </w:r>
      <w:r w:rsidR="00C217F0">
        <w:rPr>
          <w:szCs w:val="22"/>
        </w:rPr>
        <w:t xml:space="preserve">Menindee </w:t>
      </w:r>
      <w:r w:rsidRPr="00106292">
        <w:rPr>
          <w:szCs w:val="22"/>
        </w:rPr>
        <w:t>floodplain from lateral migration sediments that lack visible scroll-plain traces. These ages demonstrate that episodic fluvial phases extend well back into the Late Quaternary</w:t>
      </w:r>
      <w:r w:rsidRPr="00106292">
        <w:t xml:space="preserve"> (Lawrie</w:t>
      </w:r>
      <w:r w:rsidR="008A5F7D" w:rsidRPr="00CF7613">
        <w:rPr>
          <w:rStyle w:val="StyleItalic"/>
        </w:rPr>
        <w:t xml:space="preserve"> et al</w:t>
      </w:r>
      <w:r w:rsidRPr="00106292">
        <w:t>., 2012b).</w:t>
      </w:r>
    </w:p>
    <w:p w:rsidR="002028F3" w:rsidRDefault="002028F3" w:rsidP="002028F3"/>
    <w:p w:rsidR="002028F3" w:rsidRDefault="002028F3" w:rsidP="002028F3">
      <w:r w:rsidRPr="00106292">
        <w:t xml:space="preserve">Comparison between the ages of these active fluvial phases and the generalised continental-scale climatic record suggests that the Lower Darling episodic fluvial phases are not related to precipitation changes associated with the impact of glacial-interglacial climatic cycles on the catchment. However, it is probable that the variations in stream </w:t>
      </w:r>
      <w:r w:rsidR="00471C17" w:rsidRPr="00106292">
        <w:t>flows</w:t>
      </w:r>
      <w:r w:rsidRPr="00106292">
        <w:t>, evident during different phases, in the form of variable channel and scroll parameters, do reflect long-term changes in effective catchment precipitation and runoff. This conclusion is drawn from the observation that the three well dated scroll-plain phases occur at very different parts of the glacial-interglacial cli</w:t>
      </w:r>
      <w:r w:rsidR="00C8452D" w:rsidRPr="00106292">
        <w:t>mate cycle, with the oldest (30</w:t>
      </w:r>
      <w:r w:rsidR="00D413D2">
        <w:t xml:space="preserve"> </w:t>
      </w:r>
      <w:r w:rsidRPr="00106292">
        <w:t>ka) relict phase late in the MIS 3 interstadial close to the onset of the LGM</w:t>
      </w:r>
      <w:r w:rsidR="000B6435">
        <w:t xml:space="preserve"> (last glacial maximum)</w:t>
      </w:r>
      <w:r w:rsidRPr="00106292">
        <w:t>, the</w:t>
      </w:r>
      <w:r w:rsidR="00C8452D" w:rsidRPr="00106292">
        <w:t xml:space="preserve"> anabranch phase at the LGM (20</w:t>
      </w:r>
      <w:r w:rsidR="00D413D2">
        <w:t xml:space="preserve"> </w:t>
      </w:r>
      <w:r w:rsidRPr="00106292">
        <w:t>ka), and the youngest Darling River phas</w:t>
      </w:r>
      <w:r w:rsidR="00C8452D" w:rsidRPr="00106292">
        <w:t>e (5-2</w:t>
      </w:r>
      <w:r w:rsidR="00D413D2">
        <w:t xml:space="preserve"> </w:t>
      </w:r>
      <w:r w:rsidRPr="00106292">
        <w:t>ka) late in the Holocene interglacial (Lawrie</w:t>
      </w:r>
      <w:r w:rsidR="008A5F7D" w:rsidRPr="00CF7613">
        <w:rPr>
          <w:rStyle w:val="StyleItalic"/>
        </w:rPr>
        <w:t xml:space="preserve"> et al</w:t>
      </w:r>
      <w:r w:rsidRPr="00106292">
        <w:t>., 2012b).</w:t>
      </w:r>
    </w:p>
    <w:p w:rsidR="002028F3" w:rsidRDefault="002028F3" w:rsidP="002028F3"/>
    <w:p w:rsidR="004D632B" w:rsidRDefault="002028F3" w:rsidP="002028F3">
      <w:r>
        <w:t xml:space="preserve">The modern </w:t>
      </w:r>
      <w:smartTag w:uri="urn:schemas-microsoft-com:office:smarttags" w:element="place">
        <w:r>
          <w:t>Darling River</w:t>
        </w:r>
      </w:smartTag>
      <w:r>
        <w:t xml:space="preserve"> is a suspended-load stream with stable, often partially carbonate-cemented banks, which is not actively migrating or depositing lateral-accretion point-bar deposits. Sand in the system is restricted to mega-ripples on parts of the channel floor and occasional small benches on the inside of meander bends. A river cannot laterally migrate if it can more easily erode bedload from the inside of bends than it can erode the cut bank on the outside of the bend (Leopold</w:t>
      </w:r>
      <w:r w:rsidR="008A5F7D" w:rsidRPr="00CF7613">
        <w:rPr>
          <w:rStyle w:val="StyleItalic"/>
        </w:rPr>
        <w:t xml:space="preserve"> et al</w:t>
      </w:r>
      <w:r w:rsidR="00471C17" w:rsidRPr="00CF7613">
        <w:rPr>
          <w:rStyle w:val="StyleItalic"/>
        </w:rPr>
        <w:t>.</w:t>
      </w:r>
      <w:r>
        <w:t xml:space="preserve">, 1964). Therefore if a river has stable silt/clay rich and/or cemented banks and lacks abundant sandy bedload to build point-bar deposits, as does the modern lower </w:t>
      </w:r>
      <w:smartTag w:uri="urn:schemas-microsoft-com:office:smarttags" w:element="place">
        <w:r>
          <w:t>Darling River</w:t>
        </w:r>
      </w:smartTag>
      <w:r>
        <w:t xml:space="preserve">, it will not laterally migrate. </w:t>
      </w:r>
    </w:p>
    <w:p w:rsidR="004D632B" w:rsidRDefault="004D632B" w:rsidP="002028F3"/>
    <w:p w:rsidR="0051632A" w:rsidRDefault="002028F3" w:rsidP="002028F3">
      <w:r>
        <w:t xml:space="preserve">Channel cross-sectional shape and dimensions </w:t>
      </w:r>
      <w:r w:rsidR="00471C17">
        <w:t>(</w:t>
      </w:r>
      <w:r w:rsidR="00B03359">
        <w:t xml:space="preserve">Appendix 1, </w:t>
      </w:r>
      <w:r w:rsidR="00471C17">
        <w:t>Halas</w:t>
      </w:r>
      <w:r w:rsidR="008A5F7D" w:rsidRPr="00CF7613">
        <w:rPr>
          <w:rStyle w:val="StyleItalic"/>
        </w:rPr>
        <w:t xml:space="preserve"> et al</w:t>
      </w:r>
      <w:r w:rsidR="00471C17">
        <w:rPr>
          <w:szCs w:val="22"/>
        </w:rPr>
        <w:t xml:space="preserve">., 2012a) </w:t>
      </w:r>
      <w:r>
        <w:t xml:space="preserve">and the channel and flood plain patterns are not a simple function of discharge but are a complex function of discharge, slope, sediment character and abundance and channel-marginal vegetation. Therefore, it is not surprising that the onset and duration of </w:t>
      </w:r>
      <w:r w:rsidR="000B6435">
        <w:t>lateral-</w:t>
      </w:r>
      <w:r>
        <w:t xml:space="preserve">migration phases in the lower </w:t>
      </w:r>
      <w:smartTag w:uri="urn:schemas-microsoft-com:office:smarttags" w:element="place">
        <w:smartTag w:uri="urn:schemas-microsoft-com:office:smarttags" w:element="PlaceName">
          <w:r>
            <w:t>Darling</w:t>
          </w:r>
        </w:smartTag>
        <w:r>
          <w:t xml:space="preserve"> </w:t>
        </w:r>
        <w:smartTag w:uri="urn:schemas-microsoft-com:office:smarttags" w:element="PlaceType">
          <w:r>
            <w:t>Valley</w:t>
          </w:r>
        </w:smartTag>
      </w:smartTag>
      <w:r>
        <w:t xml:space="preserve"> does not correlate simply with climatically-driven changes in discharge. It has long been known that changing the sediment load can abruptly change the channel dimensions and patterns of streams (Schumm, 1960, 1977; Page &amp; Nanson, 1996). Two possible mechanisms to alter the sediment regime from suspended- to mixed-load types, and perhaps initiate a lateral-</w:t>
      </w:r>
      <w:r w:rsidRPr="00106292">
        <w:lastRenderedPageBreak/>
        <w:t>migrational phase, are identified. These are megaflood erosion, and changes in LGM local environmental conditions. These mechanisms, and the evidence for them, are discussed more fully in Lawrie</w:t>
      </w:r>
      <w:r w:rsidR="008A5F7D" w:rsidRPr="00CF7613">
        <w:rPr>
          <w:rStyle w:val="StyleItalic"/>
        </w:rPr>
        <w:t xml:space="preserve"> et al</w:t>
      </w:r>
      <w:r w:rsidR="00E26C44" w:rsidRPr="00CF7613">
        <w:rPr>
          <w:rStyle w:val="StyleItalic"/>
        </w:rPr>
        <w:t>.</w:t>
      </w:r>
      <w:r w:rsidRPr="00CF7613">
        <w:rPr>
          <w:rStyle w:val="StyleItalic"/>
        </w:rPr>
        <w:t xml:space="preserve"> </w:t>
      </w:r>
      <w:r w:rsidRPr="00106292">
        <w:t>(2012b).</w:t>
      </w:r>
    </w:p>
    <w:p w:rsidR="002028F3" w:rsidRPr="0051632A" w:rsidRDefault="002028F3" w:rsidP="0051632A">
      <w:pPr>
        <w:autoSpaceDE w:val="0"/>
        <w:autoSpaceDN w:val="0"/>
        <w:adjustRightInd w:val="0"/>
        <w:rPr>
          <w:szCs w:val="22"/>
        </w:rPr>
      </w:pPr>
    </w:p>
    <w:p w:rsidR="005152D9" w:rsidRPr="00216027" w:rsidRDefault="005152D9" w:rsidP="00A6797D">
      <w:pPr>
        <w:pStyle w:val="Caption"/>
        <w:keepNext/>
        <w:rPr>
          <w:i w:val="0"/>
        </w:rPr>
      </w:pPr>
      <w:bookmarkStart w:id="269" w:name="_Ref325709558"/>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5</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269"/>
      <w:r w:rsidRPr="00CD2825">
        <w:rPr>
          <w:b/>
        </w:rPr>
        <w:t>.</w:t>
      </w:r>
      <w:r w:rsidR="00106292">
        <w:t xml:space="preserve"> </w:t>
      </w:r>
      <w:r w:rsidRPr="00D83E45">
        <w:t>Stratigraphic column showing the relationships between geological units, their age, dominant lithologies and hydrogeological properties.</w:t>
      </w:r>
      <w:r w:rsidRPr="00395AD1">
        <w:t xml:space="preserve"> </w:t>
      </w:r>
      <w:r w:rsidRPr="00216027">
        <w:rPr>
          <w:i w:val="0"/>
        </w:rPr>
        <w:fldChar w:fldCharType="begin"/>
      </w:r>
      <w:r w:rsidRPr="00216027">
        <w:rPr>
          <w:i w:val="0"/>
        </w:rPr>
        <w:instrText xml:space="preserve"> TC "</w:instrText>
      </w:r>
      <w:bookmarkStart w:id="270" w:name="_Toc325975300"/>
      <w:bookmarkStart w:id="271" w:name="_Toc390690289"/>
      <w:r w:rsidR="00497AD3">
        <w:rPr>
          <w:i w:val="0"/>
        </w:rPr>
        <w:instrText>Table 5</w:instrText>
      </w:r>
      <w:r w:rsidR="0020070D">
        <w:rPr>
          <w:i w:val="0"/>
        </w:rPr>
        <w:instrText>-1</w:instrText>
      </w:r>
      <w:r w:rsidR="00497AD3">
        <w:rPr>
          <w:i w:val="0"/>
        </w:rPr>
        <w:instrText>.</w:instrText>
      </w:r>
      <w:r w:rsidRPr="00216027">
        <w:rPr>
          <w:i w:val="0"/>
        </w:rPr>
        <w:instrText xml:space="preserve"> Stratigraphic column showing the relationships between geological units</w:instrText>
      </w:r>
      <w:bookmarkEnd w:id="270"/>
      <w:r w:rsidR="005E4B77">
        <w:rPr>
          <w:i w:val="0"/>
        </w:rPr>
        <w:instrText>.</w:instrText>
      </w:r>
      <w:bookmarkEnd w:id="271"/>
      <w:r w:rsidRPr="00216027">
        <w:rPr>
          <w:i w:val="0"/>
        </w:rPr>
        <w:instrText xml:space="preserve">" \f B \l "4" </w:instrText>
      </w:r>
      <w:r w:rsidRPr="00216027">
        <w:rPr>
          <w:i w:val="0"/>
        </w:rPr>
        <w:fldChar w:fldCharType="end"/>
      </w:r>
    </w:p>
    <w:tbl>
      <w:tblPr>
        <w:tblW w:w="936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340"/>
        <w:gridCol w:w="1980"/>
        <w:gridCol w:w="1080"/>
        <w:gridCol w:w="1800"/>
      </w:tblGrid>
      <w:tr w:rsidR="005152D9" w:rsidRPr="000F55FD" w:rsidTr="00672844">
        <w:trPr>
          <w:jc w:val="center"/>
        </w:trPr>
        <w:tc>
          <w:tcPr>
            <w:tcW w:w="2160" w:type="dxa"/>
            <w:shd w:val="clear" w:color="auto" w:fill="C0C0C0"/>
            <w:vAlign w:val="center"/>
          </w:tcPr>
          <w:p w:rsidR="005152D9" w:rsidRPr="000F55FD" w:rsidRDefault="005152D9" w:rsidP="00672844">
            <w:pPr>
              <w:keepNext/>
              <w:spacing w:before="60" w:after="60"/>
              <w:jc w:val="center"/>
              <w:rPr>
                <w:b/>
                <w:sz w:val="20"/>
                <w:szCs w:val="20"/>
              </w:rPr>
            </w:pPr>
            <w:r w:rsidRPr="000F55FD">
              <w:rPr>
                <w:b/>
                <w:sz w:val="20"/>
                <w:szCs w:val="20"/>
              </w:rPr>
              <w:t>Lithostratigraphy</w:t>
            </w:r>
          </w:p>
        </w:tc>
        <w:tc>
          <w:tcPr>
            <w:tcW w:w="2340" w:type="dxa"/>
            <w:shd w:val="clear" w:color="auto" w:fill="C0C0C0"/>
            <w:vAlign w:val="center"/>
          </w:tcPr>
          <w:p w:rsidR="005152D9" w:rsidRPr="000F55FD" w:rsidRDefault="005152D9" w:rsidP="00672844">
            <w:pPr>
              <w:keepNext/>
              <w:spacing w:before="60" w:after="60"/>
              <w:jc w:val="center"/>
              <w:rPr>
                <w:b/>
                <w:sz w:val="20"/>
                <w:szCs w:val="20"/>
              </w:rPr>
            </w:pPr>
            <w:r w:rsidRPr="000F55FD">
              <w:rPr>
                <w:b/>
                <w:sz w:val="20"/>
                <w:szCs w:val="20"/>
              </w:rPr>
              <w:t>Age</w:t>
            </w:r>
          </w:p>
        </w:tc>
        <w:tc>
          <w:tcPr>
            <w:tcW w:w="1980" w:type="dxa"/>
            <w:shd w:val="clear" w:color="auto" w:fill="C0C0C0"/>
            <w:vAlign w:val="center"/>
          </w:tcPr>
          <w:p w:rsidR="005152D9" w:rsidRPr="000F55FD" w:rsidRDefault="005152D9" w:rsidP="00672844">
            <w:pPr>
              <w:keepNext/>
              <w:spacing w:before="60" w:after="60"/>
              <w:jc w:val="center"/>
              <w:rPr>
                <w:b/>
                <w:sz w:val="20"/>
                <w:szCs w:val="20"/>
              </w:rPr>
            </w:pPr>
            <w:r w:rsidRPr="000F55FD">
              <w:rPr>
                <w:b/>
                <w:sz w:val="20"/>
                <w:szCs w:val="20"/>
              </w:rPr>
              <w:t>Lithology</w:t>
            </w:r>
          </w:p>
        </w:tc>
        <w:tc>
          <w:tcPr>
            <w:tcW w:w="2880" w:type="dxa"/>
            <w:gridSpan w:val="2"/>
            <w:shd w:val="clear" w:color="auto" w:fill="C0C0C0"/>
            <w:vAlign w:val="center"/>
          </w:tcPr>
          <w:p w:rsidR="005152D9" w:rsidRPr="000F55FD" w:rsidRDefault="005152D9" w:rsidP="00672844">
            <w:pPr>
              <w:keepNext/>
              <w:spacing w:before="60" w:after="60"/>
              <w:jc w:val="center"/>
              <w:rPr>
                <w:b/>
                <w:sz w:val="20"/>
                <w:szCs w:val="20"/>
              </w:rPr>
            </w:pPr>
            <w:r w:rsidRPr="000F55FD">
              <w:rPr>
                <w:b/>
                <w:sz w:val="20"/>
                <w:szCs w:val="20"/>
              </w:rPr>
              <w:t>Hydrostratigraphy</w:t>
            </w:r>
          </w:p>
        </w:tc>
      </w:tr>
      <w:tr w:rsidR="005152D9" w:rsidRPr="000F55FD" w:rsidTr="00672844">
        <w:trPr>
          <w:trHeight w:val="135"/>
          <w:jc w:val="center"/>
        </w:trPr>
        <w:tc>
          <w:tcPr>
            <w:tcW w:w="2160" w:type="dxa"/>
            <w:vMerge w:val="restart"/>
            <w:shd w:val="clear" w:color="auto" w:fill="00CC99"/>
          </w:tcPr>
          <w:p w:rsidR="005152D9" w:rsidRPr="000F55FD" w:rsidRDefault="00C217F0" w:rsidP="00672844">
            <w:pPr>
              <w:keepNext/>
              <w:spacing w:before="20" w:after="20"/>
              <w:rPr>
                <w:sz w:val="20"/>
                <w:szCs w:val="20"/>
              </w:rPr>
            </w:pPr>
            <w:r w:rsidRPr="000F55FD">
              <w:rPr>
                <w:sz w:val="20"/>
                <w:szCs w:val="20"/>
              </w:rPr>
              <w:t>Coonambidgal Formation</w:t>
            </w:r>
            <w:r w:rsidR="005152D9" w:rsidRPr="000F55FD">
              <w:rPr>
                <w:sz w:val="20"/>
                <w:szCs w:val="20"/>
              </w:rPr>
              <w:t xml:space="preserve"> (Qa)</w:t>
            </w:r>
          </w:p>
        </w:tc>
        <w:tc>
          <w:tcPr>
            <w:tcW w:w="2340" w:type="dxa"/>
            <w:vMerge w:val="restart"/>
            <w:shd w:val="clear" w:color="auto" w:fill="00CC99"/>
          </w:tcPr>
          <w:p w:rsidR="005152D9" w:rsidRPr="000F55FD" w:rsidRDefault="005152D9" w:rsidP="00672844">
            <w:pPr>
              <w:keepNext/>
              <w:spacing w:before="20" w:after="20"/>
              <w:rPr>
                <w:sz w:val="20"/>
                <w:szCs w:val="20"/>
              </w:rPr>
            </w:pPr>
            <w:r w:rsidRPr="000F55FD">
              <w:rPr>
                <w:sz w:val="20"/>
                <w:szCs w:val="20"/>
              </w:rPr>
              <w:t>Holocene</w:t>
            </w:r>
          </w:p>
          <w:p w:rsidR="005152D9" w:rsidRPr="000F55FD" w:rsidRDefault="005152D9" w:rsidP="00672844">
            <w:pPr>
              <w:keepNext/>
              <w:spacing w:before="20" w:after="20"/>
              <w:rPr>
                <w:sz w:val="20"/>
                <w:szCs w:val="20"/>
              </w:rPr>
            </w:pPr>
            <w:r w:rsidRPr="000F55FD">
              <w:rPr>
                <w:sz w:val="20"/>
                <w:szCs w:val="20"/>
              </w:rPr>
              <w:t>To younger Pleistocene 0 - ?40 ka</w:t>
            </w:r>
          </w:p>
        </w:tc>
        <w:tc>
          <w:tcPr>
            <w:tcW w:w="1980" w:type="dxa"/>
            <w:shd w:val="clear" w:color="auto" w:fill="00CC99"/>
          </w:tcPr>
          <w:p w:rsidR="005152D9" w:rsidRPr="000F55FD" w:rsidRDefault="005152D9" w:rsidP="00672844">
            <w:pPr>
              <w:keepNext/>
              <w:spacing w:before="20" w:after="20"/>
              <w:rPr>
                <w:sz w:val="20"/>
                <w:szCs w:val="20"/>
              </w:rPr>
            </w:pPr>
            <w:r w:rsidRPr="000F55FD">
              <w:rPr>
                <w:sz w:val="20"/>
                <w:szCs w:val="20"/>
              </w:rPr>
              <w:t xml:space="preserve">Near-surface mud drape </w:t>
            </w:r>
          </w:p>
        </w:tc>
        <w:tc>
          <w:tcPr>
            <w:tcW w:w="2880" w:type="dxa"/>
            <w:gridSpan w:val="2"/>
            <w:shd w:val="clear" w:color="auto" w:fill="CC99FF"/>
          </w:tcPr>
          <w:p w:rsidR="005152D9" w:rsidRPr="000F55FD" w:rsidRDefault="005152D9" w:rsidP="00672844">
            <w:pPr>
              <w:keepNext/>
              <w:spacing w:before="20" w:after="20"/>
              <w:rPr>
                <w:sz w:val="20"/>
                <w:szCs w:val="20"/>
              </w:rPr>
            </w:pPr>
            <w:r w:rsidRPr="000F55FD">
              <w:rPr>
                <w:sz w:val="20"/>
                <w:szCs w:val="20"/>
              </w:rPr>
              <w:t>Aquitard, typically unsaturated to partially saturated</w:t>
            </w:r>
          </w:p>
        </w:tc>
      </w:tr>
      <w:tr w:rsidR="005152D9" w:rsidRPr="000F55FD" w:rsidTr="00672844">
        <w:trPr>
          <w:trHeight w:val="135"/>
          <w:jc w:val="center"/>
        </w:trPr>
        <w:tc>
          <w:tcPr>
            <w:tcW w:w="2160" w:type="dxa"/>
            <w:vMerge/>
            <w:shd w:val="clear" w:color="auto" w:fill="00CC99"/>
          </w:tcPr>
          <w:p w:rsidR="005152D9" w:rsidRPr="000F55FD" w:rsidRDefault="005152D9" w:rsidP="00672844">
            <w:pPr>
              <w:keepNext/>
              <w:spacing w:before="20" w:after="20"/>
              <w:rPr>
                <w:sz w:val="20"/>
                <w:szCs w:val="20"/>
              </w:rPr>
            </w:pPr>
          </w:p>
        </w:tc>
        <w:tc>
          <w:tcPr>
            <w:tcW w:w="2340" w:type="dxa"/>
            <w:vMerge/>
            <w:shd w:val="clear" w:color="auto" w:fill="00CC99"/>
          </w:tcPr>
          <w:p w:rsidR="005152D9" w:rsidRPr="000F55FD" w:rsidRDefault="005152D9" w:rsidP="00672844">
            <w:pPr>
              <w:keepNext/>
              <w:spacing w:before="20" w:after="20"/>
              <w:rPr>
                <w:sz w:val="20"/>
                <w:szCs w:val="20"/>
              </w:rPr>
            </w:pPr>
          </w:p>
        </w:tc>
        <w:tc>
          <w:tcPr>
            <w:tcW w:w="1980" w:type="dxa"/>
            <w:shd w:val="clear" w:color="auto" w:fill="00CC99"/>
          </w:tcPr>
          <w:p w:rsidR="005152D9" w:rsidRPr="000F55FD" w:rsidRDefault="005152D9" w:rsidP="00672844">
            <w:pPr>
              <w:keepNext/>
              <w:spacing w:before="20" w:after="20"/>
              <w:rPr>
                <w:sz w:val="20"/>
                <w:szCs w:val="20"/>
              </w:rPr>
            </w:pPr>
            <w:smartTag w:uri="urn:schemas-microsoft-com:office:smarttags" w:element="place">
              <w:smartTag w:uri="urn:schemas-microsoft-com:office:smarttags" w:element="City">
                <w:r w:rsidRPr="000F55FD">
                  <w:rPr>
                    <w:sz w:val="20"/>
                    <w:szCs w:val="20"/>
                  </w:rPr>
                  <w:t>Sandy</w:t>
                </w:r>
              </w:smartTag>
            </w:smartTag>
            <w:r w:rsidRPr="000F55FD">
              <w:rPr>
                <w:sz w:val="20"/>
                <w:szCs w:val="20"/>
              </w:rPr>
              <w:t xml:space="preserve"> base</w:t>
            </w:r>
          </w:p>
        </w:tc>
        <w:tc>
          <w:tcPr>
            <w:tcW w:w="2880" w:type="dxa"/>
            <w:gridSpan w:val="2"/>
            <w:shd w:val="clear" w:color="auto" w:fill="00FFFF"/>
          </w:tcPr>
          <w:p w:rsidR="005152D9" w:rsidRPr="000F55FD" w:rsidRDefault="005152D9" w:rsidP="00672844">
            <w:pPr>
              <w:keepNext/>
              <w:spacing w:before="20" w:after="20"/>
              <w:rPr>
                <w:sz w:val="20"/>
                <w:szCs w:val="20"/>
              </w:rPr>
            </w:pPr>
            <w:r w:rsidRPr="000F55FD">
              <w:rPr>
                <w:sz w:val="20"/>
                <w:szCs w:val="20"/>
              </w:rPr>
              <w:t xml:space="preserve">Shallow unconfined aquifer near leakage, otherwise unsaturated </w:t>
            </w:r>
          </w:p>
        </w:tc>
      </w:tr>
      <w:tr w:rsidR="005152D9" w:rsidRPr="000F55FD" w:rsidTr="00672844">
        <w:trPr>
          <w:trHeight w:val="135"/>
          <w:jc w:val="center"/>
        </w:trPr>
        <w:tc>
          <w:tcPr>
            <w:tcW w:w="2160" w:type="dxa"/>
            <w:vMerge w:val="restart"/>
            <w:shd w:val="clear" w:color="auto" w:fill="9FFFE6"/>
          </w:tcPr>
          <w:p w:rsidR="005152D9" w:rsidRPr="000F55FD" w:rsidRDefault="00C217F0" w:rsidP="00672844">
            <w:pPr>
              <w:keepNext/>
              <w:spacing w:before="20" w:after="20"/>
              <w:rPr>
                <w:sz w:val="20"/>
                <w:szCs w:val="20"/>
              </w:rPr>
            </w:pPr>
            <w:r w:rsidRPr="000F55FD">
              <w:rPr>
                <w:sz w:val="20"/>
                <w:szCs w:val="20"/>
              </w:rPr>
              <w:t>Menindee Formation</w:t>
            </w:r>
            <w:r w:rsidR="005152D9" w:rsidRPr="000F55FD">
              <w:rPr>
                <w:sz w:val="20"/>
                <w:szCs w:val="20"/>
              </w:rPr>
              <w:t xml:space="preserve"> (Qam)</w:t>
            </w:r>
          </w:p>
        </w:tc>
        <w:tc>
          <w:tcPr>
            <w:tcW w:w="2340" w:type="dxa"/>
            <w:vMerge w:val="restart"/>
            <w:shd w:val="clear" w:color="auto" w:fill="9FFFE6"/>
          </w:tcPr>
          <w:p w:rsidR="005152D9" w:rsidRPr="000F55FD" w:rsidRDefault="005152D9" w:rsidP="00672844">
            <w:pPr>
              <w:keepNext/>
              <w:spacing w:before="20" w:after="20"/>
              <w:rPr>
                <w:sz w:val="20"/>
                <w:szCs w:val="20"/>
              </w:rPr>
            </w:pPr>
            <w:r w:rsidRPr="000F55FD">
              <w:rPr>
                <w:sz w:val="20"/>
                <w:szCs w:val="20"/>
              </w:rPr>
              <w:t>Younger Pleistocene</w:t>
            </w:r>
          </w:p>
          <w:p w:rsidR="005152D9" w:rsidRPr="000F55FD" w:rsidRDefault="00E655C7" w:rsidP="00672844">
            <w:pPr>
              <w:keepNext/>
              <w:spacing w:before="20" w:after="20"/>
              <w:rPr>
                <w:sz w:val="20"/>
                <w:szCs w:val="20"/>
              </w:rPr>
            </w:pPr>
            <w:r w:rsidRPr="000F55FD">
              <w:rPr>
                <w:sz w:val="20"/>
                <w:szCs w:val="20"/>
              </w:rPr>
              <w:t>0</w:t>
            </w:r>
            <w:r w:rsidR="005152D9" w:rsidRPr="000F55FD">
              <w:rPr>
                <w:sz w:val="20"/>
                <w:szCs w:val="20"/>
              </w:rPr>
              <w:t xml:space="preserve"> - &gt;150 ka</w:t>
            </w:r>
          </w:p>
        </w:tc>
        <w:tc>
          <w:tcPr>
            <w:tcW w:w="1980" w:type="dxa"/>
            <w:shd w:val="clear" w:color="auto" w:fill="9FFFE6"/>
          </w:tcPr>
          <w:p w:rsidR="005152D9" w:rsidRPr="000F55FD" w:rsidRDefault="005152D9" w:rsidP="00672844">
            <w:pPr>
              <w:keepNext/>
              <w:spacing w:before="20" w:after="20"/>
              <w:rPr>
                <w:sz w:val="20"/>
                <w:szCs w:val="20"/>
              </w:rPr>
            </w:pPr>
            <w:r w:rsidRPr="000F55FD">
              <w:rPr>
                <w:sz w:val="20"/>
                <w:szCs w:val="20"/>
              </w:rPr>
              <w:t>Muddy top</w:t>
            </w:r>
          </w:p>
        </w:tc>
        <w:tc>
          <w:tcPr>
            <w:tcW w:w="2880" w:type="dxa"/>
            <w:gridSpan w:val="2"/>
            <w:shd w:val="clear" w:color="auto" w:fill="CC99FF"/>
          </w:tcPr>
          <w:p w:rsidR="005152D9" w:rsidRPr="000F55FD" w:rsidRDefault="005152D9" w:rsidP="00672844">
            <w:pPr>
              <w:keepNext/>
              <w:spacing w:before="20" w:after="20"/>
              <w:rPr>
                <w:sz w:val="20"/>
                <w:szCs w:val="20"/>
              </w:rPr>
            </w:pPr>
            <w:r w:rsidRPr="000F55FD">
              <w:rPr>
                <w:sz w:val="20"/>
                <w:szCs w:val="20"/>
              </w:rPr>
              <w:t>Thin aquitard, typically unsaturated</w:t>
            </w:r>
          </w:p>
        </w:tc>
      </w:tr>
      <w:tr w:rsidR="005152D9" w:rsidRPr="000F55FD" w:rsidTr="00672844">
        <w:trPr>
          <w:trHeight w:val="135"/>
          <w:jc w:val="center"/>
        </w:trPr>
        <w:tc>
          <w:tcPr>
            <w:tcW w:w="2160" w:type="dxa"/>
            <w:vMerge/>
            <w:shd w:val="clear" w:color="auto" w:fill="9FFFE6"/>
          </w:tcPr>
          <w:p w:rsidR="005152D9" w:rsidRPr="000F55FD" w:rsidRDefault="005152D9" w:rsidP="00672844">
            <w:pPr>
              <w:keepNext/>
              <w:spacing w:before="20" w:after="20"/>
              <w:rPr>
                <w:sz w:val="20"/>
                <w:szCs w:val="20"/>
              </w:rPr>
            </w:pPr>
          </w:p>
        </w:tc>
        <w:tc>
          <w:tcPr>
            <w:tcW w:w="2340" w:type="dxa"/>
            <w:vMerge/>
            <w:shd w:val="clear" w:color="auto" w:fill="9FFFE6"/>
          </w:tcPr>
          <w:p w:rsidR="005152D9" w:rsidRPr="000F55FD" w:rsidRDefault="005152D9" w:rsidP="00672844">
            <w:pPr>
              <w:keepNext/>
              <w:spacing w:before="20" w:after="20"/>
              <w:rPr>
                <w:sz w:val="20"/>
                <w:szCs w:val="20"/>
              </w:rPr>
            </w:pPr>
          </w:p>
        </w:tc>
        <w:tc>
          <w:tcPr>
            <w:tcW w:w="1980" w:type="dxa"/>
            <w:shd w:val="clear" w:color="auto" w:fill="9FFFE6"/>
          </w:tcPr>
          <w:p w:rsidR="005152D9" w:rsidRPr="000F55FD" w:rsidRDefault="005152D9" w:rsidP="00672844">
            <w:pPr>
              <w:keepNext/>
              <w:spacing w:before="20" w:after="20"/>
              <w:rPr>
                <w:sz w:val="20"/>
                <w:szCs w:val="20"/>
              </w:rPr>
            </w:pPr>
            <w:smartTag w:uri="urn:schemas-microsoft-com:office:smarttags" w:element="place">
              <w:smartTag w:uri="urn:schemas-microsoft-com:office:smarttags" w:element="City">
                <w:r w:rsidRPr="000F55FD">
                  <w:rPr>
                    <w:sz w:val="20"/>
                    <w:szCs w:val="20"/>
                  </w:rPr>
                  <w:t>Sandy</w:t>
                </w:r>
              </w:smartTag>
            </w:smartTag>
            <w:r w:rsidRPr="000F55FD">
              <w:rPr>
                <w:sz w:val="20"/>
                <w:szCs w:val="20"/>
              </w:rPr>
              <w:t xml:space="preserve"> base</w:t>
            </w:r>
          </w:p>
        </w:tc>
        <w:tc>
          <w:tcPr>
            <w:tcW w:w="2880" w:type="dxa"/>
            <w:gridSpan w:val="2"/>
            <w:shd w:val="clear" w:color="auto" w:fill="00FFFF"/>
          </w:tcPr>
          <w:p w:rsidR="005152D9" w:rsidRPr="000F55FD" w:rsidRDefault="005152D9" w:rsidP="00672844">
            <w:pPr>
              <w:keepNext/>
              <w:spacing w:before="20" w:after="20"/>
              <w:rPr>
                <w:sz w:val="20"/>
                <w:szCs w:val="20"/>
              </w:rPr>
            </w:pPr>
            <w:r w:rsidRPr="000F55FD">
              <w:rPr>
                <w:sz w:val="20"/>
                <w:szCs w:val="20"/>
              </w:rPr>
              <w:t>Shallow unconfined aquifer near leakage, otherwise unsaturated</w:t>
            </w:r>
          </w:p>
        </w:tc>
      </w:tr>
      <w:tr w:rsidR="005152D9" w:rsidRPr="000F55FD" w:rsidTr="00672844">
        <w:trPr>
          <w:trHeight w:val="135"/>
          <w:jc w:val="center"/>
        </w:trPr>
        <w:tc>
          <w:tcPr>
            <w:tcW w:w="2160" w:type="dxa"/>
            <w:shd w:val="clear" w:color="auto" w:fill="FF9966"/>
          </w:tcPr>
          <w:p w:rsidR="005152D9" w:rsidRPr="000F55FD" w:rsidRDefault="00B32F4D" w:rsidP="00672844">
            <w:pPr>
              <w:keepNext/>
              <w:spacing w:before="20" w:after="20"/>
              <w:rPr>
                <w:sz w:val="20"/>
                <w:szCs w:val="20"/>
              </w:rPr>
            </w:pPr>
            <w:r w:rsidRPr="000F55FD">
              <w:rPr>
                <w:sz w:val="20"/>
                <w:szCs w:val="20"/>
              </w:rPr>
              <w:t>Willotia bed</w:t>
            </w:r>
            <w:r w:rsidR="00CB7EA6" w:rsidRPr="000F55FD">
              <w:rPr>
                <w:sz w:val="20"/>
                <w:szCs w:val="20"/>
              </w:rPr>
              <w:t>s</w:t>
            </w:r>
            <w:r w:rsidR="005152D9" w:rsidRPr="000F55FD">
              <w:rPr>
                <w:sz w:val="20"/>
                <w:szCs w:val="20"/>
              </w:rPr>
              <w:t xml:space="preserve"> (Qaw)</w:t>
            </w:r>
          </w:p>
        </w:tc>
        <w:tc>
          <w:tcPr>
            <w:tcW w:w="2340" w:type="dxa"/>
            <w:shd w:val="clear" w:color="auto" w:fill="FF9966"/>
          </w:tcPr>
          <w:p w:rsidR="005152D9" w:rsidRPr="000F55FD" w:rsidRDefault="005152D9" w:rsidP="00672844">
            <w:pPr>
              <w:keepNext/>
              <w:spacing w:before="20" w:after="20"/>
              <w:rPr>
                <w:sz w:val="20"/>
                <w:szCs w:val="20"/>
              </w:rPr>
            </w:pPr>
            <w:r w:rsidRPr="000F55FD">
              <w:rPr>
                <w:sz w:val="20"/>
                <w:szCs w:val="20"/>
              </w:rPr>
              <w:t>&gt;150 ka - ?500 ka</w:t>
            </w:r>
          </w:p>
        </w:tc>
        <w:tc>
          <w:tcPr>
            <w:tcW w:w="1980" w:type="dxa"/>
            <w:shd w:val="clear" w:color="auto" w:fill="FF9966"/>
          </w:tcPr>
          <w:p w:rsidR="005152D9" w:rsidRPr="000F55FD" w:rsidRDefault="005152D9" w:rsidP="00672844">
            <w:pPr>
              <w:keepNext/>
              <w:spacing w:before="20" w:after="20"/>
              <w:rPr>
                <w:sz w:val="20"/>
                <w:szCs w:val="20"/>
              </w:rPr>
            </w:pPr>
            <w:r w:rsidRPr="000F55FD">
              <w:rPr>
                <w:sz w:val="20"/>
                <w:szCs w:val="20"/>
              </w:rPr>
              <w:t>Mostly sand</w:t>
            </w:r>
          </w:p>
        </w:tc>
        <w:tc>
          <w:tcPr>
            <w:tcW w:w="2880" w:type="dxa"/>
            <w:gridSpan w:val="2"/>
            <w:shd w:val="clear" w:color="auto" w:fill="00FFFF"/>
          </w:tcPr>
          <w:p w:rsidR="005152D9" w:rsidRPr="000F55FD" w:rsidRDefault="005152D9" w:rsidP="00672844">
            <w:pPr>
              <w:keepNext/>
              <w:spacing w:before="20" w:after="20"/>
              <w:rPr>
                <w:sz w:val="20"/>
                <w:szCs w:val="20"/>
              </w:rPr>
            </w:pPr>
            <w:r w:rsidRPr="000F55FD">
              <w:rPr>
                <w:sz w:val="20"/>
                <w:szCs w:val="20"/>
              </w:rPr>
              <w:t>Perched or shallow unconfined aquifer near leakage, otherwise unsaturated</w:t>
            </w:r>
          </w:p>
        </w:tc>
      </w:tr>
      <w:tr w:rsidR="005152D9" w:rsidRPr="000F55FD" w:rsidTr="00672844">
        <w:trPr>
          <w:trHeight w:val="135"/>
          <w:jc w:val="center"/>
        </w:trPr>
        <w:tc>
          <w:tcPr>
            <w:tcW w:w="2160" w:type="dxa"/>
            <w:vMerge w:val="restart"/>
            <w:shd w:val="clear" w:color="auto" w:fill="FFFF99"/>
          </w:tcPr>
          <w:p w:rsidR="005152D9" w:rsidRPr="000F55FD" w:rsidRDefault="005152D9" w:rsidP="00672844">
            <w:pPr>
              <w:keepNext/>
              <w:spacing w:before="20" w:after="20"/>
              <w:rPr>
                <w:sz w:val="20"/>
                <w:szCs w:val="20"/>
              </w:rPr>
            </w:pPr>
            <w:r w:rsidRPr="000F55FD">
              <w:rPr>
                <w:sz w:val="20"/>
                <w:szCs w:val="20"/>
              </w:rPr>
              <w:t>Woorinen Formation (Qdw)</w:t>
            </w:r>
          </w:p>
        </w:tc>
        <w:tc>
          <w:tcPr>
            <w:tcW w:w="2340" w:type="dxa"/>
            <w:vMerge w:val="restart"/>
            <w:shd w:val="clear" w:color="auto" w:fill="FFFF99"/>
          </w:tcPr>
          <w:p w:rsidR="005152D9" w:rsidRPr="000F55FD" w:rsidRDefault="005152D9" w:rsidP="00672844">
            <w:pPr>
              <w:keepNext/>
              <w:spacing w:before="20" w:after="20"/>
              <w:rPr>
                <w:sz w:val="20"/>
                <w:szCs w:val="20"/>
              </w:rPr>
            </w:pPr>
            <w:r w:rsidRPr="000F55FD">
              <w:rPr>
                <w:sz w:val="20"/>
                <w:szCs w:val="20"/>
              </w:rPr>
              <w:t>Middle Pleistocene</w:t>
            </w:r>
          </w:p>
          <w:p w:rsidR="005152D9" w:rsidRPr="000F55FD" w:rsidRDefault="005152D9" w:rsidP="00672844">
            <w:pPr>
              <w:keepNext/>
              <w:spacing w:before="20" w:after="20"/>
              <w:rPr>
                <w:sz w:val="20"/>
                <w:szCs w:val="20"/>
              </w:rPr>
            </w:pPr>
            <w:r w:rsidRPr="000F55FD">
              <w:rPr>
                <w:sz w:val="20"/>
                <w:szCs w:val="20"/>
              </w:rPr>
              <w:t>0 - ?500 ka</w:t>
            </w:r>
          </w:p>
        </w:tc>
        <w:tc>
          <w:tcPr>
            <w:tcW w:w="1980" w:type="dxa"/>
            <w:shd w:val="clear" w:color="auto" w:fill="FFFF99"/>
          </w:tcPr>
          <w:p w:rsidR="005152D9" w:rsidRPr="000F55FD" w:rsidRDefault="005152D9" w:rsidP="00672844">
            <w:pPr>
              <w:keepNext/>
              <w:spacing w:before="20" w:after="20"/>
              <w:rPr>
                <w:sz w:val="20"/>
                <w:szCs w:val="20"/>
              </w:rPr>
            </w:pPr>
            <w:r w:rsidRPr="000F55FD">
              <w:rPr>
                <w:sz w:val="20"/>
                <w:szCs w:val="20"/>
              </w:rPr>
              <w:t>Muddy top</w:t>
            </w:r>
          </w:p>
        </w:tc>
        <w:tc>
          <w:tcPr>
            <w:tcW w:w="2880" w:type="dxa"/>
            <w:gridSpan w:val="2"/>
            <w:shd w:val="clear" w:color="auto" w:fill="CC99FF"/>
          </w:tcPr>
          <w:p w:rsidR="005152D9" w:rsidRPr="000F55FD" w:rsidRDefault="005152D9" w:rsidP="00672844">
            <w:pPr>
              <w:keepNext/>
              <w:spacing w:before="20" w:after="20"/>
              <w:rPr>
                <w:sz w:val="20"/>
                <w:szCs w:val="20"/>
              </w:rPr>
            </w:pPr>
            <w:r w:rsidRPr="000F55FD">
              <w:rPr>
                <w:sz w:val="20"/>
                <w:szCs w:val="20"/>
              </w:rPr>
              <w:t>Thin unsaturated aquitard</w:t>
            </w:r>
          </w:p>
        </w:tc>
      </w:tr>
      <w:tr w:rsidR="005152D9" w:rsidRPr="000F55FD" w:rsidTr="00672844">
        <w:trPr>
          <w:trHeight w:val="135"/>
          <w:jc w:val="center"/>
        </w:trPr>
        <w:tc>
          <w:tcPr>
            <w:tcW w:w="2160" w:type="dxa"/>
            <w:vMerge/>
            <w:shd w:val="clear" w:color="auto" w:fill="FFFF99"/>
          </w:tcPr>
          <w:p w:rsidR="005152D9" w:rsidRPr="000F55FD" w:rsidRDefault="005152D9" w:rsidP="00672844">
            <w:pPr>
              <w:keepNext/>
              <w:spacing w:before="20" w:after="20"/>
              <w:rPr>
                <w:sz w:val="20"/>
                <w:szCs w:val="20"/>
              </w:rPr>
            </w:pPr>
          </w:p>
        </w:tc>
        <w:tc>
          <w:tcPr>
            <w:tcW w:w="2340" w:type="dxa"/>
            <w:vMerge/>
            <w:shd w:val="clear" w:color="auto" w:fill="FFFF99"/>
          </w:tcPr>
          <w:p w:rsidR="005152D9" w:rsidRPr="000F55FD" w:rsidRDefault="005152D9" w:rsidP="00672844">
            <w:pPr>
              <w:keepNext/>
              <w:spacing w:before="20" w:after="20"/>
              <w:rPr>
                <w:sz w:val="20"/>
                <w:szCs w:val="20"/>
              </w:rPr>
            </w:pPr>
          </w:p>
        </w:tc>
        <w:tc>
          <w:tcPr>
            <w:tcW w:w="1980" w:type="dxa"/>
            <w:shd w:val="clear" w:color="auto" w:fill="FFFF99"/>
          </w:tcPr>
          <w:p w:rsidR="005152D9" w:rsidRPr="000F55FD" w:rsidRDefault="005152D9" w:rsidP="00672844">
            <w:pPr>
              <w:keepNext/>
              <w:spacing w:before="20" w:after="20"/>
              <w:rPr>
                <w:sz w:val="20"/>
                <w:szCs w:val="20"/>
              </w:rPr>
            </w:pPr>
            <w:smartTag w:uri="urn:schemas-microsoft-com:office:smarttags" w:element="place">
              <w:smartTag w:uri="urn:schemas-microsoft-com:office:smarttags" w:element="City">
                <w:r w:rsidRPr="000F55FD">
                  <w:rPr>
                    <w:sz w:val="20"/>
                    <w:szCs w:val="20"/>
                  </w:rPr>
                  <w:t>Sandy</w:t>
                </w:r>
              </w:smartTag>
            </w:smartTag>
            <w:r w:rsidRPr="000F55FD">
              <w:rPr>
                <w:sz w:val="20"/>
                <w:szCs w:val="20"/>
              </w:rPr>
              <w:t xml:space="preserve"> base</w:t>
            </w:r>
          </w:p>
        </w:tc>
        <w:tc>
          <w:tcPr>
            <w:tcW w:w="2880" w:type="dxa"/>
            <w:gridSpan w:val="2"/>
            <w:shd w:val="clear" w:color="auto" w:fill="00FFFF"/>
          </w:tcPr>
          <w:p w:rsidR="005152D9" w:rsidRPr="000F55FD" w:rsidRDefault="005152D9" w:rsidP="00672844">
            <w:pPr>
              <w:keepNext/>
              <w:spacing w:before="20" w:after="20"/>
              <w:rPr>
                <w:sz w:val="20"/>
                <w:szCs w:val="20"/>
              </w:rPr>
            </w:pPr>
            <w:r w:rsidRPr="000F55FD">
              <w:rPr>
                <w:sz w:val="20"/>
                <w:szCs w:val="20"/>
              </w:rPr>
              <w:t>Shallow unsaturated sands</w:t>
            </w:r>
          </w:p>
        </w:tc>
      </w:tr>
      <w:tr w:rsidR="005152D9" w:rsidRPr="000F55FD" w:rsidTr="00672844">
        <w:trPr>
          <w:jc w:val="center"/>
        </w:trPr>
        <w:tc>
          <w:tcPr>
            <w:tcW w:w="2160" w:type="dxa"/>
            <w:shd w:val="clear" w:color="auto" w:fill="CC99FF"/>
          </w:tcPr>
          <w:p w:rsidR="005152D9" w:rsidRPr="000F55FD" w:rsidRDefault="005152D9" w:rsidP="00672844">
            <w:pPr>
              <w:keepNext/>
              <w:spacing w:before="20" w:after="20"/>
              <w:rPr>
                <w:sz w:val="20"/>
                <w:szCs w:val="20"/>
              </w:rPr>
            </w:pPr>
            <w:r w:rsidRPr="000F55FD">
              <w:rPr>
                <w:sz w:val="20"/>
                <w:szCs w:val="20"/>
              </w:rPr>
              <w:t>Blanchetown Clay (Qpc)</w:t>
            </w:r>
          </w:p>
        </w:tc>
        <w:tc>
          <w:tcPr>
            <w:tcW w:w="2340" w:type="dxa"/>
            <w:shd w:val="clear" w:color="auto" w:fill="CC99FF"/>
          </w:tcPr>
          <w:p w:rsidR="005152D9" w:rsidRPr="000F55FD" w:rsidRDefault="005152D9" w:rsidP="00672844">
            <w:pPr>
              <w:keepNext/>
              <w:spacing w:before="20" w:after="20"/>
              <w:rPr>
                <w:sz w:val="20"/>
                <w:szCs w:val="20"/>
              </w:rPr>
            </w:pPr>
            <w:r w:rsidRPr="000F55FD">
              <w:rPr>
                <w:sz w:val="20"/>
                <w:szCs w:val="20"/>
              </w:rPr>
              <w:t>Older Pleistocene</w:t>
            </w:r>
          </w:p>
          <w:p w:rsidR="005152D9" w:rsidRPr="000F55FD" w:rsidRDefault="005152D9" w:rsidP="00672844">
            <w:pPr>
              <w:keepNext/>
              <w:spacing w:before="20" w:after="20"/>
              <w:rPr>
                <w:sz w:val="20"/>
                <w:szCs w:val="20"/>
              </w:rPr>
            </w:pPr>
            <w:r w:rsidRPr="000F55FD">
              <w:rPr>
                <w:sz w:val="20"/>
                <w:szCs w:val="20"/>
              </w:rPr>
              <w:t>?500 ka - 2.5 Ma</w:t>
            </w:r>
          </w:p>
          <w:p w:rsidR="005152D9" w:rsidRPr="000F55FD" w:rsidRDefault="005152D9" w:rsidP="00672844">
            <w:pPr>
              <w:keepNext/>
              <w:spacing w:before="20" w:after="20"/>
              <w:rPr>
                <w:sz w:val="20"/>
                <w:szCs w:val="20"/>
              </w:rPr>
            </w:pPr>
          </w:p>
        </w:tc>
        <w:tc>
          <w:tcPr>
            <w:tcW w:w="1980" w:type="dxa"/>
            <w:shd w:val="clear" w:color="auto" w:fill="CC99FF"/>
          </w:tcPr>
          <w:p w:rsidR="005152D9" w:rsidRPr="000F55FD" w:rsidRDefault="005152D9" w:rsidP="00672844">
            <w:pPr>
              <w:keepNext/>
              <w:spacing w:before="20" w:after="20"/>
              <w:rPr>
                <w:sz w:val="20"/>
                <w:szCs w:val="20"/>
              </w:rPr>
            </w:pPr>
            <w:r w:rsidRPr="000F55FD">
              <w:rPr>
                <w:sz w:val="20"/>
                <w:szCs w:val="20"/>
              </w:rPr>
              <w:t>Mud</w:t>
            </w:r>
          </w:p>
        </w:tc>
        <w:tc>
          <w:tcPr>
            <w:tcW w:w="2880" w:type="dxa"/>
            <w:gridSpan w:val="2"/>
            <w:shd w:val="clear" w:color="auto" w:fill="CC99FF"/>
          </w:tcPr>
          <w:p w:rsidR="005152D9" w:rsidRPr="000F55FD" w:rsidRDefault="005152D9" w:rsidP="00672844">
            <w:pPr>
              <w:keepNext/>
              <w:spacing w:before="20" w:after="20"/>
              <w:rPr>
                <w:sz w:val="20"/>
                <w:szCs w:val="20"/>
              </w:rPr>
            </w:pPr>
            <w:r w:rsidRPr="000F55FD">
              <w:rPr>
                <w:sz w:val="20"/>
                <w:szCs w:val="20"/>
              </w:rPr>
              <w:t xml:space="preserve">Regional confining aquitard, partially to fully saturated </w:t>
            </w:r>
          </w:p>
        </w:tc>
      </w:tr>
      <w:tr w:rsidR="005152D9" w:rsidRPr="000F55FD" w:rsidTr="00672844">
        <w:trPr>
          <w:jc w:val="center"/>
        </w:trPr>
        <w:tc>
          <w:tcPr>
            <w:tcW w:w="2160" w:type="dxa"/>
            <w:shd w:val="clear" w:color="auto" w:fill="CCCCFF"/>
          </w:tcPr>
          <w:p w:rsidR="005152D9" w:rsidRPr="000F55FD" w:rsidRDefault="005152D9" w:rsidP="00672844">
            <w:pPr>
              <w:keepNext/>
              <w:spacing w:before="20" w:after="20"/>
              <w:rPr>
                <w:sz w:val="20"/>
                <w:szCs w:val="20"/>
              </w:rPr>
            </w:pPr>
            <w:r w:rsidRPr="000F55FD">
              <w:rPr>
                <w:sz w:val="20"/>
                <w:szCs w:val="20"/>
              </w:rPr>
              <w:t xml:space="preserve">Chowilla </w:t>
            </w:r>
            <w:r w:rsidR="005C4461" w:rsidRPr="000F55FD">
              <w:rPr>
                <w:sz w:val="20"/>
                <w:szCs w:val="20"/>
              </w:rPr>
              <w:t>Sand</w:t>
            </w:r>
            <w:r w:rsidRPr="000F55FD">
              <w:rPr>
                <w:sz w:val="20"/>
                <w:szCs w:val="20"/>
              </w:rPr>
              <w:t xml:space="preserve"> (Tpcs)</w:t>
            </w:r>
          </w:p>
        </w:tc>
        <w:tc>
          <w:tcPr>
            <w:tcW w:w="2340" w:type="dxa"/>
            <w:shd w:val="clear" w:color="auto" w:fill="CCCCFF"/>
          </w:tcPr>
          <w:p w:rsidR="005152D9" w:rsidRPr="000F55FD" w:rsidRDefault="00E655C7" w:rsidP="00672844">
            <w:pPr>
              <w:keepNext/>
              <w:spacing w:before="20" w:after="20"/>
              <w:rPr>
                <w:sz w:val="20"/>
                <w:szCs w:val="20"/>
              </w:rPr>
            </w:pPr>
            <w:r w:rsidRPr="000F55FD">
              <w:rPr>
                <w:sz w:val="20"/>
                <w:szCs w:val="20"/>
              </w:rPr>
              <w:t>?2.5 – ?2.6 Ma</w:t>
            </w:r>
          </w:p>
        </w:tc>
        <w:tc>
          <w:tcPr>
            <w:tcW w:w="1980" w:type="dxa"/>
            <w:shd w:val="clear" w:color="auto" w:fill="CCCCFF"/>
          </w:tcPr>
          <w:p w:rsidR="005152D9" w:rsidRPr="000F55FD" w:rsidRDefault="005152D9" w:rsidP="00672844">
            <w:pPr>
              <w:keepNext/>
              <w:spacing w:before="20" w:after="20"/>
              <w:rPr>
                <w:sz w:val="20"/>
                <w:szCs w:val="20"/>
              </w:rPr>
            </w:pPr>
            <w:r w:rsidRPr="000F55FD">
              <w:rPr>
                <w:sz w:val="20"/>
                <w:szCs w:val="20"/>
              </w:rPr>
              <w:t xml:space="preserve">Sand </w:t>
            </w:r>
          </w:p>
        </w:tc>
        <w:tc>
          <w:tcPr>
            <w:tcW w:w="2880" w:type="dxa"/>
            <w:gridSpan w:val="2"/>
            <w:shd w:val="clear" w:color="auto" w:fill="00FFFF"/>
          </w:tcPr>
          <w:p w:rsidR="005152D9" w:rsidRPr="000F55FD" w:rsidRDefault="005152D9" w:rsidP="00672844">
            <w:pPr>
              <w:keepNext/>
              <w:spacing w:before="20" w:after="20"/>
              <w:rPr>
                <w:sz w:val="20"/>
                <w:szCs w:val="20"/>
              </w:rPr>
            </w:pPr>
            <w:r w:rsidRPr="000F55FD">
              <w:rPr>
                <w:sz w:val="20"/>
                <w:szCs w:val="20"/>
              </w:rPr>
              <w:t>Very localised semi-confined aquifer</w:t>
            </w:r>
          </w:p>
        </w:tc>
      </w:tr>
      <w:tr w:rsidR="005152D9" w:rsidRPr="000F55FD" w:rsidTr="00672844">
        <w:trPr>
          <w:trHeight w:val="135"/>
          <w:jc w:val="center"/>
        </w:trPr>
        <w:tc>
          <w:tcPr>
            <w:tcW w:w="2160" w:type="dxa"/>
            <w:vMerge w:val="restart"/>
            <w:shd w:val="clear" w:color="auto" w:fill="CCFF99"/>
          </w:tcPr>
          <w:p w:rsidR="005152D9" w:rsidRPr="000F55FD" w:rsidRDefault="00C217F0" w:rsidP="00672844">
            <w:pPr>
              <w:keepNext/>
              <w:spacing w:before="20" w:after="20"/>
              <w:rPr>
                <w:sz w:val="20"/>
                <w:szCs w:val="20"/>
              </w:rPr>
            </w:pPr>
            <w:r w:rsidRPr="000F55FD">
              <w:rPr>
                <w:sz w:val="20"/>
                <w:szCs w:val="20"/>
              </w:rPr>
              <w:t>Calivil Formation</w:t>
            </w:r>
            <w:r w:rsidR="005152D9" w:rsidRPr="000F55FD">
              <w:rPr>
                <w:sz w:val="20"/>
                <w:szCs w:val="20"/>
              </w:rPr>
              <w:t xml:space="preserve"> (Tpc) </w:t>
            </w:r>
          </w:p>
        </w:tc>
        <w:tc>
          <w:tcPr>
            <w:tcW w:w="2340" w:type="dxa"/>
            <w:vMerge w:val="restart"/>
            <w:shd w:val="clear" w:color="auto" w:fill="CCFF99"/>
          </w:tcPr>
          <w:p w:rsidR="005152D9" w:rsidRPr="000F55FD" w:rsidRDefault="005152D9" w:rsidP="00672844">
            <w:pPr>
              <w:keepNext/>
              <w:spacing w:before="20" w:after="20"/>
              <w:rPr>
                <w:sz w:val="20"/>
                <w:szCs w:val="20"/>
              </w:rPr>
            </w:pPr>
            <w:r w:rsidRPr="000F55FD">
              <w:rPr>
                <w:sz w:val="20"/>
                <w:szCs w:val="20"/>
              </w:rPr>
              <w:t>Pliocene</w:t>
            </w:r>
          </w:p>
          <w:p w:rsidR="005152D9" w:rsidRPr="000F55FD" w:rsidRDefault="005152D9" w:rsidP="00672844">
            <w:pPr>
              <w:keepNext/>
              <w:spacing w:before="20" w:after="20"/>
              <w:rPr>
                <w:sz w:val="20"/>
                <w:szCs w:val="20"/>
              </w:rPr>
            </w:pPr>
            <w:r w:rsidRPr="000F55FD">
              <w:rPr>
                <w:sz w:val="20"/>
                <w:szCs w:val="20"/>
              </w:rPr>
              <w:t>2.6 - 5.3 Ma</w:t>
            </w:r>
          </w:p>
        </w:tc>
        <w:tc>
          <w:tcPr>
            <w:tcW w:w="1980" w:type="dxa"/>
            <w:shd w:val="clear" w:color="auto" w:fill="CCFF99"/>
          </w:tcPr>
          <w:p w:rsidR="005152D9" w:rsidRPr="000F55FD" w:rsidRDefault="005152D9" w:rsidP="00672844">
            <w:pPr>
              <w:keepNext/>
              <w:spacing w:before="20" w:after="20"/>
              <w:rPr>
                <w:sz w:val="20"/>
                <w:szCs w:val="20"/>
              </w:rPr>
            </w:pPr>
            <w:r w:rsidRPr="000F55FD">
              <w:rPr>
                <w:sz w:val="20"/>
                <w:szCs w:val="20"/>
              </w:rPr>
              <w:t>Local muddy top</w:t>
            </w:r>
          </w:p>
        </w:tc>
        <w:tc>
          <w:tcPr>
            <w:tcW w:w="2880" w:type="dxa"/>
            <w:gridSpan w:val="2"/>
            <w:shd w:val="clear" w:color="auto" w:fill="CC99FF"/>
          </w:tcPr>
          <w:p w:rsidR="005152D9" w:rsidRPr="000F55FD" w:rsidRDefault="005152D9" w:rsidP="00672844">
            <w:pPr>
              <w:keepNext/>
              <w:spacing w:before="20" w:after="20"/>
              <w:rPr>
                <w:sz w:val="20"/>
                <w:szCs w:val="20"/>
              </w:rPr>
            </w:pPr>
            <w:r w:rsidRPr="000F55FD">
              <w:rPr>
                <w:sz w:val="20"/>
                <w:szCs w:val="20"/>
              </w:rPr>
              <w:t>Locally confining aquitard, typically saturated</w:t>
            </w:r>
          </w:p>
        </w:tc>
      </w:tr>
      <w:tr w:rsidR="005152D9" w:rsidRPr="000F55FD" w:rsidTr="00672844">
        <w:trPr>
          <w:trHeight w:val="135"/>
          <w:jc w:val="center"/>
        </w:trPr>
        <w:tc>
          <w:tcPr>
            <w:tcW w:w="2160" w:type="dxa"/>
            <w:vMerge/>
            <w:shd w:val="clear" w:color="auto" w:fill="CCFF99"/>
          </w:tcPr>
          <w:p w:rsidR="005152D9" w:rsidRPr="000F55FD" w:rsidRDefault="005152D9" w:rsidP="00672844">
            <w:pPr>
              <w:keepNext/>
              <w:spacing w:before="20" w:after="20"/>
              <w:rPr>
                <w:sz w:val="20"/>
                <w:szCs w:val="20"/>
              </w:rPr>
            </w:pPr>
          </w:p>
        </w:tc>
        <w:tc>
          <w:tcPr>
            <w:tcW w:w="2340" w:type="dxa"/>
            <w:vMerge/>
            <w:shd w:val="clear" w:color="auto" w:fill="CCFF99"/>
          </w:tcPr>
          <w:p w:rsidR="005152D9" w:rsidRPr="000F55FD" w:rsidRDefault="005152D9" w:rsidP="00672844">
            <w:pPr>
              <w:keepNext/>
              <w:spacing w:before="20" w:after="20"/>
              <w:rPr>
                <w:sz w:val="20"/>
                <w:szCs w:val="20"/>
              </w:rPr>
            </w:pPr>
          </w:p>
        </w:tc>
        <w:tc>
          <w:tcPr>
            <w:tcW w:w="1980" w:type="dxa"/>
            <w:shd w:val="clear" w:color="auto" w:fill="CCFF99"/>
          </w:tcPr>
          <w:p w:rsidR="005152D9" w:rsidRPr="000F55FD" w:rsidRDefault="005152D9" w:rsidP="00672844">
            <w:pPr>
              <w:keepNext/>
              <w:spacing w:before="20" w:after="20"/>
              <w:rPr>
                <w:sz w:val="20"/>
                <w:szCs w:val="20"/>
              </w:rPr>
            </w:pPr>
            <w:r w:rsidRPr="000F55FD">
              <w:rPr>
                <w:sz w:val="20"/>
                <w:szCs w:val="20"/>
              </w:rPr>
              <w:t>Predominantly sandy with local muddy units</w:t>
            </w:r>
          </w:p>
        </w:tc>
        <w:tc>
          <w:tcPr>
            <w:tcW w:w="2880" w:type="dxa"/>
            <w:gridSpan w:val="2"/>
            <w:shd w:val="clear" w:color="auto" w:fill="00FFFF"/>
          </w:tcPr>
          <w:p w:rsidR="005152D9" w:rsidRPr="000F55FD" w:rsidRDefault="005152D9" w:rsidP="00672844">
            <w:pPr>
              <w:keepNext/>
              <w:spacing w:before="20" w:after="20"/>
              <w:rPr>
                <w:sz w:val="20"/>
                <w:szCs w:val="20"/>
              </w:rPr>
            </w:pPr>
            <w:r w:rsidRPr="000F55FD">
              <w:rPr>
                <w:sz w:val="20"/>
                <w:szCs w:val="20"/>
              </w:rPr>
              <w:t>Regional aquifer, mostly semi-confined to confined. Unconfined marginal to leakage areas.</w:t>
            </w:r>
          </w:p>
        </w:tc>
      </w:tr>
      <w:tr w:rsidR="005152D9" w:rsidRPr="000F55FD" w:rsidTr="00672844">
        <w:trPr>
          <w:trHeight w:val="135"/>
          <w:jc w:val="center"/>
        </w:trPr>
        <w:tc>
          <w:tcPr>
            <w:tcW w:w="2160" w:type="dxa"/>
            <w:shd w:val="clear" w:color="auto" w:fill="99FF66"/>
          </w:tcPr>
          <w:p w:rsidR="005152D9" w:rsidRPr="000F55FD" w:rsidRDefault="005152D9" w:rsidP="00672844">
            <w:pPr>
              <w:keepNext/>
              <w:spacing w:before="20" w:after="20"/>
              <w:rPr>
                <w:sz w:val="20"/>
                <w:szCs w:val="20"/>
              </w:rPr>
            </w:pPr>
            <w:r w:rsidRPr="000F55FD">
              <w:rPr>
                <w:sz w:val="20"/>
                <w:szCs w:val="20"/>
              </w:rPr>
              <w:t>Loxton-Parilla Sands (Tps)</w:t>
            </w:r>
          </w:p>
        </w:tc>
        <w:tc>
          <w:tcPr>
            <w:tcW w:w="2340" w:type="dxa"/>
            <w:shd w:val="clear" w:color="auto" w:fill="99FF66"/>
          </w:tcPr>
          <w:p w:rsidR="005152D9" w:rsidRPr="000F55FD" w:rsidRDefault="005152D9" w:rsidP="00672844">
            <w:pPr>
              <w:keepNext/>
              <w:spacing w:before="20" w:after="20"/>
              <w:rPr>
                <w:sz w:val="20"/>
                <w:szCs w:val="20"/>
              </w:rPr>
            </w:pPr>
            <w:r w:rsidRPr="000F55FD">
              <w:rPr>
                <w:sz w:val="20"/>
                <w:szCs w:val="20"/>
              </w:rPr>
              <w:t>Pliocene</w:t>
            </w:r>
          </w:p>
          <w:p w:rsidR="005152D9" w:rsidRPr="000F55FD" w:rsidRDefault="00E655C7" w:rsidP="00672844">
            <w:pPr>
              <w:keepNext/>
              <w:spacing w:before="20" w:after="20"/>
              <w:rPr>
                <w:sz w:val="20"/>
                <w:szCs w:val="20"/>
              </w:rPr>
            </w:pPr>
            <w:r w:rsidRPr="000F55FD">
              <w:rPr>
                <w:sz w:val="20"/>
                <w:szCs w:val="20"/>
              </w:rPr>
              <w:t>?</w:t>
            </w:r>
            <w:r w:rsidR="005152D9" w:rsidRPr="000F55FD">
              <w:rPr>
                <w:sz w:val="20"/>
                <w:szCs w:val="20"/>
              </w:rPr>
              <w:t>2.6 - 5.3 Ma</w:t>
            </w:r>
          </w:p>
        </w:tc>
        <w:tc>
          <w:tcPr>
            <w:tcW w:w="1980" w:type="dxa"/>
            <w:shd w:val="clear" w:color="auto" w:fill="99FF66"/>
          </w:tcPr>
          <w:p w:rsidR="005152D9" w:rsidRPr="000F55FD" w:rsidRDefault="005152D9" w:rsidP="00672844">
            <w:pPr>
              <w:keepNext/>
              <w:spacing w:before="20" w:after="20"/>
              <w:rPr>
                <w:sz w:val="20"/>
                <w:szCs w:val="20"/>
              </w:rPr>
            </w:pPr>
            <w:r w:rsidRPr="000F55FD">
              <w:rPr>
                <w:sz w:val="20"/>
                <w:szCs w:val="20"/>
              </w:rPr>
              <w:t>Fine to medium sands</w:t>
            </w:r>
          </w:p>
        </w:tc>
        <w:tc>
          <w:tcPr>
            <w:tcW w:w="2880" w:type="dxa"/>
            <w:gridSpan w:val="2"/>
            <w:shd w:val="clear" w:color="auto" w:fill="99FF66"/>
          </w:tcPr>
          <w:p w:rsidR="005152D9" w:rsidRPr="000F55FD" w:rsidRDefault="005152D9" w:rsidP="00672844">
            <w:pPr>
              <w:keepNext/>
              <w:spacing w:before="20" w:after="20"/>
              <w:rPr>
                <w:sz w:val="20"/>
                <w:szCs w:val="20"/>
              </w:rPr>
            </w:pPr>
            <w:r w:rsidRPr="000F55FD">
              <w:rPr>
                <w:sz w:val="20"/>
                <w:szCs w:val="20"/>
              </w:rPr>
              <w:t xml:space="preserve">Regional semi-confined to confined aquifer. Unconfined marginal to leakage areas. Underlying to laterally equivalent to </w:t>
            </w:r>
            <w:r w:rsidR="00C217F0" w:rsidRPr="000F55FD">
              <w:rPr>
                <w:sz w:val="20"/>
                <w:szCs w:val="20"/>
              </w:rPr>
              <w:t>Calivil Formation</w:t>
            </w:r>
            <w:r w:rsidRPr="000F55FD">
              <w:rPr>
                <w:sz w:val="20"/>
                <w:szCs w:val="20"/>
              </w:rPr>
              <w:t>, southern part of project area only</w:t>
            </w:r>
          </w:p>
        </w:tc>
      </w:tr>
      <w:tr w:rsidR="00FF4F98" w:rsidRPr="000F55FD" w:rsidTr="00672844">
        <w:trPr>
          <w:trHeight w:val="135"/>
          <w:jc w:val="center"/>
        </w:trPr>
        <w:tc>
          <w:tcPr>
            <w:tcW w:w="2160" w:type="dxa"/>
            <w:vMerge w:val="restart"/>
            <w:shd w:val="clear" w:color="auto" w:fill="66CCFF"/>
          </w:tcPr>
          <w:p w:rsidR="00FF4F98" w:rsidRPr="000F55FD" w:rsidRDefault="00FF4F98" w:rsidP="00672844">
            <w:pPr>
              <w:keepNext/>
              <w:spacing w:before="20" w:after="20"/>
              <w:rPr>
                <w:sz w:val="20"/>
                <w:szCs w:val="20"/>
              </w:rPr>
            </w:pPr>
            <w:r w:rsidRPr="000F55FD">
              <w:rPr>
                <w:sz w:val="20"/>
                <w:szCs w:val="20"/>
              </w:rPr>
              <w:t>Renmark Group (Ter)</w:t>
            </w:r>
          </w:p>
        </w:tc>
        <w:tc>
          <w:tcPr>
            <w:tcW w:w="2340" w:type="dxa"/>
            <w:vMerge w:val="restart"/>
            <w:shd w:val="clear" w:color="auto" w:fill="66CCFF"/>
          </w:tcPr>
          <w:p w:rsidR="00FF4F98" w:rsidRPr="000F55FD" w:rsidRDefault="00FF4F98" w:rsidP="00672844">
            <w:pPr>
              <w:keepNext/>
              <w:spacing w:before="20" w:after="20"/>
              <w:rPr>
                <w:sz w:val="20"/>
                <w:szCs w:val="20"/>
              </w:rPr>
            </w:pPr>
            <w:r w:rsidRPr="000F55FD">
              <w:rPr>
                <w:sz w:val="20"/>
                <w:szCs w:val="20"/>
              </w:rPr>
              <w:t>Tertiary (Paleocene to Miocene)</w:t>
            </w:r>
          </w:p>
        </w:tc>
        <w:tc>
          <w:tcPr>
            <w:tcW w:w="1980" w:type="dxa"/>
            <w:shd w:val="clear" w:color="auto" w:fill="66CCFF"/>
          </w:tcPr>
          <w:p w:rsidR="00FF4F98" w:rsidRPr="000F55FD" w:rsidRDefault="00FF4F98" w:rsidP="00672844">
            <w:pPr>
              <w:keepNext/>
              <w:spacing w:before="20" w:after="20"/>
              <w:rPr>
                <w:sz w:val="20"/>
                <w:szCs w:val="20"/>
              </w:rPr>
            </w:pPr>
            <w:r w:rsidRPr="000F55FD">
              <w:rPr>
                <w:sz w:val="20"/>
                <w:szCs w:val="20"/>
              </w:rPr>
              <w:t>Upper Renmark Group- Muds with sandy channels</w:t>
            </w:r>
          </w:p>
        </w:tc>
        <w:tc>
          <w:tcPr>
            <w:tcW w:w="1080" w:type="dxa"/>
            <w:shd w:val="clear" w:color="auto" w:fill="00FFFF"/>
          </w:tcPr>
          <w:p w:rsidR="00FF4F98" w:rsidRPr="000F55FD" w:rsidRDefault="00FF4F98" w:rsidP="00672844">
            <w:pPr>
              <w:keepNext/>
              <w:spacing w:before="20" w:after="20"/>
              <w:rPr>
                <w:sz w:val="20"/>
                <w:szCs w:val="20"/>
              </w:rPr>
            </w:pPr>
            <w:r w:rsidRPr="000F55FD">
              <w:rPr>
                <w:sz w:val="20"/>
                <w:szCs w:val="20"/>
              </w:rPr>
              <w:t>Local semi-confined to confined</w:t>
            </w:r>
            <w:r w:rsidR="00465915" w:rsidRPr="000F55FD">
              <w:rPr>
                <w:sz w:val="20"/>
                <w:szCs w:val="20"/>
              </w:rPr>
              <w:t xml:space="preserve"> </w:t>
            </w:r>
            <w:r w:rsidRPr="000F55FD">
              <w:rPr>
                <w:sz w:val="20"/>
                <w:szCs w:val="20"/>
              </w:rPr>
              <w:t>aquifer</w:t>
            </w:r>
          </w:p>
        </w:tc>
        <w:tc>
          <w:tcPr>
            <w:tcW w:w="1800" w:type="dxa"/>
            <w:shd w:val="clear" w:color="auto" w:fill="CC99FF"/>
          </w:tcPr>
          <w:p w:rsidR="00FF4F98" w:rsidRPr="000F55FD" w:rsidRDefault="00FF4F98" w:rsidP="00672844">
            <w:pPr>
              <w:keepNext/>
              <w:spacing w:before="20" w:after="20"/>
              <w:rPr>
                <w:sz w:val="20"/>
                <w:szCs w:val="20"/>
              </w:rPr>
            </w:pPr>
            <w:r w:rsidRPr="000F55FD">
              <w:rPr>
                <w:sz w:val="20"/>
                <w:szCs w:val="20"/>
              </w:rPr>
              <w:t>Aquitard base to overlying Calivil Formation target aquifer</w:t>
            </w:r>
          </w:p>
        </w:tc>
      </w:tr>
      <w:tr w:rsidR="00FF4F98" w:rsidRPr="000F55FD" w:rsidTr="00AB04B0">
        <w:trPr>
          <w:trHeight w:val="135"/>
          <w:jc w:val="center"/>
        </w:trPr>
        <w:tc>
          <w:tcPr>
            <w:tcW w:w="2160" w:type="dxa"/>
            <w:vMerge/>
            <w:shd w:val="clear" w:color="auto" w:fill="66CCFF"/>
          </w:tcPr>
          <w:p w:rsidR="00FF4F98" w:rsidRPr="000F55FD" w:rsidRDefault="00FF4F98" w:rsidP="00672844">
            <w:pPr>
              <w:spacing w:before="20" w:after="20"/>
              <w:rPr>
                <w:sz w:val="20"/>
                <w:szCs w:val="20"/>
              </w:rPr>
            </w:pPr>
          </w:p>
        </w:tc>
        <w:tc>
          <w:tcPr>
            <w:tcW w:w="2340" w:type="dxa"/>
            <w:vMerge/>
            <w:shd w:val="clear" w:color="auto" w:fill="66CCFF"/>
          </w:tcPr>
          <w:p w:rsidR="00FF4F98" w:rsidRPr="000F55FD" w:rsidRDefault="00FF4F98" w:rsidP="00672844">
            <w:pPr>
              <w:spacing w:before="20" w:after="20"/>
              <w:rPr>
                <w:sz w:val="20"/>
                <w:szCs w:val="20"/>
              </w:rPr>
            </w:pPr>
          </w:p>
        </w:tc>
        <w:tc>
          <w:tcPr>
            <w:tcW w:w="1980" w:type="dxa"/>
            <w:shd w:val="clear" w:color="auto" w:fill="66CCFF"/>
          </w:tcPr>
          <w:p w:rsidR="00FF4F98" w:rsidRPr="000F55FD" w:rsidRDefault="00FF4F98" w:rsidP="00672844">
            <w:pPr>
              <w:spacing w:before="20" w:after="20"/>
              <w:rPr>
                <w:sz w:val="20"/>
                <w:szCs w:val="20"/>
              </w:rPr>
            </w:pPr>
            <w:r w:rsidRPr="000F55FD">
              <w:rPr>
                <w:sz w:val="20"/>
                <w:szCs w:val="20"/>
              </w:rPr>
              <w:t>Middle Renmark Group - Mud with minor sand</w:t>
            </w:r>
          </w:p>
        </w:tc>
        <w:tc>
          <w:tcPr>
            <w:tcW w:w="2880" w:type="dxa"/>
            <w:gridSpan w:val="2"/>
            <w:tcBorders>
              <w:bottom w:val="single" w:sz="4" w:space="0" w:color="auto"/>
            </w:tcBorders>
            <w:shd w:val="clear" w:color="auto" w:fill="CC99FF"/>
          </w:tcPr>
          <w:p w:rsidR="00FF4F98" w:rsidRPr="000F55FD" w:rsidRDefault="00FF4F98" w:rsidP="00672844">
            <w:pPr>
              <w:spacing w:before="20" w:after="20"/>
              <w:rPr>
                <w:sz w:val="20"/>
                <w:szCs w:val="20"/>
              </w:rPr>
            </w:pPr>
            <w:r w:rsidRPr="000F55FD">
              <w:rPr>
                <w:sz w:val="20"/>
                <w:szCs w:val="20"/>
              </w:rPr>
              <w:t>Regional aquitard</w:t>
            </w:r>
          </w:p>
        </w:tc>
      </w:tr>
      <w:tr w:rsidR="00FF4F98" w:rsidRPr="000F55FD" w:rsidTr="00FF4F98">
        <w:trPr>
          <w:trHeight w:val="135"/>
          <w:jc w:val="center"/>
        </w:trPr>
        <w:tc>
          <w:tcPr>
            <w:tcW w:w="2160" w:type="dxa"/>
            <w:vMerge/>
            <w:shd w:val="clear" w:color="auto" w:fill="D9D9D9"/>
          </w:tcPr>
          <w:p w:rsidR="00FF4F98" w:rsidRPr="000F55FD" w:rsidRDefault="00FF4F98" w:rsidP="00672844">
            <w:pPr>
              <w:spacing w:before="20" w:after="20"/>
              <w:rPr>
                <w:sz w:val="20"/>
                <w:szCs w:val="20"/>
              </w:rPr>
            </w:pPr>
          </w:p>
        </w:tc>
        <w:tc>
          <w:tcPr>
            <w:tcW w:w="2340" w:type="dxa"/>
            <w:vMerge/>
            <w:shd w:val="clear" w:color="auto" w:fill="66CCFF"/>
          </w:tcPr>
          <w:p w:rsidR="00FF4F98" w:rsidRPr="000F55FD" w:rsidRDefault="00FF4F98" w:rsidP="00672844">
            <w:pPr>
              <w:spacing w:before="20" w:after="20"/>
              <w:rPr>
                <w:sz w:val="20"/>
                <w:szCs w:val="20"/>
              </w:rPr>
            </w:pPr>
          </w:p>
        </w:tc>
        <w:tc>
          <w:tcPr>
            <w:tcW w:w="1980" w:type="dxa"/>
            <w:shd w:val="clear" w:color="auto" w:fill="66CCFF"/>
          </w:tcPr>
          <w:p w:rsidR="00FF4F98" w:rsidRPr="000F55FD" w:rsidRDefault="00FF4F98" w:rsidP="00FF4F98">
            <w:pPr>
              <w:keepNext/>
              <w:spacing w:before="20" w:after="20"/>
              <w:rPr>
                <w:sz w:val="20"/>
                <w:szCs w:val="20"/>
              </w:rPr>
            </w:pPr>
            <w:r w:rsidRPr="000F55FD">
              <w:rPr>
                <w:sz w:val="20"/>
                <w:szCs w:val="20"/>
              </w:rPr>
              <w:t>Lower Renmark Group – Sands, silt and lignite</w:t>
            </w:r>
          </w:p>
        </w:tc>
        <w:tc>
          <w:tcPr>
            <w:tcW w:w="2880" w:type="dxa"/>
            <w:gridSpan w:val="2"/>
            <w:shd w:val="clear" w:color="auto" w:fill="00FFFF"/>
          </w:tcPr>
          <w:p w:rsidR="00FF4F98" w:rsidRPr="000F55FD" w:rsidRDefault="00FF4F98" w:rsidP="00672844">
            <w:pPr>
              <w:spacing w:before="20" w:after="20"/>
              <w:rPr>
                <w:sz w:val="20"/>
                <w:szCs w:val="20"/>
              </w:rPr>
            </w:pPr>
            <w:r w:rsidRPr="000F55FD">
              <w:rPr>
                <w:sz w:val="20"/>
                <w:szCs w:val="20"/>
              </w:rPr>
              <w:t>Confined aquifer in regional troughs</w:t>
            </w:r>
          </w:p>
        </w:tc>
      </w:tr>
      <w:tr w:rsidR="005152D9" w:rsidRPr="000F55FD" w:rsidTr="00672844">
        <w:trPr>
          <w:trHeight w:val="135"/>
          <w:jc w:val="center"/>
        </w:trPr>
        <w:tc>
          <w:tcPr>
            <w:tcW w:w="2160" w:type="dxa"/>
            <w:shd w:val="clear" w:color="auto" w:fill="FF9F9F"/>
          </w:tcPr>
          <w:p w:rsidR="005152D9" w:rsidRPr="000F55FD" w:rsidRDefault="005152D9" w:rsidP="00672844">
            <w:pPr>
              <w:spacing w:before="20" w:after="20"/>
              <w:rPr>
                <w:sz w:val="20"/>
                <w:szCs w:val="20"/>
              </w:rPr>
            </w:pPr>
            <w:r w:rsidRPr="000F55FD">
              <w:rPr>
                <w:sz w:val="20"/>
                <w:szCs w:val="20"/>
              </w:rPr>
              <w:t>Paleozoic (Devonian)</w:t>
            </w:r>
          </w:p>
          <w:p w:rsidR="005152D9" w:rsidRPr="000F55FD" w:rsidRDefault="005152D9" w:rsidP="00672844">
            <w:pPr>
              <w:spacing w:before="20" w:after="20"/>
              <w:rPr>
                <w:sz w:val="20"/>
                <w:szCs w:val="20"/>
              </w:rPr>
            </w:pPr>
          </w:p>
        </w:tc>
        <w:tc>
          <w:tcPr>
            <w:tcW w:w="2340" w:type="dxa"/>
            <w:shd w:val="clear" w:color="auto" w:fill="FF9F9F"/>
          </w:tcPr>
          <w:p w:rsidR="005152D9" w:rsidRPr="000F55FD" w:rsidRDefault="005152D9" w:rsidP="00672844">
            <w:pPr>
              <w:spacing w:before="20" w:after="20"/>
              <w:rPr>
                <w:sz w:val="20"/>
                <w:szCs w:val="20"/>
              </w:rPr>
            </w:pPr>
            <w:r w:rsidRPr="000F55FD">
              <w:rPr>
                <w:sz w:val="20"/>
                <w:szCs w:val="20"/>
              </w:rPr>
              <w:t>Paleozoic</w:t>
            </w:r>
          </w:p>
          <w:p w:rsidR="005152D9" w:rsidRPr="000F55FD" w:rsidRDefault="005152D9" w:rsidP="00672844">
            <w:pPr>
              <w:spacing w:before="20" w:after="20"/>
              <w:rPr>
                <w:sz w:val="20"/>
                <w:szCs w:val="20"/>
              </w:rPr>
            </w:pPr>
            <w:r w:rsidRPr="000F55FD">
              <w:rPr>
                <w:sz w:val="20"/>
                <w:szCs w:val="20"/>
              </w:rPr>
              <w:t>&gt;251 Ma</w:t>
            </w:r>
          </w:p>
        </w:tc>
        <w:tc>
          <w:tcPr>
            <w:tcW w:w="1980" w:type="dxa"/>
            <w:shd w:val="clear" w:color="auto" w:fill="FF9F9F"/>
          </w:tcPr>
          <w:p w:rsidR="005152D9" w:rsidRPr="000F55FD" w:rsidRDefault="005152D9" w:rsidP="00672844">
            <w:pPr>
              <w:spacing w:before="20" w:after="20"/>
              <w:rPr>
                <w:sz w:val="20"/>
                <w:szCs w:val="20"/>
              </w:rPr>
            </w:pPr>
            <w:r w:rsidRPr="000F55FD">
              <w:rPr>
                <w:sz w:val="20"/>
                <w:szCs w:val="20"/>
              </w:rPr>
              <w:t>Metasediments</w:t>
            </w:r>
          </w:p>
        </w:tc>
        <w:tc>
          <w:tcPr>
            <w:tcW w:w="2880" w:type="dxa"/>
            <w:gridSpan w:val="2"/>
            <w:shd w:val="clear" w:color="auto" w:fill="00FFFF"/>
          </w:tcPr>
          <w:p w:rsidR="005152D9" w:rsidRPr="000F55FD" w:rsidRDefault="005C4461" w:rsidP="00672844">
            <w:pPr>
              <w:spacing w:before="20" w:after="20"/>
              <w:rPr>
                <w:sz w:val="20"/>
                <w:szCs w:val="20"/>
              </w:rPr>
            </w:pPr>
            <w:r w:rsidRPr="000F55FD">
              <w:rPr>
                <w:sz w:val="20"/>
                <w:szCs w:val="20"/>
              </w:rPr>
              <w:t>Sand, f</w:t>
            </w:r>
            <w:r w:rsidR="005152D9" w:rsidRPr="000F55FD">
              <w:rPr>
                <w:sz w:val="20"/>
                <w:szCs w:val="20"/>
              </w:rPr>
              <w:t>ractured and weathered rock aquifer</w:t>
            </w:r>
            <w:r w:rsidRPr="000F55FD">
              <w:rPr>
                <w:sz w:val="20"/>
                <w:szCs w:val="20"/>
              </w:rPr>
              <w:t>s</w:t>
            </w:r>
            <w:r w:rsidR="005152D9" w:rsidRPr="000F55FD">
              <w:rPr>
                <w:sz w:val="20"/>
                <w:szCs w:val="20"/>
              </w:rPr>
              <w:t xml:space="preserve"> </w:t>
            </w:r>
          </w:p>
        </w:tc>
      </w:tr>
    </w:tbl>
    <w:p w:rsidR="008C2768" w:rsidRDefault="008C2768" w:rsidP="00A726CF"/>
    <w:p w:rsidR="00106292" w:rsidRDefault="00106292" w:rsidP="00A726CF"/>
    <w:p w:rsidR="0070746C" w:rsidRDefault="00706A3B" w:rsidP="00216BA0">
      <w:pPr>
        <w:spacing w:before="120" w:after="60"/>
        <w:jc w:val="center"/>
      </w:pPr>
      <w:r>
        <w:rPr>
          <w:noProof/>
        </w:rPr>
        <w:lastRenderedPageBreak/>
        <w:drawing>
          <wp:inline distT="0" distB="0" distL="0" distR="0" wp14:anchorId="7B14A25A" wp14:editId="61A54D3B">
            <wp:extent cx="5762625" cy="7772400"/>
            <wp:effectExtent l="19050" t="19050" r="9525" b="0"/>
            <wp:docPr id="37" name="Picture 37" descr="geomorph_reg_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eomorph_reg_area"/>
                    <pic:cNvPicPr>
                      <a:picLocks noChangeAspect="1" noChangeArrowheads="1"/>
                    </pic:cNvPicPr>
                  </pic:nvPicPr>
                  <pic:blipFill>
                    <a:blip r:embed="rId75" cstate="print">
                      <a:extLst>
                        <a:ext uri="{28A0092B-C50C-407E-A947-70E740481C1C}">
                          <a14:useLocalDpi xmlns:a14="http://schemas.microsoft.com/office/drawing/2010/main" val="0"/>
                        </a:ext>
                      </a:extLst>
                    </a:blip>
                    <a:srcRect l="2045" t="2928" r="1720" b="5328"/>
                    <a:stretch>
                      <a:fillRect/>
                    </a:stretch>
                  </pic:blipFill>
                  <pic:spPr bwMode="auto">
                    <a:xfrm>
                      <a:off x="0" y="0"/>
                      <a:ext cx="5762625" cy="7772400"/>
                    </a:xfrm>
                    <a:prstGeom prst="rect">
                      <a:avLst/>
                    </a:prstGeom>
                    <a:noFill/>
                    <a:ln w="12700" cmpd="sng">
                      <a:solidFill>
                        <a:srgbClr val="000000"/>
                      </a:solidFill>
                      <a:miter lim="800000"/>
                      <a:headEnd/>
                      <a:tailEnd/>
                    </a:ln>
                    <a:effectLst/>
                  </pic:spPr>
                </pic:pic>
              </a:graphicData>
            </a:graphic>
          </wp:inline>
        </w:drawing>
      </w:r>
    </w:p>
    <w:p w:rsidR="0070746C" w:rsidRPr="00216027" w:rsidRDefault="0070746C" w:rsidP="0070746C">
      <w:pPr>
        <w:pStyle w:val="Caption"/>
        <w:rPr>
          <w:i w:val="0"/>
        </w:rPr>
      </w:pPr>
      <w:bookmarkStart w:id="272" w:name="_Ref325912136"/>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5</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272"/>
      <w:r>
        <w:rPr>
          <w:b/>
        </w:rPr>
        <w:t>.</w:t>
      </w:r>
      <w:r>
        <w:rPr>
          <w:b/>
          <w:szCs w:val="22"/>
        </w:rPr>
        <w:t xml:space="preserve"> </w:t>
      </w:r>
      <w:r w:rsidR="008F12F7">
        <w:t>S</w:t>
      </w:r>
      <w:r>
        <w:t xml:space="preserve">urface landforms mapped at a regional scale in the BHMAR </w:t>
      </w:r>
      <w:r w:rsidR="00A56C85">
        <w:t>project</w:t>
      </w:r>
      <w:r>
        <w:t xml:space="preserve"> area. More detailed mapping was carried ou</w:t>
      </w:r>
      <w:r w:rsidR="00983981">
        <w:t>t</w:t>
      </w:r>
      <w:r>
        <w:t xml:space="preserve"> at local scales to assist with recharge mapping</w:t>
      </w:r>
      <w:r w:rsidRPr="00D83E45">
        <w:rPr>
          <w:szCs w:val="20"/>
        </w:rPr>
        <w:t>.</w:t>
      </w:r>
      <w:r w:rsidRPr="00BE08AB">
        <w:t xml:space="preserve"> </w:t>
      </w:r>
      <w:r w:rsidRPr="00216027">
        <w:rPr>
          <w:i w:val="0"/>
        </w:rPr>
        <w:fldChar w:fldCharType="begin"/>
      </w:r>
      <w:r w:rsidRPr="00216027">
        <w:rPr>
          <w:i w:val="0"/>
        </w:rPr>
        <w:instrText xml:space="preserve"> TC "</w:instrText>
      </w:r>
      <w:bookmarkStart w:id="273" w:name="_Toc325975211"/>
      <w:bookmarkStart w:id="274" w:name="_Toc390690220"/>
      <w:r w:rsidR="00497AD3">
        <w:rPr>
          <w:i w:val="0"/>
        </w:rPr>
        <w:instrText xml:space="preserve">Figure </w:instrText>
      </w:r>
      <w:r w:rsidR="0020070D">
        <w:rPr>
          <w:i w:val="0"/>
        </w:rPr>
        <w:instrText>5-</w:instrText>
      </w:r>
      <w:r w:rsidR="00497AD3">
        <w:rPr>
          <w:i w:val="0"/>
        </w:rPr>
        <w:instrText>1.</w:instrText>
      </w:r>
      <w:r w:rsidRPr="00216027">
        <w:rPr>
          <w:i w:val="0"/>
        </w:rPr>
        <w:instrText xml:space="preserve"> </w:instrText>
      </w:r>
      <w:r w:rsidR="008F12F7">
        <w:rPr>
          <w:i w:val="0"/>
        </w:rPr>
        <w:instrText>S</w:instrText>
      </w:r>
      <w:r w:rsidRPr="00216027">
        <w:rPr>
          <w:i w:val="0"/>
        </w:rPr>
        <w:instrText xml:space="preserve">urface landforms mapped at a regional scale in the BHMAR </w:instrText>
      </w:r>
      <w:r w:rsidR="00A56C85">
        <w:rPr>
          <w:i w:val="0"/>
        </w:rPr>
        <w:instrText>project</w:instrText>
      </w:r>
      <w:r w:rsidRPr="00216027">
        <w:rPr>
          <w:i w:val="0"/>
        </w:rPr>
        <w:instrText xml:space="preserve"> area</w:instrText>
      </w:r>
      <w:bookmarkEnd w:id="273"/>
      <w:r w:rsidR="005E4B77">
        <w:rPr>
          <w:i w:val="0"/>
        </w:rPr>
        <w:instrText>.</w:instrText>
      </w:r>
      <w:bookmarkEnd w:id="274"/>
      <w:r w:rsidRPr="00216027">
        <w:rPr>
          <w:i w:val="0"/>
        </w:rPr>
        <w:instrText xml:space="preserve">" \f A \l “4” </w:instrText>
      </w:r>
      <w:r w:rsidRPr="00216027">
        <w:rPr>
          <w:i w:val="0"/>
        </w:rPr>
        <w:fldChar w:fldCharType="end"/>
      </w:r>
      <w:r w:rsidRPr="00216027">
        <w:rPr>
          <w:i w:val="0"/>
        </w:rPr>
        <w:t xml:space="preserve"> </w:t>
      </w:r>
    </w:p>
    <w:p w:rsidR="00F46C06" w:rsidRDefault="00F46C06" w:rsidP="00F46C06">
      <w:pPr>
        <w:rPr>
          <w:szCs w:val="22"/>
        </w:rPr>
      </w:pPr>
    </w:p>
    <w:p w:rsidR="00F46C06" w:rsidRDefault="00F918E9" w:rsidP="00216BA0">
      <w:pPr>
        <w:spacing w:after="60"/>
      </w:pPr>
      <w:r>
        <w:rPr>
          <w:noProof/>
        </w:rPr>
        <w:lastRenderedPageBreak/>
        <mc:AlternateContent>
          <mc:Choice Requires="wpg">
            <w:drawing>
              <wp:anchor distT="0" distB="0" distL="114300" distR="114300" simplePos="0" relativeHeight="251678720" behindDoc="0" locked="0" layoutInCell="1" allowOverlap="1">
                <wp:simplePos x="0" y="0"/>
                <wp:positionH relativeFrom="column">
                  <wp:posOffset>2258060</wp:posOffset>
                </wp:positionH>
                <wp:positionV relativeFrom="paragraph">
                  <wp:posOffset>588010</wp:posOffset>
                </wp:positionV>
                <wp:extent cx="3105150" cy="228600"/>
                <wp:effectExtent l="0" t="0" r="0" b="0"/>
                <wp:wrapNone/>
                <wp:docPr id="1593" name="Group 1593"/>
                <wp:cNvGraphicFramePr/>
                <a:graphic xmlns:a="http://schemas.openxmlformats.org/drawingml/2006/main">
                  <a:graphicData uri="http://schemas.microsoft.com/office/word/2010/wordprocessingGroup">
                    <wpg:wgp>
                      <wpg:cNvGrpSpPr/>
                      <wpg:grpSpPr>
                        <a:xfrm>
                          <a:off x="0" y="0"/>
                          <a:ext cx="3105150" cy="228600"/>
                          <a:chOff x="0" y="0"/>
                          <a:chExt cx="3105150" cy="228600"/>
                        </a:xfrm>
                      </wpg:grpSpPr>
                      <wps:wsp>
                        <wps:cNvPr id="307" name="Text Box 2"/>
                        <wps:cNvSpPr txBox="1">
                          <a:spLocks noChangeArrowheads="1"/>
                        </wps:cNvSpPr>
                        <wps:spPr bwMode="auto">
                          <a:xfrm>
                            <a:off x="0" y="38100"/>
                            <a:ext cx="1104900" cy="190500"/>
                          </a:xfrm>
                          <a:prstGeom prst="rect">
                            <a:avLst/>
                          </a:prstGeom>
                          <a:solidFill>
                            <a:srgbClr val="FFFFFF"/>
                          </a:solidFill>
                          <a:ln w="9525">
                            <a:noFill/>
                            <a:miter lim="800000"/>
                            <a:headEnd/>
                            <a:tailEnd/>
                          </a:ln>
                        </wps:spPr>
                        <wps:txbx>
                          <w:txbxContent>
                            <w:p w:rsidR="001B7446" w:rsidRPr="000B082B" w:rsidRDefault="001B7446">
                              <w:pPr>
                                <w:rPr>
                                  <w:rFonts w:ascii="Arial" w:hAnsi="Arial" w:cs="Arial"/>
                                  <w:sz w:val="12"/>
                                  <w:szCs w:val="12"/>
                                </w:rPr>
                              </w:pPr>
                              <w:r w:rsidRPr="000B082B">
                                <w:rPr>
                                  <w:rFonts w:ascii="Arial" w:hAnsi="Arial" w:cs="Arial"/>
                                  <w:sz w:val="12"/>
                                  <w:szCs w:val="12"/>
                                </w:rPr>
                                <w:t>Coonambidgal Fm4</w:t>
                              </w:r>
                            </w:p>
                          </w:txbxContent>
                        </wps:txbx>
                        <wps:bodyPr rot="0" vert="horz" wrap="square" lIns="91440" tIns="45720" rIns="91440" bIns="45720" anchor="t" anchorCtr="0">
                          <a:spAutoFit/>
                        </wps:bodyPr>
                      </wps:wsp>
                      <wps:wsp>
                        <wps:cNvPr id="1570" name="Text Box 2"/>
                        <wps:cNvSpPr txBox="1">
                          <a:spLocks noChangeArrowheads="1"/>
                        </wps:cNvSpPr>
                        <wps:spPr bwMode="auto">
                          <a:xfrm>
                            <a:off x="2000250" y="0"/>
                            <a:ext cx="1104900" cy="190500"/>
                          </a:xfrm>
                          <a:prstGeom prst="rect">
                            <a:avLst/>
                          </a:prstGeom>
                          <a:solidFill>
                            <a:srgbClr val="FFFFFF"/>
                          </a:solidFill>
                          <a:ln w="9525">
                            <a:noFill/>
                            <a:miter lim="800000"/>
                            <a:headEnd/>
                            <a:tailEnd/>
                          </a:ln>
                        </wps:spPr>
                        <wps:txbx>
                          <w:txbxContent>
                            <w:p w:rsidR="001B7446" w:rsidRPr="000B082B" w:rsidRDefault="001B7446" w:rsidP="000B082B">
                              <w:pPr>
                                <w:rPr>
                                  <w:rFonts w:ascii="Arial" w:hAnsi="Arial" w:cs="Arial"/>
                                  <w:sz w:val="12"/>
                                  <w:szCs w:val="12"/>
                                </w:rPr>
                              </w:pPr>
                              <w:r w:rsidRPr="000B082B">
                                <w:rPr>
                                  <w:rFonts w:ascii="Arial" w:hAnsi="Arial" w:cs="Arial"/>
                                  <w:sz w:val="12"/>
                                  <w:szCs w:val="12"/>
                                </w:rPr>
                                <w:t>C</w:t>
                              </w:r>
                              <w:r>
                                <w:rPr>
                                  <w:rFonts w:ascii="Arial" w:hAnsi="Arial" w:cs="Arial"/>
                                  <w:sz w:val="12"/>
                                  <w:szCs w:val="12"/>
                                </w:rPr>
                                <w:t>oonambidgal Fm1</w:t>
                              </w:r>
                            </w:p>
                          </w:txbxContent>
                        </wps:txbx>
                        <wps:bodyPr rot="0" vert="horz" wrap="square" lIns="91440" tIns="45720" rIns="91440" bIns="45720" anchor="t" anchorCtr="0">
                          <a:spAutoFit/>
                        </wps:bodyPr>
                      </wps:wsp>
                    </wpg:wgp>
                  </a:graphicData>
                </a:graphic>
              </wp:anchor>
            </w:drawing>
          </mc:Choice>
          <mc:Fallback>
            <w:pict>
              <v:group id="Group 1593" o:spid="_x0000_s1026" style="position:absolute;margin-left:177.8pt;margin-top:46.3pt;width:244.5pt;height:18pt;z-index:251678720" coordsize="3105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">
                <v:shapetype id="_x0000_t202" coordsize="21600,21600" o:spt="202" path="m,l,21600r21600,l21600,xe">
                  <v:stroke joinstyle="miter"/>
                  <v:path gradientshapeok="t" o:connecttype="rect"/>
                </v:shapetype>
                <v:shape id="Text Box 2" o:spid="_x0000_s1027" type="#_x0000_t202" style="position:absolute;top:381;width:1104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rsidR="001B7446" w:rsidRPr="000B082B" w:rsidRDefault="001B7446">
                        <w:pPr>
                          <w:rPr>
                            <w:rFonts w:ascii="Arial" w:hAnsi="Arial" w:cs="Arial"/>
                            <w:sz w:val="12"/>
                            <w:szCs w:val="12"/>
                          </w:rPr>
                        </w:pPr>
                        <w:r w:rsidRPr="000B082B">
                          <w:rPr>
                            <w:rFonts w:ascii="Arial" w:hAnsi="Arial" w:cs="Arial"/>
                            <w:sz w:val="12"/>
                            <w:szCs w:val="12"/>
                          </w:rPr>
                          <w:t>Coonambidgal Fm4</w:t>
                        </w:r>
                      </w:p>
                    </w:txbxContent>
                  </v:textbox>
                </v:shape>
                <v:shape id="Text Box 2" o:spid="_x0000_s1028" type="#_x0000_t202" style="position:absolute;left:20002;width:1104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xs8QA&#10;AADdAAAADwAAAGRycy9kb3ducmV2LnhtbESPS2vCQBDH74V+h2UKvdWNBR9EVymFQikefB08Dtkx&#10;G5OdTbOrxm/vHARvM8z/8Zv5sveNulAXq8AGhoMMFHERbMWlgf3u52MKKiZki01gMnCjCMvF68sc&#10;cxuuvKHLNpVKQjjmaMCl1OZax8KRxzgILbHcjqHzmGTtSm07vEq4b/Rnlo21x4qlwWFL346Kenv2&#10;UrKKxXkT/k/DVa0Prh7jaO3+jHl/679moBL16Sl+uH+t4I8mwi/fyAh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2cbPEAAAA3QAAAA8AAAAAAAAAAAAAAAAAmAIAAGRycy9k&#10;b3ducmV2LnhtbFBLBQYAAAAABAAEAPUAAACJAwAAAAA=&#10;" stroked="f">
                  <v:textbox style="mso-fit-shape-to-text:t">
                    <w:txbxContent>
                      <w:p w:rsidR="001B7446" w:rsidRPr="000B082B" w:rsidRDefault="001B7446" w:rsidP="000B082B">
                        <w:pPr>
                          <w:rPr>
                            <w:rFonts w:ascii="Arial" w:hAnsi="Arial" w:cs="Arial"/>
                            <w:sz w:val="12"/>
                            <w:szCs w:val="12"/>
                          </w:rPr>
                        </w:pPr>
                        <w:r w:rsidRPr="000B082B">
                          <w:rPr>
                            <w:rFonts w:ascii="Arial" w:hAnsi="Arial" w:cs="Arial"/>
                            <w:sz w:val="12"/>
                            <w:szCs w:val="12"/>
                          </w:rPr>
                          <w:t>C</w:t>
                        </w:r>
                        <w:r>
                          <w:rPr>
                            <w:rFonts w:ascii="Arial" w:hAnsi="Arial" w:cs="Arial"/>
                            <w:sz w:val="12"/>
                            <w:szCs w:val="12"/>
                          </w:rPr>
                          <w:t>oonambidgal Fm1</w:t>
                        </w:r>
                      </w:p>
                    </w:txbxContent>
                  </v:textbox>
                </v:shape>
              </v:group>
            </w:pict>
          </mc:Fallback>
        </mc:AlternateContent>
      </w:r>
      <w:r w:rsidR="00706A3B">
        <w:rPr>
          <w:noProof/>
        </w:rPr>
        <w:drawing>
          <wp:inline distT="0" distB="0" distL="0" distR="0" wp14:anchorId="7105160A" wp14:editId="6B2B7883">
            <wp:extent cx="6102985" cy="2782243"/>
            <wp:effectExtent l="19050" t="19050" r="1206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16_1dune_plus_renmark"/>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102985" cy="2782243"/>
                    </a:xfrm>
                    <a:prstGeom prst="rect">
                      <a:avLst/>
                    </a:prstGeom>
                    <a:noFill/>
                    <a:ln w="6350" cmpd="sng">
                      <a:solidFill>
                        <a:srgbClr val="000000"/>
                      </a:solidFill>
                      <a:miter lim="800000"/>
                      <a:headEnd/>
                      <a:tailEnd/>
                    </a:ln>
                    <a:effectLst/>
                  </pic:spPr>
                </pic:pic>
              </a:graphicData>
            </a:graphic>
          </wp:inline>
        </w:drawing>
      </w:r>
    </w:p>
    <w:p w:rsidR="00F46C06" w:rsidRPr="005C1544" w:rsidRDefault="001741E7" w:rsidP="00D83E45">
      <w:pPr>
        <w:pStyle w:val="Caption"/>
        <w:rPr>
          <w:bCs w:val="0"/>
          <w:i w:val="0"/>
        </w:rPr>
      </w:pPr>
      <w:bookmarkStart w:id="275" w:name="_Ref325707443"/>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5</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275"/>
      <w:r>
        <w:rPr>
          <w:b/>
        </w:rPr>
        <w:t>.</w:t>
      </w:r>
      <w:r>
        <w:rPr>
          <w:b/>
          <w:szCs w:val="22"/>
        </w:rPr>
        <w:t xml:space="preserve"> </w:t>
      </w:r>
      <w:r w:rsidR="00F46C06" w:rsidRPr="00D83E45">
        <w:rPr>
          <w:szCs w:val="20"/>
        </w:rPr>
        <w:t xml:space="preserve">Schematic diagram to illustrate the stratigraphic relationship between Quaternary fluvial units in the </w:t>
      </w:r>
      <w:smartTag w:uri="urn:schemas-microsoft-com:office:smarttags" w:element="place">
        <w:r w:rsidR="00F46C06" w:rsidRPr="00D83E45">
          <w:rPr>
            <w:szCs w:val="20"/>
          </w:rPr>
          <w:t>Darling River</w:t>
        </w:r>
      </w:smartTag>
      <w:r w:rsidR="00F46C06" w:rsidRPr="00D83E45">
        <w:rPr>
          <w:szCs w:val="20"/>
        </w:rPr>
        <w:t xml:space="preserve"> tract of the project area. Each depositional unit represents a lateral-migration phase with lateral-accretion point-bar sand and overbank mud deposition. In the modern regime, all of the </w:t>
      </w:r>
      <w:r w:rsidR="00C217F0">
        <w:rPr>
          <w:szCs w:val="20"/>
        </w:rPr>
        <w:t>Coonambidgal Formation</w:t>
      </w:r>
      <w:r w:rsidR="00F46C06" w:rsidRPr="00D83E45">
        <w:rPr>
          <w:szCs w:val="20"/>
        </w:rPr>
        <w:t xml:space="preserve"> and </w:t>
      </w:r>
      <w:r w:rsidR="00C217F0">
        <w:rPr>
          <w:szCs w:val="20"/>
        </w:rPr>
        <w:t>Menindee Formation</w:t>
      </w:r>
      <w:r w:rsidR="00F46C06" w:rsidRPr="00D83E45">
        <w:rPr>
          <w:szCs w:val="20"/>
        </w:rPr>
        <w:t xml:space="preserve"> units can be flooded and receive overbank mud deposition. Thus, scroll-plain traces are obscured in older lateral-migrational episodes of the </w:t>
      </w:r>
      <w:r w:rsidR="00C217F0">
        <w:rPr>
          <w:szCs w:val="20"/>
        </w:rPr>
        <w:t>Menindee Formation</w:t>
      </w:r>
      <w:r w:rsidR="00F46C06" w:rsidRPr="00D83E45">
        <w:rPr>
          <w:szCs w:val="20"/>
        </w:rPr>
        <w:t xml:space="preserve"> but are still evident in the </w:t>
      </w:r>
      <w:r w:rsidR="00C217F0">
        <w:rPr>
          <w:szCs w:val="20"/>
        </w:rPr>
        <w:t>Coonambidgal Formation</w:t>
      </w:r>
      <w:r w:rsidR="00F46C06" w:rsidRPr="00D83E45">
        <w:rPr>
          <w:szCs w:val="20"/>
        </w:rPr>
        <w:t xml:space="preserve"> phases. The </w:t>
      </w:r>
      <w:r w:rsidR="00C217F0">
        <w:rPr>
          <w:szCs w:val="20"/>
        </w:rPr>
        <w:t>Coonambidgal Formation</w:t>
      </w:r>
      <w:r w:rsidR="00F46C06" w:rsidRPr="00D83E45">
        <w:rPr>
          <w:szCs w:val="20"/>
        </w:rPr>
        <w:t xml:space="preserve"> 4 tract which is a relict scroll-plain adjacent to the Darling River is only </w:t>
      </w:r>
      <w:r w:rsidR="00DA16E6">
        <w:rPr>
          <w:szCs w:val="20"/>
        </w:rPr>
        <w:t>shown</w:t>
      </w:r>
      <w:r w:rsidR="00F46C06" w:rsidRPr="00D83E45">
        <w:rPr>
          <w:szCs w:val="20"/>
        </w:rPr>
        <w:t xml:space="preserve"> on one side of the </w:t>
      </w:r>
      <w:r w:rsidR="00C217F0">
        <w:rPr>
          <w:szCs w:val="20"/>
        </w:rPr>
        <w:t>Coonambidgal Formation</w:t>
      </w:r>
      <w:r w:rsidR="00F46C06" w:rsidRPr="00D83E45">
        <w:rPr>
          <w:szCs w:val="20"/>
        </w:rPr>
        <w:t xml:space="preserve"> 1 Darling River scroll plain to indicate the sparseness of its occurrence.</w:t>
      </w:r>
      <w:r w:rsidR="00BE08AB" w:rsidRPr="00BE08AB">
        <w:rPr>
          <w:bCs w:val="0"/>
          <w:i w:val="0"/>
        </w:rPr>
        <w:t xml:space="preserve"> </w:t>
      </w:r>
      <w:r w:rsidR="005C1544">
        <w:t xml:space="preserve">Coonambidgal 2 and 3 phases are relict tracts associated with the Talyawalka anabranch river course. </w:t>
      </w:r>
      <w:r w:rsidR="005C1544" w:rsidRPr="00246458">
        <w:t xml:space="preserve">Shown in dashed lines are the maximum possible depths of scour holes beneath the Quaternary fluvial sediment, based on the maximum depth of scours in the modern river bed. </w:t>
      </w:r>
      <w:r w:rsidR="00BE08AB" w:rsidRPr="00216027">
        <w:rPr>
          <w:bCs w:val="0"/>
          <w:i w:val="0"/>
        </w:rPr>
        <w:fldChar w:fldCharType="begin"/>
      </w:r>
      <w:r w:rsidR="00BE08AB" w:rsidRPr="00216027">
        <w:rPr>
          <w:bCs w:val="0"/>
          <w:i w:val="0"/>
        </w:rPr>
        <w:instrText xml:space="preserve"> TC "</w:instrText>
      </w:r>
      <w:bookmarkStart w:id="276" w:name="_Toc325975212"/>
      <w:bookmarkStart w:id="277" w:name="_Toc390690221"/>
      <w:r w:rsidR="00BE08AB" w:rsidRPr="00216027">
        <w:rPr>
          <w:bCs w:val="0"/>
          <w:i w:val="0"/>
        </w:rPr>
        <w:instrText xml:space="preserve">Figure </w:instrText>
      </w:r>
      <w:r w:rsidR="00136930">
        <w:rPr>
          <w:bCs w:val="0"/>
          <w:i w:val="0"/>
        </w:rPr>
        <w:instrText>5-2</w:instrText>
      </w:r>
      <w:r w:rsidR="00497AD3">
        <w:rPr>
          <w:bCs w:val="0"/>
          <w:i w:val="0"/>
        </w:rPr>
        <w:instrText>.</w:instrText>
      </w:r>
      <w:r w:rsidR="00BE08AB" w:rsidRPr="00216027">
        <w:rPr>
          <w:bCs w:val="0"/>
          <w:i w:val="0"/>
        </w:rPr>
        <w:instrText xml:space="preserve"> </w:instrText>
      </w:r>
      <w:r w:rsidR="00345ABC" w:rsidRPr="00216027">
        <w:rPr>
          <w:i w:val="0"/>
          <w:szCs w:val="20"/>
        </w:rPr>
        <w:instrText xml:space="preserve">Schematic diagram </w:instrText>
      </w:r>
      <w:r w:rsidR="008F12F7">
        <w:rPr>
          <w:i w:val="0"/>
          <w:szCs w:val="20"/>
        </w:rPr>
        <w:instrText xml:space="preserve">of </w:instrText>
      </w:r>
      <w:r w:rsidR="00345ABC" w:rsidRPr="00216027">
        <w:rPr>
          <w:i w:val="0"/>
          <w:szCs w:val="20"/>
        </w:rPr>
        <w:instrText xml:space="preserve">the stratigraphic relationship between Quaternary fluvial units in the </w:instrText>
      </w:r>
      <w:smartTag w:uri="urn:schemas-microsoft-com:office:smarttags" w:element="place">
        <w:r w:rsidR="00345ABC" w:rsidRPr="00216027">
          <w:rPr>
            <w:i w:val="0"/>
            <w:szCs w:val="20"/>
          </w:rPr>
          <w:instrText>Darling River</w:instrText>
        </w:r>
      </w:smartTag>
      <w:r w:rsidR="00345ABC" w:rsidRPr="00216027">
        <w:rPr>
          <w:i w:val="0"/>
          <w:szCs w:val="20"/>
        </w:rPr>
        <w:instrText xml:space="preserve"> tract of the project area</w:instrText>
      </w:r>
      <w:bookmarkEnd w:id="276"/>
      <w:r w:rsidR="005E4B77">
        <w:rPr>
          <w:bCs w:val="0"/>
          <w:i w:val="0"/>
        </w:rPr>
        <w:instrText>.</w:instrText>
      </w:r>
      <w:bookmarkEnd w:id="277"/>
      <w:r w:rsidR="00BE08AB" w:rsidRPr="00216027">
        <w:rPr>
          <w:bCs w:val="0"/>
          <w:i w:val="0"/>
        </w:rPr>
        <w:instrText xml:space="preserve">" \f A \l “4” </w:instrText>
      </w:r>
      <w:r w:rsidR="00BE08AB" w:rsidRPr="00216027">
        <w:rPr>
          <w:bCs w:val="0"/>
          <w:i w:val="0"/>
        </w:rPr>
        <w:fldChar w:fldCharType="end"/>
      </w:r>
    </w:p>
    <w:p w:rsidR="00F46C06" w:rsidRPr="00C6655F" w:rsidRDefault="00B32F4D" w:rsidP="00EF7E00">
      <w:pPr>
        <w:pStyle w:val="Heading3"/>
        <w:tabs>
          <w:tab w:val="left" w:pos="1080"/>
        </w:tabs>
        <w:spacing w:before="320"/>
        <w:ind w:left="1080" w:hanging="1080"/>
      </w:pPr>
      <w:bookmarkStart w:id="278" w:name="_Toc390690111"/>
      <w:r>
        <w:t>Willotia bed</w:t>
      </w:r>
      <w:r w:rsidR="00CB7EA6">
        <w:t>s</w:t>
      </w:r>
      <w:bookmarkEnd w:id="278"/>
    </w:p>
    <w:p w:rsidR="00651FA3" w:rsidRDefault="00F46C06" w:rsidP="00F46C06">
      <w:pPr>
        <w:rPr>
          <w:color w:val="000000"/>
          <w:szCs w:val="22"/>
        </w:rPr>
      </w:pPr>
      <w:r w:rsidRPr="00FE46B5">
        <w:rPr>
          <w:szCs w:val="22"/>
        </w:rPr>
        <w:t xml:space="preserve">The new term </w:t>
      </w:r>
      <w:r w:rsidR="00B32F4D">
        <w:rPr>
          <w:szCs w:val="22"/>
        </w:rPr>
        <w:t>Willotia bed</w:t>
      </w:r>
      <w:r w:rsidR="00CB7EA6">
        <w:rPr>
          <w:szCs w:val="22"/>
        </w:rPr>
        <w:t>s</w:t>
      </w:r>
      <w:r w:rsidRPr="00FE46B5">
        <w:rPr>
          <w:szCs w:val="22"/>
        </w:rPr>
        <w:t xml:space="preserve"> is here used for a suite of fluvial to lacustrine sediments that are not sufficiently well known to give them full formation status. They overlie the Blanchetown Clay at higher elevations bounding the Darling </w:t>
      </w:r>
      <w:r w:rsidRPr="00795774">
        <w:rPr>
          <w:szCs w:val="22"/>
        </w:rPr>
        <w:t>Floodplain</w:t>
      </w:r>
      <w:r w:rsidR="00D83E45" w:rsidRPr="00795774">
        <w:rPr>
          <w:szCs w:val="22"/>
        </w:rPr>
        <w:t xml:space="preserve"> (</w:t>
      </w:r>
      <w:r w:rsidR="001741E7" w:rsidRPr="00795774">
        <w:fldChar w:fldCharType="begin"/>
      </w:r>
      <w:r w:rsidR="001741E7" w:rsidRPr="00795774">
        <w:instrText xml:space="preserve"> REF _Ref325707443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5</w:t>
      </w:r>
      <w:r w:rsidR="00966532" w:rsidRPr="00966532">
        <w:rPr>
          <w:noProof/>
        </w:rPr>
        <w:noBreakHyphen/>
        <w:t>2</w:t>
      </w:r>
      <w:r w:rsidR="001741E7" w:rsidRPr="00795774">
        <w:fldChar w:fldCharType="end"/>
      </w:r>
      <w:r w:rsidR="00D83E45" w:rsidRPr="00795774">
        <w:rPr>
          <w:szCs w:val="22"/>
        </w:rPr>
        <w:t>)</w:t>
      </w:r>
      <w:r w:rsidRPr="00795774">
        <w:rPr>
          <w:szCs w:val="22"/>
        </w:rPr>
        <w:t xml:space="preserve">. </w:t>
      </w:r>
      <w:r w:rsidRPr="00795774">
        <w:rPr>
          <w:color w:val="000000"/>
          <w:szCs w:val="22"/>
        </w:rPr>
        <w:t xml:space="preserve">It is probable that deposition of the </w:t>
      </w:r>
      <w:r w:rsidR="00B32F4D">
        <w:rPr>
          <w:color w:val="000000"/>
          <w:szCs w:val="22"/>
        </w:rPr>
        <w:t>Willotia bed</w:t>
      </w:r>
      <w:r w:rsidR="00CB7EA6">
        <w:rPr>
          <w:color w:val="000000"/>
          <w:szCs w:val="22"/>
        </w:rPr>
        <w:t>s</w:t>
      </w:r>
      <w:r w:rsidRPr="00795774">
        <w:rPr>
          <w:color w:val="000000"/>
          <w:szCs w:val="22"/>
        </w:rPr>
        <w:t xml:space="preserve"> commenced as down-valley and lateral fluvial and deltaic units feeding</w:t>
      </w:r>
      <w:r w:rsidRPr="00FE46B5">
        <w:rPr>
          <w:color w:val="000000"/>
          <w:szCs w:val="22"/>
        </w:rPr>
        <w:t xml:space="preserve"> into </w:t>
      </w:r>
      <w:smartTag w:uri="urn:schemas-microsoft-com:office:smarttags" w:element="place">
        <w:smartTag w:uri="urn:schemas-microsoft-com:office:smarttags" w:element="PlaceType">
          <w:r w:rsidRPr="00FE46B5">
            <w:rPr>
              <w:color w:val="000000"/>
              <w:szCs w:val="22"/>
            </w:rPr>
            <w:t>Lake</w:t>
          </w:r>
        </w:smartTag>
        <w:r w:rsidRPr="00FE46B5">
          <w:rPr>
            <w:color w:val="000000"/>
            <w:szCs w:val="22"/>
          </w:rPr>
          <w:t xml:space="preserve"> </w:t>
        </w:r>
        <w:smartTag w:uri="urn:schemas-microsoft-com:office:smarttags" w:element="PlaceName">
          <w:r w:rsidRPr="00FE46B5">
            <w:rPr>
              <w:color w:val="000000"/>
              <w:szCs w:val="22"/>
            </w:rPr>
            <w:t>Bungunnia</w:t>
          </w:r>
        </w:smartTag>
      </w:smartTag>
      <w:r w:rsidR="00651FA3">
        <w:rPr>
          <w:color w:val="000000"/>
          <w:szCs w:val="22"/>
        </w:rPr>
        <w:t xml:space="preserve">. </w:t>
      </w:r>
      <w:r w:rsidR="00DA16E6">
        <w:rPr>
          <w:color w:val="000000"/>
          <w:szCs w:val="22"/>
        </w:rPr>
        <w:t>However, as</w:t>
      </w:r>
      <w:r w:rsidRPr="00FE46B5">
        <w:rPr>
          <w:color w:val="000000"/>
          <w:szCs w:val="22"/>
        </w:rPr>
        <w:t xml:space="preserve"> the level of </w:t>
      </w:r>
      <w:smartTag w:uri="urn:schemas-microsoft-com:office:smarttags" w:element="place">
        <w:smartTag w:uri="urn:schemas-microsoft-com:office:smarttags" w:element="PlaceType">
          <w:r w:rsidRPr="00FE46B5">
            <w:rPr>
              <w:color w:val="000000"/>
              <w:szCs w:val="22"/>
            </w:rPr>
            <w:t>Lake</w:t>
          </w:r>
        </w:smartTag>
        <w:r w:rsidRPr="00FE46B5">
          <w:rPr>
            <w:color w:val="000000"/>
            <w:szCs w:val="22"/>
          </w:rPr>
          <w:t xml:space="preserve"> </w:t>
        </w:r>
        <w:smartTag w:uri="urn:schemas-microsoft-com:office:smarttags" w:element="PlaceName">
          <w:r w:rsidRPr="00FE46B5">
            <w:rPr>
              <w:color w:val="000000"/>
              <w:szCs w:val="22"/>
            </w:rPr>
            <w:t>Bungunnia</w:t>
          </w:r>
        </w:smartTag>
      </w:smartTag>
      <w:r w:rsidRPr="00FE46B5">
        <w:rPr>
          <w:color w:val="000000"/>
          <w:szCs w:val="22"/>
        </w:rPr>
        <w:t xml:space="preserve"> lowered, later </w:t>
      </w:r>
      <w:r w:rsidR="00DF0CAB" w:rsidRPr="00FE46B5">
        <w:rPr>
          <w:color w:val="000000"/>
          <w:szCs w:val="22"/>
        </w:rPr>
        <w:t xml:space="preserve">deposition of </w:t>
      </w:r>
      <w:r w:rsidR="00DF0CAB">
        <w:rPr>
          <w:color w:val="000000"/>
          <w:szCs w:val="22"/>
        </w:rPr>
        <w:t>Willotia bed</w:t>
      </w:r>
      <w:r w:rsidR="00DF0CAB" w:rsidRPr="00FE46B5">
        <w:rPr>
          <w:color w:val="000000"/>
          <w:szCs w:val="22"/>
        </w:rPr>
        <w:t xml:space="preserve"> fluvial sediments transgressed over</w:t>
      </w:r>
      <w:r w:rsidR="00DF0CAB">
        <w:rPr>
          <w:color w:val="000000"/>
          <w:szCs w:val="22"/>
        </w:rPr>
        <w:t xml:space="preserve"> the Blanchetown Clay,</w:t>
      </w:r>
      <w:r w:rsidR="00DF0CAB" w:rsidRPr="00FE46B5">
        <w:rPr>
          <w:color w:val="000000"/>
          <w:szCs w:val="22"/>
        </w:rPr>
        <w:t xml:space="preserve"> and/or was</w:t>
      </w:r>
      <w:r w:rsidRPr="00FE46B5">
        <w:rPr>
          <w:color w:val="000000"/>
          <w:szCs w:val="22"/>
        </w:rPr>
        <w:t xml:space="preserve"> deposited in valleys that</w:t>
      </w:r>
      <w:r w:rsidR="00651FA3">
        <w:rPr>
          <w:color w:val="000000"/>
          <w:szCs w:val="22"/>
        </w:rPr>
        <w:t xml:space="preserve"> incised the Blanchetown Clay. </w:t>
      </w:r>
      <w:r w:rsidRPr="00FE46B5">
        <w:rPr>
          <w:color w:val="000000"/>
          <w:szCs w:val="22"/>
        </w:rPr>
        <w:t xml:space="preserve">Following full draining of </w:t>
      </w:r>
      <w:smartTag w:uri="urn:schemas-microsoft-com:office:smarttags" w:element="PlaceType">
        <w:r w:rsidRPr="00FE46B5">
          <w:rPr>
            <w:color w:val="000000"/>
            <w:szCs w:val="22"/>
          </w:rPr>
          <w:t>Lake</w:t>
        </w:r>
      </w:smartTag>
      <w:r w:rsidRPr="00FE46B5">
        <w:rPr>
          <w:color w:val="000000"/>
          <w:szCs w:val="22"/>
        </w:rPr>
        <w:t xml:space="preserve"> </w:t>
      </w:r>
      <w:smartTag w:uri="urn:schemas-microsoft-com:office:smarttags" w:element="PlaceName">
        <w:r w:rsidRPr="00FE46B5">
          <w:rPr>
            <w:color w:val="000000"/>
            <w:szCs w:val="22"/>
          </w:rPr>
          <w:t>Bungunnia</w:t>
        </w:r>
      </w:smartTag>
      <w:r w:rsidRPr="00FE46B5">
        <w:rPr>
          <w:color w:val="000000"/>
          <w:szCs w:val="22"/>
        </w:rPr>
        <w:t xml:space="preserve"> the lowered base-level induced incision and nick-point retreat up the </w:t>
      </w:r>
      <w:smartTag w:uri="urn:schemas-microsoft-com:office:smarttags" w:element="place">
        <w:smartTag w:uri="urn:schemas-microsoft-com:office:smarttags" w:element="PlaceName">
          <w:r w:rsidRPr="00FE46B5">
            <w:rPr>
              <w:color w:val="000000"/>
              <w:szCs w:val="22"/>
            </w:rPr>
            <w:t>Darling</w:t>
          </w:r>
        </w:smartTag>
        <w:r w:rsidRPr="00FE46B5">
          <w:rPr>
            <w:color w:val="000000"/>
            <w:szCs w:val="22"/>
          </w:rPr>
          <w:t xml:space="preserve"> </w:t>
        </w:r>
        <w:smartTag w:uri="urn:schemas-microsoft-com:office:smarttags" w:element="PlaceType">
          <w:r w:rsidRPr="00FE46B5">
            <w:rPr>
              <w:color w:val="000000"/>
              <w:szCs w:val="22"/>
            </w:rPr>
            <w:t>Valley</w:t>
          </w:r>
        </w:smartTag>
      </w:smartTag>
      <w:r w:rsidRPr="00FE46B5">
        <w:rPr>
          <w:color w:val="000000"/>
          <w:szCs w:val="22"/>
        </w:rPr>
        <w:t xml:space="preserve"> would have incised into the </w:t>
      </w:r>
      <w:r w:rsidR="00B32F4D">
        <w:rPr>
          <w:color w:val="000000"/>
          <w:szCs w:val="22"/>
        </w:rPr>
        <w:t>Willotia bed</w:t>
      </w:r>
      <w:r w:rsidRPr="00FE46B5">
        <w:rPr>
          <w:color w:val="000000"/>
          <w:szCs w:val="22"/>
        </w:rPr>
        <w:t xml:space="preserve"> flood-</w:t>
      </w:r>
      <w:r w:rsidR="00651FA3">
        <w:rPr>
          <w:color w:val="000000"/>
          <w:szCs w:val="22"/>
        </w:rPr>
        <w:t xml:space="preserve">plain deposits. </w:t>
      </w:r>
      <w:r w:rsidRPr="00FE46B5">
        <w:rPr>
          <w:color w:val="000000"/>
          <w:szCs w:val="22"/>
        </w:rPr>
        <w:t xml:space="preserve">After reaching base level the ancestral Darling began to laterally widen its new valley incised into the </w:t>
      </w:r>
      <w:r w:rsidR="00B32F4D">
        <w:rPr>
          <w:color w:val="000000"/>
          <w:szCs w:val="22"/>
        </w:rPr>
        <w:t>Willotia bed</w:t>
      </w:r>
      <w:r w:rsidR="00CB7EA6">
        <w:rPr>
          <w:color w:val="000000"/>
          <w:szCs w:val="22"/>
        </w:rPr>
        <w:t>s</w:t>
      </w:r>
      <w:r w:rsidRPr="00FE46B5">
        <w:rPr>
          <w:color w:val="000000"/>
          <w:szCs w:val="22"/>
        </w:rPr>
        <w:t xml:space="preserve"> (and older units) and deposit the </w:t>
      </w:r>
      <w:r w:rsidR="00C217F0">
        <w:rPr>
          <w:color w:val="000000"/>
          <w:szCs w:val="22"/>
        </w:rPr>
        <w:t>Menindee Formation</w:t>
      </w:r>
      <w:r w:rsidRPr="00FE46B5">
        <w:rPr>
          <w:color w:val="000000"/>
          <w:szCs w:val="22"/>
        </w:rPr>
        <w:t xml:space="preserve"> and </w:t>
      </w:r>
      <w:r w:rsidR="00C217F0">
        <w:rPr>
          <w:color w:val="000000"/>
          <w:szCs w:val="22"/>
        </w:rPr>
        <w:t>Coonambidgal Formation</w:t>
      </w:r>
      <w:r w:rsidRPr="00FE46B5">
        <w:rPr>
          <w:color w:val="000000"/>
          <w:szCs w:val="22"/>
        </w:rPr>
        <w:t xml:space="preserve"> fluvial sediments. </w:t>
      </w:r>
    </w:p>
    <w:p w:rsidR="00651FA3" w:rsidRDefault="00651FA3" w:rsidP="00F46C06">
      <w:pPr>
        <w:rPr>
          <w:color w:val="000000"/>
          <w:szCs w:val="22"/>
        </w:rPr>
      </w:pPr>
    </w:p>
    <w:p w:rsidR="00F46C06" w:rsidRDefault="00F46C06" w:rsidP="00F46C06">
      <w:pPr>
        <w:rPr>
          <w:szCs w:val="22"/>
        </w:rPr>
      </w:pPr>
      <w:r w:rsidRPr="00FE46B5">
        <w:rPr>
          <w:color w:val="000000"/>
          <w:szCs w:val="22"/>
        </w:rPr>
        <w:t xml:space="preserve">The </w:t>
      </w:r>
      <w:r w:rsidR="00B32F4D">
        <w:rPr>
          <w:szCs w:val="22"/>
        </w:rPr>
        <w:t>Willotia bed</w:t>
      </w:r>
      <w:r w:rsidR="00CB7EA6">
        <w:rPr>
          <w:szCs w:val="22"/>
        </w:rPr>
        <w:t>s</w:t>
      </w:r>
      <w:r w:rsidRPr="00FE46B5">
        <w:rPr>
          <w:szCs w:val="22"/>
        </w:rPr>
        <w:t xml:space="preserve"> are not numerically dated, but stratigraphic and cross-cutting relationships provide relative age </w:t>
      </w:r>
      <w:r w:rsidRPr="00795774">
        <w:rPr>
          <w:szCs w:val="22"/>
        </w:rPr>
        <w:t xml:space="preserve">constraint; </w:t>
      </w:r>
      <w:r w:rsidR="00FD5443" w:rsidRPr="00795774">
        <w:rPr>
          <w:szCs w:val="22"/>
        </w:rPr>
        <w:t>they are</w:t>
      </w:r>
      <w:r w:rsidRPr="00795774">
        <w:rPr>
          <w:szCs w:val="22"/>
        </w:rPr>
        <w:t xml:space="preserve"> </w:t>
      </w:r>
      <w:r w:rsidR="00DA16E6">
        <w:rPr>
          <w:szCs w:val="22"/>
        </w:rPr>
        <w:t xml:space="preserve">(mostly) </w:t>
      </w:r>
      <w:r w:rsidRPr="00795774">
        <w:rPr>
          <w:szCs w:val="22"/>
        </w:rPr>
        <w:t xml:space="preserve">younger than the Blanchetown Clay and older than the </w:t>
      </w:r>
      <w:r w:rsidR="00C217F0">
        <w:rPr>
          <w:szCs w:val="22"/>
        </w:rPr>
        <w:t>Menindee Formation</w:t>
      </w:r>
      <w:r w:rsidR="00D83E45" w:rsidRPr="00795774">
        <w:rPr>
          <w:szCs w:val="22"/>
        </w:rPr>
        <w:t xml:space="preserve"> (</w:t>
      </w:r>
      <w:r w:rsidR="00CD2825" w:rsidRPr="00795774">
        <w:rPr>
          <w:szCs w:val="22"/>
        </w:rPr>
        <w:fldChar w:fldCharType="begin"/>
      </w:r>
      <w:r w:rsidR="00CD2825" w:rsidRPr="00795774">
        <w:rPr>
          <w:szCs w:val="22"/>
        </w:rPr>
        <w:instrText xml:space="preserve"> REF _Ref325709558 \h </w:instrText>
      </w:r>
      <w:r w:rsidR="00795774" w:rsidRPr="00795774">
        <w:rPr>
          <w:szCs w:val="22"/>
        </w:rPr>
        <w:instrText xml:space="preserve"> \* MERGEFORMAT </w:instrText>
      </w:r>
      <w:r w:rsidR="00CD2825" w:rsidRPr="00795774">
        <w:rPr>
          <w:szCs w:val="22"/>
        </w:rPr>
      </w:r>
      <w:r w:rsidR="00CD2825" w:rsidRPr="00795774">
        <w:rPr>
          <w:szCs w:val="22"/>
        </w:rPr>
        <w:fldChar w:fldCharType="separate"/>
      </w:r>
      <w:r w:rsidR="00966532" w:rsidRPr="00966532">
        <w:t xml:space="preserve">Table </w:t>
      </w:r>
      <w:r w:rsidR="00966532" w:rsidRPr="00966532">
        <w:rPr>
          <w:noProof/>
        </w:rPr>
        <w:t>5</w:t>
      </w:r>
      <w:r w:rsidR="00966532" w:rsidRPr="00966532">
        <w:rPr>
          <w:noProof/>
        </w:rPr>
        <w:noBreakHyphen/>
        <w:t>1</w:t>
      </w:r>
      <w:r w:rsidR="00CD2825" w:rsidRPr="00795774">
        <w:rPr>
          <w:szCs w:val="22"/>
        </w:rPr>
        <w:fldChar w:fldCharType="end"/>
      </w:r>
      <w:r w:rsidR="00D83E45" w:rsidRPr="00795774">
        <w:rPr>
          <w:szCs w:val="22"/>
        </w:rPr>
        <w:t>)</w:t>
      </w:r>
      <w:r w:rsidRPr="00795774">
        <w:rPr>
          <w:szCs w:val="22"/>
        </w:rPr>
        <w:t xml:space="preserve">. </w:t>
      </w:r>
      <w:r w:rsidR="00B32F4D">
        <w:rPr>
          <w:szCs w:val="22"/>
        </w:rPr>
        <w:t>Willotia bed</w:t>
      </w:r>
      <w:r w:rsidR="00CB7EA6">
        <w:rPr>
          <w:szCs w:val="22"/>
        </w:rPr>
        <w:t>s</w:t>
      </w:r>
      <w:r w:rsidRPr="00FE46B5">
        <w:rPr>
          <w:szCs w:val="22"/>
        </w:rPr>
        <w:t xml:space="preserve"> have been recognised from 11 BHMAR project cores, from valley-margin cliff exposures and from the walls of the Cawndilla outlet canal. The stratigraphy and sedimentology of </w:t>
      </w:r>
      <w:r w:rsidR="000B6435">
        <w:rPr>
          <w:szCs w:val="22"/>
        </w:rPr>
        <w:t xml:space="preserve">fluvial elements of </w:t>
      </w:r>
      <w:r w:rsidRPr="00FE46B5">
        <w:rPr>
          <w:szCs w:val="22"/>
        </w:rPr>
        <w:t>the unit is similar to other surficial fluvi</w:t>
      </w:r>
      <w:r w:rsidR="00C8452D">
        <w:rPr>
          <w:szCs w:val="22"/>
        </w:rPr>
        <w:t>al units and is typically 10-20</w:t>
      </w:r>
      <w:r w:rsidR="00784BD1">
        <w:rPr>
          <w:szCs w:val="22"/>
        </w:rPr>
        <w:t xml:space="preserve"> </w:t>
      </w:r>
      <w:r w:rsidRPr="00FE46B5">
        <w:rPr>
          <w:szCs w:val="22"/>
        </w:rPr>
        <w:t xml:space="preserve">m in thickness with basal fine to coarse sands and an upper fine-grained overbank muddy facies, which is mostly olive-green to grey. The overbank mud has a strong pedogenic overprint that includes red/yellow/orange mottling and secondary pedogenic or groundwater gypsum often in the form of large nodules of inter-grown selenite crystals. The </w:t>
      </w:r>
      <w:r w:rsidR="00B32F4D">
        <w:rPr>
          <w:szCs w:val="22"/>
        </w:rPr>
        <w:t>Willotia bed</w:t>
      </w:r>
      <w:r w:rsidR="00CB7EA6">
        <w:rPr>
          <w:szCs w:val="22"/>
        </w:rPr>
        <w:t>s</w:t>
      </w:r>
      <w:r w:rsidRPr="00FE46B5">
        <w:rPr>
          <w:szCs w:val="22"/>
        </w:rPr>
        <w:t xml:space="preserve"> are virtually always overlain by aeolian sediments </w:t>
      </w:r>
      <w:r w:rsidR="00DA16E6">
        <w:rPr>
          <w:szCs w:val="22"/>
        </w:rPr>
        <w:t>of the Woorinen Formation. They</w:t>
      </w:r>
      <w:r w:rsidRPr="00FE46B5">
        <w:rPr>
          <w:szCs w:val="22"/>
        </w:rPr>
        <w:t xml:space="preserve"> occur outside the Darling floodplain margins </w:t>
      </w:r>
      <w:r w:rsidR="00DA16E6">
        <w:rPr>
          <w:szCs w:val="22"/>
        </w:rPr>
        <w:t>as well as</w:t>
      </w:r>
      <w:r w:rsidRPr="00FE46B5">
        <w:rPr>
          <w:szCs w:val="22"/>
        </w:rPr>
        <w:t xml:space="preserve"> </w:t>
      </w:r>
      <w:r w:rsidR="00DA16E6">
        <w:rPr>
          <w:szCs w:val="22"/>
        </w:rPr>
        <w:t>in</w:t>
      </w:r>
      <w:r w:rsidRPr="00FE46B5">
        <w:rPr>
          <w:szCs w:val="22"/>
        </w:rPr>
        <w:t xml:space="preserve"> large areas </w:t>
      </w:r>
      <w:r w:rsidR="00DA16E6">
        <w:rPr>
          <w:szCs w:val="22"/>
        </w:rPr>
        <w:t>underlying</w:t>
      </w:r>
      <w:r w:rsidRPr="00FE46B5">
        <w:rPr>
          <w:szCs w:val="22"/>
        </w:rPr>
        <w:t xml:space="preserve"> </w:t>
      </w:r>
      <w:r w:rsidR="0047343C">
        <w:rPr>
          <w:szCs w:val="22"/>
        </w:rPr>
        <w:t>Woorinen F</w:t>
      </w:r>
      <w:r w:rsidR="00AA4D8A">
        <w:rPr>
          <w:szCs w:val="22"/>
        </w:rPr>
        <w:t>or</w:t>
      </w:r>
      <w:r w:rsidR="0047343C">
        <w:rPr>
          <w:szCs w:val="22"/>
        </w:rPr>
        <w:t xml:space="preserve">mation </w:t>
      </w:r>
      <w:r w:rsidRPr="00FE46B5">
        <w:rPr>
          <w:szCs w:val="22"/>
        </w:rPr>
        <w:t>aeolian sediment</w:t>
      </w:r>
      <w:r w:rsidR="0047343C">
        <w:rPr>
          <w:szCs w:val="22"/>
        </w:rPr>
        <w:t>s</w:t>
      </w:r>
      <w:r w:rsidRPr="00FE46B5">
        <w:rPr>
          <w:szCs w:val="22"/>
        </w:rPr>
        <w:t xml:space="preserve"> within the floodplain. </w:t>
      </w:r>
    </w:p>
    <w:p w:rsidR="00CF6040" w:rsidRDefault="00CF6040" w:rsidP="00F46C06">
      <w:pPr>
        <w:rPr>
          <w:szCs w:val="22"/>
        </w:rPr>
      </w:pPr>
    </w:p>
    <w:p w:rsidR="00CF6040" w:rsidRPr="00FE46B5" w:rsidRDefault="00CF6040" w:rsidP="00F46C06">
      <w:pPr>
        <w:rPr>
          <w:szCs w:val="22"/>
        </w:rPr>
      </w:pPr>
      <w:r>
        <w:rPr>
          <w:szCs w:val="22"/>
        </w:rPr>
        <w:t xml:space="preserve">The </w:t>
      </w:r>
      <w:r w:rsidR="00B32F4D">
        <w:rPr>
          <w:szCs w:val="22"/>
        </w:rPr>
        <w:t>Willotia bed</w:t>
      </w:r>
      <w:r w:rsidR="00CB7EA6">
        <w:rPr>
          <w:szCs w:val="22"/>
        </w:rPr>
        <w:t>s</w:t>
      </w:r>
      <w:r>
        <w:rPr>
          <w:szCs w:val="22"/>
        </w:rPr>
        <w:t xml:space="preserve"> can be a shallow unconfined aquifer, particularly where surface water leakage has created watertable mounding. However, as the unit is further away from modern drainage than the more recent depositional phases, saturated thickness tends to be low or the profile is unsaturated. </w:t>
      </w:r>
      <w:r w:rsidRPr="00FE46B5">
        <w:rPr>
          <w:szCs w:val="22"/>
        </w:rPr>
        <w:t xml:space="preserve">The heavily pedogenically modified overbank muds form an effective vertical infiltration barrier and precipitation of </w:t>
      </w:r>
      <w:r w:rsidRPr="00106292">
        <w:rPr>
          <w:szCs w:val="22"/>
        </w:rPr>
        <w:lastRenderedPageBreak/>
        <w:t>secondary minerals in the lower sand probably impede water movement.</w:t>
      </w:r>
      <w:r w:rsidR="00983981" w:rsidRPr="00106292">
        <w:rPr>
          <w:szCs w:val="22"/>
        </w:rPr>
        <w:t xml:space="preserve"> A greater discussion of the </w:t>
      </w:r>
      <w:r w:rsidR="00B32F4D">
        <w:rPr>
          <w:szCs w:val="22"/>
        </w:rPr>
        <w:t>Willotia bed</w:t>
      </w:r>
      <w:r w:rsidR="00CB7EA6">
        <w:rPr>
          <w:szCs w:val="22"/>
        </w:rPr>
        <w:t>s</w:t>
      </w:r>
      <w:r w:rsidR="00983981" w:rsidRPr="00106292">
        <w:rPr>
          <w:szCs w:val="22"/>
        </w:rPr>
        <w:t xml:space="preserve"> is found in Lawrie</w:t>
      </w:r>
      <w:r w:rsidR="008A5F7D" w:rsidRPr="00CF7613">
        <w:rPr>
          <w:rStyle w:val="StyleItalic"/>
        </w:rPr>
        <w:t xml:space="preserve"> et al</w:t>
      </w:r>
      <w:r w:rsidR="00983981" w:rsidRPr="00106292">
        <w:rPr>
          <w:szCs w:val="22"/>
        </w:rPr>
        <w:t>. (2012b).</w:t>
      </w:r>
    </w:p>
    <w:p w:rsidR="00F46C06" w:rsidRPr="00C6655F" w:rsidRDefault="00C217F0" w:rsidP="00EF7E00">
      <w:pPr>
        <w:pStyle w:val="Heading3"/>
        <w:tabs>
          <w:tab w:val="left" w:pos="1080"/>
        </w:tabs>
        <w:spacing w:before="320"/>
        <w:ind w:left="1080" w:hanging="1080"/>
      </w:pPr>
      <w:bookmarkStart w:id="279" w:name="_Toc390690112"/>
      <w:r>
        <w:t>Menindee Formation</w:t>
      </w:r>
      <w:bookmarkEnd w:id="279"/>
    </w:p>
    <w:p w:rsidR="00651FA3" w:rsidRDefault="00F46C06" w:rsidP="00F46C06">
      <w:pPr>
        <w:rPr>
          <w:szCs w:val="22"/>
        </w:rPr>
      </w:pPr>
      <w:r w:rsidRPr="00FE46B5">
        <w:rPr>
          <w:szCs w:val="22"/>
        </w:rPr>
        <w:t xml:space="preserve">The newly defined </w:t>
      </w:r>
      <w:r w:rsidR="00C217F0">
        <w:rPr>
          <w:szCs w:val="22"/>
        </w:rPr>
        <w:t>Menindee Formation</w:t>
      </w:r>
      <w:r w:rsidRPr="00FE46B5">
        <w:rPr>
          <w:szCs w:val="22"/>
        </w:rPr>
        <w:t xml:space="preserve"> replaces the former use of Shepparton Formation in the Lower Darling valley and refers to lateral-migration sediments now forming a higher older flood plain, generally lacking scroll-plain traces, which have been obscured by burial under overbank muds. The average thickness in core intersections is about 14 m with </w:t>
      </w:r>
      <w:r w:rsidR="00C8452D">
        <w:rPr>
          <w:szCs w:val="22"/>
        </w:rPr>
        <w:t>basal fine to coarse sands (6.5</w:t>
      </w:r>
      <w:r w:rsidR="0008529C">
        <w:rPr>
          <w:szCs w:val="22"/>
        </w:rPr>
        <w:t xml:space="preserve"> </w:t>
      </w:r>
      <w:r w:rsidRPr="00FE46B5">
        <w:rPr>
          <w:szCs w:val="22"/>
        </w:rPr>
        <w:t>m average thickness)</w:t>
      </w:r>
      <w:r w:rsidR="00C8452D">
        <w:rPr>
          <w:szCs w:val="22"/>
        </w:rPr>
        <w:t xml:space="preserve"> overlain by overbank muds (7.7</w:t>
      </w:r>
      <w:r w:rsidR="0008529C">
        <w:rPr>
          <w:szCs w:val="22"/>
        </w:rPr>
        <w:t xml:space="preserve"> </w:t>
      </w:r>
      <w:r w:rsidRPr="00FE46B5">
        <w:rPr>
          <w:szCs w:val="22"/>
        </w:rPr>
        <w:t xml:space="preserve">m average thickness). Morphologically the </w:t>
      </w:r>
      <w:r w:rsidR="00C217F0">
        <w:rPr>
          <w:szCs w:val="22"/>
        </w:rPr>
        <w:t>Menindee Formation</w:t>
      </w:r>
      <w:r w:rsidRPr="00FE46B5">
        <w:rPr>
          <w:szCs w:val="22"/>
        </w:rPr>
        <w:t xml:space="preserve"> floodplain is highly variable and ranges from upper featureless rarely flooded floodplain with thin patches of aeolian </w:t>
      </w:r>
      <w:r w:rsidR="000B6435">
        <w:rPr>
          <w:szCs w:val="22"/>
        </w:rPr>
        <w:t xml:space="preserve">sand </w:t>
      </w:r>
      <w:r w:rsidRPr="00FE46B5">
        <w:rPr>
          <w:szCs w:val="22"/>
        </w:rPr>
        <w:t xml:space="preserve">cover to lower floodplain with flood scour channels. </w:t>
      </w:r>
      <w:r w:rsidR="00C217F0">
        <w:rPr>
          <w:szCs w:val="22"/>
        </w:rPr>
        <w:t>Menindee Formation</w:t>
      </w:r>
      <w:r w:rsidRPr="00FE46B5">
        <w:rPr>
          <w:szCs w:val="22"/>
        </w:rPr>
        <w:t xml:space="preserve"> floodplain includes the Yampoola Corridor</w:t>
      </w:r>
      <w:r w:rsidR="00527379" w:rsidRPr="00527379">
        <w:rPr>
          <w:szCs w:val="22"/>
        </w:rPr>
        <w:t xml:space="preserve"> </w:t>
      </w:r>
      <w:r w:rsidR="0047343C">
        <w:rPr>
          <w:szCs w:val="22"/>
        </w:rPr>
        <w:t>which occurs throughout</w:t>
      </w:r>
      <w:r w:rsidR="00527379" w:rsidRPr="00FE46B5">
        <w:rPr>
          <w:szCs w:val="22"/>
        </w:rPr>
        <w:t xml:space="preserve"> the project area</w:t>
      </w:r>
      <w:r w:rsidR="00527379">
        <w:rPr>
          <w:szCs w:val="22"/>
        </w:rPr>
        <w:t>;</w:t>
      </w:r>
      <w:r w:rsidRPr="00FE46B5">
        <w:rPr>
          <w:szCs w:val="22"/>
        </w:rPr>
        <w:t xml:space="preserve"> a probable former scroll-plain tract with no aeolian sediments, erosional lateral boundaries</w:t>
      </w:r>
      <w:r w:rsidR="0047343C">
        <w:rPr>
          <w:szCs w:val="22"/>
        </w:rPr>
        <w:t>,</w:t>
      </w:r>
      <w:r w:rsidRPr="00FE46B5">
        <w:rPr>
          <w:szCs w:val="22"/>
        </w:rPr>
        <w:t xml:space="preserve"> and mega-flood flood-plain bars. Portions of the </w:t>
      </w:r>
      <w:r w:rsidR="00C217F0">
        <w:rPr>
          <w:szCs w:val="22"/>
        </w:rPr>
        <w:t>Menindee Formation</w:t>
      </w:r>
      <w:r w:rsidRPr="00FE46B5">
        <w:rPr>
          <w:szCs w:val="22"/>
        </w:rPr>
        <w:t xml:space="preserve"> floodplain, especially in the southern part of the project area have limited faint discontinuous channel and scroll-plain traces preserved. All of the </w:t>
      </w:r>
      <w:r w:rsidR="00C217F0">
        <w:rPr>
          <w:szCs w:val="22"/>
        </w:rPr>
        <w:t>Menindee Formation</w:t>
      </w:r>
      <w:r w:rsidRPr="00FE46B5">
        <w:rPr>
          <w:szCs w:val="22"/>
        </w:rPr>
        <w:t xml:space="preserve"> floodplain is flooded by the highest floods of the modern regime. </w:t>
      </w:r>
    </w:p>
    <w:p w:rsidR="00651FA3" w:rsidRDefault="00651FA3" w:rsidP="00F46C06">
      <w:pPr>
        <w:rPr>
          <w:szCs w:val="22"/>
        </w:rPr>
      </w:pPr>
    </w:p>
    <w:p w:rsidR="002658BF" w:rsidRDefault="00F46C06" w:rsidP="00F46C06">
      <w:pPr>
        <w:rPr>
          <w:szCs w:val="22"/>
        </w:rPr>
      </w:pPr>
      <w:r w:rsidRPr="00FE46B5">
        <w:rPr>
          <w:szCs w:val="22"/>
        </w:rPr>
        <w:t xml:space="preserve">Limited OSL dating of point-bar sands from the </w:t>
      </w:r>
      <w:r w:rsidR="00C217F0">
        <w:rPr>
          <w:szCs w:val="22"/>
        </w:rPr>
        <w:t>Menindee Formation</w:t>
      </w:r>
      <w:r w:rsidRPr="00FE46B5">
        <w:rPr>
          <w:szCs w:val="22"/>
        </w:rPr>
        <w:t xml:space="preserve"> has demonstrated that lateral-migrat</w:t>
      </w:r>
      <w:r w:rsidR="00C8452D">
        <w:rPr>
          <w:szCs w:val="22"/>
        </w:rPr>
        <w:t>ion phases were active at 45-50</w:t>
      </w:r>
      <w:r w:rsidR="00784BD1">
        <w:rPr>
          <w:szCs w:val="22"/>
        </w:rPr>
        <w:t xml:space="preserve"> </w:t>
      </w:r>
      <w:r w:rsidRPr="00FE46B5">
        <w:rPr>
          <w:szCs w:val="22"/>
        </w:rPr>
        <w:t xml:space="preserve">ka (= thousand </w:t>
      </w:r>
      <w:r w:rsidR="00C8452D">
        <w:rPr>
          <w:szCs w:val="22"/>
        </w:rPr>
        <w:t>years ago), 85</w:t>
      </w:r>
      <w:r w:rsidR="00784BD1">
        <w:rPr>
          <w:szCs w:val="22"/>
        </w:rPr>
        <w:t xml:space="preserve"> </w:t>
      </w:r>
      <w:r w:rsidR="00C8452D">
        <w:rPr>
          <w:szCs w:val="22"/>
        </w:rPr>
        <w:t>ka and &gt;150</w:t>
      </w:r>
      <w:r w:rsidR="00784BD1">
        <w:rPr>
          <w:szCs w:val="22"/>
        </w:rPr>
        <w:t xml:space="preserve"> </w:t>
      </w:r>
      <w:r w:rsidRPr="00FE46B5">
        <w:rPr>
          <w:szCs w:val="22"/>
        </w:rPr>
        <w:t xml:space="preserve">ka and many more phases almost certainly occur, but have not yet been </w:t>
      </w:r>
      <w:r w:rsidRPr="00795774">
        <w:rPr>
          <w:szCs w:val="22"/>
        </w:rPr>
        <w:t>dated</w:t>
      </w:r>
      <w:r w:rsidR="00D83E45" w:rsidRPr="00795774">
        <w:rPr>
          <w:szCs w:val="22"/>
        </w:rPr>
        <w:t xml:space="preserve"> (</w:t>
      </w:r>
      <w:r w:rsidR="00CD2825" w:rsidRPr="00795774">
        <w:rPr>
          <w:szCs w:val="22"/>
        </w:rPr>
        <w:fldChar w:fldCharType="begin"/>
      </w:r>
      <w:r w:rsidR="00CD2825" w:rsidRPr="00795774">
        <w:rPr>
          <w:szCs w:val="22"/>
        </w:rPr>
        <w:instrText xml:space="preserve"> REF _Ref325709558 \h </w:instrText>
      </w:r>
      <w:r w:rsidR="00795774" w:rsidRPr="00795774">
        <w:rPr>
          <w:szCs w:val="22"/>
        </w:rPr>
        <w:instrText xml:space="preserve"> \* MERGEFORMAT </w:instrText>
      </w:r>
      <w:r w:rsidR="00CD2825" w:rsidRPr="00795774">
        <w:rPr>
          <w:szCs w:val="22"/>
        </w:rPr>
      </w:r>
      <w:r w:rsidR="00CD2825" w:rsidRPr="00795774">
        <w:rPr>
          <w:szCs w:val="22"/>
        </w:rPr>
        <w:fldChar w:fldCharType="separate"/>
      </w:r>
      <w:r w:rsidR="00966532" w:rsidRPr="00966532">
        <w:t xml:space="preserve">Table </w:t>
      </w:r>
      <w:r w:rsidR="00966532" w:rsidRPr="00966532">
        <w:rPr>
          <w:noProof/>
        </w:rPr>
        <w:t>5</w:t>
      </w:r>
      <w:r w:rsidR="00966532" w:rsidRPr="00966532">
        <w:rPr>
          <w:noProof/>
        </w:rPr>
        <w:noBreakHyphen/>
        <w:t>1</w:t>
      </w:r>
      <w:r w:rsidR="00CD2825" w:rsidRPr="00795774">
        <w:rPr>
          <w:szCs w:val="22"/>
        </w:rPr>
        <w:fldChar w:fldCharType="end"/>
      </w:r>
      <w:r w:rsidR="00D83E45" w:rsidRPr="00795774">
        <w:rPr>
          <w:szCs w:val="22"/>
        </w:rPr>
        <w:t>)</w:t>
      </w:r>
      <w:r w:rsidRPr="00795774">
        <w:rPr>
          <w:szCs w:val="22"/>
        </w:rPr>
        <w:t>. The</w:t>
      </w:r>
      <w:r w:rsidRPr="00FE46B5">
        <w:rPr>
          <w:szCs w:val="22"/>
        </w:rPr>
        <w:t xml:space="preserve"> northern part of </w:t>
      </w:r>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r w:rsidRPr="00FE46B5">
        <w:rPr>
          <w:szCs w:val="22"/>
        </w:rPr>
        <w:t xml:space="preserve"> overlies fluvial later</w:t>
      </w:r>
      <w:r w:rsidR="00C8452D">
        <w:rPr>
          <w:szCs w:val="22"/>
        </w:rPr>
        <w:t>al-migration sands, dated to 85</w:t>
      </w:r>
      <w:r w:rsidR="00784BD1">
        <w:rPr>
          <w:szCs w:val="22"/>
        </w:rPr>
        <w:t xml:space="preserve"> </w:t>
      </w:r>
      <w:r w:rsidRPr="00FE46B5">
        <w:rPr>
          <w:szCs w:val="22"/>
        </w:rPr>
        <w:t xml:space="preserve">ka and interpreted as </w:t>
      </w:r>
      <w:r w:rsidR="00C217F0">
        <w:rPr>
          <w:szCs w:val="22"/>
        </w:rPr>
        <w:t>Menindee Formation</w:t>
      </w:r>
      <w:r w:rsidRPr="00FE46B5">
        <w:rPr>
          <w:szCs w:val="22"/>
        </w:rPr>
        <w:t xml:space="preserve"> equivalent lateral-valley sediments sourced in the </w:t>
      </w:r>
      <w:smartTag w:uri="urn:schemas-microsoft-com:office:smarttags" w:element="place">
        <w:smartTag w:uri="urn:schemas-microsoft-com:office:smarttags" w:element="PlaceName">
          <w:r w:rsidRPr="00FE46B5">
            <w:rPr>
              <w:szCs w:val="22"/>
            </w:rPr>
            <w:t>Scopes</w:t>
          </w:r>
        </w:smartTag>
        <w:r w:rsidRPr="00FE46B5">
          <w:rPr>
            <w:szCs w:val="22"/>
          </w:rPr>
          <w:t xml:space="preserve"> </w:t>
        </w:r>
        <w:smartTag w:uri="urn:schemas-microsoft-com:office:smarttags" w:element="PlaceType">
          <w:r w:rsidRPr="00FE46B5">
            <w:rPr>
              <w:szCs w:val="22"/>
            </w:rPr>
            <w:t>Range</w:t>
          </w:r>
        </w:smartTag>
      </w:smartTag>
      <w:r w:rsidRPr="00FE46B5">
        <w:rPr>
          <w:szCs w:val="22"/>
        </w:rPr>
        <w:t xml:space="preserve">. </w:t>
      </w:r>
    </w:p>
    <w:p w:rsidR="002658BF" w:rsidRDefault="002658BF" w:rsidP="00F46C06">
      <w:pPr>
        <w:rPr>
          <w:szCs w:val="22"/>
        </w:rPr>
      </w:pPr>
    </w:p>
    <w:p w:rsidR="00983981" w:rsidRPr="00FE46B5" w:rsidRDefault="00F46C06" w:rsidP="00983981">
      <w:pPr>
        <w:rPr>
          <w:szCs w:val="22"/>
        </w:rPr>
      </w:pPr>
      <w:r w:rsidRPr="00FE46B5">
        <w:rPr>
          <w:szCs w:val="22"/>
        </w:rPr>
        <w:t xml:space="preserve">The </w:t>
      </w:r>
      <w:r w:rsidR="002B050B">
        <w:rPr>
          <w:szCs w:val="22"/>
        </w:rPr>
        <w:t xml:space="preserve">basal </w:t>
      </w:r>
      <w:r w:rsidR="00C217F0">
        <w:rPr>
          <w:szCs w:val="22"/>
        </w:rPr>
        <w:t>Menindee Formation</w:t>
      </w:r>
      <w:r w:rsidR="002B050B">
        <w:rPr>
          <w:szCs w:val="22"/>
        </w:rPr>
        <w:t xml:space="preserve"> sands form a shallow unconfined aquifer in the river corridor. The unit becomes progressively unsaturated as the watertable deepens away from the modern drainage.</w:t>
      </w:r>
      <w:r w:rsidR="001E1E35">
        <w:rPr>
          <w:szCs w:val="22"/>
        </w:rPr>
        <w:t xml:space="preserve"> </w:t>
      </w:r>
      <w:r w:rsidRPr="00FE46B5">
        <w:rPr>
          <w:szCs w:val="22"/>
        </w:rPr>
        <w:t>The overbank mud unit is widespread and is part of the ne</w:t>
      </w:r>
      <w:r w:rsidR="009F19CC">
        <w:rPr>
          <w:szCs w:val="22"/>
        </w:rPr>
        <w:t>ar-surface aquitard, forming a thick (up to 12</w:t>
      </w:r>
      <w:r w:rsidR="00784BD1">
        <w:rPr>
          <w:szCs w:val="22"/>
        </w:rPr>
        <w:t xml:space="preserve"> </w:t>
      </w:r>
      <w:r w:rsidR="009F19CC">
        <w:rPr>
          <w:szCs w:val="22"/>
        </w:rPr>
        <w:t xml:space="preserve">m) and </w:t>
      </w:r>
      <w:r w:rsidRPr="00FE46B5">
        <w:rPr>
          <w:szCs w:val="22"/>
        </w:rPr>
        <w:t>effective barrier to vertical infiltration. Secondary mineralisation in the sands, especially of carbonate, probably becomes better developed with a</w:t>
      </w:r>
      <w:r>
        <w:rPr>
          <w:szCs w:val="22"/>
        </w:rPr>
        <w:t>ge</w:t>
      </w:r>
      <w:r w:rsidR="009F19CC">
        <w:rPr>
          <w:szCs w:val="22"/>
        </w:rPr>
        <w:t>,</w:t>
      </w:r>
      <w:r>
        <w:rPr>
          <w:szCs w:val="22"/>
        </w:rPr>
        <w:t xml:space="preserve"> and </w:t>
      </w:r>
      <w:r w:rsidR="009F19CC">
        <w:rPr>
          <w:szCs w:val="22"/>
        </w:rPr>
        <w:t xml:space="preserve">is likely to reduce </w:t>
      </w:r>
      <w:r w:rsidR="002B050B">
        <w:rPr>
          <w:szCs w:val="22"/>
        </w:rPr>
        <w:t xml:space="preserve">aquifer </w:t>
      </w:r>
      <w:r w:rsidR="009F19CC">
        <w:rPr>
          <w:szCs w:val="22"/>
        </w:rPr>
        <w:t>transmissivities</w:t>
      </w:r>
      <w:r>
        <w:rPr>
          <w:szCs w:val="22"/>
        </w:rPr>
        <w:t>.</w:t>
      </w:r>
      <w:r w:rsidRPr="00FE46B5">
        <w:rPr>
          <w:szCs w:val="22"/>
        </w:rPr>
        <w:t xml:space="preserve"> </w:t>
      </w:r>
      <w:r w:rsidR="009F19CC">
        <w:rPr>
          <w:szCs w:val="22"/>
        </w:rPr>
        <w:t xml:space="preserve">It is also noted that where </w:t>
      </w:r>
      <w:r w:rsidRPr="00FE46B5">
        <w:rPr>
          <w:szCs w:val="22"/>
        </w:rPr>
        <w:t xml:space="preserve">the </w:t>
      </w:r>
      <w:smartTag w:uri="urn:schemas-microsoft-com:office:smarttags" w:element="place">
        <w:r w:rsidRPr="00FE46B5">
          <w:rPr>
            <w:szCs w:val="22"/>
          </w:rPr>
          <w:t>Darling River</w:t>
        </w:r>
      </w:smartTag>
      <w:r w:rsidRPr="00FE46B5">
        <w:rPr>
          <w:szCs w:val="22"/>
        </w:rPr>
        <w:t xml:space="preserve"> cut</w:t>
      </w:r>
      <w:r w:rsidR="009F19CC">
        <w:rPr>
          <w:szCs w:val="22"/>
        </w:rPr>
        <w:t>s</w:t>
      </w:r>
      <w:r w:rsidRPr="00FE46B5">
        <w:rPr>
          <w:szCs w:val="22"/>
        </w:rPr>
        <w:t xml:space="preserve"> into</w:t>
      </w:r>
      <w:r w:rsidR="009F19CC">
        <w:rPr>
          <w:szCs w:val="22"/>
        </w:rPr>
        <w:t xml:space="preserve"> </w:t>
      </w:r>
      <w:r w:rsidR="00C217F0">
        <w:rPr>
          <w:szCs w:val="22"/>
        </w:rPr>
        <w:t>Menindee Formation</w:t>
      </w:r>
      <w:r w:rsidR="009F19CC">
        <w:rPr>
          <w:szCs w:val="22"/>
        </w:rPr>
        <w:t xml:space="preserve"> lower sands, the latter </w:t>
      </w:r>
      <w:r w:rsidRPr="00FE46B5">
        <w:rPr>
          <w:szCs w:val="22"/>
        </w:rPr>
        <w:t>are often impre</w:t>
      </w:r>
      <w:r w:rsidR="009F19CC">
        <w:rPr>
          <w:szCs w:val="22"/>
        </w:rPr>
        <w:t xml:space="preserve">gnated with secondary </w:t>
      </w:r>
      <w:r w:rsidR="009F19CC" w:rsidRPr="00106292">
        <w:rPr>
          <w:szCs w:val="22"/>
        </w:rPr>
        <w:t xml:space="preserve">carbonate. </w:t>
      </w:r>
      <w:r w:rsidR="00DF0CAB" w:rsidRPr="00106292">
        <w:rPr>
          <w:szCs w:val="22"/>
        </w:rPr>
        <w:t>Drill core</w:t>
      </w:r>
      <w:r w:rsidR="009F19CC" w:rsidRPr="00106292">
        <w:rPr>
          <w:szCs w:val="22"/>
        </w:rPr>
        <w:t xml:space="preserve"> just over 100</w:t>
      </w:r>
      <w:r w:rsidR="0008529C">
        <w:rPr>
          <w:szCs w:val="22"/>
        </w:rPr>
        <w:t xml:space="preserve"> </w:t>
      </w:r>
      <w:r w:rsidR="009F19CC" w:rsidRPr="00106292">
        <w:rPr>
          <w:szCs w:val="22"/>
        </w:rPr>
        <w:t>m distance to these cuttings does not show similar carbonate mineralisation (Lawrie</w:t>
      </w:r>
      <w:r w:rsidR="008A5F7D" w:rsidRPr="00CF7613">
        <w:rPr>
          <w:rStyle w:val="StyleItalic"/>
        </w:rPr>
        <w:t xml:space="preserve"> et al</w:t>
      </w:r>
      <w:r w:rsidR="009F19CC" w:rsidRPr="00106292">
        <w:rPr>
          <w:szCs w:val="22"/>
        </w:rPr>
        <w:t xml:space="preserve">., 2012b). These carbonate cements are </w:t>
      </w:r>
      <w:r w:rsidRPr="00106292">
        <w:rPr>
          <w:szCs w:val="22"/>
        </w:rPr>
        <w:t>likely to impede lateral infiltration</w:t>
      </w:r>
      <w:r w:rsidR="009F19CC" w:rsidRPr="00106292">
        <w:rPr>
          <w:szCs w:val="22"/>
        </w:rPr>
        <w:t xml:space="preserve"> from the river into the formation</w:t>
      </w:r>
      <w:r w:rsidRPr="00106292">
        <w:rPr>
          <w:szCs w:val="22"/>
        </w:rPr>
        <w:t>.</w:t>
      </w:r>
      <w:r w:rsidR="00983981" w:rsidRPr="00106292">
        <w:rPr>
          <w:szCs w:val="22"/>
        </w:rPr>
        <w:t xml:space="preserve"> </w:t>
      </w:r>
      <w:r w:rsidR="00106292">
        <w:rPr>
          <w:szCs w:val="22"/>
        </w:rPr>
        <w:t>The</w:t>
      </w:r>
      <w:r w:rsidR="00983981" w:rsidRPr="00106292">
        <w:rPr>
          <w:szCs w:val="22"/>
        </w:rPr>
        <w:t xml:space="preserve"> </w:t>
      </w:r>
      <w:r w:rsidR="00C217F0">
        <w:rPr>
          <w:szCs w:val="22"/>
        </w:rPr>
        <w:t>Menindee Formation</w:t>
      </w:r>
      <w:r w:rsidR="00983981" w:rsidRPr="00106292">
        <w:rPr>
          <w:szCs w:val="22"/>
        </w:rPr>
        <w:t xml:space="preserve"> is </w:t>
      </w:r>
      <w:r w:rsidR="00106292">
        <w:rPr>
          <w:szCs w:val="22"/>
        </w:rPr>
        <w:t>described in more detail in</w:t>
      </w:r>
      <w:r w:rsidR="00983981" w:rsidRPr="00106292">
        <w:rPr>
          <w:szCs w:val="22"/>
        </w:rPr>
        <w:t xml:space="preserve"> Lawrie</w:t>
      </w:r>
      <w:r w:rsidR="008A5F7D" w:rsidRPr="00CF7613">
        <w:rPr>
          <w:rStyle w:val="StyleItalic"/>
        </w:rPr>
        <w:t xml:space="preserve"> et al</w:t>
      </w:r>
      <w:r w:rsidR="00983981" w:rsidRPr="00106292">
        <w:rPr>
          <w:szCs w:val="22"/>
        </w:rPr>
        <w:t>. (2012b).</w:t>
      </w:r>
    </w:p>
    <w:p w:rsidR="00F46C06" w:rsidRPr="00C6655F" w:rsidRDefault="00C217F0" w:rsidP="00EF7E00">
      <w:pPr>
        <w:pStyle w:val="Heading3"/>
        <w:tabs>
          <w:tab w:val="left" w:pos="1080"/>
        </w:tabs>
        <w:spacing w:before="320"/>
        <w:ind w:left="1080" w:hanging="1080"/>
      </w:pPr>
      <w:bookmarkStart w:id="280" w:name="_Toc327316282"/>
      <w:bookmarkStart w:id="281" w:name="_Toc327322606"/>
      <w:bookmarkStart w:id="282" w:name="_Toc390690113"/>
      <w:bookmarkEnd w:id="280"/>
      <w:bookmarkEnd w:id="281"/>
      <w:r>
        <w:t>Coonambidgal Formation</w:t>
      </w:r>
      <w:bookmarkEnd w:id="282"/>
    </w:p>
    <w:p w:rsidR="00F46C06" w:rsidRPr="00795774" w:rsidRDefault="00F46C06" w:rsidP="00F46C06">
      <w:pPr>
        <w:rPr>
          <w:szCs w:val="22"/>
        </w:rPr>
      </w:pPr>
      <w:r w:rsidRPr="00FE46B5">
        <w:rPr>
          <w:szCs w:val="22"/>
        </w:rPr>
        <w:t xml:space="preserve">The </w:t>
      </w:r>
      <w:r w:rsidR="00C217F0">
        <w:rPr>
          <w:szCs w:val="22"/>
        </w:rPr>
        <w:t>Coonambidgal Formation</w:t>
      </w:r>
      <w:r w:rsidRPr="00FE46B5">
        <w:rPr>
          <w:szCs w:val="22"/>
        </w:rPr>
        <w:t xml:space="preserve"> consists of scroll-plain tracts, formed by episodic lateral migration phases</w:t>
      </w:r>
      <w:r w:rsidR="00983981">
        <w:rPr>
          <w:szCs w:val="22"/>
        </w:rPr>
        <w:t xml:space="preserve"> </w:t>
      </w:r>
      <w:r w:rsidRPr="00FE46B5">
        <w:rPr>
          <w:szCs w:val="22"/>
        </w:rPr>
        <w:t xml:space="preserve">that are incised into the </w:t>
      </w:r>
      <w:r w:rsidR="00C217F0">
        <w:rPr>
          <w:szCs w:val="22"/>
        </w:rPr>
        <w:t>Menindee Formation</w:t>
      </w:r>
      <w:r w:rsidRPr="00FE46B5">
        <w:rPr>
          <w:szCs w:val="22"/>
        </w:rPr>
        <w:t xml:space="preserve"> </w:t>
      </w:r>
      <w:r w:rsidRPr="00795774">
        <w:rPr>
          <w:szCs w:val="22"/>
        </w:rPr>
        <w:t>floodplain</w:t>
      </w:r>
      <w:r w:rsidR="00D83E45" w:rsidRPr="00795774">
        <w:rPr>
          <w:szCs w:val="22"/>
        </w:rPr>
        <w:t xml:space="preserve"> (</w:t>
      </w:r>
      <w:r w:rsidR="001741E7" w:rsidRPr="00795774">
        <w:fldChar w:fldCharType="begin"/>
      </w:r>
      <w:r w:rsidR="001741E7" w:rsidRPr="00795774">
        <w:instrText xml:space="preserve"> REF _Ref325707443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5</w:t>
      </w:r>
      <w:r w:rsidR="00966532" w:rsidRPr="00966532">
        <w:rPr>
          <w:noProof/>
        </w:rPr>
        <w:noBreakHyphen/>
        <w:t>2</w:t>
      </w:r>
      <w:r w:rsidR="001741E7" w:rsidRPr="00795774">
        <w:fldChar w:fldCharType="end"/>
      </w:r>
      <w:r w:rsidR="00D83E45" w:rsidRPr="00795774">
        <w:t>;</w:t>
      </w:r>
      <w:r w:rsidR="00A6797D" w:rsidRPr="00795774">
        <w:t xml:space="preserve"> </w:t>
      </w:r>
      <w:r w:rsidR="00CD2825" w:rsidRPr="00795774">
        <w:fldChar w:fldCharType="begin"/>
      </w:r>
      <w:r w:rsidR="00CD2825" w:rsidRPr="00795774">
        <w:instrText xml:space="preserve"> REF _Ref325709594 \h </w:instrText>
      </w:r>
      <w:r w:rsidR="00795774" w:rsidRPr="00795774">
        <w:instrText xml:space="preserve"> \* MERGEFORMAT </w:instrText>
      </w:r>
      <w:r w:rsidR="00CD2825" w:rsidRPr="00795774">
        <w:fldChar w:fldCharType="separate"/>
      </w:r>
      <w:r w:rsidR="00966532" w:rsidRPr="00966532">
        <w:t xml:space="preserve">Table </w:t>
      </w:r>
      <w:r w:rsidR="00966532" w:rsidRPr="00966532">
        <w:rPr>
          <w:noProof/>
        </w:rPr>
        <w:t>5</w:t>
      </w:r>
      <w:r w:rsidR="00966532" w:rsidRPr="00966532">
        <w:rPr>
          <w:noProof/>
        </w:rPr>
        <w:noBreakHyphen/>
        <w:t>2</w:t>
      </w:r>
      <w:r w:rsidR="00CD2825" w:rsidRPr="00795774">
        <w:fldChar w:fldCharType="end"/>
      </w:r>
      <w:r w:rsidR="00D83E45" w:rsidRPr="00795774">
        <w:rPr>
          <w:szCs w:val="22"/>
        </w:rPr>
        <w:t>)</w:t>
      </w:r>
      <w:r w:rsidRPr="00795774">
        <w:rPr>
          <w:szCs w:val="22"/>
        </w:rPr>
        <w:t xml:space="preserve">. </w:t>
      </w:r>
      <w:r w:rsidR="000B6435">
        <w:rPr>
          <w:szCs w:val="22"/>
        </w:rPr>
        <w:t>Four</w:t>
      </w:r>
      <w:r w:rsidR="000B6435" w:rsidRPr="00795774">
        <w:rPr>
          <w:szCs w:val="22"/>
        </w:rPr>
        <w:t xml:space="preserve"> </w:t>
      </w:r>
      <w:r w:rsidRPr="00795774">
        <w:rPr>
          <w:szCs w:val="22"/>
        </w:rPr>
        <w:t xml:space="preserve">cross-cutting scroll-plain phases are designated </w:t>
      </w:r>
      <w:r w:rsidR="00C217F0">
        <w:rPr>
          <w:szCs w:val="22"/>
        </w:rPr>
        <w:t>Coonambidgal Formation</w:t>
      </w:r>
      <w:r w:rsidRPr="00795774">
        <w:rPr>
          <w:szCs w:val="22"/>
        </w:rPr>
        <w:t xml:space="preserve"> Phases 1-</w:t>
      </w:r>
      <w:r w:rsidR="000B6435">
        <w:rPr>
          <w:szCs w:val="22"/>
        </w:rPr>
        <w:t xml:space="preserve">4, with the three younger phases dated by </w:t>
      </w:r>
      <w:r w:rsidR="000B6435" w:rsidRPr="00795774">
        <w:rPr>
          <w:szCs w:val="22"/>
        </w:rPr>
        <w:t>OSL and</w:t>
      </w:r>
      <w:r w:rsidR="000B6435">
        <w:rPr>
          <w:szCs w:val="22"/>
        </w:rPr>
        <w:t xml:space="preserve"> radiocarbon</w:t>
      </w:r>
      <w:r w:rsidRPr="00795774">
        <w:rPr>
          <w:szCs w:val="22"/>
        </w:rPr>
        <w:t xml:space="preserve">. The youngest, now inactive, scroll-plain phase, associated with the modern </w:t>
      </w:r>
      <w:smartTag w:uri="urn:schemas-microsoft-com:office:smarttags" w:element="place">
        <w:r w:rsidRPr="00795774">
          <w:rPr>
            <w:szCs w:val="22"/>
          </w:rPr>
          <w:t>Darling River</w:t>
        </w:r>
      </w:smartTag>
      <w:r w:rsidRPr="00795774">
        <w:rPr>
          <w:szCs w:val="22"/>
        </w:rPr>
        <w:t xml:space="preserve"> (</w:t>
      </w:r>
      <w:r w:rsidR="00C217F0">
        <w:rPr>
          <w:szCs w:val="22"/>
        </w:rPr>
        <w:t>Coonambidgal Formation</w:t>
      </w:r>
      <w:r w:rsidRPr="00795774">
        <w:rPr>
          <w:szCs w:val="22"/>
        </w:rPr>
        <w:t xml:space="preserve"> 1</w:t>
      </w:r>
      <w:r w:rsidR="00C8452D">
        <w:rPr>
          <w:szCs w:val="22"/>
        </w:rPr>
        <w:t>), was active in the period 6-2</w:t>
      </w:r>
      <w:r w:rsidR="00784BD1">
        <w:rPr>
          <w:szCs w:val="22"/>
        </w:rPr>
        <w:t xml:space="preserve"> </w:t>
      </w:r>
      <w:r w:rsidRPr="00795774">
        <w:rPr>
          <w:szCs w:val="22"/>
        </w:rPr>
        <w:t>ka. The previous Talyawalka-Anabranch scroll-plain phase (</w:t>
      </w:r>
      <w:r w:rsidR="00C217F0">
        <w:rPr>
          <w:szCs w:val="22"/>
        </w:rPr>
        <w:t>Coonambidgal Formation</w:t>
      </w:r>
      <w:r w:rsidRPr="00795774">
        <w:rPr>
          <w:szCs w:val="22"/>
        </w:rPr>
        <w:t xml:space="preserve"> 2) has LGM (Last Glacial Maximum) dates around 2</w:t>
      </w:r>
      <w:r w:rsidR="00C8452D">
        <w:rPr>
          <w:szCs w:val="22"/>
        </w:rPr>
        <w:t>2-17</w:t>
      </w:r>
      <w:r w:rsidR="00784BD1">
        <w:rPr>
          <w:szCs w:val="22"/>
        </w:rPr>
        <w:t xml:space="preserve"> </w:t>
      </w:r>
      <w:r w:rsidR="00651FA3" w:rsidRPr="00795774">
        <w:rPr>
          <w:szCs w:val="22"/>
        </w:rPr>
        <w:t xml:space="preserve">ka. </w:t>
      </w:r>
      <w:r w:rsidRPr="00795774">
        <w:rPr>
          <w:szCs w:val="22"/>
        </w:rPr>
        <w:t>Indistinct scroll-plain tracts of the relict Talyawalka-Anabranch system (</w:t>
      </w:r>
      <w:r w:rsidR="00C217F0">
        <w:rPr>
          <w:szCs w:val="22"/>
        </w:rPr>
        <w:t>Coonambidgal Formation</w:t>
      </w:r>
      <w:r w:rsidRPr="00795774">
        <w:rPr>
          <w:szCs w:val="22"/>
        </w:rPr>
        <w:t xml:space="preserve"> 3), are evident both upstream and downstream of </w:t>
      </w:r>
      <w:r w:rsidR="00C217F0">
        <w:rPr>
          <w:szCs w:val="22"/>
        </w:rPr>
        <w:t xml:space="preserve">Menindee </w:t>
      </w:r>
      <w:r w:rsidRPr="00795774">
        <w:rPr>
          <w:szCs w:val="22"/>
        </w:rPr>
        <w:t>and have ages around 25-30</w:t>
      </w:r>
      <w:r w:rsidR="00784BD1">
        <w:rPr>
          <w:szCs w:val="22"/>
        </w:rPr>
        <w:t xml:space="preserve"> </w:t>
      </w:r>
      <w:r w:rsidRPr="00795774">
        <w:rPr>
          <w:szCs w:val="22"/>
        </w:rPr>
        <w:t xml:space="preserve">ka. Very limited relict scroll-plain traces adjacent to the Darling River upstream of near </w:t>
      </w:r>
      <w:smartTag w:uri="urn:schemas-microsoft-com:office:smarttags" w:element="place">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smartTag>
      <w:r w:rsidRPr="00795774">
        <w:rPr>
          <w:szCs w:val="22"/>
        </w:rPr>
        <w:t xml:space="preserve"> are undated but are designated as </w:t>
      </w:r>
      <w:r w:rsidR="00C217F0">
        <w:rPr>
          <w:szCs w:val="22"/>
        </w:rPr>
        <w:t>Coonambidgal Formation</w:t>
      </w:r>
      <w:r w:rsidRPr="00795774">
        <w:rPr>
          <w:szCs w:val="22"/>
        </w:rPr>
        <w:t xml:space="preserve"> 4</w:t>
      </w:r>
      <w:r w:rsidR="00D83E45" w:rsidRPr="00795774">
        <w:rPr>
          <w:szCs w:val="22"/>
        </w:rPr>
        <w:t xml:space="preserve"> (</w:t>
      </w:r>
      <w:r w:rsidR="00CD2825" w:rsidRPr="00795774">
        <w:rPr>
          <w:szCs w:val="22"/>
        </w:rPr>
        <w:fldChar w:fldCharType="begin"/>
      </w:r>
      <w:r w:rsidR="00CD2825" w:rsidRPr="00795774">
        <w:rPr>
          <w:szCs w:val="22"/>
        </w:rPr>
        <w:instrText xml:space="preserve"> REF _Ref325709558 \h </w:instrText>
      </w:r>
      <w:r w:rsidR="00795774" w:rsidRPr="00795774">
        <w:rPr>
          <w:szCs w:val="22"/>
        </w:rPr>
        <w:instrText xml:space="preserve"> \* MERGEFORMAT </w:instrText>
      </w:r>
      <w:r w:rsidR="00CD2825" w:rsidRPr="00795774">
        <w:rPr>
          <w:szCs w:val="22"/>
        </w:rPr>
      </w:r>
      <w:r w:rsidR="00CD2825" w:rsidRPr="00795774">
        <w:rPr>
          <w:szCs w:val="22"/>
        </w:rPr>
        <w:fldChar w:fldCharType="separate"/>
      </w:r>
      <w:r w:rsidR="00966532" w:rsidRPr="00966532">
        <w:t xml:space="preserve">Table </w:t>
      </w:r>
      <w:r w:rsidR="00966532" w:rsidRPr="00966532">
        <w:rPr>
          <w:noProof/>
        </w:rPr>
        <w:t>5</w:t>
      </w:r>
      <w:r w:rsidR="00966532" w:rsidRPr="00966532">
        <w:rPr>
          <w:noProof/>
        </w:rPr>
        <w:noBreakHyphen/>
        <w:t>1</w:t>
      </w:r>
      <w:r w:rsidR="00CD2825" w:rsidRPr="00795774">
        <w:rPr>
          <w:szCs w:val="22"/>
        </w:rPr>
        <w:fldChar w:fldCharType="end"/>
      </w:r>
      <w:r w:rsidR="00D83E45" w:rsidRPr="00795774">
        <w:rPr>
          <w:szCs w:val="22"/>
        </w:rPr>
        <w:t>)</w:t>
      </w:r>
      <w:r w:rsidRPr="00795774">
        <w:rPr>
          <w:szCs w:val="22"/>
        </w:rPr>
        <w:t xml:space="preserve">. </w:t>
      </w:r>
    </w:p>
    <w:p w:rsidR="00F46C06" w:rsidRDefault="00F46C06" w:rsidP="00F46C06">
      <w:pPr>
        <w:rPr>
          <w:szCs w:val="22"/>
        </w:rPr>
      </w:pPr>
    </w:p>
    <w:p w:rsidR="00651FA3" w:rsidRDefault="00F46C06" w:rsidP="00F46C06">
      <w:pPr>
        <w:rPr>
          <w:szCs w:val="22"/>
        </w:rPr>
      </w:pPr>
      <w:r w:rsidRPr="00FE46B5">
        <w:rPr>
          <w:szCs w:val="22"/>
        </w:rPr>
        <w:t>Stratigraphically and sedimentologically</w:t>
      </w:r>
      <w:r w:rsidR="00527379">
        <w:rPr>
          <w:szCs w:val="22"/>
        </w:rPr>
        <w:t>,</w:t>
      </w:r>
      <w:r w:rsidRPr="00FE46B5">
        <w:rPr>
          <w:szCs w:val="22"/>
        </w:rPr>
        <w:t xml:space="preserve"> </w:t>
      </w:r>
      <w:r w:rsidR="00C217F0">
        <w:rPr>
          <w:szCs w:val="22"/>
        </w:rPr>
        <w:t>Coonambidgal Formation</w:t>
      </w:r>
      <w:r w:rsidRPr="00FE46B5">
        <w:rPr>
          <w:szCs w:val="22"/>
        </w:rPr>
        <w:t xml:space="preserve"> sediments are essentially identical to the </w:t>
      </w:r>
      <w:r w:rsidR="00C217F0">
        <w:rPr>
          <w:szCs w:val="22"/>
        </w:rPr>
        <w:t>Menindee Formation</w:t>
      </w:r>
      <w:r w:rsidRPr="00FE46B5">
        <w:rPr>
          <w:szCs w:val="22"/>
        </w:rPr>
        <w:t xml:space="preserve"> with the average thickness in core intersections about 14 m and basal fine to coarse sands (7.3 m average thickness)</w:t>
      </w:r>
      <w:r w:rsidR="00C8452D">
        <w:rPr>
          <w:szCs w:val="22"/>
        </w:rPr>
        <w:t xml:space="preserve"> overlain by overbank muds (7.5</w:t>
      </w:r>
      <w:r w:rsidR="00784BD1">
        <w:rPr>
          <w:szCs w:val="22"/>
        </w:rPr>
        <w:t xml:space="preserve"> </w:t>
      </w:r>
      <w:r w:rsidRPr="00FE46B5">
        <w:rPr>
          <w:szCs w:val="22"/>
        </w:rPr>
        <w:t xml:space="preserve">m average thickness). Morphologically the scroll-plain meander dimensions vary, </w:t>
      </w:r>
      <w:r w:rsidR="00B84D71">
        <w:rPr>
          <w:szCs w:val="22"/>
        </w:rPr>
        <w:t>presumably</w:t>
      </w:r>
      <w:r w:rsidRPr="00FE46B5">
        <w:rPr>
          <w:szCs w:val="22"/>
        </w:rPr>
        <w:t xml:space="preserve"> due to variations in stream discharge while the lateral migration phases were active. </w:t>
      </w:r>
    </w:p>
    <w:p w:rsidR="00651FA3" w:rsidRDefault="00651FA3" w:rsidP="00F46C06">
      <w:pPr>
        <w:rPr>
          <w:szCs w:val="22"/>
        </w:rPr>
      </w:pPr>
    </w:p>
    <w:p w:rsidR="00651FA3" w:rsidRDefault="00C217F0" w:rsidP="00F46C06">
      <w:pPr>
        <w:rPr>
          <w:szCs w:val="22"/>
        </w:rPr>
      </w:pPr>
      <w:r>
        <w:rPr>
          <w:szCs w:val="22"/>
        </w:rPr>
        <w:t>Coonambidgal Formation</w:t>
      </w:r>
      <w:r w:rsidR="00F46C06" w:rsidRPr="00FE46B5">
        <w:rPr>
          <w:szCs w:val="22"/>
        </w:rPr>
        <w:t xml:space="preserve"> 1, associated with the modern Darling, has the lowest sinuosity and smallest meander amplitude, meander wavelength and radius of scroll curvature, indicating it had lower discharge. The sinuosity, meander amplitude and scroll radius of curvature of </w:t>
      </w:r>
      <w:r>
        <w:rPr>
          <w:szCs w:val="22"/>
        </w:rPr>
        <w:t>Coonambidgal Formation</w:t>
      </w:r>
      <w:r w:rsidR="00F46C06" w:rsidRPr="00FE46B5">
        <w:rPr>
          <w:szCs w:val="22"/>
        </w:rPr>
        <w:t xml:space="preserve"> 2 and 3 are essentially the same and considerably larger that </w:t>
      </w:r>
      <w:r>
        <w:rPr>
          <w:szCs w:val="22"/>
        </w:rPr>
        <w:t>Coonambidgal Formation</w:t>
      </w:r>
      <w:r w:rsidR="00F46C06" w:rsidRPr="00FE46B5">
        <w:rPr>
          <w:szCs w:val="22"/>
        </w:rPr>
        <w:t xml:space="preserve"> 1, indicating enhanced stream </w:t>
      </w:r>
      <w:r w:rsidR="00F46C06" w:rsidRPr="00FE46B5">
        <w:rPr>
          <w:szCs w:val="22"/>
        </w:rPr>
        <w:lastRenderedPageBreak/>
        <w:t xml:space="preserve">discharge. The meander wavelength of </w:t>
      </w:r>
      <w:r>
        <w:rPr>
          <w:szCs w:val="22"/>
        </w:rPr>
        <w:t>Coonambidgal Formation</w:t>
      </w:r>
      <w:r w:rsidR="00F46C06" w:rsidRPr="00FE46B5">
        <w:rPr>
          <w:szCs w:val="22"/>
        </w:rPr>
        <w:t xml:space="preserve"> 3 is less than </w:t>
      </w:r>
      <w:r>
        <w:rPr>
          <w:szCs w:val="22"/>
        </w:rPr>
        <w:t>Coonambidgal Formation</w:t>
      </w:r>
      <w:r w:rsidR="00F46C06" w:rsidRPr="00FE46B5">
        <w:rPr>
          <w:szCs w:val="22"/>
        </w:rPr>
        <w:t xml:space="preserve"> 2, though larger than </w:t>
      </w:r>
      <w:r>
        <w:rPr>
          <w:szCs w:val="22"/>
        </w:rPr>
        <w:t>Coonambidgal Formation</w:t>
      </w:r>
      <w:r w:rsidR="00F46C06" w:rsidRPr="00FE46B5">
        <w:rPr>
          <w:szCs w:val="22"/>
        </w:rPr>
        <w:t xml:space="preserve"> 1, indicating some difference in the sediment/discharge</w:t>
      </w:r>
      <w:r w:rsidR="00651FA3">
        <w:rPr>
          <w:szCs w:val="22"/>
        </w:rPr>
        <w:t xml:space="preserve"> regime of the earlier phases. </w:t>
      </w:r>
      <w:r>
        <w:rPr>
          <w:szCs w:val="22"/>
        </w:rPr>
        <w:t>Coonambidgal Formation</w:t>
      </w:r>
      <w:r w:rsidR="00F46C06" w:rsidRPr="00FE46B5">
        <w:rPr>
          <w:szCs w:val="22"/>
        </w:rPr>
        <w:t xml:space="preserve"> 4 is not well enough preserved for measurement of meander parameters. Preservation of scroll morphology becomes less distinct with increasing age. </w:t>
      </w:r>
      <w:r>
        <w:rPr>
          <w:szCs w:val="22"/>
        </w:rPr>
        <w:t>Coonambidgal Formation</w:t>
      </w:r>
      <w:r w:rsidR="00F46C06" w:rsidRPr="00FE46B5">
        <w:rPr>
          <w:szCs w:val="22"/>
        </w:rPr>
        <w:t xml:space="preserve"> 3 is largely overridden and reworked by </w:t>
      </w:r>
      <w:r>
        <w:rPr>
          <w:szCs w:val="22"/>
        </w:rPr>
        <w:t>Coonambidgal Formation</w:t>
      </w:r>
      <w:r w:rsidR="00F46C06" w:rsidRPr="00FE46B5">
        <w:rPr>
          <w:szCs w:val="22"/>
        </w:rPr>
        <w:t xml:space="preserve"> 2 and all </w:t>
      </w:r>
      <w:r>
        <w:rPr>
          <w:szCs w:val="22"/>
        </w:rPr>
        <w:t>Coonambidgal Formation</w:t>
      </w:r>
      <w:r w:rsidR="00F46C06" w:rsidRPr="00FE46B5">
        <w:rPr>
          <w:szCs w:val="22"/>
        </w:rPr>
        <w:t xml:space="preserve"> Phases cross in the centre of the project area just south of </w:t>
      </w:r>
      <w:r>
        <w:rPr>
          <w:szCs w:val="22"/>
        </w:rPr>
        <w:t>Menindee</w:t>
      </w:r>
      <w:r w:rsidR="00F46C06" w:rsidRPr="00FE46B5">
        <w:rPr>
          <w:szCs w:val="22"/>
        </w:rPr>
        <w:t xml:space="preserve">. </w:t>
      </w:r>
    </w:p>
    <w:p w:rsidR="00651FA3" w:rsidRDefault="00651FA3" w:rsidP="00F46C06">
      <w:pPr>
        <w:rPr>
          <w:szCs w:val="22"/>
        </w:rPr>
      </w:pPr>
    </w:p>
    <w:p w:rsidR="00566024" w:rsidRPr="00FE46B5" w:rsidRDefault="00EF39C4" w:rsidP="00566024">
      <w:pPr>
        <w:rPr>
          <w:szCs w:val="22"/>
        </w:rPr>
      </w:pPr>
      <w:r>
        <w:rPr>
          <w:szCs w:val="22"/>
        </w:rPr>
        <w:t xml:space="preserve">The </w:t>
      </w:r>
      <w:r w:rsidR="00C217F0">
        <w:rPr>
          <w:szCs w:val="22"/>
        </w:rPr>
        <w:t>Coonambidgal Formation</w:t>
      </w:r>
      <w:r>
        <w:rPr>
          <w:szCs w:val="22"/>
        </w:rPr>
        <w:t xml:space="preserve"> is the youngest Quaternary fluvial unit, so is the shallow unconfined aquifer with the closest hydraulic connection with the </w:t>
      </w:r>
      <w:smartTag w:uri="urn:schemas-microsoft-com:office:smarttags" w:element="place">
        <w:r>
          <w:rPr>
            <w:szCs w:val="22"/>
          </w:rPr>
          <w:t>Darling River</w:t>
        </w:r>
      </w:smartTag>
      <w:r>
        <w:rPr>
          <w:szCs w:val="22"/>
        </w:rPr>
        <w:t xml:space="preserve">. </w:t>
      </w:r>
      <w:r w:rsidR="00F46C06" w:rsidRPr="00FE46B5">
        <w:rPr>
          <w:szCs w:val="22"/>
        </w:rPr>
        <w:t xml:space="preserve">As for the </w:t>
      </w:r>
      <w:r w:rsidR="00C217F0">
        <w:rPr>
          <w:szCs w:val="22"/>
        </w:rPr>
        <w:t>Menindee Formation</w:t>
      </w:r>
      <w:r w:rsidR="00F46C06" w:rsidRPr="00FE46B5">
        <w:rPr>
          <w:szCs w:val="22"/>
        </w:rPr>
        <w:t>, the overbank mud unit is widespread and is part of the near-surface aquitard, forming an effective barrier to vertical infiltration. However</w:t>
      </w:r>
      <w:r w:rsidR="0035779D">
        <w:rPr>
          <w:szCs w:val="22"/>
        </w:rPr>
        <w:t>,</w:t>
      </w:r>
      <w:r w:rsidR="00F46C06" w:rsidRPr="00FE46B5">
        <w:rPr>
          <w:szCs w:val="22"/>
        </w:rPr>
        <w:t xml:space="preserve"> </w:t>
      </w:r>
      <w:r w:rsidR="00F46C06" w:rsidRPr="00106292">
        <w:rPr>
          <w:szCs w:val="22"/>
        </w:rPr>
        <w:t xml:space="preserve">secondary mineralisation in the lower sands is much less developed than </w:t>
      </w:r>
      <w:r w:rsidR="0047343C" w:rsidRPr="00106292">
        <w:rPr>
          <w:szCs w:val="22"/>
        </w:rPr>
        <w:t xml:space="preserve">in </w:t>
      </w:r>
      <w:r w:rsidR="00F46C06" w:rsidRPr="00106292">
        <w:rPr>
          <w:szCs w:val="22"/>
        </w:rPr>
        <w:t xml:space="preserve">the </w:t>
      </w:r>
      <w:r w:rsidR="00C217F0">
        <w:rPr>
          <w:szCs w:val="22"/>
        </w:rPr>
        <w:t>Menindee Formation</w:t>
      </w:r>
      <w:r w:rsidR="00F46C06" w:rsidRPr="00106292">
        <w:rPr>
          <w:szCs w:val="22"/>
        </w:rPr>
        <w:t xml:space="preserve"> and provides minimal impediment to lateral infiltration.</w:t>
      </w:r>
      <w:r w:rsidR="00983981" w:rsidRPr="00106292">
        <w:rPr>
          <w:szCs w:val="22"/>
        </w:rPr>
        <w:t xml:space="preserve"> </w:t>
      </w:r>
      <w:r w:rsidR="00106292">
        <w:rPr>
          <w:szCs w:val="22"/>
        </w:rPr>
        <w:t>Further</w:t>
      </w:r>
      <w:r w:rsidR="00983981" w:rsidRPr="00106292">
        <w:rPr>
          <w:szCs w:val="22"/>
        </w:rPr>
        <w:t xml:space="preserve"> </w:t>
      </w:r>
      <w:r w:rsidR="00106292">
        <w:rPr>
          <w:szCs w:val="22"/>
        </w:rPr>
        <w:t xml:space="preserve">description and </w:t>
      </w:r>
      <w:r w:rsidR="00983981" w:rsidRPr="00106292">
        <w:rPr>
          <w:szCs w:val="22"/>
        </w:rPr>
        <w:t xml:space="preserve">discussion of the </w:t>
      </w:r>
      <w:r w:rsidR="00C217F0">
        <w:rPr>
          <w:szCs w:val="22"/>
        </w:rPr>
        <w:t>Coonambidgal Formation</w:t>
      </w:r>
      <w:r w:rsidR="00983981" w:rsidRPr="00106292">
        <w:rPr>
          <w:szCs w:val="22"/>
        </w:rPr>
        <w:t xml:space="preserve"> is found in Lawrie</w:t>
      </w:r>
      <w:r w:rsidR="008A5F7D" w:rsidRPr="00CF7613">
        <w:rPr>
          <w:rStyle w:val="StyleItalic"/>
        </w:rPr>
        <w:t xml:space="preserve"> et al</w:t>
      </w:r>
      <w:r w:rsidR="00983981" w:rsidRPr="00106292">
        <w:rPr>
          <w:szCs w:val="22"/>
        </w:rPr>
        <w:t>. (2012b).</w:t>
      </w:r>
      <w:r w:rsidR="00566024">
        <w:rPr>
          <w:szCs w:val="22"/>
        </w:rPr>
        <w:t xml:space="preserve"> Importantly, deposition of the Coonambidgal Formation appears to have been strongly structurally-controlled, with sediment thickness and extent governed by faults mapped in the AEM data (Lawrie</w:t>
      </w:r>
      <w:r w:rsidR="008A5F7D" w:rsidRPr="00CF7613">
        <w:rPr>
          <w:rStyle w:val="StyleItalic"/>
        </w:rPr>
        <w:t xml:space="preserve"> et al</w:t>
      </w:r>
      <w:r w:rsidR="00566024">
        <w:rPr>
          <w:szCs w:val="22"/>
        </w:rPr>
        <w:t>., 2012b)</w:t>
      </w:r>
    </w:p>
    <w:p w:rsidR="00F46C06" w:rsidRDefault="00F46C06" w:rsidP="00F46C06">
      <w:pPr>
        <w:rPr>
          <w:szCs w:val="22"/>
        </w:rPr>
      </w:pPr>
    </w:p>
    <w:p w:rsidR="00F46C06" w:rsidRPr="00216027" w:rsidRDefault="00CD2825" w:rsidP="00D83E45">
      <w:pPr>
        <w:pStyle w:val="Caption"/>
        <w:rPr>
          <w:i w:val="0"/>
          <w:szCs w:val="22"/>
        </w:rPr>
      </w:pPr>
      <w:bookmarkStart w:id="283" w:name="_Ref325709594"/>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5</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2</w:t>
      </w:r>
      <w:r w:rsidR="00B96C96">
        <w:rPr>
          <w:b/>
        </w:rPr>
        <w:fldChar w:fldCharType="end"/>
      </w:r>
      <w:bookmarkEnd w:id="283"/>
      <w:r w:rsidRPr="00CD2825">
        <w:rPr>
          <w:b/>
        </w:rPr>
        <w:t>.</w:t>
      </w:r>
      <w:r>
        <w:t xml:space="preserve"> </w:t>
      </w:r>
      <w:r w:rsidR="00F46C06" w:rsidRPr="00345ABC">
        <w:rPr>
          <w:szCs w:val="22"/>
        </w:rPr>
        <w:t>Quaternary</w:t>
      </w:r>
      <w:r w:rsidR="00F46C06" w:rsidRPr="00D83E45">
        <w:rPr>
          <w:szCs w:val="22"/>
        </w:rPr>
        <w:t xml:space="preserve"> fluvial formations recognised in the lower </w:t>
      </w:r>
      <w:smartTag w:uri="urn:schemas-microsoft-com:office:smarttags" w:element="place">
        <w:smartTag w:uri="urn:schemas-microsoft-com:office:smarttags" w:element="PlaceName">
          <w:r w:rsidR="00F46C06" w:rsidRPr="00D83E45">
            <w:rPr>
              <w:szCs w:val="22"/>
            </w:rPr>
            <w:t>Darling</w:t>
          </w:r>
        </w:smartTag>
        <w:r w:rsidR="00F46C06" w:rsidRPr="00D83E45">
          <w:rPr>
            <w:szCs w:val="22"/>
          </w:rPr>
          <w:t xml:space="preserve"> </w:t>
        </w:r>
        <w:smartTag w:uri="urn:schemas-microsoft-com:office:smarttags" w:element="PlaceType">
          <w:r w:rsidR="00F46C06" w:rsidRPr="00D83E45">
            <w:rPr>
              <w:szCs w:val="22"/>
            </w:rPr>
            <w:t>Valley</w:t>
          </w:r>
        </w:smartTag>
      </w:smartTag>
      <w:r w:rsidR="00F46C06" w:rsidRPr="00D83E45">
        <w:rPr>
          <w:szCs w:val="22"/>
        </w:rPr>
        <w:t>.</w:t>
      </w:r>
      <w:r w:rsidR="00395AD1" w:rsidRPr="00395AD1">
        <w:t xml:space="preserve"> </w:t>
      </w:r>
      <w:r w:rsidR="00395AD1" w:rsidRPr="00216027">
        <w:rPr>
          <w:i w:val="0"/>
        </w:rPr>
        <w:fldChar w:fldCharType="begin"/>
      </w:r>
      <w:r w:rsidR="00395AD1" w:rsidRPr="00216027">
        <w:rPr>
          <w:i w:val="0"/>
        </w:rPr>
        <w:instrText xml:space="preserve"> TC "</w:instrText>
      </w:r>
      <w:bookmarkStart w:id="284" w:name="_Toc325975301"/>
      <w:bookmarkStart w:id="285" w:name="_Toc390690290"/>
      <w:r w:rsidR="00395AD1" w:rsidRPr="00216027">
        <w:rPr>
          <w:i w:val="0"/>
        </w:rPr>
        <w:instrText xml:space="preserve">Table </w:instrText>
      </w:r>
      <w:r w:rsidR="0020070D">
        <w:rPr>
          <w:i w:val="0"/>
        </w:rPr>
        <w:instrText>5-2</w:instrText>
      </w:r>
      <w:r w:rsidR="00497AD3">
        <w:rPr>
          <w:i w:val="0"/>
        </w:rPr>
        <w:instrText>.</w:instrText>
      </w:r>
      <w:r w:rsidR="00395AD1" w:rsidRPr="00216027">
        <w:rPr>
          <w:i w:val="0"/>
        </w:rPr>
        <w:instrText xml:space="preserve"> </w:instrText>
      </w:r>
      <w:r w:rsidR="00345ABC" w:rsidRPr="00216027">
        <w:rPr>
          <w:i w:val="0"/>
          <w:szCs w:val="22"/>
        </w:rPr>
        <w:instrText xml:space="preserve">Quaternary fluvial formations recognised in the lower </w:instrText>
      </w:r>
      <w:smartTag w:uri="urn:schemas-microsoft-com:office:smarttags" w:element="place">
        <w:smartTag w:uri="urn:schemas-microsoft-com:office:smarttags" w:element="PlaceName">
          <w:r w:rsidR="00345ABC" w:rsidRPr="00216027">
            <w:rPr>
              <w:i w:val="0"/>
              <w:szCs w:val="22"/>
            </w:rPr>
            <w:instrText>Darling</w:instrText>
          </w:r>
        </w:smartTag>
        <w:r w:rsidR="00345ABC" w:rsidRPr="00216027">
          <w:rPr>
            <w:i w:val="0"/>
            <w:szCs w:val="22"/>
          </w:rPr>
          <w:instrText xml:space="preserve"> </w:instrText>
        </w:r>
        <w:smartTag w:uri="urn:schemas-microsoft-com:office:smarttags" w:element="PlaceType">
          <w:r w:rsidR="00345ABC" w:rsidRPr="00216027">
            <w:rPr>
              <w:i w:val="0"/>
              <w:szCs w:val="22"/>
            </w:rPr>
            <w:instrText>Valley</w:instrText>
          </w:r>
        </w:smartTag>
      </w:smartTag>
      <w:bookmarkEnd w:id="284"/>
      <w:r w:rsidR="00EF45E6">
        <w:rPr>
          <w:i w:val="0"/>
        </w:rPr>
        <w:instrText>.</w:instrText>
      </w:r>
      <w:bookmarkEnd w:id="285"/>
      <w:r w:rsidR="00395AD1" w:rsidRPr="00216027">
        <w:rPr>
          <w:i w:val="0"/>
        </w:rPr>
        <w:instrText xml:space="preserve">" \f B \l "4" </w:instrText>
      </w:r>
      <w:r w:rsidR="00395AD1" w:rsidRPr="00216027">
        <w:rPr>
          <w:i w:val="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4661"/>
      </w:tblGrid>
      <w:tr w:rsidR="00F46C06" w:rsidRPr="008354DA" w:rsidTr="000F55FD">
        <w:trPr>
          <w:jc w:val="center"/>
        </w:trPr>
        <w:tc>
          <w:tcPr>
            <w:tcW w:w="1908" w:type="dxa"/>
            <w:shd w:val="clear" w:color="auto" w:fill="C0C0C0"/>
          </w:tcPr>
          <w:p w:rsidR="00F46C06" w:rsidRPr="008354DA" w:rsidRDefault="00F46C06" w:rsidP="00672844">
            <w:pPr>
              <w:autoSpaceDE w:val="0"/>
              <w:autoSpaceDN w:val="0"/>
              <w:adjustRightInd w:val="0"/>
              <w:spacing w:before="120" w:after="120"/>
              <w:rPr>
                <w:b/>
                <w:sz w:val="20"/>
                <w:szCs w:val="20"/>
              </w:rPr>
            </w:pPr>
            <w:r w:rsidRPr="008354DA">
              <w:rPr>
                <w:b/>
                <w:sz w:val="20"/>
                <w:szCs w:val="20"/>
              </w:rPr>
              <w:t>Formation</w:t>
            </w:r>
          </w:p>
        </w:tc>
        <w:tc>
          <w:tcPr>
            <w:tcW w:w="4661" w:type="dxa"/>
            <w:shd w:val="clear" w:color="auto" w:fill="C0C0C0"/>
          </w:tcPr>
          <w:p w:rsidR="00F46C06" w:rsidRPr="008354DA" w:rsidRDefault="00F46C06" w:rsidP="00672844">
            <w:pPr>
              <w:autoSpaceDE w:val="0"/>
              <w:autoSpaceDN w:val="0"/>
              <w:adjustRightInd w:val="0"/>
              <w:spacing w:before="120" w:after="120"/>
              <w:rPr>
                <w:b/>
                <w:sz w:val="20"/>
                <w:szCs w:val="20"/>
              </w:rPr>
            </w:pPr>
            <w:r w:rsidRPr="008354DA">
              <w:rPr>
                <w:b/>
                <w:sz w:val="20"/>
                <w:szCs w:val="20"/>
              </w:rPr>
              <w:t>Name, Location and associated fluvial system</w:t>
            </w:r>
          </w:p>
        </w:tc>
      </w:tr>
      <w:tr w:rsidR="00F46C06" w:rsidRPr="008354DA" w:rsidTr="000F55FD">
        <w:trPr>
          <w:jc w:val="center"/>
        </w:trPr>
        <w:tc>
          <w:tcPr>
            <w:tcW w:w="1908" w:type="dxa"/>
            <w:shd w:val="clear" w:color="auto" w:fill="E6E6E6"/>
          </w:tcPr>
          <w:p w:rsidR="00F46C06" w:rsidRPr="008354DA" w:rsidRDefault="00C217F0" w:rsidP="00672844">
            <w:pPr>
              <w:autoSpaceDE w:val="0"/>
              <w:autoSpaceDN w:val="0"/>
              <w:adjustRightInd w:val="0"/>
              <w:spacing w:before="120" w:after="120"/>
              <w:rPr>
                <w:sz w:val="20"/>
                <w:szCs w:val="20"/>
              </w:rPr>
            </w:pPr>
            <w:r w:rsidRPr="008354DA">
              <w:rPr>
                <w:sz w:val="20"/>
                <w:szCs w:val="20"/>
              </w:rPr>
              <w:t>Coonambidgal Formation</w:t>
            </w:r>
            <w:r w:rsidR="00F46C06" w:rsidRPr="008354DA">
              <w:rPr>
                <w:sz w:val="20"/>
                <w:szCs w:val="20"/>
              </w:rPr>
              <w:t xml:space="preserve"> 1</w:t>
            </w:r>
          </w:p>
        </w:tc>
        <w:tc>
          <w:tcPr>
            <w:tcW w:w="4661" w:type="dxa"/>
            <w:shd w:val="clear" w:color="auto" w:fill="auto"/>
          </w:tcPr>
          <w:p w:rsidR="00F46C06" w:rsidRPr="008354DA" w:rsidRDefault="00F46C06" w:rsidP="00672844">
            <w:pPr>
              <w:autoSpaceDE w:val="0"/>
              <w:autoSpaceDN w:val="0"/>
              <w:adjustRightInd w:val="0"/>
              <w:spacing w:before="120" w:after="120"/>
              <w:rPr>
                <w:sz w:val="20"/>
                <w:szCs w:val="20"/>
              </w:rPr>
            </w:pPr>
            <w:smartTag w:uri="urn:schemas-microsoft-com:office:smarttags" w:element="place">
              <w:r w:rsidRPr="008354DA">
                <w:rPr>
                  <w:sz w:val="20"/>
                  <w:szCs w:val="20"/>
                </w:rPr>
                <w:t>Darling River</w:t>
              </w:r>
            </w:smartTag>
            <w:r w:rsidRPr="008354DA">
              <w:rPr>
                <w:sz w:val="20"/>
                <w:szCs w:val="20"/>
              </w:rPr>
              <w:t xml:space="preserve"> scroll-plain tract</w:t>
            </w:r>
          </w:p>
        </w:tc>
      </w:tr>
      <w:tr w:rsidR="00F46C06" w:rsidRPr="008354DA" w:rsidTr="000F55FD">
        <w:trPr>
          <w:jc w:val="center"/>
        </w:trPr>
        <w:tc>
          <w:tcPr>
            <w:tcW w:w="1908" w:type="dxa"/>
            <w:shd w:val="clear" w:color="auto" w:fill="E6E6E6"/>
          </w:tcPr>
          <w:p w:rsidR="00F46C06" w:rsidRPr="008354DA" w:rsidRDefault="00C217F0" w:rsidP="00672844">
            <w:pPr>
              <w:autoSpaceDE w:val="0"/>
              <w:autoSpaceDN w:val="0"/>
              <w:adjustRightInd w:val="0"/>
              <w:spacing w:before="120" w:after="120"/>
              <w:rPr>
                <w:sz w:val="20"/>
                <w:szCs w:val="20"/>
              </w:rPr>
            </w:pPr>
            <w:r w:rsidRPr="008354DA">
              <w:rPr>
                <w:sz w:val="20"/>
                <w:szCs w:val="20"/>
              </w:rPr>
              <w:t>Coonambidgal Formation</w:t>
            </w:r>
            <w:r w:rsidR="00F46C06" w:rsidRPr="008354DA">
              <w:rPr>
                <w:sz w:val="20"/>
                <w:szCs w:val="20"/>
              </w:rPr>
              <w:t xml:space="preserve"> 2</w:t>
            </w:r>
          </w:p>
        </w:tc>
        <w:tc>
          <w:tcPr>
            <w:tcW w:w="4661" w:type="dxa"/>
            <w:shd w:val="clear" w:color="auto" w:fill="auto"/>
          </w:tcPr>
          <w:p w:rsidR="00F46C06" w:rsidRPr="008354DA" w:rsidRDefault="00F46C06" w:rsidP="00672844">
            <w:pPr>
              <w:autoSpaceDE w:val="0"/>
              <w:autoSpaceDN w:val="0"/>
              <w:adjustRightInd w:val="0"/>
              <w:spacing w:before="120" w:after="120"/>
              <w:rPr>
                <w:sz w:val="20"/>
                <w:szCs w:val="20"/>
              </w:rPr>
            </w:pPr>
            <w:r w:rsidRPr="008354DA">
              <w:rPr>
                <w:sz w:val="20"/>
                <w:szCs w:val="20"/>
              </w:rPr>
              <w:t>Anabranch scroll-plain tracts (Talyawalka, Tandou and Redbank Creeks and the Great Darling Anabranch)</w:t>
            </w:r>
          </w:p>
        </w:tc>
      </w:tr>
      <w:tr w:rsidR="00F46C06" w:rsidRPr="008354DA" w:rsidTr="000F55FD">
        <w:trPr>
          <w:jc w:val="center"/>
        </w:trPr>
        <w:tc>
          <w:tcPr>
            <w:tcW w:w="1908" w:type="dxa"/>
            <w:shd w:val="clear" w:color="auto" w:fill="E6E6E6"/>
          </w:tcPr>
          <w:p w:rsidR="00F46C06" w:rsidRPr="008354DA" w:rsidRDefault="00C217F0" w:rsidP="00672844">
            <w:pPr>
              <w:autoSpaceDE w:val="0"/>
              <w:autoSpaceDN w:val="0"/>
              <w:adjustRightInd w:val="0"/>
              <w:spacing w:before="120" w:after="120"/>
              <w:rPr>
                <w:sz w:val="20"/>
                <w:szCs w:val="20"/>
              </w:rPr>
            </w:pPr>
            <w:r w:rsidRPr="008354DA">
              <w:rPr>
                <w:sz w:val="20"/>
                <w:szCs w:val="20"/>
              </w:rPr>
              <w:t>Coonambidgal Formation</w:t>
            </w:r>
            <w:r w:rsidR="00F46C06" w:rsidRPr="008354DA">
              <w:rPr>
                <w:sz w:val="20"/>
                <w:szCs w:val="20"/>
              </w:rPr>
              <w:t xml:space="preserve"> 3</w:t>
            </w:r>
          </w:p>
        </w:tc>
        <w:tc>
          <w:tcPr>
            <w:tcW w:w="4661" w:type="dxa"/>
            <w:shd w:val="clear" w:color="auto" w:fill="auto"/>
          </w:tcPr>
          <w:p w:rsidR="00F46C06" w:rsidRPr="008354DA" w:rsidRDefault="00F46C06" w:rsidP="00672844">
            <w:pPr>
              <w:autoSpaceDE w:val="0"/>
              <w:autoSpaceDN w:val="0"/>
              <w:adjustRightInd w:val="0"/>
              <w:spacing w:before="120" w:after="120"/>
              <w:rPr>
                <w:sz w:val="20"/>
                <w:szCs w:val="20"/>
              </w:rPr>
            </w:pPr>
            <w:r w:rsidRPr="008354DA">
              <w:rPr>
                <w:sz w:val="20"/>
                <w:szCs w:val="20"/>
              </w:rPr>
              <w:t>Relict Anabranch scroll-plain tracts (Talyawalka and Coonalhugga Creeks)</w:t>
            </w:r>
          </w:p>
        </w:tc>
      </w:tr>
      <w:tr w:rsidR="00F46C06" w:rsidRPr="008354DA" w:rsidTr="000F55FD">
        <w:trPr>
          <w:jc w:val="center"/>
        </w:trPr>
        <w:tc>
          <w:tcPr>
            <w:tcW w:w="1908" w:type="dxa"/>
            <w:shd w:val="clear" w:color="auto" w:fill="E6E6E6"/>
          </w:tcPr>
          <w:p w:rsidR="00F46C06" w:rsidRPr="008354DA" w:rsidRDefault="00C217F0" w:rsidP="00672844">
            <w:pPr>
              <w:autoSpaceDE w:val="0"/>
              <w:autoSpaceDN w:val="0"/>
              <w:adjustRightInd w:val="0"/>
              <w:spacing w:before="120" w:after="120"/>
              <w:rPr>
                <w:sz w:val="20"/>
                <w:szCs w:val="20"/>
              </w:rPr>
            </w:pPr>
            <w:r w:rsidRPr="008354DA">
              <w:rPr>
                <w:sz w:val="20"/>
                <w:szCs w:val="20"/>
              </w:rPr>
              <w:t>Coonambidgal Formation</w:t>
            </w:r>
            <w:r w:rsidR="00F46C06" w:rsidRPr="008354DA">
              <w:rPr>
                <w:sz w:val="20"/>
                <w:szCs w:val="20"/>
              </w:rPr>
              <w:t xml:space="preserve"> 4</w:t>
            </w:r>
          </w:p>
        </w:tc>
        <w:tc>
          <w:tcPr>
            <w:tcW w:w="4661" w:type="dxa"/>
            <w:shd w:val="clear" w:color="auto" w:fill="auto"/>
          </w:tcPr>
          <w:p w:rsidR="00F46C06" w:rsidRPr="008354DA" w:rsidRDefault="00F46C06" w:rsidP="00672844">
            <w:pPr>
              <w:autoSpaceDE w:val="0"/>
              <w:autoSpaceDN w:val="0"/>
              <w:adjustRightInd w:val="0"/>
              <w:spacing w:before="120" w:after="120"/>
              <w:rPr>
                <w:sz w:val="20"/>
                <w:szCs w:val="20"/>
              </w:rPr>
            </w:pPr>
            <w:r w:rsidRPr="008354DA">
              <w:rPr>
                <w:sz w:val="20"/>
                <w:szCs w:val="20"/>
              </w:rPr>
              <w:t xml:space="preserve">Relict </w:t>
            </w:r>
            <w:smartTag w:uri="urn:schemas-microsoft-com:office:smarttags" w:element="place">
              <w:r w:rsidRPr="008354DA">
                <w:rPr>
                  <w:sz w:val="20"/>
                  <w:szCs w:val="20"/>
                </w:rPr>
                <w:t>Darling River</w:t>
              </w:r>
            </w:smartTag>
            <w:r w:rsidRPr="008354DA">
              <w:rPr>
                <w:sz w:val="20"/>
                <w:szCs w:val="20"/>
              </w:rPr>
              <w:t xml:space="preserve"> scroll-plain tract</w:t>
            </w:r>
          </w:p>
        </w:tc>
      </w:tr>
      <w:tr w:rsidR="00F46C06" w:rsidRPr="008354DA" w:rsidTr="000F55FD">
        <w:trPr>
          <w:jc w:val="center"/>
        </w:trPr>
        <w:tc>
          <w:tcPr>
            <w:tcW w:w="1908" w:type="dxa"/>
            <w:shd w:val="clear" w:color="auto" w:fill="E6E6E6"/>
          </w:tcPr>
          <w:p w:rsidR="00F46C06" w:rsidRPr="008354DA" w:rsidRDefault="00C217F0" w:rsidP="00672844">
            <w:pPr>
              <w:autoSpaceDE w:val="0"/>
              <w:autoSpaceDN w:val="0"/>
              <w:adjustRightInd w:val="0"/>
              <w:spacing w:before="120" w:after="120"/>
              <w:jc w:val="both"/>
              <w:rPr>
                <w:sz w:val="20"/>
                <w:szCs w:val="20"/>
              </w:rPr>
            </w:pPr>
            <w:r w:rsidRPr="008354DA">
              <w:rPr>
                <w:sz w:val="20"/>
                <w:szCs w:val="20"/>
              </w:rPr>
              <w:t>Menindee Formation</w:t>
            </w:r>
          </w:p>
        </w:tc>
        <w:tc>
          <w:tcPr>
            <w:tcW w:w="4661" w:type="dxa"/>
            <w:shd w:val="clear" w:color="auto" w:fill="auto"/>
          </w:tcPr>
          <w:p w:rsidR="00F46C06" w:rsidRPr="008354DA" w:rsidRDefault="00F46C06" w:rsidP="00672844">
            <w:pPr>
              <w:autoSpaceDE w:val="0"/>
              <w:autoSpaceDN w:val="0"/>
              <w:adjustRightInd w:val="0"/>
              <w:spacing w:before="120" w:after="120"/>
              <w:rPr>
                <w:sz w:val="20"/>
                <w:szCs w:val="20"/>
              </w:rPr>
            </w:pPr>
            <w:smartTag w:uri="urn:schemas-microsoft-com:office:smarttags" w:element="place">
              <w:smartTag w:uri="urn:schemas-microsoft-com:office:smarttags" w:element="PlaceName">
                <w:r w:rsidRPr="008354DA">
                  <w:rPr>
                    <w:sz w:val="20"/>
                    <w:szCs w:val="20"/>
                  </w:rPr>
                  <w:t>Darling</w:t>
                </w:r>
              </w:smartTag>
              <w:r w:rsidRPr="008354DA">
                <w:rPr>
                  <w:sz w:val="20"/>
                  <w:szCs w:val="20"/>
                </w:rPr>
                <w:t xml:space="preserve"> </w:t>
              </w:r>
              <w:smartTag w:uri="urn:schemas-microsoft-com:office:smarttags" w:element="PlaceType">
                <w:r w:rsidRPr="008354DA">
                  <w:rPr>
                    <w:sz w:val="20"/>
                    <w:szCs w:val="20"/>
                  </w:rPr>
                  <w:t>Valley</w:t>
                </w:r>
              </w:smartTag>
            </w:smartTag>
            <w:r w:rsidRPr="008354DA">
              <w:rPr>
                <w:sz w:val="20"/>
                <w:szCs w:val="20"/>
              </w:rPr>
              <w:t xml:space="preserve"> higher floodplain</w:t>
            </w:r>
          </w:p>
        </w:tc>
      </w:tr>
    </w:tbl>
    <w:p w:rsidR="00F46C06" w:rsidRPr="00C6655F" w:rsidRDefault="00F46C06" w:rsidP="00EF7E00">
      <w:pPr>
        <w:pStyle w:val="Heading3"/>
        <w:tabs>
          <w:tab w:val="left" w:pos="1080"/>
        </w:tabs>
        <w:spacing w:before="320"/>
        <w:ind w:left="1080" w:hanging="1080"/>
      </w:pPr>
      <w:bookmarkStart w:id="286" w:name="_Toc325700099"/>
      <w:bookmarkStart w:id="287" w:name="_Toc325700442"/>
      <w:bookmarkStart w:id="288" w:name="_Toc325975123"/>
      <w:bookmarkStart w:id="289" w:name="_Toc390690114"/>
      <w:r w:rsidRPr="00C6655F">
        <w:t>Blanchetown Clay</w:t>
      </w:r>
      <w:bookmarkEnd w:id="286"/>
      <w:bookmarkEnd w:id="287"/>
      <w:bookmarkEnd w:id="288"/>
      <w:bookmarkEnd w:id="289"/>
    </w:p>
    <w:p w:rsidR="00E676F0" w:rsidRPr="00795774" w:rsidRDefault="00F46C06" w:rsidP="00F46C06">
      <w:pPr>
        <w:autoSpaceDE w:val="0"/>
        <w:autoSpaceDN w:val="0"/>
        <w:adjustRightInd w:val="0"/>
        <w:rPr>
          <w:szCs w:val="22"/>
        </w:rPr>
      </w:pPr>
      <w:r>
        <w:rPr>
          <w:szCs w:val="22"/>
        </w:rPr>
        <w:t xml:space="preserve">This study has mapped the </w:t>
      </w:r>
      <w:r w:rsidRPr="0034495B">
        <w:rPr>
          <w:szCs w:val="22"/>
        </w:rPr>
        <w:t>near-ubiquitous presence of relatively thin (</w:t>
      </w:r>
      <w:r w:rsidR="00566024">
        <w:rPr>
          <w:szCs w:val="22"/>
        </w:rPr>
        <w:t xml:space="preserve">0-17 m thick, average ~10 </w:t>
      </w:r>
      <w:r w:rsidRPr="0034495B">
        <w:rPr>
          <w:szCs w:val="22"/>
        </w:rPr>
        <w:t xml:space="preserve">m) Blanchetown Clay </w:t>
      </w:r>
      <w:r>
        <w:rPr>
          <w:szCs w:val="22"/>
        </w:rPr>
        <w:t>deposits throughout the project area</w:t>
      </w:r>
      <w:r w:rsidRPr="0034495B">
        <w:rPr>
          <w:szCs w:val="22"/>
        </w:rPr>
        <w:t xml:space="preserve">. </w:t>
      </w:r>
      <w:r w:rsidR="00E676F0">
        <w:rPr>
          <w:szCs w:val="22"/>
        </w:rPr>
        <w:t>The Blanchetown Clay was deposited in</w:t>
      </w:r>
      <w:r w:rsidR="00E676F0">
        <w:t xml:space="preserve"> </w:t>
      </w:r>
      <w:smartTag w:uri="urn:schemas-microsoft-com:office:smarttags" w:element="place">
        <w:smartTag w:uri="urn:schemas-microsoft-com:office:smarttags" w:element="PlaceName">
          <w:r w:rsidR="0047343C">
            <w:t>palaeo-</w:t>
          </w:r>
          <w:r w:rsidR="00E676F0">
            <w:t>mega</w:t>
          </w:r>
        </w:smartTag>
        <w:r w:rsidR="00E676F0">
          <w:t xml:space="preserve"> </w:t>
        </w:r>
        <w:smartTag w:uri="urn:schemas-microsoft-com:office:smarttags" w:element="PlaceType">
          <w:r w:rsidR="00E676F0">
            <w:t>Lake</w:t>
          </w:r>
        </w:smartTag>
      </w:smartTag>
      <w:r w:rsidR="00E676F0">
        <w:t xml:space="preserve"> Bungunnia (Firman, 1965; Bowler, 1980; Stephenson, 1986), and in the study area </w:t>
      </w:r>
      <w:r w:rsidR="00E676F0">
        <w:rPr>
          <w:szCs w:val="22"/>
        </w:rPr>
        <w:t xml:space="preserve">comprises </w:t>
      </w:r>
      <w:r w:rsidR="00E676F0">
        <w:t>hard brown to light grey massive to fine bedded sandy clay, with local fine calcareous and manganese cement. Sand content varies, and some thin beds of sand are included in the interpreted intersections.</w:t>
      </w:r>
      <w:r w:rsidR="00E676F0" w:rsidRPr="00E676F0">
        <w:rPr>
          <w:szCs w:val="22"/>
        </w:rPr>
        <w:t xml:space="preserve"> </w:t>
      </w:r>
      <w:r w:rsidR="00E676F0" w:rsidRPr="0034495B">
        <w:rPr>
          <w:szCs w:val="22"/>
        </w:rPr>
        <w:t xml:space="preserve">The aquitard properties of the Blanchetown Clay are demonstrated by hydrograph responses in overlying and underlying aquifers, by wetting profiles observed in </w:t>
      </w:r>
      <w:r w:rsidR="00DF0CAB" w:rsidRPr="0034495B">
        <w:rPr>
          <w:szCs w:val="22"/>
        </w:rPr>
        <w:t>drill core</w:t>
      </w:r>
      <w:r w:rsidR="00E676F0" w:rsidRPr="0034495B">
        <w:rPr>
          <w:szCs w:val="22"/>
        </w:rPr>
        <w:t>, moisture data obtained from cores, NMR and gamma logging, laboratory permeameter measurements on co</w:t>
      </w:r>
      <w:r w:rsidR="00E676F0">
        <w:rPr>
          <w:szCs w:val="22"/>
        </w:rPr>
        <w:t>res, and hydrogeochemical data. T</w:t>
      </w:r>
      <w:r w:rsidR="00E676F0" w:rsidRPr="0034495B">
        <w:rPr>
          <w:szCs w:val="22"/>
        </w:rPr>
        <w:t xml:space="preserve">he study has also confirmed that the aquitard forms a major barrier to recharge and </w:t>
      </w:r>
      <w:r w:rsidR="00E676F0" w:rsidRPr="00795774">
        <w:rPr>
          <w:szCs w:val="22"/>
        </w:rPr>
        <w:t>discharge (</w:t>
      </w:r>
      <w:r w:rsidR="00E676F0" w:rsidRPr="00795774">
        <w:rPr>
          <w:szCs w:val="22"/>
        </w:rPr>
        <w:fldChar w:fldCharType="begin"/>
      </w:r>
      <w:r w:rsidR="00E676F0" w:rsidRPr="00795774">
        <w:rPr>
          <w:szCs w:val="22"/>
        </w:rPr>
        <w:instrText xml:space="preserve"> REF _Ref325709558 \h </w:instrText>
      </w:r>
      <w:r w:rsidR="00795774" w:rsidRPr="00795774">
        <w:rPr>
          <w:szCs w:val="22"/>
        </w:rPr>
        <w:instrText xml:space="preserve"> \* MERGEFORMAT </w:instrText>
      </w:r>
      <w:r w:rsidR="00E676F0" w:rsidRPr="00795774">
        <w:rPr>
          <w:szCs w:val="22"/>
        </w:rPr>
      </w:r>
      <w:r w:rsidR="00E676F0" w:rsidRPr="00795774">
        <w:rPr>
          <w:szCs w:val="22"/>
        </w:rPr>
        <w:fldChar w:fldCharType="separate"/>
      </w:r>
      <w:r w:rsidR="00966532" w:rsidRPr="00966532">
        <w:t xml:space="preserve">Table </w:t>
      </w:r>
      <w:r w:rsidR="00966532" w:rsidRPr="00966532">
        <w:rPr>
          <w:noProof/>
        </w:rPr>
        <w:t>5</w:t>
      </w:r>
      <w:r w:rsidR="00966532" w:rsidRPr="00966532">
        <w:rPr>
          <w:noProof/>
        </w:rPr>
        <w:noBreakHyphen/>
        <w:t>1</w:t>
      </w:r>
      <w:r w:rsidR="00E676F0" w:rsidRPr="00795774">
        <w:rPr>
          <w:szCs w:val="22"/>
        </w:rPr>
        <w:fldChar w:fldCharType="end"/>
      </w:r>
      <w:r w:rsidR="00E676F0" w:rsidRPr="00795774">
        <w:rPr>
          <w:szCs w:val="22"/>
        </w:rPr>
        <w:t xml:space="preserve">). </w:t>
      </w:r>
    </w:p>
    <w:p w:rsidR="00E676F0" w:rsidRPr="00795774" w:rsidRDefault="00E676F0" w:rsidP="00F46C06">
      <w:pPr>
        <w:autoSpaceDE w:val="0"/>
        <w:autoSpaceDN w:val="0"/>
        <w:adjustRightInd w:val="0"/>
        <w:rPr>
          <w:szCs w:val="22"/>
        </w:rPr>
      </w:pPr>
    </w:p>
    <w:p w:rsidR="008D4DDA" w:rsidRPr="00795774" w:rsidRDefault="008D4DDA" w:rsidP="008D4DDA">
      <w:pPr>
        <w:autoSpaceDE w:val="0"/>
        <w:autoSpaceDN w:val="0"/>
        <w:adjustRightInd w:val="0"/>
        <w:rPr>
          <w:szCs w:val="22"/>
        </w:rPr>
      </w:pPr>
      <w:r w:rsidRPr="00795774">
        <w:t>Prior to this study, it was generally agreed that the maximum level of lake filling was 60-65 m AHD, with the lake boundaries thought to extend as far north as Lake Pamamaroo (McLaren</w:t>
      </w:r>
      <w:r w:rsidR="008A5F7D" w:rsidRPr="00CF7613">
        <w:rPr>
          <w:rStyle w:val="StyleItalic"/>
        </w:rPr>
        <w:t xml:space="preserve"> et al</w:t>
      </w:r>
      <w:r w:rsidRPr="00795774">
        <w:t xml:space="preserve">., 2009). </w:t>
      </w:r>
      <w:r w:rsidRPr="00795774">
        <w:rPr>
          <w:szCs w:val="22"/>
        </w:rPr>
        <w:t>However, an integrated mapping approach has revealed considerable variations in the Blanchetown Clay extent, thickness and elevation (</w:t>
      </w:r>
      <w:r w:rsidRPr="00795774">
        <w:rPr>
          <w:szCs w:val="22"/>
        </w:rPr>
        <w:fldChar w:fldCharType="begin"/>
      </w:r>
      <w:r w:rsidRPr="00795774">
        <w:rPr>
          <w:szCs w:val="22"/>
        </w:rPr>
        <w:instrText xml:space="preserve"> REF _Ref325707513 \h </w:instrText>
      </w:r>
      <w:r w:rsidR="00795774" w:rsidRPr="00795774">
        <w:rPr>
          <w:szCs w:val="22"/>
        </w:rPr>
        <w:instrText xml:space="preserve"> \* MERGEFORMAT </w:instrText>
      </w:r>
      <w:r w:rsidRPr="00795774">
        <w:rPr>
          <w:szCs w:val="22"/>
        </w:rPr>
      </w:r>
      <w:r w:rsidRPr="00795774">
        <w:rPr>
          <w:szCs w:val="22"/>
        </w:rPr>
        <w:fldChar w:fldCharType="separate"/>
      </w:r>
      <w:r w:rsidR="00966532" w:rsidRPr="00966532">
        <w:t xml:space="preserve">Figure </w:t>
      </w:r>
      <w:r w:rsidR="00966532" w:rsidRPr="00966532">
        <w:rPr>
          <w:noProof/>
        </w:rPr>
        <w:t>5</w:t>
      </w:r>
      <w:r w:rsidR="00966532" w:rsidRPr="00966532">
        <w:rPr>
          <w:noProof/>
        </w:rPr>
        <w:noBreakHyphen/>
        <w:t>3</w:t>
      </w:r>
      <w:r w:rsidRPr="00795774">
        <w:rPr>
          <w:szCs w:val="22"/>
        </w:rPr>
        <w:fldChar w:fldCharType="end"/>
      </w:r>
      <w:r w:rsidRPr="00795774">
        <w:rPr>
          <w:szCs w:val="22"/>
        </w:rPr>
        <w:t>). A complex sub-surface distribution is observed, with variations in the thickness and elevation of the top of the Blanchetown Clay (20-80</w:t>
      </w:r>
      <w:r w:rsidR="00983981">
        <w:rPr>
          <w:szCs w:val="22"/>
        </w:rPr>
        <w:t xml:space="preserve"> </w:t>
      </w:r>
      <w:r w:rsidRPr="00795774">
        <w:rPr>
          <w:szCs w:val="22"/>
        </w:rPr>
        <w:t xml:space="preserve">m AHD) attributed </w:t>
      </w:r>
      <w:r w:rsidR="0047343C">
        <w:rPr>
          <w:szCs w:val="22"/>
        </w:rPr>
        <w:t xml:space="preserve">partly to palaeogeography and partly </w:t>
      </w:r>
      <w:r w:rsidRPr="00795774">
        <w:rPr>
          <w:szCs w:val="22"/>
        </w:rPr>
        <w:t>to te</w:t>
      </w:r>
      <w:r w:rsidR="0047343C">
        <w:rPr>
          <w:szCs w:val="22"/>
        </w:rPr>
        <w:t xml:space="preserve">ctonic activity during and post </w:t>
      </w:r>
      <w:r w:rsidRPr="00795774">
        <w:rPr>
          <w:szCs w:val="22"/>
        </w:rPr>
        <w:t>deposition (</w:t>
      </w:r>
      <w:r w:rsidRPr="00795774">
        <w:rPr>
          <w:szCs w:val="22"/>
        </w:rPr>
        <w:fldChar w:fldCharType="begin"/>
      </w:r>
      <w:r w:rsidRPr="00795774">
        <w:rPr>
          <w:szCs w:val="22"/>
        </w:rPr>
        <w:instrText xml:space="preserve"> REF _Ref325707513 \h </w:instrText>
      </w:r>
      <w:r w:rsidR="00795774" w:rsidRPr="00795774">
        <w:rPr>
          <w:szCs w:val="22"/>
        </w:rPr>
        <w:instrText xml:space="preserve"> \* MERGEFORMAT </w:instrText>
      </w:r>
      <w:r w:rsidRPr="00795774">
        <w:rPr>
          <w:szCs w:val="22"/>
        </w:rPr>
      </w:r>
      <w:r w:rsidRPr="00795774">
        <w:rPr>
          <w:szCs w:val="22"/>
        </w:rPr>
        <w:fldChar w:fldCharType="separate"/>
      </w:r>
      <w:r w:rsidR="00966532" w:rsidRPr="00966532">
        <w:t xml:space="preserve">Figure </w:t>
      </w:r>
      <w:r w:rsidR="00966532" w:rsidRPr="00966532">
        <w:rPr>
          <w:noProof/>
        </w:rPr>
        <w:t>5</w:t>
      </w:r>
      <w:r w:rsidR="00966532" w:rsidRPr="00966532">
        <w:rPr>
          <w:noProof/>
        </w:rPr>
        <w:noBreakHyphen/>
        <w:t>3</w:t>
      </w:r>
      <w:r w:rsidRPr="00795774">
        <w:rPr>
          <w:szCs w:val="22"/>
        </w:rPr>
        <w:fldChar w:fldCharType="end"/>
      </w:r>
      <w:r w:rsidRPr="00795774">
        <w:rPr>
          <w:szCs w:val="22"/>
        </w:rPr>
        <w:t xml:space="preserve">). </w:t>
      </w:r>
    </w:p>
    <w:p w:rsidR="008D4DDA" w:rsidRDefault="008D4DDA" w:rsidP="008D4DDA"/>
    <w:p w:rsidR="008D4DDA" w:rsidRDefault="0047343C" w:rsidP="008D4DDA">
      <w:r>
        <w:t>Over most</w:t>
      </w:r>
      <w:r w:rsidR="008D4DDA">
        <w:t xml:space="preserve"> of the project area, the Blanchetown Clay overlies </w:t>
      </w:r>
      <w:r w:rsidR="00C217F0">
        <w:t>Calivil Formation</w:t>
      </w:r>
      <w:r w:rsidR="008D4DDA">
        <w:t xml:space="preserve"> fluvial sediments with little or no </w:t>
      </w:r>
      <w:r>
        <w:t xml:space="preserve">apparent </w:t>
      </w:r>
      <w:r w:rsidR="008D4DDA">
        <w:t xml:space="preserve">time gap. Only in the south of the area does it overlie coastal barrier sands (Loxton-Parilla Sands) with an appreciable time gap, during which a weathering profile developed. The </w:t>
      </w:r>
      <w:r w:rsidR="00C217F0">
        <w:t>Calivil Formation</w:t>
      </w:r>
      <w:r w:rsidR="008D4DDA">
        <w:t xml:space="preserve"> </w:t>
      </w:r>
      <w:r w:rsidR="008D4DDA">
        <w:lastRenderedPageBreak/>
        <w:t xml:space="preserve">fluvial sediments are generally fining-up, and near the top comprise muddy overbank and channel plug deposits, as well as channel and crevasse splay sands. Therefore, in places it is difficult or impossible to place an unequivocal boundary where clay of the Blanchetown Clay overlies clay of the </w:t>
      </w:r>
      <w:r w:rsidR="00C217F0">
        <w:t>Calivil Formation</w:t>
      </w:r>
      <w:r w:rsidR="008D4DDA">
        <w:t xml:space="preserve">. In most instances, conductivity mapping cannot discriminate these units, with AEM instead mapping a combined fine-grained </w:t>
      </w:r>
      <w:r w:rsidR="00213653">
        <w:t xml:space="preserve">upper </w:t>
      </w:r>
      <w:r w:rsidR="00C217F0">
        <w:t>Calivil Formation</w:t>
      </w:r>
      <w:r w:rsidR="008D4DDA">
        <w:t xml:space="preserve">-Blanchetown Clay aquitard, rather than individual stratigraphic units. In </w:t>
      </w:r>
      <w:r w:rsidR="00D23F26">
        <w:t>contrast</w:t>
      </w:r>
      <w:r w:rsidR="008D4DDA">
        <w:t xml:space="preserve">, </w:t>
      </w:r>
      <w:r w:rsidR="008D4DDA" w:rsidRPr="00106292">
        <w:t xml:space="preserve">there is an erosional hiatus above the Blanchetown Clay, </w:t>
      </w:r>
      <w:r w:rsidR="00106292" w:rsidRPr="00106292">
        <w:t>where this i</w:t>
      </w:r>
      <w:r w:rsidR="008D4DDA" w:rsidRPr="00106292">
        <w:t xml:space="preserve">s overlain by </w:t>
      </w:r>
      <w:r w:rsidR="00C217F0">
        <w:t>Menindee Formation</w:t>
      </w:r>
      <w:r w:rsidR="008D4DDA" w:rsidRPr="00106292">
        <w:t xml:space="preserve"> or </w:t>
      </w:r>
      <w:r w:rsidR="00C217F0">
        <w:t>Coonambidgal Formation</w:t>
      </w:r>
      <w:r w:rsidR="008D4DDA" w:rsidRPr="00106292">
        <w:t xml:space="preserve"> sediments. In most</w:t>
      </w:r>
      <w:r w:rsidR="008D4DDA">
        <w:t xml:space="preserve"> cases, the latter comprise medium to coarse sands at the base, with one or two fining upward cycles. Therefore, the top of the Blanchetown Clay aquitard can be mapped in conductivity data with a fair degree of certainty. Mapping the aquitard bounding surfaces is particularly important for studies of inter-aquifer leakage, recharge and for MAR assessment. </w:t>
      </w:r>
    </w:p>
    <w:p w:rsidR="008D4DDA" w:rsidRDefault="008D4DDA" w:rsidP="00F46C06">
      <w:pPr>
        <w:autoSpaceDE w:val="0"/>
        <w:autoSpaceDN w:val="0"/>
        <w:adjustRightInd w:val="0"/>
        <w:rPr>
          <w:szCs w:val="22"/>
        </w:rPr>
      </w:pPr>
    </w:p>
    <w:p w:rsidR="00E676F0" w:rsidRPr="00E676F0" w:rsidRDefault="00E676F0" w:rsidP="00E676F0">
      <w:r>
        <w:t>Numerous ‘holes’ have been mapped in the Blanchetown Clay conductivity anomaly</w:t>
      </w:r>
      <w:r w:rsidR="00433ECC">
        <w:t xml:space="preserve">. </w:t>
      </w:r>
      <w:r>
        <w:t>There are several possible scenarios for the origin of actual physical absence of the B</w:t>
      </w:r>
      <w:r w:rsidR="00213653">
        <w:t xml:space="preserve">lanchetown </w:t>
      </w:r>
      <w:r>
        <w:t>C</w:t>
      </w:r>
      <w:r w:rsidR="00213653">
        <w:t>lay, including non-</w:t>
      </w:r>
      <w:r>
        <w:t>deposition, facies change, f</w:t>
      </w:r>
      <w:smartTag w:uri="urn:schemas-microsoft-com:office:smarttags" w:element="PersonName">
        <w:r>
          <w:t>au</w:t>
        </w:r>
      </w:smartTag>
      <w:r>
        <w:t xml:space="preserve">lting and erosion. </w:t>
      </w:r>
      <w:r w:rsidRPr="0034495B">
        <w:rPr>
          <w:szCs w:val="22"/>
        </w:rPr>
        <w:t xml:space="preserve">Where </w:t>
      </w:r>
      <w:r w:rsidR="000B6435">
        <w:rPr>
          <w:szCs w:val="22"/>
        </w:rPr>
        <w:t xml:space="preserve">the Blanchetown Clay is </w:t>
      </w:r>
      <w:r w:rsidRPr="0034495B">
        <w:rPr>
          <w:szCs w:val="22"/>
        </w:rPr>
        <w:t>absent</w:t>
      </w:r>
      <w:r>
        <w:rPr>
          <w:szCs w:val="22"/>
        </w:rPr>
        <w:t>, l</w:t>
      </w:r>
      <w:r w:rsidRPr="0034495B">
        <w:rPr>
          <w:szCs w:val="22"/>
        </w:rPr>
        <w:t xml:space="preserve">ocal recharge has resulted in previously </w:t>
      </w:r>
      <w:r w:rsidRPr="00106292">
        <w:rPr>
          <w:szCs w:val="22"/>
        </w:rPr>
        <w:t xml:space="preserve">unrecognised resources of fresh to slightly brackish water in the underlying semi-confined aquifer. Where present, it could form an effective cap for </w:t>
      </w:r>
      <w:r w:rsidR="008D4DDA" w:rsidRPr="00106292">
        <w:rPr>
          <w:szCs w:val="22"/>
        </w:rPr>
        <w:t>MAR</w:t>
      </w:r>
      <w:r w:rsidRPr="00106292">
        <w:rPr>
          <w:szCs w:val="22"/>
        </w:rPr>
        <w:t xml:space="preserve"> schemes. </w:t>
      </w:r>
      <w:r w:rsidR="00983981" w:rsidRPr="00106292">
        <w:rPr>
          <w:szCs w:val="22"/>
        </w:rPr>
        <w:t xml:space="preserve">A </w:t>
      </w:r>
      <w:r w:rsidR="00106292" w:rsidRPr="00106292">
        <w:rPr>
          <w:szCs w:val="22"/>
        </w:rPr>
        <w:t>more detailed description</w:t>
      </w:r>
      <w:r w:rsidR="00983981" w:rsidRPr="00106292">
        <w:rPr>
          <w:szCs w:val="22"/>
        </w:rPr>
        <w:t xml:space="preserve"> of the Blanchetown Clay is found in Lawrie</w:t>
      </w:r>
      <w:r w:rsidR="008A5F7D" w:rsidRPr="00CF7613">
        <w:rPr>
          <w:rStyle w:val="StyleItalic"/>
        </w:rPr>
        <w:t xml:space="preserve"> et al</w:t>
      </w:r>
      <w:r w:rsidR="00983981" w:rsidRPr="00106292">
        <w:rPr>
          <w:szCs w:val="22"/>
        </w:rPr>
        <w:t>. (2012b).</w:t>
      </w:r>
    </w:p>
    <w:p w:rsidR="00E676F0" w:rsidRDefault="00E676F0" w:rsidP="00E676F0">
      <w:pPr>
        <w:autoSpaceDE w:val="0"/>
        <w:autoSpaceDN w:val="0"/>
        <w:adjustRightInd w:val="0"/>
        <w:rPr>
          <w:szCs w:val="22"/>
        </w:rPr>
      </w:pPr>
    </w:p>
    <w:p w:rsidR="00F46C06" w:rsidRDefault="00706A3B" w:rsidP="00216BA0">
      <w:pPr>
        <w:spacing w:before="120" w:after="60"/>
        <w:jc w:val="center"/>
        <w:rPr>
          <w:szCs w:val="22"/>
        </w:rPr>
      </w:pPr>
      <w:r>
        <w:rPr>
          <w:noProof/>
          <w:szCs w:val="22"/>
        </w:rPr>
        <w:lastRenderedPageBreak/>
        <w:drawing>
          <wp:inline distT="0" distB="0" distL="0" distR="0" wp14:anchorId="286933F0" wp14:editId="66FA43DE">
            <wp:extent cx="5911850" cy="8569960"/>
            <wp:effectExtent l="19050" t="19050" r="0" b="2540"/>
            <wp:docPr id="39" name="Picture 39" descr="Regional_UCA_TopA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gional_UCA_TopAHD"/>
                    <pic:cNvPicPr>
                      <a:picLocks noChangeAspect="1" noChangeArrowheads="1"/>
                    </pic:cNvPicPr>
                  </pic:nvPicPr>
                  <pic:blipFill>
                    <a:blip r:embed="rId29" cstate="print">
                      <a:extLst>
                        <a:ext uri="{28A0092B-C50C-407E-A947-70E740481C1C}">
                          <a14:useLocalDpi xmlns:a14="http://schemas.microsoft.com/office/drawing/2010/main" val="0"/>
                        </a:ext>
                      </a:extLst>
                    </a:blip>
                    <a:srcRect l="8665" t="5196" r="8775" b="10176"/>
                    <a:stretch>
                      <a:fillRect/>
                    </a:stretch>
                  </pic:blipFill>
                  <pic:spPr bwMode="auto">
                    <a:xfrm>
                      <a:off x="0" y="0"/>
                      <a:ext cx="5911850" cy="8569960"/>
                    </a:xfrm>
                    <a:prstGeom prst="rect">
                      <a:avLst/>
                    </a:prstGeom>
                    <a:noFill/>
                    <a:ln w="12700" cmpd="sng">
                      <a:solidFill>
                        <a:srgbClr val="000000"/>
                      </a:solidFill>
                      <a:miter lim="800000"/>
                      <a:headEnd/>
                      <a:tailEnd/>
                    </a:ln>
                    <a:effectLst/>
                  </pic:spPr>
                </pic:pic>
              </a:graphicData>
            </a:graphic>
          </wp:inline>
        </w:drawing>
      </w:r>
    </w:p>
    <w:p w:rsidR="00F46C06" w:rsidRPr="00FB1F0E" w:rsidRDefault="001741E7" w:rsidP="00AA7E88">
      <w:pPr>
        <w:pStyle w:val="Caption"/>
        <w:spacing w:before="240"/>
        <w:rPr>
          <w:i w:val="0"/>
          <w:szCs w:val="20"/>
        </w:rPr>
      </w:pPr>
      <w:bookmarkStart w:id="290" w:name="_Ref325707513"/>
      <w:bookmarkStart w:id="291" w:name="_Ref355788969"/>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5</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290"/>
      <w:bookmarkEnd w:id="291"/>
      <w:r>
        <w:rPr>
          <w:b/>
        </w:rPr>
        <w:t>.</w:t>
      </w:r>
      <w:r>
        <w:rPr>
          <w:b/>
          <w:szCs w:val="22"/>
        </w:rPr>
        <w:t xml:space="preserve"> </w:t>
      </w:r>
      <w:r w:rsidR="00404A6E">
        <w:rPr>
          <w:szCs w:val="20"/>
        </w:rPr>
        <w:t>Elevation of t</w:t>
      </w:r>
      <w:r w:rsidR="008732C7">
        <w:rPr>
          <w:szCs w:val="20"/>
        </w:rPr>
        <w:t>op</w:t>
      </w:r>
      <w:r w:rsidR="00F46C06" w:rsidRPr="00D83E45">
        <w:rPr>
          <w:szCs w:val="20"/>
        </w:rPr>
        <w:t xml:space="preserve"> of the Upper Confining Aquitard (predominantly Blanchetown Clay)</w:t>
      </w:r>
      <w:r w:rsidR="008732C7">
        <w:rPr>
          <w:szCs w:val="20"/>
        </w:rPr>
        <w:t xml:space="preserve"> in metres AHD</w:t>
      </w:r>
      <w:r w:rsidR="00F46C06" w:rsidRPr="00D83E45">
        <w:rPr>
          <w:szCs w:val="20"/>
        </w:rPr>
        <w:t>. Significant elevation differences (</w:t>
      </w:r>
      <w:r w:rsidR="005D2650">
        <w:rPr>
          <w:szCs w:val="20"/>
        </w:rPr>
        <w:t>~</w:t>
      </w:r>
      <w:r w:rsidR="00F46C06" w:rsidRPr="00D83E45">
        <w:rPr>
          <w:szCs w:val="20"/>
        </w:rPr>
        <w:t>50</w:t>
      </w:r>
      <w:r w:rsidR="00030542">
        <w:rPr>
          <w:szCs w:val="20"/>
        </w:rPr>
        <w:t xml:space="preserve"> </w:t>
      </w:r>
      <w:r w:rsidR="00F46C06" w:rsidRPr="00D83E45">
        <w:rPr>
          <w:szCs w:val="20"/>
        </w:rPr>
        <w:t xml:space="preserve">m) are apparent, with greater depths shown in </w:t>
      </w:r>
      <w:r w:rsidR="00DF0CAB" w:rsidRPr="00D83E45">
        <w:rPr>
          <w:szCs w:val="20"/>
        </w:rPr>
        <w:t>purple</w:t>
      </w:r>
      <w:r w:rsidR="00F46C06" w:rsidRPr="00D83E45">
        <w:rPr>
          <w:szCs w:val="20"/>
        </w:rPr>
        <w:t xml:space="preserve"> and shallower depths in </w:t>
      </w:r>
      <w:r w:rsidR="00DF0CAB" w:rsidRPr="00D83E45">
        <w:rPr>
          <w:szCs w:val="20"/>
        </w:rPr>
        <w:t>brown</w:t>
      </w:r>
      <w:r w:rsidR="00DF0CAB">
        <w:rPr>
          <w:szCs w:val="20"/>
        </w:rPr>
        <w:t xml:space="preserve">. </w:t>
      </w:r>
      <w:r w:rsidR="00BE08AB" w:rsidRPr="00216027">
        <w:rPr>
          <w:bCs w:val="0"/>
          <w:i w:val="0"/>
        </w:rPr>
        <w:fldChar w:fldCharType="begin"/>
      </w:r>
      <w:r w:rsidR="00BE08AB" w:rsidRPr="00216027">
        <w:rPr>
          <w:bCs w:val="0"/>
          <w:i w:val="0"/>
        </w:rPr>
        <w:instrText xml:space="preserve"> TC "</w:instrText>
      </w:r>
      <w:bookmarkStart w:id="292" w:name="_Toc325975213"/>
      <w:bookmarkStart w:id="293" w:name="_Toc390690222"/>
      <w:r w:rsidR="008354DA">
        <w:rPr>
          <w:bCs w:val="0"/>
          <w:i w:val="0"/>
        </w:rPr>
        <w:instrText>Figure 5-3</w:instrText>
      </w:r>
      <w:r w:rsidR="00497AD3">
        <w:rPr>
          <w:bCs w:val="0"/>
          <w:i w:val="0"/>
        </w:rPr>
        <w:instrText>.</w:instrText>
      </w:r>
      <w:r w:rsidR="00BE08AB" w:rsidRPr="00216027">
        <w:rPr>
          <w:bCs w:val="0"/>
          <w:i w:val="0"/>
        </w:rPr>
        <w:instrText xml:space="preserve"> </w:instrText>
      </w:r>
      <w:r w:rsidR="00404A6E">
        <w:rPr>
          <w:bCs w:val="0"/>
          <w:i w:val="0"/>
        </w:rPr>
        <w:instrText xml:space="preserve">Elevation of </w:instrText>
      </w:r>
      <w:r w:rsidR="00404A6E">
        <w:rPr>
          <w:i w:val="0"/>
          <w:szCs w:val="20"/>
        </w:rPr>
        <w:instrText>t</w:instrText>
      </w:r>
      <w:r w:rsidR="008732C7">
        <w:rPr>
          <w:i w:val="0"/>
          <w:szCs w:val="20"/>
        </w:rPr>
        <w:instrText>op</w:instrText>
      </w:r>
      <w:r w:rsidR="00345ABC" w:rsidRPr="00216027">
        <w:rPr>
          <w:i w:val="0"/>
          <w:szCs w:val="20"/>
        </w:rPr>
        <w:instrText xml:space="preserve"> of the Upper Confining Aquitard</w:instrText>
      </w:r>
      <w:bookmarkEnd w:id="292"/>
      <w:r w:rsidR="00404A6E">
        <w:rPr>
          <w:i w:val="0"/>
          <w:szCs w:val="20"/>
        </w:rPr>
        <w:instrText xml:space="preserve"> in metres AHD</w:instrText>
      </w:r>
      <w:r w:rsidR="008732C7">
        <w:rPr>
          <w:i w:val="0"/>
          <w:szCs w:val="20"/>
        </w:rPr>
        <w:instrText>.</w:instrText>
      </w:r>
      <w:bookmarkEnd w:id="293"/>
      <w:r w:rsidR="00BE08AB" w:rsidRPr="00216027">
        <w:rPr>
          <w:bCs w:val="0"/>
          <w:i w:val="0"/>
        </w:rPr>
        <w:instrText xml:space="preserve">" \f A \l “4” </w:instrText>
      </w:r>
      <w:r w:rsidR="00BE08AB" w:rsidRPr="00216027">
        <w:rPr>
          <w:bCs w:val="0"/>
          <w:i w:val="0"/>
        </w:rPr>
        <w:fldChar w:fldCharType="end"/>
      </w:r>
    </w:p>
    <w:p w:rsidR="00F46C06" w:rsidRPr="00C6655F" w:rsidRDefault="00C217F0" w:rsidP="00EF7E00">
      <w:pPr>
        <w:pStyle w:val="Heading3"/>
        <w:tabs>
          <w:tab w:val="left" w:pos="1080"/>
        </w:tabs>
        <w:spacing w:before="320"/>
        <w:ind w:left="1080" w:hanging="1080"/>
      </w:pPr>
      <w:bookmarkStart w:id="294" w:name="_Toc325700100"/>
      <w:bookmarkStart w:id="295" w:name="_Toc325700443"/>
      <w:bookmarkStart w:id="296" w:name="_Toc325975124"/>
      <w:bookmarkStart w:id="297" w:name="_Toc390690115"/>
      <w:r>
        <w:lastRenderedPageBreak/>
        <w:t>Calivil Formation</w:t>
      </w:r>
      <w:r w:rsidR="00F46C06" w:rsidRPr="00C6655F">
        <w:t xml:space="preserve"> and Loxton-Parilla Sands</w:t>
      </w:r>
      <w:bookmarkEnd w:id="294"/>
      <w:bookmarkEnd w:id="295"/>
      <w:bookmarkEnd w:id="296"/>
      <w:bookmarkEnd w:id="297"/>
    </w:p>
    <w:p w:rsidR="00F46C06" w:rsidRPr="0034495B" w:rsidRDefault="00F46C06" w:rsidP="00F46C06">
      <w:pPr>
        <w:rPr>
          <w:szCs w:val="22"/>
        </w:rPr>
      </w:pPr>
      <w:r w:rsidRPr="0034495B">
        <w:rPr>
          <w:szCs w:val="22"/>
        </w:rPr>
        <w:t xml:space="preserve">The Pliocene </w:t>
      </w:r>
      <w:r w:rsidR="00FC0F46">
        <w:rPr>
          <w:szCs w:val="22"/>
        </w:rPr>
        <w:t xml:space="preserve">sediments </w:t>
      </w:r>
      <w:r w:rsidRPr="0034495B">
        <w:rPr>
          <w:szCs w:val="22"/>
        </w:rPr>
        <w:t>in th</w:t>
      </w:r>
      <w:r w:rsidR="00FC0F46">
        <w:rPr>
          <w:szCs w:val="22"/>
        </w:rPr>
        <w:t>e study</w:t>
      </w:r>
      <w:r w:rsidRPr="0034495B">
        <w:rPr>
          <w:szCs w:val="22"/>
        </w:rPr>
        <w:t xml:space="preserve"> area dominantly comprise the fluvial </w:t>
      </w:r>
      <w:r w:rsidR="00C217F0">
        <w:rPr>
          <w:szCs w:val="22"/>
        </w:rPr>
        <w:t>Calivil Formation</w:t>
      </w:r>
      <w:r w:rsidRPr="0034495B">
        <w:rPr>
          <w:szCs w:val="22"/>
        </w:rPr>
        <w:t xml:space="preserve">, with the </w:t>
      </w:r>
      <w:r w:rsidR="00213653">
        <w:rPr>
          <w:szCs w:val="22"/>
        </w:rPr>
        <w:t>marginal</w:t>
      </w:r>
      <w:r w:rsidRPr="0034495B">
        <w:rPr>
          <w:szCs w:val="22"/>
        </w:rPr>
        <w:t xml:space="preserve"> marine Loxton-Parilla Sands restricted to the southernmost part of the area. </w:t>
      </w:r>
      <w:r>
        <w:rPr>
          <w:szCs w:val="22"/>
        </w:rPr>
        <w:t>AEM</w:t>
      </w:r>
      <w:r w:rsidRPr="0034495B">
        <w:rPr>
          <w:szCs w:val="22"/>
        </w:rPr>
        <w:t xml:space="preserve"> mapping validated by drilling has enabled the lateral extents and thickness of the Pliocene aquifers to be identified.</w:t>
      </w:r>
    </w:p>
    <w:p w:rsidR="003C3F3D" w:rsidRDefault="003C3F3D" w:rsidP="00F46C06">
      <w:pPr>
        <w:rPr>
          <w:b/>
          <w:szCs w:val="22"/>
        </w:rPr>
      </w:pPr>
    </w:p>
    <w:p w:rsidR="005152D9" w:rsidRPr="005152D9" w:rsidRDefault="00C217F0" w:rsidP="00F46C06">
      <w:pPr>
        <w:rPr>
          <w:b/>
          <w:szCs w:val="22"/>
        </w:rPr>
      </w:pPr>
      <w:r>
        <w:rPr>
          <w:b/>
          <w:szCs w:val="22"/>
        </w:rPr>
        <w:t>Calivil Formation</w:t>
      </w:r>
    </w:p>
    <w:p w:rsidR="00F46C06" w:rsidRDefault="00F46C06" w:rsidP="00F46C06">
      <w:pPr>
        <w:rPr>
          <w:color w:val="000000"/>
          <w:szCs w:val="22"/>
        </w:rPr>
      </w:pPr>
      <w:r w:rsidRPr="0034495B">
        <w:rPr>
          <w:szCs w:val="22"/>
        </w:rPr>
        <w:t xml:space="preserve">Facies analysis indicates the </w:t>
      </w:r>
      <w:r w:rsidR="00C217F0">
        <w:rPr>
          <w:szCs w:val="22"/>
        </w:rPr>
        <w:t>Calivil Formation</w:t>
      </w:r>
      <w:r w:rsidR="00213653">
        <w:rPr>
          <w:szCs w:val="22"/>
        </w:rPr>
        <w:t xml:space="preserve"> </w:t>
      </w:r>
      <w:r w:rsidRPr="0034495B">
        <w:rPr>
          <w:szCs w:val="22"/>
        </w:rPr>
        <w:t>was deposited in deep braided streams across a dissected sedimentary landscape. Overall, the sequence is fining-upwards, with evidence for progradation over the Loxton-Parilla</w:t>
      </w:r>
      <w:r w:rsidR="00213653">
        <w:rPr>
          <w:szCs w:val="22"/>
        </w:rPr>
        <w:t xml:space="preserve"> Sands</w:t>
      </w:r>
      <w:r w:rsidRPr="0034495B">
        <w:rPr>
          <w:szCs w:val="22"/>
        </w:rPr>
        <w:t xml:space="preserve">. </w:t>
      </w:r>
      <w:r w:rsidR="000B6435" w:rsidRPr="0034495B">
        <w:rPr>
          <w:szCs w:val="22"/>
        </w:rPr>
        <w:t>Channel</w:t>
      </w:r>
      <w:r w:rsidR="000B6435">
        <w:rPr>
          <w:szCs w:val="22"/>
        </w:rPr>
        <w:t>-</w:t>
      </w:r>
      <w:r w:rsidRPr="0034495B">
        <w:rPr>
          <w:szCs w:val="22"/>
        </w:rPr>
        <w:t>fill materials comprise gravels and sands, and local fine-grained units represent abandoned channel</w:t>
      </w:r>
      <w:r w:rsidR="00213653">
        <w:rPr>
          <w:szCs w:val="22"/>
        </w:rPr>
        <w:t xml:space="preserve"> fills</w:t>
      </w:r>
      <w:r w:rsidRPr="0034495B">
        <w:rPr>
          <w:szCs w:val="22"/>
        </w:rPr>
        <w:t xml:space="preserve"> and local floodplain sediments. Integration of textural and hydraulic testing data has revealed there are five hydraulic classes within the </w:t>
      </w:r>
      <w:r w:rsidR="00C217F0">
        <w:rPr>
          <w:szCs w:val="22"/>
        </w:rPr>
        <w:t>Calivil Formation</w:t>
      </w:r>
      <w:r w:rsidRPr="0034495B">
        <w:rPr>
          <w:szCs w:val="22"/>
        </w:rPr>
        <w:t>. At a local scale (10s to 100s of metres), there is considerable lithological heterogeneity, however at a regional scale (k</w:t>
      </w:r>
      <w:r w:rsidR="00DF0CAB">
        <w:rPr>
          <w:szCs w:val="22"/>
        </w:rPr>
        <w:t>ilo</w:t>
      </w:r>
      <w:r w:rsidRPr="0034495B">
        <w:rPr>
          <w:szCs w:val="22"/>
        </w:rPr>
        <w:t>m</w:t>
      </w:r>
      <w:r w:rsidR="00DF0CAB">
        <w:rPr>
          <w:szCs w:val="22"/>
        </w:rPr>
        <w:t>etre</w:t>
      </w:r>
      <w:r w:rsidRPr="0034495B">
        <w:rPr>
          <w:szCs w:val="22"/>
        </w:rPr>
        <w:t>s), sands and gravels are widely distributed with particularly good aquifers developed in palaeochannels and at the confluence of palaeo-river systems.</w:t>
      </w:r>
      <w:r w:rsidRPr="0034495B">
        <w:rPr>
          <w:color w:val="000000"/>
          <w:szCs w:val="22"/>
        </w:rPr>
        <w:t xml:space="preserve"> </w:t>
      </w:r>
    </w:p>
    <w:p w:rsidR="00F46C06" w:rsidRDefault="00F46C06" w:rsidP="00F46C06">
      <w:pPr>
        <w:rPr>
          <w:color w:val="000000"/>
          <w:szCs w:val="22"/>
        </w:rPr>
      </w:pPr>
    </w:p>
    <w:p w:rsidR="00F46C06" w:rsidRPr="00E80C41" w:rsidRDefault="00F46C06" w:rsidP="00F46C06">
      <w:pPr>
        <w:rPr>
          <w:szCs w:val="22"/>
        </w:rPr>
      </w:pPr>
      <w:r>
        <w:rPr>
          <w:szCs w:val="22"/>
        </w:rPr>
        <w:t xml:space="preserve">The </w:t>
      </w:r>
      <w:r w:rsidR="00C217F0">
        <w:rPr>
          <w:szCs w:val="22"/>
        </w:rPr>
        <w:t>Calivil Formation</w:t>
      </w:r>
      <w:r>
        <w:rPr>
          <w:szCs w:val="22"/>
        </w:rPr>
        <w:t xml:space="preserve"> </w:t>
      </w:r>
      <w:r w:rsidRPr="00E80C41">
        <w:rPr>
          <w:szCs w:val="22"/>
        </w:rPr>
        <w:t xml:space="preserve">varies significantly in thickness </w:t>
      </w:r>
      <w:r w:rsidR="00FC0F46">
        <w:rPr>
          <w:szCs w:val="22"/>
        </w:rPr>
        <w:t>(0-70</w:t>
      </w:r>
      <w:r w:rsidR="00983981">
        <w:rPr>
          <w:szCs w:val="22"/>
        </w:rPr>
        <w:t xml:space="preserve"> </w:t>
      </w:r>
      <w:r w:rsidR="00FC0F46">
        <w:rPr>
          <w:szCs w:val="22"/>
        </w:rPr>
        <w:t xml:space="preserve">m) </w:t>
      </w:r>
      <w:r w:rsidRPr="00E80C41">
        <w:rPr>
          <w:szCs w:val="22"/>
        </w:rPr>
        <w:t>over the project area</w:t>
      </w:r>
      <w:r>
        <w:rPr>
          <w:szCs w:val="22"/>
        </w:rPr>
        <w:t>.</w:t>
      </w:r>
      <w:r w:rsidRPr="00E80C41">
        <w:rPr>
          <w:szCs w:val="22"/>
        </w:rPr>
        <w:t xml:space="preserve"> </w:t>
      </w:r>
      <w:r>
        <w:rPr>
          <w:szCs w:val="22"/>
        </w:rPr>
        <w:t>This variability results from</w:t>
      </w:r>
      <w:r w:rsidRPr="00E80C41">
        <w:rPr>
          <w:szCs w:val="22"/>
        </w:rPr>
        <w:t xml:space="preserve"> (1) </w:t>
      </w:r>
      <w:r>
        <w:rPr>
          <w:szCs w:val="22"/>
        </w:rPr>
        <w:t>in-</w:t>
      </w:r>
      <w:r w:rsidRPr="00E80C41">
        <w:rPr>
          <w:szCs w:val="22"/>
        </w:rPr>
        <w:t xml:space="preserve">filling of broad </w:t>
      </w:r>
      <w:r>
        <w:rPr>
          <w:szCs w:val="22"/>
        </w:rPr>
        <w:t>(</w:t>
      </w:r>
      <w:r w:rsidRPr="00E80C41">
        <w:rPr>
          <w:szCs w:val="22"/>
        </w:rPr>
        <w:t>structurally-controlled</w:t>
      </w:r>
      <w:r>
        <w:rPr>
          <w:szCs w:val="22"/>
        </w:rPr>
        <w:t>)</w:t>
      </w:r>
      <w:r w:rsidRPr="00E80C41">
        <w:rPr>
          <w:szCs w:val="22"/>
        </w:rPr>
        <w:t xml:space="preserve"> palaeovalleys</w:t>
      </w:r>
      <w:r>
        <w:rPr>
          <w:szCs w:val="22"/>
        </w:rPr>
        <w:t xml:space="preserve"> in an</w:t>
      </w:r>
      <w:r w:rsidRPr="00E80C41">
        <w:rPr>
          <w:szCs w:val="22"/>
        </w:rPr>
        <w:t xml:space="preserve"> undulating palaeo-landscape</w:t>
      </w:r>
      <w:r>
        <w:rPr>
          <w:szCs w:val="22"/>
        </w:rPr>
        <w:t>, with relief of up to 40</w:t>
      </w:r>
      <w:r w:rsidR="00030542">
        <w:rPr>
          <w:szCs w:val="22"/>
        </w:rPr>
        <w:t xml:space="preserve"> </w:t>
      </w:r>
      <w:r>
        <w:rPr>
          <w:szCs w:val="22"/>
        </w:rPr>
        <w:t>m from valley bottoms to hill tops</w:t>
      </w:r>
      <w:r w:rsidRPr="00E80C41">
        <w:rPr>
          <w:szCs w:val="22"/>
        </w:rPr>
        <w:t xml:space="preserve">; and (2) post-depositional tectonic effects that include structural inversion on faults, as well as warping and tilting. </w:t>
      </w:r>
      <w:r>
        <w:rPr>
          <w:szCs w:val="22"/>
        </w:rPr>
        <w:t xml:space="preserve">The effect of tectonic inversion along reactivated faults has been erosion and local thinning of the </w:t>
      </w:r>
      <w:r w:rsidR="00C217F0">
        <w:rPr>
          <w:szCs w:val="22"/>
        </w:rPr>
        <w:t>Calivil Formation</w:t>
      </w:r>
      <w:r>
        <w:rPr>
          <w:szCs w:val="22"/>
        </w:rPr>
        <w:t xml:space="preserve"> sequence prior to deposition of the overlying lacustrine Blanchetown Clay. In some narrow fault zones</w:t>
      </w:r>
      <w:r w:rsidR="00E655C7">
        <w:rPr>
          <w:szCs w:val="22"/>
        </w:rPr>
        <w:t>,</w:t>
      </w:r>
      <w:r>
        <w:rPr>
          <w:szCs w:val="22"/>
        </w:rPr>
        <w:t xml:space="preserve"> the </w:t>
      </w:r>
      <w:r w:rsidR="00C217F0">
        <w:rPr>
          <w:szCs w:val="22"/>
        </w:rPr>
        <w:t>Calivil Formation</w:t>
      </w:r>
      <w:r>
        <w:rPr>
          <w:szCs w:val="22"/>
        </w:rPr>
        <w:t xml:space="preserve"> </w:t>
      </w:r>
      <w:r w:rsidR="00E655C7">
        <w:rPr>
          <w:szCs w:val="22"/>
        </w:rPr>
        <w:t>appears to have</w:t>
      </w:r>
      <w:r>
        <w:rPr>
          <w:szCs w:val="22"/>
        </w:rPr>
        <w:t xml:space="preserve"> been completely eroded</w:t>
      </w:r>
      <w:r w:rsidR="00E655C7">
        <w:rPr>
          <w:szCs w:val="22"/>
        </w:rPr>
        <w:t xml:space="preserve"> (Lawrie</w:t>
      </w:r>
      <w:r w:rsidR="008A5F7D" w:rsidRPr="00CF7613">
        <w:rPr>
          <w:rStyle w:val="StyleItalic"/>
        </w:rPr>
        <w:t xml:space="preserve"> et al</w:t>
      </w:r>
      <w:r w:rsidR="00E655C7">
        <w:rPr>
          <w:szCs w:val="22"/>
        </w:rPr>
        <w:t>., 2012b)</w:t>
      </w:r>
      <w:r>
        <w:rPr>
          <w:szCs w:val="22"/>
        </w:rPr>
        <w:t xml:space="preserve">. Tectonic activity </w:t>
      </w:r>
      <w:r w:rsidR="00213653">
        <w:rPr>
          <w:szCs w:val="22"/>
        </w:rPr>
        <w:t xml:space="preserve">after </w:t>
      </w:r>
      <w:r>
        <w:rPr>
          <w:szCs w:val="22"/>
        </w:rPr>
        <w:t xml:space="preserve">deposition of the Blanchetown Clay has resulted in further warping, tilting and faulting of the </w:t>
      </w:r>
      <w:r w:rsidR="00C217F0">
        <w:rPr>
          <w:szCs w:val="22"/>
        </w:rPr>
        <w:t>Calivil Formation</w:t>
      </w:r>
      <w:r>
        <w:rPr>
          <w:szCs w:val="22"/>
        </w:rPr>
        <w:t xml:space="preserve">. </w:t>
      </w:r>
    </w:p>
    <w:p w:rsidR="00F46C06" w:rsidRPr="00E80C41" w:rsidRDefault="00F46C06" w:rsidP="00F46C06">
      <w:pPr>
        <w:rPr>
          <w:szCs w:val="22"/>
        </w:rPr>
      </w:pPr>
    </w:p>
    <w:p w:rsidR="00F46C06" w:rsidRDefault="00F46C06" w:rsidP="00F46C06">
      <w:pPr>
        <w:rPr>
          <w:szCs w:val="22"/>
        </w:rPr>
      </w:pPr>
      <w:r w:rsidRPr="00E80C41">
        <w:rPr>
          <w:szCs w:val="22"/>
        </w:rPr>
        <w:t xml:space="preserve">The lower </w:t>
      </w:r>
      <w:r>
        <w:rPr>
          <w:szCs w:val="22"/>
        </w:rPr>
        <w:t xml:space="preserve">bounding surface </w:t>
      </w:r>
      <w:r w:rsidRPr="00E80C41">
        <w:rPr>
          <w:szCs w:val="22"/>
        </w:rPr>
        <w:t xml:space="preserve">of the </w:t>
      </w:r>
      <w:r w:rsidR="00FC0F46">
        <w:rPr>
          <w:szCs w:val="22"/>
        </w:rPr>
        <w:t>formation</w:t>
      </w:r>
      <w:r w:rsidRPr="00E80C41">
        <w:rPr>
          <w:szCs w:val="22"/>
        </w:rPr>
        <w:t xml:space="preserve"> is marked by a distinctly erosional contact with </w:t>
      </w:r>
      <w:r w:rsidR="00C217F0">
        <w:rPr>
          <w:szCs w:val="22"/>
        </w:rPr>
        <w:t>Renmark Group</w:t>
      </w:r>
      <w:r>
        <w:rPr>
          <w:szCs w:val="22"/>
        </w:rPr>
        <w:t xml:space="preserve"> </w:t>
      </w:r>
      <w:r w:rsidRPr="00795774">
        <w:rPr>
          <w:szCs w:val="22"/>
        </w:rPr>
        <w:t>sediments</w:t>
      </w:r>
      <w:r w:rsidR="00D83E45" w:rsidRPr="00795774">
        <w:rPr>
          <w:szCs w:val="22"/>
        </w:rPr>
        <w:t xml:space="preserve"> (</w:t>
      </w:r>
      <w:r w:rsidR="001741E7" w:rsidRPr="00795774">
        <w:fldChar w:fldCharType="begin"/>
      </w:r>
      <w:r w:rsidR="001741E7" w:rsidRPr="00795774">
        <w:instrText xml:space="preserve"> REF _Ref325707443 \h </w:instrText>
      </w:r>
      <w:r w:rsidR="00795774" w:rsidRPr="00795774">
        <w:instrText xml:space="preserve"> \* MERGEFORMAT </w:instrText>
      </w:r>
      <w:r w:rsidR="001741E7" w:rsidRPr="00795774">
        <w:fldChar w:fldCharType="separate"/>
      </w:r>
      <w:r w:rsidR="00966532" w:rsidRPr="00966532">
        <w:t xml:space="preserve">Figure </w:t>
      </w:r>
      <w:r w:rsidR="00966532" w:rsidRPr="00966532">
        <w:rPr>
          <w:noProof/>
        </w:rPr>
        <w:t>5</w:t>
      </w:r>
      <w:r w:rsidR="00966532" w:rsidRPr="00966532">
        <w:rPr>
          <w:noProof/>
        </w:rPr>
        <w:noBreakHyphen/>
        <w:t>2</w:t>
      </w:r>
      <w:r w:rsidR="001741E7" w:rsidRPr="00795774">
        <w:fldChar w:fldCharType="end"/>
      </w:r>
      <w:r w:rsidR="00D83E45" w:rsidRPr="00795774">
        <w:rPr>
          <w:szCs w:val="22"/>
        </w:rPr>
        <w:t>)</w:t>
      </w:r>
      <w:r w:rsidRPr="00795774">
        <w:rPr>
          <w:szCs w:val="22"/>
        </w:rPr>
        <w:t>. There is a</w:t>
      </w:r>
      <w:r w:rsidRPr="00E80C41">
        <w:rPr>
          <w:szCs w:val="22"/>
        </w:rPr>
        <w:t xml:space="preserve"> 10m year hiatus between deposition of </w:t>
      </w:r>
      <w:r>
        <w:rPr>
          <w:szCs w:val="22"/>
        </w:rPr>
        <w:t xml:space="preserve">the </w:t>
      </w:r>
      <w:r w:rsidR="00C217F0">
        <w:rPr>
          <w:szCs w:val="22"/>
        </w:rPr>
        <w:t>Renmark Group</w:t>
      </w:r>
      <w:r>
        <w:rPr>
          <w:szCs w:val="22"/>
        </w:rPr>
        <w:t xml:space="preserve"> and </w:t>
      </w:r>
      <w:r w:rsidR="00C217F0">
        <w:rPr>
          <w:szCs w:val="22"/>
        </w:rPr>
        <w:t>Calivil Formation</w:t>
      </w:r>
      <w:r w:rsidRPr="00E80C41">
        <w:rPr>
          <w:szCs w:val="22"/>
        </w:rPr>
        <w:t xml:space="preserve">. </w:t>
      </w:r>
      <w:r>
        <w:rPr>
          <w:szCs w:val="22"/>
        </w:rPr>
        <w:t>Beneath this erosional surface, t</w:t>
      </w:r>
      <w:r w:rsidRPr="00E80C41">
        <w:rPr>
          <w:szCs w:val="22"/>
        </w:rPr>
        <w:t xml:space="preserve">he </w:t>
      </w:r>
      <w:r w:rsidR="00C217F0">
        <w:rPr>
          <w:szCs w:val="22"/>
        </w:rPr>
        <w:t>Renmark Group</w:t>
      </w:r>
      <w:r w:rsidRPr="00E80C41">
        <w:rPr>
          <w:szCs w:val="22"/>
        </w:rPr>
        <w:t xml:space="preserve"> sediments show evidence of </w:t>
      </w:r>
      <w:r>
        <w:rPr>
          <w:szCs w:val="22"/>
        </w:rPr>
        <w:t xml:space="preserve">significant weathering, particularly where preserved on the </w:t>
      </w:r>
      <w:r w:rsidR="00FC0F46">
        <w:rPr>
          <w:szCs w:val="22"/>
        </w:rPr>
        <w:t>palaeo-</w:t>
      </w:r>
      <w:r>
        <w:rPr>
          <w:szCs w:val="22"/>
        </w:rPr>
        <w:t xml:space="preserve">highs. </w:t>
      </w:r>
      <w:r w:rsidRPr="00E80C41">
        <w:rPr>
          <w:szCs w:val="22"/>
        </w:rPr>
        <w:t xml:space="preserve">The upper surface of the </w:t>
      </w:r>
      <w:r w:rsidR="00C217F0">
        <w:rPr>
          <w:szCs w:val="22"/>
        </w:rPr>
        <w:t>Calivil Formation</w:t>
      </w:r>
      <w:r>
        <w:rPr>
          <w:szCs w:val="22"/>
        </w:rPr>
        <w:t xml:space="preserve"> </w:t>
      </w:r>
      <w:r w:rsidRPr="008C2768">
        <w:rPr>
          <w:szCs w:val="22"/>
        </w:rPr>
        <w:t>is irregular, with up to 16 m of relief evident. This relief</w:t>
      </w:r>
      <w:r w:rsidRPr="00E80C41">
        <w:rPr>
          <w:szCs w:val="22"/>
        </w:rPr>
        <w:t xml:space="preserve"> is </w:t>
      </w:r>
      <w:r w:rsidR="00213653">
        <w:rPr>
          <w:szCs w:val="22"/>
        </w:rPr>
        <w:t xml:space="preserve">likely to be due to a combination of tectonics and </w:t>
      </w:r>
      <w:r w:rsidRPr="00E80C41">
        <w:rPr>
          <w:szCs w:val="22"/>
        </w:rPr>
        <w:t xml:space="preserve">depositional filling of channel and bar topography in the upper </w:t>
      </w:r>
      <w:r w:rsidR="00C217F0">
        <w:rPr>
          <w:szCs w:val="22"/>
        </w:rPr>
        <w:t>Calivil Formation</w:t>
      </w:r>
      <w:r w:rsidRPr="00E80C41">
        <w:rPr>
          <w:szCs w:val="22"/>
        </w:rPr>
        <w:t>.</w:t>
      </w:r>
      <w:r>
        <w:rPr>
          <w:szCs w:val="22"/>
        </w:rPr>
        <w:t xml:space="preserve"> </w:t>
      </w:r>
    </w:p>
    <w:p w:rsidR="00B84D71" w:rsidRPr="00E80C41" w:rsidRDefault="00B84D71" w:rsidP="00F46C06">
      <w:pPr>
        <w:rPr>
          <w:szCs w:val="22"/>
        </w:rPr>
      </w:pPr>
    </w:p>
    <w:p w:rsidR="00213653" w:rsidRDefault="00B84D71" w:rsidP="00213653">
      <w:pPr>
        <w:rPr>
          <w:szCs w:val="22"/>
        </w:rPr>
      </w:pPr>
      <w:r w:rsidRPr="00213653">
        <w:rPr>
          <w:szCs w:val="22"/>
        </w:rPr>
        <w:t xml:space="preserve">Aquifer testing has </w:t>
      </w:r>
      <w:r w:rsidR="00213653" w:rsidRPr="00213653">
        <w:rPr>
          <w:szCs w:val="22"/>
        </w:rPr>
        <w:t>confirmed</w:t>
      </w:r>
      <w:r>
        <w:rPr>
          <w:szCs w:val="22"/>
        </w:rPr>
        <w:t xml:space="preserve"> </w:t>
      </w:r>
      <w:r w:rsidR="00213653">
        <w:rPr>
          <w:szCs w:val="22"/>
        </w:rPr>
        <w:t xml:space="preserve">that the </w:t>
      </w:r>
      <w:r w:rsidR="00C217F0">
        <w:rPr>
          <w:szCs w:val="22"/>
        </w:rPr>
        <w:t>Calivil Formation</w:t>
      </w:r>
      <w:r w:rsidR="00FC0F46">
        <w:rPr>
          <w:szCs w:val="22"/>
        </w:rPr>
        <w:t xml:space="preserve"> </w:t>
      </w:r>
      <w:r w:rsidR="000F55FD">
        <w:rPr>
          <w:szCs w:val="22"/>
        </w:rPr>
        <w:t>can be</w:t>
      </w:r>
      <w:r w:rsidR="00213653">
        <w:rPr>
          <w:szCs w:val="22"/>
        </w:rPr>
        <w:t xml:space="preserve"> an excellent</w:t>
      </w:r>
      <w:r w:rsidR="00FC0F46">
        <w:rPr>
          <w:szCs w:val="22"/>
        </w:rPr>
        <w:t xml:space="preserve"> aquifer for MAR and groundwater extraction.</w:t>
      </w:r>
      <w:r w:rsidR="005152D9">
        <w:rPr>
          <w:szCs w:val="22"/>
        </w:rPr>
        <w:t xml:space="preserve"> </w:t>
      </w:r>
      <w:r w:rsidR="00FC0F46" w:rsidRPr="00213653">
        <w:rPr>
          <w:szCs w:val="22"/>
        </w:rPr>
        <w:t>The level of confinement of the aquifer (</w:t>
      </w:r>
      <w:r w:rsidR="00213653" w:rsidRPr="00213653">
        <w:rPr>
          <w:szCs w:val="22"/>
        </w:rPr>
        <w:t>confined/</w:t>
      </w:r>
      <w:r w:rsidR="00FC0F46" w:rsidRPr="00213653">
        <w:rPr>
          <w:szCs w:val="22"/>
        </w:rPr>
        <w:t>semi-confined</w:t>
      </w:r>
      <w:r w:rsidR="00213653" w:rsidRPr="00213653">
        <w:rPr>
          <w:szCs w:val="22"/>
        </w:rPr>
        <w:t>/</w:t>
      </w:r>
      <w:r w:rsidR="00EF29A1" w:rsidRPr="00213653">
        <w:rPr>
          <w:szCs w:val="22"/>
        </w:rPr>
        <w:t>un</w:t>
      </w:r>
      <w:r w:rsidR="00213653" w:rsidRPr="00213653">
        <w:rPr>
          <w:szCs w:val="22"/>
        </w:rPr>
        <w:t>confined) is defined by</w:t>
      </w:r>
      <w:r w:rsidR="00213653">
        <w:rPr>
          <w:szCs w:val="22"/>
        </w:rPr>
        <w:t xml:space="preserve"> the:</w:t>
      </w:r>
    </w:p>
    <w:p w:rsidR="00213653" w:rsidRDefault="00213653" w:rsidP="008A1B3C">
      <w:pPr>
        <w:numPr>
          <w:ilvl w:val="0"/>
          <w:numId w:val="58"/>
        </w:numPr>
        <w:tabs>
          <w:tab w:val="clear" w:pos="1080"/>
          <w:tab w:val="num" w:pos="720"/>
        </w:tabs>
        <w:ind w:left="720"/>
        <w:rPr>
          <w:szCs w:val="22"/>
        </w:rPr>
      </w:pPr>
      <w:r>
        <w:rPr>
          <w:szCs w:val="22"/>
        </w:rPr>
        <w:t>P</w:t>
      </w:r>
      <w:r w:rsidR="00C97FB2" w:rsidRPr="00213653">
        <w:rPr>
          <w:szCs w:val="22"/>
        </w:rPr>
        <w:t xml:space="preserve">resence, thickness, lithology and structural integrity of the overlying </w:t>
      </w:r>
      <w:r w:rsidRPr="00213653">
        <w:rPr>
          <w:szCs w:val="22"/>
        </w:rPr>
        <w:t xml:space="preserve">confining aquitard which may comprise </w:t>
      </w:r>
      <w:r w:rsidR="00C97FB2" w:rsidRPr="00213653">
        <w:rPr>
          <w:szCs w:val="22"/>
        </w:rPr>
        <w:t>Blanchetown Clay</w:t>
      </w:r>
      <w:r w:rsidRPr="00213653">
        <w:rPr>
          <w:szCs w:val="22"/>
        </w:rPr>
        <w:t xml:space="preserve"> and/or </w:t>
      </w:r>
      <w:r w:rsidR="0028385C">
        <w:rPr>
          <w:szCs w:val="22"/>
        </w:rPr>
        <w:t xml:space="preserve">a fine-grained upper part of the </w:t>
      </w:r>
      <w:r w:rsidR="00C217F0">
        <w:rPr>
          <w:szCs w:val="22"/>
        </w:rPr>
        <w:t>Calivil Formation</w:t>
      </w:r>
      <w:r>
        <w:rPr>
          <w:szCs w:val="22"/>
        </w:rPr>
        <w:t xml:space="preserve">; and </w:t>
      </w:r>
    </w:p>
    <w:p w:rsidR="00213653" w:rsidRPr="00213653" w:rsidRDefault="00213653" w:rsidP="008A1B3C">
      <w:pPr>
        <w:numPr>
          <w:ilvl w:val="0"/>
          <w:numId w:val="58"/>
        </w:numPr>
        <w:tabs>
          <w:tab w:val="clear" w:pos="1080"/>
          <w:tab w:val="num" w:pos="720"/>
        </w:tabs>
        <w:ind w:left="720"/>
        <w:rPr>
          <w:szCs w:val="22"/>
        </w:rPr>
      </w:pPr>
      <w:r>
        <w:rPr>
          <w:szCs w:val="22"/>
        </w:rPr>
        <w:t xml:space="preserve">Degree of saturation of the </w:t>
      </w:r>
      <w:r w:rsidR="00C217F0">
        <w:rPr>
          <w:szCs w:val="22"/>
        </w:rPr>
        <w:t>Calivil Formation</w:t>
      </w:r>
      <w:r>
        <w:rPr>
          <w:szCs w:val="22"/>
        </w:rPr>
        <w:t xml:space="preserve"> aquifer, which </w:t>
      </w:r>
      <w:r w:rsidRPr="00213653">
        <w:rPr>
          <w:szCs w:val="22"/>
        </w:rPr>
        <w:t xml:space="preserve">in places </w:t>
      </w:r>
      <w:r w:rsidR="00111B1B" w:rsidRPr="00213653">
        <w:rPr>
          <w:szCs w:val="22"/>
        </w:rPr>
        <w:t xml:space="preserve">becomes unconfined away from the groundwater mounding associated with the modern drainage. </w:t>
      </w:r>
    </w:p>
    <w:p w:rsidR="00213653" w:rsidRPr="00213653" w:rsidRDefault="00213653" w:rsidP="00213653">
      <w:pPr>
        <w:rPr>
          <w:szCs w:val="22"/>
        </w:rPr>
      </w:pPr>
    </w:p>
    <w:p w:rsidR="00B84D71" w:rsidRPr="0034495B" w:rsidRDefault="00EF29A1" w:rsidP="00213653">
      <w:pPr>
        <w:rPr>
          <w:szCs w:val="22"/>
        </w:rPr>
      </w:pPr>
      <w:r>
        <w:rPr>
          <w:color w:val="000000"/>
          <w:szCs w:val="22"/>
        </w:rPr>
        <w:t xml:space="preserve">Aquifer thickness and transmissivities vary across the study area. However, </w:t>
      </w:r>
      <w:r w:rsidR="00111B1B">
        <w:rPr>
          <w:color w:val="000000"/>
          <w:szCs w:val="22"/>
        </w:rPr>
        <w:t xml:space="preserve">the AEM survey has enabled targeting of sites where subsequent drilling has identified the </w:t>
      </w:r>
      <w:r w:rsidR="00C217F0">
        <w:rPr>
          <w:color w:val="000000"/>
          <w:szCs w:val="22"/>
        </w:rPr>
        <w:t>Calivil Formation</w:t>
      </w:r>
      <w:r w:rsidR="00213653">
        <w:rPr>
          <w:color w:val="000000"/>
          <w:szCs w:val="22"/>
        </w:rPr>
        <w:t xml:space="preserve"> </w:t>
      </w:r>
      <w:r w:rsidR="00111B1B">
        <w:rPr>
          <w:color w:val="000000"/>
          <w:szCs w:val="22"/>
        </w:rPr>
        <w:t xml:space="preserve">as having </w:t>
      </w:r>
      <w:r w:rsidR="00B84D71" w:rsidRPr="0034495B">
        <w:rPr>
          <w:szCs w:val="22"/>
        </w:rPr>
        <w:t>excellent aquifer</w:t>
      </w:r>
      <w:r w:rsidR="00111B1B">
        <w:rPr>
          <w:szCs w:val="22"/>
        </w:rPr>
        <w:t xml:space="preserve"> properties. For example, pump tests at the Jimargil </w:t>
      </w:r>
      <w:r w:rsidR="00213653">
        <w:rPr>
          <w:szCs w:val="22"/>
        </w:rPr>
        <w:t>site infer</w:t>
      </w:r>
      <w:r w:rsidR="00B84D71" w:rsidRPr="00795774">
        <w:rPr>
          <w:szCs w:val="22"/>
        </w:rPr>
        <w:t xml:space="preserve"> locally very high transmissivities (</w:t>
      </w:r>
      <w:r w:rsidR="00111B1B" w:rsidRPr="00795774">
        <w:rPr>
          <w:szCs w:val="22"/>
        </w:rPr>
        <w:t>300-900 m</w:t>
      </w:r>
      <w:r w:rsidR="00111B1B" w:rsidRPr="00795774">
        <w:rPr>
          <w:szCs w:val="22"/>
          <w:vertAlign w:val="superscript"/>
        </w:rPr>
        <w:t>2</w:t>
      </w:r>
      <w:r w:rsidR="00111B1B" w:rsidRPr="00795774">
        <w:rPr>
          <w:szCs w:val="22"/>
        </w:rPr>
        <w:t>/d</w:t>
      </w:r>
      <w:r w:rsidR="008C2501">
        <w:rPr>
          <w:szCs w:val="22"/>
        </w:rPr>
        <w:t>;</w:t>
      </w:r>
      <w:r w:rsidR="00CD2825" w:rsidRPr="00795774">
        <w:rPr>
          <w:szCs w:val="22"/>
        </w:rPr>
        <w:t xml:space="preserve"> </w:t>
      </w:r>
      <w:r w:rsidR="00CD2825" w:rsidRPr="00795774">
        <w:rPr>
          <w:szCs w:val="22"/>
        </w:rPr>
        <w:fldChar w:fldCharType="begin"/>
      </w:r>
      <w:r w:rsidR="00CD2825" w:rsidRPr="00795774">
        <w:rPr>
          <w:szCs w:val="22"/>
        </w:rPr>
        <w:instrText xml:space="preserve"> REF _Ref325709558 \h </w:instrText>
      </w:r>
      <w:r w:rsidR="00795774" w:rsidRPr="00795774">
        <w:rPr>
          <w:szCs w:val="22"/>
        </w:rPr>
        <w:instrText xml:space="preserve"> \* MERGEFORMAT </w:instrText>
      </w:r>
      <w:r w:rsidR="00CD2825" w:rsidRPr="00795774">
        <w:rPr>
          <w:szCs w:val="22"/>
        </w:rPr>
      </w:r>
      <w:r w:rsidR="00CD2825" w:rsidRPr="00795774">
        <w:rPr>
          <w:szCs w:val="22"/>
        </w:rPr>
        <w:fldChar w:fldCharType="separate"/>
      </w:r>
      <w:r w:rsidR="00966532" w:rsidRPr="00966532">
        <w:t xml:space="preserve">Table </w:t>
      </w:r>
      <w:r w:rsidR="00966532" w:rsidRPr="00966532">
        <w:rPr>
          <w:noProof/>
        </w:rPr>
        <w:t>5</w:t>
      </w:r>
      <w:r w:rsidR="00966532" w:rsidRPr="00966532">
        <w:rPr>
          <w:noProof/>
        </w:rPr>
        <w:noBreakHyphen/>
        <w:t>1</w:t>
      </w:r>
      <w:r w:rsidR="00CD2825" w:rsidRPr="00795774">
        <w:rPr>
          <w:szCs w:val="22"/>
        </w:rPr>
        <w:fldChar w:fldCharType="end"/>
      </w:r>
      <w:r w:rsidR="00B84D71" w:rsidRPr="00795774">
        <w:rPr>
          <w:szCs w:val="22"/>
        </w:rPr>
        <w:t>). Integration</w:t>
      </w:r>
      <w:r w:rsidR="00B84D71" w:rsidRPr="0034495B">
        <w:rPr>
          <w:szCs w:val="22"/>
        </w:rPr>
        <w:t xml:space="preserve"> of the </w:t>
      </w:r>
      <w:smartTag w:uri="urn:schemas-microsoft-com:office:smarttags" w:element="stockticker">
        <w:r w:rsidR="00B84D71" w:rsidRPr="0034495B">
          <w:rPr>
            <w:szCs w:val="22"/>
          </w:rPr>
          <w:t>AEM</w:t>
        </w:r>
      </w:smartTag>
      <w:r w:rsidR="00B84D71" w:rsidRPr="0034495B">
        <w:rPr>
          <w:szCs w:val="22"/>
        </w:rPr>
        <w:t xml:space="preserve"> data with borehole geophysical data (</w:t>
      </w:r>
      <w:smartTag w:uri="urn:schemas-microsoft-com:office:smarttags" w:element="PersonName">
        <w:r w:rsidR="00B84D71" w:rsidRPr="0034495B">
          <w:rPr>
            <w:szCs w:val="22"/>
          </w:rPr>
          <w:t>ga</w:t>
        </w:r>
      </w:smartTag>
      <w:r w:rsidR="00B84D71" w:rsidRPr="0034495B">
        <w:rPr>
          <w:szCs w:val="22"/>
        </w:rPr>
        <w:t>mma, induction and nuclear magnetic resonance</w:t>
      </w:r>
      <w:r w:rsidR="00213653">
        <w:rPr>
          <w:szCs w:val="22"/>
        </w:rPr>
        <w:t xml:space="preserve"> logging</w:t>
      </w:r>
      <w:r w:rsidR="00B84D71" w:rsidRPr="0034495B">
        <w:rPr>
          <w:szCs w:val="22"/>
        </w:rPr>
        <w:t xml:space="preserve">) and textural and pore fluid data has enabled maps of aquifer properties including groundwater salinity, porosity, storage and hydraulic conductivity to be derived. </w:t>
      </w:r>
      <w:r w:rsidR="00106292">
        <w:rPr>
          <w:szCs w:val="22"/>
        </w:rPr>
        <w:t xml:space="preserve">The </w:t>
      </w:r>
      <w:r w:rsidR="00C217F0">
        <w:rPr>
          <w:szCs w:val="22"/>
        </w:rPr>
        <w:t>Calivil Formation</w:t>
      </w:r>
      <w:r w:rsidR="00983981">
        <w:rPr>
          <w:szCs w:val="22"/>
        </w:rPr>
        <w:t xml:space="preserve"> is </w:t>
      </w:r>
      <w:r w:rsidR="00106292">
        <w:rPr>
          <w:szCs w:val="22"/>
        </w:rPr>
        <w:t>described in more detail</w:t>
      </w:r>
      <w:r w:rsidR="00983981" w:rsidRPr="00106292">
        <w:rPr>
          <w:szCs w:val="22"/>
        </w:rPr>
        <w:t xml:space="preserve"> in Lawrie</w:t>
      </w:r>
      <w:r w:rsidR="008A5F7D" w:rsidRPr="00CF7613">
        <w:rPr>
          <w:rStyle w:val="StyleItalic"/>
        </w:rPr>
        <w:t xml:space="preserve"> et al</w:t>
      </w:r>
      <w:r w:rsidR="00983981" w:rsidRPr="00106292">
        <w:rPr>
          <w:szCs w:val="22"/>
        </w:rPr>
        <w:t>. (2012b).</w:t>
      </w:r>
    </w:p>
    <w:p w:rsidR="00651FA3" w:rsidRDefault="00651FA3" w:rsidP="00F46C06"/>
    <w:p w:rsidR="005152D9" w:rsidRPr="005152D9" w:rsidRDefault="005152D9" w:rsidP="005152D9">
      <w:pPr>
        <w:rPr>
          <w:b/>
          <w:szCs w:val="22"/>
        </w:rPr>
      </w:pPr>
      <w:r w:rsidRPr="005152D9">
        <w:rPr>
          <w:b/>
          <w:szCs w:val="22"/>
        </w:rPr>
        <w:t>Loxton-Parilla Sands</w:t>
      </w:r>
    </w:p>
    <w:p w:rsidR="005152D9" w:rsidRDefault="005152D9" w:rsidP="005152D9">
      <w:r>
        <w:t xml:space="preserve">The Loxton-Parilla Sands (Brown &amp; Stephenson, 1991) were deposited as marginal marine and beach-barrier deposits during a major Miocene-Pliocene marine regression. This unit contains heavy mineral concentrations which have been actively explored for to the south of the study area. </w:t>
      </w:r>
      <w:r w:rsidRPr="000810ED">
        <w:rPr>
          <w:szCs w:val="22"/>
        </w:rPr>
        <w:t>P</w:t>
      </w:r>
      <w:r>
        <w:rPr>
          <w:szCs w:val="22"/>
        </w:rPr>
        <w:t>rior to this study, p</w:t>
      </w:r>
      <w:r w:rsidRPr="000810ED">
        <w:rPr>
          <w:szCs w:val="22"/>
        </w:rPr>
        <w:t xml:space="preserve">alaeogeographic compilations </w:t>
      </w:r>
      <w:r>
        <w:rPr>
          <w:szCs w:val="22"/>
        </w:rPr>
        <w:t>(</w:t>
      </w:r>
      <w:r>
        <w:t xml:space="preserve">Kotsonis, 1999; </w:t>
      </w:r>
      <w:r w:rsidRPr="000810ED">
        <w:rPr>
          <w:szCs w:val="22"/>
        </w:rPr>
        <w:t xml:space="preserve">Roy </w:t>
      </w:r>
      <w:r>
        <w:rPr>
          <w:szCs w:val="22"/>
        </w:rPr>
        <w:t xml:space="preserve">&amp; Whitehouse, </w:t>
      </w:r>
      <w:r w:rsidRPr="000810ED">
        <w:rPr>
          <w:szCs w:val="22"/>
        </w:rPr>
        <w:t xml:space="preserve">2003) </w:t>
      </w:r>
      <w:r>
        <w:t xml:space="preserve">demonstrated that </w:t>
      </w:r>
      <w:r w:rsidRPr="000810ED">
        <w:rPr>
          <w:szCs w:val="22"/>
        </w:rPr>
        <w:t xml:space="preserve">strandline patterns that define the Loxton-Parilla Sands are present 50 km to the south of 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Pr>
          <w:szCs w:val="22"/>
        </w:rPr>
        <w:t xml:space="preserve">. </w:t>
      </w:r>
      <w:r>
        <w:t>In this study, drilling has demonstrated the presence of Loxton-Parilla sands in the south of the area, with stranded dunes present about 30</w:t>
      </w:r>
      <w:r w:rsidR="006748C2">
        <w:t xml:space="preserve"> </w:t>
      </w:r>
      <w:r>
        <w:t xml:space="preserve">km SE of </w:t>
      </w:r>
      <w:r w:rsidR="00C217F0">
        <w:t>Lake Menindee</w:t>
      </w:r>
      <w:r>
        <w:t xml:space="preserve">. Drilling has also demonstrated that the </w:t>
      </w:r>
      <w:r w:rsidR="00C217F0">
        <w:t>Calivil Formation</w:t>
      </w:r>
      <w:r>
        <w:t xml:space="preserve"> </w:t>
      </w:r>
      <w:r>
        <w:lastRenderedPageBreak/>
        <w:t xml:space="preserve">locally overlies the Loxton-Parilla Sands. In the south of the </w:t>
      </w:r>
      <w:r w:rsidRPr="00106292">
        <w:t>area, the latter form a good aquifer approximately 40 m thick.</w:t>
      </w:r>
      <w:r w:rsidR="00983981" w:rsidRPr="00106292">
        <w:t xml:space="preserve"> </w:t>
      </w:r>
      <w:r w:rsidR="00106292" w:rsidRPr="00106292">
        <w:rPr>
          <w:szCs w:val="22"/>
        </w:rPr>
        <w:t>The</w:t>
      </w:r>
      <w:r w:rsidR="00983981" w:rsidRPr="00106292">
        <w:rPr>
          <w:szCs w:val="22"/>
        </w:rPr>
        <w:t xml:space="preserve"> Loxton-Parilla Sands </w:t>
      </w:r>
      <w:r w:rsidR="00106292" w:rsidRPr="00106292">
        <w:rPr>
          <w:szCs w:val="22"/>
        </w:rPr>
        <w:t>are described in greater detail</w:t>
      </w:r>
      <w:r w:rsidR="00983981" w:rsidRPr="00106292">
        <w:rPr>
          <w:szCs w:val="22"/>
        </w:rPr>
        <w:t xml:space="preserve"> in Lawrie</w:t>
      </w:r>
      <w:r w:rsidR="008A5F7D" w:rsidRPr="00CF7613">
        <w:rPr>
          <w:rStyle w:val="StyleItalic"/>
        </w:rPr>
        <w:t xml:space="preserve"> et al</w:t>
      </w:r>
      <w:r w:rsidR="00983981" w:rsidRPr="00106292">
        <w:rPr>
          <w:szCs w:val="22"/>
        </w:rPr>
        <w:t>. (2012b).</w:t>
      </w:r>
    </w:p>
    <w:p w:rsidR="00F46C06" w:rsidRPr="00C6655F" w:rsidRDefault="00C217F0" w:rsidP="00EF7E00">
      <w:pPr>
        <w:pStyle w:val="Heading3"/>
        <w:tabs>
          <w:tab w:val="left" w:pos="1080"/>
        </w:tabs>
        <w:spacing w:before="320"/>
        <w:ind w:left="1080" w:hanging="1080"/>
      </w:pPr>
      <w:bookmarkStart w:id="298" w:name="_Toc390690116"/>
      <w:r>
        <w:t>Renmark Group</w:t>
      </w:r>
      <w:bookmarkEnd w:id="298"/>
    </w:p>
    <w:p w:rsidR="00F46C06" w:rsidRPr="006610C6" w:rsidRDefault="00F46C06" w:rsidP="00F46C06">
      <w:pPr>
        <w:rPr>
          <w:szCs w:val="22"/>
        </w:rPr>
      </w:pPr>
      <w:r w:rsidRPr="00106292">
        <w:rPr>
          <w:szCs w:val="22"/>
        </w:rPr>
        <w:t xml:space="preserve">Regionally, the </w:t>
      </w:r>
      <w:r w:rsidR="00C217F0">
        <w:rPr>
          <w:szCs w:val="22"/>
        </w:rPr>
        <w:t>Renmark Group</w:t>
      </w:r>
      <w:r w:rsidRPr="00106292">
        <w:rPr>
          <w:szCs w:val="22"/>
        </w:rPr>
        <w:t xml:space="preserve"> comprises the non-marine Paleocene to Miocene sediments of the </w:t>
      </w:r>
      <w:smartTag w:uri="urn:schemas-microsoft-com:office:smarttags" w:element="place">
        <w:smartTag w:uri="urn:schemas-microsoft-com:office:smarttags" w:element="PlaceName">
          <w:r w:rsidRPr="00106292">
            <w:rPr>
              <w:szCs w:val="22"/>
            </w:rPr>
            <w:t>Murray</w:t>
          </w:r>
        </w:smartTag>
        <w:r w:rsidRPr="00106292">
          <w:rPr>
            <w:szCs w:val="22"/>
          </w:rPr>
          <w:t xml:space="preserve"> </w:t>
        </w:r>
        <w:smartTag w:uri="urn:schemas-microsoft-com:office:smarttags" w:element="PlaceName">
          <w:r w:rsidR="00C00B83" w:rsidRPr="00106292">
            <w:rPr>
              <w:szCs w:val="22"/>
            </w:rPr>
            <w:t>Geological</w:t>
          </w:r>
        </w:smartTag>
        <w:r w:rsidR="00C00B83" w:rsidRPr="00106292">
          <w:rPr>
            <w:szCs w:val="22"/>
          </w:rPr>
          <w:t xml:space="preserve"> </w:t>
        </w:r>
        <w:smartTag w:uri="urn:schemas-microsoft-com:office:smarttags" w:element="PlaceType">
          <w:r w:rsidRPr="00106292">
            <w:rPr>
              <w:szCs w:val="22"/>
            </w:rPr>
            <w:t>Basin</w:t>
          </w:r>
        </w:smartTag>
      </w:smartTag>
      <w:r w:rsidRPr="00106292">
        <w:rPr>
          <w:szCs w:val="22"/>
        </w:rPr>
        <w:t xml:space="preserve"> (Brown </w:t>
      </w:r>
      <w:r w:rsidR="009E14A2" w:rsidRPr="00106292">
        <w:rPr>
          <w:szCs w:val="22"/>
        </w:rPr>
        <w:t xml:space="preserve">&amp; </w:t>
      </w:r>
      <w:r w:rsidRPr="00106292">
        <w:rPr>
          <w:szCs w:val="22"/>
        </w:rPr>
        <w:t>Stephenson</w:t>
      </w:r>
      <w:r w:rsidR="00D83E45" w:rsidRPr="00106292">
        <w:rPr>
          <w:szCs w:val="22"/>
        </w:rPr>
        <w:t>,</w:t>
      </w:r>
      <w:r w:rsidRPr="00106292">
        <w:rPr>
          <w:szCs w:val="22"/>
        </w:rPr>
        <w:t xml:space="preserve"> 1991). The sediments are in part laterally equivalent to the Oligo-Miocene Murray Group marine deposits</w:t>
      </w:r>
      <w:r w:rsidRPr="006610C6">
        <w:rPr>
          <w:szCs w:val="22"/>
        </w:rPr>
        <w:t xml:space="preserve">. Basin-ward, the </w:t>
      </w:r>
      <w:r w:rsidR="00C217F0">
        <w:rPr>
          <w:szCs w:val="22"/>
        </w:rPr>
        <w:t>Renmark Group</w:t>
      </w:r>
      <w:r w:rsidRPr="006610C6">
        <w:rPr>
          <w:szCs w:val="22"/>
        </w:rPr>
        <w:t xml:space="preserve"> passes into the marginal marine to shallow marine Geera Clay Formation. This formation, with its diagnostic marine microfauna and thin carbonate beds does not occur in the project area</w:t>
      </w:r>
    </w:p>
    <w:p w:rsidR="00F46C06" w:rsidRPr="006610C6" w:rsidRDefault="00F46C06" w:rsidP="00F46C06">
      <w:pPr>
        <w:ind w:left="36"/>
        <w:rPr>
          <w:b/>
          <w:szCs w:val="22"/>
        </w:rPr>
      </w:pPr>
    </w:p>
    <w:p w:rsidR="00F46C06" w:rsidRPr="00106292" w:rsidRDefault="00F46C06" w:rsidP="00F46C06">
      <w:pPr>
        <w:ind w:left="36"/>
        <w:rPr>
          <w:szCs w:val="22"/>
        </w:rPr>
      </w:pPr>
      <w:r w:rsidRPr="00106292">
        <w:rPr>
          <w:szCs w:val="22"/>
        </w:rPr>
        <w:t xml:space="preserve">Deposition of the </w:t>
      </w:r>
      <w:r w:rsidR="00C217F0">
        <w:rPr>
          <w:szCs w:val="22"/>
        </w:rPr>
        <w:t>Renmark Group</w:t>
      </w:r>
      <w:r w:rsidRPr="00106292">
        <w:rPr>
          <w:szCs w:val="22"/>
        </w:rPr>
        <w:t xml:space="preserve"> in the project area is controlled by the </w:t>
      </w:r>
      <w:r w:rsidR="00C217F0">
        <w:rPr>
          <w:szCs w:val="22"/>
        </w:rPr>
        <w:t xml:space="preserve">Menindee </w:t>
      </w:r>
      <w:r w:rsidRPr="00106292">
        <w:rPr>
          <w:szCs w:val="22"/>
        </w:rPr>
        <w:t>Trough (Lawrie</w:t>
      </w:r>
      <w:r w:rsidR="008A5F7D" w:rsidRPr="00CF7613">
        <w:rPr>
          <w:rStyle w:val="StyleItalic"/>
        </w:rPr>
        <w:t xml:space="preserve"> et al</w:t>
      </w:r>
      <w:r w:rsidRPr="00CF7613">
        <w:rPr>
          <w:rStyle w:val="StyleItalic"/>
        </w:rPr>
        <w:t>.</w:t>
      </w:r>
      <w:r w:rsidR="00F81E70" w:rsidRPr="00CF7613">
        <w:rPr>
          <w:rStyle w:val="StyleItalic"/>
        </w:rPr>
        <w:t>,</w:t>
      </w:r>
      <w:r w:rsidRPr="00106292">
        <w:rPr>
          <w:szCs w:val="22"/>
        </w:rPr>
        <w:t xml:space="preserve"> 2009</w:t>
      </w:r>
      <w:r w:rsidR="00106292" w:rsidRPr="00106292">
        <w:rPr>
          <w:szCs w:val="22"/>
        </w:rPr>
        <w:t>a</w:t>
      </w:r>
      <w:r w:rsidRPr="00106292">
        <w:rPr>
          <w:szCs w:val="22"/>
        </w:rPr>
        <w:t xml:space="preserve">, and references therein), a </w:t>
      </w:r>
      <w:r w:rsidR="008354DA">
        <w:rPr>
          <w:szCs w:val="22"/>
        </w:rPr>
        <w:t>northeast</w:t>
      </w:r>
      <w:r w:rsidR="000F55FD">
        <w:rPr>
          <w:szCs w:val="22"/>
        </w:rPr>
        <w:t>-</w:t>
      </w:r>
      <w:r w:rsidR="008354DA">
        <w:rPr>
          <w:szCs w:val="22"/>
        </w:rPr>
        <w:t xml:space="preserve">southwest </w:t>
      </w:r>
      <w:r w:rsidRPr="00106292">
        <w:rPr>
          <w:szCs w:val="22"/>
        </w:rPr>
        <w:t xml:space="preserve">trending structural basin that </w:t>
      </w:r>
      <w:r w:rsidR="00C00B83" w:rsidRPr="00106292">
        <w:rPr>
          <w:szCs w:val="22"/>
        </w:rPr>
        <w:t>limits</w:t>
      </w:r>
      <w:r w:rsidRPr="00106292">
        <w:rPr>
          <w:szCs w:val="22"/>
        </w:rPr>
        <w:t xml:space="preserve"> the lower </w:t>
      </w:r>
      <w:r w:rsidR="00C217F0">
        <w:rPr>
          <w:szCs w:val="22"/>
        </w:rPr>
        <w:t>Renmark Group</w:t>
      </w:r>
      <w:r w:rsidRPr="00106292">
        <w:rPr>
          <w:szCs w:val="22"/>
        </w:rPr>
        <w:t xml:space="preserve"> and influences the thickness of the middle and upper </w:t>
      </w:r>
      <w:r w:rsidR="00C217F0">
        <w:rPr>
          <w:szCs w:val="22"/>
        </w:rPr>
        <w:t>Renmark Group</w:t>
      </w:r>
      <w:r w:rsidRPr="00106292">
        <w:rPr>
          <w:szCs w:val="22"/>
        </w:rPr>
        <w:t xml:space="preserve">. The </w:t>
      </w:r>
      <w:r w:rsidR="00C217F0">
        <w:rPr>
          <w:szCs w:val="22"/>
        </w:rPr>
        <w:t xml:space="preserve">Menindee </w:t>
      </w:r>
      <w:r w:rsidR="00C00B83" w:rsidRPr="00106292">
        <w:rPr>
          <w:szCs w:val="22"/>
        </w:rPr>
        <w:t>T</w:t>
      </w:r>
      <w:r w:rsidRPr="00106292">
        <w:rPr>
          <w:szCs w:val="22"/>
        </w:rPr>
        <w:t>rough is somewhat narrower overall than the project area, wide</w:t>
      </w:r>
      <w:r w:rsidR="00B33329" w:rsidRPr="00106292">
        <w:rPr>
          <w:szCs w:val="22"/>
        </w:rPr>
        <w:t>n</w:t>
      </w:r>
      <w:r w:rsidRPr="00106292">
        <w:rPr>
          <w:szCs w:val="22"/>
        </w:rPr>
        <w:t xml:space="preserve">s to the </w:t>
      </w:r>
      <w:r w:rsidR="000F55FD">
        <w:rPr>
          <w:szCs w:val="22"/>
        </w:rPr>
        <w:t>southwest</w:t>
      </w:r>
      <w:r w:rsidRPr="00106292">
        <w:rPr>
          <w:szCs w:val="22"/>
        </w:rPr>
        <w:t xml:space="preserve"> and narrows to the </w:t>
      </w:r>
      <w:r w:rsidR="000F55FD">
        <w:rPr>
          <w:szCs w:val="22"/>
        </w:rPr>
        <w:t>northeast</w:t>
      </w:r>
      <w:r w:rsidRPr="00106292">
        <w:rPr>
          <w:szCs w:val="22"/>
        </w:rPr>
        <w:t xml:space="preserve">. The upper part of the </w:t>
      </w:r>
      <w:r w:rsidR="00C217F0">
        <w:rPr>
          <w:szCs w:val="22"/>
        </w:rPr>
        <w:t>Renmark Group</w:t>
      </w:r>
      <w:r w:rsidRPr="00106292">
        <w:rPr>
          <w:szCs w:val="22"/>
        </w:rPr>
        <w:t xml:space="preserve"> occurs across the whole project area. It too is probably controlled by the underlying </w:t>
      </w:r>
      <w:r w:rsidR="00C217F0">
        <w:rPr>
          <w:szCs w:val="22"/>
        </w:rPr>
        <w:t xml:space="preserve">Menindee </w:t>
      </w:r>
      <w:r w:rsidRPr="00106292">
        <w:rPr>
          <w:szCs w:val="22"/>
        </w:rPr>
        <w:t>Trough, possibly as a sag basin.</w:t>
      </w:r>
    </w:p>
    <w:p w:rsidR="00F46C06" w:rsidRPr="00106292" w:rsidRDefault="00F46C06" w:rsidP="00F46C06">
      <w:pPr>
        <w:rPr>
          <w:szCs w:val="22"/>
        </w:rPr>
      </w:pPr>
    </w:p>
    <w:p w:rsidR="00C00B83" w:rsidRPr="00106292" w:rsidRDefault="00F46C06" w:rsidP="00F46C06">
      <w:pPr>
        <w:rPr>
          <w:szCs w:val="22"/>
        </w:rPr>
      </w:pPr>
      <w:r w:rsidRPr="00106292">
        <w:rPr>
          <w:szCs w:val="22"/>
        </w:rPr>
        <w:t xml:space="preserve">The upper </w:t>
      </w:r>
      <w:r w:rsidR="00C217F0">
        <w:rPr>
          <w:szCs w:val="22"/>
        </w:rPr>
        <w:t>Renmark Group</w:t>
      </w:r>
      <w:r w:rsidRPr="00106292">
        <w:rPr>
          <w:szCs w:val="22"/>
        </w:rPr>
        <w:t xml:space="preserve"> is a widespread non-marine succession of Miocene age in the </w:t>
      </w:r>
      <w:smartTag w:uri="urn:schemas-microsoft-com:office:smarttags" w:element="place">
        <w:smartTag w:uri="urn:schemas-microsoft-com:office:smarttags" w:element="PlaceName">
          <w:r w:rsidRPr="00106292">
            <w:rPr>
              <w:szCs w:val="22"/>
            </w:rPr>
            <w:t>Murray</w:t>
          </w:r>
        </w:smartTag>
        <w:r w:rsidRPr="00106292">
          <w:rPr>
            <w:szCs w:val="22"/>
          </w:rPr>
          <w:t xml:space="preserve"> </w:t>
        </w:r>
        <w:smartTag w:uri="urn:schemas-microsoft-com:office:smarttags" w:element="PlaceName">
          <w:r w:rsidR="000F55FD">
            <w:rPr>
              <w:szCs w:val="22"/>
            </w:rPr>
            <w:t>Geological</w:t>
          </w:r>
        </w:smartTag>
        <w:r w:rsidR="000F55FD">
          <w:rPr>
            <w:szCs w:val="22"/>
          </w:rPr>
          <w:t xml:space="preserve"> </w:t>
        </w:r>
        <w:smartTag w:uri="urn:schemas-microsoft-com:office:smarttags" w:element="PlaceType">
          <w:r w:rsidRPr="00106292">
            <w:rPr>
              <w:szCs w:val="22"/>
            </w:rPr>
            <w:t>Basin</w:t>
          </w:r>
        </w:smartTag>
      </w:smartTag>
      <w:r w:rsidRPr="00106292">
        <w:rPr>
          <w:szCs w:val="22"/>
        </w:rPr>
        <w:t>. Unlithified and nowhere exposed, it is poorly understood</w:t>
      </w:r>
      <w:r w:rsidR="00C00B83" w:rsidRPr="00106292">
        <w:rPr>
          <w:szCs w:val="22"/>
        </w:rPr>
        <w:t xml:space="preserve">. </w:t>
      </w:r>
      <w:r w:rsidR="00B33329" w:rsidRPr="00106292">
        <w:rPr>
          <w:szCs w:val="22"/>
        </w:rPr>
        <w:t>It is inferred from drilling to be</w:t>
      </w:r>
      <w:r w:rsidR="00C00B83" w:rsidRPr="00106292">
        <w:rPr>
          <w:szCs w:val="22"/>
        </w:rPr>
        <w:t xml:space="preserve"> deposited on a low relief sedimentary plain dominated by anastomosing fixed channel streams, flowing southward into a complex low energy coastal plain with numerous lagoons and bays. In 90% of the holes drilled, the </w:t>
      </w:r>
      <w:r w:rsidR="00B33329" w:rsidRPr="00106292">
        <w:rPr>
          <w:szCs w:val="22"/>
        </w:rPr>
        <w:t xml:space="preserve">upper </w:t>
      </w:r>
      <w:r w:rsidR="00C217F0">
        <w:rPr>
          <w:szCs w:val="22"/>
        </w:rPr>
        <w:t>Renmark Group</w:t>
      </w:r>
      <w:r w:rsidR="00B33329" w:rsidRPr="00106292">
        <w:rPr>
          <w:szCs w:val="22"/>
        </w:rPr>
        <w:t xml:space="preserve"> </w:t>
      </w:r>
      <w:r w:rsidR="00C00B83" w:rsidRPr="00106292">
        <w:rPr>
          <w:szCs w:val="22"/>
        </w:rPr>
        <w:t>is represented by fine-grained muds</w:t>
      </w:r>
      <w:r w:rsidR="00213653" w:rsidRPr="00106292">
        <w:rPr>
          <w:szCs w:val="22"/>
        </w:rPr>
        <w:t>.</w:t>
      </w:r>
      <w:r w:rsidR="00C00B83" w:rsidRPr="00106292">
        <w:rPr>
          <w:szCs w:val="22"/>
        </w:rPr>
        <w:t xml:space="preserve"> </w:t>
      </w:r>
    </w:p>
    <w:p w:rsidR="00C00B83" w:rsidRPr="00106292" w:rsidRDefault="00C00B83" w:rsidP="00F46C06">
      <w:pPr>
        <w:rPr>
          <w:szCs w:val="22"/>
        </w:rPr>
      </w:pPr>
    </w:p>
    <w:p w:rsidR="00F46C06" w:rsidRPr="00795774" w:rsidRDefault="00B33329" w:rsidP="00F46C06">
      <w:pPr>
        <w:rPr>
          <w:szCs w:val="22"/>
        </w:rPr>
      </w:pPr>
      <w:r w:rsidRPr="00106292">
        <w:rPr>
          <w:szCs w:val="22"/>
        </w:rPr>
        <w:t xml:space="preserve">The upper </w:t>
      </w:r>
      <w:r w:rsidR="00C217F0">
        <w:rPr>
          <w:szCs w:val="22"/>
        </w:rPr>
        <w:t>Renmark Group</w:t>
      </w:r>
      <w:r w:rsidR="00E655C7" w:rsidRPr="00106292">
        <w:rPr>
          <w:szCs w:val="22"/>
        </w:rPr>
        <w:t xml:space="preserve"> </w:t>
      </w:r>
      <w:r w:rsidRPr="00106292">
        <w:rPr>
          <w:szCs w:val="22"/>
        </w:rPr>
        <w:t>sequence acts as</w:t>
      </w:r>
      <w:r w:rsidR="00F46C06" w:rsidRPr="00106292">
        <w:rPr>
          <w:szCs w:val="22"/>
        </w:rPr>
        <w:t xml:space="preserve"> </w:t>
      </w:r>
      <w:r w:rsidR="00C00B83" w:rsidRPr="00106292">
        <w:rPr>
          <w:szCs w:val="22"/>
        </w:rPr>
        <w:t>an underlying aquitard</w:t>
      </w:r>
      <w:r w:rsidR="00F46C06" w:rsidRPr="00106292">
        <w:rPr>
          <w:szCs w:val="22"/>
        </w:rPr>
        <w:t xml:space="preserve"> to important aquifers in the overlying </w:t>
      </w:r>
      <w:r w:rsidR="00C217F0">
        <w:rPr>
          <w:szCs w:val="22"/>
        </w:rPr>
        <w:t>Calivil Formation</w:t>
      </w:r>
      <w:r w:rsidR="00E655C7" w:rsidRPr="00106292">
        <w:rPr>
          <w:szCs w:val="22"/>
        </w:rPr>
        <w:t xml:space="preserve"> </w:t>
      </w:r>
      <w:r w:rsidR="00F46C06" w:rsidRPr="00106292">
        <w:rPr>
          <w:szCs w:val="22"/>
        </w:rPr>
        <w:t>succession</w:t>
      </w:r>
      <w:r w:rsidRPr="00106292">
        <w:rPr>
          <w:szCs w:val="22"/>
        </w:rPr>
        <w:t xml:space="preserve">. Hydraulic connection between the </w:t>
      </w:r>
      <w:r w:rsidR="00C217F0">
        <w:rPr>
          <w:szCs w:val="22"/>
        </w:rPr>
        <w:t>Calivil Formation</w:t>
      </w:r>
      <w:r w:rsidR="00213653" w:rsidRPr="00106292">
        <w:rPr>
          <w:szCs w:val="22"/>
        </w:rPr>
        <w:t xml:space="preserve"> </w:t>
      </w:r>
      <w:r w:rsidRPr="00106292">
        <w:rPr>
          <w:szCs w:val="22"/>
        </w:rPr>
        <w:t xml:space="preserve">and </w:t>
      </w:r>
      <w:r w:rsidR="00C217F0">
        <w:rPr>
          <w:szCs w:val="22"/>
        </w:rPr>
        <w:t>Renmark Group</w:t>
      </w:r>
      <w:r w:rsidR="00213653" w:rsidRPr="00106292">
        <w:rPr>
          <w:szCs w:val="22"/>
        </w:rPr>
        <w:t xml:space="preserve"> </w:t>
      </w:r>
      <w:r w:rsidRPr="00106292">
        <w:rPr>
          <w:szCs w:val="22"/>
        </w:rPr>
        <w:t xml:space="preserve">tends to be limited, except where </w:t>
      </w:r>
      <w:r w:rsidR="00C217F0">
        <w:rPr>
          <w:szCs w:val="22"/>
        </w:rPr>
        <w:t>Renmark Group</w:t>
      </w:r>
      <w:r w:rsidRPr="00106292">
        <w:rPr>
          <w:szCs w:val="22"/>
        </w:rPr>
        <w:t xml:space="preserve"> channel sands immediately underlie the </w:t>
      </w:r>
      <w:r w:rsidR="00C217F0">
        <w:rPr>
          <w:szCs w:val="22"/>
        </w:rPr>
        <w:t>Calivil Formation</w:t>
      </w:r>
      <w:r w:rsidRPr="00106292">
        <w:rPr>
          <w:szCs w:val="22"/>
        </w:rPr>
        <w:t>. In these areas</w:t>
      </w:r>
      <w:r w:rsidR="00213653" w:rsidRPr="00106292">
        <w:rPr>
          <w:szCs w:val="22"/>
        </w:rPr>
        <w:t>,</w:t>
      </w:r>
      <w:r w:rsidRPr="00106292">
        <w:rPr>
          <w:szCs w:val="22"/>
        </w:rPr>
        <w:t xml:space="preserve"> there can be a distinct salinity gradient from the </w:t>
      </w:r>
      <w:r w:rsidR="00C217F0">
        <w:rPr>
          <w:szCs w:val="22"/>
        </w:rPr>
        <w:t>Calivil Formation</w:t>
      </w:r>
      <w:r w:rsidR="00213653" w:rsidRPr="00106292">
        <w:rPr>
          <w:szCs w:val="22"/>
        </w:rPr>
        <w:t xml:space="preserve"> </w:t>
      </w:r>
      <w:r w:rsidRPr="00106292">
        <w:rPr>
          <w:szCs w:val="22"/>
        </w:rPr>
        <w:t xml:space="preserve">down into the </w:t>
      </w:r>
      <w:r w:rsidR="00C217F0">
        <w:rPr>
          <w:szCs w:val="22"/>
        </w:rPr>
        <w:t>Renmark Group</w:t>
      </w:r>
      <w:r w:rsidRPr="00106292">
        <w:rPr>
          <w:szCs w:val="22"/>
        </w:rPr>
        <w:t>, indicating mixing</w:t>
      </w:r>
      <w:r w:rsidR="00D83E45" w:rsidRPr="00106292">
        <w:rPr>
          <w:szCs w:val="22"/>
        </w:rPr>
        <w:t xml:space="preserve"> (</w:t>
      </w:r>
      <w:r w:rsidR="00CD2825" w:rsidRPr="00106292">
        <w:rPr>
          <w:szCs w:val="22"/>
        </w:rPr>
        <w:fldChar w:fldCharType="begin"/>
      </w:r>
      <w:r w:rsidR="00CD2825" w:rsidRPr="00106292">
        <w:rPr>
          <w:szCs w:val="22"/>
        </w:rPr>
        <w:instrText xml:space="preserve"> REF _Ref325709558 \h </w:instrText>
      </w:r>
      <w:r w:rsidR="00795774" w:rsidRPr="00106292">
        <w:rPr>
          <w:szCs w:val="22"/>
        </w:rPr>
        <w:instrText xml:space="preserve"> \* MERGEFORMAT </w:instrText>
      </w:r>
      <w:r w:rsidR="00CD2825" w:rsidRPr="00106292">
        <w:rPr>
          <w:szCs w:val="22"/>
        </w:rPr>
      </w:r>
      <w:r w:rsidR="00CD2825" w:rsidRPr="00106292">
        <w:rPr>
          <w:szCs w:val="22"/>
        </w:rPr>
        <w:fldChar w:fldCharType="separate"/>
      </w:r>
      <w:r w:rsidR="00966532" w:rsidRPr="00966532">
        <w:t xml:space="preserve">Table </w:t>
      </w:r>
      <w:r w:rsidR="00966532" w:rsidRPr="00966532">
        <w:rPr>
          <w:noProof/>
        </w:rPr>
        <w:t>5</w:t>
      </w:r>
      <w:r w:rsidR="00966532" w:rsidRPr="00966532">
        <w:rPr>
          <w:noProof/>
        </w:rPr>
        <w:noBreakHyphen/>
        <w:t>1</w:t>
      </w:r>
      <w:r w:rsidR="00CD2825" w:rsidRPr="00106292">
        <w:rPr>
          <w:szCs w:val="22"/>
        </w:rPr>
        <w:fldChar w:fldCharType="end"/>
      </w:r>
      <w:r w:rsidR="00D83E45" w:rsidRPr="00106292">
        <w:t xml:space="preserve">; </w:t>
      </w:r>
      <w:r w:rsidR="001741E7" w:rsidRPr="00106292">
        <w:fldChar w:fldCharType="begin"/>
      </w:r>
      <w:r w:rsidR="001741E7" w:rsidRPr="00106292">
        <w:instrText xml:space="preserve"> REF _Ref325707443 \h </w:instrText>
      </w:r>
      <w:r w:rsidR="00795774" w:rsidRPr="00106292">
        <w:instrText xml:space="preserve"> \* MERGEFORMAT </w:instrText>
      </w:r>
      <w:r w:rsidR="001741E7" w:rsidRPr="00106292">
        <w:fldChar w:fldCharType="separate"/>
      </w:r>
      <w:r w:rsidR="00966532" w:rsidRPr="00966532">
        <w:t xml:space="preserve">Figure </w:t>
      </w:r>
      <w:r w:rsidR="00966532" w:rsidRPr="00966532">
        <w:rPr>
          <w:noProof/>
        </w:rPr>
        <w:t>5</w:t>
      </w:r>
      <w:r w:rsidR="00966532" w:rsidRPr="00966532">
        <w:rPr>
          <w:noProof/>
        </w:rPr>
        <w:noBreakHyphen/>
        <w:t>2</w:t>
      </w:r>
      <w:r w:rsidR="001741E7" w:rsidRPr="00106292">
        <w:fldChar w:fldCharType="end"/>
      </w:r>
      <w:r w:rsidR="00D83E45" w:rsidRPr="00106292">
        <w:rPr>
          <w:szCs w:val="22"/>
        </w:rPr>
        <w:t>)</w:t>
      </w:r>
      <w:r w:rsidR="00680C55" w:rsidRPr="00106292">
        <w:rPr>
          <w:szCs w:val="22"/>
        </w:rPr>
        <w:t xml:space="preserve">. </w:t>
      </w:r>
      <w:r w:rsidR="00106292" w:rsidRPr="00106292">
        <w:rPr>
          <w:szCs w:val="22"/>
        </w:rPr>
        <w:t>The</w:t>
      </w:r>
      <w:r w:rsidR="00983981" w:rsidRPr="00106292">
        <w:rPr>
          <w:szCs w:val="22"/>
        </w:rPr>
        <w:t xml:space="preserve"> </w:t>
      </w:r>
      <w:r w:rsidR="00C217F0">
        <w:rPr>
          <w:szCs w:val="22"/>
        </w:rPr>
        <w:t>Renmark Group</w:t>
      </w:r>
      <w:r w:rsidR="00213653" w:rsidRPr="00106292">
        <w:rPr>
          <w:szCs w:val="22"/>
        </w:rPr>
        <w:t xml:space="preserve"> sediments</w:t>
      </w:r>
      <w:r w:rsidR="00983981" w:rsidRPr="00106292">
        <w:rPr>
          <w:szCs w:val="22"/>
        </w:rPr>
        <w:t xml:space="preserve"> </w:t>
      </w:r>
      <w:r w:rsidR="00106292" w:rsidRPr="00106292">
        <w:rPr>
          <w:szCs w:val="22"/>
        </w:rPr>
        <w:t>are described in more detail</w:t>
      </w:r>
      <w:r w:rsidR="00983981" w:rsidRPr="00106292">
        <w:rPr>
          <w:szCs w:val="22"/>
        </w:rPr>
        <w:t xml:space="preserve"> in Lawrie</w:t>
      </w:r>
      <w:r w:rsidR="008A5F7D" w:rsidRPr="00CF7613">
        <w:rPr>
          <w:rStyle w:val="StyleItalic"/>
        </w:rPr>
        <w:t xml:space="preserve"> et al</w:t>
      </w:r>
      <w:r w:rsidR="00983981" w:rsidRPr="00106292">
        <w:rPr>
          <w:szCs w:val="22"/>
        </w:rPr>
        <w:t>. (2012b).</w:t>
      </w:r>
    </w:p>
    <w:p w:rsidR="00382C1D" w:rsidRDefault="0034495B" w:rsidP="00021090">
      <w:pPr>
        <w:pStyle w:val="Heading2"/>
        <w:tabs>
          <w:tab w:val="left" w:pos="720"/>
        </w:tabs>
        <w:spacing w:before="320"/>
      </w:pPr>
      <w:bookmarkStart w:id="299" w:name="_Toc325700102"/>
      <w:bookmarkStart w:id="300" w:name="_Toc325700445"/>
      <w:bookmarkStart w:id="301" w:name="_Toc325975127"/>
      <w:bookmarkStart w:id="302" w:name="_Toc390690117"/>
      <w:r>
        <w:t>Tectonic</w:t>
      </w:r>
      <w:r w:rsidR="00C6655F">
        <w:t xml:space="preserve"> F</w:t>
      </w:r>
      <w:r w:rsidR="00382C1D">
        <w:t>ramework</w:t>
      </w:r>
      <w:bookmarkEnd w:id="299"/>
      <w:bookmarkEnd w:id="300"/>
      <w:bookmarkEnd w:id="301"/>
      <w:bookmarkEnd w:id="302"/>
    </w:p>
    <w:p w:rsidR="004D632B" w:rsidRPr="004D632B" w:rsidRDefault="00AC2231" w:rsidP="004D632B">
      <w:pPr>
        <w:autoSpaceDE w:val="0"/>
        <w:autoSpaceDN w:val="0"/>
        <w:adjustRightInd w:val="0"/>
        <w:rPr>
          <w:szCs w:val="22"/>
        </w:rPr>
      </w:pPr>
      <w:r w:rsidRPr="00F46C06">
        <w:rPr>
          <w:szCs w:val="22"/>
        </w:rPr>
        <w:t xml:space="preserve">Many of </w:t>
      </w:r>
      <w:smartTag w:uri="urn:schemas-microsoft-com:office:smarttags" w:element="place">
        <w:smartTag w:uri="urn:schemas-microsoft-com:office:smarttags" w:element="country-region">
          <w:r w:rsidRPr="00106292">
            <w:rPr>
              <w:szCs w:val="22"/>
            </w:rPr>
            <w:t>Australia</w:t>
          </w:r>
        </w:smartTag>
      </w:smartTag>
      <w:r w:rsidRPr="00106292">
        <w:rPr>
          <w:szCs w:val="22"/>
        </w:rPr>
        <w:t>’s landscapes have developed in</w:t>
      </w:r>
      <w:r w:rsidR="00470E90" w:rsidRPr="00106292">
        <w:rPr>
          <w:szCs w:val="22"/>
        </w:rPr>
        <w:t xml:space="preserve"> </w:t>
      </w:r>
      <w:r w:rsidRPr="00106292">
        <w:rPr>
          <w:szCs w:val="22"/>
        </w:rPr>
        <w:t>response to active geodynamic processes, including</w:t>
      </w:r>
      <w:r w:rsidR="00470E90" w:rsidRPr="00106292">
        <w:rPr>
          <w:szCs w:val="22"/>
        </w:rPr>
        <w:t xml:space="preserve"> </w:t>
      </w:r>
      <w:r w:rsidRPr="00106292">
        <w:rPr>
          <w:szCs w:val="22"/>
        </w:rPr>
        <w:t>long-wavelength continental tilting, intermediate</w:t>
      </w:r>
      <w:r w:rsidR="00F46C06" w:rsidRPr="00106292">
        <w:rPr>
          <w:szCs w:val="22"/>
        </w:rPr>
        <w:t>-</w:t>
      </w:r>
      <w:r w:rsidRPr="00106292">
        <w:rPr>
          <w:szCs w:val="22"/>
        </w:rPr>
        <w:t>wavelength</w:t>
      </w:r>
      <w:r w:rsidR="00470E90" w:rsidRPr="00106292">
        <w:rPr>
          <w:szCs w:val="22"/>
        </w:rPr>
        <w:t xml:space="preserve"> </w:t>
      </w:r>
      <w:r w:rsidRPr="00106292">
        <w:rPr>
          <w:szCs w:val="22"/>
        </w:rPr>
        <w:t>folding, and short-wavelength fault</w:t>
      </w:r>
      <w:r w:rsidR="00470E90" w:rsidRPr="00106292">
        <w:rPr>
          <w:szCs w:val="22"/>
        </w:rPr>
        <w:t xml:space="preserve"> </w:t>
      </w:r>
      <w:r w:rsidRPr="00106292">
        <w:rPr>
          <w:szCs w:val="22"/>
        </w:rPr>
        <w:t>displacement of the surface</w:t>
      </w:r>
      <w:r w:rsidR="00F46C06" w:rsidRPr="00106292">
        <w:rPr>
          <w:szCs w:val="22"/>
        </w:rPr>
        <w:t xml:space="preserve"> (Sandiford </w:t>
      </w:r>
      <w:r w:rsidR="00DE72C9" w:rsidRPr="00106292">
        <w:rPr>
          <w:szCs w:val="22"/>
        </w:rPr>
        <w:t>&amp; Quigley, 2009)</w:t>
      </w:r>
      <w:r w:rsidRPr="00106292">
        <w:rPr>
          <w:szCs w:val="22"/>
        </w:rPr>
        <w:t>. When combined</w:t>
      </w:r>
      <w:r w:rsidR="00470E90" w:rsidRPr="00106292">
        <w:rPr>
          <w:szCs w:val="22"/>
        </w:rPr>
        <w:t xml:space="preserve"> </w:t>
      </w:r>
      <w:r w:rsidRPr="00106292">
        <w:rPr>
          <w:szCs w:val="22"/>
        </w:rPr>
        <w:t>with structural and stratigraphic studies, these</w:t>
      </w:r>
      <w:r w:rsidR="00470E90" w:rsidRPr="00106292">
        <w:rPr>
          <w:szCs w:val="22"/>
        </w:rPr>
        <w:t xml:space="preserve"> </w:t>
      </w:r>
      <w:r w:rsidR="00213653" w:rsidRPr="00106292">
        <w:rPr>
          <w:szCs w:val="22"/>
        </w:rPr>
        <w:t>observations</w:t>
      </w:r>
      <w:r w:rsidRPr="00106292">
        <w:rPr>
          <w:szCs w:val="22"/>
        </w:rPr>
        <w:t xml:space="preserve"> </w:t>
      </w:r>
      <w:r w:rsidR="00213653" w:rsidRPr="00106292">
        <w:rPr>
          <w:szCs w:val="22"/>
        </w:rPr>
        <w:t>suggest</w:t>
      </w:r>
      <w:r w:rsidRPr="00106292">
        <w:rPr>
          <w:szCs w:val="22"/>
        </w:rPr>
        <w:t xml:space="preserve"> that the geomorphology of parts of</w:t>
      </w:r>
      <w:r w:rsidR="00470E90" w:rsidRPr="00106292">
        <w:rPr>
          <w:szCs w:val="22"/>
        </w:rPr>
        <w:t xml:space="preserve"> </w:t>
      </w:r>
      <w:r w:rsidRPr="00106292">
        <w:rPr>
          <w:szCs w:val="22"/>
        </w:rPr>
        <w:t>the Australian continent has changed dramatically</w:t>
      </w:r>
      <w:r w:rsidR="00470E90" w:rsidRPr="00106292">
        <w:rPr>
          <w:szCs w:val="22"/>
        </w:rPr>
        <w:t xml:space="preserve"> </w:t>
      </w:r>
      <w:r w:rsidRPr="00106292">
        <w:rPr>
          <w:szCs w:val="22"/>
        </w:rPr>
        <w:t>in the Late Cenozoic in response to active</w:t>
      </w:r>
      <w:r w:rsidR="00470E90" w:rsidRPr="00106292">
        <w:rPr>
          <w:szCs w:val="22"/>
        </w:rPr>
        <w:t xml:space="preserve"> </w:t>
      </w:r>
      <w:r w:rsidRPr="00106292">
        <w:rPr>
          <w:szCs w:val="22"/>
        </w:rPr>
        <w:t>tectonic processes</w:t>
      </w:r>
      <w:r w:rsidR="00DE72C9" w:rsidRPr="00106292">
        <w:rPr>
          <w:szCs w:val="22"/>
        </w:rPr>
        <w:t xml:space="preserve"> (Quigley</w:t>
      </w:r>
      <w:r w:rsidR="008A5F7D" w:rsidRPr="00CF7613">
        <w:rPr>
          <w:rStyle w:val="StyleItalic"/>
        </w:rPr>
        <w:t xml:space="preserve"> et al</w:t>
      </w:r>
      <w:r w:rsidR="00DE72C9" w:rsidRPr="00106292">
        <w:rPr>
          <w:szCs w:val="22"/>
        </w:rPr>
        <w:t>., 2010)</w:t>
      </w:r>
      <w:r w:rsidRPr="00106292">
        <w:rPr>
          <w:szCs w:val="22"/>
        </w:rPr>
        <w:t>.</w:t>
      </w:r>
      <w:r w:rsidR="00F46C06" w:rsidRPr="00106292">
        <w:rPr>
          <w:szCs w:val="22"/>
        </w:rPr>
        <w:t xml:space="preserve"> </w:t>
      </w:r>
      <w:r w:rsidR="004D632B" w:rsidRPr="00106292">
        <w:rPr>
          <w:szCs w:val="22"/>
        </w:rPr>
        <w:t>Geological studies have more recently used high resolution Digital Elevation Models to identify several hundred faults across the Australian continent with demonstrable Pliocene and/or Quaternary displacements (</w:t>
      </w:r>
      <w:r w:rsidR="00DE72C9" w:rsidRPr="00106292">
        <w:rPr>
          <w:szCs w:val="22"/>
        </w:rPr>
        <w:t>Quigley</w:t>
      </w:r>
      <w:r w:rsidR="008A5F7D" w:rsidRPr="00CF7613">
        <w:rPr>
          <w:rStyle w:val="StyleItalic"/>
        </w:rPr>
        <w:t xml:space="preserve"> et al</w:t>
      </w:r>
      <w:r w:rsidR="004D632B" w:rsidRPr="00106292">
        <w:rPr>
          <w:szCs w:val="22"/>
        </w:rPr>
        <w:t>., 2010).</w:t>
      </w:r>
      <w:r w:rsidR="004D632B" w:rsidRPr="00513ABC">
        <w:rPr>
          <w:szCs w:val="22"/>
        </w:rPr>
        <w:t xml:space="preserve"> </w:t>
      </w:r>
      <w:r w:rsidR="00C45F9D">
        <w:rPr>
          <w:szCs w:val="22"/>
        </w:rPr>
        <w:t>Recently, AEM studies have mapped significant faults with evidence of tectonic activity from the</w:t>
      </w:r>
      <w:r w:rsidR="00AA4D8A">
        <w:rPr>
          <w:szCs w:val="22"/>
        </w:rPr>
        <w:t xml:space="preserve"> </w:t>
      </w:r>
      <w:r w:rsidR="00C45F9D">
        <w:rPr>
          <w:szCs w:val="22"/>
        </w:rPr>
        <w:t xml:space="preserve">Miocene to the Quaternary and Recent times in the nearby </w:t>
      </w:r>
      <w:smartTag w:uri="urn:schemas-microsoft-com:office:smarttags" w:element="place">
        <w:smartTag w:uri="urn:schemas-microsoft-com:office:smarttags" w:element="PlaceName">
          <w:r w:rsidR="00C45F9D">
            <w:t>Callabona</w:t>
          </w:r>
        </w:smartTag>
        <w:r w:rsidR="00C45F9D">
          <w:t xml:space="preserve"> </w:t>
        </w:r>
        <w:smartTag w:uri="urn:schemas-microsoft-com:office:smarttags" w:element="PlaceType">
          <w:r w:rsidR="00C45F9D">
            <w:t>Sub-Basin</w:t>
          </w:r>
        </w:smartTag>
      </w:smartTag>
      <w:r w:rsidR="00C45F9D">
        <w:t xml:space="preserve"> </w:t>
      </w:r>
      <w:r w:rsidR="00C45F9D">
        <w:rPr>
          <w:szCs w:val="22"/>
        </w:rPr>
        <w:t xml:space="preserve">(Roach, 2012). </w:t>
      </w:r>
    </w:p>
    <w:p w:rsidR="00F46C06" w:rsidRPr="00C6655F" w:rsidRDefault="00F46C06" w:rsidP="00EF7E00">
      <w:pPr>
        <w:pStyle w:val="Heading3"/>
        <w:tabs>
          <w:tab w:val="left" w:pos="1080"/>
        </w:tabs>
        <w:spacing w:before="320"/>
        <w:ind w:left="1080" w:hanging="1080"/>
      </w:pPr>
      <w:bookmarkStart w:id="303" w:name="_Toc325700103"/>
      <w:bookmarkStart w:id="304" w:name="_Toc325700446"/>
      <w:bookmarkStart w:id="305" w:name="_Toc325975128"/>
      <w:bookmarkStart w:id="306" w:name="_Toc390690118"/>
      <w:r w:rsidRPr="00C6655F">
        <w:t xml:space="preserve">Tectonics in the BHMAR </w:t>
      </w:r>
      <w:r w:rsidR="00A56C85">
        <w:t>Project</w:t>
      </w:r>
      <w:r w:rsidR="00C6655F">
        <w:t xml:space="preserve"> A</w:t>
      </w:r>
      <w:r w:rsidRPr="00C6655F">
        <w:t>rea</w:t>
      </w:r>
      <w:bookmarkEnd w:id="303"/>
      <w:bookmarkEnd w:id="304"/>
      <w:bookmarkEnd w:id="305"/>
      <w:bookmarkEnd w:id="306"/>
    </w:p>
    <w:p w:rsidR="00F46C06" w:rsidRDefault="00F46C06" w:rsidP="00F46C06">
      <w:pPr>
        <w:autoSpaceDE w:val="0"/>
        <w:autoSpaceDN w:val="0"/>
        <w:adjustRightInd w:val="0"/>
      </w:pPr>
      <w:r>
        <w:t xml:space="preserve">The BHMAR </w:t>
      </w:r>
      <w:r w:rsidR="00A56C85">
        <w:t>project</w:t>
      </w:r>
      <w:r>
        <w:t xml:space="preserve"> area sits astride the continental scale 1000-km long </w:t>
      </w:r>
      <w:r w:rsidR="00F87D8A">
        <w:t>northeast-southwest</w:t>
      </w:r>
      <w:r>
        <w:t xml:space="preserve"> trending Darling River Lineament (</w:t>
      </w:r>
      <w:r w:rsidR="00B55133">
        <w:t xml:space="preserve">DRL; </w:t>
      </w:r>
      <w:r w:rsidR="00B55133">
        <w:fldChar w:fldCharType="begin"/>
      </w:r>
      <w:r w:rsidR="00B55133">
        <w:instrText xml:space="preserve"> REF _Ref355788897 \h  \* MERGEFORMAT </w:instrText>
      </w:r>
      <w:r w:rsidR="00B55133">
        <w:fldChar w:fldCharType="separate"/>
      </w:r>
      <w:r w:rsidR="00966532" w:rsidRPr="00966532">
        <w:t>Figure 5</w:t>
      </w:r>
      <w:r w:rsidR="00966532" w:rsidRPr="00966532">
        <w:noBreakHyphen/>
        <w:t>4</w:t>
      </w:r>
      <w:r w:rsidR="00B55133">
        <w:fldChar w:fldCharType="end"/>
      </w:r>
      <w:r w:rsidRPr="00795774">
        <w:t>; Hills,</w:t>
      </w:r>
      <w:r>
        <w:t xml:space="preserve"> 195</w:t>
      </w:r>
      <w:r w:rsidR="00967C2D">
        <w:t>5</w:t>
      </w:r>
      <w:r>
        <w:t>), also known as the Darling Fault (Neef</w:t>
      </w:r>
      <w:r w:rsidR="00E4122E">
        <w:t xml:space="preserve">, </w:t>
      </w:r>
      <w:r>
        <w:t>2005). This major crustal lineament is considered to have a complex history of movement through the Palaeozoic an</w:t>
      </w:r>
      <w:r w:rsidR="00DE72C9">
        <w:t>d into the Cenozoic (O’Sullivan</w:t>
      </w:r>
      <w:r w:rsidR="008A5F7D" w:rsidRPr="00CF7613">
        <w:rPr>
          <w:rStyle w:val="StyleItalic"/>
        </w:rPr>
        <w:t xml:space="preserve"> et al</w:t>
      </w:r>
      <w:r w:rsidR="00DE72C9">
        <w:t>., 1998; Neef, 2005,</w:t>
      </w:r>
      <w:r>
        <w:t xml:space="preserve"> 2007, 2011). The </w:t>
      </w:r>
      <w:smartTag w:uri="urn:schemas-microsoft-com:office:smarttags" w:element="place">
        <w:r>
          <w:t>Darling River</w:t>
        </w:r>
      </w:smartTag>
      <w:r>
        <w:t xml:space="preserve"> follows this feature </w:t>
      </w:r>
      <w:r w:rsidR="00967C2D">
        <w:t xml:space="preserve">for some 400 km </w:t>
      </w:r>
      <w:r>
        <w:t>between Bourke</w:t>
      </w:r>
      <w:r w:rsidR="00967C2D">
        <w:t xml:space="preserve"> and Menindee</w:t>
      </w:r>
      <w:r>
        <w:t xml:space="preserve">. </w:t>
      </w:r>
    </w:p>
    <w:p w:rsidR="00F46C06" w:rsidRDefault="00F46C06" w:rsidP="00F46C06">
      <w:pPr>
        <w:autoSpaceDE w:val="0"/>
        <w:autoSpaceDN w:val="0"/>
        <w:adjustRightInd w:val="0"/>
      </w:pPr>
    </w:p>
    <w:p w:rsidR="00EF7818" w:rsidRDefault="00EF7818" w:rsidP="00EF7818">
      <w:pPr>
        <w:autoSpaceDE w:val="0"/>
        <w:autoSpaceDN w:val="0"/>
        <w:adjustRightInd w:val="0"/>
        <w:rPr>
          <w:szCs w:val="22"/>
        </w:rPr>
      </w:pPr>
      <w:r w:rsidRPr="00513ABC">
        <w:rPr>
          <w:szCs w:val="22"/>
        </w:rPr>
        <w:t xml:space="preserve">Recently, studies of the </w:t>
      </w:r>
      <w:r>
        <w:rPr>
          <w:szCs w:val="22"/>
        </w:rPr>
        <w:t xml:space="preserve">underlying </w:t>
      </w:r>
      <w:smartTag w:uri="urn:schemas-microsoft-com:office:smarttags" w:element="place">
        <w:smartTag w:uri="urn:schemas-microsoft-com:office:smarttags" w:element="PlaceName">
          <w:r w:rsidRPr="00513ABC">
            <w:rPr>
              <w:szCs w:val="22"/>
            </w:rPr>
            <w:t>Darling</w:t>
          </w:r>
        </w:smartTag>
        <w:r w:rsidRPr="00513ABC">
          <w:rPr>
            <w:szCs w:val="22"/>
          </w:rPr>
          <w:t xml:space="preserve"> </w:t>
        </w:r>
        <w:smartTag w:uri="urn:schemas-microsoft-com:office:smarttags" w:element="PlaceType">
          <w:r w:rsidRPr="00513ABC">
            <w:rPr>
              <w:szCs w:val="22"/>
            </w:rPr>
            <w:t>Basin</w:t>
          </w:r>
        </w:smartTag>
      </w:smartTag>
      <w:r w:rsidRPr="00513ABC">
        <w:rPr>
          <w:szCs w:val="22"/>
        </w:rPr>
        <w:t xml:space="preserve"> have revealed a very complex geological and tectonic history (Neef, 2012). However, despite the identification of major basement faults at depth in the BHMAR </w:t>
      </w:r>
      <w:r w:rsidR="00A56C85">
        <w:rPr>
          <w:szCs w:val="22"/>
        </w:rPr>
        <w:t>project</w:t>
      </w:r>
      <w:r w:rsidRPr="00513ABC">
        <w:rPr>
          <w:szCs w:val="22"/>
        </w:rPr>
        <w:t xml:space="preserve"> area, </w:t>
      </w:r>
      <w:r>
        <w:rPr>
          <w:szCs w:val="22"/>
        </w:rPr>
        <w:t>the</w:t>
      </w:r>
      <w:r w:rsidRPr="00513ABC">
        <w:rPr>
          <w:szCs w:val="22"/>
        </w:rPr>
        <w:t xml:space="preserve"> general view </w:t>
      </w:r>
      <w:r>
        <w:rPr>
          <w:szCs w:val="22"/>
        </w:rPr>
        <w:t>had been</w:t>
      </w:r>
      <w:r w:rsidRPr="00513ABC">
        <w:rPr>
          <w:szCs w:val="22"/>
        </w:rPr>
        <w:t xml:space="preserve"> that there has been little deformat</w:t>
      </w:r>
      <w:r w:rsidR="00DE72C9">
        <w:rPr>
          <w:szCs w:val="22"/>
        </w:rPr>
        <w:t>ion in the Darling Basin since m</w:t>
      </w:r>
      <w:r w:rsidRPr="00513ABC">
        <w:rPr>
          <w:szCs w:val="22"/>
        </w:rPr>
        <w:t>id</w:t>
      </w:r>
      <w:r w:rsidR="00DE72C9">
        <w:rPr>
          <w:szCs w:val="22"/>
        </w:rPr>
        <w:t>-</w:t>
      </w:r>
      <w:r w:rsidRPr="00513ABC">
        <w:rPr>
          <w:szCs w:val="22"/>
        </w:rPr>
        <w:t xml:space="preserve"> Carboniferous time (Neef, 2012). Similarly, studies of the northern </w:t>
      </w:r>
      <w:smartTag w:uri="urn:schemas-microsoft-com:office:smarttags" w:element="place">
        <w:smartTag w:uri="urn:schemas-microsoft-com:office:smarttags" w:element="PlaceName">
          <w:r w:rsidRPr="00513ABC">
            <w:rPr>
              <w:szCs w:val="22"/>
            </w:rPr>
            <w:t>Murray</w:t>
          </w:r>
        </w:smartTag>
        <w:r w:rsidRPr="00513ABC">
          <w:rPr>
            <w:szCs w:val="22"/>
          </w:rPr>
          <w:t xml:space="preserve"> </w:t>
        </w:r>
        <w:smartTag w:uri="urn:schemas-microsoft-com:office:smarttags" w:element="PlaceType">
          <w:r w:rsidRPr="00513ABC">
            <w:rPr>
              <w:szCs w:val="22"/>
            </w:rPr>
            <w:t>Basin</w:t>
          </w:r>
        </w:smartTag>
      </w:smartTag>
      <w:r w:rsidRPr="00513ABC">
        <w:rPr>
          <w:szCs w:val="22"/>
        </w:rPr>
        <w:t xml:space="preserve"> have found limited evidence for significant neotectonic activity </w:t>
      </w:r>
      <w:r>
        <w:rPr>
          <w:szCs w:val="22"/>
        </w:rPr>
        <w:t xml:space="preserve">in this part of the Basin </w:t>
      </w:r>
      <w:r w:rsidRPr="00AC2231">
        <w:rPr>
          <w:szCs w:val="22"/>
        </w:rPr>
        <w:t>(Sandiford, 2003</w:t>
      </w:r>
      <w:r w:rsidR="00DE72C9">
        <w:rPr>
          <w:szCs w:val="22"/>
        </w:rPr>
        <w:t>; Quigley</w:t>
      </w:r>
      <w:r w:rsidR="008A5F7D" w:rsidRPr="00CF7613">
        <w:rPr>
          <w:rStyle w:val="StyleItalic"/>
        </w:rPr>
        <w:t xml:space="preserve"> et al</w:t>
      </w:r>
      <w:r w:rsidR="00DE72C9">
        <w:rPr>
          <w:szCs w:val="22"/>
        </w:rPr>
        <w:t xml:space="preserve">., 2006, </w:t>
      </w:r>
      <w:r w:rsidR="00DE72C9">
        <w:rPr>
          <w:szCs w:val="22"/>
        </w:rPr>
        <w:lastRenderedPageBreak/>
        <w:t>2010</w:t>
      </w:r>
      <w:r w:rsidRPr="00AC2231">
        <w:rPr>
          <w:szCs w:val="22"/>
        </w:rPr>
        <w:t xml:space="preserve">). Exceptions are the Scopes Ranges Fault on the western margin of the </w:t>
      </w:r>
      <w:r w:rsidR="00A56C85">
        <w:rPr>
          <w:szCs w:val="22"/>
        </w:rPr>
        <w:t>project</w:t>
      </w:r>
      <w:r w:rsidRPr="00AC2231">
        <w:rPr>
          <w:szCs w:val="22"/>
        </w:rPr>
        <w:t xml:space="preserve"> area</w:t>
      </w:r>
      <w:r w:rsidR="00213653">
        <w:rPr>
          <w:szCs w:val="22"/>
        </w:rPr>
        <w:t xml:space="preserve">, </w:t>
      </w:r>
      <w:r w:rsidRPr="00AC2231">
        <w:rPr>
          <w:szCs w:val="22"/>
        </w:rPr>
        <w:t>the Mundi</w:t>
      </w:r>
      <w:r w:rsidR="00DF0CAB">
        <w:rPr>
          <w:szCs w:val="22"/>
        </w:rPr>
        <w:t>-</w:t>
      </w:r>
      <w:r w:rsidR="00213653">
        <w:rPr>
          <w:szCs w:val="22"/>
        </w:rPr>
        <w:t>Mundi and Kantappa Faults</w:t>
      </w:r>
      <w:r w:rsidRPr="00AC2231">
        <w:rPr>
          <w:szCs w:val="22"/>
        </w:rPr>
        <w:t xml:space="preserve"> (Quigley</w:t>
      </w:r>
      <w:r w:rsidR="008A5F7D" w:rsidRPr="00CF7613">
        <w:rPr>
          <w:rStyle w:val="StyleItalic"/>
        </w:rPr>
        <w:t xml:space="preserve"> et al</w:t>
      </w:r>
      <w:r w:rsidRPr="00AC2231">
        <w:rPr>
          <w:szCs w:val="22"/>
        </w:rPr>
        <w:t>.</w:t>
      </w:r>
      <w:r w:rsidR="00983981">
        <w:rPr>
          <w:szCs w:val="22"/>
        </w:rPr>
        <w:t>,</w:t>
      </w:r>
      <w:r w:rsidRPr="00AC2231">
        <w:rPr>
          <w:szCs w:val="22"/>
        </w:rPr>
        <w:t xml:space="preserve"> </w:t>
      </w:r>
      <w:r>
        <w:rPr>
          <w:szCs w:val="22"/>
        </w:rPr>
        <w:t xml:space="preserve">2006), </w:t>
      </w:r>
      <w:r w:rsidRPr="00AC2231">
        <w:rPr>
          <w:szCs w:val="22"/>
        </w:rPr>
        <w:t>and along the Mulculca F</w:t>
      </w:r>
      <w:smartTag w:uri="urn:schemas-microsoft-com:office:smarttags" w:element="PersonName">
        <w:r w:rsidRPr="00AC2231">
          <w:rPr>
            <w:szCs w:val="22"/>
          </w:rPr>
          <w:t>au</w:t>
        </w:r>
      </w:smartTag>
      <w:r w:rsidRPr="00AC2231">
        <w:rPr>
          <w:szCs w:val="22"/>
        </w:rPr>
        <w:t>lt (</w:t>
      </w:r>
      <w:r w:rsidR="008C2768">
        <w:rPr>
          <w:szCs w:val="22"/>
        </w:rPr>
        <w:t>Hill</w:t>
      </w:r>
      <w:r w:rsidR="008A5F7D" w:rsidRPr="00CF7613">
        <w:rPr>
          <w:rStyle w:val="StyleItalic"/>
        </w:rPr>
        <w:t xml:space="preserve"> et al</w:t>
      </w:r>
      <w:r w:rsidR="008C2768">
        <w:rPr>
          <w:szCs w:val="22"/>
        </w:rPr>
        <w:t>., 2003</w:t>
      </w:r>
      <w:r w:rsidRPr="00AC2231">
        <w:rPr>
          <w:szCs w:val="22"/>
        </w:rPr>
        <w:t xml:space="preserve">). These </w:t>
      </w:r>
      <w:r w:rsidR="00BC437B">
        <w:rPr>
          <w:szCs w:val="22"/>
        </w:rPr>
        <w:t xml:space="preserve">faults </w:t>
      </w:r>
      <w:r w:rsidR="00B55133" w:rsidRPr="00AC2231">
        <w:rPr>
          <w:szCs w:val="22"/>
        </w:rPr>
        <w:t>lay</w:t>
      </w:r>
      <w:r w:rsidRPr="00AC2231">
        <w:rPr>
          <w:szCs w:val="22"/>
        </w:rPr>
        <w:t xml:space="preserve"> 100 and 60 km northwest of the </w:t>
      </w:r>
      <w:r w:rsidR="00F87D8A">
        <w:rPr>
          <w:szCs w:val="22"/>
        </w:rPr>
        <w:t xml:space="preserve">BHMAR </w:t>
      </w:r>
      <w:r w:rsidR="00A56C85">
        <w:rPr>
          <w:szCs w:val="22"/>
        </w:rPr>
        <w:t>project</w:t>
      </w:r>
      <w:r w:rsidR="00F87D8A">
        <w:rPr>
          <w:szCs w:val="22"/>
        </w:rPr>
        <w:t xml:space="preserve"> </w:t>
      </w:r>
      <w:r w:rsidRPr="00AC2231">
        <w:rPr>
          <w:szCs w:val="22"/>
        </w:rPr>
        <w:t>area respectively. Mineral sand miners have a</w:t>
      </w:r>
      <w:r>
        <w:rPr>
          <w:szCs w:val="22"/>
        </w:rPr>
        <w:t>lso recognised significant fault</w:t>
      </w:r>
      <w:r w:rsidRPr="00AC2231">
        <w:rPr>
          <w:szCs w:val="22"/>
        </w:rPr>
        <w:t xml:space="preserve"> offsets of Pliocene sands 20</w:t>
      </w:r>
      <w:r w:rsidR="00F87D8A">
        <w:rPr>
          <w:szCs w:val="22"/>
        </w:rPr>
        <w:t xml:space="preserve"> </w:t>
      </w:r>
      <w:r w:rsidRPr="00AC2231">
        <w:rPr>
          <w:szCs w:val="22"/>
        </w:rPr>
        <w:t xml:space="preserve">km south of the BHMAR </w:t>
      </w:r>
      <w:r w:rsidR="00A56C85">
        <w:rPr>
          <w:szCs w:val="22"/>
        </w:rPr>
        <w:t>project</w:t>
      </w:r>
      <w:r w:rsidRPr="00AC2231">
        <w:rPr>
          <w:szCs w:val="22"/>
        </w:rPr>
        <w:t xml:space="preserve"> area</w:t>
      </w:r>
      <w:r w:rsidR="00DE72C9">
        <w:rPr>
          <w:szCs w:val="22"/>
        </w:rPr>
        <w:t xml:space="preserve"> (Roy &amp; Whitehouse, 2003)</w:t>
      </w:r>
      <w:r w:rsidRPr="00AC2231">
        <w:rPr>
          <w:szCs w:val="22"/>
        </w:rPr>
        <w:t xml:space="preserve">. </w:t>
      </w:r>
    </w:p>
    <w:p w:rsidR="00EF7818" w:rsidRPr="00AC2231" w:rsidRDefault="00EF7818" w:rsidP="00EF7818">
      <w:pPr>
        <w:autoSpaceDE w:val="0"/>
        <w:autoSpaceDN w:val="0"/>
        <w:adjustRightInd w:val="0"/>
        <w:rPr>
          <w:szCs w:val="22"/>
        </w:rPr>
      </w:pPr>
    </w:p>
    <w:p w:rsidR="00F46C06" w:rsidRPr="00795774" w:rsidRDefault="00BC437B" w:rsidP="00F46C06">
      <w:r>
        <w:t>Adjacent to</w:t>
      </w:r>
      <w:r w:rsidR="00F46C06">
        <w:t xml:space="preserve"> the DRL are the Devonian to Mesozoic </w:t>
      </w:r>
      <w:r w:rsidR="00C217F0">
        <w:t>Menindee</w:t>
      </w:r>
      <w:r>
        <w:t>, Wentworth</w:t>
      </w:r>
      <w:r w:rsidR="00F46C06">
        <w:t xml:space="preserve"> and Blantyre </w:t>
      </w:r>
      <w:r w:rsidR="00F46C06" w:rsidRPr="00795774">
        <w:t>Troughs (</w:t>
      </w:r>
      <w:r w:rsidR="00182B14">
        <w:fldChar w:fldCharType="begin"/>
      </w:r>
      <w:r w:rsidR="00182B14">
        <w:instrText xml:space="preserve"> REF _Ref355788897 \h </w:instrText>
      </w:r>
      <w:r w:rsidR="00B55133">
        <w:instrText xml:space="preserve"> \* MERGEFORMAT </w:instrText>
      </w:r>
      <w:r w:rsidR="00182B14">
        <w:fldChar w:fldCharType="separate"/>
      </w:r>
      <w:r w:rsidR="00966532" w:rsidRPr="00966532">
        <w:t>Figure 5</w:t>
      </w:r>
      <w:r w:rsidR="00966532" w:rsidRPr="00966532">
        <w:noBreakHyphen/>
        <w:t>4</w:t>
      </w:r>
      <w:r w:rsidR="00182B14">
        <w:fldChar w:fldCharType="end"/>
      </w:r>
      <w:r w:rsidR="00F46C06" w:rsidRPr="00795774">
        <w:t>). These troughs are fault-bounded, and are thought to have formed as a result of tran</w:t>
      </w:r>
      <w:r w:rsidR="001E1E35" w:rsidRPr="00795774">
        <w:t>s</w:t>
      </w:r>
      <w:r w:rsidR="00F46C06" w:rsidRPr="00795774">
        <w:t>current faulting on the DRL (Neef, 2012). These troughs are separated by the Lake Wintlow High (Glen</w:t>
      </w:r>
      <w:r w:rsidR="008A5F7D" w:rsidRPr="00CF7613">
        <w:rPr>
          <w:rStyle w:val="StyleItalic"/>
        </w:rPr>
        <w:t xml:space="preserve"> et al</w:t>
      </w:r>
      <w:r w:rsidR="00F46C06" w:rsidRPr="00795774">
        <w:t>., 1996;</w:t>
      </w:r>
      <w:r w:rsidR="001741E7" w:rsidRPr="00795774">
        <w:t xml:space="preserve"> </w:t>
      </w:r>
      <w:r w:rsidR="00182B14">
        <w:fldChar w:fldCharType="begin"/>
      </w:r>
      <w:r w:rsidR="00182B14">
        <w:instrText xml:space="preserve"> REF _Ref355788897 \h </w:instrText>
      </w:r>
      <w:r w:rsidR="00B55133">
        <w:instrText xml:space="preserve"> \* MERGEFORMAT </w:instrText>
      </w:r>
      <w:r w:rsidR="00182B14">
        <w:fldChar w:fldCharType="separate"/>
      </w:r>
      <w:r w:rsidR="00966532" w:rsidRPr="00966532">
        <w:t>Figure 5</w:t>
      </w:r>
      <w:r w:rsidR="00966532" w:rsidRPr="00966532">
        <w:noBreakHyphen/>
        <w:t>4</w:t>
      </w:r>
      <w:r w:rsidR="00182B14">
        <w:fldChar w:fldCharType="end"/>
      </w:r>
      <w:r w:rsidR="00F46C06" w:rsidRPr="00795774">
        <w:t xml:space="preserve">). </w:t>
      </w:r>
      <w:r w:rsidR="00CC67AE">
        <w:t>Devonian sediments in the</w:t>
      </w:r>
      <w:r w:rsidR="0012020F">
        <w:t xml:space="preserve"> Menindee</w:t>
      </w:r>
      <w:r w:rsidR="00F46C06" w:rsidRPr="00795774">
        <w:t xml:space="preserve"> </w:t>
      </w:r>
      <w:r w:rsidR="0012020F">
        <w:t>T</w:t>
      </w:r>
      <w:r w:rsidR="00F46C06" w:rsidRPr="00795774">
        <w:t xml:space="preserve">rough </w:t>
      </w:r>
      <w:r w:rsidR="00CC67AE">
        <w:t xml:space="preserve">are reportedly at least 4.5 km thick (Blevin </w:t>
      </w:r>
      <w:r w:rsidR="00CC67AE" w:rsidRPr="00CF7613">
        <w:rPr>
          <w:rStyle w:val="StyleItalic"/>
        </w:rPr>
        <w:t>et al</w:t>
      </w:r>
      <w:r w:rsidR="00CC67AE">
        <w:t xml:space="preserve">., 2007) and may be as thick as </w:t>
      </w:r>
      <w:r w:rsidR="00EB4013">
        <w:t>14</w:t>
      </w:r>
      <w:r w:rsidR="0012020F">
        <w:t xml:space="preserve"> km </w:t>
      </w:r>
      <w:r w:rsidR="00EB4013">
        <w:t xml:space="preserve">(Glen </w:t>
      </w:r>
      <w:r w:rsidR="00EB4013" w:rsidRPr="00CF7613">
        <w:rPr>
          <w:rStyle w:val="StyleItalic"/>
        </w:rPr>
        <w:t>et al</w:t>
      </w:r>
      <w:r w:rsidR="00F81E70" w:rsidRPr="00CF7613">
        <w:rPr>
          <w:rStyle w:val="StyleItalic"/>
        </w:rPr>
        <w:t>.</w:t>
      </w:r>
      <w:r w:rsidR="00EB4013">
        <w:t>, 1996)</w:t>
      </w:r>
      <w:r w:rsidR="00F46C06" w:rsidRPr="00795774">
        <w:t xml:space="preserve">. </w:t>
      </w:r>
    </w:p>
    <w:p w:rsidR="00F46C06" w:rsidRPr="00795774" w:rsidRDefault="00F46C06" w:rsidP="00F46C06"/>
    <w:p w:rsidR="004D632B" w:rsidRPr="00795774" w:rsidRDefault="00F46C06" w:rsidP="00F46C06">
      <w:r w:rsidRPr="00106292">
        <w:t xml:space="preserve">Contours for the Cenozoic sediment deposits within the </w:t>
      </w:r>
      <w:smartTag w:uri="urn:schemas-microsoft-com:office:smarttags" w:element="place">
        <w:smartTag w:uri="urn:schemas-microsoft-com:office:smarttags" w:element="PlaceName">
          <w:smartTag w:uri="urn:schemas-microsoft-com:office:smarttags" w:element="City">
            <w:r w:rsidR="00D67CA4">
              <w:t>Murray</w:t>
            </w:r>
          </w:smartTag>
        </w:smartTag>
        <w:r w:rsidR="00D67CA4">
          <w:t xml:space="preserve"> </w:t>
        </w:r>
        <w:smartTag w:uri="urn:schemas-microsoft-com:office:smarttags" w:element="PlaceName">
          <w:r w:rsidR="00D67CA4">
            <w:t>Geological</w:t>
          </w:r>
        </w:smartTag>
        <w:r w:rsidR="00D67CA4">
          <w:t xml:space="preserve"> </w:t>
        </w:r>
        <w:smartTag w:uri="urn:schemas-microsoft-com:office:smarttags" w:element="PlaceType">
          <w:r w:rsidR="00D67CA4">
            <w:t>B</w:t>
          </w:r>
          <w:r w:rsidRPr="00106292">
            <w:t>asin</w:t>
          </w:r>
        </w:smartTag>
      </w:smartTag>
      <w:r w:rsidRPr="00106292">
        <w:t xml:space="preserve"> show a dominant north-east trend, synonymous with the underlying </w:t>
      </w:r>
      <w:r w:rsidR="00BC437B" w:rsidRPr="00106292">
        <w:t>Devonian to Mesozoic Infrabasins/Troughs</w:t>
      </w:r>
      <w:r w:rsidR="00106292">
        <w:t xml:space="preserve"> (Lawrie</w:t>
      </w:r>
      <w:r w:rsidR="008A5F7D" w:rsidRPr="00CF7613">
        <w:rPr>
          <w:rStyle w:val="StyleItalic"/>
        </w:rPr>
        <w:t xml:space="preserve"> et al</w:t>
      </w:r>
      <w:r w:rsidR="00106292">
        <w:t>., 2012b).</w:t>
      </w:r>
      <w:r w:rsidR="00BC437B" w:rsidRPr="00106292">
        <w:t xml:space="preserve"> </w:t>
      </w:r>
      <w:r w:rsidRPr="00106292">
        <w:t xml:space="preserve">These are embayments to the main depositional centre for the </w:t>
      </w:r>
      <w:smartTag w:uri="urn:schemas-microsoft-com:office:smarttags" w:element="place">
        <w:smartTag w:uri="urn:schemas-microsoft-com:office:smarttags" w:element="PlaceName">
          <w:r w:rsidRPr="00106292">
            <w:t>Murray</w:t>
          </w:r>
        </w:smartTag>
        <w:r w:rsidRPr="00106292">
          <w:t xml:space="preserve"> </w:t>
        </w:r>
        <w:smartTag w:uri="urn:schemas-microsoft-com:office:smarttags" w:element="PlaceName">
          <w:r w:rsidRPr="00106292">
            <w:t>Geological</w:t>
          </w:r>
        </w:smartTag>
        <w:r w:rsidRPr="00106292">
          <w:t xml:space="preserve"> </w:t>
        </w:r>
        <w:smartTag w:uri="urn:schemas-microsoft-com:office:smarttags" w:element="PlaceType">
          <w:r w:rsidRPr="00106292">
            <w:t>Basin</w:t>
          </w:r>
        </w:smartTag>
      </w:smartTag>
      <w:r w:rsidRPr="00106292">
        <w:t xml:space="preserve">, the </w:t>
      </w:r>
      <w:r w:rsidR="00C217F0">
        <w:t>Renmark Group</w:t>
      </w:r>
      <w:r w:rsidRPr="00106292">
        <w:t xml:space="preserve"> Trough, where over 600 m of Cenozoic sediment has accumulated</w:t>
      </w:r>
      <w:r w:rsidR="00106292" w:rsidRPr="00106292">
        <w:t>.</w:t>
      </w:r>
      <w:r w:rsidRPr="00795774">
        <w:t xml:space="preserve"> </w:t>
      </w:r>
    </w:p>
    <w:p w:rsidR="004D632B" w:rsidRPr="00795774" w:rsidRDefault="004D632B" w:rsidP="00F46C06"/>
    <w:p w:rsidR="00566024" w:rsidRPr="00C6655F" w:rsidRDefault="00566024" w:rsidP="00566024">
      <w:pPr>
        <w:pStyle w:val="Heading3"/>
        <w:tabs>
          <w:tab w:val="left" w:pos="1080"/>
        </w:tabs>
        <w:spacing w:before="320"/>
        <w:ind w:left="1080" w:hanging="1080"/>
      </w:pPr>
      <w:bookmarkStart w:id="307" w:name="_Toc390690119"/>
      <w:bookmarkStart w:id="308" w:name="_Toc325700104"/>
      <w:bookmarkStart w:id="309" w:name="_Toc325700447"/>
      <w:bookmarkStart w:id="310" w:name="_Toc325975129"/>
      <w:r w:rsidRPr="00C6655F">
        <w:t xml:space="preserve">Evidence for </w:t>
      </w:r>
      <w:r>
        <w:t>Tectonics in the U</w:t>
      </w:r>
      <w:r w:rsidRPr="00C6655F">
        <w:t xml:space="preserve">nconsolidated </w:t>
      </w:r>
      <w:r>
        <w:t>A</w:t>
      </w:r>
      <w:r w:rsidRPr="00C6655F">
        <w:t xml:space="preserve">lluvial </w:t>
      </w:r>
      <w:r>
        <w:t>S</w:t>
      </w:r>
      <w:r w:rsidRPr="00C6655F">
        <w:t>ediments</w:t>
      </w:r>
      <w:bookmarkEnd w:id="307"/>
    </w:p>
    <w:p w:rsidR="00566024" w:rsidRDefault="00566024" w:rsidP="00566024">
      <w:pPr>
        <w:autoSpaceDE w:val="0"/>
        <w:autoSpaceDN w:val="0"/>
        <w:adjustRightInd w:val="0"/>
        <w:spacing w:before="240"/>
        <w:rPr>
          <w:szCs w:val="22"/>
        </w:rPr>
      </w:pPr>
      <w:r>
        <w:rPr>
          <w:szCs w:val="22"/>
        </w:rPr>
        <w:t xml:space="preserve">Structural analysis of AEM, airborne magnetics, regional gravity, and LiDAR, validated by drilling data and field observations, was carried out independently, with interpretations then integrated to develop structural maps and a model for tectonic evolution of the BHMAR project area. Overall, the study </w:t>
      </w:r>
      <w:r w:rsidRPr="00106292">
        <w:rPr>
          <w:szCs w:val="22"/>
        </w:rPr>
        <w:t xml:space="preserve">has revealed a complex tectono-stratigraphic history affecting </w:t>
      </w:r>
      <w:r>
        <w:rPr>
          <w:szCs w:val="22"/>
        </w:rPr>
        <w:t xml:space="preserve">not only the basement geology, but with significant neotectonic effects on </w:t>
      </w:r>
      <w:r w:rsidRPr="00106292">
        <w:rPr>
          <w:szCs w:val="22"/>
        </w:rPr>
        <w:t xml:space="preserve">the </w:t>
      </w:r>
      <w:r>
        <w:rPr>
          <w:szCs w:val="22"/>
        </w:rPr>
        <w:t>present landscape and Murray Basin</w:t>
      </w:r>
      <w:r w:rsidRPr="00106292">
        <w:rPr>
          <w:szCs w:val="22"/>
        </w:rPr>
        <w:t xml:space="preserve"> sediments beneath the Darling Floodplain (Lawrie</w:t>
      </w:r>
      <w:r w:rsidR="008A5F7D" w:rsidRPr="00CF7613">
        <w:rPr>
          <w:rStyle w:val="StyleItalic"/>
        </w:rPr>
        <w:t xml:space="preserve"> et al</w:t>
      </w:r>
      <w:r w:rsidRPr="00106292">
        <w:rPr>
          <w:szCs w:val="22"/>
        </w:rPr>
        <w:t xml:space="preserve">., 2012b). </w:t>
      </w:r>
      <w:r>
        <w:rPr>
          <w:szCs w:val="22"/>
        </w:rPr>
        <w:t>The faults mapped in this study play a significant role in recharge and inter-aquifer leakage (</w:t>
      </w:r>
      <w:r w:rsidR="00D67CA4">
        <w:rPr>
          <w:szCs w:val="22"/>
        </w:rPr>
        <w:t xml:space="preserve">Section </w:t>
      </w:r>
      <w:r w:rsidR="00D67CA4">
        <w:rPr>
          <w:szCs w:val="22"/>
        </w:rPr>
        <w:fldChar w:fldCharType="begin"/>
      </w:r>
      <w:r w:rsidR="00D67CA4">
        <w:rPr>
          <w:szCs w:val="22"/>
        </w:rPr>
        <w:instrText xml:space="preserve"> REF _Ref327377789 \n \h </w:instrText>
      </w:r>
      <w:r w:rsidR="00D67CA4">
        <w:rPr>
          <w:szCs w:val="22"/>
        </w:rPr>
      </w:r>
      <w:r w:rsidR="00D67CA4">
        <w:rPr>
          <w:szCs w:val="22"/>
        </w:rPr>
        <w:fldChar w:fldCharType="separate"/>
      </w:r>
      <w:r w:rsidR="00966532">
        <w:rPr>
          <w:szCs w:val="22"/>
        </w:rPr>
        <w:t>6.5</w:t>
      </w:r>
      <w:r w:rsidR="00D67CA4">
        <w:rPr>
          <w:szCs w:val="22"/>
        </w:rPr>
        <w:fldChar w:fldCharType="end"/>
      </w:r>
      <w:r w:rsidR="00D67CA4">
        <w:rPr>
          <w:szCs w:val="22"/>
        </w:rPr>
        <w:t xml:space="preserve">; </w:t>
      </w:r>
      <w:r>
        <w:rPr>
          <w:szCs w:val="22"/>
        </w:rPr>
        <w:t>Lawrie</w:t>
      </w:r>
      <w:r w:rsidR="008A5F7D" w:rsidRPr="00CF7613">
        <w:rPr>
          <w:rStyle w:val="StyleItalic"/>
        </w:rPr>
        <w:t xml:space="preserve"> et al</w:t>
      </w:r>
      <w:r>
        <w:rPr>
          <w:szCs w:val="22"/>
        </w:rPr>
        <w:t>., 2012b).</w:t>
      </w:r>
    </w:p>
    <w:p w:rsidR="00566024" w:rsidRDefault="00566024" w:rsidP="00566024">
      <w:pPr>
        <w:autoSpaceDE w:val="0"/>
        <w:autoSpaceDN w:val="0"/>
        <w:adjustRightInd w:val="0"/>
        <w:rPr>
          <w:szCs w:val="22"/>
        </w:rPr>
      </w:pPr>
    </w:p>
    <w:p w:rsidR="00566024" w:rsidRPr="00485F68" w:rsidRDefault="00566024" w:rsidP="00566024">
      <w:pPr>
        <w:autoSpaceDE w:val="0"/>
        <w:autoSpaceDN w:val="0"/>
        <w:adjustRightInd w:val="0"/>
        <w:rPr>
          <w:b/>
          <w:szCs w:val="22"/>
        </w:rPr>
      </w:pPr>
      <w:r w:rsidRPr="00485F68">
        <w:rPr>
          <w:b/>
          <w:szCs w:val="22"/>
        </w:rPr>
        <w:t xml:space="preserve">Deformation of the Blanchetown Clay </w:t>
      </w:r>
    </w:p>
    <w:p w:rsidR="00566024" w:rsidRDefault="00566024" w:rsidP="00566024">
      <w:pPr>
        <w:rPr>
          <w:szCs w:val="22"/>
        </w:rPr>
      </w:pPr>
      <w:r>
        <w:rPr>
          <w:szCs w:val="22"/>
        </w:rPr>
        <w:t>The Blanchetown Clay provides the confining aquitard to the priority Calivil Formation aquitard, and hence mapping its distribution and character across the project area was important to both MAR and groundwater resource evaluation. The Blanchetown Clay is a variably thick (0-17</w:t>
      </w:r>
      <w:r w:rsidR="00182B14">
        <w:rPr>
          <w:szCs w:val="22"/>
        </w:rPr>
        <w:t xml:space="preserve"> </w:t>
      </w:r>
      <w:r>
        <w:rPr>
          <w:szCs w:val="22"/>
        </w:rPr>
        <w:t>m; average ~10</w:t>
      </w:r>
      <w:r w:rsidR="00182B14">
        <w:rPr>
          <w:szCs w:val="22"/>
        </w:rPr>
        <w:t xml:space="preserve"> </w:t>
      </w:r>
      <w:r>
        <w:rPr>
          <w:szCs w:val="22"/>
        </w:rPr>
        <w:t>m), variably saturated (dry to fully saturated), stiff, often indurated, clay</w:t>
      </w:r>
      <w:r w:rsidR="00967C2D">
        <w:rPr>
          <w:szCs w:val="22"/>
        </w:rPr>
        <w:t>-rich</w:t>
      </w:r>
      <w:r>
        <w:rPr>
          <w:szCs w:val="22"/>
        </w:rPr>
        <w:t xml:space="preserve"> aquitard that occurs as a distinctive lithological layer throughout most of the BHMAR study area (Lawrie</w:t>
      </w:r>
      <w:r w:rsidR="008A5F7D" w:rsidRPr="00CF7613">
        <w:rPr>
          <w:rStyle w:val="StyleItalic"/>
        </w:rPr>
        <w:t xml:space="preserve"> et al</w:t>
      </w:r>
      <w:r>
        <w:rPr>
          <w:szCs w:val="22"/>
        </w:rPr>
        <w:t xml:space="preserve">., 2012b). The Blanchetown Clay was deposited in a lacustrine environment, in the regionally-extensive </w:t>
      </w:r>
      <w:smartTag w:uri="urn:schemas-microsoft-com:office:smarttags" w:element="place">
        <w:smartTag w:uri="urn:schemas-microsoft-com:office:smarttags" w:element="PlaceName">
          <w:r>
            <w:rPr>
              <w:szCs w:val="22"/>
            </w:rPr>
            <w:t>palaeo</w:t>
          </w:r>
        </w:smartTag>
        <w:r>
          <w:rPr>
            <w:szCs w:val="22"/>
          </w:rPr>
          <w:t xml:space="preserve"> </w:t>
        </w:r>
        <w:smartTag w:uri="urn:schemas-microsoft-com:office:smarttags" w:element="PlaceType">
          <w:r>
            <w:rPr>
              <w:szCs w:val="22"/>
            </w:rPr>
            <w:t>Lake</w:t>
          </w:r>
        </w:smartTag>
      </w:smartTag>
      <w:r>
        <w:rPr>
          <w:szCs w:val="22"/>
        </w:rPr>
        <w:t xml:space="preserve"> Bungunnia </w:t>
      </w:r>
      <w:r w:rsidR="00967C2D">
        <w:rPr>
          <w:szCs w:val="22"/>
        </w:rPr>
        <w:t>(</w:t>
      </w:r>
      <w:r w:rsidRPr="00795774">
        <w:t>McLaren</w:t>
      </w:r>
      <w:r w:rsidR="008A5F7D" w:rsidRPr="00CF7613">
        <w:rPr>
          <w:rStyle w:val="StyleItalic"/>
        </w:rPr>
        <w:t xml:space="preserve"> et al</w:t>
      </w:r>
      <w:r w:rsidRPr="00795774">
        <w:t>., 2009</w:t>
      </w:r>
      <w:r>
        <w:rPr>
          <w:szCs w:val="22"/>
        </w:rPr>
        <w:t xml:space="preserve">). To the south of the study area, the Blanchetown Clay is known to be essentially flat-lying, and present at a relatively constant elevation (relative to AHD; </w:t>
      </w:r>
      <w:r w:rsidRPr="00795774">
        <w:t>McLaren</w:t>
      </w:r>
      <w:r w:rsidR="008A5F7D" w:rsidRPr="00CF7613">
        <w:rPr>
          <w:rStyle w:val="StyleItalic"/>
        </w:rPr>
        <w:t xml:space="preserve"> et al</w:t>
      </w:r>
      <w:r w:rsidRPr="00795774">
        <w:t>., 2009</w:t>
      </w:r>
      <w:r>
        <w:rPr>
          <w:szCs w:val="22"/>
        </w:rPr>
        <w:t xml:space="preserve">). Where present, the top of the Blanchetown Clay should therefore </w:t>
      </w:r>
      <w:r w:rsidR="00967C2D">
        <w:rPr>
          <w:szCs w:val="22"/>
        </w:rPr>
        <w:t xml:space="preserve">be expected to </w:t>
      </w:r>
      <w:r>
        <w:rPr>
          <w:szCs w:val="22"/>
        </w:rPr>
        <w:t xml:space="preserve">provide a flat-lying marker horizon in the BHMAR study area. </w:t>
      </w:r>
    </w:p>
    <w:p w:rsidR="00566024" w:rsidRDefault="00566024" w:rsidP="00566024">
      <w:pPr>
        <w:rPr>
          <w:szCs w:val="22"/>
        </w:rPr>
      </w:pPr>
    </w:p>
    <w:p w:rsidR="00566024" w:rsidRDefault="00566024" w:rsidP="00566024">
      <w:pPr>
        <w:autoSpaceDE w:val="0"/>
        <w:autoSpaceDN w:val="0"/>
        <w:adjustRightInd w:val="0"/>
        <w:rPr>
          <w:szCs w:val="22"/>
        </w:rPr>
      </w:pPr>
      <w:r>
        <w:rPr>
          <w:szCs w:val="22"/>
        </w:rPr>
        <w:t xml:space="preserve">Mapping of the Blanchetown Clay </w:t>
      </w:r>
      <w:r w:rsidRPr="00391537">
        <w:rPr>
          <w:szCs w:val="22"/>
        </w:rPr>
        <w:t xml:space="preserve">was made possible </w:t>
      </w:r>
      <w:r>
        <w:rPr>
          <w:szCs w:val="22"/>
        </w:rPr>
        <w:t xml:space="preserve">only </w:t>
      </w:r>
      <w:r w:rsidRPr="00391537">
        <w:rPr>
          <w:szCs w:val="22"/>
        </w:rPr>
        <w:t xml:space="preserve">with the final </w:t>
      </w:r>
      <w:r>
        <w:rPr>
          <w:szCs w:val="22"/>
        </w:rPr>
        <w:t xml:space="preserve">AEM </w:t>
      </w:r>
      <w:r w:rsidRPr="00B55133">
        <w:rPr>
          <w:szCs w:val="22"/>
        </w:rPr>
        <w:t>inversion (</w:t>
      </w:r>
      <w:r w:rsidR="00182B14" w:rsidRPr="00B55133">
        <w:rPr>
          <w:szCs w:val="22"/>
        </w:rPr>
        <w:fldChar w:fldCharType="begin"/>
      </w:r>
      <w:r w:rsidR="00182B14" w:rsidRPr="00B55133">
        <w:rPr>
          <w:szCs w:val="22"/>
        </w:rPr>
        <w:instrText xml:space="preserve"> REF _Ref355788959 \h </w:instrText>
      </w:r>
      <w:r w:rsidR="00B55133">
        <w:rPr>
          <w:szCs w:val="22"/>
        </w:rPr>
        <w:instrText xml:space="preserve"> \* MERGEFORMAT </w:instrText>
      </w:r>
      <w:r w:rsidR="00182B14" w:rsidRPr="00B55133">
        <w:rPr>
          <w:szCs w:val="22"/>
        </w:rPr>
      </w:r>
      <w:r w:rsidR="00182B14" w:rsidRPr="00B55133">
        <w:rPr>
          <w:szCs w:val="22"/>
        </w:rPr>
        <w:fldChar w:fldCharType="separate"/>
      </w:r>
      <w:r w:rsidR="00966532" w:rsidRPr="00966532">
        <w:rPr>
          <w:szCs w:val="22"/>
        </w:rPr>
        <w:t>Figure 3</w:t>
      </w:r>
      <w:r w:rsidR="00966532" w:rsidRPr="00966532">
        <w:rPr>
          <w:szCs w:val="22"/>
        </w:rPr>
        <w:noBreakHyphen/>
        <w:t>3</w:t>
      </w:r>
      <w:r w:rsidR="00182B14" w:rsidRPr="00B55133">
        <w:rPr>
          <w:szCs w:val="22"/>
        </w:rPr>
        <w:fldChar w:fldCharType="end"/>
      </w:r>
      <w:r w:rsidRPr="00B55133">
        <w:rPr>
          <w:szCs w:val="22"/>
        </w:rPr>
        <w:t>).</w:t>
      </w:r>
      <w:r w:rsidRPr="00391537">
        <w:rPr>
          <w:szCs w:val="22"/>
        </w:rPr>
        <w:t xml:space="preserve"> </w:t>
      </w:r>
      <w:r>
        <w:rPr>
          <w:szCs w:val="22"/>
        </w:rPr>
        <w:t>Because the final inversion utilised a new lateral parameter correlation procedure and ‘loose’ regularization settings, a number of additional checks were made on the final AEM inversion (including assessment of data residuals), to ensure that no artefacts were created during the inversion procedure. This gave additional confidence to the mapping of units such as the Blanchetown Clay (Lawrie</w:t>
      </w:r>
      <w:r w:rsidR="008A5F7D" w:rsidRPr="00CF7613">
        <w:rPr>
          <w:rStyle w:val="StyleItalic"/>
        </w:rPr>
        <w:t xml:space="preserve"> et al</w:t>
      </w:r>
      <w:r>
        <w:rPr>
          <w:szCs w:val="22"/>
        </w:rPr>
        <w:t>., 2012a).</w:t>
      </w:r>
      <w:r w:rsidR="00D039C6">
        <w:rPr>
          <w:szCs w:val="22"/>
        </w:rPr>
        <w:t xml:space="preserve"> </w:t>
      </w:r>
    </w:p>
    <w:p w:rsidR="00566024" w:rsidRDefault="00566024" w:rsidP="00566024">
      <w:pPr>
        <w:autoSpaceDE w:val="0"/>
        <w:autoSpaceDN w:val="0"/>
        <w:adjustRightInd w:val="0"/>
        <w:rPr>
          <w:szCs w:val="22"/>
        </w:rPr>
      </w:pPr>
    </w:p>
    <w:p w:rsidR="00566024" w:rsidRDefault="00566024" w:rsidP="00566024">
      <w:pPr>
        <w:rPr>
          <w:szCs w:val="22"/>
        </w:rPr>
      </w:pPr>
      <w:r w:rsidRPr="00391537">
        <w:rPr>
          <w:szCs w:val="22"/>
        </w:rPr>
        <w:t xml:space="preserve">To map the </w:t>
      </w:r>
      <w:r>
        <w:rPr>
          <w:szCs w:val="22"/>
        </w:rPr>
        <w:t xml:space="preserve">Blanchetown Clay, the top surface was identified at close intervals in every </w:t>
      </w:r>
      <w:r w:rsidRPr="00391537">
        <w:rPr>
          <w:szCs w:val="22"/>
        </w:rPr>
        <w:t xml:space="preserve">AEM </w:t>
      </w:r>
      <w:r>
        <w:rPr>
          <w:szCs w:val="22"/>
        </w:rPr>
        <w:t>flight line section across the study area (Lawrie</w:t>
      </w:r>
      <w:r w:rsidR="008A5F7D" w:rsidRPr="00CF7613">
        <w:rPr>
          <w:rStyle w:val="StyleItalic"/>
        </w:rPr>
        <w:t xml:space="preserve"> et al</w:t>
      </w:r>
      <w:r>
        <w:rPr>
          <w:szCs w:val="22"/>
        </w:rPr>
        <w:t xml:space="preserve">., 2012b; </w:t>
      </w:r>
      <w:r w:rsidR="00D67CA4">
        <w:rPr>
          <w:szCs w:val="22"/>
        </w:rPr>
        <w:fldChar w:fldCharType="begin"/>
      </w:r>
      <w:r w:rsidR="00D67CA4">
        <w:rPr>
          <w:szCs w:val="22"/>
        </w:rPr>
        <w:instrText xml:space="preserve"> REF _Ref355793993 \h  \* MERGEFORMAT </w:instrText>
      </w:r>
      <w:r w:rsidR="00D67CA4">
        <w:rPr>
          <w:szCs w:val="22"/>
        </w:rPr>
      </w:r>
      <w:r w:rsidR="00D67CA4">
        <w:rPr>
          <w:szCs w:val="22"/>
        </w:rPr>
        <w:fldChar w:fldCharType="separate"/>
      </w:r>
      <w:r w:rsidR="00966532" w:rsidRPr="00966532">
        <w:rPr>
          <w:szCs w:val="22"/>
        </w:rPr>
        <w:t>Figure 5</w:t>
      </w:r>
      <w:r w:rsidR="00966532" w:rsidRPr="00966532">
        <w:rPr>
          <w:szCs w:val="22"/>
        </w:rPr>
        <w:noBreakHyphen/>
        <w:t>5</w:t>
      </w:r>
      <w:r w:rsidR="00D67CA4">
        <w:rPr>
          <w:szCs w:val="22"/>
        </w:rPr>
        <w:fldChar w:fldCharType="end"/>
      </w:r>
      <w:r w:rsidR="00D67CA4">
        <w:rPr>
          <w:szCs w:val="22"/>
        </w:rPr>
        <w:t xml:space="preserve"> and </w:t>
      </w:r>
      <w:r w:rsidR="00182B14">
        <w:rPr>
          <w:szCs w:val="22"/>
        </w:rPr>
        <w:fldChar w:fldCharType="begin"/>
      </w:r>
      <w:r w:rsidR="00182B14">
        <w:rPr>
          <w:szCs w:val="22"/>
        </w:rPr>
        <w:instrText xml:space="preserve"> REF _Ref355788988 \h </w:instrText>
      </w:r>
      <w:r w:rsidR="00B55133">
        <w:rPr>
          <w:szCs w:val="22"/>
        </w:rPr>
        <w:instrText xml:space="preserve"> \* MERGEFORMAT </w:instrText>
      </w:r>
      <w:r w:rsidR="00182B14">
        <w:rPr>
          <w:szCs w:val="22"/>
        </w:rPr>
      </w:r>
      <w:r w:rsidR="00182B14">
        <w:rPr>
          <w:szCs w:val="22"/>
        </w:rPr>
        <w:fldChar w:fldCharType="separate"/>
      </w:r>
      <w:r w:rsidR="00966532" w:rsidRPr="00966532">
        <w:rPr>
          <w:szCs w:val="22"/>
        </w:rPr>
        <w:t>Figure 5</w:t>
      </w:r>
      <w:r w:rsidR="00966532" w:rsidRPr="00966532">
        <w:rPr>
          <w:szCs w:val="22"/>
        </w:rPr>
        <w:noBreakHyphen/>
        <w:t>6</w:t>
      </w:r>
      <w:r w:rsidR="00182B14">
        <w:rPr>
          <w:szCs w:val="22"/>
        </w:rPr>
        <w:fldChar w:fldCharType="end"/>
      </w:r>
      <w:r w:rsidRPr="00391537">
        <w:rPr>
          <w:szCs w:val="22"/>
        </w:rPr>
        <w:t xml:space="preserve">). </w:t>
      </w:r>
      <w:r>
        <w:rPr>
          <w:szCs w:val="22"/>
        </w:rPr>
        <w:t>The mapped points were then used to create a contoured map of the elevation of the top of the Blanchetown Clay surface (</w:t>
      </w:r>
      <w:r w:rsidR="00182B14" w:rsidRPr="00B55133">
        <w:rPr>
          <w:szCs w:val="22"/>
        </w:rPr>
        <w:fldChar w:fldCharType="begin"/>
      </w:r>
      <w:r w:rsidR="00182B14">
        <w:rPr>
          <w:szCs w:val="22"/>
        </w:rPr>
        <w:instrText xml:space="preserve"> REF _Ref355788969 \h </w:instrText>
      </w:r>
      <w:r w:rsidR="00B55133">
        <w:rPr>
          <w:szCs w:val="22"/>
        </w:rPr>
        <w:instrText xml:space="preserve"> \* MERGEFORMAT </w:instrText>
      </w:r>
      <w:r w:rsidR="00182B14" w:rsidRPr="00B55133">
        <w:rPr>
          <w:szCs w:val="22"/>
        </w:rPr>
      </w:r>
      <w:r w:rsidR="00182B14" w:rsidRPr="00B55133">
        <w:rPr>
          <w:szCs w:val="22"/>
        </w:rPr>
        <w:fldChar w:fldCharType="separate"/>
      </w:r>
      <w:r w:rsidR="00966532" w:rsidRPr="00966532">
        <w:rPr>
          <w:szCs w:val="22"/>
        </w:rPr>
        <w:t>Figure 5</w:t>
      </w:r>
      <w:r w:rsidR="00966532" w:rsidRPr="00966532">
        <w:rPr>
          <w:szCs w:val="22"/>
        </w:rPr>
        <w:noBreakHyphen/>
        <w:t>3</w:t>
      </w:r>
      <w:r w:rsidR="00182B14" w:rsidRPr="00B55133">
        <w:rPr>
          <w:szCs w:val="22"/>
        </w:rPr>
        <w:fldChar w:fldCharType="end"/>
      </w:r>
      <w:r>
        <w:rPr>
          <w:szCs w:val="22"/>
        </w:rPr>
        <w:t xml:space="preserve">). The interpretation was confirmed by drilling data. The AEM mapping reveals that </w:t>
      </w:r>
      <w:r w:rsidR="00967C2D">
        <w:rPr>
          <w:szCs w:val="22"/>
        </w:rPr>
        <w:t xml:space="preserve">rather than being flat lying </w:t>
      </w:r>
      <w:r>
        <w:rPr>
          <w:szCs w:val="22"/>
        </w:rPr>
        <w:t>the Blanchetown Clay is warped and tilted at a range of scales, with elevation of the top surface varying by ~ 60</w:t>
      </w:r>
      <w:r w:rsidR="00182B14">
        <w:rPr>
          <w:szCs w:val="22"/>
        </w:rPr>
        <w:t xml:space="preserve"> </w:t>
      </w:r>
      <w:r>
        <w:rPr>
          <w:szCs w:val="22"/>
        </w:rPr>
        <w:t>m in elevation across the project area (Lawrie</w:t>
      </w:r>
      <w:r w:rsidR="008A5F7D" w:rsidRPr="00CF7613">
        <w:rPr>
          <w:rStyle w:val="StyleItalic"/>
        </w:rPr>
        <w:t xml:space="preserve"> et al</w:t>
      </w:r>
      <w:r>
        <w:rPr>
          <w:szCs w:val="22"/>
        </w:rPr>
        <w:t xml:space="preserve">., 2012b; </w:t>
      </w:r>
      <w:r w:rsidR="00182B14" w:rsidRPr="00B55133">
        <w:rPr>
          <w:szCs w:val="22"/>
        </w:rPr>
        <w:fldChar w:fldCharType="begin"/>
      </w:r>
      <w:r w:rsidR="00182B14">
        <w:rPr>
          <w:szCs w:val="22"/>
        </w:rPr>
        <w:instrText xml:space="preserve"> REF _Ref355788969 \h </w:instrText>
      </w:r>
      <w:r w:rsidR="00B55133">
        <w:rPr>
          <w:szCs w:val="22"/>
        </w:rPr>
        <w:instrText xml:space="preserve"> \* MERGEFORMAT </w:instrText>
      </w:r>
      <w:r w:rsidR="00182B14" w:rsidRPr="00B55133">
        <w:rPr>
          <w:szCs w:val="22"/>
        </w:rPr>
      </w:r>
      <w:r w:rsidR="00182B14" w:rsidRPr="00B55133">
        <w:rPr>
          <w:szCs w:val="22"/>
        </w:rPr>
        <w:fldChar w:fldCharType="separate"/>
      </w:r>
      <w:r w:rsidR="00966532" w:rsidRPr="00966532">
        <w:rPr>
          <w:szCs w:val="22"/>
        </w:rPr>
        <w:t>Figure 5</w:t>
      </w:r>
      <w:r w:rsidR="00966532" w:rsidRPr="00966532">
        <w:rPr>
          <w:szCs w:val="22"/>
        </w:rPr>
        <w:noBreakHyphen/>
        <w:t>3</w:t>
      </w:r>
      <w:r w:rsidR="00182B14" w:rsidRPr="00B55133">
        <w:rPr>
          <w:szCs w:val="22"/>
        </w:rPr>
        <w:fldChar w:fldCharType="end"/>
      </w:r>
      <w:r>
        <w:rPr>
          <w:szCs w:val="22"/>
        </w:rPr>
        <w:t xml:space="preserve">). </w:t>
      </w:r>
      <w:r w:rsidR="00967C2D">
        <w:rPr>
          <w:szCs w:val="22"/>
        </w:rPr>
        <w:t>T</w:t>
      </w:r>
      <w:r>
        <w:rPr>
          <w:szCs w:val="22"/>
        </w:rPr>
        <w:t>hese lacustrine deposits filled in an undulating palaeo-topography, and have been eroded in a number of locations</w:t>
      </w:r>
      <w:r w:rsidR="00967C2D">
        <w:rPr>
          <w:szCs w:val="22"/>
        </w:rPr>
        <w:t xml:space="preserve"> and </w:t>
      </w:r>
      <w:r>
        <w:rPr>
          <w:szCs w:val="22"/>
        </w:rPr>
        <w:t xml:space="preserve">these issues </w:t>
      </w:r>
      <w:r w:rsidR="00967C2D">
        <w:rPr>
          <w:szCs w:val="22"/>
        </w:rPr>
        <w:t xml:space="preserve">partially </w:t>
      </w:r>
      <w:r>
        <w:rPr>
          <w:szCs w:val="22"/>
        </w:rPr>
        <w:t>explain variations in thickness of the unit including minor variations in the elevation of the top surface (&lt;10</w:t>
      </w:r>
      <w:r w:rsidR="00182B14">
        <w:rPr>
          <w:szCs w:val="22"/>
        </w:rPr>
        <w:t xml:space="preserve"> </w:t>
      </w:r>
      <w:r>
        <w:rPr>
          <w:szCs w:val="22"/>
        </w:rPr>
        <w:t>m), but not the 50-60</w:t>
      </w:r>
      <w:r w:rsidR="00182B14">
        <w:rPr>
          <w:szCs w:val="22"/>
        </w:rPr>
        <w:t xml:space="preserve"> </w:t>
      </w:r>
      <w:r>
        <w:rPr>
          <w:szCs w:val="22"/>
        </w:rPr>
        <w:t xml:space="preserve">m differences in elevation mapped across the study area. </w:t>
      </w:r>
    </w:p>
    <w:p w:rsidR="00566024" w:rsidRDefault="00566024" w:rsidP="00566024">
      <w:pPr>
        <w:rPr>
          <w:szCs w:val="22"/>
        </w:rPr>
      </w:pPr>
    </w:p>
    <w:p w:rsidR="00566024" w:rsidRDefault="00566024" w:rsidP="00566024">
      <w:pPr>
        <w:autoSpaceDE w:val="0"/>
        <w:autoSpaceDN w:val="0"/>
        <w:adjustRightInd w:val="0"/>
        <w:rPr>
          <w:szCs w:val="22"/>
        </w:rPr>
      </w:pPr>
    </w:p>
    <w:p w:rsidR="00566024" w:rsidRPr="002C6709" w:rsidRDefault="00706A3B" w:rsidP="00216BA0">
      <w:pPr>
        <w:spacing w:before="120" w:after="60"/>
        <w:jc w:val="center"/>
      </w:pPr>
      <w:r>
        <w:rPr>
          <w:noProof/>
        </w:rPr>
        <w:lastRenderedPageBreak/>
        <w:drawing>
          <wp:inline distT="0" distB="0" distL="0" distR="0" wp14:anchorId="2A0A9901" wp14:editId="739C90C7">
            <wp:extent cx="5880100" cy="7995920"/>
            <wp:effectExtent l="19050" t="19050" r="6350" b="5080"/>
            <wp:docPr id="40" name="Picture 40" descr="Fig18_geol_structure_from_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18_geol_structure_from_reports"/>
                    <pic:cNvPicPr>
                      <a:picLocks noChangeAspect="1" noChangeArrowheads="1"/>
                    </pic:cNvPicPr>
                  </pic:nvPicPr>
                  <pic:blipFill>
                    <a:blip r:embed="rId77" cstate="print">
                      <a:extLst>
                        <a:ext uri="{28A0092B-C50C-407E-A947-70E740481C1C}">
                          <a14:useLocalDpi xmlns:a14="http://schemas.microsoft.com/office/drawing/2010/main" val="0"/>
                        </a:ext>
                      </a:extLst>
                    </a:blip>
                    <a:srcRect l="8972" t="6564" r="8542" b="14148"/>
                    <a:stretch>
                      <a:fillRect/>
                    </a:stretch>
                  </pic:blipFill>
                  <pic:spPr bwMode="auto">
                    <a:xfrm>
                      <a:off x="0" y="0"/>
                      <a:ext cx="5880100" cy="7995920"/>
                    </a:xfrm>
                    <a:prstGeom prst="rect">
                      <a:avLst/>
                    </a:prstGeom>
                    <a:noFill/>
                    <a:ln w="12700" cmpd="sng">
                      <a:solidFill>
                        <a:srgbClr val="000000"/>
                      </a:solidFill>
                      <a:miter lim="800000"/>
                      <a:headEnd/>
                      <a:tailEnd/>
                    </a:ln>
                    <a:effectLst/>
                  </pic:spPr>
                </pic:pic>
              </a:graphicData>
            </a:graphic>
          </wp:inline>
        </w:drawing>
      </w:r>
    </w:p>
    <w:p w:rsidR="00566024" w:rsidRDefault="00566024" w:rsidP="00566024">
      <w:pPr>
        <w:pStyle w:val="Caption"/>
        <w:spacing w:before="240"/>
        <w:rPr>
          <w:bCs w:val="0"/>
          <w:i w:val="0"/>
        </w:rPr>
      </w:pPr>
      <w:bookmarkStart w:id="311" w:name="_Ref355788897"/>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5</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4</w:t>
      </w:r>
      <w:r w:rsidR="00A23C59">
        <w:rPr>
          <w:b/>
        </w:rPr>
        <w:fldChar w:fldCharType="end"/>
      </w:r>
      <w:bookmarkEnd w:id="311"/>
      <w:r>
        <w:rPr>
          <w:b/>
        </w:rPr>
        <w:t>.</w:t>
      </w:r>
      <w:r w:rsidRPr="00345ABC">
        <w:t xml:space="preserve"> </w:t>
      </w:r>
      <w:r w:rsidRPr="00345ABC">
        <w:rPr>
          <w:szCs w:val="20"/>
        </w:rPr>
        <w:t>M</w:t>
      </w:r>
      <w:r w:rsidRPr="004E6BD6">
        <w:rPr>
          <w:szCs w:val="20"/>
        </w:rPr>
        <w:t xml:space="preserve">ap showing location of </w:t>
      </w:r>
      <w:r>
        <w:rPr>
          <w:szCs w:val="20"/>
        </w:rPr>
        <w:t xml:space="preserve">the major geological basement features relative to the BHMAR project area (denoted by red line), including the approximate location of the continental-scale </w:t>
      </w:r>
      <w:smartTag w:uri="urn:schemas-microsoft-com:office:smarttags" w:element="place">
        <w:r>
          <w:rPr>
            <w:szCs w:val="20"/>
          </w:rPr>
          <w:t>Darling River</w:t>
        </w:r>
      </w:smartTag>
      <w:r>
        <w:rPr>
          <w:szCs w:val="20"/>
        </w:rPr>
        <w:t xml:space="preserve"> Lineament. Key components of the Darling Geological Basin that are shown include the </w:t>
      </w:r>
      <w:r w:rsidRPr="004E6BD6">
        <w:rPr>
          <w:szCs w:val="20"/>
        </w:rPr>
        <w:t xml:space="preserve">underlying </w:t>
      </w:r>
      <w:r>
        <w:rPr>
          <w:szCs w:val="20"/>
        </w:rPr>
        <w:t>Menindee</w:t>
      </w:r>
      <w:r w:rsidRPr="004E6BD6">
        <w:rPr>
          <w:szCs w:val="20"/>
        </w:rPr>
        <w:t>, Blantyre</w:t>
      </w:r>
      <w:r>
        <w:rPr>
          <w:szCs w:val="20"/>
        </w:rPr>
        <w:t>, Bancannia</w:t>
      </w:r>
      <w:r w:rsidRPr="004E6BD6">
        <w:rPr>
          <w:szCs w:val="20"/>
        </w:rPr>
        <w:t xml:space="preserve"> and Wentworth Troughs, the Lake Wintlow Basement High, and the Scopes</w:t>
      </w:r>
      <w:r>
        <w:rPr>
          <w:szCs w:val="20"/>
        </w:rPr>
        <w:t xml:space="preserve"> Range High. Many of these mapped basement faults have a long geological history, with new evidence from the AEM mapping of the shallow Murray Basin sediments, and surface mapping, indicating that some of these structures have been reactivated in the Neogene-recent past. </w:t>
      </w:r>
      <w:r w:rsidRPr="00216027">
        <w:rPr>
          <w:bCs w:val="0"/>
          <w:i w:val="0"/>
        </w:rPr>
        <w:fldChar w:fldCharType="begin"/>
      </w:r>
      <w:r w:rsidRPr="00216027">
        <w:rPr>
          <w:bCs w:val="0"/>
          <w:i w:val="0"/>
        </w:rPr>
        <w:instrText xml:space="preserve"> TC "</w:instrText>
      </w:r>
      <w:bookmarkStart w:id="312" w:name="_Toc390690223"/>
      <w:r>
        <w:rPr>
          <w:bCs w:val="0"/>
          <w:i w:val="0"/>
        </w:rPr>
        <w:instrText>Figure 5-4</w:instrText>
      </w:r>
      <w:r w:rsidRPr="00216027">
        <w:rPr>
          <w:bCs w:val="0"/>
          <w:i w:val="0"/>
        </w:rPr>
        <w:instrText xml:space="preserve"> </w:instrText>
      </w:r>
      <w:r w:rsidRPr="00B158D5">
        <w:rPr>
          <w:i w:val="0"/>
          <w:szCs w:val="20"/>
        </w:rPr>
        <w:instrText>Map showing location of the major geological basement features relative to the BHMAR project</w:instrText>
      </w:r>
      <w:r w:rsidRPr="004E6BD6">
        <w:rPr>
          <w:szCs w:val="20"/>
        </w:rPr>
        <w:instrText xml:space="preserve"> </w:instrText>
      </w:r>
      <w:r w:rsidRPr="00B158D5">
        <w:rPr>
          <w:i w:val="0"/>
          <w:szCs w:val="20"/>
        </w:rPr>
        <w:instrText>area</w:instrText>
      </w:r>
      <w:r>
        <w:rPr>
          <w:i w:val="0"/>
          <w:szCs w:val="20"/>
        </w:rPr>
        <w:instrText>.</w:instrText>
      </w:r>
      <w:bookmarkEnd w:id="312"/>
      <w:r w:rsidRPr="00216027">
        <w:rPr>
          <w:bCs w:val="0"/>
          <w:i w:val="0"/>
        </w:rPr>
        <w:instrText xml:space="preserve">" \f A \l “4” </w:instrText>
      </w:r>
      <w:r w:rsidRPr="00216027">
        <w:rPr>
          <w:bCs w:val="0"/>
          <w:i w:val="0"/>
        </w:rPr>
        <w:fldChar w:fldCharType="end"/>
      </w:r>
    </w:p>
    <w:p w:rsidR="00566024" w:rsidRDefault="00566024" w:rsidP="00566024">
      <w:pPr>
        <w:autoSpaceDE w:val="0"/>
        <w:autoSpaceDN w:val="0"/>
        <w:adjustRightInd w:val="0"/>
        <w:rPr>
          <w:szCs w:val="22"/>
        </w:rPr>
      </w:pPr>
      <w:r>
        <w:rPr>
          <w:szCs w:val="22"/>
        </w:rPr>
        <w:lastRenderedPageBreak/>
        <w:t xml:space="preserve">Furthermore, in addition to </w:t>
      </w:r>
      <w:r w:rsidR="00967C2D">
        <w:rPr>
          <w:szCs w:val="22"/>
        </w:rPr>
        <w:t xml:space="preserve">being </w:t>
      </w:r>
      <w:r>
        <w:rPr>
          <w:szCs w:val="22"/>
        </w:rPr>
        <w:t>warp</w:t>
      </w:r>
      <w:r w:rsidR="00967C2D">
        <w:rPr>
          <w:szCs w:val="22"/>
        </w:rPr>
        <w:t>ed</w:t>
      </w:r>
      <w:r>
        <w:rPr>
          <w:szCs w:val="22"/>
        </w:rPr>
        <w:t xml:space="preserve"> and </w:t>
      </w:r>
      <w:r w:rsidR="00B55133">
        <w:rPr>
          <w:szCs w:val="22"/>
        </w:rPr>
        <w:t>tilted</w:t>
      </w:r>
      <w:r>
        <w:rPr>
          <w:szCs w:val="22"/>
        </w:rPr>
        <w:t xml:space="preserve"> of the Blanchetown Clay, the latter is sharply offset in a number of locations, with vertical displacements of up to 20</w:t>
      </w:r>
      <w:r w:rsidR="00182B14">
        <w:rPr>
          <w:szCs w:val="22"/>
        </w:rPr>
        <w:t xml:space="preserve"> </w:t>
      </w:r>
      <w:r>
        <w:rPr>
          <w:szCs w:val="22"/>
        </w:rPr>
        <w:t>m noted (Lawrie</w:t>
      </w:r>
      <w:r w:rsidR="008A5F7D" w:rsidRPr="00CF7613">
        <w:rPr>
          <w:rStyle w:val="StyleItalic"/>
        </w:rPr>
        <w:t xml:space="preserve"> et al</w:t>
      </w:r>
      <w:r>
        <w:rPr>
          <w:szCs w:val="22"/>
        </w:rPr>
        <w:t xml:space="preserve">., 2012b; </w:t>
      </w:r>
      <w:r w:rsidR="00182B14" w:rsidRPr="00CE057F">
        <w:rPr>
          <w:szCs w:val="22"/>
        </w:rPr>
        <w:fldChar w:fldCharType="begin"/>
      </w:r>
      <w:r w:rsidR="00182B14">
        <w:rPr>
          <w:szCs w:val="22"/>
        </w:rPr>
        <w:instrText xml:space="preserve"> REF _Ref355789027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3</w:t>
      </w:r>
      <w:r w:rsidR="00966532" w:rsidRPr="00966532">
        <w:rPr>
          <w:szCs w:val="22"/>
        </w:rPr>
        <w:noBreakHyphen/>
        <w:t>4</w:t>
      </w:r>
      <w:r w:rsidR="00182B14" w:rsidRPr="00CE057F">
        <w:rPr>
          <w:szCs w:val="22"/>
        </w:rPr>
        <w:fldChar w:fldCharType="end"/>
      </w:r>
      <w:r>
        <w:rPr>
          <w:szCs w:val="22"/>
        </w:rPr>
        <w:t>). Offsets were recorded during systematic interpretation of all the AEM flight line sections (Lawrie</w:t>
      </w:r>
      <w:r w:rsidR="008A5F7D" w:rsidRPr="00CF7613">
        <w:rPr>
          <w:rStyle w:val="StyleItalic"/>
        </w:rPr>
        <w:t xml:space="preserve"> et al</w:t>
      </w:r>
      <w:r>
        <w:rPr>
          <w:szCs w:val="22"/>
        </w:rPr>
        <w:t>., 2012a) and a map of the offset locations combined with the contoured top Blanchetown Clay surface. The pattern of folding and faulting mapped in the Blanchetown Clay is consistent with the faulting of similar materials used in sandbox and clay laboratory deformation experiments (McClay &amp; Dooley, 1995).</w:t>
      </w:r>
    </w:p>
    <w:p w:rsidR="00566024" w:rsidRDefault="00566024" w:rsidP="00566024">
      <w:pPr>
        <w:autoSpaceDE w:val="0"/>
        <w:autoSpaceDN w:val="0"/>
        <w:adjustRightInd w:val="0"/>
        <w:rPr>
          <w:szCs w:val="22"/>
        </w:rPr>
      </w:pPr>
    </w:p>
    <w:p w:rsidR="00566024" w:rsidRDefault="00566024" w:rsidP="00566024">
      <w:pPr>
        <w:autoSpaceDE w:val="0"/>
        <w:autoSpaceDN w:val="0"/>
        <w:adjustRightInd w:val="0"/>
        <w:rPr>
          <w:szCs w:val="22"/>
        </w:rPr>
      </w:pPr>
      <w:r>
        <w:rPr>
          <w:szCs w:val="22"/>
        </w:rPr>
        <w:t>Using this approach, individual offsets in the Blanchetown Clay were found to occur in linear zones of varying length that cross several flight line sections (</w:t>
      </w:r>
      <w:r w:rsidR="00182B14" w:rsidRPr="00CE057F">
        <w:rPr>
          <w:szCs w:val="22"/>
        </w:rPr>
        <w:fldChar w:fldCharType="begin"/>
      </w:r>
      <w:r w:rsidR="00182B14">
        <w:rPr>
          <w:szCs w:val="22"/>
        </w:rPr>
        <w:instrText xml:space="preserve"> REF _Ref355788988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5</w:t>
      </w:r>
      <w:r w:rsidR="00966532" w:rsidRPr="00966532">
        <w:rPr>
          <w:szCs w:val="22"/>
        </w:rPr>
        <w:noBreakHyphen/>
        <w:t>6</w:t>
      </w:r>
      <w:r w:rsidR="00182B14" w:rsidRPr="00CE057F">
        <w:rPr>
          <w:szCs w:val="22"/>
        </w:rPr>
        <w:fldChar w:fldCharType="end"/>
      </w:r>
      <w:r>
        <w:rPr>
          <w:szCs w:val="22"/>
        </w:rPr>
        <w:t>). These linear offset zones have been interpreted as geological faults, with vertical displacements of 5-20</w:t>
      </w:r>
      <w:r w:rsidR="00182B14">
        <w:rPr>
          <w:szCs w:val="22"/>
        </w:rPr>
        <w:t xml:space="preserve"> </w:t>
      </w:r>
      <w:r>
        <w:rPr>
          <w:szCs w:val="22"/>
        </w:rPr>
        <w:t>m mapped across many of these structures. Interpretation of flight line sections reveals that these faults do not always terminate abruptly, with monoclinal warps mapped in zones 200-400</w:t>
      </w:r>
      <w:r w:rsidR="00182B14">
        <w:rPr>
          <w:szCs w:val="22"/>
        </w:rPr>
        <w:t xml:space="preserve"> </w:t>
      </w:r>
      <w:r>
        <w:rPr>
          <w:szCs w:val="22"/>
        </w:rPr>
        <w:t>m beyond mapped fault offsets (Lawrie</w:t>
      </w:r>
      <w:r w:rsidR="008A5F7D" w:rsidRPr="00CF7613">
        <w:rPr>
          <w:rStyle w:val="StyleItalic"/>
        </w:rPr>
        <w:t xml:space="preserve"> et al</w:t>
      </w:r>
      <w:r>
        <w:rPr>
          <w:szCs w:val="22"/>
        </w:rPr>
        <w:t xml:space="preserve">., 2012b). When the distribution of these individual faults is plotted, it is evident that a number of other, flight line-parallel faults (i.e. NW-SE in the </w:t>
      </w:r>
      <w:r w:rsidR="00967C2D">
        <w:rPr>
          <w:szCs w:val="22"/>
        </w:rPr>
        <w:t>c</w:t>
      </w:r>
      <w:r>
        <w:rPr>
          <w:szCs w:val="22"/>
        </w:rPr>
        <w:t xml:space="preserve">entral project area) with </w:t>
      </w:r>
      <w:r w:rsidR="00D67CA4">
        <w:rPr>
          <w:szCs w:val="22"/>
        </w:rPr>
        <w:t xml:space="preserve">similar </w:t>
      </w:r>
      <w:r>
        <w:rPr>
          <w:szCs w:val="22"/>
        </w:rPr>
        <w:t>vertical displacements also present. These are mapped as ‘inferred’ faults, and are required to explain the sharp changes in the elevation of the Blanchetown Clay surface between flight lines (</w:t>
      </w:r>
      <w:r w:rsidR="00182B14" w:rsidRPr="00CE057F">
        <w:rPr>
          <w:szCs w:val="22"/>
        </w:rPr>
        <w:fldChar w:fldCharType="begin"/>
      </w:r>
      <w:r w:rsidR="00182B14">
        <w:rPr>
          <w:szCs w:val="22"/>
        </w:rPr>
        <w:instrText xml:space="preserve"> REF _Ref355789056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5</w:t>
      </w:r>
      <w:r w:rsidR="00966532" w:rsidRPr="00966532">
        <w:rPr>
          <w:szCs w:val="22"/>
        </w:rPr>
        <w:noBreakHyphen/>
        <w:t>7</w:t>
      </w:r>
      <w:r w:rsidR="00182B14" w:rsidRPr="00CE057F">
        <w:rPr>
          <w:szCs w:val="22"/>
        </w:rPr>
        <w:fldChar w:fldCharType="end"/>
      </w:r>
      <w:r>
        <w:rPr>
          <w:szCs w:val="22"/>
        </w:rPr>
        <w:t>a). The inferred faults have strike lengths of 2-8</w:t>
      </w:r>
      <w:r w:rsidR="00182B14">
        <w:rPr>
          <w:szCs w:val="22"/>
        </w:rPr>
        <w:t xml:space="preserve"> </w:t>
      </w:r>
      <w:r>
        <w:rPr>
          <w:szCs w:val="22"/>
        </w:rPr>
        <w:t>km, while sidewall faults have shorter strike lengths of ~800</w:t>
      </w:r>
      <w:r w:rsidR="00182B14">
        <w:rPr>
          <w:szCs w:val="22"/>
        </w:rPr>
        <w:t xml:space="preserve"> </w:t>
      </w:r>
      <w:r>
        <w:rPr>
          <w:szCs w:val="22"/>
        </w:rPr>
        <w:t>m. Some of the synthetic and antithetic strike-slip faults have been mapped for distances of 5-10</w:t>
      </w:r>
      <w:r w:rsidR="00CE057F">
        <w:rPr>
          <w:szCs w:val="22"/>
        </w:rPr>
        <w:t xml:space="preserve"> </w:t>
      </w:r>
      <w:r>
        <w:rPr>
          <w:szCs w:val="22"/>
        </w:rPr>
        <w:t>km (</w:t>
      </w:r>
      <w:r w:rsidR="00182B14" w:rsidRPr="00CE057F">
        <w:rPr>
          <w:szCs w:val="22"/>
        </w:rPr>
        <w:fldChar w:fldCharType="begin"/>
      </w:r>
      <w:r w:rsidR="00182B14">
        <w:rPr>
          <w:szCs w:val="22"/>
        </w:rPr>
        <w:instrText xml:space="preserve"> REF _Ref355789056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5</w:t>
      </w:r>
      <w:r w:rsidR="00966532" w:rsidRPr="00966532">
        <w:rPr>
          <w:szCs w:val="22"/>
        </w:rPr>
        <w:noBreakHyphen/>
        <w:t>7</w:t>
      </w:r>
      <w:r w:rsidR="00182B14" w:rsidRPr="00CE057F">
        <w:rPr>
          <w:szCs w:val="22"/>
        </w:rPr>
        <w:fldChar w:fldCharType="end"/>
      </w:r>
      <w:r>
        <w:rPr>
          <w:szCs w:val="22"/>
        </w:rPr>
        <w:t xml:space="preserve">). The mapped strike </w:t>
      </w:r>
      <w:r w:rsidR="00B55133">
        <w:rPr>
          <w:szCs w:val="22"/>
        </w:rPr>
        <w:t>lengths of individual fault segments are</w:t>
      </w:r>
      <w:r>
        <w:rPr>
          <w:szCs w:val="22"/>
        </w:rPr>
        <w:t xml:space="preserve"> consistent with observations of other intra-plate near-surface strike –slip zones (Sylvester, 1988; Cunningham &amp; Mann, 2007).</w:t>
      </w:r>
    </w:p>
    <w:p w:rsidR="00566024" w:rsidRDefault="00566024" w:rsidP="00566024">
      <w:pPr>
        <w:autoSpaceDE w:val="0"/>
        <w:autoSpaceDN w:val="0"/>
        <w:adjustRightInd w:val="0"/>
        <w:rPr>
          <w:szCs w:val="22"/>
        </w:rPr>
      </w:pPr>
    </w:p>
    <w:p w:rsidR="00566024" w:rsidRPr="00703FD5" w:rsidRDefault="00566024" w:rsidP="00566024">
      <w:pPr>
        <w:autoSpaceDE w:val="0"/>
        <w:autoSpaceDN w:val="0"/>
        <w:adjustRightInd w:val="0"/>
        <w:rPr>
          <w:b/>
          <w:szCs w:val="22"/>
        </w:rPr>
      </w:pPr>
      <w:r w:rsidRPr="00703FD5">
        <w:rPr>
          <w:b/>
          <w:szCs w:val="22"/>
        </w:rPr>
        <w:t>The Menindee and Talyawalka Fault Zones</w:t>
      </w:r>
    </w:p>
    <w:p w:rsidR="00566024" w:rsidRDefault="00566024" w:rsidP="00566024">
      <w:pPr>
        <w:autoSpaceDE w:val="0"/>
        <w:autoSpaceDN w:val="0"/>
        <w:adjustRightInd w:val="0"/>
        <w:rPr>
          <w:szCs w:val="22"/>
        </w:rPr>
      </w:pPr>
      <w:r>
        <w:rPr>
          <w:szCs w:val="22"/>
        </w:rPr>
        <w:t>Faulting of the top Blanchetown Clay surface does not occur throughout the study area (Lawrie</w:t>
      </w:r>
      <w:r w:rsidR="008A5F7D" w:rsidRPr="00CF7613">
        <w:rPr>
          <w:rStyle w:val="StyleItalic"/>
        </w:rPr>
        <w:t xml:space="preserve"> et al</w:t>
      </w:r>
      <w:r>
        <w:rPr>
          <w:szCs w:val="22"/>
        </w:rPr>
        <w:t>., 2012b), and is largely confined within a number of discrete, relatively linear corridors (Lawrie</w:t>
      </w:r>
      <w:r w:rsidR="008A5F7D" w:rsidRPr="00CF7613">
        <w:rPr>
          <w:rStyle w:val="StyleItalic"/>
        </w:rPr>
        <w:t xml:space="preserve"> et al</w:t>
      </w:r>
      <w:r>
        <w:rPr>
          <w:szCs w:val="22"/>
        </w:rPr>
        <w:t xml:space="preserve">., 2012b). The two most prominent corridors are </w:t>
      </w:r>
      <w:r w:rsidR="00B55133">
        <w:rPr>
          <w:szCs w:val="22"/>
        </w:rPr>
        <w:t>sub-parallel</w:t>
      </w:r>
      <w:r>
        <w:rPr>
          <w:szCs w:val="22"/>
        </w:rPr>
        <w:t xml:space="preserve"> to the </w:t>
      </w:r>
      <w:smartTag w:uri="urn:schemas-microsoft-com:office:smarttags" w:element="place">
        <w:r>
          <w:rPr>
            <w:szCs w:val="22"/>
          </w:rPr>
          <w:t>Darling River</w:t>
        </w:r>
      </w:smartTag>
      <w:r>
        <w:rPr>
          <w:szCs w:val="22"/>
        </w:rPr>
        <w:t xml:space="preserve"> south of Menindee, and </w:t>
      </w:r>
      <w:r w:rsidR="00B55133">
        <w:rPr>
          <w:szCs w:val="22"/>
        </w:rPr>
        <w:t>sub-parallel</w:t>
      </w:r>
      <w:r>
        <w:rPr>
          <w:szCs w:val="22"/>
        </w:rPr>
        <w:t xml:space="preserve"> to the Talyawalka </w:t>
      </w:r>
      <w:r w:rsidR="00261BA7">
        <w:rPr>
          <w:szCs w:val="22"/>
        </w:rPr>
        <w:t>Creek</w:t>
      </w:r>
      <w:r>
        <w:rPr>
          <w:szCs w:val="22"/>
        </w:rPr>
        <w:t xml:space="preserve">. The structural corridor parallel to the Darling River </w:t>
      </w:r>
      <w:r w:rsidRPr="00B55133">
        <w:rPr>
          <w:szCs w:val="22"/>
        </w:rPr>
        <w:t>is ~70-100 km in length</w:t>
      </w:r>
      <w:r>
        <w:rPr>
          <w:szCs w:val="22"/>
        </w:rPr>
        <w:t xml:space="preserve"> and 5- 15 km wide (</w:t>
      </w:r>
      <w:r w:rsidR="00182B14" w:rsidRPr="00B55133">
        <w:rPr>
          <w:szCs w:val="22"/>
        </w:rPr>
        <w:fldChar w:fldCharType="begin"/>
      </w:r>
      <w:r w:rsidR="00182B14">
        <w:rPr>
          <w:szCs w:val="22"/>
        </w:rPr>
        <w:instrText xml:space="preserve"> REF _Ref355789056 \h </w:instrText>
      </w:r>
      <w:r w:rsidR="00B55133">
        <w:rPr>
          <w:szCs w:val="22"/>
        </w:rPr>
        <w:instrText xml:space="preserve"> \* MERGEFORMAT </w:instrText>
      </w:r>
      <w:r w:rsidR="00182B14" w:rsidRPr="00B55133">
        <w:rPr>
          <w:szCs w:val="22"/>
        </w:rPr>
      </w:r>
      <w:r w:rsidR="00182B14" w:rsidRPr="00B55133">
        <w:rPr>
          <w:szCs w:val="22"/>
        </w:rPr>
        <w:fldChar w:fldCharType="separate"/>
      </w:r>
      <w:r w:rsidR="00966532" w:rsidRPr="00966532">
        <w:rPr>
          <w:szCs w:val="22"/>
        </w:rPr>
        <w:t>Figure 5</w:t>
      </w:r>
      <w:r w:rsidR="00966532" w:rsidRPr="00966532">
        <w:rPr>
          <w:szCs w:val="22"/>
        </w:rPr>
        <w:noBreakHyphen/>
        <w:t>7</w:t>
      </w:r>
      <w:r w:rsidR="00182B14" w:rsidRPr="00B55133">
        <w:rPr>
          <w:szCs w:val="22"/>
        </w:rPr>
        <w:fldChar w:fldCharType="end"/>
      </w:r>
      <w:r>
        <w:rPr>
          <w:szCs w:val="22"/>
        </w:rPr>
        <w:t xml:space="preserve">), while that associated with the Talyawalka </w:t>
      </w:r>
      <w:r w:rsidR="00261BA7">
        <w:rPr>
          <w:szCs w:val="22"/>
        </w:rPr>
        <w:t>Creek</w:t>
      </w:r>
      <w:r>
        <w:rPr>
          <w:szCs w:val="22"/>
        </w:rPr>
        <w:t xml:space="preserve"> is 2-5 km wide and can be traced </w:t>
      </w:r>
      <w:r w:rsidRPr="00B55133">
        <w:rPr>
          <w:szCs w:val="22"/>
        </w:rPr>
        <w:t>for &gt;50 km to</w:t>
      </w:r>
      <w:r>
        <w:rPr>
          <w:szCs w:val="22"/>
        </w:rPr>
        <w:t xml:space="preserve"> the east of </w:t>
      </w:r>
      <w:r w:rsidR="00261BA7">
        <w:rPr>
          <w:szCs w:val="22"/>
        </w:rPr>
        <w:t xml:space="preserve">where the </w:t>
      </w:r>
      <w:r w:rsidR="00B55133">
        <w:rPr>
          <w:szCs w:val="22"/>
        </w:rPr>
        <w:t>Talyawalka</w:t>
      </w:r>
      <w:r>
        <w:rPr>
          <w:szCs w:val="22"/>
        </w:rPr>
        <w:t xml:space="preserve"> intersect</w:t>
      </w:r>
      <w:r w:rsidR="00261BA7">
        <w:rPr>
          <w:szCs w:val="22"/>
        </w:rPr>
        <w:t>s</w:t>
      </w:r>
      <w:r>
        <w:rPr>
          <w:szCs w:val="22"/>
        </w:rPr>
        <w:t xml:space="preserve"> with the Darling River (</w:t>
      </w:r>
      <w:r w:rsidR="00182B14" w:rsidRPr="00B55133">
        <w:rPr>
          <w:szCs w:val="22"/>
        </w:rPr>
        <w:fldChar w:fldCharType="begin"/>
      </w:r>
      <w:r w:rsidR="00182B14">
        <w:rPr>
          <w:szCs w:val="22"/>
        </w:rPr>
        <w:instrText xml:space="preserve"> REF _Ref355789097 \h </w:instrText>
      </w:r>
      <w:r w:rsidR="00B55133">
        <w:rPr>
          <w:szCs w:val="22"/>
        </w:rPr>
        <w:instrText xml:space="preserve"> \* MERGEFORMAT </w:instrText>
      </w:r>
      <w:r w:rsidR="00182B14" w:rsidRPr="00B55133">
        <w:rPr>
          <w:szCs w:val="22"/>
        </w:rPr>
      </w:r>
      <w:r w:rsidR="00182B14" w:rsidRPr="00B55133">
        <w:rPr>
          <w:szCs w:val="22"/>
        </w:rPr>
        <w:fldChar w:fldCharType="separate"/>
      </w:r>
      <w:r w:rsidR="00966532" w:rsidRPr="00966532">
        <w:rPr>
          <w:szCs w:val="22"/>
        </w:rPr>
        <w:t>Figure 5</w:t>
      </w:r>
      <w:r w:rsidR="00966532" w:rsidRPr="00966532">
        <w:rPr>
          <w:szCs w:val="22"/>
        </w:rPr>
        <w:noBreakHyphen/>
        <w:t>8</w:t>
      </w:r>
      <w:r w:rsidR="00182B14" w:rsidRPr="00B55133">
        <w:rPr>
          <w:szCs w:val="22"/>
        </w:rPr>
        <w:fldChar w:fldCharType="end"/>
      </w:r>
      <w:r>
        <w:rPr>
          <w:szCs w:val="22"/>
        </w:rPr>
        <w:t>). Other mapped fault zones are discussed in more detail in Lawrie</w:t>
      </w:r>
      <w:r w:rsidR="008A5F7D" w:rsidRPr="00CF7613">
        <w:rPr>
          <w:rStyle w:val="StyleItalic"/>
        </w:rPr>
        <w:t xml:space="preserve"> et al</w:t>
      </w:r>
      <w:r>
        <w:rPr>
          <w:szCs w:val="22"/>
        </w:rPr>
        <w:t>. (2012b).</w:t>
      </w:r>
      <w:r w:rsidRPr="00645557">
        <w:rPr>
          <w:szCs w:val="22"/>
        </w:rPr>
        <w:t xml:space="preserve"> </w:t>
      </w:r>
    </w:p>
    <w:p w:rsidR="00566024" w:rsidRDefault="00566024" w:rsidP="00566024">
      <w:pPr>
        <w:autoSpaceDE w:val="0"/>
        <w:autoSpaceDN w:val="0"/>
        <w:adjustRightInd w:val="0"/>
        <w:rPr>
          <w:szCs w:val="22"/>
        </w:rPr>
      </w:pPr>
    </w:p>
    <w:p w:rsidR="00566024" w:rsidRDefault="00566024" w:rsidP="00566024">
      <w:pPr>
        <w:autoSpaceDE w:val="0"/>
        <w:autoSpaceDN w:val="0"/>
        <w:adjustRightInd w:val="0"/>
        <w:rPr>
          <w:szCs w:val="22"/>
        </w:rPr>
      </w:pPr>
      <w:r>
        <w:rPr>
          <w:szCs w:val="22"/>
        </w:rPr>
        <w:t xml:space="preserve">In this series of reports, the structural corridor associated with the </w:t>
      </w:r>
      <w:smartTag w:uri="urn:schemas-microsoft-com:office:smarttags" w:element="place">
        <w:r>
          <w:rPr>
            <w:szCs w:val="22"/>
          </w:rPr>
          <w:t>Darling River</w:t>
        </w:r>
      </w:smartTag>
      <w:r>
        <w:rPr>
          <w:szCs w:val="22"/>
        </w:rPr>
        <w:t xml:space="preserve"> south of Menindee is referred to as the Menindee Fault System (MFS), and that associated with the Talyawalka </w:t>
      </w:r>
      <w:r w:rsidR="00261BA7">
        <w:rPr>
          <w:szCs w:val="22"/>
        </w:rPr>
        <w:t>Creek</w:t>
      </w:r>
      <w:r>
        <w:rPr>
          <w:szCs w:val="22"/>
        </w:rPr>
        <w:t xml:space="preserve"> is referred to as the Talyawalka Fault System (TFS). The</w:t>
      </w:r>
      <w:r w:rsidR="00261BA7">
        <w:rPr>
          <w:szCs w:val="22"/>
        </w:rPr>
        <w:t>se</w:t>
      </w:r>
      <w:r>
        <w:rPr>
          <w:szCs w:val="22"/>
        </w:rPr>
        <w:t xml:space="preserve"> major fault zones change in their character along strike, largely coincident with changes in underlying basement geology, and where regional faults of different orientation intersect (Lawrie</w:t>
      </w:r>
      <w:r w:rsidR="008A5F7D" w:rsidRPr="00CF7613">
        <w:rPr>
          <w:rStyle w:val="StyleItalic"/>
        </w:rPr>
        <w:t xml:space="preserve"> et al</w:t>
      </w:r>
      <w:r>
        <w:rPr>
          <w:szCs w:val="22"/>
        </w:rPr>
        <w:t>., 2012b). Major step-overs occur in association with basement heterogeneities, and between en-echelon fault segments (Lawrie</w:t>
      </w:r>
      <w:r w:rsidR="008A5F7D" w:rsidRPr="00CF7613">
        <w:rPr>
          <w:rStyle w:val="StyleItalic"/>
        </w:rPr>
        <w:t xml:space="preserve"> et al</w:t>
      </w:r>
      <w:r>
        <w:rPr>
          <w:szCs w:val="22"/>
        </w:rPr>
        <w:t xml:space="preserve">., 2012b). </w:t>
      </w:r>
    </w:p>
    <w:p w:rsidR="00566024" w:rsidRDefault="00566024" w:rsidP="00566024">
      <w:pPr>
        <w:autoSpaceDE w:val="0"/>
        <w:autoSpaceDN w:val="0"/>
        <w:adjustRightInd w:val="0"/>
        <w:rPr>
          <w:szCs w:val="22"/>
        </w:rPr>
      </w:pPr>
    </w:p>
    <w:p w:rsidR="00566024" w:rsidRDefault="00566024" w:rsidP="00566024">
      <w:pPr>
        <w:autoSpaceDE w:val="0"/>
        <w:autoSpaceDN w:val="0"/>
        <w:adjustRightInd w:val="0"/>
        <w:rPr>
          <w:szCs w:val="22"/>
        </w:rPr>
      </w:pPr>
      <w:r>
        <w:rPr>
          <w:szCs w:val="22"/>
        </w:rPr>
        <w:t>Within the MFS in the vicinity of the Jimargil potential borefield site, the Blanchetown Clay top surface and mapped faults define a series of rhomboidal, box-like grabens and half-grabens, that are arranged en-echelon within a broad N-S structural corridor (</w:t>
      </w:r>
      <w:r w:rsidR="00182B14" w:rsidRPr="00B55133">
        <w:rPr>
          <w:szCs w:val="22"/>
        </w:rPr>
        <w:fldChar w:fldCharType="begin"/>
      </w:r>
      <w:r w:rsidR="00182B14">
        <w:rPr>
          <w:szCs w:val="22"/>
        </w:rPr>
        <w:instrText xml:space="preserve"> REF _Ref355789056 \h </w:instrText>
      </w:r>
      <w:r w:rsidR="00B55133">
        <w:rPr>
          <w:szCs w:val="22"/>
        </w:rPr>
        <w:instrText xml:space="preserve"> \* MERGEFORMAT </w:instrText>
      </w:r>
      <w:r w:rsidR="00182B14" w:rsidRPr="00B55133">
        <w:rPr>
          <w:szCs w:val="22"/>
        </w:rPr>
      </w:r>
      <w:r w:rsidR="00182B14" w:rsidRPr="00B55133">
        <w:rPr>
          <w:szCs w:val="22"/>
        </w:rPr>
        <w:fldChar w:fldCharType="separate"/>
      </w:r>
      <w:r w:rsidR="00966532" w:rsidRPr="00966532">
        <w:rPr>
          <w:szCs w:val="22"/>
        </w:rPr>
        <w:t>Figure 5</w:t>
      </w:r>
      <w:r w:rsidR="00966532" w:rsidRPr="00966532">
        <w:rPr>
          <w:szCs w:val="22"/>
        </w:rPr>
        <w:noBreakHyphen/>
        <w:t>7</w:t>
      </w:r>
      <w:r w:rsidR="00182B14" w:rsidRPr="00B55133">
        <w:rPr>
          <w:szCs w:val="22"/>
        </w:rPr>
        <w:fldChar w:fldCharType="end"/>
      </w:r>
      <w:r>
        <w:rPr>
          <w:szCs w:val="22"/>
        </w:rPr>
        <w:t>a</w:t>
      </w:r>
      <w:r w:rsidR="00261BA7">
        <w:rPr>
          <w:szCs w:val="22"/>
        </w:rPr>
        <w:t xml:space="preserve"> and </w:t>
      </w:r>
      <w:r>
        <w:rPr>
          <w:szCs w:val="22"/>
        </w:rPr>
        <w:t xml:space="preserve">b). The geometry of these grabens and half-grabens is consistent with </w:t>
      </w:r>
      <w:r w:rsidR="001D4FAC">
        <w:rPr>
          <w:szCs w:val="22"/>
        </w:rPr>
        <w:t>extension within an intra-plate strike slip system</w:t>
      </w:r>
      <w:r>
        <w:rPr>
          <w:szCs w:val="22"/>
        </w:rPr>
        <w:t xml:space="preserve"> </w:t>
      </w:r>
      <w:r w:rsidR="001D4FAC">
        <w:rPr>
          <w:szCs w:val="22"/>
        </w:rPr>
        <w:t xml:space="preserve">formed as a consequence of reactivation of pre-existing, underlying basement faults and heterogeneities during WNW-ESE regional compression </w:t>
      </w:r>
      <w:r>
        <w:rPr>
          <w:szCs w:val="22"/>
        </w:rPr>
        <w:t>(</w:t>
      </w:r>
      <w:r w:rsidR="00B55133">
        <w:rPr>
          <w:szCs w:val="22"/>
        </w:rPr>
        <w:fldChar w:fldCharType="begin"/>
      </w:r>
      <w:r w:rsidR="00B55133">
        <w:rPr>
          <w:szCs w:val="22"/>
        </w:rPr>
        <w:instrText xml:space="preserve"> REF _Ref355792280 \h  \* MERGEFORMAT </w:instrText>
      </w:r>
      <w:r w:rsidR="00B55133">
        <w:rPr>
          <w:szCs w:val="22"/>
        </w:rPr>
      </w:r>
      <w:r w:rsidR="00B55133">
        <w:rPr>
          <w:szCs w:val="22"/>
        </w:rPr>
        <w:fldChar w:fldCharType="separate"/>
      </w:r>
      <w:r w:rsidR="00966532" w:rsidRPr="00966532">
        <w:rPr>
          <w:szCs w:val="22"/>
        </w:rPr>
        <w:t>Figure 5</w:t>
      </w:r>
      <w:r w:rsidR="00966532" w:rsidRPr="00966532">
        <w:rPr>
          <w:szCs w:val="22"/>
        </w:rPr>
        <w:noBreakHyphen/>
        <w:t>7</w:t>
      </w:r>
      <w:r w:rsidR="00B55133">
        <w:rPr>
          <w:szCs w:val="22"/>
        </w:rPr>
        <w:fldChar w:fldCharType="end"/>
      </w:r>
      <w:r>
        <w:rPr>
          <w:szCs w:val="22"/>
        </w:rPr>
        <w:t xml:space="preserve">b). The grabens are linked by a </w:t>
      </w:r>
      <w:r w:rsidR="00261BA7">
        <w:rPr>
          <w:szCs w:val="22"/>
        </w:rPr>
        <w:t>smaller</w:t>
      </w:r>
      <w:r>
        <w:rPr>
          <w:szCs w:val="22"/>
        </w:rPr>
        <w:t xml:space="preserve"> number of key faults with a ~N-S strike orientation which are interpreted as synthetic strike-slip faults (Harding &amp; Lowell, 1974). Oblique-slip displacement on antithetic and synthetic strike-slip faults within the MFS is indicated by reversals of vertical displacement along the strike of these faults (</w:t>
      </w:r>
      <w:r w:rsidR="00182B14" w:rsidRPr="00CE057F">
        <w:rPr>
          <w:szCs w:val="22"/>
        </w:rPr>
        <w:fldChar w:fldCharType="begin"/>
      </w:r>
      <w:r w:rsidR="00182B14">
        <w:rPr>
          <w:szCs w:val="22"/>
        </w:rPr>
        <w:instrText xml:space="preserve"> REF _Ref355789056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5</w:t>
      </w:r>
      <w:r w:rsidR="00966532" w:rsidRPr="00966532">
        <w:rPr>
          <w:szCs w:val="22"/>
        </w:rPr>
        <w:noBreakHyphen/>
        <w:t>7</w:t>
      </w:r>
      <w:r w:rsidR="00182B14" w:rsidRPr="00CE057F">
        <w:rPr>
          <w:szCs w:val="22"/>
        </w:rPr>
        <w:fldChar w:fldCharType="end"/>
      </w:r>
      <w:r>
        <w:rPr>
          <w:szCs w:val="22"/>
        </w:rPr>
        <w:t>a</w:t>
      </w:r>
      <w:r w:rsidR="00261BA7">
        <w:rPr>
          <w:szCs w:val="22"/>
        </w:rPr>
        <w:t xml:space="preserve"> and </w:t>
      </w:r>
      <w:r>
        <w:rPr>
          <w:szCs w:val="22"/>
        </w:rPr>
        <w:t>b). The overall geometry of the extensional and strike-slip faults observed within</w:t>
      </w:r>
      <w:r w:rsidR="00261BA7">
        <w:rPr>
          <w:szCs w:val="22"/>
        </w:rPr>
        <w:t xml:space="preserve"> </w:t>
      </w:r>
      <w:r>
        <w:rPr>
          <w:szCs w:val="22"/>
        </w:rPr>
        <w:t>th</w:t>
      </w:r>
      <w:r w:rsidR="00261BA7">
        <w:rPr>
          <w:szCs w:val="22"/>
        </w:rPr>
        <w:t>e</w:t>
      </w:r>
      <w:r>
        <w:rPr>
          <w:szCs w:val="22"/>
        </w:rPr>
        <w:t xml:space="preserve"> MFS is consistent with analogue models (McClay &amp; Dooley, 1995) and natural examples of intra-plate strike-slip zones (Cunningham &amp; Mann, 2007)</w:t>
      </w:r>
      <w:r w:rsidR="00D67CA4">
        <w:rPr>
          <w:szCs w:val="22"/>
        </w:rPr>
        <w:t>.</w:t>
      </w:r>
    </w:p>
    <w:p w:rsidR="00566024" w:rsidRDefault="00566024" w:rsidP="00566024">
      <w:pPr>
        <w:autoSpaceDE w:val="0"/>
        <w:autoSpaceDN w:val="0"/>
        <w:adjustRightInd w:val="0"/>
        <w:rPr>
          <w:szCs w:val="22"/>
        </w:rPr>
      </w:pPr>
    </w:p>
    <w:p w:rsidR="00566024" w:rsidRDefault="00566024" w:rsidP="00566024">
      <w:pPr>
        <w:autoSpaceDE w:val="0"/>
        <w:autoSpaceDN w:val="0"/>
        <w:adjustRightInd w:val="0"/>
        <w:rPr>
          <w:szCs w:val="22"/>
        </w:rPr>
      </w:pPr>
      <w:r>
        <w:rPr>
          <w:szCs w:val="22"/>
        </w:rPr>
        <w:t>The polarity of the half-grabens changes across the principal N-S faults, with those to the east of the fault generally with a throw down to the south, while those on the west of the fault generally have a throw down to the north (</w:t>
      </w:r>
      <w:r w:rsidR="00D67CA4">
        <w:rPr>
          <w:szCs w:val="22"/>
        </w:rPr>
        <w:fldChar w:fldCharType="begin"/>
      </w:r>
      <w:r w:rsidR="00D67CA4">
        <w:rPr>
          <w:szCs w:val="22"/>
        </w:rPr>
        <w:instrText xml:space="preserve"> REF _Ref355792280 \h  \* MERGEFORMAT </w:instrText>
      </w:r>
      <w:r w:rsidR="00D67CA4">
        <w:rPr>
          <w:szCs w:val="22"/>
        </w:rPr>
      </w:r>
      <w:r w:rsidR="00D67CA4">
        <w:rPr>
          <w:szCs w:val="22"/>
        </w:rPr>
        <w:fldChar w:fldCharType="separate"/>
      </w:r>
      <w:r w:rsidR="00966532" w:rsidRPr="00966532">
        <w:rPr>
          <w:szCs w:val="22"/>
        </w:rPr>
        <w:t>Figure 5</w:t>
      </w:r>
      <w:r w:rsidR="00966532" w:rsidRPr="00966532">
        <w:rPr>
          <w:szCs w:val="22"/>
        </w:rPr>
        <w:noBreakHyphen/>
        <w:t>7</w:t>
      </w:r>
      <w:r w:rsidR="00D67CA4">
        <w:rPr>
          <w:szCs w:val="22"/>
        </w:rPr>
        <w:fldChar w:fldCharType="end"/>
      </w:r>
      <w:r>
        <w:rPr>
          <w:szCs w:val="22"/>
        </w:rPr>
        <w:t xml:space="preserve">). </w:t>
      </w:r>
      <w:r w:rsidR="00D67CA4">
        <w:rPr>
          <w:szCs w:val="22"/>
        </w:rPr>
        <w:t xml:space="preserve">This is generally indicative of basement heterogeneity. </w:t>
      </w:r>
      <w:r>
        <w:rPr>
          <w:szCs w:val="22"/>
        </w:rPr>
        <w:t>Within the MFS, elevation changes of up to 35</w:t>
      </w:r>
      <w:r w:rsidR="00261BA7">
        <w:rPr>
          <w:szCs w:val="22"/>
        </w:rPr>
        <w:t xml:space="preserve"> </w:t>
      </w:r>
      <w:r>
        <w:rPr>
          <w:szCs w:val="22"/>
        </w:rPr>
        <w:t>m are recorded within the structural corridor, within the maximum displacement across individual faults ~20</w:t>
      </w:r>
      <w:r w:rsidR="00261BA7">
        <w:rPr>
          <w:szCs w:val="22"/>
        </w:rPr>
        <w:t xml:space="preserve"> </w:t>
      </w:r>
      <w:r>
        <w:rPr>
          <w:szCs w:val="22"/>
        </w:rPr>
        <w:t xml:space="preserve">m </w:t>
      </w:r>
      <w:r w:rsidRPr="00CE057F">
        <w:rPr>
          <w:szCs w:val="22"/>
        </w:rPr>
        <w:t>(</w:t>
      </w:r>
      <w:r w:rsidR="00D67CA4">
        <w:rPr>
          <w:szCs w:val="22"/>
        </w:rPr>
        <w:t xml:space="preserve">e.g. </w:t>
      </w:r>
      <w:r w:rsidR="00182B14" w:rsidRPr="00CE057F">
        <w:rPr>
          <w:szCs w:val="22"/>
        </w:rPr>
        <w:fldChar w:fldCharType="begin"/>
      </w:r>
      <w:r w:rsidR="00182B14" w:rsidRPr="00CE057F">
        <w:rPr>
          <w:szCs w:val="22"/>
        </w:rPr>
        <w:instrText xml:space="preserve"> REF _Ref355789027 \h </w:instrText>
      </w:r>
      <w:r w:rsidR="00CE057F" w:rsidRP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3</w:t>
      </w:r>
      <w:r w:rsidR="00966532" w:rsidRPr="00966532">
        <w:rPr>
          <w:szCs w:val="22"/>
        </w:rPr>
        <w:noBreakHyphen/>
        <w:t>4</w:t>
      </w:r>
      <w:r w:rsidR="00182B14" w:rsidRPr="00CE057F">
        <w:rPr>
          <w:szCs w:val="22"/>
        </w:rPr>
        <w:fldChar w:fldCharType="end"/>
      </w:r>
      <w:r w:rsidRPr="00CE057F">
        <w:rPr>
          <w:szCs w:val="22"/>
        </w:rPr>
        <w:t>).</w:t>
      </w:r>
      <w:r>
        <w:rPr>
          <w:szCs w:val="22"/>
        </w:rPr>
        <w:t xml:space="preserve"> </w:t>
      </w:r>
    </w:p>
    <w:p w:rsidR="00566024" w:rsidRDefault="00566024" w:rsidP="00566024">
      <w:pPr>
        <w:autoSpaceDE w:val="0"/>
        <w:autoSpaceDN w:val="0"/>
        <w:adjustRightInd w:val="0"/>
        <w:rPr>
          <w:szCs w:val="22"/>
        </w:rPr>
      </w:pPr>
    </w:p>
    <w:p w:rsidR="00566024" w:rsidRDefault="00566024" w:rsidP="00566024">
      <w:pPr>
        <w:autoSpaceDE w:val="0"/>
        <w:autoSpaceDN w:val="0"/>
        <w:adjustRightInd w:val="0"/>
        <w:rPr>
          <w:szCs w:val="22"/>
        </w:rPr>
      </w:pPr>
      <w:r>
        <w:rPr>
          <w:szCs w:val="22"/>
        </w:rPr>
        <w:t xml:space="preserve">AEM sections reveal that the graben and half-graben structures form depocentres that are infilled by Coonambidgal Formation </w:t>
      </w:r>
      <w:r w:rsidRPr="00CE057F">
        <w:rPr>
          <w:szCs w:val="22"/>
        </w:rPr>
        <w:t>sediments (</w:t>
      </w:r>
      <w:r w:rsidR="00182B14" w:rsidRPr="00CE057F">
        <w:rPr>
          <w:szCs w:val="22"/>
        </w:rPr>
        <w:fldChar w:fldCharType="begin"/>
      </w:r>
      <w:r w:rsidR="00182B14" w:rsidRPr="00CE057F">
        <w:rPr>
          <w:szCs w:val="22"/>
        </w:rPr>
        <w:instrText xml:space="preserve"> REF _Ref355789027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3</w:t>
      </w:r>
      <w:r w:rsidR="00966532" w:rsidRPr="00966532">
        <w:rPr>
          <w:szCs w:val="22"/>
        </w:rPr>
        <w:noBreakHyphen/>
        <w:t>4</w:t>
      </w:r>
      <w:r w:rsidR="00182B14" w:rsidRPr="00CE057F">
        <w:rPr>
          <w:szCs w:val="22"/>
        </w:rPr>
        <w:fldChar w:fldCharType="end"/>
      </w:r>
      <w:r w:rsidRPr="00CE057F">
        <w:rPr>
          <w:szCs w:val="22"/>
        </w:rPr>
        <w:t xml:space="preserve">, </w:t>
      </w:r>
      <w:r w:rsidR="00182B14" w:rsidRPr="00CE057F">
        <w:rPr>
          <w:szCs w:val="22"/>
        </w:rPr>
        <w:fldChar w:fldCharType="begin"/>
      </w:r>
      <w:r w:rsidR="00182B14" w:rsidRPr="00CE057F">
        <w:rPr>
          <w:szCs w:val="22"/>
        </w:rPr>
        <w:instrText xml:space="preserve"> REF _Ref355789143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3</w:t>
      </w:r>
      <w:r w:rsidR="00966532" w:rsidRPr="00966532">
        <w:rPr>
          <w:szCs w:val="22"/>
        </w:rPr>
        <w:noBreakHyphen/>
        <w:t>6</w:t>
      </w:r>
      <w:r w:rsidR="00182B14" w:rsidRPr="00CE057F">
        <w:rPr>
          <w:szCs w:val="22"/>
        </w:rPr>
        <w:fldChar w:fldCharType="end"/>
      </w:r>
      <w:r w:rsidR="00D67CA4">
        <w:rPr>
          <w:szCs w:val="22"/>
        </w:rPr>
        <w:t xml:space="preserve">, </w:t>
      </w:r>
      <w:r w:rsidR="00D67CA4">
        <w:rPr>
          <w:szCs w:val="22"/>
        </w:rPr>
        <w:fldChar w:fldCharType="begin"/>
      </w:r>
      <w:r w:rsidR="00D67CA4">
        <w:rPr>
          <w:szCs w:val="22"/>
        </w:rPr>
        <w:instrText xml:space="preserve"> REF _Ref355793993 \h  \* MERGEFORMAT </w:instrText>
      </w:r>
      <w:r w:rsidR="00D67CA4">
        <w:rPr>
          <w:szCs w:val="22"/>
        </w:rPr>
      </w:r>
      <w:r w:rsidR="00D67CA4">
        <w:rPr>
          <w:szCs w:val="22"/>
        </w:rPr>
        <w:fldChar w:fldCharType="separate"/>
      </w:r>
      <w:r w:rsidR="00966532" w:rsidRPr="00966532">
        <w:rPr>
          <w:szCs w:val="22"/>
        </w:rPr>
        <w:t>Figure 5</w:t>
      </w:r>
      <w:r w:rsidR="00966532" w:rsidRPr="00966532">
        <w:rPr>
          <w:szCs w:val="22"/>
        </w:rPr>
        <w:noBreakHyphen/>
        <w:t>5</w:t>
      </w:r>
      <w:r w:rsidR="00D67CA4">
        <w:rPr>
          <w:szCs w:val="22"/>
        </w:rPr>
        <w:fldChar w:fldCharType="end"/>
      </w:r>
      <w:r w:rsidR="00D67CA4">
        <w:rPr>
          <w:szCs w:val="22"/>
        </w:rPr>
        <w:t xml:space="preserve"> and </w:t>
      </w:r>
      <w:r w:rsidR="00182B14" w:rsidRPr="00CE057F">
        <w:rPr>
          <w:szCs w:val="22"/>
        </w:rPr>
        <w:fldChar w:fldCharType="begin"/>
      </w:r>
      <w:r w:rsidR="00182B14" w:rsidRPr="00CE057F">
        <w:rPr>
          <w:szCs w:val="22"/>
        </w:rPr>
        <w:instrText xml:space="preserve"> REF _Ref355788988 \h </w:instrText>
      </w:r>
      <w:r w:rsidR="00CE057F">
        <w:rPr>
          <w:szCs w:val="22"/>
        </w:rPr>
        <w:instrText xml:space="preserve"> \* MERGEFORMAT </w:instrText>
      </w:r>
      <w:r w:rsidR="00182B14" w:rsidRPr="00CE057F">
        <w:rPr>
          <w:szCs w:val="22"/>
        </w:rPr>
      </w:r>
      <w:r w:rsidR="00182B14" w:rsidRPr="00CE057F">
        <w:rPr>
          <w:szCs w:val="22"/>
        </w:rPr>
        <w:fldChar w:fldCharType="separate"/>
      </w:r>
      <w:r w:rsidR="00966532" w:rsidRPr="00966532">
        <w:rPr>
          <w:szCs w:val="22"/>
        </w:rPr>
        <w:t>Figure 5</w:t>
      </w:r>
      <w:r w:rsidR="00966532" w:rsidRPr="00966532">
        <w:rPr>
          <w:szCs w:val="22"/>
        </w:rPr>
        <w:noBreakHyphen/>
        <w:t>6</w:t>
      </w:r>
      <w:r w:rsidR="00182B14" w:rsidRPr="00CE057F">
        <w:rPr>
          <w:szCs w:val="22"/>
        </w:rPr>
        <w:fldChar w:fldCharType="end"/>
      </w:r>
      <w:r w:rsidRPr="00CE057F">
        <w:rPr>
          <w:szCs w:val="22"/>
        </w:rPr>
        <w:t>).</w:t>
      </w:r>
      <w:r>
        <w:rPr>
          <w:szCs w:val="22"/>
        </w:rPr>
        <w:t xml:space="preserve"> Deposition of the </w:t>
      </w:r>
      <w:r>
        <w:rPr>
          <w:szCs w:val="22"/>
        </w:rPr>
        <w:lastRenderedPageBreak/>
        <w:t xml:space="preserve">Coonambidgal-Menindee Formation sediments is interpreted as </w:t>
      </w:r>
      <w:r w:rsidR="00B55133">
        <w:rPr>
          <w:szCs w:val="22"/>
        </w:rPr>
        <w:t>syn-kinematic</w:t>
      </w:r>
      <w:r>
        <w:rPr>
          <w:szCs w:val="22"/>
        </w:rPr>
        <w:t xml:space="preserve"> with faulting, with strata deposited in scroll plain deposits from rivers localised by the faulting. A number of WSW-ENE to WNW-ESE antithetic faults (</w:t>
      </w:r>
      <w:r w:rsidR="00CE057F">
        <w:rPr>
          <w:szCs w:val="22"/>
        </w:rPr>
        <w:fldChar w:fldCharType="begin"/>
      </w:r>
      <w:r w:rsidR="00CE057F">
        <w:rPr>
          <w:szCs w:val="22"/>
        </w:rPr>
        <w:instrText xml:space="preserve"> REF _Ref355792280 \h  \* MERGEFORMAT </w:instrText>
      </w:r>
      <w:r w:rsidR="00CE057F">
        <w:rPr>
          <w:szCs w:val="22"/>
        </w:rPr>
      </w:r>
      <w:r w:rsidR="00CE057F">
        <w:rPr>
          <w:szCs w:val="22"/>
        </w:rPr>
        <w:fldChar w:fldCharType="separate"/>
      </w:r>
      <w:r w:rsidR="00966532" w:rsidRPr="00966532">
        <w:rPr>
          <w:szCs w:val="22"/>
        </w:rPr>
        <w:t>Figure 5</w:t>
      </w:r>
      <w:r w:rsidR="00966532" w:rsidRPr="00966532">
        <w:rPr>
          <w:szCs w:val="22"/>
        </w:rPr>
        <w:noBreakHyphen/>
        <w:t>7</w:t>
      </w:r>
      <w:r w:rsidR="00CE057F">
        <w:rPr>
          <w:szCs w:val="22"/>
        </w:rPr>
        <w:fldChar w:fldCharType="end"/>
      </w:r>
      <w:r w:rsidR="00261BA7">
        <w:rPr>
          <w:szCs w:val="22"/>
        </w:rPr>
        <w:t xml:space="preserve"> and </w:t>
      </w:r>
      <w:r w:rsidR="00D67CA4">
        <w:rPr>
          <w:szCs w:val="22"/>
        </w:rPr>
        <w:fldChar w:fldCharType="begin"/>
      </w:r>
      <w:r w:rsidR="00D67CA4">
        <w:rPr>
          <w:szCs w:val="22"/>
        </w:rPr>
        <w:instrText xml:space="preserve"> REF _Ref355794192 \h  \* MERGEFORMAT </w:instrText>
      </w:r>
      <w:r w:rsidR="00D67CA4">
        <w:rPr>
          <w:szCs w:val="22"/>
        </w:rPr>
      </w:r>
      <w:r w:rsidR="00D67CA4">
        <w:rPr>
          <w:szCs w:val="22"/>
        </w:rPr>
        <w:fldChar w:fldCharType="separate"/>
      </w:r>
      <w:r w:rsidR="00966532" w:rsidRPr="00966532">
        <w:rPr>
          <w:szCs w:val="22"/>
        </w:rPr>
        <w:t>Figure 5</w:t>
      </w:r>
      <w:r w:rsidR="00966532" w:rsidRPr="00966532">
        <w:rPr>
          <w:szCs w:val="22"/>
        </w:rPr>
        <w:noBreakHyphen/>
        <w:t>8</w:t>
      </w:r>
      <w:r w:rsidR="00D67CA4">
        <w:rPr>
          <w:szCs w:val="22"/>
        </w:rPr>
        <w:fldChar w:fldCharType="end"/>
      </w:r>
      <w:r>
        <w:rPr>
          <w:szCs w:val="22"/>
        </w:rPr>
        <w:t>) provide linkages between extensional faults. Linear horst blocks are localised in compressional zones perpendicular to the maximum principal stress orientation, mainly in association with antithetic faults (Lawrie</w:t>
      </w:r>
      <w:r w:rsidR="008A5F7D" w:rsidRPr="00CF7613">
        <w:rPr>
          <w:rStyle w:val="StyleItalic"/>
        </w:rPr>
        <w:t xml:space="preserve"> et al</w:t>
      </w:r>
      <w:r>
        <w:rPr>
          <w:szCs w:val="22"/>
        </w:rPr>
        <w:t>., 2012b).</w:t>
      </w:r>
    </w:p>
    <w:p w:rsidR="00566024" w:rsidRDefault="00566024" w:rsidP="00566024">
      <w:pPr>
        <w:autoSpaceDE w:val="0"/>
        <w:autoSpaceDN w:val="0"/>
        <w:adjustRightInd w:val="0"/>
        <w:rPr>
          <w:szCs w:val="22"/>
        </w:rPr>
      </w:pPr>
    </w:p>
    <w:p w:rsidR="00566024" w:rsidRDefault="00566024" w:rsidP="00566024">
      <w:pPr>
        <w:autoSpaceDE w:val="0"/>
        <w:autoSpaceDN w:val="0"/>
        <w:adjustRightInd w:val="0"/>
        <w:rPr>
          <w:szCs w:val="22"/>
        </w:rPr>
      </w:pPr>
      <w:r>
        <w:rPr>
          <w:szCs w:val="22"/>
        </w:rPr>
        <w:t>Independent of the interpretation of the AEM data, structural analysis of airborne magnetic and regional gravity data, reveals that key faults mapped as major basement faults are coincident with some of the key structures observed to offset the Blanchetown Clay (Lawrie</w:t>
      </w:r>
      <w:r w:rsidR="008A5F7D" w:rsidRPr="00CF7613">
        <w:rPr>
          <w:rStyle w:val="StyleItalic"/>
        </w:rPr>
        <w:t xml:space="preserve"> et al</w:t>
      </w:r>
      <w:r>
        <w:rPr>
          <w:szCs w:val="22"/>
        </w:rPr>
        <w:t xml:space="preserve">., 2012b). In airborne magnetic data, a series of N-S faults mapped in the underlying geological basement (Devonian or pre-Devonian) are coincident with faults that define the </w:t>
      </w:r>
      <w:r w:rsidR="008A5F7D">
        <w:rPr>
          <w:szCs w:val="22"/>
        </w:rPr>
        <w:t>M</w:t>
      </w:r>
      <w:r>
        <w:rPr>
          <w:szCs w:val="22"/>
        </w:rPr>
        <w:t xml:space="preserve">FS </w:t>
      </w:r>
      <w:r w:rsidRPr="008A5F7D">
        <w:rPr>
          <w:szCs w:val="22"/>
        </w:rPr>
        <w:t>corridor (</w:t>
      </w:r>
      <w:r w:rsidR="006425F2">
        <w:rPr>
          <w:szCs w:val="22"/>
        </w:rPr>
        <w:fldChar w:fldCharType="begin"/>
      </w:r>
      <w:r w:rsidR="006425F2">
        <w:rPr>
          <w:szCs w:val="22"/>
        </w:rPr>
        <w:instrText xml:space="preserve"> REF _Ref355872641 \h  \* MERGEFORMAT </w:instrText>
      </w:r>
      <w:r w:rsidR="006425F2">
        <w:rPr>
          <w:szCs w:val="22"/>
        </w:rPr>
      </w:r>
      <w:r w:rsidR="006425F2">
        <w:rPr>
          <w:szCs w:val="22"/>
        </w:rPr>
        <w:fldChar w:fldCharType="separate"/>
      </w:r>
      <w:r w:rsidR="00966532" w:rsidRPr="00966532">
        <w:rPr>
          <w:szCs w:val="22"/>
        </w:rPr>
        <w:t>Figure 5</w:t>
      </w:r>
      <w:r w:rsidR="00966532" w:rsidRPr="00966532">
        <w:rPr>
          <w:szCs w:val="22"/>
        </w:rPr>
        <w:noBreakHyphen/>
        <w:t>9</w:t>
      </w:r>
      <w:r w:rsidR="006425F2">
        <w:rPr>
          <w:szCs w:val="22"/>
        </w:rPr>
        <w:fldChar w:fldCharType="end"/>
      </w:r>
      <w:r w:rsidR="008A5F7D" w:rsidRPr="008A5F7D">
        <w:rPr>
          <w:szCs w:val="22"/>
        </w:rPr>
        <w:t>a</w:t>
      </w:r>
      <w:r w:rsidRPr="008A5F7D">
        <w:rPr>
          <w:szCs w:val="22"/>
        </w:rPr>
        <w:t>).</w:t>
      </w:r>
      <w:r>
        <w:rPr>
          <w:szCs w:val="22"/>
        </w:rPr>
        <w:t xml:space="preserve"> Moreover, in regional gravity data, the two key structures defining the Menindee Trough depocentre are coincident with the two main N-S faults mapped in the AEM and airborne magnetic </w:t>
      </w:r>
      <w:r w:rsidRPr="008A5F7D">
        <w:rPr>
          <w:szCs w:val="22"/>
        </w:rPr>
        <w:t>data (</w:t>
      </w:r>
      <w:r w:rsidR="006425F2">
        <w:rPr>
          <w:szCs w:val="22"/>
        </w:rPr>
        <w:fldChar w:fldCharType="begin"/>
      </w:r>
      <w:r w:rsidR="006425F2">
        <w:rPr>
          <w:szCs w:val="22"/>
        </w:rPr>
        <w:instrText xml:space="preserve"> REF _Ref355872641 \h  \* MERGEFORMAT </w:instrText>
      </w:r>
      <w:r w:rsidR="006425F2">
        <w:rPr>
          <w:szCs w:val="22"/>
        </w:rPr>
      </w:r>
      <w:r w:rsidR="006425F2">
        <w:rPr>
          <w:szCs w:val="22"/>
        </w:rPr>
        <w:fldChar w:fldCharType="separate"/>
      </w:r>
      <w:r w:rsidR="00966532" w:rsidRPr="00966532">
        <w:rPr>
          <w:szCs w:val="22"/>
        </w:rPr>
        <w:t>Figure 5</w:t>
      </w:r>
      <w:r w:rsidR="00966532" w:rsidRPr="00966532">
        <w:rPr>
          <w:szCs w:val="22"/>
        </w:rPr>
        <w:noBreakHyphen/>
        <w:t>9</w:t>
      </w:r>
      <w:r w:rsidR="006425F2">
        <w:rPr>
          <w:szCs w:val="22"/>
        </w:rPr>
        <w:fldChar w:fldCharType="end"/>
      </w:r>
      <w:r w:rsidR="008A5F7D" w:rsidRPr="008A5F7D">
        <w:rPr>
          <w:szCs w:val="22"/>
        </w:rPr>
        <w:t>b</w:t>
      </w:r>
      <w:r w:rsidRPr="008A5F7D">
        <w:rPr>
          <w:szCs w:val="22"/>
        </w:rPr>
        <w:t>).</w:t>
      </w:r>
      <w:r>
        <w:rPr>
          <w:szCs w:val="22"/>
        </w:rPr>
        <w:t xml:space="preserve"> </w:t>
      </w:r>
    </w:p>
    <w:p w:rsidR="00566024" w:rsidRDefault="00566024" w:rsidP="00566024">
      <w:pPr>
        <w:autoSpaceDE w:val="0"/>
        <w:autoSpaceDN w:val="0"/>
        <w:adjustRightInd w:val="0"/>
        <w:rPr>
          <w:szCs w:val="22"/>
        </w:rPr>
      </w:pPr>
    </w:p>
    <w:p w:rsidR="00566024" w:rsidRPr="00AC61C4" w:rsidRDefault="00566024" w:rsidP="00566024">
      <w:pPr>
        <w:autoSpaceDE w:val="0"/>
        <w:autoSpaceDN w:val="0"/>
        <w:adjustRightInd w:val="0"/>
        <w:rPr>
          <w:szCs w:val="22"/>
        </w:rPr>
      </w:pPr>
      <w:r w:rsidRPr="00AC61C4">
        <w:rPr>
          <w:szCs w:val="22"/>
        </w:rPr>
        <w:t>The pattern of faulting observed at the top of the Blanchetown Clay cannot be mapped to the same degree of confidence at deeper levels using AEM data. This is because the next clay marker horizon (the upper Renmark Group clay aquitard) lies at depths near the limit of the depth of investigation of the AEM survey (~80-100</w:t>
      </w:r>
      <w:r w:rsidR="00182B14">
        <w:rPr>
          <w:szCs w:val="22"/>
        </w:rPr>
        <w:t xml:space="preserve"> </w:t>
      </w:r>
      <w:r w:rsidRPr="00AC61C4">
        <w:rPr>
          <w:szCs w:val="22"/>
        </w:rPr>
        <w:t xml:space="preserve">m). Also, the loss of resolution at these depths means that fault offsets </w:t>
      </w:r>
      <w:r w:rsidR="00B441AC">
        <w:rPr>
          <w:szCs w:val="22"/>
        </w:rPr>
        <w:t xml:space="preserve">only </w:t>
      </w:r>
      <w:r w:rsidRPr="00AC61C4">
        <w:rPr>
          <w:szCs w:val="22"/>
        </w:rPr>
        <w:t>&gt;</w:t>
      </w:r>
      <w:r w:rsidR="00B441AC">
        <w:rPr>
          <w:szCs w:val="22"/>
        </w:rPr>
        <w:t>10-</w:t>
      </w:r>
      <w:r w:rsidRPr="00AC61C4">
        <w:rPr>
          <w:szCs w:val="22"/>
        </w:rPr>
        <w:t>15</w:t>
      </w:r>
      <w:r w:rsidR="00182B14">
        <w:rPr>
          <w:szCs w:val="22"/>
        </w:rPr>
        <w:t xml:space="preserve"> </w:t>
      </w:r>
      <w:r w:rsidRPr="00AC61C4">
        <w:rPr>
          <w:szCs w:val="22"/>
        </w:rPr>
        <w:t>m will be observed in the AEM conductivity depth sections. Nevertheless, a few of the major faults noted to offset the Blanchetown Clay are observed to offset the Upper Renmark clay, particularly in areas where electrical conductivities are lower (Lawrie</w:t>
      </w:r>
      <w:r w:rsidR="008A5F7D" w:rsidRPr="00CF7613">
        <w:rPr>
          <w:rStyle w:val="StyleItalic"/>
        </w:rPr>
        <w:t xml:space="preserve"> et al</w:t>
      </w:r>
      <w:r w:rsidRPr="00AC61C4">
        <w:rPr>
          <w:szCs w:val="22"/>
        </w:rPr>
        <w:t>., 2012b).</w:t>
      </w:r>
    </w:p>
    <w:p w:rsidR="00566024" w:rsidRPr="00AC61C4" w:rsidRDefault="00566024" w:rsidP="00566024">
      <w:pPr>
        <w:autoSpaceDE w:val="0"/>
        <w:autoSpaceDN w:val="0"/>
        <w:adjustRightInd w:val="0"/>
        <w:rPr>
          <w:szCs w:val="22"/>
        </w:rPr>
      </w:pPr>
    </w:p>
    <w:p w:rsidR="00566024" w:rsidRPr="00AC61C4" w:rsidRDefault="00566024" w:rsidP="00566024">
      <w:pPr>
        <w:autoSpaceDE w:val="0"/>
        <w:autoSpaceDN w:val="0"/>
        <w:adjustRightInd w:val="0"/>
        <w:rPr>
          <w:szCs w:val="22"/>
        </w:rPr>
      </w:pPr>
      <w:r w:rsidRPr="00AC61C4">
        <w:rPr>
          <w:szCs w:val="22"/>
        </w:rPr>
        <w:t>Overall, formation of brittle faults in the Blanchetown Clay is consistent with analogue models (McClay &amp; Dooley, 1995). In the BHMAR study area the Blanchetown Clay forms a relatively stiff, indurated layer that would have deformed very differently from the unconsolidated sands that it overlies. It is unlikely that evidence of fault planes will be preserved in the sands due to their unconsolidated nature, except if mineralis</w:t>
      </w:r>
      <w:r w:rsidR="00564741">
        <w:rPr>
          <w:szCs w:val="22"/>
        </w:rPr>
        <w:t>ed due to either de-watering or</w:t>
      </w:r>
      <w:r w:rsidRPr="00AC61C4">
        <w:rPr>
          <w:szCs w:val="22"/>
        </w:rPr>
        <w:t xml:space="preserve"> fluid mixing along faults planes. The sands are cemented in a number of locations, with iron cements (haematite-goethite) common. </w:t>
      </w:r>
    </w:p>
    <w:p w:rsidR="00566024" w:rsidRDefault="00566024" w:rsidP="00566024">
      <w:pPr>
        <w:autoSpaceDE w:val="0"/>
        <w:autoSpaceDN w:val="0"/>
        <w:adjustRightInd w:val="0"/>
        <w:rPr>
          <w:szCs w:val="22"/>
        </w:rPr>
      </w:pPr>
    </w:p>
    <w:p w:rsidR="00566024" w:rsidRPr="00AC61C4" w:rsidRDefault="00566024" w:rsidP="00566024">
      <w:pPr>
        <w:autoSpaceDE w:val="0"/>
        <w:autoSpaceDN w:val="0"/>
        <w:adjustRightInd w:val="0"/>
        <w:rPr>
          <w:b/>
          <w:szCs w:val="22"/>
        </w:rPr>
      </w:pPr>
      <w:r w:rsidRPr="00AC61C4">
        <w:rPr>
          <w:b/>
          <w:szCs w:val="22"/>
        </w:rPr>
        <w:t>Evidence for Neotectonics</w:t>
      </w:r>
    </w:p>
    <w:p w:rsidR="00566024" w:rsidRPr="00AC61C4" w:rsidRDefault="00566024" w:rsidP="00566024">
      <w:pPr>
        <w:autoSpaceDE w:val="0"/>
        <w:autoSpaceDN w:val="0"/>
        <w:adjustRightInd w:val="0"/>
        <w:rPr>
          <w:szCs w:val="22"/>
        </w:rPr>
      </w:pPr>
      <w:r>
        <w:rPr>
          <w:szCs w:val="22"/>
        </w:rPr>
        <w:t>Several of the major faults identified in AEM, airborne magnetics and gravity data are also identified as lineaments, scarps and topographic ridges in surface LiDAR datasets (</w:t>
      </w:r>
      <w:r w:rsidR="00182B14">
        <w:rPr>
          <w:szCs w:val="22"/>
        </w:rPr>
        <w:fldChar w:fldCharType="begin"/>
      </w:r>
      <w:r w:rsidR="00182B14">
        <w:rPr>
          <w:szCs w:val="22"/>
        </w:rPr>
        <w:instrText xml:space="preserve"> REF _Ref355789193 \h </w:instrText>
      </w:r>
      <w:r w:rsidR="008A5F7D">
        <w:rPr>
          <w:szCs w:val="22"/>
        </w:rPr>
        <w:instrText xml:space="preserve"> \* MERGEFORMAT </w:instrText>
      </w:r>
      <w:r w:rsidR="00182B14">
        <w:rPr>
          <w:szCs w:val="22"/>
        </w:rPr>
      </w:r>
      <w:r w:rsidR="00182B14">
        <w:rPr>
          <w:szCs w:val="22"/>
        </w:rPr>
        <w:fldChar w:fldCharType="separate"/>
      </w:r>
      <w:r w:rsidR="00966532" w:rsidRPr="00966532">
        <w:rPr>
          <w:szCs w:val="22"/>
        </w:rPr>
        <w:t>Figure 5</w:t>
      </w:r>
      <w:r w:rsidR="00966532" w:rsidRPr="00966532">
        <w:rPr>
          <w:szCs w:val="22"/>
        </w:rPr>
        <w:noBreakHyphen/>
        <w:t>10</w:t>
      </w:r>
      <w:r w:rsidR="00182B14">
        <w:rPr>
          <w:szCs w:val="22"/>
        </w:rPr>
        <w:fldChar w:fldCharType="end"/>
      </w:r>
      <w:r>
        <w:rPr>
          <w:szCs w:val="22"/>
        </w:rPr>
        <w:t xml:space="preserve">, </w:t>
      </w:r>
      <w:r w:rsidR="00182B14">
        <w:rPr>
          <w:szCs w:val="22"/>
        </w:rPr>
        <w:fldChar w:fldCharType="begin"/>
      </w:r>
      <w:r w:rsidR="00182B14">
        <w:rPr>
          <w:szCs w:val="22"/>
        </w:rPr>
        <w:instrText xml:space="preserve"> REF _Ref355789204 \h </w:instrText>
      </w:r>
      <w:r w:rsidR="008A5F7D">
        <w:rPr>
          <w:szCs w:val="22"/>
        </w:rPr>
        <w:instrText xml:space="preserve"> \* MERGEFORMAT </w:instrText>
      </w:r>
      <w:r w:rsidR="00182B14">
        <w:rPr>
          <w:szCs w:val="22"/>
        </w:rPr>
      </w:r>
      <w:r w:rsidR="00182B14">
        <w:rPr>
          <w:szCs w:val="22"/>
        </w:rPr>
        <w:fldChar w:fldCharType="separate"/>
      </w:r>
      <w:r w:rsidR="00966532" w:rsidRPr="00966532">
        <w:rPr>
          <w:szCs w:val="22"/>
        </w:rPr>
        <w:t>Figure 5</w:t>
      </w:r>
      <w:r w:rsidR="00966532" w:rsidRPr="00966532">
        <w:rPr>
          <w:szCs w:val="22"/>
        </w:rPr>
        <w:noBreakHyphen/>
        <w:t>11</w:t>
      </w:r>
      <w:r w:rsidR="00182B14">
        <w:rPr>
          <w:szCs w:val="22"/>
        </w:rPr>
        <w:fldChar w:fldCharType="end"/>
      </w:r>
      <w:r>
        <w:rPr>
          <w:szCs w:val="22"/>
        </w:rPr>
        <w:t xml:space="preserve"> and </w:t>
      </w:r>
      <w:r w:rsidR="00182B14">
        <w:rPr>
          <w:szCs w:val="22"/>
        </w:rPr>
        <w:fldChar w:fldCharType="begin"/>
      </w:r>
      <w:r w:rsidR="00182B14">
        <w:rPr>
          <w:szCs w:val="22"/>
        </w:rPr>
        <w:instrText xml:space="preserve"> REF _Ref355789220 \h </w:instrText>
      </w:r>
      <w:r w:rsidR="008A5F7D">
        <w:rPr>
          <w:szCs w:val="22"/>
        </w:rPr>
        <w:instrText xml:space="preserve"> \* MERGEFORMAT </w:instrText>
      </w:r>
      <w:r w:rsidR="00182B14">
        <w:rPr>
          <w:szCs w:val="22"/>
        </w:rPr>
      </w:r>
      <w:r w:rsidR="00182B14">
        <w:rPr>
          <w:szCs w:val="22"/>
        </w:rPr>
        <w:fldChar w:fldCharType="separate"/>
      </w:r>
      <w:r w:rsidR="00966532" w:rsidRPr="00966532">
        <w:rPr>
          <w:szCs w:val="22"/>
        </w:rPr>
        <w:t>Figure 5</w:t>
      </w:r>
      <w:r w:rsidR="00966532" w:rsidRPr="00966532">
        <w:rPr>
          <w:szCs w:val="22"/>
        </w:rPr>
        <w:noBreakHyphen/>
        <w:t>12</w:t>
      </w:r>
      <w:r w:rsidR="00182B14">
        <w:rPr>
          <w:szCs w:val="22"/>
        </w:rPr>
        <w:fldChar w:fldCharType="end"/>
      </w:r>
      <w:r>
        <w:rPr>
          <w:szCs w:val="22"/>
        </w:rPr>
        <w:t xml:space="preserve">). </w:t>
      </w:r>
      <w:r w:rsidR="00182B14">
        <w:rPr>
          <w:szCs w:val="22"/>
        </w:rPr>
        <w:fldChar w:fldCharType="begin"/>
      </w:r>
      <w:r w:rsidR="00182B14">
        <w:rPr>
          <w:szCs w:val="22"/>
        </w:rPr>
        <w:instrText xml:space="preserve"> REF _Ref355789193 \h </w:instrText>
      </w:r>
      <w:r w:rsidR="008A5F7D">
        <w:rPr>
          <w:szCs w:val="22"/>
        </w:rPr>
        <w:instrText xml:space="preserve"> \* MERGEFORMAT </w:instrText>
      </w:r>
      <w:r w:rsidR="00182B14">
        <w:rPr>
          <w:szCs w:val="22"/>
        </w:rPr>
      </w:r>
      <w:r w:rsidR="00182B14">
        <w:rPr>
          <w:szCs w:val="22"/>
        </w:rPr>
        <w:fldChar w:fldCharType="separate"/>
      </w:r>
      <w:r w:rsidR="00966532" w:rsidRPr="00966532">
        <w:rPr>
          <w:szCs w:val="22"/>
        </w:rPr>
        <w:t>Figure 5</w:t>
      </w:r>
      <w:r w:rsidR="00966532" w:rsidRPr="00966532">
        <w:rPr>
          <w:szCs w:val="22"/>
        </w:rPr>
        <w:noBreakHyphen/>
        <w:t>10</w:t>
      </w:r>
      <w:r w:rsidR="00182B14">
        <w:rPr>
          <w:szCs w:val="22"/>
        </w:rPr>
        <w:fldChar w:fldCharType="end"/>
      </w:r>
      <w:r w:rsidR="008A5F7D">
        <w:rPr>
          <w:szCs w:val="22"/>
        </w:rPr>
        <w:t xml:space="preserve"> </w:t>
      </w:r>
      <w:r>
        <w:rPr>
          <w:szCs w:val="22"/>
        </w:rPr>
        <w:t xml:space="preserve">shows that the </w:t>
      </w:r>
      <w:r>
        <w:t xml:space="preserve">Talyawalka Scarp (TS), which is a prominent scarp in the present-day landscape, </w:t>
      </w:r>
      <w:r w:rsidR="00D67CA4">
        <w:t xml:space="preserve">with a throw down to the north. This feature </w:t>
      </w:r>
      <w:r>
        <w:t>is coincident with a basement shear zone. It is postulated that the relief on the scarp is related to Neogene structural reactivation of the basement structure</w:t>
      </w:r>
      <w:r w:rsidR="00D67CA4">
        <w:t>, with significant seismicity by the scale of the scarp</w:t>
      </w:r>
      <w:r>
        <w:t xml:space="preserve">. The Talyawalka </w:t>
      </w:r>
      <w:r w:rsidR="00261BA7">
        <w:t>Creek</w:t>
      </w:r>
      <w:r>
        <w:t xml:space="preserve"> effectively follows this major lineament. En-echelon half graben structures are delineated by extensional faults mapped at the Blanchetown Clay layer also associated with extension across this basement fault, which is localised across a basement heterogeneity (Lawrie</w:t>
      </w:r>
      <w:r w:rsidR="008A5F7D" w:rsidRPr="00CF7613">
        <w:rPr>
          <w:rStyle w:val="StyleItalic"/>
        </w:rPr>
        <w:t xml:space="preserve"> et al</w:t>
      </w:r>
      <w:r>
        <w:t>., 2012b). A number of other scarps present in the image may also be related to tectonism.</w:t>
      </w:r>
    </w:p>
    <w:p w:rsidR="00566024" w:rsidRDefault="00566024" w:rsidP="00566024">
      <w:pPr>
        <w:autoSpaceDE w:val="0"/>
        <w:autoSpaceDN w:val="0"/>
        <w:adjustRightInd w:val="0"/>
        <w:rPr>
          <w:szCs w:val="22"/>
          <w:highlight w:val="cyan"/>
        </w:rPr>
      </w:pPr>
    </w:p>
    <w:p w:rsidR="00566024" w:rsidRDefault="00566024" w:rsidP="00566024">
      <w:pPr>
        <w:autoSpaceDE w:val="0"/>
        <w:autoSpaceDN w:val="0"/>
        <w:adjustRightInd w:val="0"/>
      </w:pPr>
      <w:r>
        <w:t xml:space="preserve">Similarly, </w:t>
      </w:r>
      <w:r w:rsidR="00182B14">
        <w:fldChar w:fldCharType="begin"/>
      </w:r>
      <w:r w:rsidR="00182B14">
        <w:instrText xml:space="preserve"> REF _Ref355789204 \h </w:instrText>
      </w:r>
      <w:r w:rsidR="008A5F7D">
        <w:instrText xml:space="preserve"> \* MERGEFORMAT </w:instrText>
      </w:r>
      <w:r w:rsidR="00182B14">
        <w:fldChar w:fldCharType="separate"/>
      </w:r>
      <w:r w:rsidR="00966532" w:rsidRPr="00966532">
        <w:t>Figure 5</w:t>
      </w:r>
      <w:r w:rsidR="00966532" w:rsidRPr="00966532">
        <w:noBreakHyphen/>
        <w:t>11</w:t>
      </w:r>
      <w:r w:rsidR="00182B14">
        <w:fldChar w:fldCharType="end"/>
      </w:r>
      <w:r w:rsidR="00182B14">
        <w:t xml:space="preserve"> </w:t>
      </w:r>
      <w:r>
        <w:t xml:space="preserve">unusual drainage patterns observed for a reach of the </w:t>
      </w:r>
      <w:smartTag w:uri="urn:schemas-microsoft-com:office:smarttags" w:element="place">
        <w:r>
          <w:t>Darling River</w:t>
        </w:r>
      </w:smartTag>
      <w:r>
        <w:t xml:space="preserve"> near Bootingee are also interpreted as fault-related. At this location, the river has numerous straight-line segments and a box-like pattern in the river course. A number of </w:t>
      </w:r>
      <w:r w:rsidR="00D67CA4">
        <w:t xml:space="preserve">straight line </w:t>
      </w:r>
      <w:r>
        <w:t xml:space="preserve">scarps (A-E) that parallel the river course are observed to be coincident with mapped faults in the underlying geology. In </w:t>
      </w:r>
      <w:r w:rsidR="00782440">
        <w:fldChar w:fldCharType="begin"/>
      </w:r>
      <w:r w:rsidR="00782440">
        <w:instrText xml:space="preserve"> REF _Ref355789204 \h </w:instrText>
      </w:r>
      <w:r w:rsidR="008A5F7D">
        <w:instrText xml:space="preserve"> \* MERGEFORMAT </w:instrText>
      </w:r>
      <w:r w:rsidR="00782440">
        <w:fldChar w:fldCharType="separate"/>
      </w:r>
      <w:r w:rsidR="00966532" w:rsidRPr="00966532">
        <w:t>Figure 5</w:t>
      </w:r>
      <w:r w:rsidR="00966532" w:rsidRPr="00966532">
        <w:noBreakHyphen/>
        <w:t>11</w:t>
      </w:r>
      <w:r w:rsidR="00782440">
        <w:fldChar w:fldCharType="end"/>
      </w:r>
      <w:r>
        <w:t>, Scarp A is coincident with faults mapped in the AEM and with lineaments in airborne magnetic data. Scarps B, D and E, are coincident with faults mapped in the AEM data, while scarp C and the river course are coincident with an underlying strike-slip fault mapped in the magnetic basement. The drainage pattern is more reminisc</w:t>
      </w:r>
      <w:r w:rsidR="00971C9D">
        <w:t>ent of an incised upland rather</w:t>
      </w:r>
      <w:r>
        <w:t xml:space="preserve"> than an active low gradient floodplain. The drainage pattern is attributed to neotectonics. </w:t>
      </w:r>
    </w:p>
    <w:p w:rsidR="00566024" w:rsidRDefault="00566024" w:rsidP="00566024">
      <w:pPr>
        <w:autoSpaceDE w:val="0"/>
        <w:autoSpaceDN w:val="0"/>
        <w:adjustRightInd w:val="0"/>
      </w:pPr>
    </w:p>
    <w:p w:rsidR="00566024" w:rsidRDefault="00566024" w:rsidP="00566024">
      <w:pPr>
        <w:autoSpaceDE w:val="0"/>
        <w:autoSpaceDN w:val="0"/>
        <w:adjustRightInd w:val="0"/>
      </w:pPr>
      <w:r>
        <w:t xml:space="preserve">The coincidence of basement faults and heterogeneities with surface scarps and drainage lines is illustrated in </w:t>
      </w:r>
      <w:r w:rsidR="00782440">
        <w:fldChar w:fldCharType="begin"/>
      </w:r>
      <w:r w:rsidR="00782440">
        <w:instrText xml:space="preserve"> REF _Ref355789220 \h </w:instrText>
      </w:r>
      <w:r w:rsidR="008A5F7D">
        <w:instrText xml:space="preserve"> \* MERGEFORMAT </w:instrText>
      </w:r>
      <w:r w:rsidR="00782440">
        <w:fldChar w:fldCharType="separate"/>
      </w:r>
      <w:r w:rsidR="00966532" w:rsidRPr="00966532">
        <w:t>Figure 5</w:t>
      </w:r>
      <w:r w:rsidR="00966532" w:rsidRPr="00966532">
        <w:noBreakHyphen/>
        <w:t>12</w:t>
      </w:r>
      <w:r w:rsidR="00782440">
        <w:fldChar w:fldCharType="end"/>
      </w:r>
      <w:r>
        <w:t xml:space="preserve">a. Scarps, drainage lines and lineaments evident in the LiDAR are mapped for a reach of the lower Yampoola Creek floodplain east of the </w:t>
      </w:r>
      <w:smartTag w:uri="urn:schemas-microsoft-com:office:smarttags" w:element="place">
        <w:r>
          <w:t>Darling River</w:t>
        </w:r>
      </w:smartTag>
      <w:r>
        <w:t xml:space="preserve"> and south of Menindee township. </w:t>
      </w:r>
      <w:r w:rsidR="00782440">
        <w:fldChar w:fldCharType="begin"/>
      </w:r>
      <w:r w:rsidR="00782440">
        <w:instrText xml:space="preserve"> REF _Ref355789220 \h </w:instrText>
      </w:r>
      <w:r w:rsidR="008A5F7D">
        <w:instrText xml:space="preserve"> \* MERGEFORMAT </w:instrText>
      </w:r>
      <w:r w:rsidR="00782440">
        <w:fldChar w:fldCharType="separate"/>
      </w:r>
      <w:r w:rsidR="00966532" w:rsidRPr="00966532">
        <w:t>Figure 5</w:t>
      </w:r>
      <w:r w:rsidR="00966532" w:rsidRPr="00966532">
        <w:noBreakHyphen/>
        <w:t>12</w:t>
      </w:r>
      <w:r w:rsidR="00782440">
        <w:fldChar w:fldCharType="end"/>
      </w:r>
      <w:r>
        <w:t>b shows the same area with the backdrop being the TMI 1</w:t>
      </w:r>
      <w:r w:rsidRPr="0012760E">
        <w:rPr>
          <w:vertAlign w:val="superscript"/>
        </w:rPr>
        <w:t>st</w:t>
      </w:r>
      <w:r>
        <w:t xml:space="preserve"> VD draped over the LiDAR image. The lineaments from the Li</w:t>
      </w:r>
      <w:r w:rsidR="00261BA7">
        <w:t>D</w:t>
      </w:r>
      <w:r>
        <w:t xml:space="preserve">AR image are effectively coincident with faults mapped in the TMI (black lines) and regional </w:t>
      </w:r>
      <w:r>
        <w:lastRenderedPageBreak/>
        <w:t>gravity data (white dotted line). These data are interpreted as showing evidence for neotectonics in this area through reactivation of basement structures.</w:t>
      </w:r>
    </w:p>
    <w:p w:rsidR="00566024" w:rsidRDefault="00566024" w:rsidP="00566024">
      <w:pPr>
        <w:autoSpaceDE w:val="0"/>
        <w:autoSpaceDN w:val="0"/>
        <w:adjustRightInd w:val="0"/>
      </w:pPr>
    </w:p>
    <w:p w:rsidR="00566024" w:rsidRDefault="00566024" w:rsidP="00566024">
      <w:pPr>
        <w:autoSpaceDE w:val="0"/>
        <w:autoSpaceDN w:val="0"/>
        <w:adjustRightInd w:val="0"/>
        <w:rPr>
          <w:szCs w:val="22"/>
        </w:rPr>
      </w:pPr>
      <w:r w:rsidRPr="00AC61C4">
        <w:rPr>
          <w:szCs w:val="22"/>
        </w:rPr>
        <w:t xml:space="preserve">There is also evidence of recent tilting, with crossing shorelines observed at </w:t>
      </w:r>
      <w:smartTag w:uri="urn:schemas-microsoft-com:office:smarttags" w:element="place">
        <w:smartTag w:uri="urn:schemas-microsoft-com:office:smarttags" w:element="PlaceType">
          <w:r w:rsidRPr="00AC61C4">
            <w:rPr>
              <w:szCs w:val="22"/>
            </w:rPr>
            <w:t>Lake</w:t>
          </w:r>
        </w:smartTag>
        <w:r w:rsidRPr="00AC61C4">
          <w:rPr>
            <w:szCs w:val="22"/>
          </w:rPr>
          <w:t xml:space="preserve"> </w:t>
        </w:r>
        <w:smartTag w:uri="urn:schemas-microsoft-com:office:smarttags" w:element="PlaceName">
          <w:r w:rsidRPr="00AC61C4">
            <w:rPr>
              <w:szCs w:val="22"/>
            </w:rPr>
            <w:t>Mindona</w:t>
          </w:r>
        </w:smartTag>
      </w:smartTag>
      <w:r w:rsidRPr="00AC61C4">
        <w:rPr>
          <w:szCs w:val="22"/>
        </w:rPr>
        <w:t>, and a few up-warped areas observed to be associated with local landscape highs, suggesting relatively recent movement (Lawrie</w:t>
      </w:r>
      <w:r w:rsidR="008A5F7D" w:rsidRPr="00CF7613">
        <w:rPr>
          <w:rStyle w:val="StyleItalic"/>
        </w:rPr>
        <w:t xml:space="preserve"> et al</w:t>
      </w:r>
      <w:r w:rsidRPr="00AC61C4">
        <w:rPr>
          <w:szCs w:val="22"/>
        </w:rPr>
        <w:t xml:space="preserve">., 2012b). Some of the mapped structures show a complex history of tectonic inversion, with significant offsets and thickness changes across key aquifer and aquitards evident. </w:t>
      </w:r>
    </w:p>
    <w:p w:rsidR="00566024" w:rsidRDefault="00566024" w:rsidP="00566024">
      <w:pPr>
        <w:autoSpaceDE w:val="0"/>
        <w:autoSpaceDN w:val="0"/>
        <w:adjustRightInd w:val="0"/>
        <w:spacing w:before="120"/>
        <w:rPr>
          <w:szCs w:val="22"/>
        </w:rPr>
      </w:pPr>
    </w:p>
    <w:p w:rsidR="00566024" w:rsidRDefault="00706A3B" w:rsidP="00216BA0">
      <w:pPr>
        <w:autoSpaceDE w:val="0"/>
        <w:autoSpaceDN w:val="0"/>
        <w:adjustRightInd w:val="0"/>
        <w:spacing w:before="120" w:after="60"/>
        <w:jc w:val="center"/>
        <w:rPr>
          <w:szCs w:val="22"/>
        </w:rPr>
      </w:pPr>
      <w:r>
        <w:rPr>
          <w:noProof/>
          <w:szCs w:val="22"/>
        </w:rPr>
        <w:drawing>
          <wp:inline distT="0" distB="0" distL="0" distR="0" wp14:anchorId="586B2531" wp14:editId="217EAF3B">
            <wp:extent cx="5305425" cy="7017385"/>
            <wp:effectExtent l="19050" t="19050" r="9525" b="0"/>
            <wp:docPr id="41" name="Picture 41" descr="east_of_EBJW_60k_uca_top_stacked_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ast_of_EBJW_60k_uca_top_stacked_sections"/>
                    <pic:cNvPicPr>
                      <a:picLocks noChangeAspect="1" noChangeArrowheads="1"/>
                    </pic:cNvPicPr>
                  </pic:nvPicPr>
                  <pic:blipFill>
                    <a:blip r:embed="rId78" cstate="print">
                      <a:extLst>
                        <a:ext uri="{28A0092B-C50C-407E-A947-70E740481C1C}">
                          <a14:useLocalDpi xmlns:a14="http://schemas.microsoft.com/office/drawing/2010/main" val="0"/>
                        </a:ext>
                      </a:extLst>
                    </a:blip>
                    <a:srcRect l="9026" t="6381" r="7858" b="15550"/>
                    <a:stretch>
                      <a:fillRect/>
                    </a:stretch>
                  </pic:blipFill>
                  <pic:spPr bwMode="auto">
                    <a:xfrm>
                      <a:off x="0" y="0"/>
                      <a:ext cx="5305425" cy="7017385"/>
                    </a:xfrm>
                    <a:prstGeom prst="rect">
                      <a:avLst/>
                    </a:prstGeom>
                    <a:noFill/>
                    <a:ln w="6350" cmpd="sng">
                      <a:solidFill>
                        <a:srgbClr val="000000"/>
                      </a:solidFill>
                      <a:miter lim="800000"/>
                      <a:headEnd/>
                      <a:tailEnd/>
                    </a:ln>
                    <a:effectLst/>
                  </pic:spPr>
                </pic:pic>
              </a:graphicData>
            </a:graphic>
          </wp:inline>
        </w:drawing>
      </w:r>
    </w:p>
    <w:p w:rsidR="00566024" w:rsidRPr="00EB747A" w:rsidRDefault="00EB747A" w:rsidP="00EB747A">
      <w:pPr>
        <w:pStyle w:val="Caption"/>
      </w:pPr>
      <w:bookmarkStart w:id="313" w:name="_Ref355789367"/>
      <w:bookmarkStart w:id="314" w:name="_Ref355793993"/>
      <w:r w:rsidRPr="00EB747A">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5</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5</w:t>
      </w:r>
      <w:r w:rsidR="00A23C59">
        <w:rPr>
          <w:b/>
          <w:iCs/>
        </w:rPr>
        <w:fldChar w:fldCharType="end"/>
      </w:r>
      <w:bookmarkEnd w:id="313"/>
      <w:bookmarkEnd w:id="314"/>
      <w:r w:rsidRPr="00EB747A">
        <w:rPr>
          <w:b/>
          <w:iCs/>
        </w:rPr>
        <w:t>.</w:t>
      </w:r>
      <w:r w:rsidR="00D039C6">
        <w:t xml:space="preserve"> </w:t>
      </w:r>
      <w:r w:rsidR="00782440">
        <w:t>T</w:t>
      </w:r>
      <w:r w:rsidR="00566024" w:rsidRPr="00EB747A">
        <w:t xml:space="preserve">op </w:t>
      </w:r>
      <w:r w:rsidR="00971C9D" w:rsidRPr="00EB747A">
        <w:t>Blanchetown</w:t>
      </w:r>
      <w:r w:rsidR="00566024" w:rsidRPr="00EB747A">
        <w:t xml:space="preserve"> Clay surface (</w:t>
      </w:r>
      <w:r w:rsidR="00782440">
        <w:t xml:space="preserve">m </w:t>
      </w:r>
      <w:r w:rsidR="00566024" w:rsidRPr="00EB747A">
        <w:t xml:space="preserve">AHD) for an area NE of Jimargil, showing the location of flight line sections in </w:t>
      </w:r>
      <w:r w:rsidR="00782440">
        <w:fldChar w:fldCharType="begin"/>
      </w:r>
      <w:r w:rsidR="00782440">
        <w:instrText xml:space="preserve"> REF _Ref355788988 \h  \* MERGEFORMAT </w:instrText>
      </w:r>
      <w:r w:rsidR="00782440">
        <w:fldChar w:fldCharType="separate"/>
      </w:r>
      <w:r w:rsidR="00966532" w:rsidRPr="00966532">
        <w:t>Figure 5</w:t>
      </w:r>
      <w:r w:rsidR="00966532" w:rsidRPr="00966532">
        <w:noBreakHyphen/>
        <w:t>6</w:t>
      </w:r>
      <w:r w:rsidR="00782440">
        <w:fldChar w:fldCharType="end"/>
      </w:r>
      <w:r w:rsidR="00782440">
        <w:t>.</w:t>
      </w:r>
      <w:r w:rsidR="00566024" w:rsidRPr="00EB747A">
        <w:t xml:space="preserve"> The mapped faults define a half-graben structure, with linear horst-blocks evident in </w:t>
      </w:r>
      <w:r w:rsidR="00782440">
        <w:fldChar w:fldCharType="begin"/>
      </w:r>
      <w:r w:rsidR="00782440">
        <w:instrText xml:space="preserve"> REF _Ref355788988 \h  \* MERGEFORMAT </w:instrText>
      </w:r>
      <w:r w:rsidR="00782440">
        <w:fldChar w:fldCharType="separate"/>
      </w:r>
      <w:r w:rsidR="00966532" w:rsidRPr="00966532">
        <w:t>Figure 5</w:t>
      </w:r>
      <w:r w:rsidR="00966532" w:rsidRPr="00966532">
        <w:noBreakHyphen/>
        <w:t>6</w:t>
      </w:r>
      <w:r w:rsidR="00782440">
        <w:fldChar w:fldCharType="end"/>
      </w:r>
      <w:r w:rsidR="00566024" w:rsidRPr="00EB747A">
        <w:t xml:space="preserve"> shown in map view. This map also shows the location of potential inter-aquifer leakage zones where the Coonambidgal and Calivil Formation aquifers are juxtaposed across extensional and sidewall faults. </w:t>
      </w:r>
      <w:r w:rsidR="00782440" w:rsidRPr="00782440">
        <w:fldChar w:fldCharType="begin"/>
      </w:r>
      <w:r w:rsidR="00782440" w:rsidRPr="00782440">
        <w:instrText xml:space="preserve"> TC "</w:instrText>
      </w:r>
      <w:bookmarkStart w:id="315" w:name="_Toc390690224"/>
      <w:r w:rsidR="00782440" w:rsidRPr="00782440">
        <w:instrText xml:space="preserve">Figure 5-5. </w:instrText>
      </w:r>
      <w:r w:rsidR="00971C9D" w:rsidRPr="00EB747A">
        <w:instrText>Blanchetown</w:instrText>
      </w:r>
      <w:r w:rsidR="00782440" w:rsidRPr="00EB747A">
        <w:instrText xml:space="preserve"> Clay surface (</w:instrText>
      </w:r>
      <w:r w:rsidR="00782440">
        <w:instrText xml:space="preserve">m </w:instrText>
      </w:r>
      <w:r w:rsidR="00782440" w:rsidRPr="00EB747A">
        <w:instrText>AHD) for an area NE of Jimargil,</w:instrText>
      </w:r>
      <w:r w:rsidR="00782440">
        <w:instrText xml:space="preserve"> including mapped structural features</w:instrText>
      </w:r>
      <w:bookmarkEnd w:id="315"/>
      <w:r w:rsidR="00782440" w:rsidRPr="00782440">
        <w:instrText xml:space="preserve">" \f A \l “4” </w:instrText>
      </w:r>
      <w:r w:rsidR="00782440" w:rsidRPr="00782440">
        <w:fldChar w:fldCharType="end"/>
      </w:r>
    </w:p>
    <w:p w:rsidR="00566024" w:rsidRDefault="00566024" w:rsidP="00566024">
      <w:pPr>
        <w:autoSpaceDE w:val="0"/>
        <w:autoSpaceDN w:val="0"/>
        <w:adjustRightInd w:val="0"/>
        <w:rPr>
          <w:szCs w:val="22"/>
        </w:rPr>
        <w:sectPr w:rsidR="00566024" w:rsidSect="001756F3">
          <w:pgSz w:w="11906" w:h="16838" w:code="9"/>
          <w:pgMar w:top="1134" w:right="1134" w:bottom="1134" w:left="1134" w:header="709" w:footer="709" w:gutter="0"/>
          <w:cols w:space="708"/>
          <w:docGrid w:linePitch="360"/>
        </w:sectPr>
      </w:pPr>
    </w:p>
    <w:tbl>
      <w:tblPr>
        <w:tblW w:w="0" w:type="auto"/>
        <w:tblLook w:val="01E0" w:firstRow="1" w:lastRow="1" w:firstColumn="1" w:lastColumn="1" w:noHBand="0" w:noVBand="0"/>
      </w:tblPr>
      <w:tblGrid>
        <w:gridCol w:w="20088"/>
        <w:gridCol w:w="1674"/>
      </w:tblGrid>
      <w:tr w:rsidR="00566024" w:rsidTr="00081D84">
        <w:trPr>
          <w:cantSplit/>
          <w:trHeight w:val="1134"/>
        </w:trPr>
        <w:tc>
          <w:tcPr>
            <w:tcW w:w="20088" w:type="dxa"/>
            <w:shd w:val="clear" w:color="auto" w:fill="auto"/>
          </w:tcPr>
          <w:p w:rsidR="00566024" w:rsidRDefault="00706A3B" w:rsidP="00566024">
            <w:r>
              <w:rPr>
                <w:noProof/>
              </w:rPr>
              <w:lastRenderedPageBreak/>
              <w:drawing>
                <wp:inline distT="0" distB="0" distL="0" distR="0" wp14:anchorId="14152987" wp14:editId="0AE6D146">
                  <wp:extent cx="12503785" cy="85483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503785" cy="8548370"/>
                          </a:xfrm>
                          <a:prstGeom prst="rect">
                            <a:avLst/>
                          </a:prstGeom>
                          <a:noFill/>
                          <a:ln>
                            <a:noFill/>
                          </a:ln>
                        </pic:spPr>
                      </pic:pic>
                    </a:graphicData>
                  </a:graphic>
                </wp:inline>
              </w:drawing>
            </w:r>
          </w:p>
        </w:tc>
        <w:tc>
          <w:tcPr>
            <w:tcW w:w="1674" w:type="dxa"/>
            <w:shd w:val="clear" w:color="auto" w:fill="auto"/>
            <w:textDirection w:val="btLr"/>
          </w:tcPr>
          <w:p w:rsidR="00566024" w:rsidRDefault="00566024" w:rsidP="00081D84">
            <w:pPr>
              <w:pStyle w:val="Caption"/>
              <w:ind w:left="113" w:right="113"/>
            </w:pPr>
            <w:bookmarkStart w:id="316" w:name="_Ref355788988"/>
            <w:bookmarkStart w:id="317" w:name="_Ref355792398"/>
            <w:r w:rsidRPr="00081D84">
              <w:rPr>
                <w:b/>
                <w:iCs/>
              </w:rPr>
              <w:t xml:space="preserve">Figure </w:t>
            </w:r>
            <w:r w:rsidR="00A23C59" w:rsidRPr="00081D84">
              <w:rPr>
                <w:b/>
                <w:iCs/>
              </w:rPr>
              <w:fldChar w:fldCharType="begin"/>
            </w:r>
            <w:r w:rsidR="00A23C59" w:rsidRPr="00081D84">
              <w:rPr>
                <w:b/>
                <w:iCs/>
              </w:rPr>
              <w:instrText xml:space="preserve"> STYLEREF 1 \s </w:instrText>
            </w:r>
            <w:r w:rsidR="00A23C59" w:rsidRPr="00081D84">
              <w:rPr>
                <w:b/>
                <w:iCs/>
              </w:rPr>
              <w:fldChar w:fldCharType="separate"/>
            </w:r>
            <w:r w:rsidR="00966532">
              <w:rPr>
                <w:b/>
                <w:iCs/>
                <w:noProof/>
              </w:rPr>
              <w:t>5</w:t>
            </w:r>
            <w:r w:rsidR="00A23C59" w:rsidRPr="00081D84">
              <w:rPr>
                <w:b/>
                <w:iCs/>
              </w:rPr>
              <w:fldChar w:fldCharType="end"/>
            </w:r>
            <w:r w:rsidR="00A23C59" w:rsidRPr="00081D84">
              <w:rPr>
                <w:b/>
                <w:iCs/>
              </w:rPr>
              <w:noBreakHyphen/>
            </w:r>
            <w:r w:rsidR="00A23C59" w:rsidRPr="00081D84">
              <w:rPr>
                <w:b/>
                <w:iCs/>
              </w:rPr>
              <w:fldChar w:fldCharType="begin"/>
            </w:r>
            <w:r w:rsidR="00A23C59" w:rsidRPr="00081D84">
              <w:rPr>
                <w:b/>
                <w:iCs/>
              </w:rPr>
              <w:instrText xml:space="preserve"> SEQ Figure \* ARABIC \s 1 </w:instrText>
            </w:r>
            <w:r w:rsidR="00A23C59" w:rsidRPr="00081D84">
              <w:rPr>
                <w:b/>
                <w:iCs/>
              </w:rPr>
              <w:fldChar w:fldCharType="separate"/>
            </w:r>
            <w:r w:rsidR="00966532">
              <w:rPr>
                <w:b/>
                <w:iCs/>
                <w:noProof/>
              </w:rPr>
              <w:t>6</w:t>
            </w:r>
            <w:r w:rsidR="00A23C59" w:rsidRPr="00081D84">
              <w:rPr>
                <w:b/>
                <w:iCs/>
              </w:rPr>
              <w:fldChar w:fldCharType="end"/>
            </w:r>
            <w:bookmarkEnd w:id="316"/>
            <w:bookmarkEnd w:id="317"/>
            <w:r w:rsidRPr="00081D84">
              <w:rPr>
                <w:b/>
                <w:iCs/>
              </w:rPr>
              <w:t>.</w:t>
            </w:r>
            <w:r w:rsidRPr="004C273C">
              <w:t xml:space="preserve"> Tiled conductivity</w:t>
            </w:r>
            <w:r>
              <w:t xml:space="preserve"> depth sections with 200</w:t>
            </w:r>
            <w:r w:rsidR="00030542">
              <w:t xml:space="preserve"> </w:t>
            </w:r>
            <w:r>
              <w:t>m spacing between flight lines for an area near Menindee. Fault. Offsets of the top of the upper confining aquitard (Blanchetown Clay- shown with a thicker black line) are evident. The location of individual flight line sections relative to the mapped graben basins is shown i</w:t>
            </w:r>
            <w:r w:rsidRPr="007E6E21">
              <w:t xml:space="preserve">n </w:t>
            </w:r>
            <w:r w:rsidR="00782440" w:rsidRPr="007E6E21">
              <w:fldChar w:fldCharType="begin"/>
            </w:r>
            <w:r w:rsidR="00782440" w:rsidRPr="007E6E21">
              <w:instrText xml:space="preserve"> REF _Ref355789367 \h </w:instrText>
            </w:r>
            <w:r w:rsidR="007E6E21" w:rsidRPr="007E6E21">
              <w:instrText xml:space="preserve"> \* MERGEFORMAT </w:instrText>
            </w:r>
            <w:r w:rsidR="00782440" w:rsidRPr="007E6E21">
              <w:fldChar w:fldCharType="separate"/>
            </w:r>
            <w:r w:rsidR="00966532" w:rsidRPr="00966532">
              <w:rPr>
                <w:iCs/>
              </w:rPr>
              <w:t xml:space="preserve">Figure </w:t>
            </w:r>
            <w:r w:rsidR="00966532" w:rsidRPr="00966532">
              <w:rPr>
                <w:iCs/>
                <w:noProof/>
              </w:rPr>
              <w:t>5</w:t>
            </w:r>
            <w:r w:rsidR="00966532" w:rsidRPr="00966532">
              <w:rPr>
                <w:iCs/>
                <w:noProof/>
              </w:rPr>
              <w:noBreakHyphen/>
              <w:t>5</w:t>
            </w:r>
            <w:r w:rsidR="00782440" w:rsidRPr="007E6E21">
              <w:fldChar w:fldCharType="end"/>
            </w:r>
            <w:r w:rsidR="00782440">
              <w:t xml:space="preserve">. </w:t>
            </w:r>
            <w:r>
              <w:fldChar w:fldCharType="begin"/>
            </w:r>
            <w:r>
              <w:instrText xml:space="preserve"> TC "</w:instrText>
            </w:r>
            <w:bookmarkStart w:id="318" w:name="_Toc390690225"/>
            <w:r>
              <w:instrText>Figure 5-</w:instrText>
            </w:r>
            <w:r w:rsidR="00782440">
              <w:instrText>6</w:instrText>
            </w:r>
            <w:r>
              <w:instrText>. Tiled conductivity depth sections with 200 m spacing between flight lines for an area near Menindee.</w:instrText>
            </w:r>
            <w:bookmarkEnd w:id="318"/>
            <w:r>
              <w:instrText xml:space="preserve">" \f A \l “4” </w:instrText>
            </w:r>
            <w:r>
              <w:fldChar w:fldCharType="end"/>
            </w:r>
          </w:p>
          <w:p w:rsidR="00566024" w:rsidRDefault="00566024" w:rsidP="00081D84">
            <w:pPr>
              <w:ind w:left="113" w:right="113"/>
            </w:pPr>
          </w:p>
        </w:tc>
      </w:tr>
    </w:tbl>
    <w:p w:rsidR="00A44925" w:rsidRDefault="00A44925" w:rsidP="00A44925">
      <w:pPr>
        <w:spacing w:before="120"/>
        <w:jc w:val="center"/>
      </w:pPr>
    </w:p>
    <w:p w:rsidR="00216BA0" w:rsidRDefault="00216BA0" w:rsidP="00A44925">
      <w:pPr>
        <w:spacing w:before="120"/>
        <w:jc w:val="center"/>
      </w:pPr>
    </w:p>
    <w:p w:rsidR="00216BA0" w:rsidRDefault="00216BA0" w:rsidP="00A44925">
      <w:pPr>
        <w:spacing w:before="120"/>
        <w:jc w:val="center"/>
      </w:pPr>
    </w:p>
    <w:p w:rsidR="00566024" w:rsidRPr="00955004" w:rsidRDefault="0066145C" w:rsidP="00216BA0">
      <w:pPr>
        <w:spacing w:before="120" w:after="60"/>
        <w:jc w:val="center"/>
      </w:pPr>
      <w:r>
        <w:br w:type="page"/>
      </w:r>
      <w:r w:rsidR="00706A3B">
        <w:rPr>
          <w:noProof/>
        </w:rPr>
        <w:lastRenderedPageBreak/>
        <w:drawing>
          <wp:inline distT="0" distB="0" distL="0" distR="0" wp14:anchorId="53F72ADE" wp14:editId="4C346894">
            <wp:extent cx="5327790" cy="7724775"/>
            <wp:effectExtent l="19050" t="19050" r="25400" b="9525"/>
            <wp:docPr id="43" name="Picture 43" descr="Structural_Story_FrameC_AEM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tructural_Story_FrameC_AEMStructures"/>
                    <pic:cNvPicPr>
                      <a:picLocks noChangeAspect="1" noChangeArrowheads="1"/>
                    </pic:cNvPicPr>
                  </pic:nvPicPr>
                  <pic:blipFill>
                    <a:blip r:embed="rId80" cstate="print">
                      <a:extLst>
                        <a:ext uri="{28A0092B-C50C-407E-A947-70E740481C1C}">
                          <a14:useLocalDpi xmlns:a14="http://schemas.microsoft.com/office/drawing/2010/main" val="0"/>
                        </a:ext>
                      </a:extLst>
                    </a:blip>
                    <a:srcRect l="6012" t="4359" r="7922" b="7278"/>
                    <a:stretch>
                      <a:fillRect/>
                    </a:stretch>
                  </pic:blipFill>
                  <pic:spPr bwMode="auto">
                    <a:xfrm>
                      <a:off x="0" y="0"/>
                      <a:ext cx="5333611" cy="7733215"/>
                    </a:xfrm>
                    <a:prstGeom prst="rect">
                      <a:avLst/>
                    </a:prstGeom>
                    <a:noFill/>
                    <a:ln w="6350" cmpd="sng">
                      <a:solidFill>
                        <a:srgbClr val="000000"/>
                      </a:solidFill>
                      <a:miter lim="800000"/>
                      <a:headEnd/>
                      <a:tailEnd/>
                    </a:ln>
                    <a:effectLst/>
                  </pic:spPr>
                </pic:pic>
              </a:graphicData>
            </a:graphic>
          </wp:inline>
        </w:drawing>
      </w:r>
      <w:r w:rsidR="00566024">
        <w:t xml:space="preserve">  </w:t>
      </w:r>
      <w:r w:rsidR="002329AD">
        <w:rPr>
          <w:noProof/>
        </w:rPr>
        <w:drawing>
          <wp:inline distT="0" distB="0" distL="0" distR="0">
            <wp:extent cx="5763870" cy="7724775"/>
            <wp:effectExtent l="0" t="0" r="8890"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6770" cy="7728661"/>
                    </a:xfrm>
                    <a:prstGeom prst="rect">
                      <a:avLst/>
                    </a:prstGeom>
                    <a:noFill/>
                    <a:ln>
                      <a:noFill/>
                    </a:ln>
                  </pic:spPr>
                </pic:pic>
              </a:graphicData>
            </a:graphic>
          </wp:inline>
        </w:drawing>
      </w:r>
    </w:p>
    <w:p w:rsidR="00566024" w:rsidRPr="00FB1F0E" w:rsidRDefault="00566024" w:rsidP="00566024">
      <w:pPr>
        <w:pStyle w:val="Caption"/>
        <w:spacing w:before="240"/>
        <w:rPr>
          <w:i w:val="0"/>
          <w:szCs w:val="20"/>
        </w:rPr>
      </w:pPr>
      <w:bookmarkStart w:id="319" w:name="_Ref355789056"/>
      <w:bookmarkStart w:id="320" w:name="_Ref355792280"/>
      <w:r w:rsidRPr="004C273C">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5</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7</w:t>
      </w:r>
      <w:r w:rsidR="00A23C59">
        <w:rPr>
          <w:b/>
          <w:iCs/>
        </w:rPr>
        <w:fldChar w:fldCharType="end"/>
      </w:r>
      <w:bookmarkEnd w:id="319"/>
      <w:bookmarkEnd w:id="320"/>
      <w:r w:rsidRPr="004C273C">
        <w:rPr>
          <w:b/>
          <w:iCs/>
        </w:rPr>
        <w:t>.</w:t>
      </w:r>
      <w:r>
        <w:t xml:space="preserve"> Both images show the depths to the top of the Blanchetown Clay aquitard in an area south of Jimargil. The </w:t>
      </w:r>
      <w:smartTag w:uri="urn:schemas-microsoft-com:office:smarttags" w:element="place">
        <w:r>
          <w:t>Darling River</w:t>
        </w:r>
      </w:smartTag>
      <w:r>
        <w:t xml:space="preserve"> runs </w:t>
      </w:r>
      <w:r w:rsidR="00971C9D">
        <w:t>approximately</w:t>
      </w:r>
      <w:r>
        <w:t xml:space="preserve"> N-S in the centre of each image. The purple colours are depositional lows filled with Coonambidgal Formation sands. In the left hand image (</w:t>
      </w:r>
      <w:r w:rsidR="00782440">
        <w:t>a</w:t>
      </w:r>
      <w:r>
        <w:t xml:space="preserve">), the purple areas are delineated by faults that are mapped across several flight lines (black lines), with inferred faults (parallel to flight lines), in red. In the right hand image (b), the faults from the regional magnetics </w:t>
      </w:r>
      <w:r w:rsidR="002329AD">
        <w:t>data</w:t>
      </w:r>
      <w:r>
        <w:t xml:space="preserve"> have been projected on the same image. </w:t>
      </w:r>
      <w:r w:rsidR="004E671F">
        <w:t>The pattern of deformation is produced by regional WNW-ESE shortening (yellow arrows), and reactivation of underlying, pre-existing basement heterogeneities and faults. The black dotted lines denote the shear zone boundaries, with a sinistral sense of displacement similar to that found in the MFS. The yellow line denotes the strain ellipse. Most of the displacement within the MFS is taken up on N-S striking antithetic strike-slip faults (black broken line). Within the shear zones, extension in a NE-SW orientation (blue line and arrows), is typically nenoted by normal faults (red) that define grabens and half-grabens. ENE-WSW antithetic faults zones are also observed to form in this stress system, and provide important linkages between these extensional structures. Minor reverse faults (black line with pale blue-green triangles) and associated horst blocks are formed by NW-SE shortening within the shear zones.</w:t>
      </w:r>
      <w:r>
        <w:t xml:space="preserve">The crustal stresses indicated are consistent with the Neogene-present day crustal stresses for this region of </w:t>
      </w:r>
      <w:smartTag w:uri="urn:schemas-microsoft-com:office:smarttags" w:element="place">
        <w:smartTag w:uri="urn:schemas-microsoft-com:office:smarttags" w:element="country-region">
          <w:r>
            <w:t>Australia</w:t>
          </w:r>
        </w:smartTag>
      </w:smartTag>
      <w:r>
        <w:t xml:space="preserve">. Inter-aquifer leakage occurs where the fault offsets juxtapose the Coonambidgal and Calivil Formation aquifers. </w:t>
      </w:r>
      <w:r w:rsidRPr="00216027">
        <w:rPr>
          <w:bCs w:val="0"/>
          <w:i w:val="0"/>
        </w:rPr>
        <w:fldChar w:fldCharType="begin"/>
      </w:r>
      <w:r w:rsidRPr="00216027">
        <w:rPr>
          <w:bCs w:val="0"/>
          <w:i w:val="0"/>
        </w:rPr>
        <w:instrText xml:space="preserve"> TC "</w:instrText>
      </w:r>
      <w:bookmarkStart w:id="321" w:name="_Toc390690226"/>
      <w:r>
        <w:rPr>
          <w:bCs w:val="0"/>
          <w:i w:val="0"/>
        </w:rPr>
        <w:instrText>Figure 5-</w:instrText>
      </w:r>
      <w:r w:rsidR="00782440">
        <w:rPr>
          <w:bCs w:val="0"/>
          <w:i w:val="0"/>
        </w:rPr>
        <w:instrText>7</w:instrText>
      </w:r>
      <w:r>
        <w:rPr>
          <w:bCs w:val="0"/>
          <w:i w:val="0"/>
        </w:rPr>
        <w:instrText>.</w:instrText>
      </w:r>
      <w:r w:rsidRPr="00216027">
        <w:rPr>
          <w:bCs w:val="0"/>
          <w:i w:val="0"/>
        </w:rPr>
        <w:instrText xml:space="preserve"> </w:instrText>
      </w:r>
      <w:r>
        <w:rPr>
          <w:bCs w:val="0"/>
          <w:i w:val="0"/>
        </w:rPr>
        <w:instrText>Depth to top of upper confining aquitard including structural features and stress fields south of the Jimargil borefield</w:instrText>
      </w:r>
      <w:bookmarkEnd w:id="321"/>
      <w:r w:rsidRPr="00216027">
        <w:rPr>
          <w:bCs w:val="0"/>
          <w:i w:val="0"/>
        </w:rPr>
        <w:instrText xml:space="preserve">" \f A \l “4” </w:instrText>
      </w:r>
      <w:r w:rsidRPr="00216027">
        <w:rPr>
          <w:bCs w:val="0"/>
          <w:i w:val="0"/>
        </w:rPr>
        <w:fldChar w:fldCharType="end"/>
      </w:r>
    </w:p>
    <w:p w:rsidR="00566024" w:rsidRDefault="00566024" w:rsidP="00566024">
      <w:pPr>
        <w:pStyle w:val="Caption"/>
        <w:spacing w:after="0"/>
      </w:pPr>
    </w:p>
    <w:p w:rsidR="00566024" w:rsidRDefault="00566024" w:rsidP="00566024">
      <w:pPr>
        <w:spacing w:before="120"/>
        <w:jc w:val="center"/>
      </w:pPr>
    </w:p>
    <w:p w:rsidR="00566024" w:rsidRPr="00955004" w:rsidRDefault="0066145C" w:rsidP="00216BA0">
      <w:pPr>
        <w:spacing w:before="120" w:after="60"/>
        <w:jc w:val="center"/>
      </w:pPr>
      <w:r>
        <w:br w:type="page"/>
      </w:r>
      <w:r w:rsidR="00B25837">
        <w:rPr>
          <w:noProof/>
        </w:rPr>
        <w:lastRenderedPageBreak/>
        <w:drawing>
          <wp:inline distT="0" distB="0" distL="0" distR="0">
            <wp:extent cx="11268075" cy="7315200"/>
            <wp:effectExtent l="0" t="0" r="9525" b="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268075" cy="7315200"/>
                    </a:xfrm>
                    <a:prstGeom prst="rect">
                      <a:avLst/>
                    </a:prstGeom>
                    <a:noFill/>
                    <a:ln>
                      <a:noFill/>
                    </a:ln>
                  </pic:spPr>
                </pic:pic>
              </a:graphicData>
            </a:graphic>
          </wp:inline>
        </w:drawing>
      </w:r>
    </w:p>
    <w:p w:rsidR="00F035E2" w:rsidRDefault="00566024" w:rsidP="00782440">
      <w:pPr>
        <w:pStyle w:val="Caption"/>
        <w:spacing w:before="240"/>
      </w:pPr>
      <w:bookmarkStart w:id="322" w:name="_Ref355789097"/>
      <w:bookmarkStart w:id="323" w:name="_Ref355794192"/>
      <w:r w:rsidRPr="004C273C">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5</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8</w:t>
      </w:r>
      <w:r w:rsidR="00A23C59">
        <w:rPr>
          <w:b/>
          <w:iCs/>
        </w:rPr>
        <w:fldChar w:fldCharType="end"/>
      </w:r>
      <w:bookmarkEnd w:id="322"/>
      <w:bookmarkEnd w:id="323"/>
      <w:r w:rsidRPr="004C273C">
        <w:rPr>
          <w:b/>
          <w:iCs/>
        </w:rPr>
        <w:t>.</w:t>
      </w:r>
      <w:r w:rsidRPr="000F7173">
        <w:t xml:space="preserve"> </w:t>
      </w:r>
      <w:r w:rsidR="00D67CA4">
        <w:t>T</w:t>
      </w:r>
      <w:r>
        <w:t>op</w:t>
      </w:r>
      <w:r w:rsidR="00D67CA4">
        <w:t xml:space="preserve"> </w:t>
      </w:r>
      <w:r>
        <w:t>and bottom image</w:t>
      </w:r>
      <w:r w:rsidR="00D67CA4">
        <w:t>s</w:t>
      </w:r>
      <w:r>
        <w:t xml:space="preserve"> show the depths to the top of the Blanchetown Clay aquitard in an area where the Talyawalka and Menindee Fa</w:t>
      </w:r>
      <w:r w:rsidR="00971C9D">
        <w:t>ult Systems link. The Talyawalka</w:t>
      </w:r>
      <w:r>
        <w:t xml:space="preserve"> Fault zone is oriented approximately E-W in the centre right of each image</w:t>
      </w:r>
      <w:r w:rsidR="004E671F">
        <w:t>, and has a fault trace of over 160km to the east</w:t>
      </w:r>
      <w:r>
        <w:t xml:space="preserve">. The purple colours are depositional lows filled with Coonambidgal Formation sands. In both images, the purple areas are delineated by faults that are mapped across several AEM flight lines (black lines), with inferred faults (parallel to flight lines), in red. Faults and lineaments identified in magnetics data are also plotted. In </w:t>
      </w:r>
      <w:r w:rsidR="00782440">
        <w:t xml:space="preserve">image </w:t>
      </w:r>
      <w:r>
        <w:t xml:space="preserve">b, the strain ellipse (yellow) and arrows represent the interpreted stress field under which the faults formed. N-S </w:t>
      </w:r>
      <w:r w:rsidR="004E671F">
        <w:t xml:space="preserve">and NNE-SSW trending </w:t>
      </w:r>
      <w:r>
        <w:t xml:space="preserve">sinistral strike-slip faults form at an oblique angle in response to </w:t>
      </w:r>
      <w:r w:rsidR="004E671F">
        <w:t>regional WNW-WSE shortening (yellow arrows)</w:t>
      </w:r>
      <w:r>
        <w:t xml:space="preserve">. </w:t>
      </w:r>
      <w:r w:rsidR="004E671F">
        <w:t xml:space="preserve">Within the shear zones, extension in a NE-SW orientation (blue line and arrows), is typically denoted by normal faults (red) that define grabens and half-grabens. ENE-WSW antithetic faults zones are also observed to form in this stress system, and provide important linkages between these extensional structures. Minor reverse faults (black line with pale blue-green triangles) and associated horst blocks are formed by NW-SE shortening within the shear zones. </w:t>
      </w:r>
      <w:r>
        <w:t xml:space="preserve">The </w:t>
      </w:r>
      <w:r w:rsidR="004E671F">
        <w:t xml:space="preserve">structures mapped are consistent </w:t>
      </w:r>
      <w:r>
        <w:t>with models of simple shear couples w</w:t>
      </w:r>
      <w:r w:rsidR="004E671F">
        <w:t>ithin strike-slip fault systems</w:t>
      </w:r>
      <w:r>
        <w:t xml:space="preserve"> and consistent with broader regional Neogene-and present day crustal stresses for this region of Australia. The orientation of the Talyawalka Fault System is consistent with </w:t>
      </w:r>
      <w:r w:rsidR="004E671F">
        <w:t xml:space="preserve">dominant </w:t>
      </w:r>
      <w:r>
        <w:t xml:space="preserve">antithetic strike-slip </w:t>
      </w:r>
      <w:r w:rsidR="00971C9D">
        <w:t>m</w:t>
      </w:r>
      <w:r>
        <w:t>ov</w:t>
      </w:r>
      <w:r w:rsidR="004E671F">
        <w:t>ement in this shear zone system,</w:t>
      </w:r>
      <w:r w:rsidR="001D4FAC">
        <w:t xml:space="preserve"> with significant influence from pre-existing, underlying basement structures.</w:t>
      </w:r>
      <w:r w:rsidR="004E671F">
        <w:t xml:space="preserve"> </w:t>
      </w:r>
      <w:r w:rsidR="00F035E2">
        <w:br w:type="page"/>
      </w:r>
    </w:p>
    <w:p w:rsidR="00566024" w:rsidRDefault="00782440" w:rsidP="00782440">
      <w:pPr>
        <w:pStyle w:val="Caption"/>
        <w:spacing w:before="240"/>
      </w:pPr>
      <w:r w:rsidRPr="00216027">
        <w:lastRenderedPageBreak/>
        <w:fldChar w:fldCharType="begin"/>
      </w:r>
      <w:r w:rsidRPr="00216027">
        <w:instrText xml:space="preserve"> TC "</w:instrText>
      </w:r>
      <w:bookmarkStart w:id="324" w:name="_Toc390690227"/>
      <w:r>
        <w:instrText>Figure 5-8.</w:instrText>
      </w:r>
      <w:r w:rsidRPr="00216027">
        <w:instrText xml:space="preserve"> </w:instrText>
      </w:r>
      <w:r w:rsidR="002B7178">
        <w:instrText>Elevation of t</w:instrText>
      </w:r>
      <w:r>
        <w:instrText>op of Blanchetown Clay aquitard in m AHD for the area northeast of Jimargil, including detailed structural interpretation</w:instrText>
      </w:r>
      <w:bookmarkEnd w:id="324"/>
      <w:r w:rsidRPr="00216027">
        <w:instrText xml:space="preserve">" \f A \l “4” </w:instrText>
      </w:r>
      <w:r w:rsidRPr="00216027">
        <w:fldChar w:fldCharType="end"/>
      </w:r>
    </w:p>
    <w:p w:rsidR="00216BA0" w:rsidRDefault="00216BA0" w:rsidP="00D67CA4">
      <w:pPr>
        <w:pStyle w:val="BodyText1"/>
        <w:spacing w:before="120" w:after="0" w:line="240" w:lineRule="auto"/>
        <w:jc w:val="center"/>
      </w:pPr>
    </w:p>
    <w:p w:rsidR="00216BA0" w:rsidRDefault="00216BA0" w:rsidP="00D67CA4">
      <w:pPr>
        <w:pStyle w:val="BodyText1"/>
        <w:spacing w:before="120" w:after="0" w:line="240" w:lineRule="auto"/>
        <w:jc w:val="center"/>
      </w:pPr>
    </w:p>
    <w:p w:rsidR="00D67CA4" w:rsidRPr="005C6749" w:rsidRDefault="0066145C" w:rsidP="00216BA0">
      <w:pPr>
        <w:pStyle w:val="BodyText1"/>
        <w:spacing w:before="120" w:after="60" w:line="240" w:lineRule="auto"/>
        <w:jc w:val="center"/>
      </w:pPr>
      <w:r>
        <w:br w:type="page"/>
      </w:r>
      <w:r w:rsidR="00B25837">
        <w:rPr>
          <w:noProof/>
        </w:rPr>
        <w:lastRenderedPageBreak/>
        <w:drawing>
          <wp:inline distT="0" distB="0" distL="0" distR="0">
            <wp:extent cx="5895975" cy="7903307"/>
            <wp:effectExtent l="0" t="0" r="0" b="254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95975" cy="7903307"/>
                    </a:xfrm>
                    <a:prstGeom prst="rect">
                      <a:avLst/>
                    </a:prstGeom>
                    <a:noFill/>
                    <a:ln>
                      <a:noFill/>
                    </a:ln>
                  </pic:spPr>
                </pic:pic>
              </a:graphicData>
            </a:graphic>
          </wp:inline>
        </w:drawing>
      </w:r>
      <w:r w:rsidR="00D67CA4">
        <w:t xml:space="preserve">  </w:t>
      </w:r>
      <w:r w:rsidR="00B25837">
        <w:rPr>
          <w:noProof/>
        </w:rPr>
        <w:drawing>
          <wp:inline distT="0" distB="0" distL="0" distR="0">
            <wp:extent cx="6496050" cy="7867341"/>
            <wp:effectExtent l="0" t="0" r="0" b="63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96050" cy="7867341"/>
                    </a:xfrm>
                    <a:prstGeom prst="rect">
                      <a:avLst/>
                    </a:prstGeom>
                    <a:noFill/>
                    <a:ln>
                      <a:noFill/>
                    </a:ln>
                  </pic:spPr>
                </pic:pic>
              </a:graphicData>
            </a:graphic>
          </wp:inline>
        </w:drawing>
      </w:r>
    </w:p>
    <w:p w:rsidR="0066145C" w:rsidRDefault="00D67CA4" w:rsidP="00D67CA4">
      <w:pPr>
        <w:pStyle w:val="Caption"/>
        <w:rPr>
          <w:bCs w:val="0"/>
          <w:i w:val="0"/>
        </w:rPr>
      </w:pPr>
      <w:bookmarkStart w:id="325" w:name="_Ref355872641"/>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5</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9</w:t>
      </w:r>
      <w:r w:rsidR="00A23C59">
        <w:rPr>
          <w:b/>
        </w:rPr>
        <w:fldChar w:fldCharType="end"/>
      </w:r>
      <w:bookmarkEnd w:id="325"/>
      <w:r>
        <w:rPr>
          <w:b/>
        </w:rPr>
        <w:t>.</w:t>
      </w:r>
      <w:r>
        <w:rPr>
          <w:b/>
          <w:szCs w:val="22"/>
        </w:rPr>
        <w:t xml:space="preserve"> </w:t>
      </w:r>
      <w:r>
        <w:rPr>
          <w:szCs w:val="20"/>
        </w:rPr>
        <w:t>The left hand figure (a) shows a m</w:t>
      </w:r>
      <w:r w:rsidRPr="004E6BD6">
        <w:rPr>
          <w:szCs w:val="20"/>
        </w:rPr>
        <w:t xml:space="preserve">ap of first </w:t>
      </w:r>
      <w:r w:rsidRPr="00691549">
        <w:rPr>
          <w:szCs w:val="20"/>
        </w:rPr>
        <w:t>vertical derivative</w:t>
      </w:r>
      <w:r w:rsidRPr="004E6BD6">
        <w:rPr>
          <w:szCs w:val="20"/>
        </w:rPr>
        <w:t xml:space="preserve"> o</w:t>
      </w:r>
      <w:r>
        <w:rPr>
          <w:szCs w:val="20"/>
        </w:rPr>
        <w:t>f</w:t>
      </w:r>
      <w:r w:rsidRPr="004E6BD6">
        <w:rPr>
          <w:szCs w:val="20"/>
        </w:rPr>
        <w:t xml:space="preserve"> </w:t>
      </w:r>
      <w:r w:rsidRPr="00345ABC">
        <w:rPr>
          <w:szCs w:val="20"/>
        </w:rPr>
        <w:t>total magnetic</w:t>
      </w:r>
      <w:r w:rsidRPr="004E6BD6">
        <w:rPr>
          <w:szCs w:val="20"/>
        </w:rPr>
        <w:t xml:space="preserve"> intensity (TMI) </w:t>
      </w:r>
      <w:r>
        <w:rPr>
          <w:szCs w:val="20"/>
        </w:rPr>
        <w:t>major fault zones indicated. The image on the right (b) is the regional gravity data with the same faults and lineaments mapped The local stress fields for within the DFS are shown in both figures, with the Neogene-present day maximum horizontal stress shown as yellow arrows.</w:t>
      </w:r>
      <w:r w:rsidR="001D4FAC" w:rsidRPr="001D4FAC">
        <w:t xml:space="preserve"> </w:t>
      </w:r>
      <w:r w:rsidR="001D4FAC">
        <w:t xml:space="preserve">N-S and NNE-SSW trending sinistral strike-slip faults form at an oblique angle in response to regional WNW-WSE shortening (yellow arrows). Within the shear zones, extension in a NE-SW orientation (blue line and arrows), is typically denoted by normal faults (red) that define grabens and half-grabens. ENE-WSW antithetic faults zones are also observed to form in this stress system, and provide important linkages between these extensional structures. Minor reverse faults (black line with pale blue-green triangles) and associated horst blocks are formed by NW-SE shortening within the shear zones. The structures mapped are consistent with models of simple shear couples within strike-slip fault systems and consistent with broader regional Neogene-and present day crustal stresses for this region of Australia. </w:t>
      </w:r>
      <w:r>
        <w:rPr>
          <w:szCs w:val="20"/>
        </w:rPr>
        <w:t xml:space="preserve"> </w:t>
      </w:r>
      <w:r w:rsidRPr="00216027">
        <w:rPr>
          <w:bCs w:val="0"/>
          <w:i w:val="0"/>
        </w:rPr>
        <w:fldChar w:fldCharType="begin"/>
      </w:r>
      <w:r w:rsidRPr="00216027">
        <w:rPr>
          <w:bCs w:val="0"/>
          <w:i w:val="0"/>
        </w:rPr>
        <w:instrText xml:space="preserve"> TC "</w:instrText>
      </w:r>
      <w:bookmarkStart w:id="326" w:name="_Toc390690228"/>
      <w:r w:rsidRPr="00216027">
        <w:rPr>
          <w:bCs w:val="0"/>
          <w:i w:val="0"/>
        </w:rPr>
        <w:instrText xml:space="preserve">Figure </w:instrText>
      </w:r>
      <w:r>
        <w:rPr>
          <w:bCs w:val="0"/>
          <w:i w:val="0"/>
        </w:rPr>
        <w:instrText>5-9.</w:instrText>
      </w:r>
      <w:r w:rsidRPr="00216027">
        <w:rPr>
          <w:bCs w:val="0"/>
          <w:i w:val="0"/>
        </w:rPr>
        <w:instrText xml:space="preserve"> </w:instrText>
      </w:r>
      <w:r w:rsidRPr="00216027">
        <w:rPr>
          <w:i w:val="0"/>
          <w:szCs w:val="20"/>
        </w:rPr>
        <w:instrText>Map</w:instrText>
      </w:r>
      <w:r>
        <w:rPr>
          <w:i w:val="0"/>
          <w:szCs w:val="20"/>
        </w:rPr>
        <w:instrText>s</w:instrText>
      </w:r>
      <w:r w:rsidRPr="00216027">
        <w:rPr>
          <w:i w:val="0"/>
          <w:szCs w:val="20"/>
        </w:rPr>
        <w:instrText xml:space="preserve"> of first vertical derivative</w:instrText>
      </w:r>
      <w:r>
        <w:rPr>
          <w:i w:val="0"/>
          <w:szCs w:val="20"/>
        </w:rPr>
        <w:instrText xml:space="preserve"> </w:instrText>
      </w:r>
      <w:r w:rsidRPr="00216027">
        <w:rPr>
          <w:i w:val="0"/>
          <w:szCs w:val="20"/>
        </w:rPr>
        <w:instrText xml:space="preserve">of total </w:instrText>
      </w:r>
      <w:r>
        <w:rPr>
          <w:i w:val="0"/>
          <w:szCs w:val="20"/>
        </w:rPr>
        <w:instrText>magnetic</w:instrText>
      </w:r>
      <w:r w:rsidRPr="00216027">
        <w:rPr>
          <w:i w:val="0"/>
          <w:szCs w:val="20"/>
        </w:rPr>
        <w:instrText xml:space="preserve"> intensity</w:instrText>
      </w:r>
      <w:r>
        <w:rPr>
          <w:i w:val="0"/>
          <w:szCs w:val="20"/>
        </w:rPr>
        <w:instrText xml:space="preserve"> and regional gravity, with major faults delineated</w:instrText>
      </w:r>
      <w:r>
        <w:rPr>
          <w:bCs w:val="0"/>
          <w:i w:val="0"/>
        </w:rPr>
        <w:instrText>.</w:instrText>
      </w:r>
      <w:bookmarkEnd w:id="326"/>
      <w:r w:rsidRPr="00216027">
        <w:rPr>
          <w:bCs w:val="0"/>
          <w:i w:val="0"/>
        </w:rPr>
        <w:instrText xml:space="preserve">" \f A \l “4” </w:instrText>
      </w:r>
    </w:p>
    <w:p w:rsidR="0066145C" w:rsidRDefault="00D67CA4" w:rsidP="00D67CA4">
      <w:pPr>
        <w:pStyle w:val="Caption"/>
        <w:rPr>
          <w:bCs w:val="0"/>
          <w:i w:val="0"/>
        </w:rPr>
        <w:sectPr w:rsidR="0066145C" w:rsidSect="001756F3">
          <w:pgSz w:w="23814" w:h="16840" w:orient="landscape" w:code="8"/>
          <w:pgMar w:top="1134" w:right="1134" w:bottom="1134" w:left="1134" w:header="709" w:footer="709" w:gutter="0"/>
          <w:cols w:space="708"/>
          <w:docGrid w:linePitch="360"/>
        </w:sectPr>
      </w:pPr>
      <w:r w:rsidRPr="00216027">
        <w:rPr>
          <w:bCs w:val="0"/>
          <w:i w:val="0"/>
        </w:rPr>
        <w:fldChar w:fldCharType="end"/>
      </w:r>
    </w:p>
    <w:p w:rsidR="00D67CA4" w:rsidRDefault="00D67CA4" w:rsidP="00D67CA4">
      <w:pPr>
        <w:pStyle w:val="Caption"/>
        <w:rPr>
          <w:bCs w:val="0"/>
          <w:i w:val="0"/>
        </w:rPr>
      </w:pPr>
    </w:p>
    <w:p w:rsidR="0066145C" w:rsidRPr="0066145C" w:rsidRDefault="0066145C" w:rsidP="0066145C">
      <w:pPr>
        <w:pStyle w:val="BodyText1"/>
        <w:sectPr w:rsidR="0066145C" w:rsidRPr="0066145C" w:rsidSect="001756F3">
          <w:pgSz w:w="23814" w:h="16840" w:orient="landscape" w:code="8"/>
          <w:pgMar w:top="1134" w:right="1134" w:bottom="1134" w:left="1134" w:header="709" w:footer="709" w:gutter="0"/>
          <w:cols w:space="708"/>
          <w:docGrid w:linePitch="360"/>
        </w:sectPr>
      </w:pPr>
    </w:p>
    <w:p w:rsidR="00566024" w:rsidRPr="005C2E91" w:rsidRDefault="00706A3B" w:rsidP="00216BA0">
      <w:pPr>
        <w:pStyle w:val="Caption"/>
        <w:spacing w:after="60"/>
        <w:jc w:val="center"/>
      </w:pPr>
      <w:r>
        <w:rPr>
          <w:noProof/>
        </w:rPr>
        <w:lastRenderedPageBreak/>
        <w:drawing>
          <wp:inline distT="0" distB="0" distL="0" distR="0" wp14:anchorId="75D4ED0D" wp14:editId="049711C7">
            <wp:extent cx="5932805" cy="25730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2805" cy="2573020"/>
                    </a:xfrm>
                    <a:prstGeom prst="rect">
                      <a:avLst/>
                    </a:prstGeom>
                    <a:noFill/>
                    <a:ln>
                      <a:noFill/>
                    </a:ln>
                  </pic:spPr>
                </pic:pic>
              </a:graphicData>
            </a:graphic>
          </wp:inline>
        </w:drawing>
      </w:r>
    </w:p>
    <w:p w:rsidR="00566024" w:rsidRPr="00EB747A" w:rsidRDefault="00EB747A" w:rsidP="00EB747A">
      <w:pPr>
        <w:pStyle w:val="Caption"/>
      </w:pPr>
      <w:bookmarkStart w:id="327" w:name="_Ref355789193"/>
      <w:r w:rsidRPr="00EB747A">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5</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10</w:t>
      </w:r>
      <w:r w:rsidR="00A23C59">
        <w:rPr>
          <w:b/>
          <w:iCs/>
        </w:rPr>
        <w:fldChar w:fldCharType="end"/>
      </w:r>
      <w:bookmarkEnd w:id="327"/>
      <w:r w:rsidRPr="00EB747A">
        <w:rPr>
          <w:b/>
          <w:iCs/>
        </w:rPr>
        <w:t>.</w:t>
      </w:r>
      <w:r w:rsidRPr="00EB747A">
        <w:t xml:space="preserve"> </w:t>
      </w:r>
      <w:r w:rsidR="00566024" w:rsidRPr="00EB747A">
        <w:t>LiDAR image showing the Talyawalka Scarp (TS) which is effectivel</w:t>
      </w:r>
      <w:r w:rsidR="00971C9D">
        <w:t>y coincident with a basement sh</w:t>
      </w:r>
      <w:r w:rsidR="00566024" w:rsidRPr="00EB747A">
        <w:t xml:space="preserve">ear zone (TL – one of several sub-parallel basement shear zones (broken white lines with red border). It is postulated that the relief on the scarp is related to Neogene structural reactivation of the basement structure. The Talyawalka </w:t>
      </w:r>
      <w:r w:rsidR="00261BA7">
        <w:t>Creek</w:t>
      </w:r>
      <w:r w:rsidR="00566024" w:rsidRPr="00EB747A">
        <w:t xml:space="preserve"> effectively follows this major lineament. En-echelon half graben structures are delineated by extensional faults mapped at the Blanchetown Clay layer (</w:t>
      </w:r>
      <w:r w:rsidR="00261BA7">
        <w:t>s</w:t>
      </w:r>
      <w:r w:rsidR="00566024" w:rsidRPr="00EB747A">
        <w:t xml:space="preserve">olid black and dotted pink lines). A number of other scarps present in the image may also be related to tectonism. </w:t>
      </w:r>
      <w:r w:rsidR="00782440" w:rsidRPr="00216027">
        <w:rPr>
          <w:bCs w:val="0"/>
          <w:i w:val="0"/>
        </w:rPr>
        <w:fldChar w:fldCharType="begin"/>
      </w:r>
      <w:r w:rsidR="00782440" w:rsidRPr="00216027">
        <w:rPr>
          <w:bCs w:val="0"/>
          <w:i w:val="0"/>
        </w:rPr>
        <w:instrText xml:space="preserve"> TC "</w:instrText>
      </w:r>
      <w:bookmarkStart w:id="328" w:name="_Toc390690229"/>
      <w:r w:rsidR="00782440">
        <w:rPr>
          <w:bCs w:val="0"/>
          <w:i w:val="0"/>
        </w:rPr>
        <w:instrText>Figure 5-</w:instrText>
      </w:r>
      <w:r w:rsidR="00176FFF">
        <w:rPr>
          <w:bCs w:val="0"/>
          <w:i w:val="0"/>
        </w:rPr>
        <w:instrText>10</w:instrText>
      </w:r>
      <w:r w:rsidR="00782440">
        <w:rPr>
          <w:bCs w:val="0"/>
          <w:i w:val="0"/>
        </w:rPr>
        <w:instrText>.</w:instrText>
      </w:r>
      <w:r w:rsidR="00782440" w:rsidRPr="00216027">
        <w:rPr>
          <w:bCs w:val="0"/>
          <w:i w:val="0"/>
        </w:rPr>
        <w:instrText xml:space="preserve"> </w:instrText>
      </w:r>
      <w:r w:rsidR="00782440">
        <w:rPr>
          <w:bCs w:val="0"/>
          <w:i w:val="0"/>
        </w:rPr>
        <w:instrText>Structural features shown on the LiDAR DEM including Talyawalka Scarp</w:instrText>
      </w:r>
      <w:bookmarkEnd w:id="328"/>
      <w:r w:rsidR="00782440" w:rsidRPr="00216027">
        <w:rPr>
          <w:bCs w:val="0"/>
          <w:i w:val="0"/>
        </w:rPr>
        <w:instrText xml:space="preserve">" \f A \l “4” </w:instrText>
      </w:r>
      <w:r w:rsidR="00782440" w:rsidRPr="00216027">
        <w:rPr>
          <w:bCs w:val="0"/>
          <w:i w:val="0"/>
        </w:rPr>
        <w:fldChar w:fldCharType="end"/>
      </w:r>
    </w:p>
    <w:p w:rsidR="00566024" w:rsidRPr="005C6749" w:rsidRDefault="00706A3B" w:rsidP="00216BA0">
      <w:pPr>
        <w:spacing w:before="120" w:after="60"/>
        <w:jc w:val="center"/>
      </w:pPr>
      <w:r>
        <w:rPr>
          <w:noProof/>
        </w:rPr>
        <w:drawing>
          <wp:inline distT="0" distB="0" distL="0" distR="0" wp14:anchorId="3291A1B0" wp14:editId="17F49EBA">
            <wp:extent cx="3881120" cy="4210685"/>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81120" cy="4210685"/>
                    </a:xfrm>
                    <a:prstGeom prst="rect">
                      <a:avLst/>
                    </a:prstGeom>
                    <a:noFill/>
                    <a:ln>
                      <a:noFill/>
                    </a:ln>
                  </pic:spPr>
                </pic:pic>
              </a:graphicData>
            </a:graphic>
          </wp:inline>
        </w:drawing>
      </w:r>
    </w:p>
    <w:p w:rsidR="002633A2" w:rsidRDefault="00EB747A" w:rsidP="00EB747A">
      <w:pPr>
        <w:pStyle w:val="Caption"/>
        <w:rPr>
          <w:bCs w:val="0"/>
          <w:i w:val="0"/>
        </w:rPr>
      </w:pPr>
      <w:bookmarkStart w:id="329" w:name="_Ref355789204"/>
      <w:r w:rsidRPr="00EB747A">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5</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11</w:t>
      </w:r>
      <w:r w:rsidR="00A23C59">
        <w:rPr>
          <w:b/>
          <w:iCs/>
        </w:rPr>
        <w:fldChar w:fldCharType="end"/>
      </w:r>
      <w:bookmarkEnd w:id="329"/>
      <w:r w:rsidR="00D039C6">
        <w:t xml:space="preserve"> </w:t>
      </w:r>
      <w:r w:rsidR="00566024" w:rsidRPr="00EB747A">
        <w:t xml:space="preserve">LiDAR image of the Darling River near Bootingee showing unusual drainage pattern with numerous straight-line segments and box-like pattern in the river course. A number of </w:t>
      </w:r>
      <w:r w:rsidR="00D67CA4">
        <w:t>straight line</w:t>
      </w:r>
      <w:r w:rsidR="00566024" w:rsidRPr="00EB747A">
        <w:t xml:space="preserve"> scarps (A-E) that parallel the river course are observed to be coincident with mapped faults in the underlying geology. Scarp A is coincident with both faults mapped in both the AEM (black with yellow border) and with lineaments in airborne magnetic data (dotted black line).Scarps B, D and E, are coincident with faults mapped in the AEM data, while scarp C and river course, are coincident with an underlying strike-slip fault mapped in the magnetic basement. The drainage pattern is more reminisc</w:t>
      </w:r>
      <w:r w:rsidR="00971C9D">
        <w:t>ent of an incised upland rather</w:t>
      </w:r>
      <w:r w:rsidR="00566024" w:rsidRPr="00EB747A">
        <w:t xml:space="preserve"> than an active low gradient floodplain. The drainage pattern is attributed to neotectonics. </w:t>
      </w:r>
      <w:r w:rsidR="002633A2" w:rsidRPr="00216027">
        <w:rPr>
          <w:bCs w:val="0"/>
          <w:i w:val="0"/>
        </w:rPr>
        <w:fldChar w:fldCharType="begin"/>
      </w:r>
      <w:r w:rsidR="002633A2" w:rsidRPr="00216027">
        <w:rPr>
          <w:bCs w:val="0"/>
          <w:i w:val="0"/>
        </w:rPr>
        <w:instrText xml:space="preserve"> TC "</w:instrText>
      </w:r>
      <w:bookmarkStart w:id="330" w:name="_Toc390690230"/>
      <w:r w:rsidR="002633A2">
        <w:rPr>
          <w:bCs w:val="0"/>
          <w:i w:val="0"/>
        </w:rPr>
        <w:instrText>Figure 5-11.</w:instrText>
      </w:r>
      <w:r w:rsidR="002633A2" w:rsidRPr="00216027">
        <w:rPr>
          <w:bCs w:val="0"/>
          <w:i w:val="0"/>
        </w:rPr>
        <w:instrText xml:space="preserve"> </w:instrText>
      </w:r>
      <w:r w:rsidR="002633A2">
        <w:rPr>
          <w:bCs w:val="0"/>
          <w:i w:val="0"/>
        </w:rPr>
        <w:instrText xml:space="preserve">LiDAR DEM image of the </w:instrText>
      </w:r>
      <w:smartTag w:uri="urn:schemas-microsoft-com:office:smarttags" w:element="place">
        <w:r w:rsidR="002633A2">
          <w:rPr>
            <w:bCs w:val="0"/>
            <w:i w:val="0"/>
          </w:rPr>
          <w:instrText>Darling River</w:instrText>
        </w:r>
      </w:smartTag>
      <w:r w:rsidR="002633A2">
        <w:rPr>
          <w:bCs w:val="0"/>
          <w:i w:val="0"/>
        </w:rPr>
        <w:instrText xml:space="preserve"> near Bootingee showing unusual drainage patterns, including straight line segments and box-like patterns.</w:instrText>
      </w:r>
      <w:bookmarkEnd w:id="330"/>
      <w:r w:rsidR="002633A2" w:rsidRPr="00216027">
        <w:rPr>
          <w:bCs w:val="0"/>
          <w:i w:val="0"/>
        </w:rPr>
        <w:instrText xml:space="preserve">" \f A \l “4” </w:instrText>
      </w:r>
      <w:r w:rsidR="002633A2" w:rsidRPr="00216027">
        <w:rPr>
          <w:bCs w:val="0"/>
          <w:i w:val="0"/>
        </w:rPr>
        <w:fldChar w:fldCharType="end"/>
      </w:r>
    </w:p>
    <w:p w:rsidR="002633A2" w:rsidRPr="002633A2" w:rsidRDefault="002633A2" w:rsidP="002633A2">
      <w:pPr>
        <w:pStyle w:val="BodyText1"/>
        <w:sectPr w:rsidR="002633A2" w:rsidRPr="002633A2" w:rsidSect="002633A2">
          <w:pgSz w:w="11907" w:h="16840" w:code="9"/>
          <w:pgMar w:top="1134" w:right="1134" w:bottom="1134" w:left="1134" w:header="709" w:footer="709" w:gutter="0"/>
          <w:cols w:space="708"/>
          <w:docGrid w:linePitch="360"/>
        </w:sectPr>
      </w:pPr>
    </w:p>
    <w:p w:rsidR="00566024" w:rsidRDefault="00706A3B" w:rsidP="00055E4A">
      <w:pPr>
        <w:pStyle w:val="Caption"/>
        <w:spacing w:after="60"/>
        <w:jc w:val="center"/>
        <w:rPr>
          <w:b/>
          <w:iCs/>
        </w:rPr>
      </w:pPr>
      <w:r>
        <w:rPr>
          <w:b/>
          <w:iCs/>
          <w:noProof/>
        </w:rPr>
        <w:lastRenderedPageBreak/>
        <w:drawing>
          <wp:inline distT="0" distB="0" distL="0" distR="0" wp14:anchorId="1E7A0B7B" wp14:editId="4B173337">
            <wp:extent cx="7113270" cy="53054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113270" cy="5305425"/>
                    </a:xfrm>
                    <a:prstGeom prst="rect">
                      <a:avLst/>
                    </a:prstGeom>
                    <a:noFill/>
                    <a:ln>
                      <a:noFill/>
                    </a:ln>
                  </pic:spPr>
                </pic:pic>
              </a:graphicData>
            </a:graphic>
          </wp:inline>
        </w:drawing>
      </w:r>
    </w:p>
    <w:p w:rsidR="00566024" w:rsidRDefault="00566024" w:rsidP="00566024">
      <w:pPr>
        <w:pStyle w:val="Caption"/>
        <w:spacing w:before="240"/>
        <w:sectPr w:rsidR="00566024" w:rsidSect="002633A2">
          <w:pgSz w:w="16840" w:h="11907" w:orient="landscape" w:code="9"/>
          <w:pgMar w:top="1134" w:right="1134" w:bottom="1134" w:left="1134" w:header="709" w:footer="709" w:gutter="0"/>
          <w:cols w:space="708"/>
          <w:docGrid w:linePitch="360"/>
        </w:sectPr>
      </w:pPr>
      <w:bookmarkStart w:id="331" w:name="_Ref355789220"/>
      <w:r w:rsidRPr="000F7173">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5</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12</w:t>
      </w:r>
      <w:r w:rsidR="00A23C59">
        <w:rPr>
          <w:b/>
          <w:iCs/>
        </w:rPr>
        <w:fldChar w:fldCharType="end"/>
      </w:r>
      <w:bookmarkEnd w:id="331"/>
      <w:r w:rsidRPr="000F7173">
        <w:rPr>
          <w:b/>
          <w:iCs/>
        </w:rPr>
        <w:t>.</w:t>
      </w:r>
      <w:r>
        <w:t xml:space="preserve"> The left hand image is a LiDAR image with lineaments mapped for a reach of the lower Yampoola Creek floodplain east of the </w:t>
      </w:r>
      <w:smartTag w:uri="urn:schemas-microsoft-com:office:smarttags" w:element="place">
        <w:r>
          <w:t>Darling River</w:t>
        </w:r>
      </w:smartTag>
      <w:r>
        <w:t xml:space="preserve"> and south of Menindee township.</w:t>
      </w:r>
      <w:r w:rsidR="00D039C6">
        <w:t xml:space="preserve"> </w:t>
      </w:r>
      <w:r>
        <w:t xml:space="preserve">The green traces are surface scarps, the yellow traces are along the course of the </w:t>
      </w:r>
      <w:smartTag w:uri="urn:schemas-microsoft-com:office:smarttags" w:element="place">
        <w:r>
          <w:t>Darling River</w:t>
        </w:r>
      </w:smartTag>
      <w:r>
        <w:t>. The right hand image shows the same area with the backdrop being the TMI 1</w:t>
      </w:r>
      <w:r w:rsidRPr="0012760E">
        <w:rPr>
          <w:vertAlign w:val="superscript"/>
        </w:rPr>
        <w:t>st</w:t>
      </w:r>
      <w:r>
        <w:t xml:space="preserve"> VD draped over the LiDAR im</w:t>
      </w:r>
      <w:r w:rsidR="00564741">
        <w:t>age. The lineaments from the LiD</w:t>
      </w:r>
      <w:r>
        <w:t xml:space="preserve">AR image are effectively coincident with faults mapped in the TMI (black lines) and regional gravity data (white dotted line). These data are interpreted as showing evidence for neotectonics in this area through reactivation of basement structures. </w:t>
      </w:r>
      <w:r w:rsidRPr="00216027">
        <w:rPr>
          <w:bCs w:val="0"/>
          <w:i w:val="0"/>
        </w:rPr>
        <w:fldChar w:fldCharType="begin"/>
      </w:r>
      <w:r w:rsidRPr="00216027">
        <w:rPr>
          <w:bCs w:val="0"/>
          <w:i w:val="0"/>
        </w:rPr>
        <w:instrText xml:space="preserve"> TC "</w:instrText>
      </w:r>
      <w:bookmarkStart w:id="332" w:name="_Toc390690231"/>
      <w:r>
        <w:rPr>
          <w:bCs w:val="0"/>
          <w:i w:val="0"/>
        </w:rPr>
        <w:instrText>Figure 5-</w:instrText>
      </w:r>
      <w:r w:rsidR="00782440">
        <w:rPr>
          <w:bCs w:val="0"/>
          <w:i w:val="0"/>
        </w:rPr>
        <w:instrText>1</w:instrText>
      </w:r>
      <w:r w:rsidR="002633A2">
        <w:rPr>
          <w:bCs w:val="0"/>
          <w:i w:val="0"/>
        </w:rPr>
        <w:instrText>2</w:instrText>
      </w:r>
      <w:r>
        <w:rPr>
          <w:bCs w:val="0"/>
          <w:i w:val="0"/>
        </w:rPr>
        <w:instrText>.</w:instrText>
      </w:r>
      <w:r w:rsidRPr="00216027">
        <w:rPr>
          <w:bCs w:val="0"/>
          <w:i w:val="0"/>
        </w:rPr>
        <w:instrText xml:space="preserve"> </w:instrText>
      </w:r>
      <w:r>
        <w:rPr>
          <w:bCs w:val="0"/>
          <w:i w:val="0"/>
        </w:rPr>
        <w:instrText>Lineaments evident on the LiDAR and magnetic TMI</w:instrText>
      </w:r>
      <w:bookmarkEnd w:id="332"/>
      <w:r w:rsidRPr="00216027">
        <w:rPr>
          <w:bCs w:val="0"/>
          <w:i w:val="0"/>
        </w:rPr>
        <w:instrText xml:space="preserve">" \f A \l “4” </w:instrText>
      </w:r>
      <w:r w:rsidRPr="00216027">
        <w:rPr>
          <w:bCs w:val="0"/>
          <w:i w:val="0"/>
        </w:rPr>
        <w:fldChar w:fldCharType="end"/>
      </w:r>
    </w:p>
    <w:p w:rsidR="00566024" w:rsidRPr="00703FD5" w:rsidRDefault="00566024" w:rsidP="00566024">
      <w:pPr>
        <w:autoSpaceDE w:val="0"/>
        <w:autoSpaceDN w:val="0"/>
        <w:adjustRightInd w:val="0"/>
        <w:rPr>
          <w:b/>
          <w:szCs w:val="22"/>
        </w:rPr>
      </w:pPr>
      <w:r>
        <w:rPr>
          <w:b/>
          <w:szCs w:val="22"/>
        </w:rPr>
        <w:lastRenderedPageBreak/>
        <w:t>Deformation</w:t>
      </w:r>
      <w:r w:rsidRPr="00703FD5">
        <w:rPr>
          <w:b/>
          <w:szCs w:val="22"/>
        </w:rPr>
        <w:t xml:space="preserve"> Model for the BHMAR study area</w:t>
      </w:r>
    </w:p>
    <w:p w:rsidR="00D67CA4" w:rsidRDefault="00566024" w:rsidP="00566024">
      <w:pPr>
        <w:autoSpaceDE w:val="0"/>
        <w:autoSpaceDN w:val="0"/>
        <w:adjustRightInd w:val="0"/>
        <w:rPr>
          <w:szCs w:val="22"/>
        </w:rPr>
      </w:pPr>
      <w:r w:rsidRPr="000C2D2D">
        <w:rPr>
          <w:szCs w:val="22"/>
        </w:rPr>
        <w:t>A holistic structural model for the study area has been developed (Lawrie</w:t>
      </w:r>
      <w:r w:rsidR="008A5F7D" w:rsidRPr="00CF7613">
        <w:rPr>
          <w:rStyle w:val="StyleItalic"/>
        </w:rPr>
        <w:t xml:space="preserve"> et al</w:t>
      </w:r>
      <w:r w:rsidRPr="000C2D2D">
        <w:rPr>
          <w:szCs w:val="22"/>
        </w:rPr>
        <w:t>., 2012b). Overall, the geometry of the mapped faults in the Menindee and Talyawalka Fault Systems is consistent with releasing steps or jogs in other intra-plate strike-slip fault zones. The rhomboidal box-like basins are interpreted as zones of slip transfer between over-stepping, subparallel strike-slip faults.</w:t>
      </w:r>
      <w:r w:rsidR="00D039C6">
        <w:rPr>
          <w:szCs w:val="22"/>
        </w:rPr>
        <w:t xml:space="preserve"> </w:t>
      </w:r>
      <w:r w:rsidRPr="000C2D2D">
        <w:rPr>
          <w:szCs w:val="22"/>
        </w:rPr>
        <w:t xml:space="preserve">Releasing steps or jogs in basement strike-slip fault zones characteristically produces rhombic-shaped pull-apart basins in the overlying sedimentary section (e.g., Crowell, 1974; Aydin &amp; Nur, 1985; Christie-Blick &amp; Biddle, 1985; Sylvester, 1988; Cunningham &amp; Mann, 2007). The mapped fault arrays are also consistent with laboratory analogue (clay) models (McClay &amp; Dooley, 1995). </w:t>
      </w:r>
    </w:p>
    <w:p w:rsidR="00D67CA4" w:rsidRDefault="00D67CA4" w:rsidP="00566024">
      <w:pPr>
        <w:autoSpaceDE w:val="0"/>
        <w:autoSpaceDN w:val="0"/>
        <w:adjustRightInd w:val="0"/>
        <w:rPr>
          <w:szCs w:val="22"/>
        </w:rPr>
      </w:pPr>
    </w:p>
    <w:p w:rsidR="00D67CA4" w:rsidRDefault="00D67CA4" w:rsidP="00D67CA4">
      <w:pPr>
        <w:autoSpaceDE w:val="0"/>
        <w:autoSpaceDN w:val="0"/>
        <w:adjustRightInd w:val="0"/>
        <w:rPr>
          <w:szCs w:val="22"/>
        </w:rPr>
      </w:pPr>
      <w:r w:rsidRPr="008A5F7D">
        <w:rPr>
          <w:szCs w:val="20"/>
        </w:rPr>
        <w:fldChar w:fldCharType="begin"/>
      </w:r>
      <w:r w:rsidRPr="008A5F7D">
        <w:rPr>
          <w:szCs w:val="20"/>
        </w:rPr>
        <w:instrText xml:space="preserve"> REF _Ref355790760 \h </w:instrText>
      </w:r>
      <w:r>
        <w:rPr>
          <w:szCs w:val="20"/>
        </w:rPr>
        <w:instrText xml:space="preserve"> \* MERGEFORMAT </w:instrText>
      </w:r>
      <w:r w:rsidRPr="008A5F7D">
        <w:rPr>
          <w:szCs w:val="20"/>
        </w:rPr>
      </w:r>
      <w:r w:rsidRPr="008A5F7D">
        <w:rPr>
          <w:szCs w:val="20"/>
        </w:rPr>
        <w:fldChar w:fldCharType="separate"/>
      </w:r>
      <w:r w:rsidR="00966532" w:rsidRPr="00966532">
        <w:rPr>
          <w:szCs w:val="20"/>
        </w:rPr>
        <w:t>Figure 5</w:t>
      </w:r>
      <w:r w:rsidR="00966532" w:rsidRPr="00966532">
        <w:rPr>
          <w:szCs w:val="20"/>
        </w:rPr>
        <w:noBreakHyphen/>
        <w:t>13</w:t>
      </w:r>
      <w:r w:rsidRPr="008A5F7D">
        <w:rPr>
          <w:szCs w:val="20"/>
        </w:rPr>
        <w:fldChar w:fldCharType="end"/>
      </w:r>
      <w:r>
        <w:rPr>
          <w:szCs w:val="20"/>
        </w:rPr>
        <w:t xml:space="preserve"> shows a diagrammatic representation of the structural strain pattern produced by a sinistral shear couple across the Menindee Fault System (MFS). Most of the displacement within the MFS is taken up on antithetic strike-slip faults oriented ~N-S. </w:t>
      </w:r>
      <w:r w:rsidR="001D4FAC">
        <w:t>The pattern of deformation is produced by regional WNW-ESE shortening (yellow arrows), and reactivation of underlying, pre-existing basement heterogeneities and faults. The black dotted lines denote the shear zone boundaries, with a sinistral sense of displacement similar to that found in the MFS. The yellow line denotes the strain ellipse. Most of the displacement within the MFS is taken up on N-S striking antithetic strike-slip faults (black broken line). Within the shear zones, extension in a NE-SW orientation (blue line and arrows), is typically nenoted by normal faults (red) that define grabens and half-grabens. ENE-WSW antithetic faults zones are also observed to form in this stress system, and provide important linkages between these extensional structures. Minor reverse faults (black line with pale blue-green triangles) and associated horst blocks are formed by NW-SE shortening within the shear zones.</w:t>
      </w:r>
    </w:p>
    <w:p w:rsidR="00D67CA4" w:rsidRDefault="00D67CA4" w:rsidP="00566024">
      <w:pPr>
        <w:autoSpaceDE w:val="0"/>
        <w:autoSpaceDN w:val="0"/>
        <w:adjustRightInd w:val="0"/>
        <w:rPr>
          <w:szCs w:val="22"/>
        </w:rPr>
      </w:pPr>
    </w:p>
    <w:p w:rsidR="00566024" w:rsidRPr="003F1C72" w:rsidRDefault="00566024" w:rsidP="00566024">
      <w:pPr>
        <w:autoSpaceDE w:val="0"/>
        <w:autoSpaceDN w:val="0"/>
        <w:adjustRightInd w:val="0"/>
        <w:rPr>
          <w:szCs w:val="22"/>
          <w:highlight w:val="yellow"/>
        </w:rPr>
      </w:pPr>
      <w:r w:rsidRPr="000C2D2D">
        <w:rPr>
          <w:szCs w:val="22"/>
        </w:rPr>
        <w:t xml:space="preserve">The principal bounding faults to the MFS are coincident with basement faults that define the depocentre of the underlying Menindee </w:t>
      </w:r>
      <w:r w:rsidRPr="006425F2">
        <w:rPr>
          <w:szCs w:val="20"/>
        </w:rPr>
        <w:t>Trough (</w:t>
      </w:r>
      <w:r w:rsidR="006425F2" w:rsidRPr="006425F2">
        <w:rPr>
          <w:szCs w:val="20"/>
        </w:rPr>
        <w:fldChar w:fldCharType="begin"/>
      </w:r>
      <w:r w:rsidR="006425F2" w:rsidRPr="006425F2">
        <w:rPr>
          <w:szCs w:val="20"/>
        </w:rPr>
        <w:instrText xml:space="preserve"> REF _Ref355872641 \h </w:instrText>
      </w:r>
      <w:r w:rsidR="006425F2">
        <w:rPr>
          <w:szCs w:val="20"/>
        </w:rPr>
        <w:instrText xml:space="preserve"> \* MERGEFORMAT </w:instrText>
      </w:r>
      <w:r w:rsidR="006425F2" w:rsidRPr="006425F2">
        <w:rPr>
          <w:szCs w:val="20"/>
        </w:rPr>
      </w:r>
      <w:r w:rsidR="006425F2" w:rsidRPr="006425F2">
        <w:rPr>
          <w:szCs w:val="20"/>
        </w:rPr>
        <w:fldChar w:fldCharType="separate"/>
      </w:r>
      <w:r w:rsidR="00966532" w:rsidRPr="00966532">
        <w:rPr>
          <w:szCs w:val="20"/>
        </w:rPr>
        <w:t>Figure 5</w:t>
      </w:r>
      <w:r w:rsidR="00966532" w:rsidRPr="00966532">
        <w:rPr>
          <w:szCs w:val="20"/>
        </w:rPr>
        <w:noBreakHyphen/>
        <w:t>9</w:t>
      </w:r>
      <w:r w:rsidR="006425F2" w:rsidRPr="006425F2">
        <w:rPr>
          <w:szCs w:val="20"/>
        </w:rPr>
        <w:fldChar w:fldCharType="end"/>
      </w:r>
      <w:r w:rsidRPr="006425F2">
        <w:rPr>
          <w:szCs w:val="20"/>
        </w:rPr>
        <w:t>).</w:t>
      </w:r>
      <w:r w:rsidRPr="000C2D2D">
        <w:rPr>
          <w:szCs w:val="22"/>
        </w:rPr>
        <w:t xml:space="preserve"> These faults were initially ~N-S trending extensional faults formed in a transtensional regional stress regime in the Palaeozoic (Glen</w:t>
      </w:r>
      <w:r w:rsidR="008A5F7D" w:rsidRPr="00CF7613">
        <w:rPr>
          <w:rStyle w:val="StyleItalic"/>
        </w:rPr>
        <w:t xml:space="preserve"> et al</w:t>
      </w:r>
      <w:r w:rsidRPr="000C2D2D">
        <w:rPr>
          <w:szCs w:val="22"/>
        </w:rPr>
        <w:t>., 1996; Neef, 2012), although there is evidence for inversion regionally in the mid-Devonian and Carboniferous (Blevin</w:t>
      </w:r>
      <w:r w:rsidR="008A5F7D" w:rsidRPr="00CF7613">
        <w:rPr>
          <w:rStyle w:val="StyleItalic"/>
        </w:rPr>
        <w:t xml:space="preserve"> et al</w:t>
      </w:r>
      <w:r w:rsidRPr="000C2D2D">
        <w:rPr>
          <w:szCs w:val="22"/>
        </w:rPr>
        <w:t>., 2007; Neef, 2012). Evidence from the AEM mapping LiDAR data suggests that some of these basement faults have been re-activated post- Pleistocene, with some active in the Neogene to present day. Evidence</w:t>
      </w:r>
      <w:r>
        <w:rPr>
          <w:szCs w:val="22"/>
        </w:rPr>
        <w:t xml:space="preserve"> from all geophysical datasets is for sinistral displacement across the major strike-slip zones at a regional scale (</w:t>
      </w:r>
      <w:r w:rsidR="006425F2">
        <w:rPr>
          <w:szCs w:val="22"/>
        </w:rPr>
        <w:fldChar w:fldCharType="begin"/>
      </w:r>
      <w:r w:rsidR="006425F2">
        <w:rPr>
          <w:szCs w:val="22"/>
        </w:rPr>
        <w:instrText xml:space="preserve"> REF _Ref355872641 \h  \* MERGEFORMAT </w:instrText>
      </w:r>
      <w:r w:rsidR="006425F2">
        <w:rPr>
          <w:szCs w:val="22"/>
        </w:rPr>
      </w:r>
      <w:r w:rsidR="006425F2">
        <w:rPr>
          <w:szCs w:val="22"/>
        </w:rPr>
        <w:fldChar w:fldCharType="separate"/>
      </w:r>
      <w:r w:rsidR="00966532" w:rsidRPr="00966532">
        <w:rPr>
          <w:szCs w:val="22"/>
        </w:rPr>
        <w:t>Figure 5</w:t>
      </w:r>
      <w:r w:rsidR="00966532" w:rsidRPr="00966532">
        <w:rPr>
          <w:szCs w:val="22"/>
        </w:rPr>
        <w:noBreakHyphen/>
        <w:t>9</w:t>
      </w:r>
      <w:r w:rsidR="006425F2">
        <w:rPr>
          <w:szCs w:val="22"/>
        </w:rPr>
        <w:fldChar w:fldCharType="end"/>
      </w:r>
      <w:r>
        <w:rPr>
          <w:szCs w:val="22"/>
        </w:rPr>
        <w:t xml:space="preserve">). </w:t>
      </w:r>
    </w:p>
    <w:p w:rsidR="00566024" w:rsidRDefault="00566024" w:rsidP="00566024">
      <w:pPr>
        <w:rPr>
          <w:szCs w:val="22"/>
        </w:rPr>
      </w:pPr>
    </w:p>
    <w:p w:rsidR="00566024" w:rsidRDefault="00566024" w:rsidP="00566024">
      <w:pPr>
        <w:autoSpaceDE w:val="0"/>
        <w:autoSpaceDN w:val="0"/>
        <w:adjustRightInd w:val="0"/>
        <w:rPr>
          <w:szCs w:val="22"/>
        </w:rPr>
      </w:pPr>
      <w:r>
        <w:rPr>
          <w:szCs w:val="22"/>
        </w:rPr>
        <w:t>The location and orientation of individual extensional faults depends on the overall stepping geometry of the strike-slip zone, the inter-relationships between adjacent en-echelon strike slip faults, and relationships to underlying basement heterogeneities (Sylvester, 1988; Christie-Blick &amp; Biddle, 1985; Cunningham &amp; Mann, 2007). In the BHMAR study area, the formation of rhombic grabens and half-grabens is consistent with their localisation in releasing bends, and where faults over-step (Cunningham &amp; Mann, 2007). The formation of linear zones of compression in the hanging walls of antithetic strike-slip faults (e.g. in the TFS), and as elongate pressure ridges in zones of convergent strike-slip movement, is also consistent with laboratory (Schreurs, 1994; Naylor</w:t>
      </w:r>
      <w:r w:rsidR="008A5F7D" w:rsidRPr="00CF7613">
        <w:rPr>
          <w:rStyle w:val="StyleItalic"/>
        </w:rPr>
        <w:t xml:space="preserve"> et al</w:t>
      </w:r>
      <w:r>
        <w:rPr>
          <w:szCs w:val="22"/>
        </w:rPr>
        <w:t xml:space="preserve">., 1986; McClay &amp; </w:t>
      </w:r>
      <w:r w:rsidR="00261BA7">
        <w:rPr>
          <w:szCs w:val="22"/>
        </w:rPr>
        <w:t>Dooley, 19</w:t>
      </w:r>
      <w:r w:rsidR="00E169B5">
        <w:rPr>
          <w:szCs w:val="22"/>
        </w:rPr>
        <w:t xml:space="preserve">95) </w:t>
      </w:r>
      <w:r>
        <w:rPr>
          <w:szCs w:val="22"/>
        </w:rPr>
        <w:t xml:space="preserve">and natural examples of intra-plate strike-slip deformation (Harding &amp; Lowell, 1974; Christie-Blick &amp; Biddle, 1985; Cunningham &amp; Mann, 2007). </w:t>
      </w:r>
    </w:p>
    <w:p w:rsidR="00566024" w:rsidRDefault="00566024" w:rsidP="00566024">
      <w:pPr>
        <w:autoSpaceDE w:val="0"/>
        <w:autoSpaceDN w:val="0"/>
        <w:adjustRightInd w:val="0"/>
        <w:rPr>
          <w:szCs w:val="22"/>
        </w:rPr>
      </w:pPr>
    </w:p>
    <w:p w:rsidR="00566024" w:rsidRDefault="00566024" w:rsidP="00566024">
      <w:pPr>
        <w:autoSpaceDE w:val="0"/>
        <w:autoSpaceDN w:val="0"/>
        <w:adjustRightInd w:val="0"/>
      </w:pPr>
      <w:r w:rsidRPr="00AC61C4">
        <w:t>Regional basement faults mapped from airborne magnetics are shown on a map of airborne magnetics for an area of the MFS (</w:t>
      </w:r>
      <w:r w:rsidR="006425F2">
        <w:fldChar w:fldCharType="begin"/>
      </w:r>
      <w:r w:rsidR="006425F2">
        <w:instrText xml:space="preserve"> REF _Ref355872641 \h  \* MERGEFORMAT </w:instrText>
      </w:r>
      <w:r w:rsidR="006425F2">
        <w:fldChar w:fldCharType="separate"/>
      </w:r>
      <w:r w:rsidR="00966532" w:rsidRPr="00966532">
        <w:t>Figure 5</w:t>
      </w:r>
      <w:r w:rsidR="00966532" w:rsidRPr="00966532">
        <w:noBreakHyphen/>
        <w:t>9</w:t>
      </w:r>
      <w:r w:rsidR="006425F2">
        <w:fldChar w:fldCharType="end"/>
      </w:r>
      <w:r w:rsidRPr="008A5F7D">
        <w:t>a</w:t>
      </w:r>
      <w:r w:rsidRPr="00AC61C4">
        <w:t>) and projected on a map of regional gravity data form the whole BHMAR study area (</w:t>
      </w:r>
      <w:r w:rsidR="006425F2">
        <w:fldChar w:fldCharType="begin"/>
      </w:r>
      <w:r w:rsidR="006425F2">
        <w:instrText xml:space="preserve"> REF _Ref355872641 \h  \* MERGEFORMAT </w:instrText>
      </w:r>
      <w:r w:rsidR="006425F2">
        <w:fldChar w:fldCharType="separate"/>
      </w:r>
      <w:r w:rsidR="00966532" w:rsidRPr="00966532">
        <w:t>Figure 5</w:t>
      </w:r>
      <w:r w:rsidR="00966532" w:rsidRPr="00966532">
        <w:noBreakHyphen/>
        <w:t>9</w:t>
      </w:r>
      <w:r w:rsidR="006425F2">
        <w:fldChar w:fldCharType="end"/>
      </w:r>
      <w:r w:rsidRPr="00AC61C4">
        <w:t>b). The sinistral displacement across individual strike slip faults within the MFS are clearly evident in the airborne magnetic data (</w:t>
      </w:r>
      <w:r w:rsidR="006425F2">
        <w:fldChar w:fldCharType="begin"/>
      </w:r>
      <w:r w:rsidR="006425F2">
        <w:instrText xml:space="preserve"> REF _Ref355872641 \h  \* MERGEFORMAT </w:instrText>
      </w:r>
      <w:r w:rsidR="006425F2">
        <w:fldChar w:fldCharType="separate"/>
      </w:r>
      <w:r w:rsidR="00966532" w:rsidRPr="00966532">
        <w:t>Figure 5</w:t>
      </w:r>
      <w:r w:rsidR="00966532" w:rsidRPr="00966532">
        <w:noBreakHyphen/>
        <w:t>9</w:t>
      </w:r>
      <w:r w:rsidR="006425F2">
        <w:fldChar w:fldCharType="end"/>
      </w:r>
      <w:r w:rsidRPr="00AC61C4">
        <w:t>a)</w:t>
      </w:r>
      <w:r>
        <w:t>, while the association between the mapped faults and major basement features in the geology are also evident on the gravity data (</w:t>
      </w:r>
      <w:r w:rsidR="006425F2">
        <w:fldChar w:fldCharType="begin"/>
      </w:r>
      <w:r w:rsidR="006425F2">
        <w:instrText xml:space="preserve"> REF _Ref355872641 \h  \* MERGEFORMAT </w:instrText>
      </w:r>
      <w:r w:rsidR="006425F2">
        <w:fldChar w:fldCharType="separate"/>
      </w:r>
      <w:r w:rsidR="00966532" w:rsidRPr="00966532">
        <w:t>Figure 5</w:t>
      </w:r>
      <w:r w:rsidR="00966532" w:rsidRPr="00966532">
        <w:noBreakHyphen/>
        <w:t>9</w:t>
      </w:r>
      <w:r w:rsidR="006425F2">
        <w:fldChar w:fldCharType="end"/>
      </w:r>
      <w:r>
        <w:t>b)</w:t>
      </w:r>
      <w:r w:rsidRPr="00AC61C4">
        <w:t xml:space="preserve">. </w:t>
      </w:r>
    </w:p>
    <w:p w:rsidR="00566024" w:rsidRDefault="00566024" w:rsidP="00566024">
      <w:pPr>
        <w:autoSpaceDE w:val="0"/>
        <w:autoSpaceDN w:val="0"/>
        <w:adjustRightInd w:val="0"/>
      </w:pPr>
    </w:p>
    <w:p w:rsidR="00566024" w:rsidRDefault="00566024" w:rsidP="00566024">
      <w:pPr>
        <w:autoSpaceDE w:val="0"/>
        <w:autoSpaceDN w:val="0"/>
        <w:adjustRightInd w:val="0"/>
        <w:rPr>
          <w:szCs w:val="22"/>
        </w:rPr>
      </w:pPr>
      <w:r w:rsidRPr="00AC61C4">
        <w:t>At a regional scale, formation of the MFS is consistent with f</w:t>
      </w:r>
      <w:r w:rsidR="00971C9D">
        <w:t>ormation of this fault zone</w:t>
      </w:r>
      <w:r w:rsidRPr="00AC61C4">
        <w:t xml:space="preserve"> as an antithetic strike-slip zone to </w:t>
      </w:r>
      <w:r w:rsidR="00971C9D">
        <w:t xml:space="preserve">broadly WNW-ESE </w:t>
      </w:r>
      <w:r w:rsidR="0078490D">
        <w:t xml:space="preserve">regional </w:t>
      </w:r>
      <w:r w:rsidR="00971C9D">
        <w:t>crustal shorten</w:t>
      </w:r>
      <w:r w:rsidRPr="00AC61C4">
        <w:t xml:space="preserve">ing </w:t>
      </w:r>
      <w:r w:rsidRPr="00AC61C4">
        <w:rPr>
          <w:szCs w:val="22"/>
        </w:rPr>
        <w:t xml:space="preserve">consistent with present-day </w:t>
      </w:r>
      <w:r w:rsidR="0078490D">
        <w:rPr>
          <w:szCs w:val="22"/>
        </w:rPr>
        <w:t xml:space="preserve">stress </w:t>
      </w:r>
      <w:r w:rsidRPr="00AC61C4">
        <w:rPr>
          <w:szCs w:val="22"/>
        </w:rPr>
        <w:t>maps of the Australian continent. The latte</w:t>
      </w:r>
      <w:r w:rsidR="00971C9D">
        <w:rPr>
          <w:szCs w:val="22"/>
        </w:rPr>
        <w:t>r have data gaps in this region</w:t>
      </w:r>
      <w:r w:rsidRPr="00AC61C4">
        <w:rPr>
          <w:szCs w:val="22"/>
        </w:rPr>
        <w:t>, with the maximum horizontal stress extrapolated from measurements in the nearby Cooper-Eromanga Basins (Reynolds</w:t>
      </w:r>
      <w:r w:rsidR="008A5F7D" w:rsidRPr="00CF7613">
        <w:rPr>
          <w:rStyle w:val="StyleItalic"/>
        </w:rPr>
        <w:t xml:space="preserve"> et al</w:t>
      </w:r>
      <w:r w:rsidRPr="00AC61C4">
        <w:rPr>
          <w:szCs w:val="22"/>
        </w:rPr>
        <w:t>., 2006; Hillis</w:t>
      </w:r>
      <w:r w:rsidR="008A5F7D" w:rsidRPr="00CF7613">
        <w:rPr>
          <w:rStyle w:val="StyleItalic"/>
        </w:rPr>
        <w:t xml:space="preserve"> et al</w:t>
      </w:r>
      <w:r w:rsidRPr="00AC61C4">
        <w:rPr>
          <w:szCs w:val="22"/>
        </w:rPr>
        <w:t>., 2008). While most of the mapped faults in the BHMAR study area are consistent with strike-slip deformation, a component of deformation may also be related to regional warping and tilting due to basin subsidence or margin uplift (Hillis</w:t>
      </w:r>
      <w:r w:rsidR="008A5F7D" w:rsidRPr="00CF7613">
        <w:rPr>
          <w:rStyle w:val="StyleItalic"/>
        </w:rPr>
        <w:t xml:space="preserve"> et al</w:t>
      </w:r>
      <w:r w:rsidRPr="00AC61C4">
        <w:rPr>
          <w:szCs w:val="22"/>
        </w:rPr>
        <w:t>., 2008).</w:t>
      </w:r>
    </w:p>
    <w:p w:rsidR="00566024" w:rsidRDefault="00566024" w:rsidP="00566024">
      <w:pPr>
        <w:autoSpaceDE w:val="0"/>
        <w:autoSpaceDN w:val="0"/>
        <w:adjustRightInd w:val="0"/>
        <w:rPr>
          <w:szCs w:val="22"/>
        </w:rPr>
      </w:pPr>
    </w:p>
    <w:p w:rsidR="00566024" w:rsidRDefault="00566024" w:rsidP="00566024">
      <w:pPr>
        <w:jc w:val="center"/>
      </w:pPr>
    </w:p>
    <w:p w:rsidR="00566024" w:rsidRPr="002C6709" w:rsidRDefault="00B25837" w:rsidP="00656729">
      <w:pPr>
        <w:spacing w:after="60"/>
        <w:jc w:val="center"/>
      </w:pPr>
      <w:r>
        <w:rPr>
          <w:noProof/>
        </w:rPr>
        <w:lastRenderedPageBreak/>
        <w:drawing>
          <wp:inline distT="0" distB="0" distL="0" distR="0">
            <wp:extent cx="5547793" cy="4343621"/>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48551" cy="4344215"/>
                    </a:xfrm>
                    <a:prstGeom prst="rect">
                      <a:avLst/>
                    </a:prstGeom>
                    <a:noFill/>
                    <a:ln>
                      <a:noFill/>
                    </a:ln>
                  </pic:spPr>
                </pic:pic>
              </a:graphicData>
            </a:graphic>
          </wp:inline>
        </w:drawing>
      </w:r>
    </w:p>
    <w:p w:rsidR="00566024" w:rsidRPr="00454D46" w:rsidRDefault="00566024" w:rsidP="00454D46">
      <w:pPr>
        <w:pStyle w:val="Caption"/>
        <w:rPr>
          <w:b/>
          <w:i w:val="0"/>
        </w:rPr>
      </w:pPr>
      <w:bookmarkStart w:id="333" w:name="_Ref35579076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5</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13</w:t>
      </w:r>
      <w:r w:rsidR="00A23C59">
        <w:rPr>
          <w:b/>
        </w:rPr>
        <w:fldChar w:fldCharType="end"/>
      </w:r>
      <w:bookmarkEnd w:id="333"/>
      <w:r>
        <w:rPr>
          <w:b/>
        </w:rPr>
        <w:t>.</w:t>
      </w:r>
      <w:r>
        <w:t xml:space="preserve"> A diagrammatic representation of the strain pattern </w:t>
      </w:r>
      <w:r w:rsidR="00B25837">
        <w:t>within the MFS and TFS intra-plate shear zones. The patter</w:t>
      </w:r>
      <w:r w:rsidR="00BB3129">
        <w:t>n</w:t>
      </w:r>
      <w:r w:rsidR="00B25837">
        <w:t xml:space="preserve"> of deformation is </w:t>
      </w:r>
      <w:r>
        <w:t xml:space="preserve">produced </w:t>
      </w:r>
      <w:r w:rsidR="00B25837">
        <w:t xml:space="preserve">by regional WNW-ESE shortening (yellow arrows), and reactivation of </w:t>
      </w:r>
      <w:r w:rsidR="00BB3129">
        <w:t xml:space="preserve">underlying, </w:t>
      </w:r>
      <w:r w:rsidR="00B25837">
        <w:t xml:space="preserve">pre-existing basement heterogeneities and faults. </w:t>
      </w:r>
      <w:r>
        <w:t xml:space="preserve">The black dotted lines denote the shear zone boundaries, with a sinistral sense of displacement </w:t>
      </w:r>
      <w:r w:rsidR="00BB3129">
        <w:t>similar to that found in the MFS</w:t>
      </w:r>
      <w:r>
        <w:t xml:space="preserve">. The yellow line denotes the strain ellipse. Most of the displacement within the MFS is taken up on </w:t>
      </w:r>
      <w:r w:rsidR="00BB3129">
        <w:t xml:space="preserve">N-S striking </w:t>
      </w:r>
      <w:r>
        <w:t>antithetic strike-</w:t>
      </w:r>
      <w:r w:rsidR="00BB3129">
        <w:t>slip faults (black broken line)</w:t>
      </w:r>
      <w:r>
        <w:t xml:space="preserve">. </w:t>
      </w:r>
      <w:r w:rsidR="00BB3129">
        <w:t xml:space="preserve">Within the shear zones, extension in a </w:t>
      </w:r>
      <w:r>
        <w:t xml:space="preserve">NE-SW </w:t>
      </w:r>
      <w:r w:rsidR="00BB3129">
        <w:t xml:space="preserve">orientation </w:t>
      </w:r>
      <w:r>
        <w:t xml:space="preserve">(blue line and arrows), </w:t>
      </w:r>
      <w:r w:rsidR="00BB3129">
        <w:t xml:space="preserve">is typically nenoted by </w:t>
      </w:r>
      <w:r>
        <w:t xml:space="preserve">normal faults </w:t>
      </w:r>
      <w:r w:rsidR="00BB3129">
        <w:t xml:space="preserve">(red) that define grabens and half-grabens. </w:t>
      </w:r>
      <w:r>
        <w:t xml:space="preserve">ENE-WSW antithetic faults zones are also observed to form in this stress system, and provide important linkages between </w:t>
      </w:r>
      <w:r w:rsidR="00BB3129">
        <w:t>these</w:t>
      </w:r>
      <w:r>
        <w:t xml:space="preserve"> extensional structures. Minor revers</w:t>
      </w:r>
      <w:r w:rsidR="00B55133">
        <w:t>e</w:t>
      </w:r>
      <w:r>
        <w:t xml:space="preserve"> faults </w:t>
      </w:r>
      <w:r w:rsidR="00BB3129">
        <w:t xml:space="preserve">(black line with pale blue-green triangles) </w:t>
      </w:r>
      <w:r>
        <w:t xml:space="preserve">and associated horst blocks </w:t>
      </w:r>
      <w:r w:rsidR="00BB3129">
        <w:t>are formed by</w:t>
      </w:r>
      <w:r>
        <w:t xml:space="preserve"> </w:t>
      </w:r>
      <w:r w:rsidR="00BB3129">
        <w:t>NW-SE</w:t>
      </w:r>
      <w:r>
        <w:t xml:space="preserve"> </w:t>
      </w:r>
      <w:r w:rsidR="00BB3129">
        <w:t>shortening</w:t>
      </w:r>
      <w:r>
        <w:t xml:space="preserve"> </w:t>
      </w:r>
      <w:r w:rsidR="00BB3129">
        <w:t>within the shear zones</w:t>
      </w:r>
      <w:r>
        <w:t>.</w:t>
      </w:r>
      <w:r w:rsidR="00D039C6">
        <w:t xml:space="preserve"> </w:t>
      </w:r>
      <w:r w:rsidRPr="009E42A3">
        <w:fldChar w:fldCharType="begin"/>
      </w:r>
      <w:r w:rsidRPr="009E42A3">
        <w:instrText xml:space="preserve"> TC "</w:instrText>
      </w:r>
      <w:bookmarkStart w:id="334" w:name="_Toc390690232"/>
      <w:r w:rsidRPr="009E42A3">
        <w:instrText xml:space="preserve">Figure </w:instrText>
      </w:r>
      <w:r>
        <w:instrText>5-</w:instrText>
      </w:r>
      <w:r w:rsidRPr="009E42A3">
        <w:instrText>1</w:instrText>
      </w:r>
      <w:r w:rsidR="002633A2">
        <w:instrText>3</w:instrText>
      </w:r>
      <w:r w:rsidRPr="009E42A3">
        <w:instrText xml:space="preserve">. </w:instrText>
      </w:r>
      <w:r>
        <w:instrText>A diagrammatic representation of the structural strain pattern produced by a sinistral shear couple, as occurs within the Menindee Fault System (MFS)</w:instrText>
      </w:r>
      <w:r w:rsidRPr="009E42A3">
        <w:instrText>.</w:instrText>
      </w:r>
      <w:bookmarkEnd w:id="334"/>
      <w:r w:rsidRPr="009E42A3">
        <w:instrText xml:space="preserve">" \f A \l “4” </w:instrText>
      </w:r>
      <w:r w:rsidRPr="009E42A3">
        <w:fldChar w:fldCharType="end"/>
      </w:r>
    </w:p>
    <w:p w:rsidR="00566024" w:rsidRPr="004C273C" w:rsidRDefault="00454D46" w:rsidP="00566024">
      <w:pPr>
        <w:pStyle w:val="Heading3"/>
        <w:spacing w:before="320"/>
        <w:ind w:left="900" w:hanging="900"/>
      </w:pPr>
      <w:bookmarkStart w:id="335" w:name="_Toc355626158"/>
      <w:bookmarkStart w:id="336" w:name="_Toc390690120"/>
      <w:r>
        <w:t xml:space="preserve">Summary of the Geological and Landscape </w:t>
      </w:r>
      <w:r w:rsidR="00566024" w:rsidRPr="004C273C">
        <w:t xml:space="preserve">Evolution </w:t>
      </w:r>
      <w:r w:rsidR="00566024">
        <w:t>of</w:t>
      </w:r>
      <w:r w:rsidR="00566024" w:rsidRPr="004C273C">
        <w:t xml:space="preserve"> the </w:t>
      </w:r>
      <w:r w:rsidR="00566024">
        <w:t xml:space="preserve">BHMAR </w:t>
      </w:r>
      <w:r w:rsidR="00566024" w:rsidRPr="004C273C">
        <w:t>Study Area</w:t>
      </w:r>
      <w:bookmarkEnd w:id="335"/>
      <w:bookmarkEnd w:id="336"/>
    </w:p>
    <w:p w:rsidR="00566024" w:rsidRPr="004C273C" w:rsidRDefault="00566024" w:rsidP="00566024">
      <w:r w:rsidRPr="004C273C">
        <w:t>In summary, the geomorphic/geological history for the Menindee area as determined by this project can be summarised as:</w:t>
      </w:r>
    </w:p>
    <w:p w:rsidR="00566024" w:rsidRPr="004C273C" w:rsidRDefault="00566024" w:rsidP="00454D46">
      <w:pPr>
        <w:numPr>
          <w:ilvl w:val="0"/>
          <w:numId w:val="72"/>
        </w:numPr>
        <w:tabs>
          <w:tab w:val="clear" w:pos="1080"/>
          <w:tab w:val="num" w:pos="720"/>
        </w:tabs>
        <w:spacing w:before="120"/>
        <w:ind w:left="720" w:hanging="540"/>
      </w:pPr>
      <w:r w:rsidRPr="004C273C">
        <w:t>Complex history of pre-Palaeozoic deformation and metamorphism in Proterozic basement rocks. Several E-W shear zones mapped in Proterozoic basement are reactivated in Neogene times (e.g. Talyawalka Lineament);</w:t>
      </w:r>
    </w:p>
    <w:p w:rsidR="00566024" w:rsidRPr="004C273C" w:rsidRDefault="00566024" w:rsidP="00454D46">
      <w:pPr>
        <w:numPr>
          <w:ilvl w:val="0"/>
          <w:numId w:val="72"/>
        </w:numPr>
        <w:tabs>
          <w:tab w:val="clear" w:pos="1080"/>
          <w:tab w:val="num" w:pos="720"/>
        </w:tabs>
        <w:spacing w:before="120"/>
        <w:ind w:left="720" w:hanging="540"/>
      </w:pPr>
      <w:r w:rsidRPr="004C273C">
        <w:t xml:space="preserve">Formation of Palaeozoic-Mesozoic Basins (e.g. Menindee, Wentworth and Blantyre Troughs) as part of the </w:t>
      </w:r>
      <w:smartTag w:uri="urn:schemas-microsoft-com:office:smarttags" w:element="place">
        <w:smartTag w:uri="urn:schemas-microsoft-com:office:smarttags" w:element="PlaceName">
          <w:r w:rsidRPr="004C273C">
            <w:t>Darling</w:t>
          </w:r>
        </w:smartTag>
        <w:r w:rsidRPr="004C273C">
          <w:t xml:space="preserve"> </w:t>
        </w:r>
        <w:smartTag w:uri="urn:schemas-microsoft-com:office:smarttags" w:element="PlaceName">
          <w:r w:rsidRPr="004C273C">
            <w:t>Geological</w:t>
          </w:r>
        </w:smartTag>
        <w:r w:rsidRPr="004C273C">
          <w:t xml:space="preserve"> </w:t>
        </w:r>
        <w:smartTag w:uri="urn:schemas-microsoft-com:office:smarttags" w:element="PlaceType">
          <w:r w:rsidRPr="004C273C">
            <w:t>Basin</w:t>
          </w:r>
        </w:smartTag>
      </w:smartTag>
      <w:r w:rsidRPr="004C273C">
        <w:t>. Deposition of a thick (several km) sequence of clastic sediments within extensional fault-bounded basins is interrupted episodically by structural inversion along these structures (e.g. in Carboniferous). Several of these structures appear to have been reactivated in Neogene times;</w:t>
      </w:r>
    </w:p>
    <w:p w:rsidR="00566024" w:rsidRPr="004C273C" w:rsidRDefault="00566024" w:rsidP="00454D46">
      <w:pPr>
        <w:numPr>
          <w:ilvl w:val="0"/>
          <w:numId w:val="72"/>
        </w:numPr>
        <w:tabs>
          <w:tab w:val="clear" w:pos="1080"/>
          <w:tab w:val="num" w:pos="720"/>
        </w:tabs>
        <w:spacing w:before="120"/>
        <w:ind w:left="720" w:hanging="540"/>
      </w:pPr>
      <w:r w:rsidRPr="004C273C">
        <w:t>Formation of the Murray Geological Basin, with deposition of Renmark Group clastic sediments by rivers flowing southward towards a shallow sea to the south of the BHMAR study area in the Palaeocene to Miocene;</w:t>
      </w:r>
    </w:p>
    <w:p w:rsidR="00566024" w:rsidRPr="004C273C" w:rsidRDefault="00566024" w:rsidP="00454D46">
      <w:pPr>
        <w:numPr>
          <w:ilvl w:val="0"/>
          <w:numId w:val="72"/>
        </w:numPr>
        <w:tabs>
          <w:tab w:val="clear" w:pos="1080"/>
          <w:tab w:val="num" w:pos="720"/>
        </w:tabs>
        <w:spacing w:before="120"/>
        <w:ind w:left="720" w:hanging="540"/>
      </w:pPr>
      <w:r w:rsidRPr="004C273C">
        <w:t>Depositional hiatus in the Miocene with weathering and local erosion of the Renmark Group sediments;</w:t>
      </w:r>
    </w:p>
    <w:p w:rsidR="00566024" w:rsidRPr="004C273C" w:rsidRDefault="00566024" w:rsidP="00454D46">
      <w:pPr>
        <w:numPr>
          <w:ilvl w:val="0"/>
          <w:numId w:val="72"/>
        </w:numPr>
        <w:tabs>
          <w:tab w:val="clear" w:pos="1080"/>
          <w:tab w:val="num" w:pos="720"/>
        </w:tabs>
        <w:spacing w:before="120"/>
        <w:ind w:left="720" w:hanging="540"/>
      </w:pPr>
      <w:r w:rsidRPr="004C273C">
        <w:lastRenderedPageBreak/>
        <w:t xml:space="preserve">In the south of the study area, there was deposition of marginal sands and shoreline dunes (Loxton-Parilla Sands) in shallow water at the northern margin of a marine basin. Pene-contemporaneous with this was deposition of fluvial Calivil Formation sediments by the palaeo </w:t>
      </w:r>
      <w:smartTag w:uri="urn:schemas-microsoft-com:office:smarttags" w:element="place">
        <w:r w:rsidRPr="004C273C">
          <w:t>Darling River</w:t>
        </w:r>
      </w:smartTag>
      <w:r w:rsidRPr="004C273C">
        <w:t xml:space="preserve"> and its tributaries in the Pliocene. The Calivil Formation sediments locally overlie the Loxton-Parilla Sands in the study area;</w:t>
      </w:r>
    </w:p>
    <w:p w:rsidR="00566024" w:rsidRPr="004C273C" w:rsidRDefault="00566024" w:rsidP="00454D46">
      <w:pPr>
        <w:numPr>
          <w:ilvl w:val="0"/>
          <w:numId w:val="72"/>
        </w:numPr>
        <w:tabs>
          <w:tab w:val="clear" w:pos="1080"/>
          <w:tab w:val="num" w:pos="720"/>
        </w:tabs>
        <w:spacing w:before="120"/>
        <w:ind w:left="720" w:hanging="540"/>
      </w:pPr>
      <w:r w:rsidRPr="004C273C">
        <w:t xml:space="preserve">Damming of the </w:t>
      </w:r>
      <w:smartTag w:uri="urn:schemas-microsoft-com:office:smarttags" w:element="PlaceName">
        <w:r w:rsidRPr="004C273C">
          <w:t>palaeo-Murray</w:t>
        </w:r>
      </w:smartTag>
      <w:r w:rsidRPr="004C273C">
        <w:t xml:space="preserve"> </w:t>
      </w:r>
      <w:smartTag w:uri="urn:schemas-microsoft-com:office:smarttags" w:element="PlaceType">
        <w:r w:rsidRPr="004C273C">
          <w:t>River</w:t>
        </w:r>
      </w:smartTag>
      <w:r w:rsidRPr="004C273C">
        <w:t xml:space="preserve"> and its tributaries, including the palaeo Darling River, with Blanchetown Clay deposition in </w:t>
      </w:r>
      <w:smartTag w:uri="urn:schemas-microsoft-com:office:smarttags" w:element="place">
        <w:smartTag w:uri="urn:schemas-microsoft-com:office:smarttags" w:element="PlaceName">
          <w:r w:rsidRPr="004C273C">
            <w:t>palaeo</w:t>
          </w:r>
        </w:smartTag>
        <w:r w:rsidRPr="004C273C">
          <w:t xml:space="preserve"> </w:t>
        </w:r>
        <w:smartTag w:uri="urn:schemas-microsoft-com:office:smarttags" w:element="PlaceType">
          <w:r w:rsidRPr="004C273C">
            <w:t>Lake</w:t>
          </w:r>
        </w:smartTag>
      </w:smartTag>
      <w:r w:rsidRPr="004C273C">
        <w:t xml:space="preserve"> Bungunnia in the Late Pliocene to Pleistocene;</w:t>
      </w:r>
    </w:p>
    <w:p w:rsidR="00566024" w:rsidRPr="004C273C" w:rsidRDefault="00454D46" w:rsidP="00454D46">
      <w:pPr>
        <w:numPr>
          <w:ilvl w:val="0"/>
          <w:numId w:val="72"/>
        </w:numPr>
        <w:tabs>
          <w:tab w:val="clear" w:pos="1080"/>
          <w:tab w:val="num" w:pos="720"/>
        </w:tabs>
        <w:spacing w:before="120"/>
        <w:ind w:left="720" w:hanging="540"/>
      </w:pPr>
      <w:r>
        <w:t>Pliocene regression, and the d</w:t>
      </w:r>
      <w:r w:rsidRPr="004C273C">
        <w:t xml:space="preserve">rying up of </w:t>
      </w:r>
      <w:r>
        <w:t>Lake Bungunnia</w:t>
      </w:r>
      <w:r w:rsidRPr="004C273C">
        <w:t>, due to a combination of lowering of the sill of the dam that initiated the lake (McLaren</w:t>
      </w:r>
      <w:r w:rsidRPr="00CF7613">
        <w:rPr>
          <w:rStyle w:val="StyleItalic"/>
        </w:rPr>
        <w:t xml:space="preserve"> et al</w:t>
      </w:r>
      <w:r w:rsidRPr="004C273C">
        <w:t xml:space="preserve">., 2012) and </w:t>
      </w:r>
      <w:r>
        <w:t>the onset of a dryer climate</w:t>
      </w:r>
      <w:r w:rsidR="00566024" w:rsidRPr="004C273C">
        <w:t>;</w:t>
      </w:r>
    </w:p>
    <w:p w:rsidR="00566024" w:rsidRPr="004C273C" w:rsidRDefault="00566024" w:rsidP="00454D46">
      <w:pPr>
        <w:numPr>
          <w:ilvl w:val="0"/>
          <w:numId w:val="72"/>
        </w:numPr>
        <w:tabs>
          <w:tab w:val="clear" w:pos="1080"/>
          <w:tab w:val="num" w:pos="720"/>
        </w:tabs>
        <w:spacing w:before="120"/>
        <w:ind w:left="720" w:hanging="540"/>
      </w:pPr>
      <w:r w:rsidRPr="004C273C">
        <w:t xml:space="preserve">Continued fluvial and local lacustrine deposition, with sediment derived from the northwest (Broken Hill area) and the north (palaeo Darling River, which passed through a gap in basement hills at Wilcannia at the edge of the </w:t>
      </w:r>
      <w:smartTag w:uri="urn:schemas-microsoft-com:office:smarttags" w:element="place">
        <w:smartTag w:uri="urn:schemas-microsoft-com:office:smarttags" w:element="PlaceName">
          <w:r w:rsidRPr="004C273C">
            <w:t>Murray</w:t>
          </w:r>
        </w:smartTag>
        <w:r w:rsidRPr="004C273C">
          <w:t xml:space="preserve"> </w:t>
        </w:r>
        <w:smartTag w:uri="urn:schemas-microsoft-com:office:smarttags" w:element="PlaceType">
          <w:r w:rsidRPr="004C273C">
            <w:t>Basin</w:t>
          </w:r>
        </w:smartTag>
      </w:smartTag>
      <w:r w:rsidRPr="004C273C">
        <w:t xml:space="preserve">) to the south of the BHMAR study area. These Willotia bed sediments may be also partly a time equivalent of the upper part of the Blanchetown Clay deposited further south in </w:t>
      </w:r>
      <w:smartTag w:uri="urn:schemas-microsoft-com:office:smarttags" w:element="place">
        <w:smartTag w:uri="urn:schemas-microsoft-com:office:smarttags" w:element="PlaceType">
          <w:r w:rsidRPr="004C273C">
            <w:t>Lake</w:t>
          </w:r>
        </w:smartTag>
        <w:r w:rsidRPr="004C273C">
          <w:t xml:space="preserve"> </w:t>
        </w:r>
        <w:smartTag w:uri="urn:schemas-microsoft-com:office:smarttags" w:element="PlaceName">
          <w:r w:rsidRPr="004C273C">
            <w:t>Bungunnia</w:t>
          </w:r>
        </w:smartTag>
      </w:smartTag>
      <w:r w:rsidRPr="004C273C">
        <w:t>;</w:t>
      </w:r>
    </w:p>
    <w:p w:rsidR="00566024" w:rsidRPr="004C273C" w:rsidRDefault="00566024" w:rsidP="00454D46">
      <w:pPr>
        <w:numPr>
          <w:ilvl w:val="0"/>
          <w:numId w:val="72"/>
        </w:numPr>
        <w:tabs>
          <w:tab w:val="clear" w:pos="1080"/>
          <w:tab w:val="num" w:pos="720"/>
        </w:tabs>
        <w:spacing w:before="120"/>
        <w:ind w:left="720" w:hanging="540"/>
      </w:pPr>
      <w:r w:rsidRPr="004C273C">
        <w:t xml:space="preserve">Incision of a trench into the Blanchetown Clay to form the modern course of the </w:t>
      </w:r>
      <w:smartTag w:uri="urn:schemas-microsoft-com:office:smarttags" w:element="place">
        <w:r w:rsidRPr="004C273C">
          <w:t>Murray River</w:t>
        </w:r>
      </w:smartTag>
      <w:r w:rsidRPr="004C273C">
        <w:t xml:space="preserve"> (Murray Gorge). This trench propagated headwards up the </w:t>
      </w:r>
      <w:smartTag w:uri="urn:schemas-microsoft-com:office:smarttags" w:element="place">
        <w:smartTag w:uri="urn:schemas-microsoft-com:office:smarttags" w:element="PlaceName">
          <w:r w:rsidRPr="004C273C">
            <w:t>Darling</w:t>
          </w:r>
        </w:smartTag>
        <w:r w:rsidRPr="004C273C">
          <w:t xml:space="preserve"> </w:t>
        </w:r>
        <w:smartTag w:uri="urn:schemas-microsoft-com:office:smarttags" w:element="PlaceType">
          <w:r w:rsidRPr="004C273C">
            <w:t>Valley</w:t>
          </w:r>
        </w:smartTag>
      </w:smartTag>
      <w:r w:rsidRPr="004C273C">
        <w:t xml:space="preserve"> by nickpoint retreat, incising the Willotia beds but generally not the Blanchetown Clay in the Menindee area;</w:t>
      </w:r>
    </w:p>
    <w:p w:rsidR="00566024" w:rsidRPr="004C273C" w:rsidRDefault="00566024" w:rsidP="00454D46">
      <w:pPr>
        <w:numPr>
          <w:ilvl w:val="0"/>
          <w:numId w:val="72"/>
        </w:numPr>
        <w:tabs>
          <w:tab w:val="clear" w:pos="1080"/>
          <w:tab w:val="num" w:pos="720"/>
        </w:tabs>
        <w:spacing w:before="120"/>
        <w:ind w:left="720" w:hanging="540"/>
      </w:pPr>
      <w:r w:rsidRPr="004C273C">
        <w:t xml:space="preserve">Deposition of fluvial sediments of the Menindee Formation and subsequently Coonambidgal Formation within the eroded trench by the </w:t>
      </w:r>
      <w:smartTag w:uri="urn:schemas-microsoft-com:office:smarttags" w:element="place">
        <w:r w:rsidRPr="004C273C">
          <w:t>Darling River</w:t>
        </w:r>
      </w:smartTag>
      <w:r w:rsidRPr="004C273C">
        <w:t xml:space="preserve"> and its anabranches;</w:t>
      </w:r>
    </w:p>
    <w:p w:rsidR="00566024" w:rsidRPr="004C273C" w:rsidRDefault="00566024" w:rsidP="00454D46">
      <w:pPr>
        <w:numPr>
          <w:ilvl w:val="0"/>
          <w:numId w:val="72"/>
        </w:numPr>
        <w:tabs>
          <w:tab w:val="clear" w:pos="1080"/>
          <w:tab w:val="num" w:pos="720"/>
        </w:tabs>
        <w:spacing w:before="120"/>
        <w:ind w:left="720" w:hanging="540"/>
      </w:pPr>
      <w:r w:rsidRPr="004C273C">
        <w:t>Concurrent with 8, formation of the lake basins around Menindee, with local wave erosion and shoreline deposition; and</w:t>
      </w:r>
    </w:p>
    <w:p w:rsidR="00566024" w:rsidRPr="004C273C" w:rsidRDefault="00566024" w:rsidP="00454D46">
      <w:pPr>
        <w:numPr>
          <w:ilvl w:val="0"/>
          <w:numId w:val="72"/>
        </w:numPr>
        <w:tabs>
          <w:tab w:val="clear" w:pos="1080"/>
          <w:tab w:val="num" w:pos="720"/>
        </w:tabs>
        <w:spacing w:before="120"/>
        <w:ind w:left="720" w:hanging="540"/>
      </w:pPr>
      <w:r w:rsidRPr="004C273C">
        <w:t>Concurrent with 8 and 9, deposition and preservation of aeolian sand across much of the area, particularly where not flooded and reworked in the trunk river valley.</w:t>
      </w:r>
    </w:p>
    <w:p w:rsidR="00566024" w:rsidRPr="004C273C" w:rsidRDefault="00566024" w:rsidP="00454D46">
      <w:pPr>
        <w:numPr>
          <w:ilvl w:val="0"/>
          <w:numId w:val="72"/>
        </w:numPr>
        <w:tabs>
          <w:tab w:val="clear" w:pos="1080"/>
          <w:tab w:val="num" w:pos="720"/>
        </w:tabs>
        <w:spacing w:before="120"/>
        <w:ind w:left="720" w:hanging="540"/>
      </w:pPr>
      <w:r w:rsidRPr="004C273C">
        <w:t xml:space="preserve">There are multiple lines of evidence to show that the area has been tectonically active in the Neogene-present day, as evidenced by a number of scarps, lineaments, and drainage alignments that are </w:t>
      </w:r>
      <w:r w:rsidR="00971C9D" w:rsidRPr="004C273C">
        <w:t>coincident</w:t>
      </w:r>
      <w:r w:rsidRPr="004C273C">
        <w:t xml:space="preserve"> with underlying faults. There is also evidence of neotectonics from some lake tilting in the south of the project area.</w:t>
      </w:r>
    </w:p>
    <w:p w:rsidR="00566024" w:rsidRDefault="00566024" w:rsidP="00566024">
      <w:pPr>
        <w:autoSpaceDE w:val="0"/>
        <w:autoSpaceDN w:val="0"/>
        <w:adjustRightInd w:val="0"/>
        <w:rPr>
          <w:b/>
          <w:szCs w:val="22"/>
          <w:highlight w:val="cyan"/>
        </w:rPr>
      </w:pPr>
    </w:p>
    <w:p w:rsidR="00566024" w:rsidRPr="007B4FFC" w:rsidRDefault="006C237B" w:rsidP="00566024">
      <w:pPr>
        <w:pStyle w:val="Heading3"/>
        <w:spacing w:before="320"/>
        <w:ind w:left="900" w:hanging="900"/>
      </w:pPr>
      <w:bookmarkStart w:id="337" w:name="_Toc390690121"/>
      <w:r>
        <w:t>The R</w:t>
      </w:r>
      <w:r w:rsidR="00566024" w:rsidRPr="007B4FFC">
        <w:t>ole of Faults in the Hydrogeological Conceptual Model</w:t>
      </w:r>
      <w:bookmarkEnd w:id="337"/>
    </w:p>
    <w:p w:rsidR="00566024" w:rsidRPr="000C2D2D" w:rsidRDefault="00566024" w:rsidP="00566024">
      <w:pPr>
        <w:autoSpaceDE w:val="0"/>
        <w:autoSpaceDN w:val="0"/>
        <w:adjustRightInd w:val="0"/>
        <w:rPr>
          <w:szCs w:val="22"/>
        </w:rPr>
      </w:pPr>
      <w:r w:rsidRPr="000C2D2D">
        <w:rPr>
          <w:szCs w:val="22"/>
        </w:rPr>
        <w:t>The recognition of faults in multiple geophysical datasets, combined with drilling and field validation, provides increased confidence in the structural maps and interpretation that play a vital role in the hydrological conceptual model. In particular, faults with a surface landform expression, including those that control or intersect the major rivers, provide potential recharge pathways to underlying aquifers. Furthermore, juxtaposition of unconfined Coonambidgal Formation and semi-confined Calivil Formation aquifers across faults, particularly where the Coonambidgal Formation infills graben depocentres, may provide loci for inter-aquifer leakage (</w:t>
      </w:r>
      <w:r w:rsidR="000C2D2D">
        <w:rPr>
          <w:szCs w:val="22"/>
        </w:rPr>
        <w:fldChar w:fldCharType="begin"/>
      </w:r>
      <w:r w:rsidR="000C2D2D">
        <w:rPr>
          <w:szCs w:val="22"/>
        </w:rPr>
        <w:instrText xml:space="preserve"> REF _Ref355789027 \h </w:instrText>
      </w:r>
      <w:r w:rsidR="008A5F7D">
        <w:rPr>
          <w:szCs w:val="22"/>
        </w:rPr>
        <w:instrText xml:space="preserve"> \* MERGEFORMAT </w:instrText>
      </w:r>
      <w:r w:rsidR="000C2D2D">
        <w:rPr>
          <w:szCs w:val="22"/>
        </w:rPr>
      </w:r>
      <w:r w:rsidR="000C2D2D">
        <w:rPr>
          <w:szCs w:val="22"/>
        </w:rPr>
        <w:fldChar w:fldCharType="separate"/>
      </w:r>
      <w:r w:rsidR="00966532" w:rsidRPr="00966532">
        <w:rPr>
          <w:szCs w:val="22"/>
        </w:rPr>
        <w:t>Figure 3</w:t>
      </w:r>
      <w:r w:rsidR="00966532" w:rsidRPr="00966532">
        <w:rPr>
          <w:szCs w:val="22"/>
        </w:rPr>
        <w:noBreakHyphen/>
        <w:t>4</w:t>
      </w:r>
      <w:r w:rsidR="000C2D2D">
        <w:rPr>
          <w:szCs w:val="22"/>
        </w:rPr>
        <w:fldChar w:fldCharType="end"/>
      </w:r>
      <w:r w:rsidR="000C2D2D">
        <w:rPr>
          <w:szCs w:val="22"/>
        </w:rPr>
        <w:t xml:space="preserve">; </w:t>
      </w:r>
      <w:r w:rsidR="000C2D2D">
        <w:rPr>
          <w:szCs w:val="22"/>
        </w:rPr>
        <w:fldChar w:fldCharType="begin"/>
      </w:r>
      <w:r w:rsidR="000C2D2D">
        <w:rPr>
          <w:szCs w:val="22"/>
        </w:rPr>
        <w:instrText xml:space="preserve"> REF _Ref355790698 \h </w:instrText>
      </w:r>
      <w:r w:rsidR="008A5F7D">
        <w:rPr>
          <w:szCs w:val="22"/>
        </w:rPr>
        <w:instrText xml:space="preserve"> \* MERGEFORMAT </w:instrText>
      </w:r>
      <w:r w:rsidR="000C2D2D">
        <w:rPr>
          <w:szCs w:val="22"/>
        </w:rPr>
      </w:r>
      <w:r w:rsidR="000C2D2D">
        <w:rPr>
          <w:szCs w:val="22"/>
        </w:rPr>
        <w:fldChar w:fldCharType="separate"/>
      </w:r>
      <w:r w:rsidR="00966532" w:rsidRPr="00966532">
        <w:rPr>
          <w:szCs w:val="22"/>
        </w:rPr>
        <w:t>Figure 5</w:t>
      </w:r>
      <w:r w:rsidR="00966532" w:rsidRPr="00966532">
        <w:rPr>
          <w:szCs w:val="22"/>
        </w:rPr>
        <w:noBreakHyphen/>
        <w:t>14</w:t>
      </w:r>
      <w:r w:rsidR="000C2D2D">
        <w:rPr>
          <w:szCs w:val="22"/>
        </w:rPr>
        <w:fldChar w:fldCharType="end"/>
      </w:r>
      <w:r w:rsidRPr="000C2D2D">
        <w:rPr>
          <w:szCs w:val="22"/>
        </w:rPr>
        <w:t xml:space="preserve">). </w:t>
      </w:r>
    </w:p>
    <w:p w:rsidR="00566024" w:rsidRPr="000C2D2D" w:rsidRDefault="00566024" w:rsidP="00566024">
      <w:pPr>
        <w:autoSpaceDE w:val="0"/>
        <w:autoSpaceDN w:val="0"/>
        <w:adjustRightInd w:val="0"/>
        <w:rPr>
          <w:szCs w:val="22"/>
        </w:rPr>
      </w:pPr>
    </w:p>
    <w:p w:rsidR="00566024" w:rsidRDefault="00566024" w:rsidP="00566024">
      <w:pPr>
        <w:autoSpaceDE w:val="0"/>
        <w:autoSpaceDN w:val="0"/>
        <w:adjustRightInd w:val="0"/>
        <w:rPr>
          <w:szCs w:val="22"/>
        </w:rPr>
      </w:pPr>
      <w:r w:rsidRPr="000C2D2D">
        <w:rPr>
          <w:szCs w:val="22"/>
        </w:rPr>
        <w:t>The important role of faults in recharge is highlighted by the GW1 groundwater target, where hydrodynamic and hydrochemical studies show the Calivil Formation aquifer is rapidly recharged despite no direct connection between the river and the underlying aquifer, and a paucity of holes in the Blanchetown Clay and shallow aquitard (Lawrie</w:t>
      </w:r>
      <w:r w:rsidR="008A5F7D" w:rsidRPr="00CF7613">
        <w:rPr>
          <w:rStyle w:val="StyleItalic"/>
        </w:rPr>
        <w:t xml:space="preserve"> et al</w:t>
      </w:r>
      <w:r w:rsidRPr="000C2D2D">
        <w:rPr>
          <w:szCs w:val="22"/>
        </w:rPr>
        <w:t>., 2012b). In this target, bypass flow through faults is required to explain the rapid recharge (&lt;1 week) of the Calivil Formation aquifer in bores 200-300</w:t>
      </w:r>
      <w:r w:rsidR="008A5F7D">
        <w:rPr>
          <w:szCs w:val="22"/>
        </w:rPr>
        <w:t xml:space="preserve"> </w:t>
      </w:r>
      <w:r w:rsidRPr="000C2D2D">
        <w:rPr>
          <w:szCs w:val="22"/>
        </w:rPr>
        <w:t>m lateral to the Darling River (Lawrie</w:t>
      </w:r>
      <w:r w:rsidR="008A5F7D" w:rsidRPr="00CF7613">
        <w:rPr>
          <w:rStyle w:val="StyleItalic"/>
        </w:rPr>
        <w:t xml:space="preserve"> et al</w:t>
      </w:r>
      <w:r w:rsidRPr="000C2D2D">
        <w:rPr>
          <w:szCs w:val="22"/>
        </w:rPr>
        <w:t>., 2012b).</w:t>
      </w:r>
    </w:p>
    <w:p w:rsidR="00566024" w:rsidRDefault="00566024" w:rsidP="00566024">
      <w:pPr>
        <w:autoSpaceDE w:val="0"/>
        <w:autoSpaceDN w:val="0"/>
        <w:adjustRightInd w:val="0"/>
        <w:rPr>
          <w:szCs w:val="22"/>
        </w:rPr>
      </w:pPr>
    </w:p>
    <w:p w:rsidR="00566024" w:rsidRDefault="00706A3B" w:rsidP="00656729">
      <w:pPr>
        <w:autoSpaceDE w:val="0"/>
        <w:autoSpaceDN w:val="0"/>
        <w:adjustRightInd w:val="0"/>
        <w:spacing w:after="60"/>
        <w:jc w:val="center"/>
        <w:rPr>
          <w:szCs w:val="22"/>
        </w:rPr>
      </w:pPr>
      <w:r>
        <w:rPr>
          <w:noProof/>
          <w:szCs w:val="22"/>
        </w:rPr>
        <w:lastRenderedPageBreak/>
        <w:drawing>
          <wp:inline distT="0" distB="0" distL="0" distR="0" wp14:anchorId="3B2B6A45" wp14:editId="0B98A01A">
            <wp:extent cx="5412105" cy="7315200"/>
            <wp:effectExtent l="19050" t="19050" r="0" b="0"/>
            <wp:docPr id="52" name="Picture 52" descr="ProposedBorefield_EBJWTemplate_uca_top_leakage_zones_5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roposedBorefield_EBJWTemplate_uca_top_leakage_zones_50k"/>
                    <pic:cNvPicPr>
                      <a:picLocks noChangeAspect="1" noChangeArrowheads="1"/>
                    </pic:cNvPicPr>
                  </pic:nvPicPr>
                  <pic:blipFill>
                    <a:blip r:embed="rId89" cstate="print">
                      <a:extLst>
                        <a:ext uri="{28A0092B-C50C-407E-A947-70E740481C1C}">
                          <a14:useLocalDpi xmlns:a14="http://schemas.microsoft.com/office/drawing/2010/main" val="0"/>
                        </a:ext>
                      </a:extLst>
                    </a:blip>
                    <a:srcRect l="9026" t="6381" r="9370" b="15550"/>
                    <a:stretch>
                      <a:fillRect/>
                    </a:stretch>
                  </pic:blipFill>
                  <pic:spPr bwMode="auto">
                    <a:xfrm>
                      <a:off x="0" y="0"/>
                      <a:ext cx="5412105" cy="7315200"/>
                    </a:xfrm>
                    <a:prstGeom prst="rect">
                      <a:avLst/>
                    </a:prstGeom>
                    <a:noFill/>
                    <a:ln w="12700" cmpd="sng">
                      <a:solidFill>
                        <a:srgbClr val="000000"/>
                      </a:solidFill>
                      <a:miter lim="800000"/>
                      <a:headEnd/>
                      <a:tailEnd/>
                    </a:ln>
                    <a:effectLst/>
                  </pic:spPr>
                </pic:pic>
              </a:graphicData>
            </a:graphic>
          </wp:inline>
        </w:drawing>
      </w:r>
    </w:p>
    <w:p w:rsidR="00566024" w:rsidRPr="008A5F7D" w:rsidRDefault="000C2D2D" w:rsidP="008A5F7D">
      <w:pPr>
        <w:pStyle w:val="Caption"/>
      </w:pPr>
      <w:bookmarkStart w:id="338" w:name="_Ref355790698"/>
      <w:r w:rsidRPr="008A5F7D">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5</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14</w:t>
      </w:r>
      <w:r w:rsidR="00A23C59">
        <w:rPr>
          <w:b/>
          <w:iCs/>
        </w:rPr>
        <w:fldChar w:fldCharType="end"/>
      </w:r>
      <w:bookmarkEnd w:id="338"/>
      <w:r w:rsidRPr="008A5F7D">
        <w:rPr>
          <w:b/>
          <w:iCs/>
        </w:rPr>
        <w:t>.</w:t>
      </w:r>
      <w:r w:rsidR="00D039C6">
        <w:t xml:space="preserve"> </w:t>
      </w:r>
      <w:r w:rsidR="00566024" w:rsidRPr="008A5F7D">
        <w:t xml:space="preserve">Map of the top Blanchetown Clay surface showing contoured elevations and interpreted faults. This image also shows potential inter-aquifer leakage zones (pale yellow stipple) which occur at sites where the unconfined Coonambidgal Formation aquifer is juxtaposed against the semi-confined Calivil Formation aquifer and/or where the Blanchetown Clay has been eroded (cross-hatched pattern) on the footwall zones of some of the larger faults. Rapid recharge of the Calivil is recorded in a number of the bores close to these zones. </w:t>
      </w:r>
      <w:r w:rsidR="002633A2" w:rsidRPr="009E42A3">
        <w:rPr>
          <w:i w:val="0"/>
        </w:rPr>
        <w:fldChar w:fldCharType="begin"/>
      </w:r>
      <w:r w:rsidR="002633A2" w:rsidRPr="009E42A3">
        <w:rPr>
          <w:i w:val="0"/>
        </w:rPr>
        <w:instrText xml:space="preserve"> TC "</w:instrText>
      </w:r>
      <w:bookmarkStart w:id="339" w:name="_Toc390690233"/>
      <w:r w:rsidR="002633A2" w:rsidRPr="009E42A3">
        <w:rPr>
          <w:i w:val="0"/>
        </w:rPr>
        <w:instrText xml:space="preserve">Figure </w:instrText>
      </w:r>
      <w:r w:rsidR="002633A2">
        <w:rPr>
          <w:i w:val="0"/>
        </w:rPr>
        <w:instrText>5-</w:instrText>
      </w:r>
      <w:r w:rsidR="002633A2" w:rsidRPr="009E42A3">
        <w:rPr>
          <w:i w:val="0"/>
        </w:rPr>
        <w:instrText>1</w:instrText>
      </w:r>
      <w:r w:rsidR="002633A2">
        <w:rPr>
          <w:i w:val="0"/>
        </w:rPr>
        <w:instrText>4</w:instrText>
      </w:r>
      <w:r w:rsidR="002633A2" w:rsidRPr="009E42A3">
        <w:rPr>
          <w:i w:val="0"/>
        </w:rPr>
        <w:instrText xml:space="preserve">. </w:instrText>
      </w:r>
      <w:r w:rsidR="00971C9D">
        <w:rPr>
          <w:i w:val="0"/>
        </w:rPr>
        <w:instrText>Blanchetown</w:instrText>
      </w:r>
      <w:r w:rsidR="002633A2">
        <w:rPr>
          <w:i w:val="0"/>
        </w:rPr>
        <w:instrText xml:space="preserve"> Clay surface and associated structural features for the northern portion of Jimargil</w:instrText>
      </w:r>
      <w:bookmarkEnd w:id="339"/>
      <w:r w:rsidR="002633A2" w:rsidRPr="009E42A3">
        <w:rPr>
          <w:i w:val="0"/>
        </w:rPr>
        <w:instrText xml:space="preserve">" \f A \l “4” </w:instrText>
      </w:r>
      <w:r w:rsidR="002633A2" w:rsidRPr="009E42A3">
        <w:rPr>
          <w:i w:val="0"/>
        </w:rPr>
        <w:fldChar w:fldCharType="end"/>
      </w:r>
    </w:p>
    <w:p w:rsidR="008242D7" w:rsidRDefault="00AA7E88" w:rsidP="00B004B9">
      <w:pPr>
        <w:pStyle w:val="Heading1"/>
        <w:tabs>
          <w:tab w:val="clear" w:pos="360"/>
          <w:tab w:val="num" w:pos="720"/>
        </w:tabs>
        <w:ind w:left="720" w:hanging="720"/>
      </w:pPr>
      <w:bookmarkStart w:id="340" w:name="_Toc355796789"/>
      <w:bookmarkStart w:id="341" w:name="_Toc355796790"/>
      <w:bookmarkStart w:id="342" w:name="_Toc355796791"/>
      <w:bookmarkStart w:id="343" w:name="_Toc355796792"/>
      <w:bookmarkStart w:id="344" w:name="_Toc355796793"/>
      <w:bookmarkStart w:id="345" w:name="_Toc355796795"/>
      <w:bookmarkStart w:id="346" w:name="_Toc355796796"/>
      <w:bookmarkStart w:id="347" w:name="_Toc355796797"/>
      <w:bookmarkStart w:id="348" w:name="_Toc355796798"/>
      <w:bookmarkStart w:id="349" w:name="_Toc355796799"/>
      <w:bookmarkStart w:id="350" w:name="_Toc355796800"/>
      <w:bookmarkStart w:id="351" w:name="_Toc355796801"/>
      <w:bookmarkStart w:id="352" w:name="_Toc355796802"/>
      <w:bookmarkStart w:id="353" w:name="_Toc355796803"/>
      <w:bookmarkStart w:id="354" w:name="_Toc355796804"/>
      <w:bookmarkStart w:id="355" w:name="_Toc355796805"/>
      <w:bookmarkStart w:id="356" w:name="_Toc355796806"/>
      <w:bookmarkStart w:id="357" w:name="_Toc355796807"/>
      <w:bookmarkStart w:id="358" w:name="_Toc355796809"/>
      <w:bookmarkStart w:id="359" w:name="_Toc355796812"/>
      <w:bookmarkStart w:id="360" w:name="_Toc355796813"/>
      <w:bookmarkStart w:id="361" w:name="_Toc355796814"/>
      <w:bookmarkStart w:id="362" w:name="_Toc355796815"/>
      <w:bookmarkStart w:id="363" w:name="_Toc355796816"/>
      <w:bookmarkStart w:id="364" w:name="_Toc355796817"/>
      <w:bookmarkStart w:id="365" w:name="_Toc355796818"/>
      <w:bookmarkStart w:id="366" w:name="_Toc355796819"/>
      <w:bookmarkStart w:id="367" w:name="_Toc355796820"/>
      <w:bookmarkStart w:id="368" w:name="_Toc355796821"/>
      <w:bookmarkStart w:id="369" w:name="_Toc355796822"/>
      <w:bookmarkStart w:id="370" w:name="_Toc355796823"/>
      <w:bookmarkStart w:id="371" w:name="_Toc355796824"/>
      <w:bookmarkStart w:id="372" w:name="_Toc355796825"/>
      <w:bookmarkStart w:id="373" w:name="_Toc355796826"/>
      <w:bookmarkStart w:id="374" w:name="_Toc355796827"/>
      <w:bookmarkStart w:id="375" w:name="_Toc355796828"/>
      <w:bookmarkStart w:id="376" w:name="_Toc355796829"/>
      <w:bookmarkStart w:id="377" w:name="_Toc355796830"/>
      <w:bookmarkStart w:id="378" w:name="_Toc355796833"/>
      <w:bookmarkStart w:id="379" w:name="_Toc355796834"/>
      <w:bookmarkStart w:id="380" w:name="_Toc355796846"/>
      <w:bookmarkStart w:id="381" w:name="_Ref325644687"/>
      <w:bookmarkStart w:id="382" w:name="_Toc325700105"/>
      <w:bookmarkStart w:id="383" w:name="_Toc325700448"/>
      <w:bookmarkEnd w:id="308"/>
      <w:bookmarkEnd w:id="309"/>
      <w:bookmarkEnd w:id="310"/>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r>
        <w:br w:type="page"/>
      </w:r>
      <w:bookmarkStart w:id="384" w:name="_Toc390690122"/>
      <w:bookmarkStart w:id="385" w:name="_Toc325700120"/>
      <w:bookmarkStart w:id="386" w:name="_Toc325700463"/>
      <w:bookmarkStart w:id="387" w:name="_Toc325975145"/>
      <w:bookmarkEnd w:id="381"/>
      <w:bookmarkEnd w:id="382"/>
      <w:bookmarkEnd w:id="383"/>
      <w:r w:rsidR="008242D7">
        <w:lastRenderedPageBreak/>
        <w:t>Hydrogeology</w:t>
      </w:r>
      <w:bookmarkEnd w:id="384"/>
    </w:p>
    <w:p w:rsidR="00AD694A" w:rsidRDefault="008242D7" w:rsidP="00021090">
      <w:r w:rsidRPr="008242D7">
        <w:t xml:space="preserve">A conceptual understanding of aquifers and aquitards and how key processes such as groundwater recharge and discharge occur was needed to evaluate groundwater resource and MAR options. As well as defining the </w:t>
      </w:r>
      <w:r w:rsidRPr="00106292">
        <w:t xml:space="preserve">hydrogeological framework through </w:t>
      </w:r>
      <w:r w:rsidR="00AD694A">
        <w:t xml:space="preserve">use of </w:t>
      </w:r>
      <w:r w:rsidRPr="00106292">
        <w:t xml:space="preserve">AEM, downhole geophysics, sonic drilling and other datasets, the interpretation of groundwater hydrographic and hydrochemical data was critical in defining key groundwater processes. </w:t>
      </w:r>
    </w:p>
    <w:p w:rsidR="00AD694A" w:rsidRDefault="00AD694A" w:rsidP="00021090"/>
    <w:p w:rsidR="008242D7" w:rsidRPr="00AD694A" w:rsidRDefault="008242D7" w:rsidP="00021090">
      <w:r w:rsidRPr="00106292">
        <w:t>The following section summarises the lines of evidence used to develop the hydrogeological conceptual model for the Darling floodplain aquifers as discussed in Lawrie</w:t>
      </w:r>
      <w:r w:rsidR="008A5F7D" w:rsidRPr="00CF7613">
        <w:rPr>
          <w:rStyle w:val="StyleItalic"/>
        </w:rPr>
        <w:t xml:space="preserve"> et al</w:t>
      </w:r>
      <w:r w:rsidRPr="00106292">
        <w:t>. (2012b).</w:t>
      </w:r>
      <w:r w:rsidR="00AD694A" w:rsidRPr="00AD694A">
        <w:t xml:space="preserve"> The focus is on the key aquifers of the </w:t>
      </w:r>
      <w:r w:rsidR="00A56C85">
        <w:t>project</w:t>
      </w:r>
      <w:r w:rsidR="00AD694A" w:rsidRPr="00AD694A">
        <w:t xml:space="preserve"> area, namely the shallow unconfined Quaternary aquifers and the underlying typically semi-confined Pliocene aquifer. Stratigraphically, the former can consist of the Coonambidgal, Menindee and Willotia sequences, and the latter can be within the Calivil Formation and</w:t>
      </w:r>
      <w:r w:rsidR="00AD694A">
        <w:t xml:space="preserve"> the</w:t>
      </w:r>
      <w:r w:rsidR="00AD694A" w:rsidRPr="00AD694A">
        <w:t xml:space="preserve"> Loxton-Parilla Sands. The section describes aquifer characteristics such as groundwater salinity, hydraulic conductivity, transmissivity, potentiometry and groundwater dynamics.</w:t>
      </w:r>
    </w:p>
    <w:p w:rsidR="008242D7" w:rsidRPr="00106292" w:rsidRDefault="00DA40F0" w:rsidP="00021090">
      <w:pPr>
        <w:pStyle w:val="Heading2"/>
        <w:tabs>
          <w:tab w:val="left" w:pos="720"/>
        </w:tabs>
        <w:spacing w:before="320"/>
      </w:pPr>
      <w:bookmarkStart w:id="388" w:name="_Toc390690123"/>
      <w:r w:rsidRPr="00106292">
        <w:t>Groundwater Salinity D</w:t>
      </w:r>
      <w:r w:rsidR="008242D7" w:rsidRPr="00106292">
        <w:t>istribution</w:t>
      </w:r>
      <w:bookmarkEnd w:id="388"/>
    </w:p>
    <w:p w:rsidR="00AD694A" w:rsidRDefault="00AD694A" w:rsidP="008242D7">
      <w:smartTag w:uri="urn:schemas-microsoft-com:office:smarttags" w:element="PersonName">
        <w:r w:rsidRPr="00106292">
          <w:t>Groundwater</w:t>
        </w:r>
      </w:smartTag>
      <w:r w:rsidRPr="00106292">
        <w:t xml:space="preserve"> salinity is a critical water quality parameter defining the suitability of extracted groundwater to proposed uses, such as town water supply, irrigation or stock and domestic. Equally, groundwater salinity is important from a MAR perspective because zones of fresh groundwater are targeted for their potential for high MAR recovery efficiencies. Hence, groundwater salinity is a fundamental dataset for identifying targets for both groundwater extraction and MAR options (Lawrie</w:t>
      </w:r>
      <w:r w:rsidR="008A5F7D" w:rsidRPr="00CF7613">
        <w:rPr>
          <w:rStyle w:val="StyleItalic"/>
        </w:rPr>
        <w:t xml:space="preserve"> et al</w:t>
      </w:r>
      <w:r w:rsidRPr="00106292">
        <w:t xml:space="preserve">., 2012c, d). </w:t>
      </w:r>
    </w:p>
    <w:p w:rsidR="00AD694A" w:rsidRDefault="00AD694A" w:rsidP="008242D7"/>
    <w:p w:rsidR="005E1EAF" w:rsidRPr="00106292" w:rsidRDefault="008242D7" w:rsidP="008242D7">
      <w:r w:rsidRPr="00106292">
        <w:t>A prominent feature of the AEM depth slices (</w:t>
      </w:r>
      <w:r w:rsidR="00B03359">
        <w:t xml:space="preserve">Appendix 4, </w:t>
      </w:r>
      <w:r w:rsidRPr="00106292">
        <w:t>Apps</w:t>
      </w:r>
      <w:r w:rsidR="008A5F7D" w:rsidRPr="00CF7613">
        <w:rPr>
          <w:rStyle w:val="StyleItalic"/>
        </w:rPr>
        <w:t xml:space="preserve"> et al</w:t>
      </w:r>
      <w:r w:rsidRPr="00106292">
        <w:t xml:space="preserve">., </w:t>
      </w:r>
      <w:r w:rsidR="00031ADD" w:rsidRPr="00106292">
        <w:t>2012</w:t>
      </w:r>
      <w:r w:rsidR="00B03359">
        <w:t>c</w:t>
      </w:r>
      <w:r w:rsidRPr="00106292">
        <w:t>) is low-conductivity zones along the river corridor</w:t>
      </w:r>
      <w:r w:rsidR="001B677D" w:rsidRPr="00106292">
        <w:t xml:space="preserve"> (</w:t>
      </w:r>
      <w:r w:rsidR="001B677D" w:rsidRPr="00106292">
        <w:fldChar w:fldCharType="begin"/>
      </w:r>
      <w:r w:rsidR="001B677D" w:rsidRPr="00106292">
        <w:instrText xml:space="preserve"> REF _Ref325707840 \h  \* MERGEFORMAT </w:instrText>
      </w:r>
      <w:r w:rsidR="001B677D" w:rsidRPr="00106292">
        <w:fldChar w:fldCharType="separate"/>
      </w:r>
      <w:r w:rsidR="00966532" w:rsidRPr="00966532">
        <w:t xml:space="preserve">Figure </w:t>
      </w:r>
      <w:r w:rsidR="00966532" w:rsidRPr="00966532">
        <w:rPr>
          <w:noProof/>
        </w:rPr>
        <w:t>6</w:t>
      </w:r>
      <w:r w:rsidR="00966532" w:rsidRPr="00966532">
        <w:rPr>
          <w:noProof/>
        </w:rPr>
        <w:noBreakHyphen/>
        <w:t>1</w:t>
      </w:r>
      <w:r w:rsidR="001B677D" w:rsidRPr="00106292">
        <w:fldChar w:fldCharType="end"/>
      </w:r>
      <w:r w:rsidR="001B677D" w:rsidRPr="00106292">
        <w:t>; Lawrie</w:t>
      </w:r>
      <w:r w:rsidR="008A5F7D" w:rsidRPr="00CF7613">
        <w:rPr>
          <w:rStyle w:val="StyleItalic"/>
        </w:rPr>
        <w:t xml:space="preserve"> et al</w:t>
      </w:r>
      <w:r w:rsidR="001B677D" w:rsidRPr="00106292">
        <w:t>., 2012b)</w:t>
      </w:r>
      <w:r w:rsidRPr="00106292">
        <w:t xml:space="preserve">. The integration of pore fluid salinity </w:t>
      </w:r>
      <w:r w:rsidRPr="00AD694A">
        <w:t>(</w:t>
      </w:r>
      <w:r w:rsidR="00B03359">
        <w:t xml:space="preserve">Appendix 6, </w:t>
      </w:r>
      <w:r w:rsidR="00AD694A">
        <w:t>Somerville</w:t>
      </w:r>
      <w:r w:rsidR="008A5F7D" w:rsidRPr="00CF7613">
        <w:rPr>
          <w:rStyle w:val="StyleItalic"/>
        </w:rPr>
        <w:t xml:space="preserve"> et al</w:t>
      </w:r>
      <w:r w:rsidR="00AD694A" w:rsidRPr="00CF7613">
        <w:rPr>
          <w:rStyle w:val="StyleItalic"/>
        </w:rPr>
        <w:t>.,</w:t>
      </w:r>
      <w:r w:rsidR="00AD694A">
        <w:t xml:space="preserve"> 2012</w:t>
      </w:r>
      <w:r w:rsidRPr="00AD694A">
        <w:t>)</w:t>
      </w:r>
      <w:r w:rsidRPr="00106292">
        <w:t xml:space="preserve"> and </w:t>
      </w:r>
      <w:r w:rsidR="00F87D8A">
        <w:t>the AEM data</w:t>
      </w:r>
      <w:r w:rsidRPr="00106292">
        <w:t xml:space="preserve"> was used to develop indicative groundwater salinity mapping on an AEM depth slice basis (Lawrie</w:t>
      </w:r>
      <w:r w:rsidR="008A5F7D" w:rsidRPr="00CF7613">
        <w:rPr>
          <w:rStyle w:val="StyleItalic"/>
        </w:rPr>
        <w:t xml:space="preserve"> et al</w:t>
      </w:r>
      <w:r w:rsidRPr="00106292">
        <w:t xml:space="preserve">., 2012a). </w:t>
      </w:r>
      <w:r w:rsidR="009038E6" w:rsidRPr="00106292">
        <w:fldChar w:fldCharType="begin"/>
      </w:r>
      <w:r w:rsidR="009038E6" w:rsidRPr="00106292">
        <w:instrText xml:space="preserve"> REF _Ref325707840 \h  \* MERGEFORMAT </w:instrText>
      </w:r>
      <w:r w:rsidR="009038E6" w:rsidRPr="00106292">
        <w:fldChar w:fldCharType="separate"/>
      </w:r>
      <w:r w:rsidR="00966532" w:rsidRPr="00966532">
        <w:t>Figure 6</w:t>
      </w:r>
      <w:r w:rsidR="00966532" w:rsidRPr="00966532">
        <w:noBreakHyphen/>
        <w:t>1</w:t>
      </w:r>
      <w:r w:rsidR="009038E6" w:rsidRPr="00106292">
        <w:fldChar w:fldCharType="end"/>
      </w:r>
      <w:r w:rsidRPr="00106292">
        <w:t xml:space="preserve"> is an example of this groundwater salinity mapping for a particular depth slice in the target </w:t>
      </w:r>
      <w:r w:rsidR="00C217F0">
        <w:t>Calivil Formation</w:t>
      </w:r>
      <w:r w:rsidR="001B677D" w:rsidRPr="00106292">
        <w:t xml:space="preserve"> </w:t>
      </w:r>
      <w:r w:rsidRPr="00106292">
        <w:t xml:space="preserve">aquifer, showing the predicted distribution of fresh (&lt;600 mg/L), acceptable (600-1200 mg/L) and brackish (1200-3000 mg/L) groundwater. </w:t>
      </w:r>
      <w:r w:rsidR="00AD694A" w:rsidRPr="00106292">
        <w:t xml:space="preserve">The depth slice interpretations of groundwater salinity in the </w:t>
      </w:r>
      <w:r w:rsidR="00AD694A">
        <w:t>Calivil Formation</w:t>
      </w:r>
      <w:r w:rsidR="00AD694A" w:rsidRPr="00106292">
        <w:t xml:space="preserve"> aquifer (</w:t>
      </w:r>
      <w:r w:rsidR="00B03359">
        <w:t xml:space="preserve">Appendix 4 and 5, </w:t>
      </w:r>
      <w:r w:rsidR="00AD694A" w:rsidRPr="00106292">
        <w:t>Apps</w:t>
      </w:r>
      <w:r w:rsidR="008A5F7D" w:rsidRPr="00CF7613">
        <w:rPr>
          <w:rStyle w:val="StyleItalic"/>
        </w:rPr>
        <w:t xml:space="preserve"> et al</w:t>
      </w:r>
      <w:r w:rsidR="00AD694A" w:rsidRPr="00106292">
        <w:t>., 2012</w:t>
      </w:r>
      <w:r w:rsidR="00B03359">
        <w:t>c</w:t>
      </w:r>
      <w:r w:rsidR="00AD694A" w:rsidRPr="00106292">
        <w:t xml:space="preserve">, </w:t>
      </w:r>
      <w:r w:rsidR="00B03359">
        <w:t>d respectively</w:t>
      </w:r>
      <w:r w:rsidR="00AD694A" w:rsidRPr="00106292">
        <w:t xml:space="preserve">) were combined to provide a perspective of the key areas with fresh groundwater resources across the study area. As indicated in </w:t>
      </w:r>
      <w:r w:rsidR="00AD694A" w:rsidRPr="00106292">
        <w:fldChar w:fldCharType="begin"/>
      </w:r>
      <w:r w:rsidR="00AD694A" w:rsidRPr="00106292">
        <w:instrText xml:space="preserve"> REF _Ref325707868 \h  \* MERGEFORMAT </w:instrText>
      </w:r>
      <w:r w:rsidR="00AD694A" w:rsidRPr="00106292">
        <w:fldChar w:fldCharType="separate"/>
      </w:r>
      <w:r w:rsidR="00966532" w:rsidRPr="00966532">
        <w:t>Figure 6</w:t>
      </w:r>
      <w:r w:rsidR="00966532" w:rsidRPr="00966532">
        <w:noBreakHyphen/>
        <w:t>2</w:t>
      </w:r>
      <w:r w:rsidR="00AD694A" w:rsidRPr="00106292">
        <w:fldChar w:fldCharType="end"/>
      </w:r>
      <w:r w:rsidR="00AD694A" w:rsidRPr="00106292">
        <w:t>, this enabled the identification of 14 regional target areas (GWR1-14). The boundaries marked are the maximum spatial extent of the aquifer with predicted salinities &lt;3000 mg/L.</w:t>
      </w:r>
      <w:r w:rsidR="00AA4D8A">
        <w:t xml:space="preserve"> </w:t>
      </w:r>
      <w:r w:rsidRPr="00106292">
        <w:t xml:space="preserve">The distribution of fresh groundwater resource targets largely along the </w:t>
      </w:r>
      <w:smartTag w:uri="urn:schemas-microsoft-com:office:smarttags" w:element="place">
        <w:r w:rsidRPr="00106292">
          <w:t>Darling River</w:t>
        </w:r>
      </w:smartTag>
      <w:r w:rsidRPr="00106292">
        <w:t xml:space="preserve"> and Talyawalka Creek floodplains provide compelling evidence for the fundamental importance of surface water leakage to groundwater recharge (Lawrie</w:t>
      </w:r>
      <w:r w:rsidR="008A5F7D" w:rsidRPr="00CF7613">
        <w:rPr>
          <w:rStyle w:val="StyleItalic"/>
        </w:rPr>
        <w:t xml:space="preserve"> et al</w:t>
      </w:r>
      <w:r w:rsidRPr="00106292">
        <w:t xml:space="preserve">., 2012b). There are also indications of groundwater freshening due to leakage from the MLS, specifically Lakes Wetherell and </w:t>
      </w:r>
      <w:r w:rsidR="00C217F0">
        <w:t>Menindee</w:t>
      </w:r>
      <w:r w:rsidRPr="00106292">
        <w:t>.</w:t>
      </w:r>
    </w:p>
    <w:p w:rsidR="008242D7" w:rsidRDefault="008242D7" w:rsidP="008242D7"/>
    <w:p w:rsidR="005E1EAF" w:rsidRPr="00106292" w:rsidRDefault="005E1EAF" w:rsidP="008242D7">
      <w:r>
        <w:t>The regional groundwater resource targets are described in detail in Lawrie</w:t>
      </w:r>
      <w:r w:rsidR="008A5F7D" w:rsidRPr="00CF7613">
        <w:rPr>
          <w:rStyle w:val="StyleItalic"/>
        </w:rPr>
        <w:t xml:space="preserve"> et al</w:t>
      </w:r>
      <w:r w:rsidRPr="00CF7613">
        <w:rPr>
          <w:rStyle w:val="StyleItalic"/>
        </w:rPr>
        <w:t>.</w:t>
      </w:r>
      <w:r>
        <w:t xml:space="preserve"> (2012d). Targets were also identified at the borefield scale, particularly within the GWR1 resource located near Menindee. These borefield targets are described in detail in Lawrie</w:t>
      </w:r>
      <w:r w:rsidR="008A5F7D" w:rsidRPr="00CF7613">
        <w:rPr>
          <w:rStyle w:val="StyleItalic"/>
        </w:rPr>
        <w:t xml:space="preserve"> et al</w:t>
      </w:r>
      <w:r>
        <w:t>. (2012c).</w:t>
      </w:r>
    </w:p>
    <w:p w:rsidR="008242D7" w:rsidRPr="00106292" w:rsidRDefault="00DA40F0" w:rsidP="00021090">
      <w:pPr>
        <w:pStyle w:val="Heading2"/>
        <w:tabs>
          <w:tab w:val="left" w:pos="720"/>
        </w:tabs>
        <w:spacing w:before="320"/>
      </w:pPr>
      <w:bookmarkStart w:id="389" w:name="_Toc390690124"/>
      <w:r w:rsidRPr="00106292">
        <w:t>A</w:t>
      </w:r>
      <w:r w:rsidR="008242D7" w:rsidRPr="00106292">
        <w:t xml:space="preserve">quifer </w:t>
      </w:r>
      <w:r w:rsidRPr="00106292">
        <w:t>P</w:t>
      </w:r>
      <w:r w:rsidR="008242D7" w:rsidRPr="00106292">
        <w:t>otentiometry</w:t>
      </w:r>
      <w:bookmarkEnd w:id="389"/>
    </w:p>
    <w:p w:rsidR="008242D7" w:rsidRPr="00106292" w:rsidRDefault="008242D7" w:rsidP="008242D7">
      <w:r w:rsidRPr="00106292">
        <w:t xml:space="preserve">Regional mapping by Brodie (1994) and Kellett (1994) of the shallow watertable and the potentiometric surface for the </w:t>
      </w:r>
      <w:r w:rsidR="00C217F0">
        <w:t>Calivil Formation</w:t>
      </w:r>
      <w:r w:rsidR="00303E73">
        <w:t xml:space="preserve"> </w:t>
      </w:r>
      <w:r w:rsidRPr="00106292">
        <w:t>aquifer was updated for the study area, largely based on the sonic drilling program and the project monitoring bores (Lawrie</w:t>
      </w:r>
      <w:r w:rsidR="008A5F7D" w:rsidRPr="00CF7613">
        <w:rPr>
          <w:rStyle w:val="StyleItalic"/>
        </w:rPr>
        <w:t xml:space="preserve"> et al</w:t>
      </w:r>
      <w:r w:rsidRPr="00106292">
        <w:t xml:space="preserve">., 2012a; </w:t>
      </w:r>
      <w:r w:rsidR="00B03359">
        <w:t xml:space="preserve">Appendix 5, </w:t>
      </w:r>
      <w:r w:rsidRPr="00106292">
        <w:t>Apps</w:t>
      </w:r>
      <w:r w:rsidR="008A5F7D" w:rsidRPr="00CF7613">
        <w:rPr>
          <w:rStyle w:val="StyleItalic"/>
        </w:rPr>
        <w:t xml:space="preserve"> et al</w:t>
      </w:r>
      <w:r w:rsidRPr="00106292">
        <w:t xml:space="preserve">., </w:t>
      </w:r>
      <w:r w:rsidR="00031ADD" w:rsidRPr="00106292">
        <w:t>2012</w:t>
      </w:r>
      <w:r w:rsidR="00B03359">
        <w:t>b</w:t>
      </w:r>
      <w:r w:rsidRPr="00106292">
        <w:t xml:space="preserve">). </w:t>
      </w:r>
      <w:r w:rsidR="00445380">
        <w:t>In the absence of project data, these water level contours were based on th</w:t>
      </w:r>
      <w:r w:rsidR="0082324E">
        <w:t>e historic mapping (Brodie, 1994;</w:t>
      </w:r>
      <w:r w:rsidR="00445380">
        <w:t xml:space="preserve"> Kellett, 1994) supported by any historical groundwater level measurements recorded in </w:t>
      </w:r>
      <w:smartTag w:uri="urn:schemas-microsoft-com:office:smarttags" w:element="place">
        <w:smartTag w:uri="urn:schemas-microsoft-com:office:smarttags" w:element="PlaceName">
          <w:r w:rsidR="003F6C96">
            <w:t>NSW</w:t>
          </w:r>
        </w:smartTag>
        <w:r w:rsidR="003F6C96">
          <w:t xml:space="preserve"> </w:t>
        </w:r>
        <w:smartTag w:uri="urn:schemas-microsoft-com:office:smarttags" w:element="PlaceType">
          <w:r w:rsidR="00445380">
            <w:t>State</w:t>
          </w:r>
        </w:smartTag>
      </w:smartTag>
      <w:r w:rsidR="00445380">
        <w:t xml:space="preserve"> agency databases. </w:t>
      </w:r>
      <w:r w:rsidRPr="00106292">
        <w:t xml:space="preserve">Due to the large spacing between monitoring bores, these </w:t>
      </w:r>
      <w:r w:rsidR="00445380">
        <w:t>groundwater level contours</w:t>
      </w:r>
      <w:r w:rsidRPr="00106292">
        <w:t xml:space="preserve"> surfaces are </w:t>
      </w:r>
      <w:r w:rsidR="00445380">
        <w:t>speculative</w:t>
      </w:r>
      <w:r w:rsidRPr="00106292">
        <w:t xml:space="preserve"> in nature.</w:t>
      </w:r>
    </w:p>
    <w:p w:rsidR="008242D7" w:rsidRPr="00106292" w:rsidRDefault="008242D7" w:rsidP="008242D7"/>
    <w:p w:rsidR="008242D7" w:rsidRPr="00106292" w:rsidRDefault="008242D7" w:rsidP="008242D7">
      <w:r w:rsidRPr="00106292">
        <w:t>The watertable surface shows a regional south to southwest groundwater flow trend disrupted by watertable mounding associated with the river system and lake storages (</w:t>
      </w:r>
      <w:r w:rsidR="009038E6" w:rsidRPr="00106292">
        <w:fldChar w:fldCharType="begin"/>
      </w:r>
      <w:r w:rsidR="009038E6" w:rsidRPr="00106292">
        <w:instrText xml:space="preserve"> REF _Ref325707875 \h  \* MERGEFORMAT </w:instrText>
      </w:r>
      <w:r w:rsidR="009038E6" w:rsidRPr="00106292">
        <w:fldChar w:fldCharType="separate"/>
      </w:r>
      <w:r w:rsidR="00966532" w:rsidRPr="00966532">
        <w:t>Figure 6</w:t>
      </w:r>
      <w:r w:rsidR="00966532" w:rsidRPr="00966532">
        <w:noBreakHyphen/>
        <w:t>3</w:t>
      </w:r>
      <w:r w:rsidR="009038E6" w:rsidRPr="00106292">
        <w:fldChar w:fldCharType="end"/>
      </w:r>
      <w:r w:rsidRPr="00106292">
        <w:t xml:space="preserve">). This confirms the importance of </w:t>
      </w:r>
      <w:r w:rsidRPr="00106292">
        <w:lastRenderedPageBreak/>
        <w:t xml:space="preserve">river and lake leakage as being the primary mechanism for groundwater recharge, rather than </w:t>
      </w:r>
      <w:r w:rsidR="00445380">
        <w:t>diffuse recharge from</w:t>
      </w:r>
      <w:r w:rsidRPr="00106292">
        <w:t xml:space="preserve"> rainfall (Lawrie</w:t>
      </w:r>
      <w:r w:rsidR="008A5F7D" w:rsidRPr="00CF7613">
        <w:rPr>
          <w:rStyle w:val="StyleItalic"/>
        </w:rPr>
        <w:t xml:space="preserve"> et al</w:t>
      </w:r>
      <w:r w:rsidRPr="00106292">
        <w:t xml:space="preserve">., 2012b). The most significant mounding is associated with leakage under </w:t>
      </w:r>
      <w:smartTag w:uri="urn:schemas-microsoft-com:office:smarttags" w:element="PlaceType">
        <w:r w:rsidRPr="00106292">
          <w:t>Lake</w:t>
        </w:r>
      </w:smartTag>
      <w:r w:rsidRPr="00106292">
        <w:t xml:space="preserve"> </w:t>
      </w:r>
      <w:smartTag w:uri="urn:schemas-microsoft-com:office:smarttags" w:element="PlaceName">
        <w:r w:rsidRPr="00106292">
          <w:t>Wetherell</w:t>
        </w:r>
      </w:smartTag>
      <w:r w:rsidRPr="00106292">
        <w:t xml:space="preserve"> in the Darling floodplain and also lake leakage near the northwest edge of </w:t>
      </w:r>
      <w:smartTag w:uri="urn:schemas-microsoft-com:office:smarttags" w:element="place">
        <w:smartTag w:uri="urn:schemas-microsoft-com:office:smarttags" w:element="PlaceType">
          <w:r w:rsidR="00C217F0">
            <w:t>Lake</w:t>
          </w:r>
        </w:smartTag>
        <w:r w:rsidR="00C217F0">
          <w:t xml:space="preserve"> </w:t>
        </w:r>
        <w:smartTag w:uri="urn:schemas-microsoft-com:office:smarttags" w:element="PlaceName">
          <w:r w:rsidR="00C217F0">
            <w:t>Menindee</w:t>
          </w:r>
        </w:smartTag>
      </w:smartTag>
      <w:r w:rsidRPr="00106292">
        <w:t xml:space="preserve">. </w:t>
      </w:r>
      <w:smartTag w:uri="urn:schemas-microsoft-com:office:smarttags" w:element="PersonName">
        <w:r w:rsidRPr="00106292">
          <w:t>Groundwater</w:t>
        </w:r>
      </w:smartTag>
      <w:r w:rsidRPr="00106292">
        <w:t xml:space="preserve"> mounding is also mapped along the </w:t>
      </w:r>
      <w:smartTag w:uri="urn:schemas-microsoft-com:office:smarttags" w:element="place">
        <w:r w:rsidRPr="00106292">
          <w:t>Darling River</w:t>
        </w:r>
      </w:smartTag>
      <w:r w:rsidRPr="00106292">
        <w:t xml:space="preserve"> corridor south of </w:t>
      </w:r>
      <w:r w:rsidR="00C217F0">
        <w:t xml:space="preserve">Menindee </w:t>
      </w:r>
      <w:r w:rsidRPr="00106292">
        <w:t xml:space="preserve">as well as along Talyawalka Creek. These are losing drainage features that form local groundwater divides. High watertable elevations along the </w:t>
      </w:r>
      <w:smartTag w:uri="urn:schemas-microsoft-com:office:smarttags" w:element="place">
        <w:r w:rsidRPr="00106292">
          <w:t>Darling River</w:t>
        </w:r>
      </w:smartTag>
      <w:r w:rsidRPr="00106292">
        <w:t xml:space="preserve"> in the northeast part of the study area relate to topographic effects associated with buried basement highs, as well as the effects of river-related recharge (Lawrie</w:t>
      </w:r>
      <w:r w:rsidR="008A5F7D" w:rsidRPr="00CF7613">
        <w:rPr>
          <w:rStyle w:val="StyleItalic"/>
        </w:rPr>
        <w:t xml:space="preserve"> et al</w:t>
      </w:r>
      <w:r w:rsidRPr="00106292">
        <w:t>., 2012b). Regional lateral hydraulic gradients are low, even with the effects of recharge along the river corridors, typically in the range of 0.2- 0.8 m/km.</w:t>
      </w:r>
    </w:p>
    <w:p w:rsidR="008242D7" w:rsidRPr="00106292" w:rsidRDefault="008242D7" w:rsidP="009038E6"/>
    <w:p w:rsidR="008242D7" w:rsidRDefault="008242D7" w:rsidP="008242D7">
      <w:r w:rsidRPr="00106292">
        <w:t xml:space="preserve">The interpreted potentiometric surface for the </w:t>
      </w:r>
      <w:r w:rsidR="00C217F0">
        <w:t>Calivil Formation</w:t>
      </w:r>
      <w:r w:rsidR="00303E73">
        <w:t xml:space="preserve"> </w:t>
      </w:r>
      <w:r w:rsidRPr="00106292">
        <w:t>aquifer (</w:t>
      </w:r>
      <w:r w:rsidR="00DA40F0" w:rsidRPr="00106292">
        <w:fldChar w:fldCharType="begin"/>
      </w:r>
      <w:r w:rsidR="00DA40F0" w:rsidRPr="00106292">
        <w:instrText xml:space="preserve"> REF _Ref325707881 \h  \* MERGEFORMAT </w:instrText>
      </w:r>
      <w:r w:rsidR="00DA40F0" w:rsidRPr="00106292">
        <w:fldChar w:fldCharType="separate"/>
      </w:r>
      <w:r w:rsidR="00966532" w:rsidRPr="00966532">
        <w:t xml:space="preserve">Figure </w:t>
      </w:r>
      <w:r w:rsidR="00966532" w:rsidRPr="00966532">
        <w:rPr>
          <w:noProof/>
        </w:rPr>
        <w:t>6</w:t>
      </w:r>
      <w:r w:rsidR="00966532" w:rsidRPr="00966532">
        <w:rPr>
          <w:noProof/>
        </w:rPr>
        <w:noBreakHyphen/>
        <w:t>4</w:t>
      </w:r>
      <w:r w:rsidR="00DA40F0" w:rsidRPr="00106292">
        <w:fldChar w:fldCharType="end"/>
      </w:r>
      <w:r w:rsidRPr="00106292">
        <w:t>) shows a broadly similar pattern to that of the watertable. This would suggest that the aquifer is</w:t>
      </w:r>
      <w:r w:rsidR="003F6C96">
        <w:t xml:space="preserve"> also</w:t>
      </w:r>
      <w:r w:rsidRPr="00106292">
        <w:t xml:space="preserve"> influenced by </w:t>
      </w:r>
      <w:r w:rsidR="003F6C96">
        <w:t>leakage</w:t>
      </w:r>
      <w:r w:rsidRPr="00106292">
        <w:t xml:space="preserve"> from the rivers and lake storages, </w:t>
      </w:r>
      <w:smartTag w:uri="urn:schemas-microsoft-com:office:smarttags" w:element="PlaceType">
        <w:r w:rsidRPr="00106292">
          <w:t>Lake</w:t>
        </w:r>
      </w:smartTag>
      <w:r w:rsidRPr="00106292">
        <w:t xml:space="preserve"> </w:t>
      </w:r>
      <w:smartTag w:uri="urn:schemas-microsoft-com:office:smarttags" w:element="PlaceName">
        <w:r w:rsidRPr="00106292">
          <w:t>Wetherell</w:t>
        </w:r>
      </w:smartTag>
      <w:r w:rsidRPr="00106292">
        <w:t xml:space="preserve"> and </w:t>
      </w:r>
      <w:smartTag w:uri="urn:schemas-microsoft-com:office:smarttags" w:element="place">
        <w:smartTag w:uri="urn:schemas-microsoft-com:office:smarttags" w:element="PlaceType">
          <w:r w:rsidR="00C217F0">
            <w:t>Lake</w:t>
          </w:r>
        </w:smartTag>
        <w:r w:rsidR="00C217F0">
          <w:t xml:space="preserve"> </w:t>
        </w:r>
        <w:smartTag w:uri="urn:schemas-microsoft-com:office:smarttags" w:element="PlaceName">
          <w:r w:rsidR="00C217F0">
            <w:t>Menindee</w:t>
          </w:r>
        </w:smartTag>
      </w:smartTag>
      <w:r w:rsidRPr="00106292">
        <w:t xml:space="preserve"> in particular (Lawrie</w:t>
      </w:r>
      <w:r w:rsidR="008A5F7D" w:rsidRPr="00CF7613">
        <w:rPr>
          <w:rStyle w:val="StyleItalic"/>
        </w:rPr>
        <w:t xml:space="preserve"> et al</w:t>
      </w:r>
      <w:r w:rsidRPr="00106292">
        <w:t xml:space="preserve">., 2012b). The influence of leakage from the </w:t>
      </w:r>
      <w:smartTag w:uri="urn:schemas-microsoft-com:office:smarttags" w:element="place">
        <w:r w:rsidRPr="00106292">
          <w:t>Darling River</w:t>
        </w:r>
      </w:smartTag>
      <w:r w:rsidRPr="00106292">
        <w:t xml:space="preserve"> is particularly evident south of </w:t>
      </w:r>
      <w:r w:rsidR="00C217F0">
        <w:t>Menindee</w:t>
      </w:r>
      <w:r w:rsidRPr="00106292">
        <w:t>. The mounding</w:t>
      </w:r>
      <w:r>
        <w:t xml:space="preserve"> disrupts the flow towards the regional discharge zone 150 km to the southwest, along the South Australian reach of the River Murray. The regional hydraulic gradient in the </w:t>
      </w:r>
      <w:r w:rsidR="00C217F0">
        <w:t>Calivil Formation</w:t>
      </w:r>
      <w:r w:rsidR="00303E73">
        <w:t xml:space="preserve"> </w:t>
      </w:r>
      <w:r>
        <w:t>aquifer is also relatively low, in the order of 0.35-0.5 m/km.</w:t>
      </w:r>
    </w:p>
    <w:p w:rsidR="008242D7" w:rsidRDefault="00706A3B" w:rsidP="00656729">
      <w:pPr>
        <w:spacing w:before="120" w:after="60"/>
        <w:jc w:val="center"/>
      </w:pPr>
      <w:r>
        <w:rPr>
          <w:noProof/>
        </w:rPr>
        <w:lastRenderedPageBreak/>
        <w:drawing>
          <wp:inline distT="0" distB="0" distL="0" distR="0" wp14:anchorId="7942C069" wp14:editId="10DC7A7A">
            <wp:extent cx="5975350" cy="8740140"/>
            <wp:effectExtent l="19050" t="19050" r="6350" b="3810"/>
            <wp:docPr id="53" name="Picture 53" descr="Fig22_Regional_Calivil_gw_salinity_GWR_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22_Regional_Calivil_gw_salinity_GWR_targets"/>
                    <pic:cNvPicPr>
                      <a:picLocks noChangeAspect="1" noChangeArrowheads="1"/>
                    </pic:cNvPicPr>
                  </pic:nvPicPr>
                  <pic:blipFill>
                    <a:blip r:embed="rId90" cstate="print">
                      <a:extLst>
                        <a:ext uri="{28A0092B-C50C-407E-A947-70E740481C1C}">
                          <a14:useLocalDpi xmlns:a14="http://schemas.microsoft.com/office/drawing/2010/main" val="0"/>
                        </a:ext>
                      </a:extLst>
                    </a:blip>
                    <a:srcRect l="8972" t="6123" r="11285" b="11282"/>
                    <a:stretch>
                      <a:fillRect/>
                    </a:stretch>
                  </pic:blipFill>
                  <pic:spPr bwMode="auto">
                    <a:xfrm>
                      <a:off x="0" y="0"/>
                      <a:ext cx="5975350" cy="8740140"/>
                    </a:xfrm>
                    <a:prstGeom prst="rect">
                      <a:avLst/>
                    </a:prstGeom>
                    <a:noFill/>
                    <a:ln w="12700" cmpd="sng">
                      <a:solidFill>
                        <a:srgbClr val="000000"/>
                      </a:solidFill>
                      <a:miter lim="800000"/>
                      <a:headEnd/>
                      <a:tailEnd/>
                    </a:ln>
                    <a:effectLst/>
                  </pic:spPr>
                </pic:pic>
              </a:graphicData>
            </a:graphic>
          </wp:inline>
        </w:drawing>
      </w:r>
    </w:p>
    <w:p w:rsidR="008242D7" w:rsidRPr="00154D3A" w:rsidRDefault="008242D7" w:rsidP="008242D7">
      <w:pPr>
        <w:pStyle w:val="Caption"/>
        <w:rPr>
          <w:i w:val="0"/>
          <w:szCs w:val="20"/>
        </w:rPr>
      </w:pPr>
      <w:bookmarkStart w:id="390" w:name="_Ref32570784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390"/>
      <w:r>
        <w:rPr>
          <w:b/>
        </w:rPr>
        <w:t>.</w:t>
      </w:r>
      <w:r>
        <w:rPr>
          <w:b/>
          <w:szCs w:val="22"/>
        </w:rPr>
        <w:t xml:space="preserve"> </w:t>
      </w:r>
      <w:r w:rsidR="001B677D">
        <w:rPr>
          <w:szCs w:val="20"/>
        </w:rPr>
        <w:t xml:space="preserve">Predicted </w:t>
      </w:r>
      <w:r w:rsidRPr="00FC40CE">
        <w:rPr>
          <w:szCs w:val="20"/>
        </w:rPr>
        <w:t xml:space="preserve">groundwater salinity </w:t>
      </w:r>
      <w:r w:rsidR="001B677D">
        <w:rPr>
          <w:szCs w:val="20"/>
        </w:rPr>
        <w:t>(mg/L)</w:t>
      </w:r>
      <w:r w:rsidR="001B677D" w:rsidRPr="001B677D">
        <w:rPr>
          <w:szCs w:val="20"/>
        </w:rPr>
        <w:t xml:space="preserve"> </w:t>
      </w:r>
      <w:r w:rsidR="001B677D">
        <w:rPr>
          <w:szCs w:val="20"/>
        </w:rPr>
        <w:t>for the AEM conductivity depth slice 43.5- 51.5</w:t>
      </w:r>
      <w:r w:rsidR="00A72012">
        <w:rPr>
          <w:szCs w:val="20"/>
        </w:rPr>
        <w:t xml:space="preserve"> </w:t>
      </w:r>
      <w:r w:rsidR="001B677D">
        <w:rPr>
          <w:szCs w:val="20"/>
        </w:rPr>
        <w:t xml:space="preserve">m in the Pliocene aquifer, derived from the AEM and pore fluid data. </w:t>
      </w:r>
      <w:r w:rsidRPr="001B06B3">
        <w:rPr>
          <w:bCs w:val="0"/>
          <w:i w:val="0"/>
        </w:rPr>
        <w:fldChar w:fldCharType="begin"/>
      </w:r>
      <w:r w:rsidRPr="001B06B3">
        <w:rPr>
          <w:bCs w:val="0"/>
          <w:i w:val="0"/>
        </w:rPr>
        <w:instrText xml:space="preserve"> TC "</w:instrText>
      </w:r>
      <w:bookmarkStart w:id="391" w:name="_Toc325975219"/>
      <w:bookmarkStart w:id="392" w:name="_Toc390690234"/>
      <w:r w:rsidR="00DE0DFA">
        <w:rPr>
          <w:bCs w:val="0"/>
          <w:i w:val="0"/>
        </w:rPr>
        <w:instrText xml:space="preserve">Figure </w:instrText>
      </w:r>
      <w:r w:rsidR="008354DA">
        <w:rPr>
          <w:bCs w:val="0"/>
          <w:i w:val="0"/>
        </w:rPr>
        <w:instrText>6-1</w:instrText>
      </w:r>
      <w:r w:rsidR="00DE0DFA" w:rsidRPr="001B677D">
        <w:rPr>
          <w:bCs w:val="0"/>
          <w:i w:val="0"/>
        </w:rPr>
        <w:instrText>.</w:instrText>
      </w:r>
      <w:r w:rsidRPr="001B677D">
        <w:rPr>
          <w:bCs w:val="0"/>
          <w:i w:val="0"/>
        </w:rPr>
        <w:instrText xml:space="preserve"> </w:instrText>
      </w:r>
      <w:r w:rsidR="001B677D" w:rsidRPr="001B677D">
        <w:rPr>
          <w:i w:val="0"/>
          <w:szCs w:val="20"/>
        </w:rPr>
        <w:instrText>Predicted groundwater salinity (mg/L) for the AEM conductivity depth slice 43.5- 51.5m in the Pliocene aquifer, derived from the AEM and pore fluid data</w:instrText>
      </w:r>
      <w:r w:rsidR="001B677D">
        <w:rPr>
          <w:szCs w:val="20"/>
        </w:rPr>
        <w:instrText>.</w:instrText>
      </w:r>
      <w:bookmarkEnd w:id="391"/>
      <w:bookmarkEnd w:id="392"/>
      <w:r w:rsidRPr="001B06B3">
        <w:rPr>
          <w:bCs w:val="0"/>
          <w:i w:val="0"/>
        </w:rPr>
        <w:instrText xml:space="preserve">" \f A \l “4” </w:instrText>
      </w:r>
      <w:r w:rsidRPr="001B06B3">
        <w:rPr>
          <w:bCs w:val="0"/>
          <w:i w:val="0"/>
        </w:rPr>
        <w:fldChar w:fldCharType="end"/>
      </w:r>
    </w:p>
    <w:p w:rsidR="008242D7" w:rsidRDefault="008242D7" w:rsidP="008242D7"/>
    <w:p w:rsidR="00A52ED4" w:rsidRDefault="00706A3B" w:rsidP="00656729">
      <w:pPr>
        <w:spacing w:after="60"/>
      </w:pPr>
      <w:r>
        <w:rPr>
          <w:noProof/>
        </w:rPr>
        <w:drawing>
          <wp:inline distT="0" distB="0" distL="0" distR="0" wp14:anchorId="7553573C" wp14:editId="19468C7D">
            <wp:extent cx="5795010" cy="7666355"/>
            <wp:effectExtent l="19050" t="19050" r="0" b="0"/>
            <wp:docPr id="54" name="Picture 54" descr="Fig0B_23_63_Regional_Calivil_gw_salinity_GWR_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0B_23_63_Regional_Calivil_gw_salinity_GWR_targets"/>
                    <pic:cNvPicPr>
                      <a:picLocks noChangeAspect="1" noChangeArrowheads="1"/>
                    </pic:cNvPicPr>
                  </pic:nvPicPr>
                  <pic:blipFill>
                    <a:blip r:embed="rId16" cstate="print">
                      <a:extLst>
                        <a:ext uri="{28A0092B-C50C-407E-A947-70E740481C1C}">
                          <a14:useLocalDpi xmlns:a14="http://schemas.microsoft.com/office/drawing/2010/main" val="0"/>
                        </a:ext>
                      </a:extLst>
                    </a:blip>
                    <a:srcRect l="8867" t="5934" r="11723" b="19832"/>
                    <a:stretch>
                      <a:fillRect/>
                    </a:stretch>
                  </pic:blipFill>
                  <pic:spPr bwMode="auto">
                    <a:xfrm>
                      <a:off x="0" y="0"/>
                      <a:ext cx="5795010" cy="7666355"/>
                    </a:xfrm>
                    <a:prstGeom prst="rect">
                      <a:avLst/>
                    </a:prstGeom>
                    <a:noFill/>
                    <a:ln w="12700" cmpd="sng">
                      <a:solidFill>
                        <a:srgbClr val="000000"/>
                      </a:solidFill>
                      <a:miter lim="800000"/>
                      <a:headEnd/>
                      <a:tailEnd/>
                    </a:ln>
                    <a:effectLst/>
                  </pic:spPr>
                </pic:pic>
              </a:graphicData>
            </a:graphic>
          </wp:inline>
        </w:drawing>
      </w:r>
    </w:p>
    <w:p w:rsidR="00A52ED4" w:rsidRPr="001B677D" w:rsidRDefault="00A52ED4" w:rsidP="00A52ED4">
      <w:pPr>
        <w:pStyle w:val="Caption"/>
        <w:rPr>
          <w:i w:val="0"/>
        </w:rPr>
      </w:pPr>
      <w:bookmarkStart w:id="393" w:name="_Ref325707868"/>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393"/>
      <w:r>
        <w:rPr>
          <w:b/>
        </w:rPr>
        <w:t>.</w:t>
      </w:r>
      <w:r>
        <w:rPr>
          <w:b/>
          <w:szCs w:val="22"/>
        </w:rPr>
        <w:t xml:space="preserve"> </w:t>
      </w:r>
      <w:r w:rsidR="001B677D">
        <w:rPr>
          <w:szCs w:val="22"/>
        </w:rPr>
        <w:t>G</w:t>
      </w:r>
      <w:r w:rsidRPr="00FC40CE">
        <w:rPr>
          <w:szCs w:val="22"/>
        </w:rPr>
        <w:t>roundwater resource targets (GWR1 -14)</w:t>
      </w:r>
      <w:r>
        <w:rPr>
          <w:szCs w:val="22"/>
        </w:rPr>
        <w:t xml:space="preserve"> </w:t>
      </w:r>
      <w:r w:rsidRPr="00FC40CE">
        <w:rPr>
          <w:szCs w:val="22"/>
        </w:rPr>
        <w:t>in Pliocene (</w:t>
      </w:r>
      <w:r w:rsidR="00C217F0">
        <w:rPr>
          <w:szCs w:val="22"/>
        </w:rPr>
        <w:t>Calivil Formation</w:t>
      </w:r>
      <w:r w:rsidR="001B677D">
        <w:rPr>
          <w:szCs w:val="22"/>
        </w:rPr>
        <w:t xml:space="preserve"> </w:t>
      </w:r>
      <w:r w:rsidRPr="00FC40CE">
        <w:rPr>
          <w:szCs w:val="22"/>
        </w:rPr>
        <w:t>and Loxton-Parilla Sand) aquifers</w:t>
      </w:r>
      <w:r w:rsidR="003F6C96">
        <w:rPr>
          <w:szCs w:val="22"/>
        </w:rPr>
        <w:t xml:space="preserve"> in the BHMAR project area</w:t>
      </w:r>
      <w:r w:rsidRPr="00FC40CE">
        <w:rPr>
          <w:szCs w:val="22"/>
        </w:rPr>
        <w:t>. The boundaries marked are the maximum spatial extent of the aquifer with predicted salinities &lt;3000 mg/L.</w:t>
      </w:r>
      <w:r w:rsidRPr="00BE08AB">
        <w:rPr>
          <w:bCs w:val="0"/>
          <w:i w:val="0"/>
        </w:rPr>
        <w:t xml:space="preserve"> </w:t>
      </w:r>
      <w:r w:rsidR="003F6C96" w:rsidRPr="003F6C96">
        <w:rPr>
          <w:bCs w:val="0"/>
        </w:rPr>
        <w:t>This maximum spatial extent</w:t>
      </w:r>
      <w:r w:rsidR="003F6C96">
        <w:rPr>
          <w:bCs w:val="0"/>
        </w:rPr>
        <w:t xml:space="preserve"> of </w:t>
      </w:r>
      <w:r w:rsidR="007E62BC">
        <w:rPr>
          <w:bCs w:val="0"/>
        </w:rPr>
        <w:t>fresh to brackish groundwater</w:t>
      </w:r>
      <w:r w:rsidR="00465915">
        <w:rPr>
          <w:bCs w:val="0"/>
        </w:rPr>
        <w:t xml:space="preserve"> </w:t>
      </w:r>
      <w:r w:rsidR="003F6C96" w:rsidRPr="003F6C96">
        <w:rPr>
          <w:bCs w:val="0"/>
        </w:rPr>
        <w:t xml:space="preserve">is defined by the combined plotting of all the </w:t>
      </w:r>
      <w:r w:rsidR="007E62BC">
        <w:rPr>
          <w:bCs w:val="0"/>
        </w:rPr>
        <w:t xml:space="preserve">AEM </w:t>
      </w:r>
      <w:r w:rsidR="003F6C96" w:rsidRPr="003F6C96">
        <w:rPr>
          <w:bCs w:val="0"/>
        </w:rPr>
        <w:t>depth slices most relevant to the Calivil Formation (22-61</w:t>
      </w:r>
      <w:r w:rsidR="00A72012">
        <w:rPr>
          <w:bCs w:val="0"/>
        </w:rPr>
        <w:t xml:space="preserve"> </w:t>
      </w:r>
      <w:r w:rsidR="003F6C96" w:rsidRPr="003F6C96">
        <w:rPr>
          <w:bCs w:val="0"/>
        </w:rPr>
        <w:t>m).</w:t>
      </w:r>
      <w:r w:rsidR="003F6C96" w:rsidRPr="003F6C96">
        <w:rPr>
          <w:bCs w:val="0"/>
          <w:i w:val="0"/>
        </w:rPr>
        <w:t xml:space="preserve"> </w:t>
      </w:r>
      <w:r w:rsidRPr="001B677D">
        <w:rPr>
          <w:bCs w:val="0"/>
          <w:i w:val="0"/>
        </w:rPr>
        <w:fldChar w:fldCharType="begin"/>
      </w:r>
      <w:r w:rsidRPr="001B677D">
        <w:rPr>
          <w:bCs w:val="0"/>
          <w:i w:val="0"/>
        </w:rPr>
        <w:instrText xml:space="preserve"> TC "</w:instrText>
      </w:r>
      <w:bookmarkStart w:id="394" w:name="_Toc325975220"/>
      <w:bookmarkStart w:id="395" w:name="_Toc390690235"/>
      <w:r w:rsidR="00DE0DFA" w:rsidRPr="001B677D">
        <w:rPr>
          <w:bCs w:val="0"/>
          <w:i w:val="0"/>
        </w:rPr>
        <w:instrText xml:space="preserve">Figure </w:instrText>
      </w:r>
      <w:r w:rsidR="008354DA">
        <w:rPr>
          <w:bCs w:val="0"/>
          <w:i w:val="0"/>
        </w:rPr>
        <w:instrText>6-</w:instrText>
      </w:r>
      <w:r w:rsidR="00DE0DFA" w:rsidRPr="001B677D">
        <w:rPr>
          <w:bCs w:val="0"/>
          <w:i w:val="0"/>
        </w:rPr>
        <w:instrText>2.</w:instrText>
      </w:r>
      <w:r w:rsidRPr="001B677D">
        <w:rPr>
          <w:bCs w:val="0"/>
          <w:i w:val="0"/>
        </w:rPr>
        <w:instrText xml:space="preserve"> </w:instrText>
      </w:r>
      <w:r w:rsidR="001B677D" w:rsidRPr="001B677D">
        <w:rPr>
          <w:i w:val="0"/>
          <w:szCs w:val="22"/>
        </w:rPr>
        <w:instrText>Groundwater resource targets (GWR1 -14) in Pliocene (</w:instrText>
      </w:r>
      <w:r w:rsidR="00C217F0">
        <w:rPr>
          <w:i w:val="0"/>
          <w:szCs w:val="22"/>
        </w:rPr>
        <w:instrText>Calivil Formation</w:instrText>
      </w:r>
      <w:r w:rsidR="001B677D" w:rsidRPr="001B677D">
        <w:rPr>
          <w:i w:val="0"/>
          <w:szCs w:val="22"/>
        </w:rPr>
        <w:instrText xml:space="preserve"> and Loxton-Parilla Sand) aquifers</w:instrText>
      </w:r>
      <w:bookmarkEnd w:id="394"/>
      <w:r w:rsidR="005E4B77" w:rsidRPr="001B677D">
        <w:rPr>
          <w:bCs w:val="0"/>
          <w:i w:val="0"/>
        </w:rPr>
        <w:instrText>.</w:instrText>
      </w:r>
      <w:bookmarkEnd w:id="395"/>
      <w:r w:rsidRPr="001B677D">
        <w:rPr>
          <w:bCs w:val="0"/>
          <w:i w:val="0"/>
        </w:rPr>
        <w:instrText xml:space="preserve">" \f A \l “4” </w:instrText>
      </w:r>
      <w:r w:rsidRPr="001B677D">
        <w:rPr>
          <w:bCs w:val="0"/>
          <w:i w:val="0"/>
        </w:rPr>
        <w:fldChar w:fldCharType="end"/>
      </w:r>
    </w:p>
    <w:p w:rsidR="00A52ED4" w:rsidRDefault="00106292" w:rsidP="008242D7">
      <w:r>
        <w:br w:type="page"/>
      </w:r>
    </w:p>
    <w:p w:rsidR="009038E6" w:rsidRDefault="00706A3B" w:rsidP="00656729">
      <w:pPr>
        <w:pStyle w:val="Caption"/>
        <w:spacing w:after="60"/>
        <w:jc w:val="center"/>
      </w:pPr>
      <w:r>
        <w:rPr>
          <w:noProof/>
        </w:rPr>
        <w:lastRenderedPageBreak/>
        <w:drawing>
          <wp:inline distT="0" distB="0" distL="0" distR="0" wp14:anchorId="42885C45" wp14:editId="04489A23">
            <wp:extent cx="5762625" cy="8261350"/>
            <wp:effectExtent l="19050" t="19050" r="9525" b="6350"/>
            <wp:docPr id="55" name="Picture 55" descr="hydro_watertable 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ydro_watertable fig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2625" cy="8261350"/>
                    </a:xfrm>
                    <a:prstGeom prst="rect">
                      <a:avLst/>
                    </a:prstGeom>
                    <a:noFill/>
                    <a:ln w="6350" cmpd="sng">
                      <a:solidFill>
                        <a:srgbClr val="000000"/>
                      </a:solidFill>
                      <a:miter lim="800000"/>
                      <a:headEnd/>
                      <a:tailEnd/>
                    </a:ln>
                    <a:effectLst/>
                  </pic:spPr>
                </pic:pic>
              </a:graphicData>
            </a:graphic>
          </wp:inline>
        </w:drawing>
      </w:r>
    </w:p>
    <w:p w:rsidR="009038E6" w:rsidRDefault="009038E6" w:rsidP="009038E6">
      <w:pPr>
        <w:pStyle w:val="Caption"/>
      </w:pPr>
      <w:bookmarkStart w:id="396" w:name="_Ref325707875"/>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396"/>
      <w:r w:rsidRPr="004F730A">
        <w:rPr>
          <w:b/>
        </w:rPr>
        <w:t>.</w:t>
      </w:r>
      <w:r w:rsidRPr="004F730A">
        <w:t xml:space="preserve"> Interpreted</w:t>
      </w:r>
      <w:r>
        <w:t xml:space="preserve"> e</w:t>
      </w:r>
      <w:r w:rsidRPr="00477B5B">
        <w:t xml:space="preserve">levation </w:t>
      </w:r>
      <w:r>
        <w:t xml:space="preserve">(m AHD) </w:t>
      </w:r>
      <w:r w:rsidRPr="00477B5B">
        <w:t>of th</w:t>
      </w:r>
      <w:r>
        <w:t xml:space="preserve">e watertable surface in the BHMAR </w:t>
      </w:r>
      <w:r w:rsidR="00A56C85">
        <w:t>project</w:t>
      </w:r>
      <w:r w:rsidRPr="00477B5B">
        <w:t xml:space="preserve"> area</w:t>
      </w:r>
      <w:r>
        <w:t xml:space="preserve"> for December 2011</w:t>
      </w:r>
      <w:bookmarkStart w:id="397" w:name="OLE_LINK25"/>
      <w:bookmarkStart w:id="398" w:name="OLE_LINK26"/>
      <w:r>
        <w:t>.</w:t>
      </w:r>
      <w:r w:rsidR="007E62BC" w:rsidRPr="007E62BC">
        <w:t xml:space="preserve"> In the absence of groundwater level measurements from BHMAR project bores, historical data from NSW Office of Water (NoW) and previous hydrogeological mapping (Brodie, 1994; Kellett, 1994) were used</w:t>
      </w:r>
      <w:r w:rsidR="007E62BC">
        <w:t xml:space="preserve"> to interpret the watertable contours</w:t>
      </w:r>
      <w:r w:rsidR="00A1060D">
        <w:t>.</w:t>
      </w:r>
      <w:r w:rsidRPr="001B06B3">
        <w:rPr>
          <w:i w:val="0"/>
        </w:rPr>
        <w:fldChar w:fldCharType="begin"/>
      </w:r>
      <w:r w:rsidRPr="001B06B3">
        <w:rPr>
          <w:i w:val="0"/>
        </w:rPr>
        <w:instrText xml:space="preserve"> TC "</w:instrText>
      </w:r>
      <w:bookmarkStart w:id="399" w:name="_Toc257801260"/>
      <w:bookmarkStart w:id="400" w:name="_Toc258405836"/>
      <w:bookmarkStart w:id="401" w:name="_Toc325975221"/>
      <w:bookmarkStart w:id="402" w:name="_Toc390690236"/>
      <w:r w:rsidR="00DE0DFA">
        <w:rPr>
          <w:i w:val="0"/>
        </w:rPr>
        <w:instrText xml:space="preserve">Figure </w:instrText>
      </w:r>
      <w:r w:rsidR="008354DA">
        <w:rPr>
          <w:i w:val="0"/>
        </w:rPr>
        <w:instrText>6-3</w:instrText>
      </w:r>
      <w:r w:rsidR="00DE0DFA">
        <w:rPr>
          <w:i w:val="0"/>
        </w:rPr>
        <w:instrText>.</w:instrText>
      </w:r>
      <w:r w:rsidRPr="001B06B3">
        <w:rPr>
          <w:i w:val="0"/>
        </w:rPr>
        <w:instrText xml:space="preserve"> </w:instrText>
      </w:r>
      <w:bookmarkEnd w:id="399"/>
      <w:bookmarkEnd w:id="400"/>
      <w:r w:rsidRPr="001B06B3">
        <w:rPr>
          <w:i w:val="0"/>
        </w:rPr>
        <w:instrText xml:space="preserve">Interpreted elevation (m AHD) of the watertable surface in the BHMAR </w:instrText>
      </w:r>
      <w:r w:rsidR="00A56C85">
        <w:rPr>
          <w:i w:val="0"/>
        </w:rPr>
        <w:instrText>project</w:instrText>
      </w:r>
      <w:r w:rsidRPr="001B06B3">
        <w:rPr>
          <w:i w:val="0"/>
        </w:rPr>
        <w:instrText xml:space="preserve"> area</w:instrText>
      </w:r>
      <w:bookmarkEnd w:id="401"/>
      <w:r w:rsidR="005E4B77">
        <w:rPr>
          <w:i w:val="0"/>
        </w:rPr>
        <w:instrText>.</w:instrText>
      </w:r>
      <w:bookmarkEnd w:id="402"/>
      <w:r w:rsidRPr="001B06B3">
        <w:rPr>
          <w:i w:val="0"/>
        </w:rPr>
        <w:instrText xml:space="preserve">" \f A \l “4” </w:instrText>
      </w:r>
      <w:r w:rsidRPr="001B06B3">
        <w:rPr>
          <w:i w:val="0"/>
        </w:rPr>
        <w:fldChar w:fldCharType="end"/>
      </w:r>
    </w:p>
    <w:bookmarkEnd w:id="397"/>
    <w:bookmarkEnd w:id="398"/>
    <w:p w:rsidR="009038E6" w:rsidRDefault="009038E6" w:rsidP="008242D7"/>
    <w:p w:rsidR="009038E6" w:rsidRDefault="00706A3B" w:rsidP="00656729">
      <w:pPr>
        <w:pStyle w:val="Caption"/>
        <w:spacing w:before="240" w:after="60"/>
        <w:jc w:val="center"/>
      </w:pPr>
      <w:r>
        <w:rPr>
          <w:noProof/>
        </w:rPr>
        <w:drawing>
          <wp:inline distT="0" distB="0" distL="0" distR="0" wp14:anchorId="704DE6BC" wp14:editId="7799B913">
            <wp:extent cx="5762625" cy="8250555"/>
            <wp:effectExtent l="19050" t="19050" r="9525" b="0"/>
            <wp:docPr id="56" name="Picture 56" descr="hydro_watertable 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ydro_watertable fig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2625" cy="8250555"/>
                    </a:xfrm>
                    <a:prstGeom prst="rect">
                      <a:avLst/>
                    </a:prstGeom>
                    <a:noFill/>
                    <a:ln w="6350" cmpd="sng">
                      <a:solidFill>
                        <a:srgbClr val="000000"/>
                      </a:solidFill>
                      <a:miter lim="800000"/>
                      <a:headEnd/>
                      <a:tailEnd/>
                    </a:ln>
                    <a:effectLst/>
                  </pic:spPr>
                </pic:pic>
              </a:graphicData>
            </a:graphic>
          </wp:inline>
        </w:drawing>
      </w:r>
    </w:p>
    <w:p w:rsidR="009038E6" w:rsidRDefault="009038E6" w:rsidP="009038E6">
      <w:pPr>
        <w:pStyle w:val="Caption"/>
        <w:rPr>
          <w:szCs w:val="20"/>
        </w:rPr>
      </w:pPr>
      <w:bookmarkStart w:id="403" w:name="_Ref325707881"/>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4</w:t>
      </w:r>
      <w:r w:rsidR="00A23C59">
        <w:rPr>
          <w:b/>
        </w:rPr>
        <w:fldChar w:fldCharType="end"/>
      </w:r>
      <w:bookmarkEnd w:id="403"/>
      <w:r>
        <w:rPr>
          <w:b/>
        </w:rPr>
        <w:t>.</w:t>
      </w:r>
      <w:r>
        <w:rPr>
          <w:b/>
          <w:szCs w:val="22"/>
        </w:rPr>
        <w:t xml:space="preserve"> </w:t>
      </w:r>
      <w:r w:rsidRPr="00FC40CE">
        <w:rPr>
          <w:szCs w:val="20"/>
        </w:rPr>
        <w:t xml:space="preserve">Interpreted elevation (m AHD) of the </w:t>
      </w:r>
      <w:r w:rsidR="00C217F0">
        <w:rPr>
          <w:szCs w:val="20"/>
        </w:rPr>
        <w:t>Calivil Formation</w:t>
      </w:r>
      <w:r w:rsidR="00303E73">
        <w:rPr>
          <w:szCs w:val="20"/>
        </w:rPr>
        <w:t xml:space="preserve"> </w:t>
      </w:r>
      <w:r w:rsidRPr="00FC40CE">
        <w:rPr>
          <w:szCs w:val="20"/>
        </w:rPr>
        <w:t xml:space="preserve">aquifer potentiometric surface in the BHMAR </w:t>
      </w:r>
      <w:r w:rsidR="00A56C85">
        <w:rPr>
          <w:szCs w:val="20"/>
        </w:rPr>
        <w:t>project</w:t>
      </w:r>
      <w:r w:rsidRPr="00FC40CE">
        <w:rPr>
          <w:szCs w:val="20"/>
        </w:rPr>
        <w:t xml:space="preserve"> area for December 2011.</w:t>
      </w:r>
      <w:r w:rsidR="007E62BC" w:rsidRPr="007E62BC">
        <w:t xml:space="preserve"> In the absence of groundwater level measurements from BHMAR project bores, historical data from NSW Office of Water (NoW) and previous hydrogeological mapping (Brodie, 1994; Kellett, 1994) were used</w:t>
      </w:r>
      <w:r w:rsidR="007E62BC">
        <w:t xml:space="preserve"> to interpret the potentiometric contours</w:t>
      </w:r>
      <w:r w:rsidR="00A1060D">
        <w:t>.</w:t>
      </w:r>
      <w:r w:rsidR="009E5DE0">
        <w:t xml:space="preserve"> </w:t>
      </w:r>
      <w:r w:rsidRPr="001B06B3">
        <w:rPr>
          <w:i w:val="0"/>
          <w:szCs w:val="20"/>
        </w:rPr>
        <w:fldChar w:fldCharType="begin"/>
      </w:r>
      <w:r w:rsidRPr="001B06B3">
        <w:rPr>
          <w:i w:val="0"/>
          <w:szCs w:val="20"/>
        </w:rPr>
        <w:instrText xml:space="preserve"> TC "</w:instrText>
      </w:r>
      <w:bookmarkStart w:id="404" w:name="_Toc325975222"/>
      <w:bookmarkStart w:id="405" w:name="_Toc390690237"/>
      <w:r w:rsidR="00DE0DFA">
        <w:rPr>
          <w:i w:val="0"/>
          <w:szCs w:val="20"/>
        </w:rPr>
        <w:instrText xml:space="preserve">Figure </w:instrText>
      </w:r>
      <w:r w:rsidR="008354DA">
        <w:rPr>
          <w:i w:val="0"/>
          <w:szCs w:val="20"/>
        </w:rPr>
        <w:instrText>6-4</w:instrText>
      </w:r>
      <w:r w:rsidR="00DE0DFA">
        <w:rPr>
          <w:i w:val="0"/>
          <w:szCs w:val="20"/>
        </w:rPr>
        <w:instrText>.</w:instrText>
      </w:r>
      <w:r w:rsidRPr="001B06B3">
        <w:rPr>
          <w:i w:val="0"/>
          <w:szCs w:val="20"/>
        </w:rPr>
        <w:instrText xml:space="preserve"> Interpreted elevation (m AHD) of the </w:instrText>
      </w:r>
      <w:r w:rsidR="00C217F0">
        <w:rPr>
          <w:i w:val="0"/>
          <w:szCs w:val="20"/>
        </w:rPr>
        <w:instrText>Calivil Formation</w:instrText>
      </w:r>
      <w:r w:rsidR="00303E73">
        <w:rPr>
          <w:i w:val="0"/>
          <w:szCs w:val="20"/>
        </w:rPr>
        <w:instrText xml:space="preserve"> </w:instrText>
      </w:r>
      <w:r w:rsidRPr="001B06B3">
        <w:rPr>
          <w:i w:val="0"/>
          <w:szCs w:val="20"/>
        </w:rPr>
        <w:instrText xml:space="preserve">aquifer potentiometric surface in the BHMAR </w:instrText>
      </w:r>
      <w:r w:rsidR="00A56C85">
        <w:rPr>
          <w:i w:val="0"/>
          <w:szCs w:val="20"/>
        </w:rPr>
        <w:instrText>project</w:instrText>
      </w:r>
      <w:r w:rsidRPr="001B06B3">
        <w:rPr>
          <w:i w:val="0"/>
          <w:szCs w:val="20"/>
        </w:rPr>
        <w:instrText xml:space="preserve"> area</w:instrText>
      </w:r>
      <w:bookmarkEnd w:id="404"/>
      <w:r w:rsidR="005E4B77">
        <w:rPr>
          <w:i w:val="0"/>
          <w:szCs w:val="20"/>
        </w:rPr>
        <w:instrText>.</w:instrText>
      </w:r>
      <w:bookmarkEnd w:id="405"/>
      <w:r w:rsidRPr="001B06B3">
        <w:rPr>
          <w:i w:val="0"/>
          <w:szCs w:val="20"/>
        </w:rPr>
        <w:instrText xml:space="preserve">" \f A \l “4” </w:instrText>
      </w:r>
      <w:r w:rsidRPr="001B06B3">
        <w:rPr>
          <w:i w:val="0"/>
          <w:szCs w:val="20"/>
        </w:rPr>
        <w:fldChar w:fldCharType="end"/>
      </w:r>
    </w:p>
    <w:p w:rsidR="009038E6" w:rsidRPr="00D83AFC" w:rsidRDefault="009038E6" w:rsidP="008242D7">
      <w:r w:rsidRPr="00106292">
        <w:lastRenderedPageBreak/>
        <w:t xml:space="preserve">Generating a grid of the difference between the </w:t>
      </w:r>
      <w:r w:rsidR="00D83AFC">
        <w:t xml:space="preserve">interpreted </w:t>
      </w:r>
      <w:r w:rsidRPr="00106292">
        <w:t>watertable surface (</w:t>
      </w:r>
      <w:r w:rsidRPr="00106292">
        <w:fldChar w:fldCharType="begin"/>
      </w:r>
      <w:r w:rsidRPr="00106292">
        <w:instrText xml:space="preserve"> REF _Ref325707875 \h  \* MERGEFORMAT </w:instrText>
      </w:r>
      <w:r w:rsidRPr="00106292">
        <w:fldChar w:fldCharType="separate"/>
      </w:r>
      <w:r w:rsidR="00966532" w:rsidRPr="00966532">
        <w:t>Figure 6</w:t>
      </w:r>
      <w:r w:rsidR="00966532" w:rsidRPr="00966532">
        <w:noBreakHyphen/>
        <w:t>3</w:t>
      </w:r>
      <w:r w:rsidRPr="00106292">
        <w:fldChar w:fldCharType="end"/>
      </w:r>
      <w:r w:rsidRPr="00106292">
        <w:t xml:space="preserve">) and the </w:t>
      </w:r>
      <w:r w:rsidR="00C217F0">
        <w:t>Calivil Formation</w:t>
      </w:r>
      <w:r w:rsidRPr="00106292">
        <w:t xml:space="preserve"> potentiometric surface (</w:t>
      </w:r>
      <w:r w:rsidRPr="00106292">
        <w:fldChar w:fldCharType="begin"/>
      </w:r>
      <w:r w:rsidRPr="00106292">
        <w:instrText xml:space="preserve"> REF _Ref325707881 \h  \* MERGEFORMAT </w:instrText>
      </w:r>
      <w:r w:rsidRPr="00106292">
        <w:fldChar w:fldCharType="separate"/>
      </w:r>
      <w:r w:rsidR="00966532" w:rsidRPr="00966532">
        <w:t>Figure 6</w:t>
      </w:r>
      <w:r w:rsidR="00966532" w:rsidRPr="00966532">
        <w:noBreakHyphen/>
        <w:t>4</w:t>
      </w:r>
      <w:r w:rsidRPr="00106292">
        <w:fldChar w:fldCharType="end"/>
      </w:r>
      <w:r w:rsidRPr="00106292">
        <w:t>) provides information on potential vertical groundwater flow direction (Lawrie</w:t>
      </w:r>
      <w:r w:rsidR="008A5F7D" w:rsidRPr="00CF7613">
        <w:rPr>
          <w:rStyle w:val="StyleItalic"/>
        </w:rPr>
        <w:t xml:space="preserve"> et al</w:t>
      </w:r>
      <w:r w:rsidRPr="00106292">
        <w:t xml:space="preserve">., 2012a). The shallow watertable tends to be higher than the </w:t>
      </w:r>
      <w:r w:rsidR="00C217F0">
        <w:t>Calivil Formation</w:t>
      </w:r>
      <w:r w:rsidRPr="00106292">
        <w:t xml:space="preserve"> groundwater level along the river corridors, indicating downward hydraulic gradients. These relate to the watertable mounding associated with river and lake leakage. Peripheral to the river corridor, </w:t>
      </w:r>
      <w:r w:rsidR="00C217F0">
        <w:t>Calivil Formation</w:t>
      </w:r>
      <w:r w:rsidRPr="00106292">
        <w:t xml:space="preserve"> heads tend to be higher than the shallow watertable.</w:t>
      </w:r>
      <w:r w:rsidR="00D83AFC">
        <w:t xml:space="preserve"> </w:t>
      </w:r>
      <w:r w:rsidR="00D83AFC" w:rsidRPr="00D83AFC">
        <w:t>This is because the mounding effect from leakage extends further away from the river in the semi-confine</w:t>
      </w:r>
      <w:r w:rsidR="00D83AFC">
        <w:t>d and more transmissive Calivil Formation</w:t>
      </w:r>
      <w:r w:rsidR="00D83AFC" w:rsidRPr="00D83AFC">
        <w:t xml:space="preserve"> aquifer, compared with the </w:t>
      </w:r>
      <w:r w:rsidR="00D83AFC">
        <w:t xml:space="preserve">shallow </w:t>
      </w:r>
      <w:r w:rsidR="009107BD">
        <w:t xml:space="preserve">unconfined </w:t>
      </w:r>
      <w:r w:rsidR="00D83AFC">
        <w:t>Quaternary</w:t>
      </w:r>
      <w:r w:rsidR="00D83AFC" w:rsidRPr="00D83AFC">
        <w:t xml:space="preserve"> aquifers.</w:t>
      </w:r>
    </w:p>
    <w:p w:rsidR="008242D7" w:rsidRPr="00106292" w:rsidRDefault="00DA40F0" w:rsidP="00021090">
      <w:pPr>
        <w:pStyle w:val="Heading2"/>
        <w:tabs>
          <w:tab w:val="left" w:pos="720"/>
        </w:tabs>
        <w:spacing w:before="320"/>
      </w:pPr>
      <w:bookmarkStart w:id="406" w:name="_Toc390690125"/>
      <w:r w:rsidRPr="00106292">
        <w:t>Hydrographic A</w:t>
      </w:r>
      <w:r w:rsidR="008242D7" w:rsidRPr="00106292">
        <w:t>nalysis</w:t>
      </w:r>
      <w:bookmarkEnd w:id="406"/>
    </w:p>
    <w:p w:rsidR="008242D7" w:rsidRPr="00106292" w:rsidRDefault="009038E6" w:rsidP="008242D7">
      <w:r w:rsidRPr="00106292">
        <w:t xml:space="preserve">Data loggers in a network of 40 monitoring bores, augmented by manual groundwater level measurements, enabled the groundwater response to flooding </w:t>
      </w:r>
      <w:r w:rsidR="00927029">
        <w:t xml:space="preserve">of the Darling River </w:t>
      </w:r>
      <w:r w:rsidRPr="00106292">
        <w:t>during 2010-2011 to be measured in the shallow unconfined (</w:t>
      </w:r>
      <w:r w:rsidR="00C217F0">
        <w:t>Coonambidgal Formation</w:t>
      </w:r>
      <w:r w:rsidRPr="00106292">
        <w:t xml:space="preserve">, </w:t>
      </w:r>
      <w:r w:rsidR="00C217F0">
        <w:t>Menindee Formation</w:t>
      </w:r>
      <w:r w:rsidRPr="00106292">
        <w:t>), leaky confined (</w:t>
      </w:r>
      <w:r w:rsidR="00C217F0">
        <w:t>Calivil Formation</w:t>
      </w:r>
      <w:r w:rsidR="009107BD">
        <w:t>, Loxton-Parilla Sands</w:t>
      </w:r>
      <w:r w:rsidRPr="00106292">
        <w:t>) and the confined (</w:t>
      </w:r>
      <w:r w:rsidR="00C217F0">
        <w:t>Renmark Group</w:t>
      </w:r>
      <w:r w:rsidRPr="00106292">
        <w:t xml:space="preserve">) aquifers at several target sites. For hydrographic data, refer to </w:t>
      </w:r>
      <w:r w:rsidR="00B03359">
        <w:t>Appendix 6 (</w:t>
      </w:r>
      <w:r w:rsidRPr="00106292">
        <w:t>Somerville</w:t>
      </w:r>
      <w:r w:rsidR="008A5F7D" w:rsidRPr="00CF7613">
        <w:rPr>
          <w:rStyle w:val="StyleItalic"/>
        </w:rPr>
        <w:t xml:space="preserve"> et al</w:t>
      </w:r>
      <w:r w:rsidRPr="00106292">
        <w:t>.</w:t>
      </w:r>
      <w:r w:rsidR="00B03359">
        <w:t>,</w:t>
      </w:r>
      <w:r w:rsidRPr="00106292">
        <w:t xml:space="preserve"> 2012).</w:t>
      </w:r>
    </w:p>
    <w:p w:rsidR="009038E6" w:rsidRPr="00106292" w:rsidRDefault="009038E6" w:rsidP="008242D7"/>
    <w:p w:rsidR="008242D7" w:rsidRPr="00106292" w:rsidRDefault="00DA40F0" w:rsidP="008242D7">
      <w:pPr>
        <w:pStyle w:val="Heading3"/>
      </w:pPr>
      <w:bookmarkStart w:id="407" w:name="_Toc390690126"/>
      <w:r w:rsidRPr="00106292">
        <w:t>Unconfined A</w:t>
      </w:r>
      <w:r w:rsidR="008242D7" w:rsidRPr="00106292">
        <w:t>quifers</w:t>
      </w:r>
      <w:bookmarkEnd w:id="407"/>
    </w:p>
    <w:p w:rsidR="009038E6" w:rsidRPr="00927029" w:rsidRDefault="009038E6" w:rsidP="009038E6">
      <w:r w:rsidRPr="00106292">
        <w:t xml:space="preserve">At Jimargil, the watertable within the </w:t>
      </w:r>
      <w:r w:rsidR="00927029">
        <w:t xml:space="preserve">shallow </w:t>
      </w:r>
      <w:r w:rsidR="00C217F0">
        <w:t>Coonambidgal Formation</w:t>
      </w:r>
      <w:r w:rsidR="001B677D" w:rsidRPr="00106292">
        <w:t xml:space="preserve"> rose between 2.7</w:t>
      </w:r>
      <w:r w:rsidR="00FE05F2">
        <w:t xml:space="preserve"> </w:t>
      </w:r>
      <w:r w:rsidR="001B677D" w:rsidRPr="00106292">
        <w:t>m to 5.4</w:t>
      </w:r>
      <w:r w:rsidR="00FE05F2">
        <w:t xml:space="preserve"> </w:t>
      </w:r>
      <w:r w:rsidRPr="00106292">
        <w:t xml:space="preserve">m, reflecting peak river flows in March 2011. There was a synchronous response to the rising and falling water levels in the </w:t>
      </w:r>
      <w:smartTag w:uri="urn:schemas-microsoft-com:office:smarttags" w:element="place">
        <w:r w:rsidRPr="00106292">
          <w:t>Darling River</w:t>
        </w:r>
      </w:smartTag>
      <w:r w:rsidRPr="00106292">
        <w:t xml:space="preserve"> at Weir 32 (</w:t>
      </w:r>
      <w:r w:rsidRPr="00106292">
        <w:fldChar w:fldCharType="begin"/>
      </w:r>
      <w:r w:rsidRPr="00106292">
        <w:instrText xml:space="preserve"> REF _Ref325707907 \h  \* MERGEFORMAT </w:instrText>
      </w:r>
      <w:r w:rsidRPr="00106292">
        <w:fldChar w:fldCharType="separate"/>
      </w:r>
      <w:r w:rsidR="00966532" w:rsidRPr="00966532">
        <w:t>Figure 6</w:t>
      </w:r>
      <w:r w:rsidR="00966532" w:rsidRPr="00966532">
        <w:noBreakHyphen/>
        <w:t>5</w:t>
      </w:r>
      <w:r w:rsidRPr="00106292">
        <w:fldChar w:fldCharType="end"/>
      </w:r>
      <w:r w:rsidRPr="00106292">
        <w:t xml:space="preserve">). Also plotted on </w:t>
      </w:r>
      <w:r w:rsidR="001B677D" w:rsidRPr="00106292">
        <w:fldChar w:fldCharType="begin"/>
      </w:r>
      <w:r w:rsidR="001B677D" w:rsidRPr="00106292">
        <w:instrText xml:space="preserve"> REF _Ref325707907 \h  \* MERGEFORMAT </w:instrText>
      </w:r>
      <w:r w:rsidR="001B677D" w:rsidRPr="00106292">
        <w:fldChar w:fldCharType="separate"/>
      </w:r>
      <w:r w:rsidR="00966532" w:rsidRPr="00966532">
        <w:t xml:space="preserve">Figure </w:t>
      </w:r>
      <w:r w:rsidR="00966532" w:rsidRPr="00966532">
        <w:rPr>
          <w:noProof/>
        </w:rPr>
        <w:t>6</w:t>
      </w:r>
      <w:r w:rsidR="00966532" w:rsidRPr="00966532">
        <w:rPr>
          <w:noProof/>
        </w:rPr>
        <w:noBreakHyphen/>
        <w:t>5</w:t>
      </w:r>
      <w:r w:rsidR="001B677D" w:rsidRPr="00106292">
        <w:fldChar w:fldCharType="end"/>
      </w:r>
      <w:r w:rsidR="001B677D" w:rsidRPr="00106292">
        <w:t xml:space="preserve"> is the stage height (6.15</w:t>
      </w:r>
      <w:r w:rsidR="00A72012">
        <w:t xml:space="preserve"> </w:t>
      </w:r>
      <w:r w:rsidRPr="00106292">
        <w:t>m) representing the onset of overbank flow (19,000 ML/d) at Weir 32. Watertable rise prior to overbank flow suggests that these conditions are not a pre-requisite for shallow groundwater recharge (Lawrie</w:t>
      </w:r>
      <w:r w:rsidR="008A5F7D" w:rsidRPr="00CF7613">
        <w:rPr>
          <w:rStyle w:val="StyleItalic"/>
        </w:rPr>
        <w:t xml:space="preserve"> et al</w:t>
      </w:r>
      <w:r w:rsidRPr="00106292">
        <w:t>., 2012b). Watertable decline concomitant with the river stage receding is inferred to be due to bank storage drainage and other losses.</w:t>
      </w:r>
      <w:r w:rsidR="00927029" w:rsidRPr="00927029">
        <w:t xml:space="preserve"> Watertable decline can reflect shallow lateral groundwater movement away from the river corridor as well as localised vertical movement into the underlying Calivil Formation aquifer.</w:t>
      </w:r>
    </w:p>
    <w:p w:rsidR="009038E6" w:rsidRDefault="009038E6" w:rsidP="009038E6"/>
    <w:p w:rsidR="00ED3CCE" w:rsidRPr="000F7173" w:rsidRDefault="009038E6" w:rsidP="009038E6">
      <w:r>
        <w:t>Watertable le</w:t>
      </w:r>
      <w:r w:rsidR="001B677D">
        <w:t>vels rose between 0.4</w:t>
      </w:r>
      <w:r w:rsidR="00FE05F2">
        <w:t xml:space="preserve"> </w:t>
      </w:r>
      <w:r w:rsidR="001B677D">
        <w:t>m and 1.7</w:t>
      </w:r>
      <w:r w:rsidR="00FE05F2">
        <w:t xml:space="preserve"> </w:t>
      </w:r>
      <w:r>
        <w:t xml:space="preserve">m in the eight </w:t>
      </w:r>
      <w:r w:rsidR="00C217F0">
        <w:t>Menindee Formation</w:t>
      </w:r>
      <w:r>
        <w:t xml:space="preserve"> monitoring bores along the </w:t>
      </w:r>
      <w:smartTag w:uri="urn:schemas-microsoft-com:office:smarttags" w:element="place">
        <w:r>
          <w:t>Darling River</w:t>
        </w:r>
      </w:smartTag>
      <w:r>
        <w:t xml:space="preserve">. The bores generally show a steady watertable rise in response to rising river stage. The largest response occurred in the bores within </w:t>
      </w:r>
      <w:r w:rsidR="00ED3CCE">
        <w:t>100</w:t>
      </w:r>
      <w:r w:rsidR="00FE05F2">
        <w:t xml:space="preserve"> </w:t>
      </w:r>
      <w:r>
        <w:t xml:space="preserve">m of the river. </w:t>
      </w:r>
      <w:r w:rsidR="00EF1BF8">
        <w:t>Bore BHMAR77-3 (</w:t>
      </w:r>
      <w:r w:rsidR="000F7173" w:rsidRPr="000F7173">
        <w:fldChar w:fldCharType="begin"/>
      </w:r>
      <w:r w:rsidR="000F7173">
        <w:instrText xml:space="preserve"> REF _Ref355624133 \h  \* MERGEFORMAT </w:instrText>
      </w:r>
      <w:r w:rsidR="000F7173" w:rsidRPr="000F7173">
        <w:fldChar w:fldCharType="separate"/>
      </w:r>
      <w:r w:rsidR="00966532" w:rsidRPr="00966532">
        <w:t>Figure 6</w:t>
      </w:r>
      <w:r w:rsidR="00966532" w:rsidRPr="00966532">
        <w:noBreakHyphen/>
        <w:t>6</w:t>
      </w:r>
      <w:r w:rsidR="000F7173" w:rsidRPr="000F7173">
        <w:fldChar w:fldCharType="end"/>
      </w:r>
      <w:r w:rsidR="00EF1BF8" w:rsidRPr="00EF1BF8">
        <w:t>) illustrates the synchronou</w:t>
      </w:r>
      <w:r w:rsidR="002510DF">
        <w:t>s response in groundwater level in the Menindee Formation</w:t>
      </w:r>
      <w:r w:rsidR="00EF1BF8" w:rsidRPr="00EF1BF8">
        <w:t xml:space="preserve"> after the onset of floods in October 2010. An almost identical hydrograph profile was observed at bore BHMAR92-2 at </w:t>
      </w:r>
      <w:r w:rsidR="009479FC">
        <w:t xml:space="preserve">nearby </w:t>
      </w:r>
      <w:smartTag w:uri="urn:schemas-microsoft-com:office:smarttags" w:element="place">
        <w:r w:rsidR="00EF1BF8" w:rsidRPr="00EF1BF8">
          <w:t>East Bootingee</w:t>
        </w:r>
      </w:smartTag>
      <w:r w:rsidR="00EF1BF8">
        <w:t xml:space="preserve"> (</w:t>
      </w:r>
      <w:r w:rsidR="000F7173" w:rsidRPr="000F7173">
        <w:fldChar w:fldCharType="begin"/>
      </w:r>
      <w:r w:rsidR="000F7173">
        <w:instrText xml:space="preserve"> REF _Ref355624133 \h  \* MERGEFORMAT </w:instrText>
      </w:r>
      <w:r w:rsidR="000F7173" w:rsidRPr="000F7173">
        <w:fldChar w:fldCharType="separate"/>
      </w:r>
      <w:r w:rsidR="00966532" w:rsidRPr="00966532">
        <w:t>Figure 6</w:t>
      </w:r>
      <w:r w:rsidR="00966532" w:rsidRPr="00966532">
        <w:noBreakHyphen/>
        <w:t>6</w:t>
      </w:r>
      <w:r w:rsidR="000F7173" w:rsidRPr="000F7173">
        <w:fldChar w:fldCharType="end"/>
      </w:r>
      <w:r w:rsidR="00EF1BF8" w:rsidRPr="00EF1BF8">
        <w:t xml:space="preserve">). </w:t>
      </w:r>
    </w:p>
    <w:p w:rsidR="00EF1BF8" w:rsidRDefault="00EF1BF8" w:rsidP="009038E6"/>
    <w:p w:rsidR="008242D7" w:rsidRDefault="009038E6" w:rsidP="009038E6">
      <w:r>
        <w:t xml:space="preserve">Groundwater levels in the unconfined aquifers that are highly responsive to rising (and falling) water levels in the </w:t>
      </w:r>
      <w:smartTag w:uri="urn:schemas-microsoft-com:office:smarttags" w:element="place">
        <w:r>
          <w:t>Darling River</w:t>
        </w:r>
      </w:smartTag>
      <w:r>
        <w:t xml:space="preserve"> (or adjacent lakes) indicate high </w:t>
      </w:r>
      <w:r w:rsidR="009479FC">
        <w:t xml:space="preserve">hydraulic </w:t>
      </w:r>
      <w:r>
        <w:t>connectivity between shallow groundwater and surface water. Watertable response</w:t>
      </w:r>
      <w:r w:rsidR="001B677D">
        <w:t xml:space="preserve"> is highest in bores within 200</w:t>
      </w:r>
      <w:r w:rsidR="00030542">
        <w:t xml:space="preserve"> </w:t>
      </w:r>
      <w:r>
        <w:t>m of the Darling River in the target areas at Jimargil and East Bootingee, with a slower response observed at greater distances from the surface water source.</w:t>
      </w:r>
    </w:p>
    <w:p w:rsidR="009038E6" w:rsidRPr="00B223CA" w:rsidRDefault="009038E6" w:rsidP="00656729">
      <w:pPr>
        <w:spacing w:after="60"/>
        <w:jc w:val="center"/>
        <w:rPr>
          <w:szCs w:val="22"/>
        </w:rPr>
      </w:pPr>
      <w:r>
        <w:br w:type="page"/>
      </w:r>
      <w:r w:rsidR="00706A3B">
        <w:rPr>
          <w:noProof/>
        </w:rPr>
        <w:lastRenderedPageBreak/>
        <w:drawing>
          <wp:inline distT="0" distB="0" distL="0" distR="0" wp14:anchorId="5F5DF4A1" wp14:editId="327E9F87">
            <wp:extent cx="5826760" cy="3391535"/>
            <wp:effectExtent l="0" t="0" r="0" b="0"/>
            <wp:docPr id="57" name="Picture 57" descr="BH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H8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26760" cy="3391535"/>
                    </a:xfrm>
                    <a:prstGeom prst="rect">
                      <a:avLst/>
                    </a:prstGeom>
                    <a:noFill/>
                    <a:ln>
                      <a:noFill/>
                    </a:ln>
                  </pic:spPr>
                </pic:pic>
              </a:graphicData>
            </a:graphic>
          </wp:inline>
        </w:drawing>
      </w:r>
    </w:p>
    <w:bookmarkStart w:id="408" w:name="_Ref325707907"/>
    <w:p w:rsidR="009038E6" w:rsidRDefault="00706A3B" w:rsidP="009038E6">
      <w:pPr>
        <w:pStyle w:val="Caption"/>
        <w:rPr>
          <w:bCs w:val="0"/>
          <w:i w:val="0"/>
        </w:rPr>
      </w:pPr>
      <w:r>
        <w:rPr>
          <w:noProof/>
          <w:szCs w:val="22"/>
        </w:rPr>
        <mc:AlternateContent>
          <mc:Choice Requires="wps">
            <w:drawing>
              <wp:anchor distT="0" distB="0" distL="114300" distR="114300" simplePos="0" relativeHeight="251645952" behindDoc="0" locked="0" layoutInCell="1" allowOverlap="1" wp14:anchorId="3EBACC1E" wp14:editId="1F357F14">
                <wp:simplePos x="0" y="0"/>
                <wp:positionH relativeFrom="column">
                  <wp:posOffset>2333625</wp:posOffset>
                </wp:positionH>
                <wp:positionV relativeFrom="paragraph">
                  <wp:posOffset>-2404745</wp:posOffset>
                </wp:positionV>
                <wp:extent cx="2955925" cy="5080"/>
                <wp:effectExtent l="15240" t="17145" r="10160" b="15875"/>
                <wp:wrapNone/>
                <wp:docPr id="1592" name="AutoShape 1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55925" cy="5080"/>
                        </a:xfrm>
                        <a:prstGeom prst="straightConnector1">
                          <a:avLst/>
                        </a:prstGeom>
                        <a:noFill/>
                        <a:ln w="19050">
                          <a:solidFill>
                            <a:srgbClr val="9933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89" o:spid="_x0000_s1026" type="#_x0000_t32" style="position:absolute;margin-left:183.75pt;margin-top:-189.35pt;width:232.75pt;height:.4pt;flip:x 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" strokecolor="#936" strokeweight="1.5pt"/>
            </w:pict>
          </mc:Fallback>
        </mc:AlternateContent>
      </w:r>
      <w:r w:rsidR="009038E6"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5</w:t>
      </w:r>
      <w:r w:rsidR="00A23C59">
        <w:rPr>
          <w:b/>
        </w:rPr>
        <w:fldChar w:fldCharType="end"/>
      </w:r>
      <w:bookmarkEnd w:id="408"/>
      <w:r w:rsidR="009038E6">
        <w:rPr>
          <w:b/>
        </w:rPr>
        <w:t>.</w:t>
      </w:r>
      <w:r w:rsidR="009038E6">
        <w:rPr>
          <w:b/>
          <w:szCs w:val="22"/>
        </w:rPr>
        <w:t xml:space="preserve"> </w:t>
      </w:r>
      <w:r w:rsidR="009038E6" w:rsidRPr="00FC40CE">
        <w:rPr>
          <w:szCs w:val="20"/>
        </w:rPr>
        <w:t xml:space="preserve">Hydrograph of BHMAR84-3 and BHMAR84-4 screened in the </w:t>
      </w:r>
      <w:r w:rsidR="00C217F0">
        <w:rPr>
          <w:szCs w:val="20"/>
        </w:rPr>
        <w:t>Coonambidgal Formation</w:t>
      </w:r>
      <w:r w:rsidR="009038E6" w:rsidRPr="00FC40CE">
        <w:rPr>
          <w:szCs w:val="20"/>
        </w:rPr>
        <w:t xml:space="preserve"> aquifer at Jimargil.</w:t>
      </w:r>
      <w:r w:rsidR="009107BD" w:rsidRPr="009107BD">
        <w:rPr>
          <w:szCs w:val="20"/>
        </w:rPr>
        <w:t xml:space="preserve"> The light blue points are the </w:t>
      </w:r>
      <w:smartTag w:uri="urn:schemas-microsoft-com:office:smarttags" w:element="place">
        <w:r w:rsidR="009107BD" w:rsidRPr="009107BD">
          <w:rPr>
            <w:szCs w:val="20"/>
          </w:rPr>
          <w:t>Darling River</w:t>
        </w:r>
      </w:smartTag>
      <w:r w:rsidR="009107BD" w:rsidRPr="009107BD">
        <w:rPr>
          <w:szCs w:val="20"/>
        </w:rPr>
        <w:t xml:space="preserve"> stage height measurements at the Weir 32 gauge. </w:t>
      </w:r>
      <w:r w:rsidR="009038E6" w:rsidRPr="00FC40CE">
        <w:rPr>
          <w:szCs w:val="20"/>
        </w:rPr>
        <w:t xml:space="preserve">The purple line is the Weir 32 gauge height at which overbank flow </w:t>
      </w:r>
      <w:r w:rsidR="00DF0CAB" w:rsidRPr="00FC40CE">
        <w:rPr>
          <w:szCs w:val="20"/>
        </w:rPr>
        <w:t>occurs</w:t>
      </w:r>
      <w:r w:rsidR="00DF0CAB">
        <w:rPr>
          <w:szCs w:val="20"/>
        </w:rPr>
        <w:t>.</w:t>
      </w:r>
      <w:r w:rsidR="00DF0CAB" w:rsidRPr="009107BD">
        <w:rPr>
          <w:bCs w:val="0"/>
        </w:rPr>
        <w:t xml:space="preserve"> The</w:t>
      </w:r>
      <w:r w:rsidR="009107BD" w:rsidRPr="009107BD">
        <w:rPr>
          <w:bCs w:val="0"/>
        </w:rPr>
        <w:t xml:space="preserve"> orange triangles are manual measurements of groundwater levels in the monitoring bore as a comparison with the logger data</w:t>
      </w:r>
      <w:r w:rsidR="009107BD" w:rsidRPr="009107BD">
        <w:rPr>
          <w:bCs w:val="0"/>
          <w:i w:val="0"/>
        </w:rPr>
        <w:t xml:space="preserve">. </w:t>
      </w:r>
      <w:r w:rsidR="009038E6" w:rsidRPr="001B06B3">
        <w:rPr>
          <w:bCs w:val="0"/>
          <w:i w:val="0"/>
        </w:rPr>
        <w:fldChar w:fldCharType="begin"/>
      </w:r>
      <w:r w:rsidR="009038E6" w:rsidRPr="001B06B3">
        <w:rPr>
          <w:bCs w:val="0"/>
          <w:i w:val="0"/>
        </w:rPr>
        <w:instrText xml:space="preserve"> TC "</w:instrText>
      </w:r>
      <w:bookmarkStart w:id="409" w:name="_Toc325975223"/>
      <w:bookmarkStart w:id="410" w:name="_Toc390690238"/>
      <w:r w:rsidR="00DE0DFA">
        <w:rPr>
          <w:bCs w:val="0"/>
          <w:i w:val="0"/>
        </w:rPr>
        <w:instrText>Figure 6</w:instrText>
      </w:r>
      <w:r w:rsidR="008354DA">
        <w:rPr>
          <w:bCs w:val="0"/>
          <w:i w:val="0"/>
        </w:rPr>
        <w:instrText>-5</w:instrText>
      </w:r>
      <w:r w:rsidR="00DE0DFA">
        <w:rPr>
          <w:bCs w:val="0"/>
          <w:i w:val="0"/>
        </w:rPr>
        <w:instrText>.</w:instrText>
      </w:r>
      <w:r w:rsidR="009038E6" w:rsidRPr="001B06B3">
        <w:rPr>
          <w:bCs w:val="0"/>
          <w:i w:val="0"/>
        </w:rPr>
        <w:instrText xml:space="preserve"> </w:instrText>
      </w:r>
      <w:r w:rsidR="002B7178">
        <w:rPr>
          <w:i w:val="0"/>
          <w:szCs w:val="20"/>
        </w:rPr>
        <w:instrText xml:space="preserve">Hydrographs for BHMAR84-3 and </w:instrText>
      </w:r>
      <w:r w:rsidR="009038E6" w:rsidRPr="001B06B3">
        <w:rPr>
          <w:i w:val="0"/>
          <w:szCs w:val="20"/>
        </w:rPr>
        <w:instrText xml:space="preserve">84-4 screened in the </w:instrText>
      </w:r>
      <w:r w:rsidR="00C217F0">
        <w:rPr>
          <w:i w:val="0"/>
          <w:szCs w:val="20"/>
        </w:rPr>
        <w:instrText>Coonambidgal Formation</w:instrText>
      </w:r>
      <w:r w:rsidR="009038E6" w:rsidRPr="001B06B3">
        <w:rPr>
          <w:i w:val="0"/>
          <w:szCs w:val="20"/>
        </w:rPr>
        <w:instrText xml:space="preserve"> aquifer at Jimargil</w:instrText>
      </w:r>
      <w:bookmarkEnd w:id="409"/>
      <w:r w:rsidR="005E4B77">
        <w:rPr>
          <w:i w:val="0"/>
          <w:szCs w:val="20"/>
        </w:rPr>
        <w:instrText>.</w:instrText>
      </w:r>
      <w:bookmarkEnd w:id="410"/>
      <w:r w:rsidR="009038E6" w:rsidRPr="001B06B3">
        <w:rPr>
          <w:bCs w:val="0"/>
          <w:i w:val="0"/>
        </w:rPr>
        <w:instrText xml:space="preserve">" \f A \l “4” </w:instrText>
      </w:r>
      <w:r w:rsidR="009038E6" w:rsidRPr="001B06B3">
        <w:rPr>
          <w:bCs w:val="0"/>
          <w:i w:val="0"/>
        </w:rPr>
        <w:fldChar w:fldCharType="end"/>
      </w:r>
    </w:p>
    <w:p w:rsidR="008354DA" w:rsidRPr="008354DA" w:rsidRDefault="008354DA" w:rsidP="008354DA">
      <w:pPr>
        <w:pStyle w:val="BodyText1"/>
      </w:pPr>
    </w:p>
    <w:p w:rsidR="00EF1BF8" w:rsidRDefault="00706A3B" w:rsidP="00656729">
      <w:pPr>
        <w:pStyle w:val="BodyText1"/>
        <w:spacing w:after="60" w:line="240" w:lineRule="auto"/>
        <w:jc w:val="center"/>
      </w:pPr>
      <w:r>
        <w:rPr>
          <w:noProof/>
        </w:rPr>
        <mc:AlternateContent>
          <mc:Choice Requires="wps">
            <w:drawing>
              <wp:anchor distT="0" distB="0" distL="114300" distR="114300" simplePos="0" relativeHeight="251661312" behindDoc="0" locked="0" layoutInCell="1" allowOverlap="1" wp14:anchorId="6258F67C" wp14:editId="09F4D32F">
                <wp:simplePos x="0" y="0"/>
                <wp:positionH relativeFrom="column">
                  <wp:posOffset>2133600</wp:posOffset>
                </wp:positionH>
                <wp:positionV relativeFrom="paragraph">
                  <wp:posOffset>838200</wp:posOffset>
                </wp:positionV>
                <wp:extent cx="2973070" cy="22225"/>
                <wp:effectExtent l="15240" t="15240" r="12065" b="10160"/>
                <wp:wrapNone/>
                <wp:docPr id="1591" name="AutoShape 1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73070" cy="22225"/>
                        </a:xfrm>
                        <a:prstGeom prst="straightConnector1">
                          <a:avLst/>
                        </a:prstGeom>
                        <a:noFill/>
                        <a:ln w="19050">
                          <a:solidFill>
                            <a:srgbClr val="9933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0" o:spid="_x0000_s1026" type="#_x0000_t32" style="position:absolute;margin-left:168pt;margin-top:66pt;width:234.1pt;height:1.7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" strokecolor="#936" strokeweight="1.5pt"/>
            </w:pict>
          </mc:Fallback>
        </mc:AlternateContent>
      </w:r>
      <w:r>
        <w:rPr>
          <w:noProof/>
        </w:rPr>
        <w:drawing>
          <wp:inline distT="0" distB="0" distL="0" distR="0" wp14:anchorId="10566747" wp14:editId="5DC4C0EB">
            <wp:extent cx="5316220" cy="3061970"/>
            <wp:effectExtent l="0" t="0" r="0" b="0"/>
            <wp:docPr id="58" name="Picture 58"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16220" cy="3061970"/>
                    </a:xfrm>
                    <a:prstGeom prst="rect">
                      <a:avLst/>
                    </a:prstGeom>
                    <a:noFill/>
                    <a:ln>
                      <a:noFill/>
                    </a:ln>
                  </pic:spPr>
                </pic:pic>
              </a:graphicData>
            </a:graphic>
          </wp:inline>
        </w:drawing>
      </w:r>
    </w:p>
    <w:p w:rsidR="009038E6" w:rsidRDefault="000F7173" w:rsidP="008354DA">
      <w:pPr>
        <w:pStyle w:val="Caption"/>
      </w:pPr>
      <w:bookmarkStart w:id="411" w:name="_Ref355624133"/>
      <w:r w:rsidRPr="000F7173">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6</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6</w:t>
      </w:r>
      <w:r w:rsidR="00A23C59">
        <w:rPr>
          <w:b/>
          <w:iCs/>
        </w:rPr>
        <w:fldChar w:fldCharType="end"/>
      </w:r>
      <w:bookmarkEnd w:id="411"/>
      <w:r w:rsidRPr="000F7173">
        <w:rPr>
          <w:b/>
          <w:iCs/>
        </w:rPr>
        <w:t>.</w:t>
      </w:r>
      <w:r w:rsidRPr="000F7173">
        <w:t xml:space="preserve"> </w:t>
      </w:r>
      <w:r w:rsidR="00EF1BF8" w:rsidRPr="000F7173">
        <w:t xml:space="preserve">Hydrographs for bores BHMAR77-3 and BHMAR92-2 screened in the Menindee Formation aquifer at </w:t>
      </w:r>
      <w:smartTag w:uri="urn:schemas-microsoft-com:office:smarttags" w:element="place">
        <w:r w:rsidR="00EF1BF8" w:rsidRPr="000F7173">
          <w:t>East Bootingee</w:t>
        </w:r>
      </w:smartTag>
      <w:r w:rsidR="00EF1BF8" w:rsidRPr="000F7173">
        <w:t xml:space="preserve">. The light blue points are the </w:t>
      </w:r>
      <w:smartTag w:uri="urn:schemas-microsoft-com:office:smarttags" w:element="place">
        <w:r w:rsidR="00EF1BF8" w:rsidRPr="000F7173">
          <w:t>Darling River</w:t>
        </w:r>
      </w:smartTag>
      <w:r w:rsidR="00EF1BF8" w:rsidRPr="000F7173">
        <w:t xml:space="preserve"> stage height measurements at the Weir 32 gauge. The purple line is the Weir 32 gauge height at which overbank flow occurs. The orange triangles are manual measurements of groundwater levels in the monitoring bore as a comparison with the logger data.</w:t>
      </w:r>
      <w:r w:rsidR="009038E6" w:rsidRPr="001B06B3">
        <w:fldChar w:fldCharType="begin"/>
      </w:r>
      <w:r w:rsidR="009038E6" w:rsidRPr="001B06B3">
        <w:instrText xml:space="preserve"> TC "</w:instrText>
      </w:r>
      <w:bookmarkStart w:id="412" w:name="_Toc325975224"/>
      <w:bookmarkStart w:id="413" w:name="_Toc390690239"/>
      <w:r w:rsidR="00DE0DFA">
        <w:instrText xml:space="preserve">Figure </w:instrText>
      </w:r>
      <w:r w:rsidR="008354DA">
        <w:instrText>6-6</w:instrText>
      </w:r>
      <w:r w:rsidR="00DE0DFA">
        <w:instrText>.</w:instrText>
      </w:r>
      <w:r w:rsidR="009038E6" w:rsidRPr="001B06B3">
        <w:instrText xml:space="preserve"> </w:instrText>
      </w:r>
      <w:r w:rsidR="002B7178">
        <w:instrText xml:space="preserve">Hydrographs for BHMAR77-3 and 92-2 screened in </w:instrText>
      </w:r>
      <w:r w:rsidR="00C217F0">
        <w:instrText>Menindee Formation</w:instrText>
      </w:r>
      <w:r w:rsidR="002B7178">
        <w:instrText xml:space="preserve"> aquifer</w:instrText>
      </w:r>
      <w:r w:rsidR="009038E6" w:rsidRPr="001B06B3">
        <w:instrText xml:space="preserve"> </w:instrText>
      </w:r>
      <w:bookmarkEnd w:id="412"/>
      <w:r w:rsidR="002B7178">
        <w:instrText xml:space="preserve">at </w:instrText>
      </w:r>
      <w:smartTag w:uri="urn:schemas-microsoft-com:office:smarttags" w:element="place">
        <w:r w:rsidR="002B7178">
          <w:instrText>East Bootingee</w:instrText>
        </w:r>
      </w:smartTag>
      <w:r w:rsidR="005E4B77">
        <w:instrText>.</w:instrText>
      </w:r>
      <w:bookmarkEnd w:id="413"/>
      <w:r w:rsidR="009038E6" w:rsidRPr="001B06B3">
        <w:instrText xml:space="preserve">" \f A \l “4” </w:instrText>
      </w:r>
      <w:r w:rsidR="009038E6" w:rsidRPr="001B06B3">
        <w:fldChar w:fldCharType="end"/>
      </w:r>
    </w:p>
    <w:p w:rsidR="008354DA" w:rsidRPr="008354DA" w:rsidRDefault="008354DA" w:rsidP="008354DA">
      <w:pPr>
        <w:pStyle w:val="BodyText1"/>
      </w:pPr>
    </w:p>
    <w:p w:rsidR="009038E6" w:rsidRDefault="00DA40F0" w:rsidP="008242D7">
      <w:pPr>
        <w:pStyle w:val="Heading3"/>
      </w:pPr>
      <w:bookmarkStart w:id="414" w:name="_Toc390690127"/>
      <w:r>
        <w:lastRenderedPageBreak/>
        <w:t>Semi-co</w:t>
      </w:r>
      <w:r w:rsidR="009038E6">
        <w:t xml:space="preserve">nfined </w:t>
      </w:r>
      <w:r w:rsidR="00C217F0">
        <w:t>Calivil Formation</w:t>
      </w:r>
      <w:r w:rsidR="009038E6">
        <w:t xml:space="preserve"> Aquifer</w:t>
      </w:r>
      <w:bookmarkEnd w:id="414"/>
    </w:p>
    <w:p w:rsidR="009038E6" w:rsidRDefault="009038E6" w:rsidP="009038E6">
      <w:smartTag w:uri="urn:schemas-microsoft-com:office:smarttags" w:element="PersonName">
        <w:r>
          <w:t>Groundwater</w:t>
        </w:r>
      </w:smartTag>
      <w:r>
        <w:t xml:space="preserve"> level monitoring in the </w:t>
      </w:r>
      <w:r w:rsidR="00C217F0">
        <w:t>Calivil Formation</w:t>
      </w:r>
      <w:r>
        <w:t xml:space="preserve"> aquifer was undertaken in 19 bores distributed along the </w:t>
      </w:r>
      <w:smartTag w:uri="urn:schemas-microsoft-com:office:smarttags" w:element="place">
        <w:r>
          <w:t>Darling River</w:t>
        </w:r>
      </w:smartTag>
      <w:r>
        <w:t xml:space="preserve"> floodplain corridor. For </w:t>
      </w:r>
      <w:r w:rsidR="001B677D">
        <w:t>analysis of all hydrographs, refer to Lawrie</w:t>
      </w:r>
      <w:r w:rsidR="008A5F7D" w:rsidRPr="00CF7613">
        <w:rPr>
          <w:rStyle w:val="StyleItalic"/>
        </w:rPr>
        <w:t xml:space="preserve"> et al</w:t>
      </w:r>
      <w:r w:rsidR="001B677D">
        <w:t xml:space="preserve">. (2012b), with all hydrograph data contained in </w:t>
      </w:r>
      <w:r w:rsidR="00B03359">
        <w:t>Appendix 6 (</w:t>
      </w:r>
      <w:r>
        <w:t>Somerville</w:t>
      </w:r>
      <w:r w:rsidR="008A5F7D" w:rsidRPr="00CF7613">
        <w:rPr>
          <w:rStyle w:val="StyleItalic"/>
        </w:rPr>
        <w:t xml:space="preserve"> et al</w:t>
      </w:r>
      <w:r>
        <w:t>.</w:t>
      </w:r>
      <w:r w:rsidR="00B03359">
        <w:t>,</w:t>
      </w:r>
      <w:r>
        <w:t xml:space="preserve"> 2012). During the flood event, the change in groundwater level </w:t>
      </w:r>
      <w:r w:rsidR="001B677D">
        <w:t>in these bores ranged from 0.03</w:t>
      </w:r>
      <w:r w:rsidR="00030542">
        <w:t xml:space="preserve"> </w:t>
      </w:r>
      <w:r w:rsidR="001B677D">
        <w:t>m to 1.40</w:t>
      </w:r>
      <w:r w:rsidR="00030542">
        <w:t xml:space="preserve"> </w:t>
      </w:r>
      <w:r>
        <w:t xml:space="preserve">m. The larger responses (&gt;1 m) were at three sites adjacent to the Darling River - at </w:t>
      </w:r>
      <w:smartTag w:uri="urn:schemas-microsoft-com:office:smarttags" w:element="place">
        <w:smartTag w:uri="urn:schemas-microsoft-com:office:smarttags" w:element="PlaceType">
          <w:r>
            <w:t>Lake</w:t>
          </w:r>
        </w:smartTag>
        <w:r>
          <w:t xml:space="preserve"> </w:t>
        </w:r>
        <w:smartTag w:uri="urn:schemas-microsoft-com:office:smarttags" w:element="PlaceName">
          <w:r>
            <w:t>Wetherell</w:t>
          </w:r>
        </w:smartTag>
      </w:smartTag>
      <w:r>
        <w:t xml:space="preserve">, near </w:t>
      </w:r>
      <w:r w:rsidR="007D1583">
        <w:t>Menindee township</w:t>
      </w:r>
      <w:r>
        <w:t xml:space="preserve"> and at the Jimargil target.</w:t>
      </w:r>
    </w:p>
    <w:p w:rsidR="009038E6" w:rsidRDefault="009038E6" w:rsidP="009038E6"/>
    <w:p w:rsidR="009038E6" w:rsidRDefault="009038E6" w:rsidP="009038E6">
      <w:r w:rsidRPr="009038E6">
        <w:fldChar w:fldCharType="begin"/>
      </w:r>
      <w:r w:rsidRPr="009038E6">
        <w:instrText xml:space="preserve"> REF _Ref325707925 \h  \* MERGEFORMAT </w:instrText>
      </w:r>
      <w:r w:rsidRPr="009038E6">
        <w:fldChar w:fldCharType="separate"/>
      </w:r>
      <w:r w:rsidR="00966532" w:rsidRPr="00966532">
        <w:t xml:space="preserve">Figure </w:t>
      </w:r>
      <w:r w:rsidR="00966532" w:rsidRPr="00966532">
        <w:rPr>
          <w:noProof/>
        </w:rPr>
        <w:t>6</w:t>
      </w:r>
      <w:r w:rsidR="00966532" w:rsidRPr="00966532">
        <w:rPr>
          <w:noProof/>
        </w:rPr>
        <w:noBreakHyphen/>
        <w:t>7</w:t>
      </w:r>
      <w:r w:rsidRPr="009038E6">
        <w:fldChar w:fldCharType="end"/>
      </w:r>
      <w:r w:rsidRPr="009038E6">
        <w:t xml:space="preserve"> plot</w:t>
      </w:r>
      <w:r w:rsidR="00DF0CAB">
        <w:t>s</w:t>
      </w:r>
      <w:r w:rsidRPr="009038E6">
        <w:t xml:space="preserve"> the</w:t>
      </w:r>
      <w:r>
        <w:t xml:space="preserve"> hydrographs of three </w:t>
      </w:r>
      <w:r w:rsidR="00C217F0">
        <w:t>Calivil Formation</w:t>
      </w:r>
      <w:r>
        <w:t xml:space="preserve"> monitoring bores within 200 m of the river at </w:t>
      </w:r>
      <w:smartTag w:uri="urn:schemas-microsoft-com:office:smarttags" w:element="place">
        <w:r>
          <w:t>East Bootingee</w:t>
        </w:r>
      </w:smartTag>
      <w:r>
        <w:t xml:space="preserve">. These show an increase in groundwater levels after the onset of high flows in October 2010. Like the shallow aquifer, groundwater response occurs prior to the onset of overbank flow. In these bores, the groundwater levels fluctuate with river levels until about May 2011. From this time, river level began the recede but the groundwater level in these </w:t>
      </w:r>
      <w:r w:rsidR="00C217F0">
        <w:t>Calivil Formation</w:t>
      </w:r>
      <w:r>
        <w:t xml:space="preserve"> bores either stabilised or continued to rise. </w:t>
      </w:r>
    </w:p>
    <w:p w:rsidR="009038E6" w:rsidRDefault="009038E6" w:rsidP="009038E6"/>
    <w:p w:rsidR="009038E6" w:rsidRPr="009038E6" w:rsidRDefault="009038E6" w:rsidP="009038E6">
      <w:r>
        <w:t xml:space="preserve">This maintenance or continual rise in </w:t>
      </w:r>
      <w:r w:rsidR="00C217F0">
        <w:t>Calivil Formation</w:t>
      </w:r>
      <w:r>
        <w:t xml:space="preserve"> groundwater levels after the flood peak ha</w:t>
      </w:r>
      <w:r w:rsidR="00F17ECC">
        <w:t>d</w:t>
      </w:r>
      <w:r>
        <w:t xml:space="preserve"> passed suggests actual recharge processes to the deeper aquifer. If transient hydraulic loading caused by increased overlying surface and shallow groundwater storage is the dominant mechanism</w:t>
      </w:r>
      <w:r w:rsidR="00F17ECC">
        <w:t xml:space="preserve"> for the groundwater level response</w:t>
      </w:r>
      <w:r>
        <w:t xml:space="preserve">, then the </w:t>
      </w:r>
      <w:r w:rsidR="00C217F0">
        <w:t>Calivil Formation</w:t>
      </w:r>
      <w:r>
        <w:t xml:space="preserve"> hydrograph should mirror that of the river stage or the shallow watertable. In contrast to the </w:t>
      </w:r>
      <w:r w:rsidR="00C217F0">
        <w:t>Calivil Formation</w:t>
      </w:r>
      <w:r>
        <w:t xml:space="preserve"> response, the shallow watertable in the </w:t>
      </w:r>
      <w:r w:rsidR="00C217F0">
        <w:t>Coonambidgal Formation</w:t>
      </w:r>
      <w:r>
        <w:t xml:space="preserve"> shows a rapid decline coincident with flow recession (</w:t>
      </w:r>
      <w:r w:rsidRPr="009038E6">
        <w:fldChar w:fldCharType="begin"/>
      </w:r>
      <w:r w:rsidRPr="009038E6">
        <w:instrText xml:space="preserve"> REF _Ref325707907 \h  \* MERGEFORMAT </w:instrText>
      </w:r>
      <w:r w:rsidRPr="009038E6">
        <w:fldChar w:fldCharType="separate"/>
      </w:r>
      <w:r w:rsidR="00966532" w:rsidRPr="00966532">
        <w:t xml:space="preserve">Figure </w:t>
      </w:r>
      <w:r w:rsidR="00966532" w:rsidRPr="00966532">
        <w:rPr>
          <w:noProof/>
        </w:rPr>
        <w:t>6</w:t>
      </w:r>
      <w:r w:rsidR="00966532" w:rsidRPr="00966532">
        <w:rPr>
          <w:noProof/>
        </w:rPr>
        <w:noBreakHyphen/>
        <w:t>5</w:t>
      </w:r>
      <w:r w:rsidRPr="009038E6">
        <w:fldChar w:fldCharType="end"/>
      </w:r>
      <w:r w:rsidRPr="009038E6">
        <w:t>).</w:t>
      </w:r>
    </w:p>
    <w:p w:rsidR="009038E6" w:rsidRDefault="009038E6" w:rsidP="009038E6"/>
    <w:p w:rsidR="009038E6" w:rsidRDefault="009038E6" w:rsidP="009038E6">
      <w:r>
        <w:t>The impact of hydraulic loading on a confined aquifer in terms of a groundwater level response (</w:t>
      </w:r>
      <w:r w:rsidRPr="00564741">
        <w:rPr>
          <w:i/>
        </w:rPr>
        <w:t>ΔSWL</w:t>
      </w:r>
      <w:r>
        <w:t>) is a proportion of the observed watertable fluctuation (</w:t>
      </w:r>
      <w:r w:rsidRPr="00564741">
        <w:rPr>
          <w:i/>
        </w:rPr>
        <w:t>Δh</w:t>
      </w:r>
      <w:r>
        <w:t>) in the overlying unconfined aquifer, with that proportion being the combination of the unconfined aquifer specific yield (</w:t>
      </w:r>
      <w:r w:rsidRPr="00564741">
        <w:rPr>
          <w:i/>
        </w:rPr>
        <w:t>S</w:t>
      </w:r>
      <w:r w:rsidRPr="00564741">
        <w:rPr>
          <w:i/>
          <w:vertAlign w:val="subscript"/>
        </w:rPr>
        <w:t>y</w:t>
      </w:r>
      <w:r>
        <w:t>) and the loading efficiency (</w:t>
      </w:r>
      <w:r w:rsidRPr="00564741">
        <w:rPr>
          <w:i/>
        </w:rPr>
        <w:t>γ</w:t>
      </w:r>
      <w:r>
        <w:t>) of th</w:t>
      </w:r>
      <w:r w:rsidR="001B677D">
        <w:t xml:space="preserve">e confined aquifer (Harrington </w:t>
      </w:r>
      <w:r>
        <w:t>&amp; Cook, 2011), represented by the equation:</w:t>
      </w:r>
    </w:p>
    <w:p w:rsidR="008354DA" w:rsidRDefault="008354DA" w:rsidP="009038E6"/>
    <w:p w:rsidR="009038E6" w:rsidRPr="00935679" w:rsidRDefault="009038E6" w:rsidP="008354DA">
      <w:r w:rsidRPr="00935679">
        <w:rPr>
          <w:position w:val="-14"/>
          <w:szCs w:val="22"/>
        </w:rPr>
        <w:object w:dxaOrig="1640" w:dyaOrig="380">
          <v:shape id="_x0000_i1026" type="#_x0000_t75" style="width:81.35pt;height:18.7pt" o:ole="">
            <v:imagedata r:id="rId95" o:title=""/>
          </v:shape>
          <o:OLEObject Type="Embed" ProgID="Equation.3" ShapeID="_x0000_i1026" DrawAspect="Content" ObjectID="_1465128337" r:id="rId96"/>
        </w:object>
      </w:r>
    </w:p>
    <w:p w:rsidR="008354DA" w:rsidRDefault="008354DA" w:rsidP="009038E6"/>
    <w:p w:rsidR="009038E6" w:rsidRDefault="009038E6" w:rsidP="009038E6">
      <w:r w:rsidRPr="00935679">
        <w:t xml:space="preserve">The average measured watertable response to the flood peak at Jimargil was used as a representative value for </w:t>
      </w:r>
      <w:r w:rsidRPr="00564741">
        <w:rPr>
          <w:i/>
        </w:rPr>
        <w:t>Δh</w:t>
      </w:r>
      <w:r w:rsidRPr="00935679">
        <w:t xml:space="preserve"> (=2.2</w:t>
      </w:r>
      <w:r w:rsidR="00A72012">
        <w:t xml:space="preserve"> </w:t>
      </w:r>
      <w:r w:rsidRPr="00935679">
        <w:t>m), a range of 0.5-0.9</w:t>
      </w:r>
      <w:r w:rsidR="00303E73" w:rsidRPr="00935679">
        <w:t xml:space="preserve"> </w:t>
      </w:r>
      <w:r w:rsidR="00F17ECC">
        <w:t xml:space="preserve">was </w:t>
      </w:r>
      <w:r w:rsidRPr="00935679">
        <w:t>used for the loading efficiency based on published data (Harrington &amp; Cook, 2011)</w:t>
      </w:r>
      <w:r w:rsidR="00106292" w:rsidRPr="00935679">
        <w:t>,</w:t>
      </w:r>
      <w:r w:rsidRPr="00935679">
        <w:t xml:space="preserve"> and a range of 0.05-0.1 </w:t>
      </w:r>
      <w:r w:rsidR="00F17ECC">
        <w:t xml:space="preserve">was </w:t>
      </w:r>
      <w:r w:rsidRPr="00935679">
        <w:t>used for the specific yield (</w:t>
      </w:r>
      <w:r w:rsidR="00935679">
        <w:t>Lawrie</w:t>
      </w:r>
      <w:r w:rsidR="008A5F7D" w:rsidRPr="00CF7613">
        <w:rPr>
          <w:rStyle w:val="StyleItalic"/>
        </w:rPr>
        <w:t xml:space="preserve"> et al</w:t>
      </w:r>
      <w:r w:rsidR="00935679">
        <w:t>., 2012a</w:t>
      </w:r>
      <w:r w:rsidRPr="00935679">
        <w:t xml:space="preserve">). This </w:t>
      </w:r>
      <w:r w:rsidR="00F17ECC">
        <w:t>yields</w:t>
      </w:r>
      <w:r w:rsidRPr="00935679">
        <w:t xml:space="preserve"> a quantum of the potential impacts of hydraulic loading associated with the flood peak </w:t>
      </w:r>
      <w:r w:rsidR="00F17ECC">
        <w:t>o</w:t>
      </w:r>
      <w:r w:rsidRPr="00935679">
        <w:t>n the order of a 0.05-0.2</w:t>
      </w:r>
      <w:r w:rsidR="00A72012">
        <w:t xml:space="preserve"> </w:t>
      </w:r>
      <w:r w:rsidRPr="00935679">
        <w:t xml:space="preserve">m rise in </w:t>
      </w:r>
      <w:r w:rsidR="00C217F0" w:rsidRPr="00935679">
        <w:t>Calivil Formation</w:t>
      </w:r>
      <w:r w:rsidRPr="00935679">
        <w:t xml:space="preserve"> groundwater levels. As indicated in </w:t>
      </w:r>
      <w:r w:rsidRPr="00935679">
        <w:fldChar w:fldCharType="begin"/>
      </w:r>
      <w:r w:rsidRPr="00935679">
        <w:instrText xml:space="preserve"> REF _Ref325707925 \h  \* MERGEFORMAT </w:instrText>
      </w:r>
      <w:r w:rsidRPr="00935679">
        <w:fldChar w:fldCharType="separate"/>
      </w:r>
      <w:r w:rsidR="00966532" w:rsidRPr="00966532">
        <w:t xml:space="preserve">Figure </w:t>
      </w:r>
      <w:r w:rsidR="00966532" w:rsidRPr="00966532">
        <w:rPr>
          <w:noProof/>
        </w:rPr>
        <w:t>6</w:t>
      </w:r>
      <w:r w:rsidR="00966532" w:rsidRPr="00966532">
        <w:rPr>
          <w:noProof/>
        </w:rPr>
        <w:noBreakHyphen/>
        <w:t>7</w:t>
      </w:r>
      <w:r w:rsidRPr="00935679">
        <w:fldChar w:fldCharType="end"/>
      </w:r>
      <w:r w:rsidRPr="00935679">
        <w:t xml:space="preserve">, the observed rises in </w:t>
      </w:r>
      <w:r w:rsidR="00C217F0" w:rsidRPr="00935679">
        <w:t>Calivil Formation</w:t>
      </w:r>
      <w:r w:rsidR="00303E73" w:rsidRPr="00935679">
        <w:t xml:space="preserve"> </w:t>
      </w:r>
      <w:r w:rsidRPr="00935679">
        <w:t xml:space="preserve">groundwater levels are significantly higher than this, </w:t>
      </w:r>
      <w:r w:rsidR="00F17ECC">
        <w:t>o</w:t>
      </w:r>
      <w:r w:rsidRPr="00935679">
        <w:t>n the order of 0.6-1.6</w:t>
      </w:r>
      <w:r w:rsidR="00A72012">
        <w:t xml:space="preserve"> </w:t>
      </w:r>
      <w:r w:rsidRPr="00935679">
        <w:t>m. Hydraulic loading</w:t>
      </w:r>
      <w:r>
        <w:t xml:space="preserve"> may explain perturbations in the </w:t>
      </w:r>
      <w:r w:rsidR="00C217F0">
        <w:t>Calivil Formation</w:t>
      </w:r>
      <w:r>
        <w:t xml:space="preserve"> groundwater levels during the flood phase, but would not explain the maintenance (or rise) of </w:t>
      </w:r>
      <w:r w:rsidR="00C217F0">
        <w:t>Calivil Formation</w:t>
      </w:r>
      <w:r>
        <w:t xml:space="preserve"> groundwater levels whilst river </w:t>
      </w:r>
      <w:r w:rsidR="00F17ECC">
        <w:t>stage</w:t>
      </w:r>
      <w:r>
        <w:t xml:space="preserve"> (and the shallow watertable) subsequently receded</w:t>
      </w:r>
      <w:r w:rsidR="00106292">
        <w:t>.</w:t>
      </w:r>
    </w:p>
    <w:p w:rsidR="002633A2" w:rsidRDefault="002633A2" w:rsidP="002633A2"/>
    <w:p w:rsidR="002633A2" w:rsidRPr="00AC1239" w:rsidRDefault="002633A2" w:rsidP="002633A2">
      <w:r w:rsidRPr="003246B0">
        <w:t xml:space="preserve">Groundwater level monitoring in the Calivil Formation at the northwest margin of </w:t>
      </w:r>
      <w:smartTag w:uri="urn:schemas-microsoft-com:office:smarttags" w:element="place">
        <w:smartTag w:uri="urn:schemas-microsoft-com:office:smarttags" w:element="PlaceType">
          <w:r w:rsidRPr="003246B0">
            <w:t>Lake</w:t>
          </w:r>
        </w:smartTag>
        <w:r w:rsidRPr="003246B0">
          <w:t xml:space="preserve"> </w:t>
        </w:r>
        <w:smartTag w:uri="urn:schemas-microsoft-com:office:smarttags" w:element="PlaceName">
          <w:r w:rsidRPr="003246B0">
            <w:t>Menindee</w:t>
          </w:r>
        </w:smartTag>
      </w:smartTag>
      <w:r w:rsidRPr="003246B0">
        <w:t xml:space="preserve">, show a monotonic 4.0 m rise from the onset of refilling of the lake </w:t>
      </w:r>
      <w:r>
        <w:t>(</w:t>
      </w:r>
      <w:r w:rsidRPr="00E121A0">
        <w:fldChar w:fldCharType="begin"/>
      </w:r>
      <w:r>
        <w:instrText xml:space="preserve"> REF _Ref325707925 \h  \* MERGEFORMAT </w:instrText>
      </w:r>
      <w:r w:rsidRPr="00E121A0">
        <w:fldChar w:fldCharType="separate"/>
      </w:r>
      <w:r w:rsidR="00966532" w:rsidRPr="00966532">
        <w:t>Figure 6</w:t>
      </w:r>
      <w:r w:rsidR="00966532" w:rsidRPr="00966532">
        <w:noBreakHyphen/>
        <w:t>7</w:t>
      </w:r>
      <w:r w:rsidRPr="00E121A0">
        <w:fldChar w:fldCharType="end"/>
      </w:r>
      <w:r w:rsidRPr="009038E6">
        <w:t>)</w:t>
      </w:r>
      <w:r>
        <w:t xml:space="preserve">. </w:t>
      </w:r>
      <w:r w:rsidRPr="009038E6">
        <w:t>Despite</w:t>
      </w:r>
      <w:r>
        <w:t xml:space="preserve"> the fluctuating lake levels due to water releases, the groundwater level rose continuously from the start of monitoring. </w:t>
      </w:r>
      <w:r>
        <w:rPr>
          <w:rFonts w:ascii="TimesNewRomanPSMT" w:hAnsi="TimesNewRomanPSMT" w:cs="TimesNewRomanPSMT"/>
          <w:szCs w:val="22"/>
        </w:rPr>
        <w:t>Manual measurements taken from the monitoring bore in the overlying Menindee Formation at this site indicate a shallow watertable rise of the same magnitude</w:t>
      </w:r>
      <w:r w:rsidR="00E33C41">
        <w:rPr>
          <w:rFonts w:ascii="TimesNewRomanPSMT" w:hAnsi="TimesNewRomanPSMT" w:cs="TimesNewRomanPSMT"/>
          <w:szCs w:val="22"/>
        </w:rPr>
        <w:t>.</w:t>
      </w:r>
    </w:p>
    <w:p w:rsidR="00106292" w:rsidRDefault="00106292" w:rsidP="009038E6"/>
    <w:p w:rsidR="009038E6" w:rsidRDefault="00706A3B" w:rsidP="00656729">
      <w:pPr>
        <w:spacing w:after="60"/>
        <w:jc w:val="center"/>
      </w:pPr>
      <w:r>
        <w:rPr>
          <w:bCs/>
          <w:i/>
          <w:noProof/>
          <w:kern w:val="28"/>
          <w:szCs w:val="22"/>
        </w:rPr>
        <w:lastRenderedPageBreak/>
        <w:drawing>
          <wp:inline distT="0" distB="0" distL="0" distR="0" wp14:anchorId="6029E511" wp14:editId="42459405">
            <wp:extent cx="6049645" cy="35407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49645" cy="3540760"/>
                    </a:xfrm>
                    <a:prstGeom prst="rect">
                      <a:avLst/>
                    </a:prstGeom>
                    <a:noFill/>
                    <a:ln>
                      <a:noFill/>
                    </a:ln>
                  </pic:spPr>
                </pic:pic>
              </a:graphicData>
            </a:graphic>
          </wp:inline>
        </w:drawing>
      </w:r>
    </w:p>
    <w:p w:rsidR="008354DA" w:rsidRPr="00AC1239" w:rsidRDefault="009038E6" w:rsidP="008354DA">
      <w:pPr>
        <w:pStyle w:val="Caption"/>
      </w:pPr>
      <w:bookmarkStart w:id="415" w:name="_Ref325707925"/>
      <w:r w:rsidRPr="008354DA">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7</w:t>
      </w:r>
      <w:r w:rsidR="00A23C59">
        <w:rPr>
          <w:b/>
        </w:rPr>
        <w:fldChar w:fldCharType="end"/>
      </w:r>
      <w:bookmarkEnd w:id="415"/>
      <w:r w:rsidRPr="008354DA">
        <w:rPr>
          <w:b/>
        </w:rPr>
        <w:t>.</w:t>
      </w:r>
      <w:r w:rsidRPr="008354DA">
        <w:t xml:space="preserve"> </w:t>
      </w:r>
      <w:r w:rsidRPr="00C0360E">
        <w:t>Hydrograph</w:t>
      </w:r>
      <w:r>
        <w:t>s</w:t>
      </w:r>
      <w:r w:rsidRPr="00C0360E">
        <w:t xml:space="preserve"> for bores BHMAR80A-</w:t>
      </w:r>
      <w:r>
        <w:t xml:space="preserve">2, </w:t>
      </w:r>
      <w:r w:rsidRPr="00C0360E">
        <w:t>BHMAR80</w:t>
      </w:r>
      <w:r>
        <w:t>A-7</w:t>
      </w:r>
      <w:r w:rsidRPr="00C0360E">
        <w:t xml:space="preserve"> and BHMAR80</w:t>
      </w:r>
      <w:r>
        <w:t>B-2</w:t>
      </w:r>
      <w:r w:rsidRPr="00C0360E">
        <w:t xml:space="preserve"> </w:t>
      </w:r>
      <w:r>
        <w:t xml:space="preserve">screened </w:t>
      </w:r>
      <w:r w:rsidRPr="00C0360E">
        <w:t xml:space="preserve">in the </w:t>
      </w:r>
      <w:r w:rsidR="00C217F0">
        <w:t>Calivil Formation</w:t>
      </w:r>
      <w:r w:rsidRPr="00C0360E">
        <w:t xml:space="preserve"> aquifer</w:t>
      </w:r>
      <w:r>
        <w:t xml:space="preserve"> at </w:t>
      </w:r>
      <w:smartTag w:uri="urn:schemas-microsoft-com:office:smarttags" w:element="place">
        <w:r>
          <w:t>East Bootingee</w:t>
        </w:r>
      </w:smartTag>
      <w:r w:rsidRPr="00C0360E">
        <w:t>.</w:t>
      </w:r>
      <w:r w:rsidRPr="00F519A3">
        <w:t xml:space="preserve"> </w:t>
      </w:r>
      <w:r w:rsidR="009479FC" w:rsidRPr="008354DA">
        <w:t xml:space="preserve">The light blue points are the </w:t>
      </w:r>
      <w:smartTag w:uri="urn:schemas-microsoft-com:office:smarttags" w:element="place">
        <w:r w:rsidR="009479FC" w:rsidRPr="008354DA">
          <w:t>Darling River</w:t>
        </w:r>
      </w:smartTag>
      <w:r w:rsidR="009479FC" w:rsidRPr="008354DA">
        <w:t xml:space="preserve"> stage height measurements at the Weir 32 gauge. </w:t>
      </w:r>
      <w:r>
        <w:t>The purple line is the Weir 32 gauge height at which overbank flow occurs.</w:t>
      </w:r>
      <w:r w:rsidR="008354DA" w:rsidRPr="008354DA">
        <w:t xml:space="preserve"> </w:t>
      </w:r>
      <w:r w:rsidR="008354DA" w:rsidRPr="00AC1239">
        <w:fldChar w:fldCharType="begin"/>
      </w:r>
      <w:r w:rsidR="008354DA" w:rsidRPr="00AC1239">
        <w:instrText xml:space="preserve"> TC "</w:instrText>
      </w:r>
      <w:bookmarkStart w:id="416" w:name="_Toc353803552"/>
      <w:bookmarkStart w:id="417" w:name="_Toc390690240"/>
      <w:r w:rsidR="008354DA" w:rsidRPr="00AC1239">
        <w:instrText>Figure 6-</w:instrText>
      </w:r>
      <w:r w:rsidR="008354DA">
        <w:instrText>7</w:instrText>
      </w:r>
      <w:r w:rsidR="008354DA" w:rsidRPr="00AC1239">
        <w:instrText>. Hydrograph</w:instrText>
      </w:r>
      <w:r w:rsidR="002B7178">
        <w:instrText>s for</w:instrText>
      </w:r>
      <w:r w:rsidR="008354DA" w:rsidRPr="00AC1239">
        <w:instrText xml:space="preserve"> </w:instrText>
      </w:r>
      <w:bookmarkEnd w:id="416"/>
      <w:r w:rsidR="002B7178">
        <w:instrText>BHMAR80A-2, 80A-7 and 80B-2 screened in Calivil Formation aquifer at East Bootingee</w:instrText>
      </w:r>
      <w:bookmarkEnd w:id="417"/>
      <w:r w:rsidR="008354DA" w:rsidRPr="00AC1239">
        <w:instrText xml:space="preserve">" \f A \l “4” </w:instrText>
      </w:r>
      <w:r w:rsidR="008354DA" w:rsidRPr="00AC1239">
        <w:fldChar w:fldCharType="end"/>
      </w:r>
    </w:p>
    <w:p w:rsidR="00B767D3" w:rsidRDefault="00B767D3" w:rsidP="00B767D3">
      <w:pPr>
        <w:rPr>
          <w:rFonts w:ascii="TimesNewRomanPSMT" w:hAnsi="TimesNewRomanPSMT" w:cs="TimesNewRomanPSMT"/>
          <w:szCs w:val="22"/>
        </w:rPr>
      </w:pPr>
    </w:p>
    <w:p w:rsidR="00B767D3" w:rsidRDefault="00706A3B" w:rsidP="00656729">
      <w:pPr>
        <w:pStyle w:val="Caption"/>
        <w:spacing w:after="60"/>
        <w:jc w:val="center"/>
      </w:pPr>
      <w:r>
        <w:rPr>
          <w:noProof/>
        </w:rPr>
        <w:drawing>
          <wp:inline distT="0" distB="0" distL="0" distR="0" wp14:anchorId="024C4B4D" wp14:editId="43F18763">
            <wp:extent cx="5943600" cy="34448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444875"/>
                    </a:xfrm>
                    <a:prstGeom prst="rect">
                      <a:avLst/>
                    </a:prstGeom>
                    <a:noFill/>
                    <a:ln>
                      <a:noFill/>
                    </a:ln>
                  </pic:spPr>
                </pic:pic>
              </a:graphicData>
            </a:graphic>
          </wp:inline>
        </w:drawing>
      </w:r>
    </w:p>
    <w:p w:rsidR="009038E6" w:rsidRDefault="009479FC" w:rsidP="009038E6">
      <w:pPr>
        <w:pStyle w:val="Caption"/>
        <w:rPr>
          <w:bCs w:val="0"/>
          <w:i w:val="0"/>
        </w:rPr>
      </w:pPr>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8</w:t>
      </w:r>
      <w:r w:rsidR="00A23C59">
        <w:rPr>
          <w:b/>
        </w:rPr>
        <w:fldChar w:fldCharType="end"/>
      </w:r>
      <w:r>
        <w:rPr>
          <w:b/>
        </w:rPr>
        <w:t xml:space="preserve">. </w:t>
      </w:r>
      <w:r w:rsidRPr="00C0360E">
        <w:t xml:space="preserve">Hydrograph of </w:t>
      </w:r>
      <w:r w:rsidRPr="00106292">
        <w:t xml:space="preserve">BHMAR23-2 </w:t>
      </w:r>
      <w:r>
        <w:t>screened in the Calivil Formation</w:t>
      </w:r>
      <w:r w:rsidRPr="00106292">
        <w:t xml:space="preserve"> aquife</w:t>
      </w:r>
      <w:r>
        <w:t xml:space="preserve">r and </w:t>
      </w:r>
      <w:r w:rsidRPr="00106292">
        <w:t>located</w:t>
      </w:r>
      <w:r w:rsidRPr="00C0360E">
        <w:t xml:space="preserve"> on </w:t>
      </w:r>
      <w:r>
        <w:t xml:space="preserve">the </w:t>
      </w:r>
      <w:r w:rsidRPr="00C0360E">
        <w:t xml:space="preserve">northwest margin of </w:t>
      </w:r>
      <w:smartTag w:uri="urn:schemas-microsoft-com:office:smarttags" w:element="place">
        <w:smartTag w:uri="urn:schemas-microsoft-com:office:smarttags" w:element="PlaceType">
          <w:r>
            <w:t>Lake</w:t>
          </w:r>
        </w:smartTag>
        <w:r>
          <w:t xml:space="preserve"> </w:t>
        </w:r>
        <w:smartTag w:uri="urn:schemas-microsoft-com:office:smarttags" w:element="PlaceName">
          <w:r w:rsidRPr="00B767D3">
            <w:t>Menindee</w:t>
          </w:r>
        </w:smartTag>
      </w:smartTag>
      <w:r w:rsidRPr="00B767D3">
        <w:t>.</w:t>
      </w:r>
      <w:r w:rsidRPr="00B767D3">
        <w:rPr>
          <w:bCs w:val="0"/>
        </w:rPr>
        <w:t xml:space="preserve"> The </w:t>
      </w:r>
      <w:r w:rsidRPr="00B767D3">
        <w:t>light</w:t>
      </w:r>
      <w:r>
        <w:t xml:space="preserve"> blue points are the stage elevation measurements for the </w:t>
      </w:r>
      <w:smartTag w:uri="urn:schemas-microsoft-com:office:smarttags" w:element="place">
        <w:smartTag w:uri="urn:schemas-microsoft-com:office:smarttags" w:element="PlaceType">
          <w:r>
            <w:t>Lake</w:t>
          </w:r>
        </w:smartTag>
        <w:r>
          <w:t xml:space="preserve"> </w:t>
        </w:r>
        <w:smartTag w:uri="urn:schemas-microsoft-com:office:smarttags" w:element="PlaceName">
          <w:r>
            <w:t>Menindee</w:t>
          </w:r>
        </w:smartTag>
      </w:smartTag>
      <w:r>
        <w:t xml:space="preserve"> gauge. The orange triangles are manual measurements of groundwater levels in the monitoring bore as a comparison with the logger data.</w:t>
      </w:r>
      <w:r w:rsidR="009038E6" w:rsidRPr="001B06B3">
        <w:rPr>
          <w:bCs w:val="0"/>
          <w:i w:val="0"/>
        </w:rPr>
        <w:fldChar w:fldCharType="begin"/>
      </w:r>
      <w:r w:rsidR="009038E6" w:rsidRPr="001B06B3">
        <w:rPr>
          <w:bCs w:val="0"/>
          <w:i w:val="0"/>
        </w:rPr>
        <w:instrText xml:space="preserve"> TC "</w:instrText>
      </w:r>
      <w:bookmarkStart w:id="418" w:name="_Toc325975225"/>
      <w:bookmarkStart w:id="419" w:name="_Toc390690241"/>
      <w:r w:rsidR="00DE0DFA">
        <w:rPr>
          <w:bCs w:val="0"/>
          <w:i w:val="0"/>
        </w:rPr>
        <w:instrText xml:space="preserve">Figure </w:instrText>
      </w:r>
      <w:r w:rsidR="000D653B">
        <w:rPr>
          <w:bCs w:val="0"/>
          <w:i w:val="0"/>
        </w:rPr>
        <w:instrText>6-</w:instrText>
      </w:r>
      <w:r w:rsidR="00DE0DFA">
        <w:rPr>
          <w:bCs w:val="0"/>
          <w:i w:val="0"/>
        </w:rPr>
        <w:instrText>8.</w:instrText>
      </w:r>
      <w:r w:rsidR="009038E6" w:rsidRPr="001B06B3">
        <w:rPr>
          <w:bCs w:val="0"/>
          <w:i w:val="0"/>
        </w:rPr>
        <w:instrText xml:space="preserve"> </w:instrText>
      </w:r>
      <w:r w:rsidR="009038E6" w:rsidRPr="001B06B3">
        <w:rPr>
          <w:i w:val="0"/>
        </w:rPr>
        <w:instrText>Hydrograph</w:instrText>
      </w:r>
      <w:r w:rsidR="002B7178">
        <w:rPr>
          <w:i w:val="0"/>
        </w:rPr>
        <w:instrText xml:space="preserve"> for BHMAR23-2 </w:instrText>
      </w:r>
      <w:r w:rsidR="009038E6" w:rsidRPr="001B06B3">
        <w:rPr>
          <w:i w:val="0"/>
        </w:rPr>
        <w:instrText xml:space="preserve">screened in the </w:instrText>
      </w:r>
      <w:r w:rsidR="00C217F0">
        <w:rPr>
          <w:i w:val="0"/>
        </w:rPr>
        <w:instrText>Calivil For</w:instrText>
      </w:r>
      <w:bookmarkEnd w:id="418"/>
      <w:r w:rsidR="002B7178">
        <w:rPr>
          <w:i w:val="0"/>
        </w:rPr>
        <w:instrText xml:space="preserve">mation aquifer at northeast margin of </w:instrText>
      </w:r>
      <w:smartTag w:uri="urn:schemas-microsoft-com:office:smarttags" w:element="place">
        <w:smartTag w:uri="urn:schemas-microsoft-com:office:smarttags" w:element="PlaceType">
          <w:r w:rsidR="002B7178">
            <w:rPr>
              <w:i w:val="0"/>
            </w:rPr>
            <w:instrText>Lake</w:instrText>
          </w:r>
        </w:smartTag>
        <w:r w:rsidR="002B7178">
          <w:rPr>
            <w:i w:val="0"/>
          </w:rPr>
          <w:instrText xml:space="preserve"> </w:instrText>
        </w:r>
        <w:smartTag w:uri="urn:schemas-microsoft-com:office:smarttags" w:element="PlaceName">
          <w:r w:rsidR="002B7178">
            <w:rPr>
              <w:i w:val="0"/>
            </w:rPr>
            <w:instrText>Menindee</w:instrText>
          </w:r>
        </w:smartTag>
      </w:smartTag>
      <w:r w:rsidR="005E4B77">
        <w:rPr>
          <w:bCs w:val="0"/>
          <w:i w:val="0"/>
        </w:rPr>
        <w:instrText>.</w:instrText>
      </w:r>
      <w:bookmarkEnd w:id="419"/>
      <w:r w:rsidR="009038E6" w:rsidRPr="001B06B3">
        <w:rPr>
          <w:bCs w:val="0"/>
          <w:i w:val="0"/>
        </w:rPr>
        <w:instrText xml:space="preserve">" \f A \l “4” </w:instrText>
      </w:r>
      <w:r w:rsidR="009038E6" w:rsidRPr="001B06B3">
        <w:rPr>
          <w:bCs w:val="0"/>
          <w:i w:val="0"/>
        </w:rPr>
        <w:fldChar w:fldCharType="end"/>
      </w:r>
    </w:p>
    <w:p w:rsidR="008242D7" w:rsidRDefault="008242D7" w:rsidP="008242D7">
      <w:pPr>
        <w:pStyle w:val="Heading3"/>
      </w:pPr>
      <w:bookmarkStart w:id="420" w:name="_Toc390690128"/>
      <w:r>
        <w:lastRenderedPageBreak/>
        <w:t xml:space="preserve">Confined </w:t>
      </w:r>
      <w:r w:rsidR="00C217F0">
        <w:t>Renmark Group</w:t>
      </w:r>
      <w:r>
        <w:t xml:space="preserve"> Aquifer</w:t>
      </w:r>
      <w:bookmarkEnd w:id="420"/>
    </w:p>
    <w:p w:rsidR="009038E6" w:rsidRPr="009038E6" w:rsidRDefault="009038E6" w:rsidP="009038E6">
      <w:r w:rsidRPr="009038E6">
        <w:t xml:space="preserve">The groundwater level increase in the confined </w:t>
      </w:r>
      <w:r w:rsidR="00C217F0">
        <w:t>Renmark Group</w:t>
      </w:r>
      <w:r w:rsidR="001B677D">
        <w:t xml:space="preserve"> aquifer ranged from 0.4 to 0.9</w:t>
      </w:r>
      <w:r w:rsidR="00A72012">
        <w:t xml:space="preserve"> </w:t>
      </w:r>
      <w:r w:rsidRPr="009038E6">
        <w:t xml:space="preserve">m for the period October 2010 to December 2011. Some hydrographs have a similar response to that observed in the overlying </w:t>
      </w:r>
      <w:r w:rsidR="00C217F0">
        <w:t>Calivil Formation</w:t>
      </w:r>
      <w:r w:rsidRPr="009038E6">
        <w:t xml:space="preserve"> aquifer, but typically of a smaller magnitude.</w:t>
      </w:r>
    </w:p>
    <w:p w:rsidR="009038E6" w:rsidRDefault="009038E6" w:rsidP="009038E6"/>
    <w:p w:rsidR="008242D7" w:rsidRDefault="00DA40F0" w:rsidP="008242D7">
      <w:pPr>
        <w:pStyle w:val="Heading3"/>
      </w:pPr>
      <w:bookmarkStart w:id="421" w:name="_Toc390690129"/>
      <w:r>
        <w:t>General H</w:t>
      </w:r>
      <w:r w:rsidR="008242D7">
        <w:t xml:space="preserve">ydrographic </w:t>
      </w:r>
      <w:r>
        <w:t>T</w:t>
      </w:r>
      <w:r w:rsidR="008242D7">
        <w:t>rends</w:t>
      </w:r>
      <w:bookmarkEnd w:id="421"/>
    </w:p>
    <w:p w:rsidR="009038E6" w:rsidRPr="00B223CA" w:rsidRDefault="009038E6" w:rsidP="009038E6">
      <w:r w:rsidRPr="009038E6">
        <w:fldChar w:fldCharType="begin"/>
      </w:r>
      <w:r w:rsidRPr="009038E6">
        <w:instrText xml:space="preserve"> REF _Ref327373902 \h  \* MERGEFORMAT </w:instrText>
      </w:r>
      <w:r w:rsidRPr="009038E6">
        <w:fldChar w:fldCharType="separate"/>
      </w:r>
      <w:r w:rsidR="00966532" w:rsidRPr="00966532">
        <w:t xml:space="preserve">Table </w:t>
      </w:r>
      <w:r w:rsidR="00966532" w:rsidRPr="00966532">
        <w:rPr>
          <w:noProof/>
        </w:rPr>
        <w:t>6</w:t>
      </w:r>
      <w:r w:rsidR="00966532" w:rsidRPr="00966532">
        <w:rPr>
          <w:noProof/>
        </w:rPr>
        <w:noBreakHyphen/>
        <w:t>1</w:t>
      </w:r>
      <w:r w:rsidRPr="009038E6">
        <w:fldChar w:fldCharType="end"/>
      </w:r>
      <w:r w:rsidRPr="009038E6">
        <w:t xml:space="preserve"> sum</w:t>
      </w:r>
      <w:r>
        <w:t>marises the groundwater response to the 2010/11 flood event. In general, t</w:t>
      </w:r>
      <w:r w:rsidRPr="00B223CA">
        <w:t xml:space="preserve">he groundwater </w:t>
      </w:r>
      <w:r>
        <w:t xml:space="preserve">levels rose </w:t>
      </w:r>
      <w:r w:rsidRPr="00B223CA">
        <w:t>within 10 days of the start of flood</w:t>
      </w:r>
      <w:r>
        <w:t xml:space="preserve">ing. The rapid response in the </w:t>
      </w:r>
      <w:r w:rsidR="00C217F0">
        <w:t>Calivil Formation</w:t>
      </w:r>
      <w:r>
        <w:t xml:space="preserve"> and </w:t>
      </w:r>
      <w:r w:rsidR="00C217F0">
        <w:t>Renmark Group</w:t>
      </w:r>
      <w:r>
        <w:t xml:space="preserve"> aquifers to the flood event suggests by-pass of the shallow and Blanchetown Clay aquitards. </w:t>
      </w:r>
      <w:r w:rsidR="0090641C" w:rsidRPr="0090641C">
        <w:t>A sensitivity analysis of seepage velocity</w:t>
      </w:r>
      <w:r w:rsidR="004A6B96">
        <w:t xml:space="preserve"> vertically</w:t>
      </w:r>
      <w:r w:rsidR="0090641C" w:rsidRPr="0090641C">
        <w:t xml:space="preserve"> </w:t>
      </w:r>
      <w:r w:rsidR="0090641C">
        <w:t xml:space="preserve">through the Blanchetown Clay </w:t>
      </w:r>
      <w:r w:rsidR="0090641C" w:rsidRPr="0090641C">
        <w:t>was undertaken using low, typ</w:t>
      </w:r>
      <w:r w:rsidR="0090641C">
        <w:t xml:space="preserve">ical and high estimates of the input parameters for the </w:t>
      </w:r>
      <w:r w:rsidR="004A6B96">
        <w:t>Darcian flow equation (Lawrie</w:t>
      </w:r>
      <w:r w:rsidR="008A5F7D" w:rsidRPr="00CF7613">
        <w:rPr>
          <w:rStyle w:val="StyleItalic"/>
        </w:rPr>
        <w:t xml:space="preserve"> et al</w:t>
      </w:r>
      <w:r w:rsidR="004A6B96" w:rsidRPr="00CF7613">
        <w:rPr>
          <w:rStyle w:val="StyleItalic"/>
        </w:rPr>
        <w:t>.,</w:t>
      </w:r>
      <w:r w:rsidR="004A6B96">
        <w:t xml:space="preserve"> 2012b). This analysis derived </w:t>
      </w:r>
      <w:r w:rsidR="0090641C" w:rsidRPr="0090641C">
        <w:t>travel ti</w:t>
      </w:r>
      <w:r w:rsidR="004A6B96">
        <w:t xml:space="preserve">mes </w:t>
      </w:r>
      <w:r w:rsidR="0090641C" w:rsidRPr="0090641C">
        <w:t xml:space="preserve">ranging between years to millennia, and typically being in the order of centuries </w:t>
      </w:r>
      <w:r w:rsidRPr="00B223CA">
        <w:t>Hence, recharg</w:t>
      </w:r>
      <w:r>
        <w:t xml:space="preserve">e by vertical </w:t>
      </w:r>
      <w:r w:rsidRPr="00B223CA">
        <w:t>infiltrat</w:t>
      </w:r>
      <w:r>
        <w:t xml:space="preserve">ion through the </w:t>
      </w:r>
      <w:r w:rsidR="004A6B96">
        <w:t>overlying Blanchetown Clay aquitard</w:t>
      </w:r>
      <w:r w:rsidRPr="00B223CA">
        <w:t xml:space="preserve"> is not a </w:t>
      </w:r>
      <w:r w:rsidR="004A6B96">
        <w:t xml:space="preserve">reasonable </w:t>
      </w:r>
      <w:r w:rsidRPr="00B223CA">
        <w:t xml:space="preserve">explanation of </w:t>
      </w:r>
      <w:r>
        <w:t xml:space="preserve">the </w:t>
      </w:r>
      <w:r w:rsidRPr="00B223CA">
        <w:t xml:space="preserve">recharge </w:t>
      </w:r>
      <w:r>
        <w:t xml:space="preserve">response </w:t>
      </w:r>
      <w:r w:rsidRPr="00B223CA">
        <w:t xml:space="preserve">of the </w:t>
      </w:r>
      <w:r w:rsidR="00C217F0">
        <w:t>Renmark Group</w:t>
      </w:r>
      <w:r w:rsidRPr="00B223CA">
        <w:t xml:space="preserve"> </w:t>
      </w:r>
      <w:r>
        <w:t xml:space="preserve">and </w:t>
      </w:r>
      <w:r w:rsidR="00C217F0">
        <w:t>Calivil Formation</w:t>
      </w:r>
      <w:r>
        <w:t xml:space="preserve"> </w:t>
      </w:r>
      <w:r w:rsidRPr="00B223CA">
        <w:t>aquifer</w:t>
      </w:r>
      <w:r>
        <w:t>s</w:t>
      </w:r>
      <w:r w:rsidRPr="00B223CA">
        <w:t xml:space="preserve">. </w:t>
      </w:r>
      <w:r>
        <w:t>Faulting</w:t>
      </w:r>
      <w:r w:rsidR="004A6B96">
        <w:t>,</w:t>
      </w:r>
      <w:r w:rsidR="00465915">
        <w:t xml:space="preserve"> </w:t>
      </w:r>
      <w:r>
        <w:t>vertical structural offsets of formations</w:t>
      </w:r>
      <w:r w:rsidR="004A6B96">
        <w:t xml:space="preserve"> or gaps in the Blanchetown Clay</w:t>
      </w:r>
      <w:r>
        <w:t xml:space="preserve"> near the river could result in pathways for such by-pass flow.</w:t>
      </w:r>
    </w:p>
    <w:p w:rsidR="008242D7" w:rsidRDefault="008242D7" w:rsidP="008242D7"/>
    <w:p w:rsidR="009038E6" w:rsidRPr="00216027" w:rsidRDefault="009038E6" w:rsidP="009038E6">
      <w:pPr>
        <w:pStyle w:val="Caption"/>
        <w:rPr>
          <w:i w:val="0"/>
          <w:szCs w:val="22"/>
        </w:rPr>
      </w:pPr>
      <w:bookmarkStart w:id="422" w:name="_Ref327373902"/>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6</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422"/>
      <w:r w:rsidRPr="00CD2825">
        <w:rPr>
          <w:b/>
        </w:rPr>
        <w:t>.</w:t>
      </w:r>
      <w:r>
        <w:t xml:space="preserve"> </w:t>
      </w:r>
      <w:r w:rsidRPr="00FC40CE">
        <w:t xml:space="preserve">Summary of groundwater </w:t>
      </w:r>
      <w:r>
        <w:t>response</w:t>
      </w:r>
      <w:r w:rsidRPr="00FC40CE">
        <w:t xml:space="preserve"> in BHMAR bores with onset of flood from 14/10/2010</w:t>
      </w:r>
      <w:r w:rsidRPr="00D83E45">
        <w:rPr>
          <w:szCs w:val="22"/>
        </w:rPr>
        <w:t>.</w:t>
      </w:r>
      <w:r w:rsidRPr="00395AD1">
        <w:t xml:space="preserve"> </w:t>
      </w:r>
      <w:r w:rsidRPr="00216027">
        <w:rPr>
          <w:i w:val="0"/>
        </w:rPr>
        <w:fldChar w:fldCharType="begin"/>
      </w:r>
      <w:r w:rsidRPr="00216027">
        <w:rPr>
          <w:i w:val="0"/>
        </w:rPr>
        <w:instrText xml:space="preserve"> TC "</w:instrText>
      </w:r>
      <w:bookmarkStart w:id="423" w:name="_Toc390690291"/>
      <w:r w:rsidRPr="00216027">
        <w:rPr>
          <w:i w:val="0"/>
        </w:rPr>
        <w:instrText xml:space="preserve">Table </w:instrText>
      </w:r>
      <w:r w:rsidR="000D653B">
        <w:rPr>
          <w:i w:val="0"/>
        </w:rPr>
        <w:instrText>6-1</w:instrText>
      </w:r>
      <w:r w:rsidR="005C2BA0">
        <w:rPr>
          <w:i w:val="0"/>
        </w:rPr>
        <w:instrText>.</w:instrText>
      </w:r>
      <w:r w:rsidRPr="00216027">
        <w:rPr>
          <w:i w:val="0"/>
        </w:rPr>
        <w:instrText xml:space="preserve"> </w:instrText>
      </w:r>
      <w:r w:rsidR="001A311F">
        <w:rPr>
          <w:i w:val="0"/>
        </w:rPr>
        <w:instrText>Summary of groundwater responses</w:instrText>
      </w:r>
      <w:r w:rsidRPr="001B06B3">
        <w:rPr>
          <w:i w:val="0"/>
        </w:rPr>
        <w:instrText xml:space="preserve"> in BHMAR bores with onset of flood from 14/10/2010</w:instrText>
      </w:r>
      <w:r w:rsidR="005E4B77">
        <w:rPr>
          <w:i w:val="0"/>
        </w:rPr>
        <w:instrText>.</w:instrText>
      </w:r>
      <w:bookmarkEnd w:id="423"/>
      <w:r w:rsidRPr="00216027">
        <w:rPr>
          <w:i w:val="0"/>
        </w:rPr>
        <w:instrText xml:space="preserve">" \f B \l "4" </w:instrText>
      </w:r>
      <w:r w:rsidRPr="00216027">
        <w:rPr>
          <w:i w:val="0"/>
        </w:rPr>
        <w:fldChar w:fldCharType="end"/>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1"/>
        <w:gridCol w:w="839"/>
        <w:gridCol w:w="1800"/>
        <w:gridCol w:w="1260"/>
        <w:gridCol w:w="1260"/>
        <w:gridCol w:w="1440"/>
        <w:gridCol w:w="804"/>
        <w:gridCol w:w="1356"/>
      </w:tblGrid>
      <w:tr w:rsidR="009038E6" w:rsidRPr="002633A2" w:rsidTr="00B70573">
        <w:trPr>
          <w:trHeight w:val="672"/>
        </w:trPr>
        <w:tc>
          <w:tcPr>
            <w:tcW w:w="961" w:type="dxa"/>
            <w:shd w:val="clear" w:color="auto" w:fill="CCCCCC"/>
            <w:vAlign w:val="center"/>
          </w:tcPr>
          <w:p w:rsidR="009038E6" w:rsidRPr="002633A2" w:rsidRDefault="009038E6" w:rsidP="00F830A9">
            <w:pPr>
              <w:jc w:val="center"/>
              <w:rPr>
                <w:b/>
                <w:bCs/>
                <w:sz w:val="18"/>
                <w:szCs w:val="18"/>
              </w:rPr>
            </w:pPr>
            <w:r w:rsidRPr="002633A2">
              <w:rPr>
                <w:b/>
                <w:bCs/>
                <w:sz w:val="18"/>
                <w:szCs w:val="18"/>
              </w:rPr>
              <w:t>BHMAR Bore</w:t>
            </w:r>
          </w:p>
        </w:tc>
        <w:tc>
          <w:tcPr>
            <w:tcW w:w="839" w:type="dxa"/>
            <w:shd w:val="clear" w:color="auto" w:fill="CCCCCC"/>
            <w:vAlign w:val="center"/>
          </w:tcPr>
          <w:p w:rsidR="009038E6" w:rsidRPr="002633A2" w:rsidRDefault="009038E6" w:rsidP="00F830A9">
            <w:pPr>
              <w:jc w:val="center"/>
              <w:rPr>
                <w:b/>
                <w:bCs/>
                <w:sz w:val="18"/>
                <w:szCs w:val="18"/>
              </w:rPr>
            </w:pPr>
            <w:r w:rsidRPr="002633A2">
              <w:rPr>
                <w:b/>
                <w:bCs/>
                <w:sz w:val="18"/>
                <w:szCs w:val="18"/>
              </w:rPr>
              <w:t>Target</w:t>
            </w:r>
          </w:p>
        </w:tc>
        <w:tc>
          <w:tcPr>
            <w:tcW w:w="1800" w:type="dxa"/>
            <w:shd w:val="clear" w:color="auto" w:fill="CCCCCC"/>
            <w:vAlign w:val="center"/>
          </w:tcPr>
          <w:p w:rsidR="009038E6" w:rsidRPr="002633A2" w:rsidRDefault="009038E6" w:rsidP="00F830A9">
            <w:pPr>
              <w:jc w:val="center"/>
              <w:rPr>
                <w:b/>
                <w:bCs/>
                <w:sz w:val="18"/>
                <w:szCs w:val="18"/>
              </w:rPr>
            </w:pPr>
            <w:r w:rsidRPr="002633A2">
              <w:rPr>
                <w:b/>
                <w:bCs/>
                <w:sz w:val="18"/>
                <w:szCs w:val="18"/>
              </w:rPr>
              <w:t>Aquifer</w:t>
            </w:r>
          </w:p>
        </w:tc>
        <w:tc>
          <w:tcPr>
            <w:tcW w:w="1260" w:type="dxa"/>
            <w:shd w:val="clear" w:color="auto" w:fill="CCCCCC"/>
            <w:vAlign w:val="center"/>
          </w:tcPr>
          <w:p w:rsidR="00F830A9" w:rsidRDefault="009038E6" w:rsidP="00F830A9">
            <w:pPr>
              <w:jc w:val="center"/>
              <w:rPr>
                <w:b/>
                <w:sz w:val="18"/>
                <w:szCs w:val="18"/>
              </w:rPr>
            </w:pPr>
            <w:r w:rsidRPr="002633A2">
              <w:rPr>
                <w:b/>
                <w:sz w:val="18"/>
                <w:szCs w:val="18"/>
              </w:rPr>
              <w:t>Screened Interval</w:t>
            </w:r>
            <w:r w:rsidR="000A64C5" w:rsidRPr="002633A2">
              <w:rPr>
                <w:b/>
                <w:sz w:val="18"/>
                <w:szCs w:val="18"/>
              </w:rPr>
              <w:t xml:space="preserve"> </w:t>
            </w:r>
          </w:p>
          <w:p w:rsidR="009038E6" w:rsidRPr="002633A2" w:rsidRDefault="000A64C5" w:rsidP="00F830A9">
            <w:pPr>
              <w:jc w:val="center"/>
              <w:rPr>
                <w:b/>
                <w:sz w:val="18"/>
                <w:szCs w:val="18"/>
              </w:rPr>
            </w:pPr>
            <w:r w:rsidRPr="002633A2">
              <w:rPr>
                <w:b/>
                <w:sz w:val="18"/>
                <w:szCs w:val="18"/>
              </w:rPr>
              <w:t>(m below land surface)</w:t>
            </w:r>
          </w:p>
        </w:tc>
        <w:tc>
          <w:tcPr>
            <w:tcW w:w="1260" w:type="dxa"/>
            <w:shd w:val="clear" w:color="auto" w:fill="CCCCCC"/>
            <w:vAlign w:val="center"/>
          </w:tcPr>
          <w:p w:rsidR="009038E6" w:rsidRPr="002633A2" w:rsidRDefault="009038E6" w:rsidP="00F830A9">
            <w:pPr>
              <w:jc w:val="center"/>
              <w:rPr>
                <w:b/>
                <w:sz w:val="18"/>
                <w:szCs w:val="18"/>
              </w:rPr>
            </w:pPr>
            <w:r w:rsidRPr="002633A2">
              <w:rPr>
                <w:b/>
                <w:bCs/>
                <w:sz w:val="18"/>
                <w:szCs w:val="18"/>
              </w:rPr>
              <w:t>Distance from River/Lake (m)</w:t>
            </w:r>
          </w:p>
        </w:tc>
        <w:tc>
          <w:tcPr>
            <w:tcW w:w="1440" w:type="dxa"/>
            <w:shd w:val="clear" w:color="auto" w:fill="CCCCCC"/>
            <w:vAlign w:val="center"/>
          </w:tcPr>
          <w:p w:rsidR="009038E6" w:rsidRPr="002633A2" w:rsidRDefault="009038E6" w:rsidP="00F830A9">
            <w:pPr>
              <w:jc w:val="center"/>
              <w:rPr>
                <w:b/>
                <w:sz w:val="18"/>
                <w:szCs w:val="18"/>
              </w:rPr>
            </w:pPr>
            <w:r w:rsidRPr="002633A2">
              <w:rPr>
                <w:b/>
                <w:sz w:val="18"/>
                <w:szCs w:val="18"/>
              </w:rPr>
              <w:t>No. of days</w:t>
            </w:r>
            <w:r w:rsidR="000A64C5" w:rsidRPr="002633A2">
              <w:rPr>
                <w:b/>
                <w:sz w:val="18"/>
                <w:szCs w:val="18"/>
              </w:rPr>
              <w:t xml:space="preserve"> to peak groundwater level</w:t>
            </w:r>
          </w:p>
        </w:tc>
        <w:tc>
          <w:tcPr>
            <w:tcW w:w="804" w:type="dxa"/>
            <w:shd w:val="clear" w:color="auto" w:fill="CCCCCC"/>
            <w:vAlign w:val="center"/>
          </w:tcPr>
          <w:p w:rsidR="009038E6" w:rsidRPr="002633A2" w:rsidRDefault="009038E6" w:rsidP="00F830A9">
            <w:pPr>
              <w:jc w:val="center"/>
              <w:rPr>
                <w:b/>
                <w:bCs/>
                <w:sz w:val="18"/>
                <w:szCs w:val="18"/>
              </w:rPr>
            </w:pPr>
            <w:r w:rsidRPr="002633A2">
              <w:rPr>
                <w:b/>
                <w:bCs/>
                <w:sz w:val="18"/>
                <w:szCs w:val="18"/>
              </w:rPr>
              <w:t>Event ΔRWL (m)</w:t>
            </w:r>
          </w:p>
        </w:tc>
        <w:tc>
          <w:tcPr>
            <w:tcW w:w="1356" w:type="dxa"/>
            <w:shd w:val="clear" w:color="auto" w:fill="CCCCCC"/>
            <w:vAlign w:val="center"/>
          </w:tcPr>
          <w:p w:rsidR="00F830A9" w:rsidRDefault="009038E6" w:rsidP="00F830A9">
            <w:pPr>
              <w:jc w:val="center"/>
              <w:rPr>
                <w:b/>
                <w:bCs/>
                <w:sz w:val="18"/>
                <w:szCs w:val="18"/>
              </w:rPr>
            </w:pPr>
            <w:r w:rsidRPr="002633A2">
              <w:rPr>
                <w:b/>
                <w:bCs/>
                <w:sz w:val="18"/>
                <w:szCs w:val="18"/>
              </w:rPr>
              <w:t xml:space="preserve">Initial Time Lag in </w:t>
            </w:r>
            <w:smartTag w:uri="urn:schemas-microsoft-com:office:smarttags" w:element="PersonName">
              <w:r w:rsidRPr="002633A2">
                <w:rPr>
                  <w:b/>
                  <w:bCs/>
                  <w:sz w:val="18"/>
                  <w:szCs w:val="18"/>
                </w:rPr>
                <w:t>Groundwater</w:t>
              </w:r>
            </w:smartTag>
            <w:r w:rsidRPr="002633A2">
              <w:rPr>
                <w:b/>
                <w:bCs/>
                <w:sz w:val="18"/>
                <w:szCs w:val="18"/>
              </w:rPr>
              <w:t xml:space="preserve"> Response </w:t>
            </w:r>
          </w:p>
          <w:p w:rsidR="009038E6" w:rsidRPr="002633A2" w:rsidRDefault="009038E6" w:rsidP="00F830A9">
            <w:pPr>
              <w:jc w:val="center"/>
              <w:rPr>
                <w:b/>
                <w:bCs/>
                <w:sz w:val="18"/>
                <w:szCs w:val="18"/>
              </w:rPr>
            </w:pPr>
            <w:r w:rsidRPr="002633A2">
              <w:rPr>
                <w:b/>
                <w:bCs/>
                <w:sz w:val="18"/>
                <w:szCs w:val="18"/>
              </w:rPr>
              <w:t>(d)</w:t>
            </w:r>
          </w:p>
        </w:tc>
      </w:tr>
      <w:tr w:rsidR="009038E6" w:rsidRPr="002633A2" w:rsidTr="00B70573">
        <w:trPr>
          <w:trHeight w:val="285"/>
        </w:trPr>
        <w:tc>
          <w:tcPr>
            <w:tcW w:w="8364" w:type="dxa"/>
            <w:gridSpan w:val="7"/>
            <w:shd w:val="clear" w:color="auto" w:fill="auto"/>
            <w:vAlign w:val="bottom"/>
          </w:tcPr>
          <w:p w:rsidR="009038E6" w:rsidRPr="002633A2" w:rsidRDefault="009038E6" w:rsidP="009038E6">
            <w:pPr>
              <w:spacing w:before="40"/>
              <w:jc w:val="center"/>
              <w:rPr>
                <w:b/>
                <w:bCs/>
                <w:sz w:val="18"/>
                <w:szCs w:val="18"/>
              </w:rPr>
            </w:pPr>
            <w:r w:rsidRPr="002633A2">
              <w:rPr>
                <w:b/>
                <w:bCs/>
                <w:sz w:val="18"/>
                <w:szCs w:val="18"/>
              </w:rPr>
              <w:t>Shallow Unconfined</w:t>
            </w:r>
          </w:p>
        </w:tc>
        <w:tc>
          <w:tcPr>
            <w:tcW w:w="1356" w:type="dxa"/>
          </w:tcPr>
          <w:p w:rsidR="009038E6" w:rsidRPr="002633A2" w:rsidRDefault="009038E6" w:rsidP="009038E6">
            <w:pPr>
              <w:spacing w:before="40"/>
              <w:jc w:val="center"/>
              <w:rPr>
                <w:b/>
                <w:bCs/>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34-2</w:t>
            </w:r>
          </w:p>
        </w:tc>
        <w:tc>
          <w:tcPr>
            <w:tcW w:w="839" w:type="dxa"/>
          </w:tcPr>
          <w:p w:rsidR="009038E6" w:rsidRPr="002633A2" w:rsidRDefault="009038E6" w:rsidP="009038E6">
            <w:pPr>
              <w:spacing w:before="40"/>
              <w:jc w:val="center"/>
              <w:rPr>
                <w:sz w:val="18"/>
                <w:szCs w:val="18"/>
              </w:rPr>
            </w:pPr>
            <w:r w:rsidRPr="002633A2">
              <w:rPr>
                <w:sz w:val="18"/>
                <w:szCs w:val="18"/>
              </w:rPr>
              <w:t>GWR5</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8-20</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81</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680</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0.56</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84-3</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Coonambidgal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10-23</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17</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5.43</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84-4</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Coonambidgal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12-23</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100</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341</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2.74</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04-3</w:t>
            </w:r>
          </w:p>
        </w:tc>
        <w:tc>
          <w:tcPr>
            <w:tcW w:w="839" w:type="dxa"/>
          </w:tcPr>
          <w:p w:rsidR="009038E6" w:rsidRPr="002633A2" w:rsidRDefault="009038E6" w:rsidP="009038E6">
            <w:pPr>
              <w:spacing w:before="40"/>
              <w:jc w:val="center"/>
              <w:rPr>
                <w:sz w:val="18"/>
                <w:szCs w:val="18"/>
              </w:rPr>
            </w:pPr>
            <w:r w:rsidRPr="002633A2">
              <w:rPr>
                <w:sz w:val="18"/>
                <w:szCs w:val="18"/>
              </w:rPr>
              <w:t>GWR5</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8-14</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95</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571</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1.71</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40"/>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77-3</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11-16</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115</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1.17</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w:t>
            </w:r>
          </w:p>
        </w:tc>
      </w:tr>
      <w:tr w:rsidR="009038E6" w:rsidRPr="002633A2" w:rsidTr="00B70573">
        <w:trPr>
          <w:trHeight w:val="240"/>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33-3</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14-23</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813</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0.38</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7</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92-2</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12-16</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151</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1.67</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21-2</w:t>
            </w:r>
          </w:p>
        </w:tc>
        <w:tc>
          <w:tcPr>
            <w:tcW w:w="839" w:type="dxa"/>
          </w:tcPr>
          <w:p w:rsidR="009038E6" w:rsidRPr="002633A2" w:rsidRDefault="009038E6" w:rsidP="009038E6">
            <w:pPr>
              <w:spacing w:before="40"/>
              <w:jc w:val="center"/>
              <w:rPr>
                <w:sz w:val="18"/>
                <w:szCs w:val="18"/>
              </w:rPr>
            </w:pPr>
            <w:r w:rsidRPr="002633A2">
              <w:rPr>
                <w:sz w:val="18"/>
                <w:szCs w:val="18"/>
              </w:rPr>
              <w:t>GWR6</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10.5-23.5</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334</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677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1.51</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61-3</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12.5-22.5</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168</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642</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0.74</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23-2</w:t>
            </w:r>
          </w:p>
        </w:tc>
        <w:tc>
          <w:tcPr>
            <w:tcW w:w="839" w:type="dxa"/>
          </w:tcPr>
          <w:p w:rsidR="009038E6" w:rsidRPr="002633A2" w:rsidRDefault="009038E6" w:rsidP="009038E6">
            <w:pPr>
              <w:spacing w:before="40"/>
              <w:jc w:val="center"/>
              <w:rPr>
                <w:sz w:val="18"/>
                <w:szCs w:val="18"/>
              </w:rPr>
            </w:pPr>
            <w:r w:rsidRPr="002633A2">
              <w:rPr>
                <w:sz w:val="18"/>
                <w:szCs w:val="18"/>
              </w:rPr>
              <w:t>GWR2</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Menindee Formation</w:t>
            </w:r>
            <w:r w:rsidR="009038E6" w:rsidRPr="002633A2">
              <w:rPr>
                <w:sz w:val="18"/>
                <w:szCs w:val="18"/>
              </w:rPr>
              <w:t xml:space="preserve">/Upper </w:t>
            </w: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29-47</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157</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4.01</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8364" w:type="dxa"/>
            <w:gridSpan w:val="7"/>
            <w:shd w:val="clear" w:color="auto" w:fill="auto"/>
            <w:noWrap/>
            <w:vAlign w:val="bottom"/>
          </w:tcPr>
          <w:p w:rsidR="009038E6" w:rsidRPr="002633A2" w:rsidRDefault="00C217F0" w:rsidP="009038E6">
            <w:pPr>
              <w:spacing w:before="40"/>
              <w:jc w:val="center"/>
              <w:rPr>
                <w:b/>
                <w:sz w:val="18"/>
                <w:szCs w:val="18"/>
              </w:rPr>
            </w:pPr>
            <w:r w:rsidRPr="002633A2">
              <w:rPr>
                <w:b/>
                <w:sz w:val="18"/>
                <w:szCs w:val="18"/>
              </w:rPr>
              <w:t>Calivil Formation</w:t>
            </w:r>
          </w:p>
        </w:tc>
        <w:tc>
          <w:tcPr>
            <w:tcW w:w="1356" w:type="dxa"/>
          </w:tcPr>
          <w:p w:rsidR="009038E6" w:rsidRPr="002633A2" w:rsidRDefault="009038E6" w:rsidP="009038E6">
            <w:pPr>
              <w:spacing w:before="40"/>
              <w:jc w:val="center"/>
              <w:rPr>
                <w:b/>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16-1</w:t>
            </w:r>
          </w:p>
        </w:tc>
        <w:tc>
          <w:tcPr>
            <w:tcW w:w="839" w:type="dxa"/>
          </w:tcPr>
          <w:p w:rsidR="009038E6" w:rsidRPr="002633A2" w:rsidRDefault="009038E6" w:rsidP="009038E6">
            <w:pPr>
              <w:spacing w:before="40"/>
              <w:jc w:val="center"/>
              <w:rPr>
                <w:sz w:val="18"/>
                <w:szCs w:val="18"/>
              </w:rPr>
            </w:pPr>
            <w:r w:rsidRPr="002633A2">
              <w:rPr>
                <w:sz w:val="18"/>
                <w:szCs w:val="18"/>
              </w:rPr>
              <w:t>GWR14</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12-52</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210</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626</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0.07</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18"/>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35-1</w:t>
            </w:r>
          </w:p>
        </w:tc>
        <w:tc>
          <w:tcPr>
            <w:tcW w:w="839" w:type="dxa"/>
          </w:tcPr>
          <w:p w:rsidR="009038E6" w:rsidRPr="002633A2" w:rsidRDefault="009038E6" w:rsidP="009038E6">
            <w:pPr>
              <w:spacing w:before="40"/>
              <w:jc w:val="center"/>
              <w:rPr>
                <w:sz w:val="18"/>
                <w:szCs w:val="18"/>
              </w:rPr>
            </w:pPr>
            <w:r w:rsidRPr="002633A2">
              <w:rPr>
                <w:sz w:val="18"/>
                <w:szCs w:val="18"/>
              </w:rPr>
              <w:t>GWR5</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16-46</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163</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576</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0.03</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1B677D" w:rsidRPr="002633A2" w:rsidTr="00B70573">
        <w:trPr>
          <w:trHeight w:val="225"/>
        </w:trPr>
        <w:tc>
          <w:tcPr>
            <w:tcW w:w="961" w:type="dxa"/>
            <w:shd w:val="clear" w:color="auto" w:fill="auto"/>
            <w:noWrap/>
            <w:vAlign w:val="bottom"/>
          </w:tcPr>
          <w:p w:rsidR="001B677D" w:rsidRPr="002633A2" w:rsidRDefault="001B677D" w:rsidP="000F7A6F">
            <w:pPr>
              <w:spacing w:before="40"/>
              <w:jc w:val="center"/>
              <w:rPr>
                <w:sz w:val="18"/>
                <w:szCs w:val="18"/>
              </w:rPr>
            </w:pPr>
            <w:r w:rsidRPr="002633A2">
              <w:rPr>
                <w:sz w:val="18"/>
                <w:szCs w:val="18"/>
              </w:rPr>
              <w:t>75-2</w:t>
            </w:r>
          </w:p>
        </w:tc>
        <w:tc>
          <w:tcPr>
            <w:tcW w:w="839" w:type="dxa"/>
          </w:tcPr>
          <w:p w:rsidR="001B677D" w:rsidRPr="002633A2" w:rsidRDefault="001B677D" w:rsidP="000F7A6F">
            <w:pPr>
              <w:spacing w:before="40"/>
              <w:jc w:val="center"/>
              <w:rPr>
                <w:sz w:val="18"/>
                <w:szCs w:val="18"/>
              </w:rPr>
            </w:pPr>
            <w:r w:rsidRPr="002633A2">
              <w:rPr>
                <w:sz w:val="18"/>
                <w:szCs w:val="18"/>
              </w:rPr>
              <w:t>GWR1</w:t>
            </w:r>
          </w:p>
        </w:tc>
        <w:tc>
          <w:tcPr>
            <w:tcW w:w="1800" w:type="dxa"/>
            <w:shd w:val="clear" w:color="auto" w:fill="auto"/>
            <w:noWrap/>
            <w:vAlign w:val="bottom"/>
          </w:tcPr>
          <w:p w:rsidR="001B677D" w:rsidRPr="002633A2" w:rsidRDefault="001B677D" w:rsidP="000F7A6F">
            <w:pPr>
              <w:spacing w:before="40"/>
              <w:jc w:val="center"/>
              <w:rPr>
                <w:sz w:val="18"/>
                <w:szCs w:val="18"/>
              </w:rPr>
            </w:pPr>
            <w:r w:rsidRPr="002633A2">
              <w:rPr>
                <w:sz w:val="18"/>
                <w:szCs w:val="18"/>
              </w:rPr>
              <w:t>Chowilla/</w:t>
            </w:r>
            <w:r w:rsidR="00C217F0" w:rsidRPr="002633A2">
              <w:rPr>
                <w:sz w:val="18"/>
                <w:szCs w:val="18"/>
              </w:rPr>
              <w:t>Calivil Formation</w:t>
            </w:r>
          </w:p>
        </w:tc>
        <w:tc>
          <w:tcPr>
            <w:tcW w:w="1260" w:type="dxa"/>
            <w:shd w:val="clear" w:color="auto" w:fill="auto"/>
            <w:noWrap/>
            <w:vAlign w:val="bottom"/>
          </w:tcPr>
          <w:p w:rsidR="001B677D" w:rsidRPr="002633A2" w:rsidRDefault="001B677D" w:rsidP="000F7A6F">
            <w:pPr>
              <w:spacing w:before="40"/>
              <w:jc w:val="center"/>
              <w:rPr>
                <w:sz w:val="18"/>
                <w:szCs w:val="18"/>
              </w:rPr>
            </w:pPr>
            <w:r w:rsidRPr="002633A2">
              <w:rPr>
                <w:sz w:val="18"/>
                <w:szCs w:val="18"/>
              </w:rPr>
              <w:t>18-23</w:t>
            </w:r>
          </w:p>
        </w:tc>
        <w:tc>
          <w:tcPr>
            <w:tcW w:w="1260" w:type="dxa"/>
            <w:shd w:val="clear" w:color="auto" w:fill="auto"/>
            <w:vAlign w:val="bottom"/>
          </w:tcPr>
          <w:p w:rsidR="001B677D" w:rsidRPr="002633A2" w:rsidRDefault="001B677D" w:rsidP="000F7A6F">
            <w:pPr>
              <w:spacing w:before="40"/>
              <w:jc w:val="center"/>
              <w:rPr>
                <w:sz w:val="18"/>
                <w:szCs w:val="18"/>
              </w:rPr>
            </w:pPr>
            <w:r w:rsidRPr="002633A2">
              <w:rPr>
                <w:sz w:val="18"/>
                <w:szCs w:val="18"/>
              </w:rPr>
              <w:t>1195</w:t>
            </w:r>
          </w:p>
        </w:tc>
        <w:tc>
          <w:tcPr>
            <w:tcW w:w="1440" w:type="dxa"/>
            <w:shd w:val="clear" w:color="auto" w:fill="auto"/>
            <w:noWrap/>
            <w:vAlign w:val="bottom"/>
          </w:tcPr>
          <w:p w:rsidR="001B677D" w:rsidRPr="002633A2" w:rsidRDefault="001B677D" w:rsidP="000F7A6F">
            <w:pPr>
              <w:spacing w:before="40"/>
              <w:jc w:val="center"/>
              <w:rPr>
                <w:sz w:val="18"/>
                <w:szCs w:val="18"/>
              </w:rPr>
            </w:pPr>
            <w:r w:rsidRPr="002633A2">
              <w:rPr>
                <w:sz w:val="18"/>
                <w:szCs w:val="18"/>
              </w:rPr>
              <w:t>407</w:t>
            </w:r>
          </w:p>
        </w:tc>
        <w:tc>
          <w:tcPr>
            <w:tcW w:w="804" w:type="dxa"/>
            <w:shd w:val="clear" w:color="auto" w:fill="auto"/>
            <w:noWrap/>
            <w:vAlign w:val="bottom"/>
          </w:tcPr>
          <w:p w:rsidR="001B677D" w:rsidRPr="002633A2" w:rsidRDefault="001B677D" w:rsidP="000F7A6F">
            <w:pPr>
              <w:spacing w:before="40"/>
              <w:jc w:val="center"/>
              <w:rPr>
                <w:sz w:val="18"/>
                <w:szCs w:val="18"/>
              </w:rPr>
            </w:pPr>
            <w:r w:rsidRPr="002633A2">
              <w:rPr>
                <w:sz w:val="18"/>
                <w:szCs w:val="18"/>
              </w:rPr>
              <w:t>0.16</w:t>
            </w:r>
          </w:p>
        </w:tc>
        <w:tc>
          <w:tcPr>
            <w:tcW w:w="1356" w:type="dxa"/>
            <w:shd w:val="clear" w:color="auto" w:fill="auto"/>
            <w:noWrap/>
            <w:vAlign w:val="bottom"/>
          </w:tcPr>
          <w:p w:rsidR="001B677D" w:rsidRPr="002633A2" w:rsidRDefault="001B677D" w:rsidP="000F7A6F">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14-1</w:t>
            </w:r>
          </w:p>
        </w:tc>
        <w:tc>
          <w:tcPr>
            <w:tcW w:w="839" w:type="dxa"/>
          </w:tcPr>
          <w:p w:rsidR="009038E6" w:rsidRPr="002633A2" w:rsidRDefault="009038E6" w:rsidP="009038E6">
            <w:pPr>
              <w:spacing w:before="40"/>
              <w:jc w:val="center"/>
              <w:rPr>
                <w:sz w:val="18"/>
                <w:szCs w:val="18"/>
              </w:rPr>
            </w:pP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41-59</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201</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566</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0.56</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04-2</w:t>
            </w:r>
          </w:p>
        </w:tc>
        <w:tc>
          <w:tcPr>
            <w:tcW w:w="839" w:type="dxa"/>
          </w:tcPr>
          <w:p w:rsidR="009038E6" w:rsidRPr="002633A2" w:rsidRDefault="009038E6" w:rsidP="009038E6">
            <w:pPr>
              <w:spacing w:before="40"/>
              <w:jc w:val="center"/>
              <w:rPr>
                <w:sz w:val="18"/>
                <w:szCs w:val="18"/>
              </w:rPr>
            </w:pPr>
            <w:r w:rsidRPr="002633A2">
              <w:rPr>
                <w:sz w:val="18"/>
                <w:szCs w:val="18"/>
              </w:rPr>
              <w:t>GWR5</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34-52</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95</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575</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1.17</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17-2</w:t>
            </w:r>
          </w:p>
        </w:tc>
        <w:tc>
          <w:tcPr>
            <w:tcW w:w="839" w:type="dxa"/>
          </w:tcPr>
          <w:p w:rsidR="009038E6" w:rsidRPr="002633A2" w:rsidRDefault="009038E6" w:rsidP="009038E6">
            <w:pPr>
              <w:spacing w:before="40"/>
              <w:jc w:val="center"/>
              <w:rPr>
                <w:sz w:val="18"/>
                <w:szCs w:val="18"/>
              </w:rPr>
            </w:pP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22.5-34.5</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1063</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521</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0.86</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17-1</w:t>
            </w:r>
          </w:p>
        </w:tc>
        <w:tc>
          <w:tcPr>
            <w:tcW w:w="839" w:type="dxa"/>
          </w:tcPr>
          <w:p w:rsidR="009038E6" w:rsidRPr="002633A2" w:rsidRDefault="009038E6" w:rsidP="009038E6">
            <w:pPr>
              <w:spacing w:before="40"/>
              <w:jc w:val="center"/>
              <w:rPr>
                <w:sz w:val="18"/>
                <w:szCs w:val="18"/>
              </w:rPr>
            </w:pP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54-72</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1063</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580</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1.20</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34-1</w:t>
            </w:r>
          </w:p>
        </w:tc>
        <w:tc>
          <w:tcPr>
            <w:tcW w:w="839" w:type="dxa"/>
          </w:tcPr>
          <w:p w:rsidR="009038E6" w:rsidRPr="002633A2" w:rsidRDefault="009038E6" w:rsidP="009038E6">
            <w:pPr>
              <w:spacing w:before="40"/>
              <w:jc w:val="center"/>
              <w:rPr>
                <w:sz w:val="18"/>
                <w:szCs w:val="18"/>
              </w:rPr>
            </w:pPr>
            <w:r w:rsidRPr="002633A2">
              <w:rPr>
                <w:sz w:val="18"/>
                <w:szCs w:val="18"/>
              </w:rPr>
              <w:t>GWR5</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27-51</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81</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680</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0.98</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05-2</w:t>
            </w:r>
          </w:p>
        </w:tc>
        <w:tc>
          <w:tcPr>
            <w:tcW w:w="839" w:type="dxa"/>
          </w:tcPr>
          <w:p w:rsidR="009038E6" w:rsidRPr="002633A2" w:rsidRDefault="009038E6" w:rsidP="009038E6">
            <w:pPr>
              <w:spacing w:before="40"/>
              <w:jc w:val="center"/>
              <w:rPr>
                <w:sz w:val="18"/>
                <w:szCs w:val="18"/>
              </w:rPr>
            </w:pPr>
            <w:r w:rsidRPr="002633A2">
              <w:rPr>
                <w:sz w:val="18"/>
                <w:szCs w:val="18"/>
              </w:rPr>
              <w:t>GWR5</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28-40</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794</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568</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0.29</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06-1</w:t>
            </w:r>
          </w:p>
        </w:tc>
        <w:tc>
          <w:tcPr>
            <w:tcW w:w="839" w:type="dxa"/>
          </w:tcPr>
          <w:p w:rsidR="009038E6" w:rsidRPr="002633A2" w:rsidRDefault="009038E6" w:rsidP="009038E6">
            <w:pPr>
              <w:spacing w:before="40"/>
              <w:jc w:val="center"/>
              <w:rPr>
                <w:sz w:val="18"/>
                <w:szCs w:val="18"/>
              </w:rPr>
            </w:pP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30-60</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820</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194</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0.30</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57-1</w:t>
            </w:r>
          </w:p>
        </w:tc>
        <w:tc>
          <w:tcPr>
            <w:tcW w:w="839" w:type="dxa"/>
          </w:tcPr>
          <w:p w:rsidR="009038E6" w:rsidRPr="002633A2" w:rsidRDefault="009038E6" w:rsidP="009038E6">
            <w:pPr>
              <w:spacing w:before="40"/>
              <w:jc w:val="center"/>
              <w:rPr>
                <w:sz w:val="18"/>
                <w:szCs w:val="18"/>
              </w:rPr>
            </w:pPr>
            <w:r w:rsidRPr="002633A2">
              <w:rPr>
                <w:sz w:val="18"/>
                <w:szCs w:val="18"/>
              </w:rPr>
              <w:t>GWR4</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r w:rsidR="009038E6" w:rsidRPr="002633A2">
              <w:rPr>
                <w:sz w:val="18"/>
                <w:szCs w:val="18"/>
              </w:rPr>
              <w:t xml:space="preserve">/Upper </w:t>
            </w:r>
            <w:r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34.5-82.5</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5731</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349</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0.32</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75-5</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40-52</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1185</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369</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0.20</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48</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88-5</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35-41</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672</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0.75</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lastRenderedPageBreak/>
              <w:t>92-1</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32-62</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151</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0.75</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7</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80A-7</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42-54</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71</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251</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0.68</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80A-2</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r w:rsidR="009038E6" w:rsidRPr="002633A2">
              <w:rPr>
                <w:sz w:val="18"/>
                <w:szCs w:val="18"/>
              </w:rPr>
              <w:t xml:space="preserve"> </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35-53</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164</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773</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0.86</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80B-2</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53-65</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135</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0.74</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99-1</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33-57</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375</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309</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0.71</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61-2</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36-66</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168</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642</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0.43</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21-1</w:t>
            </w:r>
          </w:p>
        </w:tc>
        <w:tc>
          <w:tcPr>
            <w:tcW w:w="839" w:type="dxa"/>
          </w:tcPr>
          <w:p w:rsidR="009038E6" w:rsidRPr="002633A2" w:rsidRDefault="009038E6" w:rsidP="009038E6">
            <w:pPr>
              <w:spacing w:before="40"/>
              <w:jc w:val="center"/>
              <w:rPr>
                <w:sz w:val="18"/>
                <w:szCs w:val="18"/>
              </w:rPr>
            </w:pPr>
            <w:r w:rsidRPr="002633A2">
              <w:rPr>
                <w:sz w:val="18"/>
                <w:szCs w:val="18"/>
              </w:rPr>
              <w:t>GWR6</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r w:rsidR="009038E6" w:rsidRPr="002633A2">
              <w:rPr>
                <w:sz w:val="18"/>
                <w:szCs w:val="18"/>
              </w:rPr>
              <w:t xml:space="preserve">/Upper </w:t>
            </w:r>
            <w:r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20-74</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334</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676</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0.49</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40"/>
        </w:trPr>
        <w:tc>
          <w:tcPr>
            <w:tcW w:w="8364" w:type="dxa"/>
            <w:gridSpan w:val="7"/>
            <w:shd w:val="clear" w:color="auto" w:fill="auto"/>
            <w:noWrap/>
            <w:vAlign w:val="bottom"/>
          </w:tcPr>
          <w:p w:rsidR="009038E6" w:rsidRPr="002633A2" w:rsidRDefault="009038E6" w:rsidP="009038E6">
            <w:pPr>
              <w:spacing w:before="40"/>
              <w:jc w:val="center"/>
              <w:rPr>
                <w:sz w:val="18"/>
                <w:szCs w:val="18"/>
              </w:rPr>
            </w:pPr>
            <w:r w:rsidRPr="002633A2">
              <w:rPr>
                <w:b/>
                <w:bCs/>
                <w:sz w:val="18"/>
                <w:szCs w:val="18"/>
              </w:rPr>
              <w:t>Loxton-Parilla Sands</w:t>
            </w:r>
          </w:p>
        </w:tc>
        <w:tc>
          <w:tcPr>
            <w:tcW w:w="1356" w:type="dxa"/>
          </w:tcPr>
          <w:p w:rsidR="009038E6" w:rsidRPr="002633A2" w:rsidRDefault="009038E6" w:rsidP="009038E6">
            <w:pPr>
              <w:spacing w:before="40"/>
              <w:jc w:val="center"/>
              <w:rPr>
                <w:b/>
                <w:bCs/>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29-1</w:t>
            </w:r>
          </w:p>
        </w:tc>
        <w:tc>
          <w:tcPr>
            <w:tcW w:w="839" w:type="dxa"/>
          </w:tcPr>
          <w:p w:rsidR="009038E6" w:rsidRPr="002633A2" w:rsidRDefault="009038E6" w:rsidP="009038E6">
            <w:pPr>
              <w:spacing w:before="40"/>
              <w:jc w:val="center"/>
              <w:rPr>
                <w:sz w:val="18"/>
                <w:szCs w:val="18"/>
              </w:rPr>
            </w:pPr>
            <w:r w:rsidRPr="002633A2">
              <w:rPr>
                <w:sz w:val="18"/>
                <w:szCs w:val="18"/>
              </w:rPr>
              <w:t>GWR7</w:t>
            </w:r>
          </w:p>
        </w:tc>
        <w:tc>
          <w:tcPr>
            <w:tcW w:w="1800" w:type="dxa"/>
            <w:shd w:val="clear" w:color="auto" w:fill="auto"/>
            <w:noWrap/>
            <w:vAlign w:val="bottom"/>
          </w:tcPr>
          <w:p w:rsidR="009038E6" w:rsidRPr="002633A2" w:rsidRDefault="00C217F0" w:rsidP="009038E6">
            <w:pPr>
              <w:spacing w:before="40"/>
              <w:jc w:val="center"/>
              <w:rPr>
                <w:sz w:val="18"/>
                <w:szCs w:val="18"/>
              </w:rPr>
            </w:pPr>
            <w:r w:rsidRPr="002633A2">
              <w:rPr>
                <w:sz w:val="18"/>
                <w:szCs w:val="18"/>
              </w:rPr>
              <w:t>Calivil Formation</w:t>
            </w:r>
            <w:r w:rsidR="009038E6" w:rsidRPr="002633A2">
              <w:rPr>
                <w:sz w:val="18"/>
                <w:szCs w:val="18"/>
              </w:rPr>
              <w:t>/Loxton-Parilla</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17-53</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158</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576</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0.77</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31-1</w:t>
            </w:r>
          </w:p>
        </w:tc>
        <w:tc>
          <w:tcPr>
            <w:tcW w:w="839" w:type="dxa"/>
          </w:tcPr>
          <w:p w:rsidR="009038E6" w:rsidRPr="002633A2" w:rsidRDefault="009038E6" w:rsidP="009038E6">
            <w:pPr>
              <w:spacing w:before="40"/>
              <w:jc w:val="center"/>
              <w:rPr>
                <w:sz w:val="18"/>
                <w:szCs w:val="18"/>
              </w:rPr>
            </w:pPr>
            <w:r w:rsidRPr="002633A2">
              <w:rPr>
                <w:sz w:val="18"/>
                <w:szCs w:val="18"/>
              </w:rPr>
              <w:t>GWR8</w:t>
            </w:r>
          </w:p>
        </w:tc>
        <w:tc>
          <w:tcPr>
            <w:tcW w:w="180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Loxton-Parilla</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11-51</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2204</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573</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0.21</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40"/>
        </w:trPr>
        <w:tc>
          <w:tcPr>
            <w:tcW w:w="8364" w:type="dxa"/>
            <w:gridSpan w:val="7"/>
            <w:shd w:val="clear" w:color="auto" w:fill="auto"/>
            <w:noWrap/>
            <w:vAlign w:val="bottom"/>
          </w:tcPr>
          <w:p w:rsidR="009038E6" w:rsidRPr="002633A2" w:rsidRDefault="00C217F0" w:rsidP="009038E6">
            <w:pPr>
              <w:spacing w:before="40"/>
              <w:jc w:val="center"/>
              <w:rPr>
                <w:b/>
                <w:sz w:val="18"/>
                <w:szCs w:val="18"/>
              </w:rPr>
            </w:pPr>
            <w:r w:rsidRPr="002633A2">
              <w:rPr>
                <w:b/>
                <w:sz w:val="18"/>
                <w:szCs w:val="18"/>
              </w:rPr>
              <w:t>Renmark Group</w:t>
            </w:r>
          </w:p>
        </w:tc>
        <w:tc>
          <w:tcPr>
            <w:tcW w:w="1356" w:type="dxa"/>
          </w:tcPr>
          <w:p w:rsidR="009038E6" w:rsidRPr="002633A2" w:rsidRDefault="009038E6" w:rsidP="009038E6">
            <w:pPr>
              <w:spacing w:before="40"/>
              <w:jc w:val="center"/>
              <w:rPr>
                <w:b/>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88-3</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 xml:space="preserve">Upper </w:t>
            </w:r>
            <w:r w:rsidR="00C217F0"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65-71</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663</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379</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0.77</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79A-2</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 xml:space="preserve">Upper </w:t>
            </w:r>
            <w:r w:rsidR="00C217F0"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65-77</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172</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773</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0.86</w:t>
            </w:r>
          </w:p>
        </w:tc>
        <w:tc>
          <w:tcPr>
            <w:tcW w:w="1356"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10</w:t>
            </w: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80A-6</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 xml:space="preserve">Upper </w:t>
            </w:r>
            <w:r w:rsidR="00C217F0"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84-102</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174</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0.76</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61-1</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 xml:space="preserve">Upper </w:t>
            </w:r>
            <w:r w:rsidR="00C217F0"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86-116</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168</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578</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0.47</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color w:val="000000"/>
                <w:sz w:val="18"/>
                <w:szCs w:val="18"/>
              </w:rPr>
            </w:pPr>
            <w:r w:rsidRPr="002633A2">
              <w:rPr>
                <w:color w:val="000000"/>
                <w:sz w:val="18"/>
                <w:szCs w:val="18"/>
              </w:rPr>
              <w:t>04-1</w:t>
            </w:r>
          </w:p>
        </w:tc>
        <w:tc>
          <w:tcPr>
            <w:tcW w:w="839" w:type="dxa"/>
          </w:tcPr>
          <w:p w:rsidR="009038E6" w:rsidRPr="002633A2" w:rsidRDefault="009038E6" w:rsidP="009038E6">
            <w:pPr>
              <w:spacing w:before="40"/>
              <w:jc w:val="center"/>
              <w:rPr>
                <w:color w:val="000000"/>
                <w:sz w:val="18"/>
                <w:szCs w:val="18"/>
              </w:rPr>
            </w:pPr>
            <w:r w:rsidRPr="002633A2">
              <w:rPr>
                <w:color w:val="000000"/>
                <w:sz w:val="18"/>
                <w:szCs w:val="18"/>
              </w:rPr>
              <w:t>GWR5</w:t>
            </w:r>
          </w:p>
        </w:tc>
        <w:tc>
          <w:tcPr>
            <w:tcW w:w="1800" w:type="dxa"/>
            <w:shd w:val="clear" w:color="auto" w:fill="auto"/>
            <w:noWrap/>
            <w:vAlign w:val="bottom"/>
          </w:tcPr>
          <w:p w:rsidR="009038E6" w:rsidRPr="002633A2" w:rsidRDefault="009038E6" w:rsidP="009038E6">
            <w:pPr>
              <w:spacing w:before="40"/>
              <w:jc w:val="center"/>
              <w:rPr>
                <w:color w:val="000000"/>
                <w:sz w:val="18"/>
                <w:szCs w:val="18"/>
              </w:rPr>
            </w:pPr>
            <w:r w:rsidRPr="002633A2">
              <w:rPr>
                <w:color w:val="000000"/>
                <w:sz w:val="18"/>
                <w:szCs w:val="18"/>
              </w:rPr>
              <w:t xml:space="preserve">Upper </w:t>
            </w:r>
            <w:r w:rsidR="00C217F0" w:rsidRPr="002633A2">
              <w:rPr>
                <w:color w:val="000000"/>
                <w:sz w:val="18"/>
                <w:szCs w:val="18"/>
              </w:rPr>
              <w:t>Renmark Group</w:t>
            </w:r>
          </w:p>
        </w:tc>
        <w:tc>
          <w:tcPr>
            <w:tcW w:w="1260" w:type="dxa"/>
            <w:shd w:val="clear" w:color="auto" w:fill="auto"/>
            <w:noWrap/>
            <w:vAlign w:val="bottom"/>
          </w:tcPr>
          <w:p w:rsidR="009038E6" w:rsidRPr="002633A2" w:rsidRDefault="009038E6" w:rsidP="009038E6">
            <w:pPr>
              <w:spacing w:before="40"/>
              <w:jc w:val="center"/>
              <w:rPr>
                <w:color w:val="000000"/>
                <w:sz w:val="18"/>
                <w:szCs w:val="18"/>
              </w:rPr>
            </w:pPr>
            <w:r w:rsidRPr="002633A2">
              <w:rPr>
                <w:color w:val="000000"/>
                <w:sz w:val="18"/>
                <w:szCs w:val="18"/>
              </w:rPr>
              <w:t>90-102</w:t>
            </w:r>
          </w:p>
        </w:tc>
        <w:tc>
          <w:tcPr>
            <w:tcW w:w="1260" w:type="dxa"/>
            <w:shd w:val="clear" w:color="auto" w:fill="auto"/>
            <w:vAlign w:val="bottom"/>
          </w:tcPr>
          <w:p w:rsidR="009038E6" w:rsidRPr="002633A2" w:rsidRDefault="009038E6" w:rsidP="009038E6">
            <w:pPr>
              <w:spacing w:before="40"/>
              <w:jc w:val="center"/>
              <w:rPr>
                <w:color w:val="000000"/>
                <w:sz w:val="18"/>
                <w:szCs w:val="18"/>
              </w:rPr>
            </w:pPr>
            <w:r w:rsidRPr="002633A2">
              <w:rPr>
                <w:sz w:val="18"/>
                <w:szCs w:val="18"/>
              </w:rPr>
              <w:t>95</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575</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0.74</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05-1</w:t>
            </w:r>
          </w:p>
        </w:tc>
        <w:tc>
          <w:tcPr>
            <w:tcW w:w="839" w:type="dxa"/>
          </w:tcPr>
          <w:p w:rsidR="009038E6" w:rsidRPr="002633A2" w:rsidRDefault="009038E6" w:rsidP="009038E6">
            <w:pPr>
              <w:spacing w:before="40"/>
              <w:jc w:val="center"/>
              <w:rPr>
                <w:sz w:val="18"/>
                <w:szCs w:val="18"/>
              </w:rPr>
            </w:pPr>
            <w:r w:rsidRPr="002633A2">
              <w:rPr>
                <w:sz w:val="18"/>
                <w:szCs w:val="18"/>
              </w:rPr>
              <w:t>GWR5</w:t>
            </w:r>
          </w:p>
        </w:tc>
        <w:tc>
          <w:tcPr>
            <w:tcW w:w="180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 xml:space="preserve">Upper </w:t>
            </w:r>
            <w:r w:rsidR="00C217F0"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94.5-100.5</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794</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265</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0.35</w:t>
            </w:r>
          </w:p>
        </w:tc>
        <w:tc>
          <w:tcPr>
            <w:tcW w:w="1356" w:type="dxa"/>
            <w:shd w:val="clear" w:color="auto" w:fill="auto"/>
            <w:noWrap/>
            <w:vAlign w:val="bottom"/>
          </w:tcPr>
          <w:p w:rsidR="009038E6" w:rsidRPr="002633A2" w:rsidRDefault="009038E6" w:rsidP="009038E6">
            <w:pPr>
              <w:spacing w:before="40"/>
              <w:jc w:val="center"/>
              <w:rPr>
                <w:sz w:val="18"/>
                <w:szCs w:val="18"/>
              </w:rPr>
            </w:pPr>
          </w:p>
        </w:tc>
      </w:tr>
      <w:tr w:rsidR="009038E6" w:rsidRPr="002633A2" w:rsidTr="00B70573">
        <w:trPr>
          <w:trHeight w:val="225"/>
        </w:trPr>
        <w:tc>
          <w:tcPr>
            <w:tcW w:w="961"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33-1</w:t>
            </w:r>
          </w:p>
        </w:tc>
        <w:tc>
          <w:tcPr>
            <w:tcW w:w="839" w:type="dxa"/>
          </w:tcPr>
          <w:p w:rsidR="009038E6" w:rsidRPr="002633A2" w:rsidRDefault="009038E6" w:rsidP="009038E6">
            <w:pPr>
              <w:spacing w:before="40"/>
              <w:jc w:val="center"/>
              <w:rPr>
                <w:sz w:val="18"/>
                <w:szCs w:val="18"/>
              </w:rPr>
            </w:pPr>
            <w:r w:rsidRPr="002633A2">
              <w:rPr>
                <w:sz w:val="18"/>
                <w:szCs w:val="18"/>
              </w:rPr>
              <w:t>GWR1</w:t>
            </w:r>
          </w:p>
        </w:tc>
        <w:tc>
          <w:tcPr>
            <w:tcW w:w="180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 xml:space="preserve">Lower </w:t>
            </w:r>
            <w:r w:rsidR="00C217F0" w:rsidRPr="002633A2">
              <w:rPr>
                <w:sz w:val="18"/>
                <w:szCs w:val="18"/>
              </w:rPr>
              <w:t>Renmark Group</w:t>
            </w:r>
          </w:p>
        </w:tc>
        <w:tc>
          <w:tcPr>
            <w:tcW w:w="126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182-206</w:t>
            </w:r>
          </w:p>
        </w:tc>
        <w:tc>
          <w:tcPr>
            <w:tcW w:w="1260" w:type="dxa"/>
            <w:shd w:val="clear" w:color="auto" w:fill="auto"/>
            <w:vAlign w:val="bottom"/>
          </w:tcPr>
          <w:p w:rsidR="009038E6" w:rsidRPr="002633A2" w:rsidRDefault="009038E6" w:rsidP="009038E6">
            <w:pPr>
              <w:spacing w:before="40"/>
              <w:jc w:val="center"/>
              <w:rPr>
                <w:sz w:val="18"/>
                <w:szCs w:val="18"/>
              </w:rPr>
            </w:pPr>
            <w:r w:rsidRPr="002633A2">
              <w:rPr>
                <w:sz w:val="18"/>
                <w:szCs w:val="18"/>
              </w:rPr>
              <w:t>813</w:t>
            </w:r>
          </w:p>
        </w:tc>
        <w:tc>
          <w:tcPr>
            <w:tcW w:w="1440"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407</w:t>
            </w:r>
          </w:p>
        </w:tc>
        <w:tc>
          <w:tcPr>
            <w:tcW w:w="804" w:type="dxa"/>
            <w:shd w:val="clear" w:color="auto" w:fill="auto"/>
            <w:noWrap/>
            <w:vAlign w:val="bottom"/>
          </w:tcPr>
          <w:p w:rsidR="009038E6" w:rsidRPr="002633A2" w:rsidRDefault="009038E6" w:rsidP="009038E6">
            <w:pPr>
              <w:spacing w:before="40"/>
              <w:jc w:val="center"/>
              <w:rPr>
                <w:sz w:val="18"/>
                <w:szCs w:val="18"/>
              </w:rPr>
            </w:pPr>
            <w:r w:rsidRPr="002633A2">
              <w:rPr>
                <w:sz w:val="18"/>
                <w:szCs w:val="18"/>
              </w:rPr>
              <w:t>0.38</w:t>
            </w:r>
          </w:p>
        </w:tc>
        <w:tc>
          <w:tcPr>
            <w:tcW w:w="1356" w:type="dxa"/>
            <w:shd w:val="clear" w:color="auto" w:fill="auto"/>
            <w:noWrap/>
            <w:vAlign w:val="bottom"/>
          </w:tcPr>
          <w:p w:rsidR="009038E6" w:rsidRPr="002633A2" w:rsidRDefault="009038E6" w:rsidP="009038E6">
            <w:pPr>
              <w:spacing w:before="40"/>
              <w:jc w:val="center"/>
              <w:rPr>
                <w:sz w:val="18"/>
                <w:szCs w:val="18"/>
              </w:rPr>
            </w:pPr>
          </w:p>
        </w:tc>
      </w:tr>
    </w:tbl>
    <w:p w:rsidR="000A64C5" w:rsidRDefault="000A64C5" w:rsidP="000A64C5">
      <w:pPr>
        <w:pStyle w:val="BodyText2Notes"/>
      </w:pPr>
      <w:r w:rsidRPr="006114AC">
        <w:t>Notes:</w:t>
      </w:r>
    </w:p>
    <w:p w:rsidR="000A64C5" w:rsidRDefault="000A64C5" w:rsidP="000A64C5">
      <w:pPr>
        <w:pStyle w:val="BodyText2Notes"/>
      </w:pPr>
      <w:r>
        <w:t>1.</w:t>
      </w:r>
      <w:r w:rsidR="00465915">
        <w:t xml:space="preserve"> </w:t>
      </w:r>
      <w:r w:rsidRPr="006114AC">
        <w:t>ΔRWL</w:t>
      </w:r>
      <w:r>
        <w:t xml:space="preserve"> is the maximum rise (peak) in groundwater level in the bore, from the start of flood event</w:t>
      </w:r>
      <w:r w:rsidR="00F830A9">
        <w:t>.</w:t>
      </w:r>
    </w:p>
    <w:p w:rsidR="009038E6" w:rsidRDefault="009038E6" w:rsidP="008242D7"/>
    <w:p w:rsidR="008242D7" w:rsidRDefault="00DA40F0" w:rsidP="00021090">
      <w:pPr>
        <w:pStyle w:val="Heading2"/>
        <w:tabs>
          <w:tab w:val="left" w:pos="720"/>
        </w:tabs>
        <w:spacing w:before="320"/>
      </w:pPr>
      <w:bookmarkStart w:id="424" w:name="_Toc390690130"/>
      <w:r>
        <w:t>H</w:t>
      </w:r>
      <w:r w:rsidR="008242D7">
        <w:t>ydrochemistry</w:t>
      </w:r>
      <w:bookmarkEnd w:id="424"/>
    </w:p>
    <w:p w:rsidR="009038E6" w:rsidRDefault="009038E6" w:rsidP="009038E6">
      <w:r w:rsidRPr="00106292">
        <w:t xml:space="preserve">A comprehensive water sampling program, as summarised in </w:t>
      </w:r>
      <w:r w:rsidRPr="00106292">
        <w:fldChar w:fldCharType="begin"/>
      </w:r>
      <w:r w:rsidRPr="00106292">
        <w:instrText xml:space="preserve"> REF _Ref325709641 \h  \* MERGEFORMAT </w:instrText>
      </w:r>
      <w:r w:rsidRPr="00106292">
        <w:fldChar w:fldCharType="separate"/>
      </w:r>
      <w:r w:rsidR="00966532" w:rsidRPr="00966532">
        <w:t xml:space="preserve">Table </w:t>
      </w:r>
      <w:r w:rsidR="00966532" w:rsidRPr="00966532">
        <w:rPr>
          <w:noProof/>
        </w:rPr>
        <w:t>6</w:t>
      </w:r>
      <w:r w:rsidR="00966532" w:rsidRPr="00966532">
        <w:rPr>
          <w:noProof/>
        </w:rPr>
        <w:noBreakHyphen/>
        <w:t>2</w:t>
      </w:r>
      <w:r w:rsidRPr="00106292">
        <w:fldChar w:fldCharType="end"/>
      </w:r>
      <w:r w:rsidRPr="00106292">
        <w:t>, was undertaken to assess potential water quality issues associated with possible MAR and groundwater extraction options. The sampling and analytical methods are documented in Lawrie</w:t>
      </w:r>
      <w:r w:rsidR="008A5F7D" w:rsidRPr="00CF7613">
        <w:rPr>
          <w:rStyle w:val="StyleItalic"/>
        </w:rPr>
        <w:t xml:space="preserve"> et al</w:t>
      </w:r>
      <w:r w:rsidR="00E26C44" w:rsidRPr="00CF7613">
        <w:rPr>
          <w:rStyle w:val="StyleItalic"/>
        </w:rPr>
        <w:t>.</w:t>
      </w:r>
      <w:r w:rsidRPr="00106292">
        <w:t xml:space="preserve"> (2012a), with a more complete interpretation of the data from a hydrogeological process perspective detailed in Lawrie</w:t>
      </w:r>
      <w:r w:rsidR="008A5F7D" w:rsidRPr="00CF7613">
        <w:rPr>
          <w:rStyle w:val="StyleItalic"/>
        </w:rPr>
        <w:t xml:space="preserve"> et al</w:t>
      </w:r>
      <w:r w:rsidR="00E26C44" w:rsidRPr="00CF7613">
        <w:rPr>
          <w:rStyle w:val="StyleItalic"/>
        </w:rPr>
        <w:t>.</w:t>
      </w:r>
      <w:r w:rsidR="00F81E70" w:rsidRPr="00CF7613">
        <w:rPr>
          <w:rStyle w:val="StyleItalic"/>
        </w:rPr>
        <w:t xml:space="preserve"> </w:t>
      </w:r>
      <w:r w:rsidRPr="00106292">
        <w:t>(2012b). More complete assessment of the hydrochemistry from a MAR perspective is reported in Lawrie</w:t>
      </w:r>
      <w:r w:rsidR="008A5F7D" w:rsidRPr="00CF7613">
        <w:rPr>
          <w:rStyle w:val="StyleItalic"/>
        </w:rPr>
        <w:t xml:space="preserve"> et al</w:t>
      </w:r>
      <w:r w:rsidRPr="00106292">
        <w:t>. (2012c</w:t>
      </w:r>
      <w:r w:rsidR="00106292" w:rsidRPr="00106292">
        <w:t>, d</w:t>
      </w:r>
      <w:r w:rsidRPr="00106292">
        <w:t>), with consideration of groundwater characterisation and hydrochemical processes from a groundwater resource perspective in Lawrie</w:t>
      </w:r>
      <w:r w:rsidR="008A5F7D" w:rsidRPr="00CF7613">
        <w:rPr>
          <w:rStyle w:val="StyleItalic"/>
        </w:rPr>
        <w:t xml:space="preserve"> et al</w:t>
      </w:r>
      <w:r w:rsidRPr="00106292">
        <w:t xml:space="preserve">. (2012d). </w:t>
      </w:r>
      <w:r w:rsidR="00DF0CAB" w:rsidRPr="00106292">
        <w:t>Results of hydrochemical analysis are</w:t>
      </w:r>
      <w:r w:rsidRPr="00106292">
        <w:t xml:space="preserve"> in </w:t>
      </w:r>
      <w:r w:rsidR="00B03359">
        <w:t>Appendix 6 (</w:t>
      </w:r>
      <w:r w:rsidRPr="00106292">
        <w:t>Somerville</w:t>
      </w:r>
      <w:r w:rsidR="008A5F7D" w:rsidRPr="00CF7613">
        <w:rPr>
          <w:rStyle w:val="StyleItalic"/>
        </w:rPr>
        <w:t xml:space="preserve"> et al</w:t>
      </w:r>
      <w:r w:rsidRPr="00CF7613">
        <w:rPr>
          <w:rStyle w:val="StyleItalic"/>
        </w:rPr>
        <w:t>.</w:t>
      </w:r>
      <w:r w:rsidR="00B03359" w:rsidRPr="00CF7613">
        <w:rPr>
          <w:rStyle w:val="StyleItalic"/>
        </w:rPr>
        <w:t>,</w:t>
      </w:r>
      <w:r w:rsidRPr="00106292">
        <w:t xml:space="preserve"> 2012).</w:t>
      </w:r>
    </w:p>
    <w:p w:rsidR="009038E6" w:rsidRDefault="009038E6" w:rsidP="009038E6"/>
    <w:p w:rsidR="009038E6" w:rsidRPr="002B453E" w:rsidRDefault="009038E6" w:rsidP="009038E6">
      <w:pPr>
        <w:pStyle w:val="Caption"/>
        <w:keepNext/>
        <w:rPr>
          <w:i w:val="0"/>
        </w:rPr>
      </w:pPr>
      <w:bookmarkStart w:id="425" w:name="_Ref325709641"/>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6</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2</w:t>
      </w:r>
      <w:r w:rsidR="00B96C96">
        <w:rPr>
          <w:b/>
        </w:rPr>
        <w:fldChar w:fldCharType="end"/>
      </w:r>
      <w:bookmarkEnd w:id="425"/>
      <w:r w:rsidRPr="00CD2825">
        <w:rPr>
          <w:b/>
        </w:rPr>
        <w:t>.</w:t>
      </w:r>
      <w:r w:rsidRPr="00FC40CE">
        <w:rPr>
          <w:b/>
          <w:i w:val="0"/>
        </w:rPr>
        <w:t xml:space="preserve"> </w:t>
      </w:r>
      <w:r w:rsidRPr="00FC40CE">
        <w:t>Summary of BHMAR hydrochemical analyses.</w:t>
      </w:r>
      <w:r w:rsidRPr="004F730A">
        <w:t xml:space="preserve"> </w:t>
      </w:r>
      <w:r>
        <w:t xml:space="preserve">Raw data is available in </w:t>
      </w:r>
      <w:r w:rsidR="00B03359">
        <w:t>Appendix 6 (</w:t>
      </w:r>
      <w:r>
        <w:t>Somerville</w:t>
      </w:r>
      <w:r w:rsidR="008A5F7D" w:rsidRPr="008A5F7D">
        <w:t xml:space="preserve"> et al</w:t>
      </w:r>
      <w:r>
        <w:t>.</w:t>
      </w:r>
      <w:r w:rsidR="00B03359">
        <w:t>,</w:t>
      </w:r>
      <w:r>
        <w:t xml:space="preserve"> 2012) and interpreted data in Lawrie</w:t>
      </w:r>
      <w:r w:rsidR="008A5F7D" w:rsidRPr="008A5F7D">
        <w:t xml:space="preserve"> et al</w:t>
      </w:r>
      <w:r>
        <w:t>. (2012b).</w:t>
      </w:r>
      <w:r w:rsidRPr="005706E3">
        <w:fldChar w:fldCharType="begin"/>
      </w:r>
      <w:r w:rsidRPr="005706E3">
        <w:instrText xml:space="preserve"> </w:instrText>
      </w:r>
      <w:r w:rsidRPr="001B06B3">
        <w:rPr>
          <w:i w:val="0"/>
        </w:rPr>
        <w:instrText>TC "</w:instrText>
      </w:r>
      <w:bookmarkStart w:id="426" w:name="_Toc257104438"/>
      <w:bookmarkStart w:id="427" w:name="_Toc325975303"/>
      <w:bookmarkStart w:id="428" w:name="_Toc390690292"/>
      <w:r w:rsidRPr="001B06B3">
        <w:rPr>
          <w:i w:val="0"/>
        </w:rPr>
        <w:instrText xml:space="preserve">Table </w:instrText>
      </w:r>
      <w:r w:rsidR="000D653B">
        <w:rPr>
          <w:i w:val="0"/>
        </w:rPr>
        <w:instrText>6-2</w:instrText>
      </w:r>
      <w:r w:rsidR="00DE0DFA">
        <w:rPr>
          <w:i w:val="0"/>
        </w:rPr>
        <w:instrText>.</w:instrText>
      </w:r>
      <w:r w:rsidRPr="001B06B3">
        <w:rPr>
          <w:i w:val="0"/>
        </w:rPr>
        <w:instrText xml:space="preserve"> </w:instrText>
      </w:r>
      <w:bookmarkEnd w:id="426"/>
      <w:r w:rsidRPr="001B06B3">
        <w:rPr>
          <w:i w:val="0"/>
        </w:rPr>
        <w:instrText>Summary of BHMAR hydrochemical analyses</w:instrText>
      </w:r>
      <w:bookmarkEnd w:id="427"/>
      <w:r w:rsidR="005E4B77">
        <w:rPr>
          <w:i w:val="0"/>
        </w:rPr>
        <w:instrText>.</w:instrText>
      </w:r>
      <w:bookmarkEnd w:id="428"/>
      <w:r w:rsidRPr="001B06B3">
        <w:rPr>
          <w:i w:val="0"/>
        </w:rPr>
        <w:instrText>" \f B \l "4"</w:instrText>
      </w:r>
      <w:r w:rsidRPr="005706E3">
        <w:instrText xml:space="preserve"> </w:instrText>
      </w:r>
      <w:r w:rsidRPr="005706E3">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1974"/>
        <w:gridCol w:w="2237"/>
      </w:tblGrid>
      <w:tr w:rsidR="009038E6" w:rsidRPr="002633A2" w:rsidTr="009038E6">
        <w:trPr>
          <w:jc w:val="center"/>
        </w:trPr>
        <w:tc>
          <w:tcPr>
            <w:tcW w:w="2448" w:type="dxa"/>
            <w:shd w:val="clear" w:color="auto" w:fill="CCCCCC"/>
          </w:tcPr>
          <w:p w:rsidR="009038E6" w:rsidRPr="002633A2" w:rsidRDefault="009038E6" w:rsidP="009038E6">
            <w:pPr>
              <w:keepNext/>
              <w:spacing w:before="60" w:after="60"/>
              <w:rPr>
                <w:b/>
                <w:sz w:val="20"/>
                <w:szCs w:val="20"/>
              </w:rPr>
            </w:pPr>
            <w:r w:rsidRPr="002633A2">
              <w:rPr>
                <w:b/>
                <w:sz w:val="20"/>
                <w:szCs w:val="20"/>
              </w:rPr>
              <w:t>Sample Type</w:t>
            </w:r>
          </w:p>
        </w:tc>
        <w:tc>
          <w:tcPr>
            <w:tcW w:w="1974" w:type="dxa"/>
            <w:shd w:val="clear" w:color="auto" w:fill="CCCCCC"/>
          </w:tcPr>
          <w:p w:rsidR="009038E6" w:rsidRPr="002633A2" w:rsidRDefault="009038E6" w:rsidP="009038E6">
            <w:pPr>
              <w:keepNext/>
              <w:spacing w:before="60" w:after="60"/>
              <w:rPr>
                <w:b/>
                <w:sz w:val="20"/>
                <w:szCs w:val="20"/>
              </w:rPr>
            </w:pPr>
            <w:r w:rsidRPr="002633A2">
              <w:rPr>
                <w:b/>
                <w:sz w:val="20"/>
                <w:szCs w:val="20"/>
              </w:rPr>
              <w:t>Number of Sites</w:t>
            </w:r>
          </w:p>
        </w:tc>
        <w:tc>
          <w:tcPr>
            <w:tcW w:w="2237" w:type="dxa"/>
            <w:shd w:val="clear" w:color="auto" w:fill="CCCCCC"/>
          </w:tcPr>
          <w:p w:rsidR="009038E6" w:rsidRPr="002633A2" w:rsidRDefault="009038E6" w:rsidP="009038E6">
            <w:pPr>
              <w:keepNext/>
              <w:spacing w:before="60" w:after="60"/>
              <w:rPr>
                <w:b/>
                <w:sz w:val="20"/>
                <w:szCs w:val="20"/>
              </w:rPr>
            </w:pPr>
            <w:r w:rsidRPr="002633A2">
              <w:rPr>
                <w:b/>
                <w:sz w:val="20"/>
                <w:szCs w:val="20"/>
              </w:rPr>
              <w:t>Number of Samples</w:t>
            </w:r>
          </w:p>
        </w:tc>
      </w:tr>
      <w:tr w:rsidR="009038E6" w:rsidRPr="002633A2" w:rsidTr="009038E6">
        <w:trPr>
          <w:jc w:val="center"/>
        </w:trPr>
        <w:tc>
          <w:tcPr>
            <w:tcW w:w="2448" w:type="dxa"/>
            <w:shd w:val="clear" w:color="auto" w:fill="auto"/>
          </w:tcPr>
          <w:p w:rsidR="009038E6" w:rsidRPr="002633A2" w:rsidRDefault="009038E6" w:rsidP="009038E6">
            <w:pPr>
              <w:keepNext/>
              <w:spacing w:before="60" w:after="60"/>
              <w:rPr>
                <w:sz w:val="20"/>
                <w:szCs w:val="20"/>
              </w:rPr>
            </w:pPr>
            <w:r w:rsidRPr="002633A2">
              <w:rPr>
                <w:sz w:val="20"/>
                <w:szCs w:val="20"/>
              </w:rPr>
              <w:t>Cumulative Rainfall</w:t>
            </w:r>
          </w:p>
        </w:tc>
        <w:tc>
          <w:tcPr>
            <w:tcW w:w="1974" w:type="dxa"/>
            <w:shd w:val="clear" w:color="auto" w:fill="auto"/>
          </w:tcPr>
          <w:p w:rsidR="009038E6" w:rsidRPr="002633A2" w:rsidRDefault="009038E6" w:rsidP="009038E6">
            <w:pPr>
              <w:keepNext/>
              <w:spacing w:before="60" w:after="60"/>
              <w:rPr>
                <w:sz w:val="20"/>
                <w:szCs w:val="20"/>
              </w:rPr>
            </w:pPr>
            <w:r w:rsidRPr="002633A2">
              <w:rPr>
                <w:sz w:val="20"/>
                <w:szCs w:val="20"/>
              </w:rPr>
              <w:t>1</w:t>
            </w:r>
          </w:p>
        </w:tc>
        <w:tc>
          <w:tcPr>
            <w:tcW w:w="2237" w:type="dxa"/>
            <w:shd w:val="clear" w:color="auto" w:fill="auto"/>
          </w:tcPr>
          <w:p w:rsidR="009038E6" w:rsidRPr="002633A2" w:rsidRDefault="009038E6" w:rsidP="009038E6">
            <w:pPr>
              <w:keepNext/>
              <w:spacing w:before="60" w:after="60"/>
              <w:rPr>
                <w:sz w:val="20"/>
                <w:szCs w:val="20"/>
              </w:rPr>
            </w:pPr>
            <w:r w:rsidRPr="002633A2">
              <w:rPr>
                <w:sz w:val="20"/>
                <w:szCs w:val="20"/>
              </w:rPr>
              <w:t>10</w:t>
            </w:r>
          </w:p>
        </w:tc>
      </w:tr>
      <w:tr w:rsidR="009038E6" w:rsidRPr="002633A2" w:rsidTr="009038E6">
        <w:trPr>
          <w:jc w:val="center"/>
        </w:trPr>
        <w:tc>
          <w:tcPr>
            <w:tcW w:w="2448" w:type="dxa"/>
            <w:shd w:val="clear" w:color="auto" w:fill="auto"/>
          </w:tcPr>
          <w:p w:rsidR="009038E6" w:rsidRPr="002633A2" w:rsidRDefault="009038E6" w:rsidP="009038E6">
            <w:pPr>
              <w:keepNext/>
              <w:spacing w:before="60" w:after="60"/>
              <w:rPr>
                <w:sz w:val="20"/>
                <w:szCs w:val="20"/>
              </w:rPr>
            </w:pPr>
            <w:smartTag w:uri="urn:schemas-microsoft-com:office:smarttags" w:element="place">
              <w:smartTag w:uri="urn:schemas-microsoft-com:office:smarttags" w:element="PlaceType">
                <w:r w:rsidRPr="002633A2">
                  <w:rPr>
                    <w:sz w:val="20"/>
                    <w:szCs w:val="20"/>
                  </w:rPr>
                  <w:t>Lake</w:t>
                </w:r>
              </w:smartTag>
              <w:r w:rsidRPr="002633A2">
                <w:rPr>
                  <w:sz w:val="20"/>
                  <w:szCs w:val="20"/>
                </w:rPr>
                <w:t xml:space="preserve"> </w:t>
              </w:r>
              <w:smartTag w:uri="urn:schemas-microsoft-com:office:smarttags" w:element="PlaceName">
                <w:r w:rsidRPr="002633A2">
                  <w:rPr>
                    <w:sz w:val="20"/>
                    <w:szCs w:val="20"/>
                  </w:rPr>
                  <w:t>Storage</w:t>
                </w:r>
              </w:smartTag>
            </w:smartTag>
          </w:p>
        </w:tc>
        <w:tc>
          <w:tcPr>
            <w:tcW w:w="1974" w:type="dxa"/>
            <w:shd w:val="clear" w:color="auto" w:fill="auto"/>
          </w:tcPr>
          <w:p w:rsidR="009038E6" w:rsidRPr="002633A2" w:rsidRDefault="009038E6" w:rsidP="009038E6">
            <w:pPr>
              <w:keepNext/>
              <w:spacing w:before="60" w:after="60"/>
              <w:rPr>
                <w:sz w:val="20"/>
                <w:szCs w:val="20"/>
              </w:rPr>
            </w:pPr>
            <w:r w:rsidRPr="002633A2">
              <w:rPr>
                <w:sz w:val="20"/>
                <w:szCs w:val="20"/>
              </w:rPr>
              <w:t>17</w:t>
            </w:r>
          </w:p>
        </w:tc>
        <w:tc>
          <w:tcPr>
            <w:tcW w:w="2237" w:type="dxa"/>
            <w:shd w:val="clear" w:color="auto" w:fill="auto"/>
          </w:tcPr>
          <w:p w:rsidR="009038E6" w:rsidRPr="002633A2" w:rsidRDefault="009038E6" w:rsidP="009038E6">
            <w:pPr>
              <w:keepNext/>
              <w:spacing w:before="60" w:after="60"/>
              <w:rPr>
                <w:sz w:val="20"/>
                <w:szCs w:val="20"/>
              </w:rPr>
            </w:pPr>
            <w:r w:rsidRPr="002633A2">
              <w:rPr>
                <w:sz w:val="20"/>
                <w:szCs w:val="20"/>
              </w:rPr>
              <w:t>17</w:t>
            </w:r>
          </w:p>
        </w:tc>
      </w:tr>
      <w:tr w:rsidR="009038E6" w:rsidRPr="002633A2" w:rsidTr="009038E6">
        <w:trPr>
          <w:jc w:val="center"/>
        </w:trPr>
        <w:tc>
          <w:tcPr>
            <w:tcW w:w="2448" w:type="dxa"/>
            <w:shd w:val="clear" w:color="auto" w:fill="auto"/>
          </w:tcPr>
          <w:p w:rsidR="009038E6" w:rsidRPr="002633A2" w:rsidRDefault="009038E6" w:rsidP="009038E6">
            <w:pPr>
              <w:keepNext/>
              <w:spacing w:before="60" w:after="60"/>
              <w:rPr>
                <w:sz w:val="20"/>
                <w:szCs w:val="20"/>
              </w:rPr>
            </w:pPr>
            <w:r w:rsidRPr="002633A2">
              <w:rPr>
                <w:sz w:val="20"/>
                <w:szCs w:val="20"/>
              </w:rPr>
              <w:t>River or stream</w:t>
            </w:r>
          </w:p>
        </w:tc>
        <w:tc>
          <w:tcPr>
            <w:tcW w:w="1974" w:type="dxa"/>
            <w:shd w:val="clear" w:color="auto" w:fill="auto"/>
          </w:tcPr>
          <w:p w:rsidR="009038E6" w:rsidRPr="002633A2" w:rsidRDefault="009038E6" w:rsidP="009038E6">
            <w:pPr>
              <w:keepNext/>
              <w:spacing w:before="60" w:after="60"/>
              <w:rPr>
                <w:sz w:val="20"/>
                <w:szCs w:val="20"/>
              </w:rPr>
            </w:pPr>
            <w:r w:rsidRPr="002633A2">
              <w:rPr>
                <w:sz w:val="20"/>
                <w:szCs w:val="20"/>
              </w:rPr>
              <w:t>10</w:t>
            </w:r>
          </w:p>
        </w:tc>
        <w:tc>
          <w:tcPr>
            <w:tcW w:w="2237" w:type="dxa"/>
            <w:shd w:val="clear" w:color="auto" w:fill="auto"/>
          </w:tcPr>
          <w:p w:rsidR="009038E6" w:rsidRPr="002633A2" w:rsidRDefault="009038E6" w:rsidP="009038E6">
            <w:pPr>
              <w:keepNext/>
              <w:spacing w:before="60" w:after="60"/>
              <w:rPr>
                <w:sz w:val="20"/>
                <w:szCs w:val="20"/>
              </w:rPr>
            </w:pPr>
            <w:r w:rsidRPr="002633A2">
              <w:rPr>
                <w:sz w:val="20"/>
                <w:szCs w:val="20"/>
              </w:rPr>
              <w:t>32</w:t>
            </w:r>
          </w:p>
        </w:tc>
      </w:tr>
      <w:tr w:rsidR="009038E6" w:rsidRPr="002633A2" w:rsidTr="009038E6">
        <w:trPr>
          <w:jc w:val="center"/>
        </w:trPr>
        <w:tc>
          <w:tcPr>
            <w:tcW w:w="2448" w:type="dxa"/>
            <w:shd w:val="clear" w:color="auto" w:fill="auto"/>
          </w:tcPr>
          <w:p w:rsidR="009038E6" w:rsidRPr="002633A2" w:rsidRDefault="009038E6" w:rsidP="009038E6">
            <w:pPr>
              <w:keepNext/>
              <w:spacing w:before="60" w:after="60"/>
              <w:rPr>
                <w:sz w:val="20"/>
                <w:szCs w:val="20"/>
              </w:rPr>
            </w:pPr>
            <w:r w:rsidRPr="002633A2">
              <w:rPr>
                <w:sz w:val="20"/>
                <w:szCs w:val="20"/>
              </w:rPr>
              <w:t>Treated water supply</w:t>
            </w:r>
          </w:p>
        </w:tc>
        <w:tc>
          <w:tcPr>
            <w:tcW w:w="1974" w:type="dxa"/>
            <w:shd w:val="clear" w:color="auto" w:fill="auto"/>
          </w:tcPr>
          <w:p w:rsidR="009038E6" w:rsidRPr="002633A2" w:rsidRDefault="009038E6" w:rsidP="009038E6">
            <w:pPr>
              <w:keepNext/>
              <w:spacing w:before="60" w:after="60"/>
              <w:rPr>
                <w:sz w:val="20"/>
                <w:szCs w:val="20"/>
              </w:rPr>
            </w:pPr>
            <w:r w:rsidRPr="002633A2">
              <w:rPr>
                <w:sz w:val="20"/>
                <w:szCs w:val="20"/>
              </w:rPr>
              <w:t>3</w:t>
            </w:r>
          </w:p>
        </w:tc>
        <w:tc>
          <w:tcPr>
            <w:tcW w:w="2237" w:type="dxa"/>
            <w:shd w:val="clear" w:color="auto" w:fill="auto"/>
          </w:tcPr>
          <w:p w:rsidR="009038E6" w:rsidRPr="002633A2" w:rsidRDefault="009038E6" w:rsidP="009038E6">
            <w:pPr>
              <w:keepNext/>
              <w:spacing w:before="60" w:after="60"/>
              <w:rPr>
                <w:sz w:val="20"/>
                <w:szCs w:val="20"/>
              </w:rPr>
            </w:pPr>
            <w:r w:rsidRPr="002633A2">
              <w:rPr>
                <w:sz w:val="20"/>
                <w:szCs w:val="20"/>
              </w:rPr>
              <w:t>7</w:t>
            </w:r>
          </w:p>
        </w:tc>
      </w:tr>
      <w:tr w:rsidR="009038E6" w:rsidRPr="002633A2" w:rsidTr="009038E6">
        <w:trPr>
          <w:jc w:val="center"/>
        </w:trPr>
        <w:tc>
          <w:tcPr>
            <w:tcW w:w="2448" w:type="dxa"/>
            <w:shd w:val="clear" w:color="auto" w:fill="auto"/>
          </w:tcPr>
          <w:p w:rsidR="009038E6" w:rsidRPr="002633A2" w:rsidRDefault="009038E6" w:rsidP="009038E6">
            <w:pPr>
              <w:keepNext/>
              <w:spacing w:before="60" w:after="60"/>
              <w:rPr>
                <w:sz w:val="20"/>
                <w:szCs w:val="20"/>
              </w:rPr>
            </w:pPr>
            <w:smartTag w:uri="urn:schemas-microsoft-com:office:smarttags" w:element="PersonName">
              <w:r w:rsidRPr="002633A2">
                <w:rPr>
                  <w:sz w:val="20"/>
                  <w:szCs w:val="20"/>
                </w:rPr>
                <w:t>Groundwater</w:t>
              </w:r>
            </w:smartTag>
          </w:p>
        </w:tc>
        <w:tc>
          <w:tcPr>
            <w:tcW w:w="1974" w:type="dxa"/>
            <w:shd w:val="clear" w:color="auto" w:fill="auto"/>
          </w:tcPr>
          <w:p w:rsidR="009038E6" w:rsidRPr="002633A2" w:rsidRDefault="009038E6" w:rsidP="009038E6">
            <w:pPr>
              <w:keepNext/>
              <w:spacing w:before="60" w:after="60"/>
              <w:rPr>
                <w:sz w:val="20"/>
                <w:szCs w:val="20"/>
              </w:rPr>
            </w:pPr>
            <w:r w:rsidRPr="002633A2">
              <w:rPr>
                <w:sz w:val="20"/>
                <w:szCs w:val="20"/>
              </w:rPr>
              <w:t>104</w:t>
            </w:r>
          </w:p>
        </w:tc>
        <w:tc>
          <w:tcPr>
            <w:tcW w:w="2237" w:type="dxa"/>
            <w:shd w:val="clear" w:color="auto" w:fill="auto"/>
          </w:tcPr>
          <w:p w:rsidR="009038E6" w:rsidRPr="002633A2" w:rsidRDefault="009038E6" w:rsidP="009038E6">
            <w:pPr>
              <w:keepNext/>
              <w:spacing w:before="60" w:after="60"/>
              <w:rPr>
                <w:sz w:val="20"/>
                <w:szCs w:val="20"/>
              </w:rPr>
            </w:pPr>
            <w:r w:rsidRPr="002633A2">
              <w:rPr>
                <w:sz w:val="20"/>
                <w:szCs w:val="20"/>
              </w:rPr>
              <w:t>184</w:t>
            </w:r>
          </w:p>
        </w:tc>
      </w:tr>
      <w:tr w:rsidR="009038E6" w:rsidRPr="002633A2" w:rsidTr="009038E6">
        <w:trPr>
          <w:jc w:val="center"/>
        </w:trPr>
        <w:tc>
          <w:tcPr>
            <w:tcW w:w="2448" w:type="dxa"/>
            <w:shd w:val="clear" w:color="auto" w:fill="auto"/>
          </w:tcPr>
          <w:p w:rsidR="009038E6" w:rsidRPr="002633A2" w:rsidRDefault="009038E6" w:rsidP="009038E6">
            <w:pPr>
              <w:keepNext/>
              <w:spacing w:before="60" w:after="60"/>
              <w:rPr>
                <w:sz w:val="20"/>
                <w:szCs w:val="20"/>
              </w:rPr>
            </w:pPr>
            <w:r w:rsidRPr="002633A2">
              <w:rPr>
                <w:sz w:val="20"/>
                <w:szCs w:val="20"/>
              </w:rPr>
              <w:t>Pore Fluids</w:t>
            </w:r>
          </w:p>
        </w:tc>
        <w:tc>
          <w:tcPr>
            <w:tcW w:w="1974" w:type="dxa"/>
            <w:shd w:val="clear" w:color="auto" w:fill="auto"/>
          </w:tcPr>
          <w:p w:rsidR="009038E6" w:rsidRPr="002633A2" w:rsidRDefault="009038E6" w:rsidP="009038E6">
            <w:pPr>
              <w:keepNext/>
              <w:spacing w:before="60" w:after="60"/>
              <w:rPr>
                <w:sz w:val="20"/>
                <w:szCs w:val="20"/>
              </w:rPr>
            </w:pPr>
            <w:r w:rsidRPr="002633A2">
              <w:rPr>
                <w:sz w:val="20"/>
                <w:szCs w:val="20"/>
              </w:rPr>
              <w:t>49</w:t>
            </w:r>
          </w:p>
        </w:tc>
        <w:tc>
          <w:tcPr>
            <w:tcW w:w="2237" w:type="dxa"/>
            <w:shd w:val="clear" w:color="auto" w:fill="auto"/>
          </w:tcPr>
          <w:p w:rsidR="009038E6" w:rsidRPr="002633A2" w:rsidRDefault="009038E6" w:rsidP="009038E6">
            <w:pPr>
              <w:keepNext/>
              <w:spacing w:before="60" w:after="60"/>
              <w:rPr>
                <w:sz w:val="20"/>
                <w:szCs w:val="20"/>
              </w:rPr>
            </w:pPr>
            <w:r w:rsidRPr="002633A2">
              <w:rPr>
                <w:sz w:val="20"/>
                <w:szCs w:val="20"/>
              </w:rPr>
              <w:t>1144</w:t>
            </w:r>
          </w:p>
        </w:tc>
      </w:tr>
    </w:tbl>
    <w:p w:rsidR="008242D7" w:rsidRDefault="008242D7" w:rsidP="008242D7"/>
    <w:p w:rsidR="008242D7" w:rsidRDefault="00DA40F0" w:rsidP="008242D7">
      <w:pPr>
        <w:pStyle w:val="Heading3"/>
      </w:pPr>
      <w:bookmarkStart w:id="429" w:name="_Toc390690131"/>
      <w:r>
        <w:lastRenderedPageBreak/>
        <w:t>Major Ion C</w:t>
      </w:r>
      <w:r w:rsidR="008242D7">
        <w:t>hemistry</w:t>
      </w:r>
      <w:bookmarkEnd w:id="429"/>
    </w:p>
    <w:p w:rsidR="009038E6" w:rsidRPr="00795774" w:rsidRDefault="009038E6" w:rsidP="009038E6">
      <w:pPr>
        <w:tabs>
          <w:tab w:val="num" w:pos="709"/>
        </w:tabs>
        <w:spacing w:before="120"/>
      </w:pPr>
      <w:r>
        <w:t xml:space="preserve">The major </w:t>
      </w:r>
      <w:r w:rsidRPr="00795774">
        <w:t>ion chemistry for groundwater and surface water samples (</w:t>
      </w:r>
      <w:r w:rsidRPr="00795774">
        <w:fldChar w:fldCharType="begin"/>
      </w:r>
      <w:r w:rsidRPr="00795774">
        <w:instrText xml:space="preserve"> REF _Ref325707942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9</w:t>
      </w:r>
      <w:r w:rsidRPr="00795774">
        <w:fldChar w:fldCharType="end"/>
      </w:r>
      <w:r w:rsidRPr="00795774">
        <w:t>) and pore fluid samples (</w:t>
      </w:r>
      <w:r w:rsidRPr="00795774">
        <w:fldChar w:fldCharType="begin"/>
      </w:r>
      <w:r w:rsidRPr="00795774">
        <w:instrText xml:space="preserve"> REF _Ref325707977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10</w:t>
      </w:r>
      <w:r w:rsidRPr="00795774">
        <w:fldChar w:fldCharType="end"/>
      </w:r>
      <w:r w:rsidRPr="00795774">
        <w:t xml:space="preserve">) provide important insights into hydrological processes. </w:t>
      </w:r>
      <w:r>
        <w:t xml:space="preserve">This data is available in full in </w:t>
      </w:r>
      <w:r w:rsidR="00B03359">
        <w:t>Appendix 6 (</w:t>
      </w:r>
      <w:r>
        <w:t>Somerville</w:t>
      </w:r>
      <w:r w:rsidR="008A5F7D" w:rsidRPr="00CF7613">
        <w:rPr>
          <w:rStyle w:val="StyleItalic"/>
        </w:rPr>
        <w:t xml:space="preserve"> et al</w:t>
      </w:r>
      <w:r w:rsidR="00B03359" w:rsidRPr="00CF7613">
        <w:rPr>
          <w:rStyle w:val="StyleItalic"/>
        </w:rPr>
        <w:t>.,</w:t>
      </w:r>
      <w:r>
        <w:t xml:space="preserve"> 2012). </w:t>
      </w:r>
      <w:r w:rsidRPr="00795774">
        <w:t>Some key points are:</w:t>
      </w:r>
    </w:p>
    <w:p w:rsidR="009038E6" w:rsidRPr="00106292" w:rsidRDefault="009038E6" w:rsidP="009038E6">
      <w:pPr>
        <w:numPr>
          <w:ilvl w:val="0"/>
          <w:numId w:val="31"/>
        </w:numPr>
        <w:tabs>
          <w:tab w:val="clear" w:pos="720"/>
          <w:tab w:val="num" w:pos="540"/>
        </w:tabs>
        <w:spacing w:before="120"/>
        <w:ind w:left="540" w:hanging="540"/>
      </w:pPr>
      <w:r w:rsidRPr="00795774">
        <w:t xml:space="preserve">Many of the </w:t>
      </w:r>
      <w:r w:rsidR="0085025E">
        <w:t>groundwater samples</w:t>
      </w:r>
      <w:r w:rsidR="0085025E" w:rsidRPr="00795774">
        <w:t xml:space="preserve"> </w:t>
      </w:r>
      <w:r w:rsidR="0085025E">
        <w:t xml:space="preserve">from the </w:t>
      </w:r>
      <w:r w:rsidRPr="00795774">
        <w:t xml:space="preserve">shallow unconfined </w:t>
      </w:r>
      <w:r w:rsidR="00C217F0">
        <w:t>Coonambidgal Formation</w:t>
      </w:r>
      <w:r w:rsidRPr="00795774">
        <w:t xml:space="preserve">, </w:t>
      </w:r>
      <w:r w:rsidR="00C217F0">
        <w:t>Menindee Formation</w:t>
      </w:r>
      <w:r w:rsidRPr="00795774">
        <w:t xml:space="preserve"> and </w:t>
      </w:r>
      <w:r w:rsidR="00B32F4D">
        <w:t>Willotia bed</w:t>
      </w:r>
      <w:r w:rsidR="00CB7EA6">
        <w:t xml:space="preserve">s </w:t>
      </w:r>
      <w:r w:rsidRPr="00795774">
        <w:t>have a Na-</w:t>
      </w:r>
      <w:r w:rsidRPr="00106292">
        <w:t>Ca-Mg-HCO</w:t>
      </w:r>
      <w:r w:rsidRPr="00106292">
        <w:rPr>
          <w:rFonts w:ascii="Times New (W1)" w:hAnsi="Times New (W1)"/>
          <w:vertAlign w:val="subscript"/>
        </w:rPr>
        <w:t>3</w:t>
      </w:r>
      <w:r w:rsidRPr="00106292">
        <w:t xml:space="preserve"> type chemistry, similar to that of the surface water samples </w:t>
      </w:r>
      <w:r w:rsidR="0085025E">
        <w:t xml:space="preserve">as plotted on a Piper diagram </w:t>
      </w:r>
      <w:r w:rsidRPr="00106292">
        <w:t>(</w:t>
      </w:r>
      <w:r w:rsidRPr="00106292">
        <w:fldChar w:fldCharType="begin"/>
      </w:r>
      <w:r w:rsidRPr="00106292">
        <w:instrText xml:space="preserve"> REF _Ref325707942 \h  \* MERGEFORMAT </w:instrText>
      </w:r>
      <w:r w:rsidRPr="00106292">
        <w:fldChar w:fldCharType="separate"/>
      </w:r>
      <w:r w:rsidR="00966532" w:rsidRPr="00966532">
        <w:t xml:space="preserve">Figure </w:t>
      </w:r>
      <w:r w:rsidR="00966532" w:rsidRPr="00966532">
        <w:rPr>
          <w:noProof/>
        </w:rPr>
        <w:t>6</w:t>
      </w:r>
      <w:r w:rsidR="00966532" w:rsidRPr="00966532">
        <w:rPr>
          <w:noProof/>
        </w:rPr>
        <w:noBreakHyphen/>
        <w:t>9</w:t>
      </w:r>
      <w:r w:rsidRPr="00106292">
        <w:fldChar w:fldCharType="end"/>
      </w:r>
      <w:r w:rsidRPr="00106292">
        <w:t>). This indicates that river (and/or lake) leakage is important for recharge to the shallow aquifer (</w:t>
      </w:r>
      <w:r w:rsidRPr="00106292">
        <w:rPr>
          <w:szCs w:val="22"/>
        </w:rPr>
        <w:t>Lawrie</w:t>
      </w:r>
      <w:r w:rsidR="008A5F7D" w:rsidRPr="00CF7613">
        <w:rPr>
          <w:rStyle w:val="StyleItalic"/>
        </w:rPr>
        <w:t xml:space="preserve"> et al</w:t>
      </w:r>
      <w:r w:rsidRPr="00106292">
        <w:rPr>
          <w:szCs w:val="22"/>
        </w:rPr>
        <w:t>., 2012b)</w:t>
      </w:r>
      <w:r w:rsidRPr="00106292">
        <w:t xml:space="preserve">. </w:t>
      </w:r>
    </w:p>
    <w:p w:rsidR="009038E6" w:rsidRPr="00106292" w:rsidRDefault="009038E6" w:rsidP="009038E6">
      <w:pPr>
        <w:numPr>
          <w:ilvl w:val="0"/>
          <w:numId w:val="31"/>
        </w:numPr>
        <w:tabs>
          <w:tab w:val="clear" w:pos="720"/>
          <w:tab w:val="num" w:pos="540"/>
        </w:tabs>
        <w:spacing w:before="120"/>
        <w:ind w:left="540" w:hanging="540"/>
      </w:pPr>
      <w:r w:rsidRPr="00106292">
        <w:t>Local</w:t>
      </w:r>
      <w:r w:rsidRPr="00795774">
        <w:t xml:space="preserve"> rainfall samples have distinctive major ion compositions, and are relatively enriched in calcium and depleted in magnesium (</w:t>
      </w:r>
      <w:r w:rsidRPr="00795774">
        <w:fldChar w:fldCharType="begin"/>
      </w:r>
      <w:r w:rsidRPr="00795774">
        <w:instrText xml:space="preserve"> REF _Ref325707942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9</w:t>
      </w:r>
      <w:r w:rsidRPr="00795774">
        <w:fldChar w:fldCharType="end"/>
      </w:r>
      <w:r w:rsidRPr="00795774">
        <w:t xml:space="preserve">). The groundwater samples that have the closest affinity with the rainfall samples are in the very shallow unconfined </w:t>
      </w:r>
      <w:r w:rsidR="00B32F4D">
        <w:t>Willotia bed</w:t>
      </w:r>
      <w:r w:rsidR="00CB7EA6">
        <w:t>s</w:t>
      </w:r>
      <w:r w:rsidRPr="00795774">
        <w:t xml:space="preserve"> or </w:t>
      </w:r>
      <w:r w:rsidR="00C217F0">
        <w:t>Coonambidgal Formation</w:t>
      </w:r>
      <w:r w:rsidRPr="00795774">
        <w:t xml:space="preserve"> (</w:t>
      </w:r>
      <w:r w:rsidRPr="00795774">
        <w:fldChar w:fldCharType="begin"/>
      </w:r>
      <w:r w:rsidRPr="00795774">
        <w:instrText xml:space="preserve"> REF _Ref325707942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9</w:t>
      </w:r>
      <w:r w:rsidRPr="00795774">
        <w:fldChar w:fldCharType="end"/>
      </w:r>
      <w:r w:rsidRPr="00795774">
        <w:t xml:space="preserve">). However, an overall lack of affinity between groundwater and rainfall samples suggests that diffuse rainfall recharge to the shallow aquifer is not significant in comparison with leakage from the rivers and lakes. This is consistent with observations of significant ponding in the landscape for many months after heavy rainfall events, and estimates of </w:t>
      </w:r>
      <w:r w:rsidRPr="00106292">
        <w:t>very low recharge (&lt;1</w:t>
      </w:r>
      <w:r w:rsidR="00A72012">
        <w:t xml:space="preserve"> </w:t>
      </w:r>
      <w:r w:rsidRPr="00106292">
        <w:t xml:space="preserve">mm/yr) calculated using the rainfall recharge estimation methodology (Harrington </w:t>
      </w:r>
      <w:r w:rsidR="00106292" w:rsidRPr="00106292">
        <w:t>&amp; Cook,</w:t>
      </w:r>
      <w:r w:rsidRPr="00106292">
        <w:t xml:space="preserve"> 2011; Lawrie</w:t>
      </w:r>
      <w:r w:rsidR="008A5F7D" w:rsidRPr="00CF7613">
        <w:rPr>
          <w:rStyle w:val="StyleItalic"/>
        </w:rPr>
        <w:t xml:space="preserve"> et al</w:t>
      </w:r>
      <w:r w:rsidRPr="00106292">
        <w:t>., 2012a, b).</w:t>
      </w:r>
    </w:p>
    <w:p w:rsidR="009038E6" w:rsidRPr="00106292" w:rsidRDefault="009038E6" w:rsidP="009038E6">
      <w:pPr>
        <w:numPr>
          <w:ilvl w:val="0"/>
          <w:numId w:val="31"/>
        </w:numPr>
        <w:tabs>
          <w:tab w:val="clear" w:pos="720"/>
          <w:tab w:val="num" w:pos="540"/>
        </w:tabs>
        <w:spacing w:before="120"/>
        <w:ind w:left="540" w:hanging="540"/>
      </w:pPr>
      <w:r w:rsidRPr="00106292">
        <w:t>A saline ‘evolved’ group with a Na-Cl-SO</w:t>
      </w:r>
      <w:r w:rsidRPr="00106292">
        <w:rPr>
          <w:vertAlign w:val="subscript"/>
        </w:rPr>
        <w:t xml:space="preserve">4 </w:t>
      </w:r>
      <w:r w:rsidRPr="00106292">
        <w:t>signature plotting along the right hand margin of the Piper diagrams can be differentiated from the fresher ‘leakage’ sample group with the surface water affinity (</w:t>
      </w:r>
      <w:r w:rsidRPr="00106292">
        <w:fldChar w:fldCharType="begin"/>
      </w:r>
      <w:r w:rsidRPr="00106292">
        <w:instrText xml:space="preserve"> REF _Ref325707942 \h  \* MERGEFORMAT </w:instrText>
      </w:r>
      <w:r w:rsidRPr="00106292">
        <w:fldChar w:fldCharType="separate"/>
      </w:r>
      <w:r w:rsidR="00966532" w:rsidRPr="00966532">
        <w:t xml:space="preserve">Figure </w:t>
      </w:r>
      <w:r w:rsidR="00966532" w:rsidRPr="00966532">
        <w:rPr>
          <w:noProof/>
        </w:rPr>
        <w:t>6</w:t>
      </w:r>
      <w:r w:rsidR="00966532" w:rsidRPr="00966532">
        <w:rPr>
          <w:noProof/>
        </w:rPr>
        <w:noBreakHyphen/>
        <w:t>9</w:t>
      </w:r>
      <w:r w:rsidRPr="00106292">
        <w:fldChar w:fldCharType="end"/>
      </w:r>
      <w:r w:rsidRPr="00106292">
        <w:t xml:space="preserve">, </w:t>
      </w:r>
      <w:r w:rsidRPr="00106292">
        <w:fldChar w:fldCharType="begin"/>
      </w:r>
      <w:r w:rsidRPr="00106292">
        <w:instrText xml:space="preserve"> REF _Ref325707977 \h  \* MERGEFORMAT </w:instrText>
      </w:r>
      <w:r w:rsidRPr="00106292">
        <w:fldChar w:fldCharType="separate"/>
      </w:r>
      <w:r w:rsidR="00966532" w:rsidRPr="00966532">
        <w:t xml:space="preserve">Figure </w:t>
      </w:r>
      <w:r w:rsidR="00966532" w:rsidRPr="00966532">
        <w:rPr>
          <w:noProof/>
        </w:rPr>
        <w:t>6</w:t>
      </w:r>
      <w:r w:rsidR="00966532" w:rsidRPr="00966532">
        <w:rPr>
          <w:noProof/>
        </w:rPr>
        <w:noBreakHyphen/>
        <w:t>10</w:t>
      </w:r>
      <w:r w:rsidRPr="00106292">
        <w:fldChar w:fldCharType="end"/>
      </w:r>
      <w:r w:rsidRPr="00106292">
        <w:t>). These ‘evolved’ groundwater samples are located away from the present day rivers or at depth within semi-confined (</w:t>
      </w:r>
      <w:r w:rsidR="00C217F0">
        <w:t>Calivil Formation</w:t>
      </w:r>
      <w:r w:rsidRPr="00106292">
        <w:t>) to confined (</w:t>
      </w:r>
      <w:r w:rsidR="00C217F0">
        <w:t>Renmark Group</w:t>
      </w:r>
      <w:r w:rsidRPr="00106292">
        <w:t xml:space="preserve"> and Palaeozoic) aquifers. </w:t>
      </w:r>
      <w:smartTag w:uri="urn:schemas-microsoft-com:office:smarttags" w:element="PersonName">
        <w:r w:rsidRPr="00106292">
          <w:t>Groundwater</w:t>
        </w:r>
      </w:smartTag>
      <w:r w:rsidRPr="00106292">
        <w:t xml:space="preserve"> samples plotting intermediate between the surface water and saline evolved end-members, notably in the </w:t>
      </w:r>
      <w:r w:rsidR="00C217F0">
        <w:t>Calivil Formation</w:t>
      </w:r>
      <w:r w:rsidRPr="00106292">
        <w:t xml:space="preserve"> aquifer, are a product of mixing (</w:t>
      </w:r>
      <w:r w:rsidRPr="00106292">
        <w:rPr>
          <w:szCs w:val="22"/>
        </w:rPr>
        <w:t>Lawrie</w:t>
      </w:r>
      <w:r w:rsidR="008A5F7D" w:rsidRPr="00CF7613">
        <w:rPr>
          <w:rStyle w:val="StyleItalic"/>
        </w:rPr>
        <w:t xml:space="preserve"> et al</w:t>
      </w:r>
      <w:r w:rsidRPr="00106292">
        <w:rPr>
          <w:szCs w:val="22"/>
        </w:rPr>
        <w:t>., 2012a, b)</w:t>
      </w:r>
      <w:r w:rsidRPr="00106292">
        <w:t>.</w:t>
      </w:r>
    </w:p>
    <w:p w:rsidR="009038E6" w:rsidRPr="00106292" w:rsidRDefault="009038E6" w:rsidP="009038E6">
      <w:pPr>
        <w:numPr>
          <w:ilvl w:val="0"/>
          <w:numId w:val="31"/>
        </w:numPr>
        <w:tabs>
          <w:tab w:val="clear" w:pos="720"/>
          <w:tab w:val="num" w:pos="540"/>
        </w:tabs>
        <w:spacing w:before="120"/>
        <w:ind w:left="540" w:hanging="540"/>
      </w:pPr>
      <w:r w:rsidRPr="00106292">
        <w:t>The pore fluids in the shallow unconfined aquifers plot across the leakage and evolved groups, reflecting the spatial variability of recharge associated with river leakage and also the potential for evapotranspirative processes to drive near-surface salinisation (</w:t>
      </w:r>
      <w:r w:rsidRPr="00106292">
        <w:fldChar w:fldCharType="begin"/>
      </w:r>
      <w:r w:rsidRPr="00106292">
        <w:instrText xml:space="preserve"> REF _Ref325707942 \h  \* MERGEFORMAT </w:instrText>
      </w:r>
      <w:r w:rsidRPr="00106292">
        <w:fldChar w:fldCharType="separate"/>
      </w:r>
      <w:r w:rsidR="00966532" w:rsidRPr="00966532">
        <w:t xml:space="preserve">Figure </w:t>
      </w:r>
      <w:r w:rsidR="00966532" w:rsidRPr="00966532">
        <w:rPr>
          <w:noProof/>
        </w:rPr>
        <w:t>6</w:t>
      </w:r>
      <w:r w:rsidR="00966532" w:rsidRPr="00966532">
        <w:rPr>
          <w:noProof/>
        </w:rPr>
        <w:noBreakHyphen/>
        <w:t>9</w:t>
      </w:r>
      <w:r w:rsidRPr="00106292">
        <w:fldChar w:fldCharType="end"/>
      </w:r>
      <w:r w:rsidRPr="00106292">
        <w:t xml:space="preserve">). For the semi-confined </w:t>
      </w:r>
      <w:r w:rsidR="00C217F0">
        <w:t>Calivil Formation</w:t>
      </w:r>
      <w:r w:rsidRPr="00106292">
        <w:t xml:space="preserve"> aquifer, the groundwaters are also spread across the two groups. The Na-(Ca-Mg)-HCO</w:t>
      </w:r>
      <w:r w:rsidRPr="00106292">
        <w:rPr>
          <w:vertAlign w:val="subscript"/>
        </w:rPr>
        <w:t>3</w:t>
      </w:r>
      <w:r w:rsidRPr="00106292">
        <w:t xml:space="preserve">-Cl </w:t>
      </w:r>
      <w:r w:rsidR="00DF0CAB" w:rsidRPr="00106292">
        <w:t>water type</w:t>
      </w:r>
      <w:r w:rsidRPr="00106292">
        <w:t xml:space="preserve"> can be found within a few kilometres of the river. Away from the river, the regional groundwater is more saline and sodic with an evolved Na-Cl-SO</w:t>
      </w:r>
      <w:r w:rsidRPr="00106292">
        <w:rPr>
          <w:vertAlign w:val="subscript"/>
        </w:rPr>
        <w:t>4</w:t>
      </w:r>
      <w:r w:rsidRPr="00106292">
        <w:t xml:space="preserve"> water</w:t>
      </w:r>
      <w:r w:rsidR="001B677D" w:rsidRPr="00106292">
        <w:t xml:space="preserve"> </w:t>
      </w:r>
      <w:r w:rsidRPr="00106292">
        <w:t xml:space="preserve">type. The hydrochemical evolution of the groundwater in the </w:t>
      </w:r>
      <w:r w:rsidR="00C217F0">
        <w:t>Calivil Formation</w:t>
      </w:r>
      <w:r w:rsidRPr="00106292">
        <w:t xml:space="preserve"> aquifer appears to occur in two main stages, and is further discussed in Lawrie</w:t>
      </w:r>
      <w:r w:rsidR="008A5F7D" w:rsidRPr="00CF7613">
        <w:rPr>
          <w:rStyle w:val="StyleItalic"/>
        </w:rPr>
        <w:t xml:space="preserve"> et al</w:t>
      </w:r>
      <w:r w:rsidR="001B677D" w:rsidRPr="00106292">
        <w:t>.</w:t>
      </w:r>
      <w:r w:rsidRPr="00106292">
        <w:t xml:space="preserve"> (2012b).</w:t>
      </w:r>
    </w:p>
    <w:p w:rsidR="009038E6" w:rsidRPr="00106292" w:rsidRDefault="009038E6" w:rsidP="009038E6">
      <w:pPr>
        <w:numPr>
          <w:ilvl w:val="0"/>
          <w:numId w:val="31"/>
        </w:numPr>
        <w:tabs>
          <w:tab w:val="clear" w:pos="720"/>
          <w:tab w:val="num" w:pos="540"/>
        </w:tabs>
        <w:spacing w:before="120"/>
        <w:ind w:left="540" w:hanging="540"/>
      </w:pPr>
      <w:r w:rsidRPr="00106292">
        <w:t>The Blanchetown Clay aquitard varies significantly in moisture content and pore fluid composition, with a mixed ‘leakage’ signature also evident in some Blanchetown Clay pore fluids (</w:t>
      </w:r>
      <w:r w:rsidRPr="00106292">
        <w:fldChar w:fldCharType="begin"/>
      </w:r>
      <w:r w:rsidRPr="00106292">
        <w:instrText xml:space="preserve"> REF _Ref325707977 \h  \* MERGEFORMAT </w:instrText>
      </w:r>
      <w:r w:rsidRPr="00106292">
        <w:fldChar w:fldCharType="separate"/>
      </w:r>
      <w:r w:rsidR="00966532" w:rsidRPr="00966532">
        <w:t>Figure 6</w:t>
      </w:r>
      <w:r w:rsidR="00966532" w:rsidRPr="00966532">
        <w:noBreakHyphen/>
        <w:t>10</w:t>
      </w:r>
      <w:r w:rsidRPr="00106292">
        <w:fldChar w:fldCharType="end"/>
      </w:r>
      <w:r w:rsidRPr="00106292">
        <w:t xml:space="preserve">). Samples showing this ‘leakage’ signature are within a </w:t>
      </w:r>
      <w:r w:rsidR="003D6739">
        <w:t>few</w:t>
      </w:r>
      <w:r w:rsidRPr="00106292">
        <w:t xml:space="preserve"> kilometres of the major rivers</w:t>
      </w:r>
      <w:r w:rsidR="007E62BC">
        <w:t>, in locations where the</w:t>
      </w:r>
      <w:r w:rsidR="00465915">
        <w:t xml:space="preserve"> </w:t>
      </w:r>
      <w:r w:rsidRPr="00106292">
        <w:t xml:space="preserve">Blanchetown Clay </w:t>
      </w:r>
      <w:r w:rsidR="003D6739">
        <w:t>as</w:t>
      </w:r>
      <w:r w:rsidRPr="00106292">
        <w:t xml:space="preserve"> an aquitard </w:t>
      </w:r>
      <w:r w:rsidR="003D6739">
        <w:t>may not be as</w:t>
      </w:r>
      <w:r w:rsidRPr="00106292">
        <w:t xml:space="preserve"> effective </w:t>
      </w:r>
      <w:r w:rsidR="003D6739">
        <w:t>or where</w:t>
      </w:r>
      <w:r w:rsidR="0085025E">
        <w:t xml:space="preserve"> processes such as diffusion dominate </w:t>
      </w:r>
      <w:r w:rsidRPr="00106292">
        <w:t>(</w:t>
      </w:r>
      <w:r w:rsidRPr="00106292">
        <w:rPr>
          <w:szCs w:val="22"/>
        </w:rPr>
        <w:t>Lawrie</w:t>
      </w:r>
      <w:r w:rsidR="008A5F7D" w:rsidRPr="00CF7613">
        <w:rPr>
          <w:rStyle w:val="StyleItalic"/>
        </w:rPr>
        <w:t xml:space="preserve"> et al</w:t>
      </w:r>
      <w:r w:rsidR="00106292" w:rsidRPr="00106292">
        <w:rPr>
          <w:szCs w:val="22"/>
        </w:rPr>
        <w:t>., 2012</w:t>
      </w:r>
      <w:r w:rsidRPr="00106292">
        <w:rPr>
          <w:szCs w:val="22"/>
        </w:rPr>
        <w:t>b)</w:t>
      </w:r>
      <w:r w:rsidRPr="00106292">
        <w:t>.</w:t>
      </w:r>
    </w:p>
    <w:p w:rsidR="009038E6" w:rsidRDefault="009038E6" w:rsidP="009038E6">
      <w:pPr>
        <w:tabs>
          <w:tab w:val="num" w:pos="540"/>
        </w:tabs>
        <w:spacing w:before="120"/>
      </w:pPr>
    </w:p>
    <w:p w:rsidR="009038E6" w:rsidRPr="002B4B69" w:rsidRDefault="00706A3B" w:rsidP="00656729">
      <w:pPr>
        <w:spacing w:before="120" w:after="60"/>
        <w:jc w:val="center"/>
      </w:pPr>
      <w:r>
        <w:rPr>
          <w:noProof/>
        </w:rPr>
        <w:lastRenderedPageBreak/>
        <mc:AlternateContent>
          <mc:Choice Requires="wps">
            <w:drawing>
              <wp:anchor distT="0" distB="0" distL="114300" distR="114300" simplePos="0" relativeHeight="251650048" behindDoc="0" locked="0" layoutInCell="1" allowOverlap="1" wp14:anchorId="23E3C692" wp14:editId="7445A534">
                <wp:simplePos x="0" y="0"/>
                <wp:positionH relativeFrom="column">
                  <wp:posOffset>4162425</wp:posOffset>
                </wp:positionH>
                <wp:positionV relativeFrom="paragraph">
                  <wp:posOffset>1906270</wp:posOffset>
                </wp:positionV>
                <wp:extent cx="948690" cy="304800"/>
                <wp:effectExtent l="0" t="0" r="0" b="2540"/>
                <wp:wrapNone/>
                <wp:docPr id="1590" name="Text Box 1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7446" w:rsidRPr="00BC5EFF" w:rsidRDefault="001B7446" w:rsidP="009038E6">
                            <w:pPr>
                              <w:rPr>
                                <w:b/>
                              </w:rPr>
                            </w:pPr>
                            <w:r w:rsidRPr="00376E9B">
                              <w:rPr>
                                <w:rFonts w:ascii="Arial" w:hAnsi="Arial" w:cs="Arial"/>
                                <w:b/>
                              </w:rPr>
                              <w:t>Evolved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 o:spid="_x0000_s1029" type="#_x0000_t202" style="position:absolute;left:0;text-align:left;margin-left:327.75pt;margin-top:150.1pt;width:74.7pt;height:2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zwlvQIAAMU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" filled="f" stroked="f">
                <v:textbox>
                  <w:txbxContent>
                    <w:p w:rsidR="001B7446" w:rsidRPr="00BC5EFF" w:rsidRDefault="001B7446" w:rsidP="009038E6">
                      <w:pPr>
                        <w:rPr>
                          <w:b/>
                        </w:rPr>
                      </w:pPr>
                      <w:r w:rsidRPr="00376E9B">
                        <w:rPr>
                          <w:rFonts w:ascii="Arial" w:hAnsi="Arial" w:cs="Arial"/>
                          <w:b/>
                        </w:rPr>
                        <w:t>Evolved</w:t>
                      </w:r>
                    </w:p>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2EDFB7C0" wp14:editId="5798FDF7">
                <wp:simplePos x="0" y="0"/>
                <wp:positionH relativeFrom="column">
                  <wp:posOffset>765810</wp:posOffset>
                </wp:positionH>
                <wp:positionV relativeFrom="paragraph">
                  <wp:posOffset>1439545</wp:posOffset>
                </wp:positionV>
                <wp:extent cx="948690" cy="304800"/>
                <wp:effectExtent l="0" t="0" r="3810" b="2540"/>
                <wp:wrapNone/>
                <wp:docPr id="1589" name="Text Box 1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7446" w:rsidRPr="00BC5EFF" w:rsidRDefault="001B7446" w:rsidP="009038E6">
                            <w:pPr>
                              <w:rPr>
                                <w:b/>
                              </w:rPr>
                            </w:pPr>
                            <w:r w:rsidRPr="00376E9B">
                              <w:rPr>
                                <w:rFonts w:ascii="Arial" w:hAnsi="Arial" w:cs="Arial"/>
                                <w:b/>
                              </w:rPr>
                              <w:t>Leakage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2" o:spid="_x0000_s1030" type="#_x0000_t202" style="position:absolute;left:0;text-align:left;margin-left:60.3pt;margin-top:113.35pt;width:74.7pt;height:2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HvgIAAMU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" filled="f" stroked="f">
                <v:textbox>
                  <w:txbxContent>
                    <w:p w:rsidR="001B7446" w:rsidRPr="00BC5EFF" w:rsidRDefault="001B7446" w:rsidP="009038E6">
                      <w:pPr>
                        <w:rPr>
                          <w:b/>
                        </w:rPr>
                      </w:pPr>
                      <w:r w:rsidRPr="00376E9B">
                        <w:rPr>
                          <w:rFonts w:ascii="Arial" w:hAnsi="Arial" w:cs="Arial"/>
                          <w:b/>
                        </w:rPr>
                        <w:t>Leakage</w:t>
                      </w:r>
                    </w:p>
                  </w:txbxContent>
                </v:textbox>
              </v:shape>
            </w:pict>
          </mc:Fallback>
        </mc:AlternateContent>
      </w:r>
      <w:r>
        <w:rPr>
          <w:noProof/>
        </w:rPr>
        <mc:AlternateContent>
          <mc:Choice Requires="wps">
            <w:drawing>
              <wp:anchor distT="0" distB="0" distL="114300" distR="114300" simplePos="0" relativeHeight="251652096" behindDoc="0" locked="0" layoutInCell="1" allowOverlap="1" wp14:anchorId="2353D5EF" wp14:editId="6242E633">
                <wp:simplePos x="0" y="0"/>
                <wp:positionH relativeFrom="column">
                  <wp:posOffset>3429000</wp:posOffset>
                </wp:positionH>
                <wp:positionV relativeFrom="paragraph">
                  <wp:posOffset>1782445</wp:posOffset>
                </wp:positionV>
                <wp:extent cx="800100" cy="228600"/>
                <wp:effectExtent l="34290" t="54610" r="13335" b="12065"/>
                <wp:wrapNone/>
                <wp:docPr id="1588" name="Line 1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0100" cy="2286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95" o:spid="_x0000_s1026" style="position:absolute;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40.35pt" to="333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" strokecolor="red">
                <v:stroke endarrow="block"/>
              </v:line>
            </w:pict>
          </mc:Fallback>
        </mc:AlternateContent>
      </w:r>
      <w:r>
        <w:rPr>
          <w:noProof/>
        </w:rPr>
        <mc:AlternateContent>
          <mc:Choice Requires="wps">
            <w:drawing>
              <wp:anchor distT="0" distB="0" distL="114300" distR="114300" simplePos="0" relativeHeight="251646976" behindDoc="0" locked="0" layoutInCell="1" allowOverlap="1" wp14:anchorId="3B860B18" wp14:editId="20646605">
                <wp:simplePos x="0" y="0"/>
                <wp:positionH relativeFrom="column">
                  <wp:posOffset>2933700</wp:posOffset>
                </wp:positionH>
                <wp:positionV relativeFrom="paragraph">
                  <wp:posOffset>1249045</wp:posOffset>
                </wp:positionV>
                <wp:extent cx="495300" cy="1333500"/>
                <wp:effectExtent l="15240" t="6985" r="13335" b="12065"/>
                <wp:wrapNone/>
                <wp:docPr id="1587" name="Freeform 1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1333500"/>
                        </a:xfrm>
                        <a:custGeom>
                          <a:avLst/>
                          <a:gdLst>
                            <a:gd name="T0" fmla="*/ 337 w 780"/>
                            <a:gd name="T1" fmla="*/ 0 h 2100"/>
                            <a:gd name="T2" fmla="*/ 292 w 780"/>
                            <a:gd name="T3" fmla="*/ 0 h 2100"/>
                            <a:gd name="T4" fmla="*/ 232 w 780"/>
                            <a:gd name="T5" fmla="*/ 82 h 2100"/>
                            <a:gd name="T6" fmla="*/ 217 w 780"/>
                            <a:gd name="T7" fmla="*/ 232 h 2100"/>
                            <a:gd name="T8" fmla="*/ 240 w 780"/>
                            <a:gd name="T9" fmla="*/ 427 h 2100"/>
                            <a:gd name="T10" fmla="*/ 337 w 780"/>
                            <a:gd name="T11" fmla="*/ 757 h 2100"/>
                            <a:gd name="T12" fmla="*/ 367 w 780"/>
                            <a:gd name="T13" fmla="*/ 975 h 2100"/>
                            <a:gd name="T14" fmla="*/ 270 w 780"/>
                            <a:gd name="T15" fmla="*/ 1162 h 2100"/>
                            <a:gd name="T16" fmla="*/ 127 w 780"/>
                            <a:gd name="T17" fmla="*/ 1492 h 2100"/>
                            <a:gd name="T18" fmla="*/ 52 w 780"/>
                            <a:gd name="T19" fmla="*/ 1702 h 2100"/>
                            <a:gd name="T20" fmla="*/ 0 w 780"/>
                            <a:gd name="T21" fmla="*/ 1950 h 2100"/>
                            <a:gd name="T22" fmla="*/ 45 w 780"/>
                            <a:gd name="T23" fmla="*/ 2077 h 2100"/>
                            <a:gd name="T24" fmla="*/ 165 w 780"/>
                            <a:gd name="T25" fmla="*/ 2100 h 2100"/>
                            <a:gd name="T26" fmla="*/ 292 w 780"/>
                            <a:gd name="T27" fmla="*/ 1920 h 2100"/>
                            <a:gd name="T28" fmla="*/ 412 w 780"/>
                            <a:gd name="T29" fmla="*/ 1702 h 2100"/>
                            <a:gd name="T30" fmla="*/ 540 w 780"/>
                            <a:gd name="T31" fmla="*/ 1462 h 2100"/>
                            <a:gd name="T32" fmla="*/ 690 w 780"/>
                            <a:gd name="T33" fmla="*/ 1147 h 2100"/>
                            <a:gd name="T34" fmla="*/ 780 w 780"/>
                            <a:gd name="T35" fmla="*/ 915 h 2100"/>
                            <a:gd name="T36" fmla="*/ 727 w 780"/>
                            <a:gd name="T37" fmla="*/ 787 h 2100"/>
                            <a:gd name="T38" fmla="*/ 592 w 780"/>
                            <a:gd name="T39" fmla="*/ 427 h 2100"/>
                            <a:gd name="T40" fmla="*/ 450 w 780"/>
                            <a:gd name="T41" fmla="*/ 180 h 2100"/>
                            <a:gd name="T42" fmla="*/ 337 w 780"/>
                            <a:gd name="T43" fmla="*/ 0 h 2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80" h="2100">
                              <a:moveTo>
                                <a:pt x="337" y="0"/>
                              </a:moveTo>
                              <a:lnTo>
                                <a:pt x="292" y="0"/>
                              </a:lnTo>
                              <a:lnTo>
                                <a:pt x="232" y="82"/>
                              </a:lnTo>
                              <a:lnTo>
                                <a:pt x="217" y="232"/>
                              </a:lnTo>
                              <a:lnTo>
                                <a:pt x="240" y="427"/>
                              </a:lnTo>
                              <a:lnTo>
                                <a:pt x="337" y="757"/>
                              </a:lnTo>
                              <a:lnTo>
                                <a:pt x="367" y="975"/>
                              </a:lnTo>
                              <a:lnTo>
                                <a:pt x="270" y="1162"/>
                              </a:lnTo>
                              <a:lnTo>
                                <a:pt x="127" y="1492"/>
                              </a:lnTo>
                              <a:lnTo>
                                <a:pt x="52" y="1702"/>
                              </a:lnTo>
                              <a:lnTo>
                                <a:pt x="0" y="1950"/>
                              </a:lnTo>
                              <a:lnTo>
                                <a:pt x="45" y="2077"/>
                              </a:lnTo>
                              <a:lnTo>
                                <a:pt x="165" y="2100"/>
                              </a:lnTo>
                              <a:lnTo>
                                <a:pt x="292" y="1920"/>
                              </a:lnTo>
                              <a:lnTo>
                                <a:pt x="412" y="1702"/>
                              </a:lnTo>
                              <a:lnTo>
                                <a:pt x="540" y="1462"/>
                              </a:lnTo>
                              <a:lnTo>
                                <a:pt x="690" y="1147"/>
                              </a:lnTo>
                              <a:lnTo>
                                <a:pt x="780" y="915"/>
                              </a:lnTo>
                              <a:lnTo>
                                <a:pt x="727" y="787"/>
                              </a:lnTo>
                              <a:lnTo>
                                <a:pt x="592" y="427"/>
                              </a:lnTo>
                              <a:lnTo>
                                <a:pt x="450" y="180"/>
                              </a:lnTo>
                              <a:lnTo>
                                <a:pt x="337" y="0"/>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90" o:spid="_x0000_s1026" style="position:absolute;margin-left:231pt;margin-top:98.35pt;width:39pt;height:1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0,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" path="m337,l292,,232,82,217,232r23,195l337,757r30,218l270,1162,127,1492,52,1702,,1950r45,127l165,2100,292,1920,412,1702,540,1462,690,1147,780,915,727,787,592,427,450,180,337,xe" filled="f" strokecolor="red">
                <v:path arrowok="t" o:connecttype="custom" o:connectlocs="213995,0;185420,0;147320,52070;137795,147320;152400,271145;213995,480695;233045,619125;171450,737870;80645,947420;33020,1080770;0,1238250;28575,1318895;104775,1333500;185420,1219200;261620,1080770;342900,928370;438150,728345;495300,581025;461645,499745;375920,271145;285750,114300;213995,0" o:connectangles="0,0,0,0,0,0,0,0,0,0,0,0,0,0,0,0,0,0,0,0,0,0"/>
              </v:shape>
            </w:pict>
          </mc:Fallback>
        </mc:AlternateContent>
      </w:r>
      <w:r>
        <w:rPr>
          <w:noProof/>
        </w:rPr>
        <mc:AlternateContent>
          <mc:Choice Requires="wps">
            <w:drawing>
              <wp:anchor distT="0" distB="0" distL="114300" distR="114300" simplePos="0" relativeHeight="251648000" behindDoc="0" locked="0" layoutInCell="1" allowOverlap="1" wp14:anchorId="46AAA08A" wp14:editId="1ADD95FE">
                <wp:simplePos x="0" y="0"/>
                <wp:positionH relativeFrom="column">
                  <wp:posOffset>2242185</wp:posOffset>
                </wp:positionH>
                <wp:positionV relativeFrom="paragraph">
                  <wp:posOffset>1439545</wp:posOffset>
                </wp:positionV>
                <wp:extent cx="771525" cy="1257300"/>
                <wp:effectExtent l="9525" t="16510" r="19050" b="12065"/>
                <wp:wrapNone/>
                <wp:docPr id="1586" name="Freeform 1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525" cy="1257300"/>
                        </a:xfrm>
                        <a:custGeom>
                          <a:avLst/>
                          <a:gdLst>
                            <a:gd name="T0" fmla="*/ 488 w 1215"/>
                            <a:gd name="T1" fmla="*/ 53 h 1980"/>
                            <a:gd name="T2" fmla="*/ 285 w 1215"/>
                            <a:gd name="T3" fmla="*/ 225 h 1980"/>
                            <a:gd name="T4" fmla="*/ 75 w 1215"/>
                            <a:gd name="T5" fmla="*/ 465 h 1980"/>
                            <a:gd name="T6" fmla="*/ 0 w 1215"/>
                            <a:gd name="T7" fmla="*/ 713 h 1980"/>
                            <a:gd name="T8" fmla="*/ 0 w 1215"/>
                            <a:gd name="T9" fmla="*/ 975 h 1980"/>
                            <a:gd name="T10" fmla="*/ 218 w 1215"/>
                            <a:gd name="T11" fmla="*/ 1433 h 1980"/>
                            <a:gd name="T12" fmla="*/ 247 w 1215"/>
                            <a:gd name="T13" fmla="*/ 1477 h 1980"/>
                            <a:gd name="T14" fmla="*/ 368 w 1215"/>
                            <a:gd name="T15" fmla="*/ 1695 h 1980"/>
                            <a:gd name="T16" fmla="*/ 473 w 1215"/>
                            <a:gd name="T17" fmla="*/ 1860 h 1980"/>
                            <a:gd name="T18" fmla="*/ 600 w 1215"/>
                            <a:gd name="T19" fmla="*/ 1980 h 1980"/>
                            <a:gd name="T20" fmla="*/ 713 w 1215"/>
                            <a:gd name="T21" fmla="*/ 1973 h 1980"/>
                            <a:gd name="T22" fmla="*/ 863 w 1215"/>
                            <a:gd name="T23" fmla="*/ 1658 h 1980"/>
                            <a:gd name="T24" fmla="*/ 990 w 1215"/>
                            <a:gd name="T25" fmla="*/ 1388 h 1980"/>
                            <a:gd name="T26" fmla="*/ 1170 w 1215"/>
                            <a:gd name="T27" fmla="*/ 908 h 1980"/>
                            <a:gd name="T28" fmla="*/ 1215 w 1215"/>
                            <a:gd name="T29" fmla="*/ 638 h 1980"/>
                            <a:gd name="T30" fmla="*/ 1155 w 1215"/>
                            <a:gd name="T31" fmla="*/ 315 h 1980"/>
                            <a:gd name="T32" fmla="*/ 1005 w 1215"/>
                            <a:gd name="T33" fmla="*/ 113 h 1980"/>
                            <a:gd name="T34" fmla="*/ 818 w 1215"/>
                            <a:gd name="T35" fmla="*/ 38 h 1980"/>
                            <a:gd name="T36" fmla="*/ 705 w 1215"/>
                            <a:gd name="T37" fmla="*/ 0 h 1980"/>
                            <a:gd name="T38" fmla="*/ 600 w 1215"/>
                            <a:gd name="T39" fmla="*/ 15 h 1980"/>
                            <a:gd name="T40" fmla="*/ 488 w 1215"/>
                            <a:gd name="T41" fmla="*/ 53 h 19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15" h="1980">
                              <a:moveTo>
                                <a:pt x="488" y="53"/>
                              </a:moveTo>
                              <a:lnTo>
                                <a:pt x="285" y="225"/>
                              </a:lnTo>
                              <a:lnTo>
                                <a:pt x="75" y="465"/>
                              </a:lnTo>
                              <a:lnTo>
                                <a:pt x="0" y="713"/>
                              </a:lnTo>
                              <a:lnTo>
                                <a:pt x="0" y="975"/>
                              </a:lnTo>
                              <a:lnTo>
                                <a:pt x="218" y="1433"/>
                              </a:lnTo>
                              <a:lnTo>
                                <a:pt x="247" y="1477"/>
                              </a:lnTo>
                              <a:lnTo>
                                <a:pt x="368" y="1695"/>
                              </a:lnTo>
                              <a:lnTo>
                                <a:pt x="473" y="1860"/>
                              </a:lnTo>
                              <a:lnTo>
                                <a:pt x="600" y="1980"/>
                              </a:lnTo>
                              <a:lnTo>
                                <a:pt x="713" y="1973"/>
                              </a:lnTo>
                              <a:lnTo>
                                <a:pt x="863" y="1658"/>
                              </a:lnTo>
                              <a:lnTo>
                                <a:pt x="990" y="1388"/>
                              </a:lnTo>
                              <a:lnTo>
                                <a:pt x="1170" y="908"/>
                              </a:lnTo>
                              <a:lnTo>
                                <a:pt x="1215" y="638"/>
                              </a:lnTo>
                              <a:lnTo>
                                <a:pt x="1155" y="315"/>
                              </a:lnTo>
                              <a:lnTo>
                                <a:pt x="1005" y="113"/>
                              </a:lnTo>
                              <a:lnTo>
                                <a:pt x="818" y="38"/>
                              </a:lnTo>
                              <a:lnTo>
                                <a:pt x="705" y="0"/>
                              </a:lnTo>
                              <a:lnTo>
                                <a:pt x="600" y="15"/>
                              </a:lnTo>
                              <a:lnTo>
                                <a:pt x="488" y="53"/>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91" o:spid="_x0000_s1026" style="position:absolute;margin-left:176.55pt;margin-top:113.35pt;width:60.75pt;height:9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15,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" path="m488,53l285,225,75,465,,713,,975r218,458l247,1477r121,218l473,1860r127,120l713,1973,863,1658,990,1388,1170,908r45,-270l1155,315,1005,113,818,38,705,,600,15,488,53xe" filled="f" strokecolor="red">
                <v:path arrowok="t" o:connecttype="custom" o:connectlocs="309880,33655;180975,142875;47625,295275;0,452755;0,619125;138430,909955;156845,937895;233680,1076325;300355,1181100;381000,1257300;452755,1252855;548005,1052830;628650,881380;742950,576580;771525,405130;733425,200025;638175,71755;519430,24130;447675,0;381000,9525;309880,33655" o:connectangles="0,0,0,0,0,0,0,0,0,0,0,0,0,0,0,0,0,0,0,0,0"/>
              </v:shape>
            </w:pict>
          </mc:Fallback>
        </mc:AlternateContent>
      </w:r>
      <w:r>
        <w:rPr>
          <w:noProof/>
        </w:rPr>
        <mc:AlternateContent>
          <mc:Choice Requires="wps">
            <w:drawing>
              <wp:anchor distT="0" distB="0" distL="114300" distR="114300" simplePos="0" relativeHeight="251651072" behindDoc="0" locked="0" layoutInCell="1" allowOverlap="1" wp14:anchorId="41CFEC2B" wp14:editId="60A3FE9E">
                <wp:simplePos x="0" y="0"/>
                <wp:positionH relativeFrom="column">
                  <wp:posOffset>1451610</wp:posOffset>
                </wp:positionH>
                <wp:positionV relativeFrom="paragraph">
                  <wp:posOffset>1551940</wp:posOffset>
                </wp:positionV>
                <wp:extent cx="1038225" cy="76200"/>
                <wp:effectExtent l="9525" t="5080" r="19050" b="61595"/>
                <wp:wrapNone/>
                <wp:docPr id="1585" name="Line 1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762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94"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3pt,122.2pt" to="196.05pt,1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" strokecolor="red">
                <v:stroke endarrow="block"/>
              </v:line>
            </w:pict>
          </mc:Fallback>
        </mc:AlternateContent>
      </w:r>
      <w:r>
        <w:rPr>
          <w:noProof/>
        </w:rPr>
        <w:drawing>
          <wp:inline distT="0" distB="0" distL="0" distR="0" wp14:anchorId="0E6BDACE" wp14:editId="5AB5B76C">
            <wp:extent cx="5039995" cy="3774440"/>
            <wp:effectExtent l="19050" t="19050" r="8255" b="0"/>
            <wp:docPr id="62" name="Picture 62" descr="WS_Pi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S_Piper"/>
                    <pic:cNvPicPr>
                      <a:picLocks noChangeAspect="1" noChangeArrowheads="1"/>
                    </pic:cNvPicPr>
                  </pic:nvPicPr>
                  <pic:blipFill>
                    <a:blip r:embed="rId99" cstate="print">
                      <a:extLst>
                        <a:ext uri="{28A0092B-C50C-407E-A947-70E740481C1C}">
                          <a14:useLocalDpi xmlns:a14="http://schemas.microsoft.com/office/drawing/2010/main" val="0"/>
                        </a:ext>
                      </a:extLst>
                    </a:blip>
                    <a:srcRect l="9691" t="14061" r="4846" b="15102"/>
                    <a:stretch>
                      <a:fillRect/>
                    </a:stretch>
                  </pic:blipFill>
                  <pic:spPr bwMode="auto">
                    <a:xfrm>
                      <a:off x="0" y="0"/>
                      <a:ext cx="5039995" cy="3774440"/>
                    </a:xfrm>
                    <a:prstGeom prst="rect">
                      <a:avLst/>
                    </a:prstGeom>
                    <a:noFill/>
                    <a:ln w="12700" cmpd="sng">
                      <a:solidFill>
                        <a:srgbClr val="000000"/>
                      </a:solidFill>
                      <a:miter lim="800000"/>
                      <a:headEnd/>
                      <a:tailEnd/>
                    </a:ln>
                    <a:effectLst/>
                  </pic:spPr>
                </pic:pic>
              </a:graphicData>
            </a:graphic>
          </wp:inline>
        </w:drawing>
      </w:r>
    </w:p>
    <w:p w:rsidR="009038E6" w:rsidRDefault="009038E6" w:rsidP="009038E6">
      <w:pPr>
        <w:pStyle w:val="Caption"/>
        <w:rPr>
          <w:bCs w:val="0"/>
          <w:i w:val="0"/>
        </w:rPr>
      </w:pPr>
      <w:bookmarkStart w:id="430" w:name="_Ref32570794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9</w:t>
      </w:r>
      <w:r w:rsidR="00A23C59">
        <w:rPr>
          <w:b/>
        </w:rPr>
        <w:fldChar w:fldCharType="end"/>
      </w:r>
      <w:bookmarkEnd w:id="430"/>
      <w:r>
        <w:rPr>
          <w:b/>
        </w:rPr>
        <w:t>.</w:t>
      </w:r>
      <w:r>
        <w:rPr>
          <w:b/>
          <w:szCs w:val="22"/>
        </w:rPr>
        <w:t xml:space="preserve"> </w:t>
      </w:r>
      <w:r w:rsidRPr="00893E3B">
        <w:t>Piper diagram</w:t>
      </w:r>
      <w:r>
        <w:t xml:space="preserve"> of major ion analyses of </w:t>
      </w:r>
      <w:r w:rsidRPr="00893E3B">
        <w:t>rainfall, surface water and groundwater samples</w:t>
      </w:r>
      <w:r w:rsidRPr="0082147C">
        <w:t xml:space="preserve">. </w:t>
      </w:r>
      <w:r w:rsidRPr="001B06B3">
        <w:rPr>
          <w:bCs w:val="0"/>
          <w:i w:val="0"/>
        </w:rPr>
        <w:fldChar w:fldCharType="begin"/>
      </w:r>
      <w:r w:rsidRPr="001B06B3">
        <w:rPr>
          <w:bCs w:val="0"/>
          <w:i w:val="0"/>
        </w:rPr>
        <w:instrText xml:space="preserve"> TC "</w:instrText>
      </w:r>
      <w:bookmarkStart w:id="431" w:name="_Toc325975226"/>
      <w:bookmarkStart w:id="432" w:name="_Toc390690242"/>
      <w:r w:rsidR="00DE0DFA">
        <w:rPr>
          <w:bCs w:val="0"/>
          <w:i w:val="0"/>
        </w:rPr>
        <w:instrText xml:space="preserve">Figure </w:instrText>
      </w:r>
      <w:r w:rsidR="000D653B">
        <w:rPr>
          <w:bCs w:val="0"/>
          <w:i w:val="0"/>
        </w:rPr>
        <w:instrText>6-9</w:instrText>
      </w:r>
      <w:r w:rsidR="00DE0DFA">
        <w:rPr>
          <w:bCs w:val="0"/>
          <w:i w:val="0"/>
        </w:rPr>
        <w:instrText>.</w:instrText>
      </w:r>
      <w:r w:rsidRPr="001B06B3">
        <w:rPr>
          <w:bCs w:val="0"/>
          <w:i w:val="0"/>
        </w:rPr>
        <w:instrText xml:space="preserve"> </w:instrText>
      </w:r>
      <w:r w:rsidRPr="001B06B3">
        <w:rPr>
          <w:i w:val="0"/>
        </w:rPr>
        <w:instrText>Piper diagram of major ion analyses of rainfall, surface water and groundwater samples</w:instrText>
      </w:r>
      <w:bookmarkEnd w:id="431"/>
      <w:r w:rsidR="005E4B77">
        <w:rPr>
          <w:bCs w:val="0"/>
          <w:i w:val="0"/>
        </w:rPr>
        <w:instrText>.</w:instrText>
      </w:r>
      <w:bookmarkEnd w:id="432"/>
      <w:r w:rsidRPr="001B06B3">
        <w:rPr>
          <w:bCs w:val="0"/>
          <w:i w:val="0"/>
        </w:rPr>
        <w:instrText xml:space="preserve">" \f A \l “4” </w:instrText>
      </w:r>
      <w:r w:rsidRPr="001B06B3">
        <w:rPr>
          <w:bCs w:val="0"/>
          <w:i w:val="0"/>
        </w:rPr>
        <w:fldChar w:fldCharType="end"/>
      </w:r>
    </w:p>
    <w:p w:rsidR="009038E6" w:rsidRPr="002B69F0" w:rsidRDefault="009038E6" w:rsidP="009038E6">
      <w:pPr>
        <w:tabs>
          <w:tab w:val="num" w:pos="709"/>
        </w:tabs>
        <w:rPr>
          <w:rFonts w:cs="Arial"/>
          <w:szCs w:val="18"/>
        </w:rPr>
      </w:pPr>
    </w:p>
    <w:p w:rsidR="009038E6" w:rsidRDefault="00706A3B" w:rsidP="00656729">
      <w:pPr>
        <w:spacing w:after="60"/>
        <w:jc w:val="center"/>
      </w:pPr>
      <w:r>
        <w:rPr>
          <w:b/>
          <w:i/>
          <w:noProof/>
          <w:sz w:val="20"/>
          <w:szCs w:val="20"/>
        </w:rPr>
        <w:drawing>
          <wp:inline distT="0" distB="0" distL="0" distR="0" wp14:anchorId="084A98FB" wp14:editId="30DB9A7E">
            <wp:extent cx="4933315" cy="3721100"/>
            <wp:effectExtent l="19050" t="19050" r="635" b="0"/>
            <wp:docPr id="63" name="Picture 63" descr="PF_Pi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F_Piper"/>
                    <pic:cNvPicPr>
                      <a:picLocks noChangeAspect="1" noChangeArrowheads="1"/>
                    </pic:cNvPicPr>
                  </pic:nvPicPr>
                  <pic:blipFill>
                    <a:blip r:embed="rId100" cstate="print">
                      <a:extLst>
                        <a:ext uri="{28A0092B-C50C-407E-A947-70E740481C1C}">
                          <a14:useLocalDpi xmlns:a14="http://schemas.microsoft.com/office/drawing/2010/main" val="0"/>
                        </a:ext>
                      </a:extLst>
                    </a:blip>
                    <a:srcRect l="10484" t="15187" b="14090"/>
                    <a:stretch>
                      <a:fillRect/>
                    </a:stretch>
                  </pic:blipFill>
                  <pic:spPr bwMode="auto">
                    <a:xfrm>
                      <a:off x="0" y="0"/>
                      <a:ext cx="4933315" cy="3721100"/>
                    </a:xfrm>
                    <a:prstGeom prst="rect">
                      <a:avLst/>
                    </a:prstGeom>
                    <a:noFill/>
                    <a:ln w="12700" cmpd="sng">
                      <a:solidFill>
                        <a:srgbClr val="000000"/>
                      </a:solidFill>
                      <a:miter lim="800000"/>
                      <a:headEnd/>
                      <a:tailEnd/>
                    </a:ln>
                    <a:effectLst/>
                  </pic:spPr>
                </pic:pic>
              </a:graphicData>
            </a:graphic>
          </wp:inline>
        </w:drawing>
      </w:r>
    </w:p>
    <w:p w:rsidR="009038E6" w:rsidRPr="00FC40CE" w:rsidRDefault="009038E6" w:rsidP="009038E6">
      <w:pPr>
        <w:pStyle w:val="Caption"/>
        <w:rPr>
          <w:szCs w:val="20"/>
        </w:rPr>
      </w:pPr>
      <w:bookmarkStart w:id="433" w:name="_Ref325707977"/>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10</w:t>
      </w:r>
      <w:r w:rsidR="00A23C59">
        <w:rPr>
          <w:b/>
        </w:rPr>
        <w:fldChar w:fldCharType="end"/>
      </w:r>
      <w:bookmarkEnd w:id="433"/>
      <w:r>
        <w:rPr>
          <w:b/>
        </w:rPr>
        <w:t xml:space="preserve">. </w:t>
      </w:r>
      <w:r w:rsidRPr="001741E7">
        <w:t>P</w:t>
      </w:r>
      <w:r w:rsidRPr="00FC40CE">
        <w:rPr>
          <w:szCs w:val="20"/>
        </w:rPr>
        <w:t>iper diagram of major ion analyses of pore fluid samples.</w:t>
      </w:r>
      <w:r w:rsidRPr="00BE08AB">
        <w:rPr>
          <w:bCs w:val="0"/>
          <w:i w:val="0"/>
        </w:rPr>
        <w:t xml:space="preserve"> </w:t>
      </w:r>
      <w:r w:rsidRPr="001B06B3">
        <w:rPr>
          <w:bCs w:val="0"/>
          <w:i w:val="0"/>
        </w:rPr>
        <w:fldChar w:fldCharType="begin"/>
      </w:r>
      <w:r w:rsidRPr="001B06B3">
        <w:rPr>
          <w:bCs w:val="0"/>
          <w:i w:val="0"/>
        </w:rPr>
        <w:instrText xml:space="preserve"> TC "</w:instrText>
      </w:r>
      <w:bookmarkStart w:id="434" w:name="_Toc325975227"/>
      <w:bookmarkStart w:id="435" w:name="_Toc390690243"/>
      <w:r w:rsidR="00DE0DFA">
        <w:rPr>
          <w:bCs w:val="0"/>
          <w:i w:val="0"/>
        </w:rPr>
        <w:instrText xml:space="preserve">Figure </w:instrText>
      </w:r>
      <w:r w:rsidR="000D653B">
        <w:rPr>
          <w:bCs w:val="0"/>
          <w:i w:val="0"/>
        </w:rPr>
        <w:instrText>6-1</w:instrText>
      </w:r>
      <w:r w:rsidR="00DE0DFA">
        <w:rPr>
          <w:bCs w:val="0"/>
          <w:i w:val="0"/>
        </w:rPr>
        <w:instrText>0.</w:instrText>
      </w:r>
      <w:r w:rsidRPr="001B06B3">
        <w:rPr>
          <w:bCs w:val="0"/>
          <w:i w:val="0"/>
        </w:rPr>
        <w:instrText xml:space="preserve"> </w:instrText>
      </w:r>
      <w:r w:rsidRPr="001B06B3">
        <w:rPr>
          <w:i w:val="0"/>
          <w:szCs w:val="20"/>
        </w:rPr>
        <w:instrText>Piper diagram of major ion analyses of pore fluid samples</w:instrText>
      </w:r>
      <w:bookmarkEnd w:id="434"/>
      <w:r w:rsidR="005E4B77">
        <w:rPr>
          <w:bCs w:val="0"/>
          <w:i w:val="0"/>
        </w:rPr>
        <w:instrText>.</w:instrText>
      </w:r>
      <w:bookmarkEnd w:id="435"/>
      <w:r w:rsidRPr="001B06B3">
        <w:rPr>
          <w:bCs w:val="0"/>
          <w:i w:val="0"/>
        </w:rPr>
        <w:instrText xml:space="preserve">" \f A \l “4” </w:instrText>
      </w:r>
      <w:r w:rsidRPr="001B06B3">
        <w:rPr>
          <w:bCs w:val="0"/>
          <w:i w:val="0"/>
        </w:rPr>
        <w:fldChar w:fldCharType="end"/>
      </w:r>
    </w:p>
    <w:p w:rsidR="009038E6" w:rsidRDefault="009038E6" w:rsidP="009038E6">
      <w:r w:rsidRPr="00FC40CE">
        <w:t xml:space="preserve">The </w:t>
      </w:r>
      <w:smartTag w:uri="urn:schemas-microsoft-com:office:smarttags" w:element="place">
        <w:r w:rsidR="00376E9B">
          <w:t>Darling R</w:t>
        </w:r>
        <w:r w:rsidRPr="00FC40CE">
          <w:t>iver</w:t>
        </w:r>
      </w:smartTag>
      <w:r w:rsidRPr="00FC40CE">
        <w:t xml:space="preserve"> water samples can be categorised in terms of measured </w:t>
      </w:r>
      <w:r w:rsidRPr="00795774">
        <w:t>flow (</w:t>
      </w:r>
      <w:r w:rsidRPr="00795774">
        <w:fldChar w:fldCharType="begin"/>
      </w:r>
      <w:r w:rsidRPr="00795774">
        <w:instrText xml:space="preserve"> REF _Ref325708015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11</w:t>
      </w:r>
      <w:r w:rsidRPr="00795774">
        <w:fldChar w:fldCharType="end"/>
      </w:r>
      <w:r w:rsidRPr="00795774">
        <w:t>). Potassium</w:t>
      </w:r>
      <w:r>
        <w:t xml:space="preserve"> and sodium progressively increase as the flow decreases, due to evaporative concentration. There is a coincidence between the high flow river samples (&gt;10,000 ML/d) that have a low potassium signature with that of the shallow groundwater samples. This would suggest that recharge by river leakage is not a continual process occurring during all flow conditions, but is dominant </w:t>
      </w:r>
      <w:r w:rsidRPr="00106292">
        <w:t>during high flow conditions (</w:t>
      </w:r>
      <w:r w:rsidRPr="00106292">
        <w:rPr>
          <w:szCs w:val="22"/>
        </w:rPr>
        <w:t>Lawrie</w:t>
      </w:r>
      <w:r w:rsidR="008A5F7D" w:rsidRPr="00CF7613">
        <w:rPr>
          <w:rStyle w:val="StyleItalic"/>
        </w:rPr>
        <w:t xml:space="preserve"> et al</w:t>
      </w:r>
      <w:r w:rsidR="00106292" w:rsidRPr="00106292">
        <w:rPr>
          <w:szCs w:val="22"/>
        </w:rPr>
        <w:t xml:space="preserve">., </w:t>
      </w:r>
      <w:r w:rsidR="00106292" w:rsidRPr="00106292">
        <w:rPr>
          <w:szCs w:val="22"/>
        </w:rPr>
        <w:lastRenderedPageBreak/>
        <w:t>2012</w:t>
      </w:r>
      <w:r w:rsidRPr="00106292">
        <w:rPr>
          <w:szCs w:val="22"/>
        </w:rPr>
        <w:t>b)</w:t>
      </w:r>
      <w:r w:rsidRPr="00106292">
        <w:t>. Many of the lake samples (</w:t>
      </w:r>
      <w:r w:rsidRPr="00106292">
        <w:fldChar w:fldCharType="begin"/>
      </w:r>
      <w:r w:rsidRPr="00106292">
        <w:instrText xml:space="preserve"> REF _Ref325708015 \h  \* MERGEFORMAT </w:instrText>
      </w:r>
      <w:r w:rsidRPr="00106292">
        <w:fldChar w:fldCharType="separate"/>
      </w:r>
      <w:r w:rsidR="00966532" w:rsidRPr="00966532">
        <w:t xml:space="preserve">Figure </w:t>
      </w:r>
      <w:r w:rsidR="00966532" w:rsidRPr="00966532">
        <w:rPr>
          <w:noProof/>
        </w:rPr>
        <w:t>6</w:t>
      </w:r>
      <w:r w:rsidR="00966532" w:rsidRPr="00966532">
        <w:rPr>
          <w:noProof/>
        </w:rPr>
        <w:noBreakHyphen/>
        <w:t>11</w:t>
      </w:r>
      <w:r w:rsidRPr="00106292">
        <w:fldChar w:fldCharType="end"/>
      </w:r>
      <w:r w:rsidRPr="00106292">
        <w:t>) are also coincident with the higher flow river samples, as the lake storages are replenished during these flood events. Other lake samples follow a similar evaporative trend to that of the lower flow river samples (</w:t>
      </w:r>
      <w:r w:rsidRPr="00106292">
        <w:rPr>
          <w:szCs w:val="22"/>
        </w:rPr>
        <w:t>Lawrie</w:t>
      </w:r>
      <w:r w:rsidR="008A5F7D" w:rsidRPr="00CF7613">
        <w:rPr>
          <w:rStyle w:val="StyleItalic"/>
        </w:rPr>
        <w:t xml:space="preserve"> et al</w:t>
      </w:r>
      <w:r w:rsidRPr="00106292">
        <w:rPr>
          <w:szCs w:val="22"/>
        </w:rPr>
        <w:t>., 2012b)</w:t>
      </w:r>
      <w:r w:rsidRPr="00106292">
        <w:t>.</w:t>
      </w:r>
    </w:p>
    <w:p w:rsidR="000F7173" w:rsidRDefault="000F7173" w:rsidP="009038E6"/>
    <w:p w:rsidR="009038E6" w:rsidRDefault="009038E6" w:rsidP="009038E6"/>
    <w:p w:rsidR="009038E6" w:rsidRDefault="00706A3B" w:rsidP="00656729">
      <w:pPr>
        <w:spacing w:after="60"/>
        <w:jc w:val="center"/>
      </w:pPr>
      <w:r>
        <w:rPr>
          <w:noProof/>
        </w:rPr>
        <w:drawing>
          <wp:inline distT="0" distB="0" distL="0" distR="0" wp14:anchorId="73C2AE49" wp14:editId="0EA5108C">
            <wp:extent cx="5050155" cy="3242945"/>
            <wp:effectExtent l="19050" t="1905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50155" cy="3242945"/>
                    </a:xfrm>
                    <a:prstGeom prst="rect">
                      <a:avLst/>
                    </a:prstGeom>
                    <a:noFill/>
                    <a:ln w="12700" cmpd="sng">
                      <a:solidFill>
                        <a:srgbClr val="000000"/>
                      </a:solidFill>
                      <a:miter lim="800000"/>
                      <a:headEnd/>
                      <a:tailEnd/>
                    </a:ln>
                    <a:effectLst/>
                  </pic:spPr>
                </pic:pic>
              </a:graphicData>
            </a:graphic>
          </wp:inline>
        </w:drawing>
      </w:r>
    </w:p>
    <w:p w:rsidR="009038E6" w:rsidRPr="001B06B3" w:rsidRDefault="009038E6" w:rsidP="009038E6">
      <w:pPr>
        <w:pStyle w:val="Caption"/>
        <w:rPr>
          <w:bCs w:val="0"/>
          <w:i w:val="0"/>
        </w:rPr>
      </w:pPr>
      <w:bookmarkStart w:id="436" w:name="_Ref325708015"/>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11</w:t>
      </w:r>
      <w:r w:rsidR="00A23C59">
        <w:rPr>
          <w:b/>
        </w:rPr>
        <w:fldChar w:fldCharType="end"/>
      </w:r>
      <w:bookmarkEnd w:id="436"/>
      <w:r>
        <w:rPr>
          <w:b/>
        </w:rPr>
        <w:t xml:space="preserve">. </w:t>
      </w:r>
      <w:r w:rsidRPr="001741E7">
        <w:t>S</w:t>
      </w:r>
      <w:r w:rsidRPr="001741E7">
        <w:rPr>
          <w:szCs w:val="20"/>
        </w:rPr>
        <w:t>c</w:t>
      </w:r>
      <w:r w:rsidRPr="00FC40CE">
        <w:rPr>
          <w:szCs w:val="20"/>
        </w:rPr>
        <w:t>atter plots of sodium and potassium for BHMAR water samples</w:t>
      </w:r>
      <w:r>
        <w:rPr>
          <w:szCs w:val="20"/>
        </w:rPr>
        <w:t>.</w:t>
      </w:r>
      <w:r w:rsidRPr="00BE08AB">
        <w:rPr>
          <w:bCs w:val="0"/>
          <w:i w:val="0"/>
        </w:rPr>
        <w:t xml:space="preserve"> </w:t>
      </w:r>
      <w:r w:rsidRPr="001B06B3">
        <w:rPr>
          <w:bCs w:val="0"/>
          <w:i w:val="0"/>
        </w:rPr>
        <w:fldChar w:fldCharType="begin"/>
      </w:r>
      <w:r w:rsidRPr="001B06B3">
        <w:rPr>
          <w:bCs w:val="0"/>
          <w:i w:val="0"/>
        </w:rPr>
        <w:instrText xml:space="preserve"> TC "</w:instrText>
      </w:r>
      <w:bookmarkStart w:id="437" w:name="_Toc390690244"/>
      <w:r w:rsidR="00DE0DFA">
        <w:rPr>
          <w:bCs w:val="0"/>
          <w:i w:val="0"/>
        </w:rPr>
        <w:instrText xml:space="preserve">Figure </w:instrText>
      </w:r>
      <w:r w:rsidR="000D653B">
        <w:rPr>
          <w:bCs w:val="0"/>
          <w:i w:val="0"/>
        </w:rPr>
        <w:instrText>6-1</w:instrText>
      </w:r>
      <w:r w:rsidR="00DE0DFA">
        <w:rPr>
          <w:bCs w:val="0"/>
          <w:i w:val="0"/>
        </w:rPr>
        <w:instrText>1.</w:instrText>
      </w:r>
      <w:r w:rsidRPr="001B06B3">
        <w:rPr>
          <w:bCs w:val="0"/>
          <w:i w:val="0"/>
        </w:rPr>
        <w:instrText xml:space="preserve"> </w:instrText>
      </w:r>
      <w:r w:rsidRPr="001B06B3">
        <w:rPr>
          <w:i w:val="0"/>
        </w:rPr>
        <w:instrText>S</w:instrText>
      </w:r>
      <w:r w:rsidRPr="001B06B3">
        <w:rPr>
          <w:i w:val="0"/>
          <w:szCs w:val="20"/>
        </w:rPr>
        <w:instrText>catter plots of sodium and potassium for BHMAR water samples</w:instrText>
      </w:r>
      <w:r w:rsidR="005E4B77">
        <w:rPr>
          <w:i w:val="0"/>
          <w:szCs w:val="20"/>
        </w:rPr>
        <w:instrText>.</w:instrText>
      </w:r>
      <w:bookmarkEnd w:id="437"/>
      <w:r w:rsidRPr="001B06B3">
        <w:rPr>
          <w:bCs w:val="0"/>
          <w:i w:val="0"/>
        </w:rPr>
        <w:instrText xml:space="preserve">" \f A \l “4” </w:instrText>
      </w:r>
      <w:r w:rsidRPr="001B06B3">
        <w:rPr>
          <w:bCs w:val="0"/>
          <w:i w:val="0"/>
        </w:rPr>
        <w:fldChar w:fldCharType="end"/>
      </w:r>
    </w:p>
    <w:p w:rsidR="008242D7" w:rsidRDefault="008242D7" w:rsidP="008242D7">
      <w:pPr>
        <w:pStyle w:val="Heading3"/>
      </w:pPr>
      <w:bookmarkStart w:id="438" w:name="_Toc390690132"/>
      <w:r>
        <w:t xml:space="preserve">Fuzzy k-means </w:t>
      </w:r>
      <w:r w:rsidR="00DA40F0">
        <w:t>A</w:t>
      </w:r>
      <w:r>
        <w:t>nalysis</w:t>
      </w:r>
      <w:bookmarkEnd w:id="438"/>
    </w:p>
    <w:p w:rsidR="009038E6" w:rsidRDefault="009038E6" w:rsidP="009038E6">
      <w:r w:rsidRPr="00106292">
        <w:t xml:space="preserve">A fuzzy k-means approach </w:t>
      </w:r>
      <w:r w:rsidR="00106292" w:rsidRPr="00106292">
        <w:t>(Lawrie</w:t>
      </w:r>
      <w:r w:rsidR="008A5F7D" w:rsidRPr="00CF7613">
        <w:rPr>
          <w:rStyle w:val="StyleItalic"/>
        </w:rPr>
        <w:t xml:space="preserve"> et al</w:t>
      </w:r>
      <w:r w:rsidR="00106292" w:rsidRPr="00106292">
        <w:t xml:space="preserve">., 2012a) </w:t>
      </w:r>
      <w:r w:rsidRPr="00106292">
        <w:t xml:space="preserve">was used in a cluster analysis of the hydrochemistry dataset </w:t>
      </w:r>
      <w:r w:rsidR="00376E9B">
        <w:t>to investigate potential linkages between the</w:t>
      </w:r>
      <w:r w:rsidRPr="00106292">
        <w:t xml:space="preserve"> rainfall, river, lake, groundwater and pore fluid samples (Lawrie</w:t>
      </w:r>
      <w:r w:rsidR="008A5F7D" w:rsidRPr="00CF7613">
        <w:rPr>
          <w:rStyle w:val="StyleItalic"/>
        </w:rPr>
        <w:t xml:space="preserve"> et al</w:t>
      </w:r>
      <w:r w:rsidRPr="00106292">
        <w:t>.</w:t>
      </w:r>
      <w:r w:rsidR="00F81E70">
        <w:t>,</w:t>
      </w:r>
      <w:r w:rsidRPr="00106292">
        <w:t xml:space="preserve"> 2012</w:t>
      </w:r>
      <w:r w:rsidR="00106292" w:rsidRPr="00106292">
        <w:t xml:space="preserve">a, </w:t>
      </w:r>
      <w:r w:rsidRPr="00106292">
        <w:t>b). This resulted in the samples being assigned across eight classes (8a,</w:t>
      </w:r>
      <w:r w:rsidR="001B677D" w:rsidRPr="00106292">
        <w:t xml:space="preserve"> </w:t>
      </w:r>
      <w:r w:rsidRPr="00106292">
        <w:t>8b,</w:t>
      </w:r>
      <w:r w:rsidR="001B677D" w:rsidRPr="00106292">
        <w:t xml:space="preserve"> </w:t>
      </w:r>
      <w:r w:rsidRPr="00106292">
        <w:t>8c,</w:t>
      </w:r>
      <w:r w:rsidR="001B677D" w:rsidRPr="00106292">
        <w:t xml:space="preserve"> </w:t>
      </w:r>
      <w:r w:rsidRPr="00106292">
        <w:t>8d,</w:t>
      </w:r>
      <w:r w:rsidR="001B677D" w:rsidRPr="00106292">
        <w:t xml:space="preserve"> </w:t>
      </w:r>
      <w:r w:rsidRPr="00106292">
        <w:t>8e,</w:t>
      </w:r>
      <w:r w:rsidR="001B677D" w:rsidRPr="00106292">
        <w:t xml:space="preserve"> </w:t>
      </w:r>
      <w:r w:rsidRPr="00106292">
        <w:t>8f,</w:t>
      </w:r>
      <w:r w:rsidR="001B677D" w:rsidRPr="00106292">
        <w:t xml:space="preserve"> </w:t>
      </w:r>
      <w:r w:rsidRPr="00106292">
        <w:t>8g,</w:t>
      </w:r>
      <w:r w:rsidR="001B677D" w:rsidRPr="00106292">
        <w:t xml:space="preserve"> </w:t>
      </w:r>
      <w:r w:rsidRPr="00106292">
        <w:t xml:space="preserve">8h), with an index (0-1) calculated on how well each sample belongs to each of these classes. </w:t>
      </w:r>
      <w:r w:rsidR="00376E9B">
        <w:t>This grouped some</w:t>
      </w:r>
      <w:r w:rsidRPr="00106292">
        <w:t xml:space="preserve"> groundwater and pore fluid samples with surface water samples</w:t>
      </w:r>
      <w:r w:rsidR="00376E9B">
        <w:t xml:space="preserve">, so </w:t>
      </w:r>
      <w:r w:rsidRPr="00106292">
        <w:t>this was particularly useful in mapping the extent of river leakage and groundwater mixing</w:t>
      </w:r>
      <w:r>
        <w:t>.</w:t>
      </w:r>
      <w:r w:rsidRPr="00AB3F4B">
        <w:t xml:space="preserve">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rsidRPr="00091B1C">
        <w:t xml:space="preserve"> </w:t>
      </w:r>
      <w:r>
        <w:t>plots the downhole profile of pore fluid fuzzy classes for selected BHMAR sonic cored holes on the basis of measured fluid electrical conductivity (EC), with downhole gamma and induction logging and the stratigraphic interpretation to provide context. In these plots, the slurry samples are differentiated from the pore fluid samples as they have a lower analytical reliability. The following observations can be made:</w:t>
      </w:r>
    </w:p>
    <w:p w:rsidR="009038E6" w:rsidRDefault="009038E6" w:rsidP="009038E6">
      <w:pPr>
        <w:numPr>
          <w:ilvl w:val="0"/>
          <w:numId w:val="54"/>
        </w:numPr>
        <w:tabs>
          <w:tab w:val="clear" w:pos="720"/>
          <w:tab w:val="num" w:pos="0"/>
        </w:tabs>
        <w:spacing w:before="120"/>
        <w:ind w:left="540" w:hanging="540"/>
      </w:pPr>
      <w:r>
        <w:t xml:space="preserve">The fuzzy classes most linked with the surface water samples (8e and 8b) are fresh pore fluids, mostly in the </w:t>
      </w:r>
      <w:r w:rsidR="00C217F0">
        <w:t>Calivil Formation</w:t>
      </w:r>
      <w:r w:rsidR="001B677D">
        <w:t xml:space="preserve"> </w:t>
      </w:r>
      <w:r>
        <w:t xml:space="preserve">and the shallow unconfined aquifers of the </w:t>
      </w:r>
      <w:r w:rsidR="00C217F0">
        <w:t>Coonambidgal Formation</w:t>
      </w:r>
      <w:r>
        <w:t xml:space="preserve"> </w:t>
      </w:r>
      <w:r w:rsidR="001B677D">
        <w:t xml:space="preserve">and </w:t>
      </w:r>
      <w:r w:rsidR="00C217F0">
        <w:t>Menindee Formation</w:t>
      </w:r>
      <w:r>
        <w:t xml:space="preserve">. The vertical distribution of these classes represents the extent of recharge in these aquifers. In some cases, such recharge is evident for the entire </w:t>
      </w:r>
      <w:r w:rsidR="00C217F0">
        <w:t>Calivil Formation</w:t>
      </w:r>
      <w:r>
        <w:t xml:space="preserve"> sequence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a), or in the lower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 xml:space="preserve">b) or upper </w:t>
      </w:r>
      <w:r w:rsidR="003F4904">
        <w:t>parts</w:t>
      </w:r>
      <w:r>
        <w:t xml:space="preserve"> </w:t>
      </w:r>
      <w:r w:rsidR="003F4904">
        <w:t xml:space="preserve">of the aquifer </w:t>
      </w:r>
      <w:r>
        <w:t>(</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 xml:space="preserve">c). </w:t>
      </w:r>
    </w:p>
    <w:p w:rsidR="009038E6" w:rsidRDefault="009038E6" w:rsidP="009038E6">
      <w:pPr>
        <w:numPr>
          <w:ilvl w:val="0"/>
          <w:numId w:val="54"/>
        </w:numPr>
        <w:tabs>
          <w:tab w:val="clear" w:pos="720"/>
          <w:tab w:val="num" w:pos="0"/>
        </w:tabs>
        <w:spacing w:before="120"/>
        <w:ind w:left="540" w:hanging="540"/>
      </w:pPr>
      <w:r>
        <w:t>These fresh recharged zones tend to be surrounded, above and/or below by class 8c pore fluids, which are in turn transit</w:t>
      </w:r>
      <w:r w:rsidR="00DE0DFA">
        <w:t xml:space="preserve">ional to class 8d pore fluids. </w:t>
      </w:r>
      <w:r>
        <w:t xml:space="preserve">This is best depicted in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c. This is inferred to represent mixing or diffusion between the actively recharged zones and the more saline and evolved regional groundwaters.</w:t>
      </w:r>
    </w:p>
    <w:p w:rsidR="009038E6" w:rsidRDefault="009038E6" w:rsidP="009038E6">
      <w:pPr>
        <w:numPr>
          <w:ilvl w:val="0"/>
          <w:numId w:val="54"/>
        </w:numPr>
        <w:tabs>
          <w:tab w:val="clear" w:pos="720"/>
          <w:tab w:val="num" w:pos="0"/>
        </w:tabs>
        <w:spacing w:before="120"/>
        <w:ind w:left="540" w:hanging="540"/>
      </w:pPr>
      <w:r>
        <w:t xml:space="preserve">The evolved saline pore fluids are represented by classes 8f and 8g and are located at the base of the </w:t>
      </w:r>
      <w:r w:rsidR="00C217F0">
        <w:t>Calivil Formation</w:t>
      </w:r>
      <w:r w:rsidR="001B677D">
        <w:t xml:space="preserve"> </w:t>
      </w:r>
      <w:r>
        <w:t xml:space="preserve">and in the underlying </w:t>
      </w:r>
      <w:r w:rsidR="00C217F0">
        <w:t>Renmark Group</w:t>
      </w:r>
      <w:r w:rsidR="00376E9B">
        <w:t xml:space="preserve"> </w:t>
      </w:r>
      <w:r>
        <w:t>(</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b-c). In some bores such as BHMAR18-1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 xml:space="preserve">c), the profile in the </w:t>
      </w:r>
      <w:r w:rsidR="00C217F0">
        <w:t>Renmark Group</w:t>
      </w:r>
      <w:r w:rsidR="001B677D">
        <w:t xml:space="preserve"> </w:t>
      </w:r>
      <w:r>
        <w:t>is consistently saline. Other bores, such as BHMAR57-1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 xml:space="preserve">b) have transitional class 8c and 8d pore fluids, suggesting greater hydraulic connection with the overlying </w:t>
      </w:r>
      <w:r w:rsidR="00C217F0">
        <w:t>Calivil Formation</w:t>
      </w:r>
      <w:r w:rsidR="001B677D">
        <w:t xml:space="preserve"> </w:t>
      </w:r>
      <w:r>
        <w:t>aquifer.</w:t>
      </w:r>
    </w:p>
    <w:p w:rsidR="009038E6" w:rsidRDefault="009038E6" w:rsidP="009038E6">
      <w:pPr>
        <w:numPr>
          <w:ilvl w:val="0"/>
          <w:numId w:val="54"/>
        </w:numPr>
        <w:tabs>
          <w:tab w:val="clear" w:pos="720"/>
          <w:tab w:val="num" w:pos="0"/>
        </w:tabs>
        <w:spacing w:before="120"/>
        <w:ind w:left="540" w:hanging="540"/>
      </w:pPr>
      <w:r>
        <w:t xml:space="preserve">As best indicated in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b, the saline evolved pore fluid classes are also found at the near-surface (&lt;10</w:t>
      </w:r>
      <w:r w:rsidR="00030542">
        <w:t xml:space="preserve"> </w:t>
      </w:r>
      <w:r>
        <w:t>m) and these are inferred to represent evapotranspirative salt concentration.</w:t>
      </w:r>
    </w:p>
    <w:p w:rsidR="009038E6" w:rsidRDefault="009038E6" w:rsidP="009038E6">
      <w:pPr>
        <w:numPr>
          <w:ilvl w:val="0"/>
          <w:numId w:val="54"/>
        </w:numPr>
        <w:tabs>
          <w:tab w:val="clear" w:pos="720"/>
          <w:tab w:val="num" w:pos="0"/>
        </w:tabs>
        <w:spacing w:before="120"/>
        <w:ind w:left="540" w:hanging="540"/>
      </w:pPr>
      <w:r>
        <w:lastRenderedPageBreak/>
        <w:t xml:space="preserve">There are variable pore fluid classes within the Blanchetown Clay overlying the </w:t>
      </w:r>
      <w:r w:rsidR="00C217F0">
        <w:t>Calivil Formation</w:t>
      </w:r>
      <w:r w:rsidR="001B677D">
        <w:t xml:space="preserve"> </w:t>
      </w:r>
      <w:r>
        <w:t>target aquifer. The fresh pore fluids (classes 8b and 8e) in some bores, such as BHMAR80A-2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a) and BHMAR18-1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 xml:space="preserve">c), suggest a degree of leakage </w:t>
      </w:r>
      <w:r w:rsidR="00376E9B">
        <w:t xml:space="preserve">or alternatively diffusion </w:t>
      </w:r>
      <w:r>
        <w:t>through the clay sequence. Bores with more saline evolved pore fluids in the Blanchetown Clay, such as BHMAR57-1 (</w:t>
      </w:r>
      <w:r w:rsidRPr="00091B1C">
        <w:fldChar w:fldCharType="begin"/>
      </w:r>
      <w:r w:rsidRPr="00091B1C">
        <w:instrText xml:space="preserve"> REF _Ref327263152 \h  \* MERGEFORMAT </w:instrText>
      </w:r>
      <w:r w:rsidRPr="00091B1C">
        <w:fldChar w:fldCharType="separate"/>
      </w:r>
      <w:r w:rsidR="00966532" w:rsidRPr="00966532">
        <w:t xml:space="preserve">Figure </w:t>
      </w:r>
      <w:r w:rsidR="00966532" w:rsidRPr="00966532">
        <w:rPr>
          <w:noProof/>
        </w:rPr>
        <w:t>6</w:t>
      </w:r>
      <w:r w:rsidR="00966532" w:rsidRPr="00966532">
        <w:rPr>
          <w:noProof/>
        </w:rPr>
        <w:noBreakHyphen/>
        <w:t>12</w:t>
      </w:r>
      <w:r w:rsidRPr="00091B1C">
        <w:fldChar w:fldCharType="end"/>
      </w:r>
      <w:r>
        <w:t xml:space="preserve">b) would suggest limited vertical leakage. </w:t>
      </w:r>
    </w:p>
    <w:p w:rsidR="002D4C74" w:rsidRDefault="002D4C74" w:rsidP="009038E6"/>
    <w:p w:rsidR="009038E6" w:rsidRDefault="009038E6" w:rsidP="009038E6">
      <w:r>
        <w:t xml:space="preserve">An assessment of the relative influences of lateral and vertical recharge processes was undertaken by comparing the assigned fuzzy classes for the pore fluids in the </w:t>
      </w:r>
      <w:r w:rsidR="00C217F0">
        <w:t>Calivil Formation</w:t>
      </w:r>
      <w:r>
        <w:t xml:space="preserve"> aquifer with those of the overlying Blanchetown Clay. For example, </w:t>
      </w:r>
      <w:r w:rsidR="00376E9B">
        <w:t>relatively fresh pore fluids in the</w:t>
      </w:r>
      <w:r>
        <w:t xml:space="preserve"> Blanchetown Clay </w:t>
      </w:r>
      <w:r w:rsidR="00CF3D3A">
        <w:t>may indicate</w:t>
      </w:r>
      <w:r w:rsidR="00465915">
        <w:t xml:space="preserve"> </w:t>
      </w:r>
      <w:r w:rsidR="00EE4C98">
        <w:t>enhan</w:t>
      </w:r>
      <w:r w:rsidR="00CF3D3A">
        <w:t xml:space="preserve">ced </w:t>
      </w:r>
      <w:r w:rsidR="00376E9B">
        <w:t xml:space="preserve">vertical leakage </w:t>
      </w:r>
      <w:r w:rsidR="00CF3D3A">
        <w:t>(or diffusion)</w:t>
      </w:r>
      <w:r>
        <w:t xml:space="preserve">. High lateral leakage applied if the </w:t>
      </w:r>
      <w:r w:rsidR="00C217F0">
        <w:t>Calivil Formation</w:t>
      </w:r>
      <w:r w:rsidR="001B677D">
        <w:t xml:space="preserve"> </w:t>
      </w:r>
      <w:r>
        <w:t xml:space="preserve">pore fluids are relatively fresh, but the overlying Blanchetown Clay pore fluids are saline and evolved. On this basis, the lateral and vertical leakage components were ranked as being high, medium or low. </w:t>
      </w:r>
    </w:p>
    <w:p w:rsidR="003F4904" w:rsidRDefault="003F4904" w:rsidP="009038E6"/>
    <w:p w:rsidR="009038E6" w:rsidRDefault="00706A3B" w:rsidP="009038E6">
      <w:r>
        <w:rPr>
          <w:noProof/>
        </w:rPr>
        <mc:AlternateContent>
          <mc:Choice Requires="wps">
            <w:drawing>
              <wp:anchor distT="0" distB="0" distL="114300" distR="114300" simplePos="0" relativeHeight="251659264" behindDoc="0" locked="0" layoutInCell="1" allowOverlap="1" wp14:anchorId="6D787F3B" wp14:editId="42B5F95D">
                <wp:simplePos x="0" y="0"/>
                <wp:positionH relativeFrom="column">
                  <wp:posOffset>2971800</wp:posOffset>
                </wp:positionH>
                <wp:positionV relativeFrom="paragraph">
                  <wp:posOffset>18415</wp:posOffset>
                </wp:positionV>
                <wp:extent cx="342900" cy="228600"/>
                <wp:effectExtent l="5715" t="12065" r="13335" b="6985"/>
                <wp:wrapNone/>
                <wp:docPr id="1584"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rsidR="001B7446" w:rsidRDefault="001B7446" w:rsidP="003F4904">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0" o:spid="_x0000_s1031" type="#_x0000_t202" style="position:absolute;margin-left:234pt;margin-top:1.45pt;width:27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">
                <v:textbox>
                  <w:txbxContent>
                    <w:p w:rsidR="001B7446" w:rsidRDefault="001B7446" w:rsidP="003F4904">
                      <w:r>
                        <w:t>b</w:t>
                      </w:r>
                    </w:p>
                  </w:txbxContent>
                </v:textbox>
              </v:shape>
            </w:pict>
          </mc:Fallback>
        </mc:AlternateContent>
      </w:r>
      <w:r>
        <w:rPr>
          <w:noProof/>
        </w:rPr>
        <w:drawing>
          <wp:anchor distT="0" distB="0" distL="114300" distR="114300" simplePos="0" relativeHeight="251653120" behindDoc="1" locked="0" layoutInCell="1" allowOverlap="0" wp14:anchorId="5A2C3315" wp14:editId="6CB0A5B6">
            <wp:simplePos x="0" y="0"/>
            <wp:positionH relativeFrom="column">
              <wp:posOffset>3086100</wp:posOffset>
            </wp:positionH>
            <wp:positionV relativeFrom="paragraph">
              <wp:posOffset>18415</wp:posOffset>
            </wp:positionV>
            <wp:extent cx="2924175" cy="2924175"/>
            <wp:effectExtent l="0" t="0" r="0" b="0"/>
            <wp:wrapNone/>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2417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1" allowOverlap="1" wp14:anchorId="4FD22556" wp14:editId="4BEF3593">
                <wp:simplePos x="0" y="0"/>
                <wp:positionH relativeFrom="column">
                  <wp:posOffset>0</wp:posOffset>
                </wp:positionH>
                <wp:positionV relativeFrom="paragraph">
                  <wp:posOffset>18415</wp:posOffset>
                </wp:positionV>
                <wp:extent cx="342900" cy="228600"/>
                <wp:effectExtent l="5715" t="12065" r="13335" b="6985"/>
                <wp:wrapNone/>
                <wp:docPr id="1583" name="Text 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rsidR="001B7446" w:rsidRDefault="001B7446">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9" o:spid="_x0000_s1032" type="#_x0000_t202" style="position:absolute;margin-left:0;margin-top:1.45pt;width:27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">
                <v:textbox>
                  <w:txbxContent>
                    <w:p w:rsidR="001B7446" w:rsidRDefault="001B7446">
                      <w:r>
                        <w:t>a</w:t>
                      </w:r>
                    </w:p>
                  </w:txbxContent>
                </v:textbox>
              </v:shape>
            </w:pict>
          </mc:Fallback>
        </mc:AlternateContent>
      </w:r>
      <w:r w:rsidR="00465915">
        <w:t xml:space="preserve"> </w:t>
      </w:r>
      <w:r>
        <w:rPr>
          <w:noProof/>
        </w:rPr>
        <w:drawing>
          <wp:inline distT="0" distB="0" distL="0" distR="0" wp14:anchorId="32E7205F" wp14:editId="67D1996D">
            <wp:extent cx="2881630" cy="288163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81630" cy="2881630"/>
                    </a:xfrm>
                    <a:prstGeom prst="rect">
                      <a:avLst/>
                    </a:prstGeom>
                    <a:noFill/>
                    <a:ln>
                      <a:noFill/>
                    </a:ln>
                  </pic:spPr>
                </pic:pic>
              </a:graphicData>
            </a:graphic>
          </wp:inline>
        </w:drawing>
      </w:r>
      <w:r w:rsidR="00465915">
        <w:t xml:space="preserve"> </w:t>
      </w:r>
    </w:p>
    <w:p w:rsidR="009038E6" w:rsidRDefault="00706A3B" w:rsidP="009038E6">
      <w:r>
        <w:rPr>
          <w:noProof/>
        </w:rPr>
        <mc:AlternateContent>
          <mc:Choice Requires="wps">
            <w:drawing>
              <wp:anchor distT="0" distB="0" distL="114300" distR="114300" simplePos="0" relativeHeight="251660288" behindDoc="0" locked="0" layoutInCell="1" allowOverlap="1" wp14:anchorId="6EF7DE49" wp14:editId="361781BE">
                <wp:simplePos x="0" y="0"/>
                <wp:positionH relativeFrom="column">
                  <wp:posOffset>0</wp:posOffset>
                </wp:positionH>
                <wp:positionV relativeFrom="paragraph">
                  <wp:posOffset>104140</wp:posOffset>
                </wp:positionV>
                <wp:extent cx="342900" cy="228600"/>
                <wp:effectExtent l="5715" t="12065" r="13335" b="6985"/>
                <wp:wrapNone/>
                <wp:docPr id="1582" name="Text 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rsidR="001B7446" w:rsidRDefault="001B7446" w:rsidP="003F4904">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1" o:spid="_x0000_s1033" type="#_x0000_t202" style="position:absolute;margin-left:0;margin-top:8.2pt;width:27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">
                <v:textbox>
                  <w:txbxContent>
                    <w:p w:rsidR="001B7446" w:rsidRDefault="001B7446" w:rsidP="003F4904">
                      <w:r>
                        <w:t>c</w:t>
                      </w:r>
                    </w:p>
                  </w:txbxContent>
                </v:textbox>
              </v:shape>
            </w:pict>
          </mc:Fallback>
        </mc:AlternateContent>
      </w:r>
    </w:p>
    <w:p w:rsidR="009038E6" w:rsidRDefault="00706A3B" w:rsidP="009038E6">
      <w:r>
        <w:rPr>
          <w:b/>
          <w:i/>
          <w:noProof/>
          <w:sz w:val="20"/>
          <w:szCs w:val="20"/>
        </w:rPr>
        <w:drawing>
          <wp:anchor distT="0" distB="0" distL="114300" distR="114300" simplePos="0" relativeHeight="251654144" behindDoc="0" locked="0" layoutInCell="1" allowOverlap="0" wp14:anchorId="3ED92D2A" wp14:editId="2CA6879D">
            <wp:simplePos x="0" y="0"/>
            <wp:positionH relativeFrom="column">
              <wp:posOffset>3429000</wp:posOffset>
            </wp:positionH>
            <wp:positionV relativeFrom="paragraph">
              <wp:posOffset>387350</wp:posOffset>
            </wp:positionV>
            <wp:extent cx="1647825" cy="2266950"/>
            <wp:effectExtent l="0" t="0" r="0" b="0"/>
            <wp:wrapSquare wrapText="bothSides"/>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4782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BAD6655" wp14:editId="163B8B9F">
            <wp:extent cx="2881630" cy="288163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81630" cy="2881630"/>
                    </a:xfrm>
                    <a:prstGeom prst="rect">
                      <a:avLst/>
                    </a:prstGeom>
                    <a:noFill/>
                    <a:ln>
                      <a:noFill/>
                    </a:ln>
                  </pic:spPr>
                </pic:pic>
              </a:graphicData>
            </a:graphic>
          </wp:inline>
        </w:drawing>
      </w:r>
    </w:p>
    <w:p w:rsidR="009038E6" w:rsidRPr="00091B1C" w:rsidRDefault="009038E6" w:rsidP="009038E6">
      <w:pPr>
        <w:pStyle w:val="Caption"/>
        <w:rPr>
          <w:b/>
        </w:rPr>
      </w:pPr>
      <w:bookmarkStart w:id="439" w:name="_Ref327263152"/>
      <w:r w:rsidRPr="00091B1C">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12</w:t>
      </w:r>
      <w:r w:rsidR="00A23C59">
        <w:rPr>
          <w:b/>
        </w:rPr>
        <w:fldChar w:fldCharType="end"/>
      </w:r>
      <w:bookmarkEnd w:id="439"/>
      <w:r>
        <w:t xml:space="preserve">. Downhole plots of fuzzy k-means classification of pore fluids for selected BHMAR boreholes. In these plots Qam = </w:t>
      </w:r>
      <w:r w:rsidR="00C217F0">
        <w:t>Menindee Formation</w:t>
      </w:r>
      <w:r>
        <w:t xml:space="preserve">, Qaw = </w:t>
      </w:r>
      <w:r w:rsidR="00B32F4D">
        <w:t>Willotia bed</w:t>
      </w:r>
      <w:r w:rsidR="00CB7EA6">
        <w:t>s</w:t>
      </w:r>
      <w:r>
        <w:t xml:space="preserve">, Qpc = Blanchetown Clay, Tpc = </w:t>
      </w:r>
      <w:r w:rsidR="00C217F0">
        <w:t>Calivil Formation</w:t>
      </w:r>
      <w:r>
        <w:t xml:space="preserve">, Ter3 = </w:t>
      </w:r>
      <w:r w:rsidR="003F4904">
        <w:t xml:space="preserve">interbedded </w:t>
      </w:r>
      <w:r>
        <w:t xml:space="preserve">upper </w:t>
      </w:r>
      <w:r w:rsidR="00C217F0">
        <w:t>Renmark Group</w:t>
      </w:r>
      <w:r>
        <w:t xml:space="preserve">, Ter2 = </w:t>
      </w:r>
      <w:r w:rsidR="003F4904">
        <w:t xml:space="preserve">upper </w:t>
      </w:r>
      <w:r w:rsidR="00C217F0">
        <w:t>Renmark Group</w:t>
      </w:r>
      <w:r w:rsidR="005E4B77">
        <w:t xml:space="preserve">. </w:t>
      </w:r>
      <w:r w:rsidRPr="005706E3">
        <w:rPr>
          <w:bCs w:val="0"/>
          <w:i w:val="0"/>
        </w:rPr>
        <w:fldChar w:fldCharType="begin"/>
      </w:r>
      <w:r w:rsidRPr="005706E3">
        <w:rPr>
          <w:bCs w:val="0"/>
          <w:i w:val="0"/>
        </w:rPr>
        <w:instrText xml:space="preserve"> </w:instrText>
      </w:r>
      <w:r w:rsidRPr="007960BF">
        <w:rPr>
          <w:bCs w:val="0"/>
          <w:i w:val="0"/>
        </w:rPr>
        <w:instrText>TC "</w:instrText>
      </w:r>
      <w:bookmarkStart w:id="440" w:name="_Toc325975228"/>
      <w:bookmarkStart w:id="441" w:name="_Toc390690245"/>
      <w:r w:rsidR="000D653B">
        <w:rPr>
          <w:bCs w:val="0"/>
          <w:i w:val="0"/>
        </w:rPr>
        <w:instrText>Figure 6-1</w:instrText>
      </w:r>
      <w:r w:rsidR="00DE0DFA">
        <w:rPr>
          <w:bCs w:val="0"/>
          <w:i w:val="0"/>
        </w:rPr>
        <w:instrText>2.</w:instrText>
      </w:r>
      <w:r w:rsidRPr="007960BF">
        <w:rPr>
          <w:bCs w:val="0"/>
          <w:i w:val="0"/>
        </w:rPr>
        <w:instrText xml:space="preserve"> </w:instrText>
      </w:r>
      <w:r w:rsidRPr="007960BF">
        <w:rPr>
          <w:i w:val="0"/>
        </w:rPr>
        <w:instrText>Downhole plots of fuzzy k-means classification of pore fluids for selected BHMAR boreholes.</w:instrText>
      </w:r>
      <w:bookmarkEnd w:id="440"/>
      <w:bookmarkEnd w:id="441"/>
      <w:r w:rsidRPr="007960BF">
        <w:rPr>
          <w:bCs w:val="0"/>
          <w:i w:val="0"/>
        </w:rPr>
        <w:instrText>" \f A \l “4”</w:instrText>
      </w:r>
      <w:r w:rsidRPr="005706E3">
        <w:rPr>
          <w:bCs w:val="0"/>
          <w:i w:val="0"/>
        </w:rPr>
        <w:instrText xml:space="preserve"> </w:instrText>
      </w:r>
      <w:r w:rsidRPr="005706E3">
        <w:rPr>
          <w:bCs w:val="0"/>
          <w:i w:val="0"/>
        </w:rPr>
        <w:fldChar w:fldCharType="end"/>
      </w:r>
    </w:p>
    <w:p w:rsidR="008242D7" w:rsidRDefault="008242D7" w:rsidP="008242D7"/>
    <w:p w:rsidR="008242D7" w:rsidRDefault="00DA40F0" w:rsidP="008242D7">
      <w:pPr>
        <w:pStyle w:val="Heading3"/>
      </w:pPr>
      <w:bookmarkStart w:id="442" w:name="_Toc390690133"/>
      <w:r>
        <w:lastRenderedPageBreak/>
        <w:t>Stable I</w:t>
      </w:r>
      <w:r w:rsidR="008242D7">
        <w:t xml:space="preserve">sotope </w:t>
      </w:r>
      <w:r>
        <w:t>A</w:t>
      </w:r>
      <w:r w:rsidR="008242D7">
        <w:t>nalysis</w:t>
      </w:r>
      <w:bookmarkEnd w:id="442"/>
    </w:p>
    <w:p w:rsidR="009038E6" w:rsidRPr="00795774" w:rsidRDefault="009038E6" w:rsidP="009038E6">
      <w:r>
        <w:t>The analysis of the stable isotopes o</w:t>
      </w:r>
      <w:r w:rsidRPr="00E30679">
        <w:t xml:space="preserve">xygen-18 </w:t>
      </w:r>
      <w:bookmarkStart w:id="443" w:name="OLE_LINK7"/>
      <w:bookmarkStart w:id="444" w:name="OLE_LINK8"/>
      <w:r w:rsidRPr="00E30679">
        <w:t>(</w:t>
      </w:r>
      <w:r>
        <w:t>δ</w:t>
      </w:r>
      <w:r w:rsidRPr="00E30679">
        <w:rPr>
          <w:vertAlign w:val="superscript"/>
        </w:rPr>
        <w:t>18</w:t>
      </w:r>
      <w:r w:rsidRPr="00E30679">
        <w:t>O) and deuterium (</w:t>
      </w:r>
      <w:r>
        <w:t>δ</w:t>
      </w:r>
      <w:r w:rsidRPr="00E30679">
        <w:rPr>
          <w:vertAlign w:val="superscript"/>
        </w:rPr>
        <w:t>2</w:t>
      </w:r>
      <w:r>
        <w:t xml:space="preserve">H) </w:t>
      </w:r>
      <w:bookmarkEnd w:id="443"/>
      <w:bookmarkEnd w:id="444"/>
      <w:r>
        <w:t xml:space="preserve">can provide insights into hydrological processes such as evaporation and groundwater recharge. </w:t>
      </w:r>
      <w:r w:rsidRPr="00E30679">
        <w:t xml:space="preserve">Samples of rainfall, surface water and groundwater </w:t>
      </w:r>
      <w:r>
        <w:t>were analysed for δ</w:t>
      </w:r>
      <w:r w:rsidRPr="00E30679">
        <w:rPr>
          <w:vertAlign w:val="superscript"/>
        </w:rPr>
        <w:t>18</w:t>
      </w:r>
      <w:r>
        <w:t xml:space="preserve">O and </w:t>
      </w:r>
      <w:r w:rsidRPr="00795774">
        <w:t>δ</w:t>
      </w:r>
      <w:r w:rsidRPr="00073CC0">
        <w:rPr>
          <w:vertAlign w:val="superscript"/>
        </w:rPr>
        <w:t>2</w:t>
      </w:r>
      <w:r w:rsidRPr="00795774">
        <w:t>H (</w:t>
      </w:r>
      <w:r w:rsidRPr="00795774">
        <w:fldChar w:fldCharType="begin"/>
      </w:r>
      <w:r w:rsidRPr="00795774">
        <w:instrText xml:space="preserve"> REF _Ref325708389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13</w:t>
      </w:r>
      <w:r w:rsidRPr="00795774">
        <w:fldChar w:fldCharType="end"/>
      </w:r>
      <w:r w:rsidRPr="00795774">
        <w:t>). The rainfall samples form a linear trend termed the local meteoric water line (LMWL) defined as δ</w:t>
      </w:r>
      <w:r w:rsidRPr="00795774">
        <w:rPr>
          <w:vertAlign w:val="superscript"/>
        </w:rPr>
        <w:t>2</w:t>
      </w:r>
      <w:r w:rsidRPr="00795774">
        <w:t>H = 7.9</w:t>
      </w:r>
      <w:r w:rsidRPr="00795774">
        <w:rPr>
          <w:rFonts w:ascii="Symbol" w:hAnsi="Symbol"/>
        </w:rPr>
        <w:t></w:t>
      </w:r>
      <w:r w:rsidRPr="00795774">
        <w:rPr>
          <w:vertAlign w:val="superscript"/>
        </w:rPr>
        <w:t>18</w:t>
      </w:r>
      <w:r w:rsidRPr="00795774">
        <w:t xml:space="preserve">O + 11. The </w:t>
      </w:r>
      <w:r w:rsidR="00C217F0">
        <w:t xml:space="preserve">Menindee </w:t>
      </w:r>
      <w:r w:rsidRPr="00795774">
        <w:t xml:space="preserve">LWML is consistent with the global rainfall isotopic relationship, the Global Meteoric Water Line (GMWL) of </w:t>
      </w:r>
      <w:r w:rsidRPr="00795774">
        <w:rPr>
          <w:rFonts w:ascii="Symbol" w:hAnsi="Symbol"/>
        </w:rPr>
        <w:t></w:t>
      </w:r>
      <w:r w:rsidRPr="00795774">
        <w:rPr>
          <w:vertAlign w:val="superscript"/>
        </w:rPr>
        <w:t>2</w:t>
      </w:r>
      <w:r w:rsidRPr="00795774">
        <w:t>H = 8</w:t>
      </w:r>
      <w:r w:rsidRPr="00795774">
        <w:rPr>
          <w:rFonts w:ascii="Symbol" w:hAnsi="Symbol"/>
        </w:rPr>
        <w:t></w:t>
      </w:r>
      <w:r w:rsidRPr="00795774">
        <w:rPr>
          <w:vertAlign w:val="superscript"/>
        </w:rPr>
        <w:t>18</w:t>
      </w:r>
      <w:r w:rsidRPr="00795774">
        <w:t xml:space="preserve">O + 10 (Craig, 1961). Data interpretation also incorporates the findings of previous stable isotope investigations for the </w:t>
      </w:r>
      <w:smartTag w:uri="urn:schemas-microsoft-com:office:smarttags" w:element="place">
        <w:r w:rsidRPr="00795774">
          <w:t>Darling River</w:t>
        </w:r>
      </w:smartTag>
      <w:r w:rsidRPr="00795774">
        <w:t xml:space="preserve"> such as the work of Gibson</w:t>
      </w:r>
      <w:r w:rsidR="008A5F7D" w:rsidRPr="00CF7613">
        <w:rPr>
          <w:rStyle w:val="StyleItalic"/>
        </w:rPr>
        <w:t xml:space="preserve"> et al</w:t>
      </w:r>
      <w:r w:rsidRPr="00795774">
        <w:t>. (2008), Meredith</w:t>
      </w:r>
      <w:r w:rsidR="008A5F7D" w:rsidRPr="00CF7613">
        <w:rPr>
          <w:rStyle w:val="StyleItalic"/>
        </w:rPr>
        <w:t xml:space="preserve"> et al</w:t>
      </w:r>
      <w:r w:rsidRPr="00795774">
        <w:t>. (2009) and Hughes</w:t>
      </w:r>
      <w:r w:rsidR="008A5F7D" w:rsidRPr="00CF7613">
        <w:rPr>
          <w:rStyle w:val="StyleItalic"/>
        </w:rPr>
        <w:t xml:space="preserve"> et al</w:t>
      </w:r>
      <w:r>
        <w:t>.</w:t>
      </w:r>
      <w:r w:rsidRPr="00795774">
        <w:t xml:space="preserve"> (2009). These previous studies established an overall trend in the river samples termed the Darling River Local Evaporation Line (LEL) defined by the relationship δ</w:t>
      </w:r>
      <w:r w:rsidRPr="00795774">
        <w:rPr>
          <w:vertAlign w:val="superscript"/>
        </w:rPr>
        <w:t>2</w:t>
      </w:r>
      <w:r w:rsidRPr="00795774">
        <w:t>H =4.86</w:t>
      </w:r>
      <w:r w:rsidR="003F4904">
        <w:t xml:space="preserve"> </w:t>
      </w:r>
      <w:r w:rsidRPr="00795774">
        <w:t>δ</w:t>
      </w:r>
      <w:r w:rsidRPr="00795774">
        <w:rPr>
          <w:vertAlign w:val="superscript"/>
        </w:rPr>
        <w:t>18</w:t>
      </w:r>
      <w:r w:rsidRPr="00795774">
        <w:t>O-4.85 (R</w:t>
      </w:r>
      <w:r w:rsidRPr="00795774">
        <w:rPr>
          <w:vertAlign w:val="superscript"/>
        </w:rPr>
        <w:t>2</w:t>
      </w:r>
      <w:r w:rsidRPr="00795774">
        <w:t>=0.97,</w:t>
      </w:r>
      <w:r w:rsidR="005E4B77">
        <w:t xml:space="preserve"> </w:t>
      </w:r>
      <w:r w:rsidRPr="00795774">
        <w:t xml:space="preserve">n=325). </w:t>
      </w:r>
      <w:r w:rsidRPr="00795774">
        <w:fldChar w:fldCharType="begin"/>
      </w:r>
      <w:r w:rsidRPr="00795774">
        <w:instrText xml:space="preserve"> REF _Ref325708389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13</w:t>
      </w:r>
      <w:r w:rsidRPr="00795774">
        <w:fldChar w:fldCharType="end"/>
      </w:r>
      <w:r w:rsidRPr="00795774">
        <w:t xml:space="preserve"> plots this LEL as well as the envelope of the river sampling data that defined this trend. Although individual flow events in the Darling were isotopically distinct, subsequent evaporation resulted in the local evaporation lines (LEL) for these events </w:t>
      </w:r>
      <w:r w:rsidR="003F4904">
        <w:t>having</w:t>
      </w:r>
      <w:r w:rsidRPr="00795774">
        <w:t xml:space="preserve"> a similar slope. High flow events marked the input of isotopically depleted fresh water to the river. These depleted river samples plot relatively close to the LMWL defined by the rainfall data (</w:t>
      </w:r>
      <w:r w:rsidRPr="00795774">
        <w:fldChar w:fldCharType="begin"/>
      </w:r>
      <w:r w:rsidRPr="00795774">
        <w:instrText xml:space="preserve"> REF _Ref325708389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13</w:t>
      </w:r>
      <w:r w:rsidRPr="00795774">
        <w:fldChar w:fldCharType="end"/>
      </w:r>
      <w:r w:rsidRPr="00795774">
        <w:t xml:space="preserve">). Subsequent reduction in river flow after these events, results in progressive salinity increases and isotopic enrichment. This means that the river isotope data plots further along the Darling LEL (and away from the LMWL) with reducing flow due to evaporative loss. This trend is depicted by the arrow in </w:t>
      </w:r>
      <w:r w:rsidRPr="00795774">
        <w:fldChar w:fldCharType="begin"/>
      </w:r>
      <w:r w:rsidRPr="00795774">
        <w:instrText xml:space="preserve"> REF _Ref325708389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13</w:t>
      </w:r>
      <w:r w:rsidRPr="00795774">
        <w:fldChar w:fldCharType="end"/>
      </w:r>
      <w:r w:rsidRPr="00795774">
        <w:t>.</w:t>
      </w:r>
    </w:p>
    <w:p w:rsidR="009038E6" w:rsidRPr="00795774" w:rsidRDefault="009038E6" w:rsidP="009038E6"/>
    <w:p w:rsidR="009038E6" w:rsidRPr="00E30679" w:rsidRDefault="009038E6" w:rsidP="009038E6">
      <w:r w:rsidRPr="00795774">
        <w:t xml:space="preserve">The stable water isotope analyses for groundwater from various aquifers are also plotted in </w:t>
      </w:r>
      <w:r w:rsidRPr="00795774">
        <w:fldChar w:fldCharType="begin"/>
      </w:r>
      <w:r w:rsidRPr="00795774">
        <w:instrText xml:space="preserve"> REF _Ref325708389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13</w:t>
      </w:r>
      <w:r w:rsidRPr="00795774">
        <w:fldChar w:fldCharType="end"/>
      </w:r>
      <w:r>
        <w:t xml:space="preserve"> </w:t>
      </w:r>
      <w:r w:rsidR="003F4904">
        <w:t>with further analysis of the data in Lawrie</w:t>
      </w:r>
      <w:r w:rsidR="008A5F7D" w:rsidRPr="00CF7613">
        <w:rPr>
          <w:rStyle w:val="StyleItalic"/>
        </w:rPr>
        <w:t xml:space="preserve"> et al</w:t>
      </w:r>
      <w:r w:rsidR="003F4904">
        <w:t>. (2012b)</w:t>
      </w:r>
      <w:r w:rsidRPr="00795774">
        <w:t xml:space="preserve">. The isotope values for the Loxton-Parilla </w:t>
      </w:r>
      <w:r w:rsidR="00106292">
        <w:t xml:space="preserve">Sands </w:t>
      </w:r>
      <w:r w:rsidRPr="00795774">
        <w:t xml:space="preserve">(n = 4) and the </w:t>
      </w:r>
      <w:r w:rsidR="00C217F0">
        <w:t>Renmark Group</w:t>
      </w:r>
      <w:r w:rsidR="00106292">
        <w:t xml:space="preserve"> </w:t>
      </w:r>
      <w:r w:rsidRPr="00795774">
        <w:t>(n = 20) groundwater samples are co-located</w:t>
      </w:r>
      <w:r w:rsidRPr="00E30679">
        <w:t xml:space="preserve"> with the bulk of the </w:t>
      </w:r>
      <w:r w:rsidR="00C217F0">
        <w:t>Calivil Formation</w:t>
      </w:r>
      <w:r w:rsidRPr="00E30679">
        <w:t xml:space="preserve"> samples</w:t>
      </w:r>
      <w:r>
        <w:t xml:space="preserve"> (n = 87)</w:t>
      </w:r>
      <w:r w:rsidRPr="00E30679">
        <w:t xml:space="preserve">. </w:t>
      </w:r>
      <w:r>
        <w:t xml:space="preserve">This cluster is also co-located with </w:t>
      </w:r>
      <w:smartTag w:uri="urn:schemas-microsoft-com:office:smarttags" w:element="place">
        <w:r>
          <w:t>Darling River</w:t>
        </w:r>
      </w:smartTag>
      <w:r>
        <w:t xml:space="preserve"> samples with a relatively depleted signature characteristic of high river flows. In contrast, the </w:t>
      </w:r>
      <w:r w:rsidR="00B32F4D">
        <w:t>Willotia bed</w:t>
      </w:r>
      <w:r w:rsidR="00CB7EA6">
        <w:t>s</w:t>
      </w:r>
      <w:r w:rsidR="00106292">
        <w:t xml:space="preserve"> </w:t>
      </w:r>
      <w:r w:rsidRPr="00E30679">
        <w:t>(n = 3)</w:t>
      </w:r>
      <w:r>
        <w:t xml:space="preserve">, </w:t>
      </w:r>
      <w:r w:rsidR="00C217F0">
        <w:t>Menindee Formation</w:t>
      </w:r>
      <w:r w:rsidR="00106292">
        <w:t xml:space="preserve"> </w:t>
      </w:r>
      <w:r>
        <w:t xml:space="preserve">(n=11), </w:t>
      </w:r>
      <w:r w:rsidR="00C217F0">
        <w:t>Coonambidgal Formation</w:t>
      </w:r>
      <w:r w:rsidR="00106292">
        <w:t xml:space="preserve"> </w:t>
      </w:r>
      <w:r w:rsidRPr="00E30679">
        <w:t xml:space="preserve">(n=3) </w:t>
      </w:r>
      <w:r>
        <w:t xml:space="preserve">and some of the </w:t>
      </w:r>
      <w:r w:rsidR="00C217F0">
        <w:t>Calivil Formation</w:t>
      </w:r>
      <w:r w:rsidR="00106292">
        <w:t xml:space="preserve"> </w:t>
      </w:r>
      <w:r>
        <w:t xml:space="preserve">(n=6) groundwater </w:t>
      </w:r>
      <w:r w:rsidRPr="00E30679">
        <w:t>samples are isotopically heavier and plot further along th</w:t>
      </w:r>
      <w:r>
        <w:t xml:space="preserve">e Darling River LEL. </w:t>
      </w:r>
      <w:r w:rsidRPr="00E30679">
        <w:t>The one Pal</w:t>
      </w:r>
      <w:r>
        <w:t>aeozoic groundwater sample is anomalously depleted and plots</w:t>
      </w:r>
      <w:r w:rsidRPr="00E30679">
        <w:t xml:space="preserve"> in the </w:t>
      </w:r>
      <w:r>
        <w:t>lower range of the Darling River LEL. This sample is distant from the river, so its position on the plot suggests a difference in recharge processes.</w:t>
      </w:r>
    </w:p>
    <w:p w:rsidR="009038E6" w:rsidRDefault="009038E6" w:rsidP="009038E6"/>
    <w:p w:rsidR="009038E6" w:rsidRDefault="009038E6" w:rsidP="009038E6">
      <w:pPr>
        <w:spacing w:before="120"/>
      </w:pPr>
      <w:r w:rsidRPr="00B32F4D">
        <w:t xml:space="preserve">The position of the </w:t>
      </w:r>
      <w:r w:rsidR="00C217F0" w:rsidRPr="00B32F4D">
        <w:t>Calivil Formation</w:t>
      </w:r>
      <w:r w:rsidR="00106292" w:rsidRPr="00B32F4D">
        <w:t xml:space="preserve"> </w:t>
      </w:r>
      <w:r w:rsidRPr="00B32F4D">
        <w:t>samples near the base of the Darling River LEL infers that recharge relates to high flow events (</w:t>
      </w:r>
      <w:r w:rsidRPr="00B32F4D">
        <w:rPr>
          <w:szCs w:val="22"/>
        </w:rPr>
        <w:t>Lawrie</w:t>
      </w:r>
      <w:r w:rsidR="008A5F7D" w:rsidRPr="00CF7613">
        <w:rPr>
          <w:rStyle w:val="StyleItalic"/>
        </w:rPr>
        <w:t xml:space="preserve"> et al</w:t>
      </w:r>
      <w:r w:rsidR="00B32F4D" w:rsidRPr="00B32F4D">
        <w:rPr>
          <w:szCs w:val="22"/>
        </w:rPr>
        <w:t>., 2012</w:t>
      </w:r>
      <w:r w:rsidRPr="00B32F4D">
        <w:rPr>
          <w:szCs w:val="22"/>
        </w:rPr>
        <w:t>b)</w:t>
      </w:r>
      <w:r w:rsidRPr="00B32F4D">
        <w:t xml:space="preserve">. The tight clustering suggests that recharge is relatively rapid and evaporative processes are limited. In contrast, if recharge to the </w:t>
      </w:r>
      <w:r w:rsidR="00C217F0" w:rsidRPr="00B32F4D">
        <w:t>Calivil Formation</w:t>
      </w:r>
      <w:r w:rsidRPr="00B32F4D">
        <w:t xml:space="preserve"> is due to continual river leakage regardless of river flow, then the </w:t>
      </w:r>
      <w:r w:rsidR="00C217F0" w:rsidRPr="00B32F4D">
        <w:t>Calivil Formation</w:t>
      </w:r>
      <w:r w:rsidR="00106292" w:rsidRPr="00B32F4D">
        <w:t xml:space="preserve"> </w:t>
      </w:r>
      <w:r w:rsidRPr="00B32F4D">
        <w:t xml:space="preserve">samples should also extend further along the Darling River LEL. The </w:t>
      </w:r>
      <w:r w:rsidR="00EE4C98">
        <w:t xml:space="preserve">few </w:t>
      </w:r>
      <w:r w:rsidR="00C217F0" w:rsidRPr="00B32F4D">
        <w:t>Calivil Formation</w:t>
      </w:r>
      <w:r w:rsidR="00106292" w:rsidRPr="00B32F4D">
        <w:t xml:space="preserve"> </w:t>
      </w:r>
      <w:r w:rsidRPr="00B32F4D">
        <w:t xml:space="preserve">samples that do this are associated with leakage from </w:t>
      </w:r>
      <w:smartTag w:uri="urn:schemas-microsoft-com:office:smarttags" w:element="PlaceType">
        <w:r w:rsidR="00C217F0" w:rsidRPr="00B32F4D">
          <w:t>Lake</w:t>
        </w:r>
      </w:smartTag>
      <w:r w:rsidR="00C217F0" w:rsidRPr="00B32F4D">
        <w:t xml:space="preserve"> </w:t>
      </w:r>
      <w:smartTag w:uri="urn:schemas-microsoft-com:office:smarttags" w:element="PlaceName">
        <w:r w:rsidR="00C217F0" w:rsidRPr="00B32F4D">
          <w:t>Menindee</w:t>
        </w:r>
      </w:smartTag>
      <w:r w:rsidRPr="00B32F4D">
        <w:t xml:space="preserve"> rather than the </w:t>
      </w:r>
      <w:smartTag w:uri="urn:schemas-microsoft-com:office:smarttags" w:element="place">
        <w:r w:rsidRPr="00B32F4D">
          <w:t>Darling River</w:t>
        </w:r>
      </w:smartTag>
      <w:r w:rsidRPr="00B32F4D">
        <w:t>. These have a more enriched and evaporated signature that reflects lake conditions at the time of recharge. The</w:t>
      </w:r>
      <w:r>
        <w:t xml:space="preserve"> fresh shallow aquifer groundwaters do plot further along the Darling River LEL and have a broader range. This suggests two potential processes linked</w:t>
      </w:r>
      <w:r w:rsidR="00106292">
        <w:t xml:space="preserve"> to shallow aquifer recharge: </w:t>
      </w:r>
      <w:r>
        <w:t xml:space="preserve">(1) </w:t>
      </w:r>
      <w:smartTag w:uri="urn:schemas-microsoft-com:office:smarttags" w:element="place">
        <w:r>
          <w:t>Darling River</w:t>
        </w:r>
      </w:smartTag>
      <w:r>
        <w:t xml:space="preserve"> flows lower than that associated with </w:t>
      </w:r>
      <w:r w:rsidR="00C217F0">
        <w:t>Calivil Formation</w:t>
      </w:r>
      <w:r w:rsidR="00106292">
        <w:t xml:space="preserve"> </w:t>
      </w:r>
      <w:r>
        <w:t>recharge and/or (2) evaporative processes. For example, an evaporative signal may reflect recharge following the inundation of low-lying floodplain areas by the flood event.</w:t>
      </w:r>
      <w:r w:rsidRPr="00EC7187">
        <w:t xml:space="preserve"> </w:t>
      </w:r>
    </w:p>
    <w:p w:rsidR="003C3F3D" w:rsidRDefault="003C3F3D" w:rsidP="009038E6">
      <w:pPr>
        <w:spacing w:before="120"/>
      </w:pPr>
    </w:p>
    <w:p w:rsidR="009038E6" w:rsidRPr="00947D3A" w:rsidRDefault="00706A3B" w:rsidP="00656729">
      <w:pPr>
        <w:spacing w:before="120" w:after="60"/>
        <w:jc w:val="center"/>
      </w:pPr>
      <w:r>
        <w:rPr>
          <w:noProof/>
        </w:rPr>
        <w:lastRenderedPageBreak/>
        <w:drawing>
          <wp:inline distT="0" distB="0" distL="0" distR="0" wp14:anchorId="056803D8" wp14:editId="026827F9">
            <wp:extent cx="4954905" cy="3646805"/>
            <wp:effectExtent l="19050" t="1905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54905" cy="3646805"/>
                    </a:xfrm>
                    <a:prstGeom prst="rect">
                      <a:avLst/>
                    </a:prstGeom>
                    <a:noFill/>
                    <a:ln w="6350" cmpd="sng">
                      <a:solidFill>
                        <a:srgbClr val="000000"/>
                      </a:solidFill>
                      <a:miter lim="800000"/>
                      <a:headEnd/>
                      <a:tailEnd/>
                    </a:ln>
                    <a:effectLst/>
                  </pic:spPr>
                </pic:pic>
              </a:graphicData>
            </a:graphic>
          </wp:inline>
        </w:drawing>
      </w:r>
    </w:p>
    <w:p w:rsidR="009038E6" w:rsidRPr="00A20E44" w:rsidRDefault="009038E6" w:rsidP="009038E6">
      <w:pPr>
        <w:pStyle w:val="Caption"/>
      </w:pPr>
      <w:bookmarkStart w:id="445" w:name="_Ref325708389"/>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13</w:t>
      </w:r>
      <w:r w:rsidR="00A23C59">
        <w:rPr>
          <w:b/>
        </w:rPr>
        <w:fldChar w:fldCharType="end"/>
      </w:r>
      <w:bookmarkEnd w:id="445"/>
      <w:r>
        <w:rPr>
          <w:b/>
        </w:rPr>
        <w:t xml:space="preserve">. </w:t>
      </w:r>
      <w:r w:rsidRPr="00263896">
        <w:t>Stable isotope plot of oxy</w:t>
      </w:r>
      <w:r w:rsidR="00DE0DFA">
        <w:t xml:space="preserve">gen-18 </w:t>
      </w:r>
      <w:r w:rsidRPr="00263896">
        <w:t>(δ</w:t>
      </w:r>
      <w:r w:rsidRPr="00263896">
        <w:rPr>
          <w:vertAlign w:val="superscript"/>
        </w:rPr>
        <w:t>18</w:t>
      </w:r>
      <w:r w:rsidRPr="00263896">
        <w:t>O) and deuterium (δ</w:t>
      </w:r>
      <w:r w:rsidRPr="00263896">
        <w:rPr>
          <w:vertAlign w:val="superscript"/>
        </w:rPr>
        <w:t>2</w:t>
      </w:r>
      <w:r w:rsidRPr="00263896">
        <w:t>H) for BHMAR groundwater samples</w:t>
      </w:r>
      <w:r>
        <w:t>.</w:t>
      </w:r>
      <w:r w:rsidRPr="00BE08AB">
        <w:rPr>
          <w:bCs w:val="0"/>
          <w:i w:val="0"/>
        </w:rPr>
        <w:t xml:space="preserve"> </w:t>
      </w:r>
      <w:r w:rsidRPr="007960BF">
        <w:rPr>
          <w:bCs w:val="0"/>
          <w:i w:val="0"/>
        </w:rPr>
        <w:fldChar w:fldCharType="begin"/>
      </w:r>
      <w:r w:rsidRPr="007960BF">
        <w:rPr>
          <w:bCs w:val="0"/>
          <w:i w:val="0"/>
        </w:rPr>
        <w:instrText xml:space="preserve"> TC "</w:instrText>
      </w:r>
      <w:bookmarkStart w:id="446" w:name="_Toc325975229"/>
      <w:bookmarkStart w:id="447" w:name="_Toc390690246"/>
      <w:r w:rsidR="00DE0DFA">
        <w:rPr>
          <w:bCs w:val="0"/>
          <w:i w:val="0"/>
        </w:rPr>
        <w:instrText xml:space="preserve">Figure </w:instrText>
      </w:r>
      <w:r w:rsidR="000D653B">
        <w:rPr>
          <w:bCs w:val="0"/>
          <w:i w:val="0"/>
        </w:rPr>
        <w:instrText>6-1</w:instrText>
      </w:r>
      <w:r w:rsidR="00DE0DFA">
        <w:rPr>
          <w:bCs w:val="0"/>
          <w:i w:val="0"/>
        </w:rPr>
        <w:instrText>3.</w:instrText>
      </w:r>
      <w:r w:rsidRPr="007960BF">
        <w:rPr>
          <w:bCs w:val="0"/>
          <w:i w:val="0"/>
        </w:rPr>
        <w:instrText xml:space="preserve"> </w:instrText>
      </w:r>
      <w:r w:rsidRPr="007960BF">
        <w:rPr>
          <w:i w:val="0"/>
        </w:rPr>
        <w:instrText>St</w:instrText>
      </w:r>
      <w:r w:rsidR="00DE0DFA">
        <w:rPr>
          <w:i w:val="0"/>
        </w:rPr>
        <w:instrText xml:space="preserve">able isotope plot of oxygen-18 </w:instrText>
      </w:r>
      <w:r w:rsidRPr="007960BF">
        <w:rPr>
          <w:i w:val="0"/>
        </w:rPr>
        <w:instrText>(δ</w:instrText>
      </w:r>
      <w:r w:rsidRPr="007960BF">
        <w:rPr>
          <w:i w:val="0"/>
          <w:vertAlign w:val="superscript"/>
        </w:rPr>
        <w:instrText>18</w:instrText>
      </w:r>
      <w:r w:rsidRPr="007960BF">
        <w:rPr>
          <w:i w:val="0"/>
        </w:rPr>
        <w:instrText>O) and deuterium (δ</w:instrText>
      </w:r>
      <w:r w:rsidRPr="007960BF">
        <w:rPr>
          <w:i w:val="0"/>
          <w:vertAlign w:val="superscript"/>
        </w:rPr>
        <w:instrText>2</w:instrText>
      </w:r>
      <w:r w:rsidRPr="007960BF">
        <w:rPr>
          <w:i w:val="0"/>
        </w:rPr>
        <w:instrText>H) for BHMAR groundwater samples</w:instrText>
      </w:r>
      <w:bookmarkEnd w:id="446"/>
      <w:r w:rsidR="005E4B77">
        <w:rPr>
          <w:bCs w:val="0"/>
          <w:i w:val="0"/>
        </w:rPr>
        <w:instrText>.</w:instrText>
      </w:r>
      <w:bookmarkEnd w:id="447"/>
      <w:r w:rsidRPr="007960BF">
        <w:rPr>
          <w:bCs w:val="0"/>
          <w:i w:val="0"/>
        </w:rPr>
        <w:instrText xml:space="preserve">" \f A \l “4” </w:instrText>
      </w:r>
      <w:r w:rsidRPr="007960BF">
        <w:rPr>
          <w:bCs w:val="0"/>
          <w:i w:val="0"/>
        </w:rPr>
        <w:fldChar w:fldCharType="end"/>
      </w:r>
    </w:p>
    <w:p w:rsidR="008242D7" w:rsidRDefault="008242D7" w:rsidP="008242D7"/>
    <w:p w:rsidR="008242D7" w:rsidRDefault="00DA40F0" w:rsidP="008242D7">
      <w:pPr>
        <w:pStyle w:val="Heading3"/>
      </w:pPr>
      <w:bookmarkStart w:id="448" w:name="_Toc390690134"/>
      <w:r>
        <w:t>Radiocarbon A</w:t>
      </w:r>
      <w:r w:rsidR="008242D7">
        <w:t>nalysis</w:t>
      </w:r>
      <w:bookmarkEnd w:id="448"/>
    </w:p>
    <w:p w:rsidR="009038E6" w:rsidRDefault="009038E6" w:rsidP="009038E6">
      <w:r>
        <w:t>Carbon-14 (</w:t>
      </w:r>
      <w:r w:rsidRPr="002F7D24">
        <w:rPr>
          <w:vertAlign w:val="superscript"/>
        </w:rPr>
        <w:t>14</w:t>
      </w:r>
      <w:r>
        <w:t xml:space="preserve">C) is a widely applied dating technique for regional </w:t>
      </w:r>
      <w:r w:rsidRPr="00106292">
        <w:t>aquifers (Edmunds, 2009) because</w:t>
      </w:r>
      <w:r>
        <w:t xml:space="preserve"> of its age range (up to 30,000 years) and the ubiquitous presence of dissolved inorganic carbon (DIC) in </w:t>
      </w:r>
      <w:r w:rsidRPr="00E823BA">
        <w:t>groundwater</w:t>
      </w:r>
      <w:r w:rsidRPr="00795774">
        <w:t xml:space="preserve">. </w:t>
      </w:r>
      <w:r w:rsidRPr="00795774">
        <w:fldChar w:fldCharType="begin"/>
      </w:r>
      <w:r w:rsidRPr="00795774">
        <w:instrText xml:space="preserve"> REF _Ref325708425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14</w:t>
      </w:r>
      <w:r w:rsidRPr="00795774">
        <w:fldChar w:fldCharType="end"/>
      </w:r>
      <w:r w:rsidRPr="00795774">
        <w:t xml:space="preserve"> </w:t>
      </w:r>
      <w:r w:rsidR="003F4904">
        <w:t>shows</w:t>
      </w:r>
      <w:r w:rsidRPr="00795774">
        <w:t xml:space="preserve"> scatter</w:t>
      </w:r>
      <w:r>
        <w:t xml:space="preserve"> plots using percent modern carbon (pMC) as a surrogate for groundwater residence time. </w:t>
      </w:r>
    </w:p>
    <w:p w:rsidR="009038E6" w:rsidRDefault="009038E6" w:rsidP="009038E6"/>
    <w:p w:rsidR="009038E6" w:rsidRPr="00795774" w:rsidRDefault="009038E6" w:rsidP="009038E6">
      <w:r w:rsidRPr="00106292">
        <w:t xml:space="preserve">Most of the fresh shallow groundwaters hosted within the </w:t>
      </w:r>
      <w:r w:rsidR="00C217F0">
        <w:t>Coonambidgal Formation</w:t>
      </w:r>
      <w:r w:rsidRPr="00106292">
        <w:t xml:space="preserve">, </w:t>
      </w:r>
      <w:r w:rsidR="00C217F0">
        <w:t>Menindee Formation</w:t>
      </w:r>
      <w:r w:rsidRPr="00106292">
        <w:t xml:space="preserve"> or </w:t>
      </w:r>
      <w:r w:rsidR="00B32F4D">
        <w:t>Willotia bed</w:t>
      </w:r>
      <w:r w:rsidR="00CB7EA6">
        <w:t>s</w:t>
      </w:r>
      <w:r w:rsidR="00B32F4D">
        <w:t xml:space="preserve"> </w:t>
      </w:r>
      <w:r w:rsidRPr="00106292">
        <w:t xml:space="preserve">aquifers have a modern carbon signature (pMC </w:t>
      </w:r>
      <w:r w:rsidRPr="00106292">
        <w:sym w:font="Symbol" w:char="F0B3"/>
      </w:r>
      <w:r w:rsidRPr="00106292">
        <w:t xml:space="preserve"> 99 %) (</w:t>
      </w:r>
      <w:r w:rsidR="00B03359">
        <w:t xml:space="preserve">Appendix 6, </w:t>
      </w:r>
      <w:r w:rsidRPr="00106292">
        <w:t>Somerville</w:t>
      </w:r>
      <w:r w:rsidR="008A5F7D" w:rsidRPr="00CF7613">
        <w:rPr>
          <w:rStyle w:val="StyleItalic"/>
        </w:rPr>
        <w:t xml:space="preserve"> et al</w:t>
      </w:r>
      <w:r w:rsidRPr="00CF7613">
        <w:rPr>
          <w:rStyle w:val="StyleItalic"/>
        </w:rPr>
        <w:t>.</w:t>
      </w:r>
      <w:r w:rsidRPr="00106292">
        <w:t xml:space="preserve">, 2012; </w:t>
      </w:r>
      <w:r w:rsidRPr="00106292">
        <w:rPr>
          <w:szCs w:val="22"/>
        </w:rPr>
        <w:t>Lawrie</w:t>
      </w:r>
      <w:r w:rsidR="008A5F7D" w:rsidRPr="00CF7613">
        <w:rPr>
          <w:rStyle w:val="StyleItalic"/>
        </w:rPr>
        <w:t xml:space="preserve"> et al</w:t>
      </w:r>
      <w:r w:rsidRPr="00106292">
        <w:rPr>
          <w:szCs w:val="22"/>
        </w:rPr>
        <w:t>., 2012b)</w:t>
      </w:r>
      <w:r w:rsidRPr="00106292">
        <w:t>. Values exceeding 100 % pMC imply a recharge component during or since the atmospheric nuclear tests in the 1950s (</w:t>
      </w:r>
      <w:r w:rsidRPr="00106292">
        <w:rPr>
          <w:szCs w:val="22"/>
        </w:rPr>
        <w:t>Lawrie</w:t>
      </w:r>
      <w:r w:rsidR="008A5F7D" w:rsidRPr="00CF7613">
        <w:rPr>
          <w:rStyle w:val="StyleItalic"/>
        </w:rPr>
        <w:t xml:space="preserve"> et al</w:t>
      </w:r>
      <w:r w:rsidRPr="00106292">
        <w:rPr>
          <w:szCs w:val="22"/>
        </w:rPr>
        <w:t>., 2012a)</w:t>
      </w:r>
      <w:r w:rsidRPr="00106292">
        <w:t xml:space="preserve">. This provides further evidence for recharge of the shallow aquifer under current climate and river conditions. The fresh </w:t>
      </w:r>
      <w:r w:rsidR="00C217F0">
        <w:t>Calivil Formation</w:t>
      </w:r>
      <w:r w:rsidRPr="00106292">
        <w:t xml:space="preserve"> groundwaters have pMC values that are less than that measured for the shallow groundwaters with similar salinities, in the range 56-94 % for chloride &lt; 100 mg/L (</w:t>
      </w:r>
      <w:r w:rsidRPr="00106292">
        <w:fldChar w:fldCharType="begin"/>
      </w:r>
      <w:r w:rsidRPr="00106292">
        <w:instrText xml:space="preserve"> REF _Ref325708425 \h  \* MERGEFORMAT </w:instrText>
      </w:r>
      <w:r w:rsidRPr="00106292">
        <w:fldChar w:fldCharType="separate"/>
      </w:r>
      <w:r w:rsidR="00966532" w:rsidRPr="00966532">
        <w:t xml:space="preserve">Figure </w:t>
      </w:r>
      <w:r w:rsidR="00966532" w:rsidRPr="00966532">
        <w:rPr>
          <w:noProof/>
        </w:rPr>
        <w:t>6</w:t>
      </w:r>
      <w:r w:rsidR="00966532" w:rsidRPr="00966532">
        <w:rPr>
          <w:noProof/>
        </w:rPr>
        <w:noBreakHyphen/>
        <w:t>14</w:t>
      </w:r>
      <w:r w:rsidRPr="00106292">
        <w:fldChar w:fldCharType="end"/>
      </w:r>
      <w:r w:rsidRPr="00106292">
        <w:t xml:space="preserve">a). The </w:t>
      </w:r>
      <w:r w:rsidR="00C217F0">
        <w:t>Calivil Formation</w:t>
      </w:r>
      <w:r w:rsidRPr="00106292">
        <w:t xml:space="preserve"> groundwaters become less influenced by modern recharge with progressive increase in salinity. This process continues to the saline (and old) </w:t>
      </w:r>
      <w:r w:rsidR="00C217F0">
        <w:t>Renmark Group</w:t>
      </w:r>
      <w:r w:rsidRPr="00106292">
        <w:t xml:space="preserve"> and Palaeozoic groundwater end members. Plotting pMC with sample depth highlights the vertical extent for leakage in the shallow aquifer (</w:t>
      </w:r>
      <w:r w:rsidRPr="00106292">
        <w:fldChar w:fldCharType="begin"/>
      </w:r>
      <w:r w:rsidRPr="00106292">
        <w:instrText xml:space="preserve"> REF _Ref325708425 \h  \* MERGEFORMAT </w:instrText>
      </w:r>
      <w:r w:rsidRPr="00106292">
        <w:fldChar w:fldCharType="separate"/>
      </w:r>
      <w:r w:rsidR="00966532" w:rsidRPr="00966532">
        <w:t xml:space="preserve">Figure </w:t>
      </w:r>
      <w:r w:rsidR="00966532" w:rsidRPr="00966532">
        <w:rPr>
          <w:noProof/>
        </w:rPr>
        <w:t>6</w:t>
      </w:r>
      <w:r w:rsidR="00966532" w:rsidRPr="00966532">
        <w:rPr>
          <w:noProof/>
        </w:rPr>
        <w:noBreakHyphen/>
        <w:t>14</w:t>
      </w:r>
      <w:r w:rsidRPr="00106292">
        <w:fldChar w:fldCharType="end"/>
      </w:r>
      <w:r w:rsidRPr="00106292">
        <w:t>b). It shows the shallow</w:t>
      </w:r>
      <w:r w:rsidRPr="00795774">
        <w:t xml:space="preserve"> nature (&lt;25</w:t>
      </w:r>
      <w:r>
        <w:t xml:space="preserve"> </w:t>
      </w:r>
      <w:r w:rsidRPr="00795774">
        <w:t>m) of the groundwaters with the modern carbon signature (pMC &gt; 99</w:t>
      </w:r>
      <w:r>
        <w:t xml:space="preserve"> </w:t>
      </w:r>
      <w:r w:rsidRPr="00795774">
        <w:t xml:space="preserve">%) in the </w:t>
      </w:r>
      <w:r w:rsidR="00C217F0">
        <w:t>Coonambidgal Formation</w:t>
      </w:r>
      <w:r w:rsidRPr="00795774">
        <w:t xml:space="preserve">, </w:t>
      </w:r>
      <w:r w:rsidR="00C217F0">
        <w:t>Menindee Formation</w:t>
      </w:r>
      <w:r w:rsidRPr="00795774">
        <w:t xml:space="preserve"> and </w:t>
      </w:r>
      <w:r w:rsidR="00B32F4D">
        <w:t>Willotia bed</w:t>
      </w:r>
      <w:r w:rsidR="00CB7EA6">
        <w:t>s</w:t>
      </w:r>
      <w:r w:rsidRPr="00795774">
        <w:t xml:space="preserve"> aquifers. </w:t>
      </w:r>
    </w:p>
    <w:p w:rsidR="009038E6" w:rsidRPr="00795774" w:rsidRDefault="009038E6" w:rsidP="009038E6"/>
    <w:p w:rsidR="009038E6" w:rsidRDefault="009038E6" w:rsidP="009038E6">
      <w:r w:rsidRPr="00795774">
        <w:t xml:space="preserve">High pMC values for the </w:t>
      </w:r>
      <w:r w:rsidR="00C217F0">
        <w:t>Calivil Formation</w:t>
      </w:r>
      <w:r w:rsidRPr="00795774">
        <w:t xml:space="preserve"> aquifer (</w:t>
      </w:r>
      <w:r w:rsidRPr="00795774">
        <w:fldChar w:fldCharType="begin"/>
      </w:r>
      <w:r w:rsidRPr="00795774">
        <w:instrText xml:space="preserve"> REF _Ref325708444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15</w:t>
      </w:r>
      <w:r w:rsidRPr="00795774">
        <w:fldChar w:fldCharType="end"/>
      </w:r>
      <w:r w:rsidRPr="00795774">
        <w:t xml:space="preserve">) are notably near the </w:t>
      </w:r>
      <w:smartTag w:uri="urn:schemas-microsoft-com:office:smarttags" w:element="place">
        <w:r w:rsidRPr="00795774">
          <w:t>Darling River</w:t>
        </w:r>
      </w:smartTag>
      <w:r w:rsidRPr="00795774">
        <w:t xml:space="preserve"> at </w:t>
      </w:r>
      <w:r w:rsidR="00C217F0">
        <w:t xml:space="preserve">Menindee </w:t>
      </w:r>
      <w:r w:rsidRPr="00795774">
        <w:t xml:space="preserve">Common and Jimargil-East Bootingee in GWR1, as well as along the river corridor in the GWR6, GWR7 and GWR8 targets. In comparison, the pMC values for </w:t>
      </w:r>
      <w:r w:rsidR="00C217F0">
        <w:t>Calivil Formation</w:t>
      </w:r>
      <w:r w:rsidRPr="00795774">
        <w:t xml:space="preserve"> groundwaters sampled in the groundwater resource targets along the Talyawalka (GWR9 and GWR13) have</w:t>
      </w:r>
      <w:r>
        <w:t xml:space="preserve"> lower pMC values, in the order of 55-66 %. This may be due to greater episodicity of the flow regime for the Talyawalka when compared with the </w:t>
      </w:r>
      <w:smartTag w:uri="urn:schemas-microsoft-com:office:smarttags" w:element="place">
        <w:r>
          <w:t>Darling River</w:t>
        </w:r>
      </w:smartTag>
      <w:r>
        <w:t xml:space="preserve">, reflected in lesser recharge opportunities. </w:t>
      </w:r>
    </w:p>
    <w:p w:rsidR="009038E6" w:rsidRDefault="009038E6" w:rsidP="009038E6"/>
    <w:p w:rsidR="009038E6" w:rsidRDefault="009038E6" w:rsidP="009038E6">
      <w:r>
        <w:t xml:space="preserve">In the GWR4 target, samples from the three </w:t>
      </w:r>
      <w:r w:rsidR="00C217F0">
        <w:t>Calivil Formation</w:t>
      </w:r>
      <w:r>
        <w:t xml:space="preserve"> monitoring bores have pMC values of 20-28 %. With a modern recharge source yet to be identified, these low values would suggest </w:t>
      </w:r>
      <w:r w:rsidR="003F4904">
        <w:t xml:space="preserve">palaeo-recharge into </w:t>
      </w:r>
      <w:r>
        <w:t>a relict palaeoc</w:t>
      </w:r>
      <w:r w:rsidR="003F4904">
        <w:t xml:space="preserve">hannel, with no current significant recharge to this palaeochannel system. The </w:t>
      </w:r>
      <w:r>
        <w:t>groundwater resource for this particular target</w:t>
      </w:r>
      <w:r w:rsidR="003F4904">
        <w:t xml:space="preserve"> is therefore assessed as a ‘fossil’ re</w:t>
      </w:r>
      <w:r w:rsidR="00AA4D8A">
        <w:t>s</w:t>
      </w:r>
      <w:r w:rsidR="003F4904">
        <w:t>ource</w:t>
      </w:r>
      <w:r>
        <w:t>.</w:t>
      </w:r>
      <w:bookmarkStart w:id="449" w:name="_Toc325694433"/>
      <w:bookmarkStart w:id="450" w:name="_Toc325694543"/>
      <w:bookmarkStart w:id="451" w:name="_Toc325694653"/>
      <w:bookmarkStart w:id="452" w:name="_Toc325694763"/>
      <w:bookmarkStart w:id="453" w:name="_Toc325694873"/>
      <w:bookmarkStart w:id="454" w:name="_Toc325694983"/>
      <w:bookmarkStart w:id="455" w:name="_Toc325695093"/>
      <w:bookmarkStart w:id="456" w:name="_Toc325695203"/>
      <w:bookmarkStart w:id="457" w:name="_Toc325695313"/>
      <w:bookmarkStart w:id="458" w:name="_Toc325695423"/>
      <w:bookmarkStart w:id="459" w:name="_Toc325695532"/>
      <w:bookmarkStart w:id="460" w:name="_Toc325695641"/>
      <w:bookmarkStart w:id="461" w:name="_Toc325695749"/>
      <w:bookmarkStart w:id="462" w:name="_Toc325695856"/>
    </w:p>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p w:rsidR="009038E6" w:rsidRDefault="009038E6" w:rsidP="009038E6"/>
    <w:p w:rsidR="009038E6" w:rsidRDefault="007C4D4F" w:rsidP="00656729">
      <w:pPr>
        <w:spacing w:before="120" w:after="60"/>
      </w:pPr>
      <w:r>
        <w:rPr>
          <w:noProof/>
        </w:rPr>
        <w:drawing>
          <wp:inline distT="0" distB="0" distL="0" distR="0" wp14:anchorId="70D23F44" wp14:editId="4CD1FC4E">
            <wp:extent cx="2881630" cy="2870835"/>
            <wp:effectExtent l="19050" t="19050" r="1397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81630" cy="2870835"/>
                    </a:xfrm>
                    <a:prstGeom prst="rect">
                      <a:avLst/>
                    </a:prstGeom>
                    <a:noFill/>
                    <a:ln w="6350" cmpd="sng">
                      <a:solidFill>
                        <a:srgbClr val="000000"/>
                      </a:solidFill>
                      <a:miter lim="800000"/>
                      <a:headEnd/>
                      <a:tailEnd/>
                    </a:ln>
                    <a:effectLst/>
                  </pic:spPr>
                </pic:pic>
              </a:graphicData>
            </a:graphic>
          </wp:inline>
        </w:drawing>
      </w:r>
      <w:r w:rsidR="00656729">
        <w:rPr>
          <w:noProof/>
        </w:rPr>
        <mc:AlternateContent>
          <mc:Choice Requires="wps">
            <w:drawing>
              <wp:anchor distT="0" distB="0" distL="114300" distR="114300" simplePos="0" relativeHeight="251655168" behindDoc="0" locked="0" layoutInCell="1" allowOverlap="0" wp14:anchorId="2EC91C9F" wp14:editId="745BC2E5">
                <wp:simplePos x="0" y="0"/>
                <wp:positionH relativeFrom="column">
                  <wp:posOffset>0</wp:posOffset>
                </wp:positionH>
                <wp:positionV relativeFrom="paragraph">
                  <wp:posOffset>274955</wp:posOffset>
                </wp:positionV>
                <wp:extent cx="342900" cy="314325"/>
                <wp:effectExtent l="0" t="0" r="19050" b="28575"/>
                <wp:wrapNone/>
                <wp:docPr id="1581" name="Text Box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B7446" w:rsidRPr="00BC5EFF" w:rsidRDefault="001B7446" w:rsidP="009038E6">
                            <w:pPr>
                              <w:rPr>
                                <w:b/>
                              </w:rPr>
                            </w:pPr>
                            <w:r>
                              <w:rPr>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8" o:spid="_x0000_s1034" type="#_x0000_t202" style="position:absolute;margin-left:0;margin-top:21.65pt;width:27pt;height:24.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" o:allowoverlap="f" filled="f">
                <v:textbox>
                  <w:txbxContent>
                    <w:p w:rsidR="001B7446" w:rsidRPr="00BC5EFF" w:rsidRDefault="001B7446" w:rsidP="009038E6">
                      <w:pPr>
                        <w:rPr>
                          <w:b/>
                        </w:rPr>
                      </w:pPr>
                      <w:r>
                        <w:rPr>
                          <w:b/>
                        </w:rPr>
                        <w:t>a</w:t>
                      </w:r>
                    </w:p>
                  </w:txbxContent>
                </v:textbox>
              </v:shape>
            </w:pict>
          </mc:Fallback>
        </mc:AlternateContent>
      </w:r>
      <w:r w:rsidR="00656729">
        <w:rPr>
          <w:noProof/>
        </w:rPr>
        <mc:AlternateContent>
          <mc:Choice Requires="wps">
            <w:drawing>
              <wp:anchor distT="0" distB="0" distL="114300" distR="114300" simplePos="0" relativeHeight="251656192" behindDoc="0" locked="0" layoutInCell="1" allowOverlap="0" wp14:anchorId="7F50C1CD" wp14:editId="5827C3FE">
                <wp:simplePos x="0" y="0"/>
                <wp:positionH relativeFrom="column">
                  <wp:posOffset>2972435</wp:posOffset>
                </wp:positionH>
                <wp:positionV relativeFrom="paragraph">
                  <wp:posOffset>270510</wp:posOffset>
                </wp:positionV>
                <wp:extent cx="342900" cy="314325"/>
                <wp:effectExtent l="0" t="0" r="19050" b="28575"/>
                <wp:wrapNone/>
                <wp:docPr id="1580" name="Text Box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B7446" w:rsidRPr="00BC5EFF" w:rsidRDefault="001B7446" w:rsidP="009038E6">
                            <w:pPr>
                              <w:rPr>
                                <w:b/>
                              </w:rPr>
                            </w:pPr>
                            <w:r>
                              <w:rPr>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9" o:spid="_x0000_s1035" type="#_x0000_t202" style="position:absolute;margin-left:234.05pt;margin-top:21.3pt;width:27pt;height:24.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" o:allowoverlap="f" filled="f">
                <v:textbox>
                  <w:txbxContent>
                    <w:p w:rsidR="001B7446" w:rsidRPr="00BC5EFF" w:rsidRDefault="001B7446" w:rsidP="009038E6">
                      <w:pPr>
                        <w:rPr>
                          <w:b/>
                        </w:rPr>
                      </w:pPr>
                      <w:r>
                        <w:rPr>
                          <w:b/>
                        </w:rPr>
                        <w:t>b</w:t>
                      </w:r>
                    </w:p>
                  </w:txbxContent>
                </v:textbox>
              </v:shape>
            </w:pict>
          </mc:Fallback>
        </mc:AlternateContent>
      </w:r>
      <w:r w:rsidR="00706A3B">
        <w:rPr>
          <w:noProof/>
        </w:rPr>
        <w:drawing>
          <wp:inline distT="0" distB="0" distL="0" distR="0" wp14:anchorId="0896BE1E" wp14:editId="1A084C62">
            <wp:extent cx="2905125" cy="2905125"/>
            <wp:effectExtent l="19050" t="19050" r="28575" b="28575"/>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05125" cy="2905125"/>
                    </a:xfrm>
                    <a:prstGeom prst="rect">
                      <a:avLst/>
                    </a:prstGeom>
                    <a:noFill/>
                    <a:ln w="9525">
                      <a:solidFill>
                        <a:srgbClr val="000000"/>
                      </a:solidFill>
                      <a:miter lim="800000"/>
                      <a:headEnd/>
                      <a:tailEnd/>
                    </a:ln>
                  </pic:spPr>
                </pic:pic>
              </a:graphicData>
            </a:graphic>
          </wp:inline>
        </w:drawing>
      </w:r>
    </w:p>
    <w:p w:rsidR="009038E6" w:rsidRPr="00EF07F3" w:rsidRDefault="009038E6" w:rsidP="009038E6">
      <w:pPr>
        <w:pStyle w:val="Caption"/>
        <w:rPr>
          <w:b/>
          <w:i w:val="0"/>
        </w:rPr>
      </w:pPr>
      <w:bookmarkStart w:id="463" w:name="_Ref325708425"/>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14</w:t>
      </w:r>
      <w:r w:rsidR="00A23C59">
        <w:rPr>
          <w:b/>
        </w:rPr>
        <w:fldChar w:fldCharType="end"/>
      </w:r>
      <w:bookmarkEnd w:id="463"/>
      <w:r>
        <w:rPr>
          <w:b/>
        </w:rPr>
        <w:t xml:space="preserve">. </w:t>
      </w:r>
      <w:r w:rsidRPr="00EF07F3">
        <w:rPr>
          <w:szCs w:val="20"/>
        </w:rPr>
        <w:t>Percent modern carbon (pMC) scatter plots for BHMAR groundwater samples (a) pMC and chloride and (b) pMC and sample depth.</w:t>
      </w:r>
      <w:r w:rsidRPr="00BE08AB">
        <w:rPr>
          <w:bCs w:val="0"/>
          <w:i w:val="0"/>
        </w:rPr>
        <w:t xml:space="preserve"> </w:t>
      </w:r>
      <w:r w:rsidRPr="007960BF">
        <w:rPr>
          <w:bCs w:val="0"/>
          <w:i w:val="0"/>
        </w:rPr>
        <w:fldChar w:fldCharType="begin"/>
      </w:r>
      <w:r w:rsidRPr="007960BF">
        <w:rPr>
          <w:bCs w:val="0"/>
          <w:i w:val="0"/>
        </w:rPr>
        <w:instrText xml:space="preserve"> TC "</w:instrText>
      </w:r>
      <w:bookmarkStart w:id="464" w:name="_Toc325975230"/>
      <w:bookmarkStart w:id="465" w:name="_Toc390690247"/>
      <w:r w:rsidR="00DE0DFA">
        <w:rPr>
          <w:bCs w:val="0"/>
          <w:i w:val="0"/>
        </w:rPr>
        <w:instrText xml:space="preserve">Figure </w:instrText>
      </w:r>
      <w:r w:rsidR="000D653B">
        <w:rPr>
          <w:bCs w:val="0"/>
          <w:i w:val="0"/>
        </w:rPr>
        <w:instrText>6-1</w:instrText>
      </w:r>
      <w:r w:rsidR="00DE0DFA">
        <w:rPr>
          <w:bCs w:val="0"/>
          <w:i w:val="0"/>
        </w:rPr>
        <w:instrText>4.</w:instrText>
      </w:r>
      <w:r w:rsidRPr="007960BF">
        <w:rPr>
          <w:bCs w:val="0"/>
          <w:i w:val="0"/>
        </w:rPr>
        <w:instrText xml:space="preserve"> </w:instrText>
      </w:r>
      <w:r w:rsidRPr="007960BF">
        <w:rPr>
          <w:i w:val="0"/>
          <w:szCs w:val="20"/>
        </w:rPr>
        <w:instrText>Percent modern carbon (pMC) scatter plots for BHMAR groundwater samples</w:instrText>
      </w:r>
      <w:bookmarkEnd w:id="464"/>
      <w:r w:rsidR="005E4B77">
        <w:rPr>
          <w:i w:val="0"/>
          <w:szCs w:val="20"/>
        </w:rPr>
        <w:instrText>.</w:instrText>
      </w:r>
      <w:bookmarkEnd w:id="465"/>
      <w:r w:rsidRPr="007960BF">
        <w:rPr>
          <w:bCs w:val="0"/>
          <w:i w:val="0"/>
        </w:rPr>
        <w:instrText xml:space="preserve">" \f A \l “4” </w:instrText>
      </w:r>
      <w:r w:rsidRPr="007960BF">
        <w:rPr>
          <w:bCs w:val="0"/>
          <w:i w:val="0"/>
        </w:rPr>
        <w:fldChar w:fldCharType="end"/>
      </w:r>
    </w:p>
    <w:p w:rsidR="009038E6" w:rsidRPr="00E008BA" w:rsidRDefault="009038E6" w:rsidP="009038E6"/>
    <w:p w:rsidR="009038E6" w:rsidRPr="006B6F6C" w:rsidRDefault="00706A3B" w:rsidP="00656729">
      <w:pPr>
        <w:spacing w:after="60"/>
        <w:rPr>
          <w:b/>
          <w:i/>
          <w:sz w:val="20"/>
          <w:szCs w:val="20"/>
        </w:rPr>
      </w:pPr>
      <w:r>
        <w:rPr>
          <w:noProof/>
        </w:rPr>
        <w:lastRenderedPageBreak/>
        <w:drawing>
          <wp:inline distT="0" distB="0" distL="0" distR="0" wp14:anchorId="4B670A04" wp14:editId="4AF8210E">
            <wp:extent cx="6049645" cy="8569960"/>
            <wp:effectExtent l="19050" t="19050" r="8255" b="2540"/>
            <wp:docPr id="69" name="Picture 69" descr="Fig35_Hydrochem_regional_wA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35_Hydrochem_regional_wAEM"/>
                    <pic:cNvPicPr>
                      <a:picLocks noChangeAspect="1" noChangeArrowheads="1"/>
                    </pic:cNvPicPr>
                  </pic:nvPicPr>
                  <pic:blipFill>
                    <a:blip r:embed="rId109" cstate="print">
                      <a:extLst>
                        <a:ext uri="{28A0092B-C50C-407E-A947-70E740481C1C}">
                          <a14:useLocalDpi xmlns:a14="http://schemas.microsoft.com/office/drawing/2010/main" val="0"/>
                        </a:ext>
                      </a:extLst>
                    </a:blip>
                    <a:srcRect l="8972" t="6564" r="9103" b="11504"/>
                    <a:stretch>
                      <a:fillRect/>
                    </a:stretch>
                  </pic:blipFill>
                  <pic:spPr bwMode="auto">
                    <a:xfrm>
                      <a:off x="0" y="0"/>
                      <a:ext cx="6049645" cy="8569960"/>
                    </a:xfrm>
                    <a:prstGeom prst="rect">
                      <a:avLst/>
                    </a:prstGeom>
                    <a:noFill/>
                    <a:ln w="12700" cmpd="sng">
                      <a:solidFill>
                        <a:srgbClr val="000000"/>
                      </a:solidFill>
                      <a:miter lim="800000"/>
                      <a:headEnd/>
                      <a:tailEnd/>
                    </a:ln>
                    <a:effectLst/>
                  </pic:spPr>
                </pic:pic>
              </a:graphicData>
            </a:graphic>
          </wp:inline>
        </w:drawing>
      </w:r>
    </w:p>
    <w:p w:rsidR="009038E6" w:rsidRPr="003F4904" w:rsidRDefault="009038E6" w:rsidP="009038E6">
      <w:pPr>
        <w:pStyle w:val="Caption"/>
        <w:rPr>
          <w:i w:val="0"/>
        </w:rPr>
      </w:pPr>
      <w:bookmarkStart w:id="466" w:name="_Ref325708444"/>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15</w:t>
      </w:r>
      <w:r w:rsidR="00A23C59">
        <w:rPr>
          <w:b/>
        </w:rPr>
        <w:fldChar w:fldCharType="end"/>
      </w:r>
      <w:bookmarkEnd w:id="466"/>
      <w:r>
        <w:rPr>
          <w:b/>
        </w:rPr>
        <w:t>.</w:t>
      </w:r>
      <w:r w:rsidRPr="00E30679">
        <w:rPr>
          <w:b/>
        </w:rPr>
        <w:t xml:space="preserve"> </w:t>
      </w:r>
      <w:r w:rsidR="003F4904">
        <w:t>P</w:t>
      </w:r>
      <w:r>
        <w:t xml:space="preserve">ercent modern carbon (pMC) of sampled groundwaters in the </w:t>
      </w:r>
      <w:r w:rsidR="00C217F0">
        <w:t>Calivil Formation</w:t>
      </w:r>
      <w:r>
        <w:t xml:space="preserve"> </w:t>
      </w:r>
      <w:r w:rsidR="00B81A6B">
        <w:t>a</w:t>
      </w:r>
      <w:r>
        <w:t>quifer.</w:t>
      </w:r>
      <w:r w:rsidR="003F4904">
        <w:t xml:space="preserve"> The image is </w:t>
      </w:r>
      <w:r w:rsidR="00B81A6B">
        <w:t>the median conductivity for the AEM</w:t>
      </w:r>
      <w:r w:rsidR="00465915">
        <w:t xml:space="preserve"> </w:t>
      </w:r>
      <w:r w:rsidR="003F4904">
        <w:t>depth slices from 30.9- 61</w:t>
      </w:r>
      <w:r w:rsidR="00A72012">
        <w:t xml:space="preserve"> </w:t>
      </w:r>
      <w:r w:rsidR="003F4904">
        <w:t>m (</w:t>
      </w:r>
      <w:r w:rsidR="00B81A6B">
        <w:t>representative of</w:t>
      </w:r>
      <w:r w:rsidR="00465915">
        <w:t xml:space="preserve"> </w:t>
      </w:r>
      <w:r w:rsidR="003F4904">
        <w:t xml:space="preserve">the </w:t>
      </w:r>
      <w:r w:rsidR="00C217F0">
        <w:t>Calivil Formation</w:t>
      </w:r>
      <w:r w:rsidR="003F4904">
        <w:t xml:space="preserve"> aquifer). </w:t>
      </w:r>
      <w:r w:rsidRPr="003F4904">
        <w:rPr>
          <w:bCs w:val="0"/>
          <w:i w:val="0"/>
        </w:rPr>
        <w:fldChar w:fldCharType="begin"/>
      </w:r>
      <w:r w:rsidRPr="003F4904">
        <w:rPr>
          <w:bCs w:val="0"/>
          <w:i w:val="0"/>
        </w:rPr>
        <w:instrText xml:space="preserve"> TC "</w:instrText>
      </w:r>
      <w:bookmarkStart w:id="467" w:name="_Toc325975231"/>
      <w:bookmarkStart w:id="468" w:name="_Toc390690248"/>
      <w:r w:rsidR="000D653B">
        <w:rPr>
          <w:bCs w:val="0"/>
          <w:i w:val="0"/>
        </w:rPr>
        <w:instrText>Figure 6-1</w:instrText>
      </w:r>
      <w:r w:rsidR="00DE0DFA" w:rsidRPr="003F4904">
        <w:rPr>
          <w:bCs w:val="0"/>
          <w:i w:val="0"/>
        </w:rPr>
        <w:instrText>5.</w:instrText>
      </w:r>
      <w:r w:rsidRPr="003F4904">
        <w:rPr>
          <w:bCs w:val="0"/>
          <w:i w:val="0"/>
        </w:rPr>
        <w:instrText xml:space="preserve"> </w:instrText>
      </w:r>
      <w:bookmarkEnd w:id="467"/>
      <w:r w:rsidR="003F4904" w:rsidRPr="003F4904">
        <w:rPr>
          <w:i w:val="0"/>
        </w:rPr>
        <w:instrText xml:space="preserve">Percent modern carbon (pMC) of sampled groundwaters in the </w:instrText>
      </w:r>
      <w:r w:rsidR="00C217F0">
        <w:rPr>
          <w:i w:val="0"/>
        </w:rPr>
        <w:instrText>Calivil Formation</w:instrText>
      </w:r>
      <w:r w:rsidR="00CC66B7">
        <w:rPr>
          <w:i w:val="0"/>
        </w:rPr>
        <w:instrText xml:space="preserve"> a</w:instrText>
      </w:r>
      <w:r w:rsidR="003F4904" w:rsidRPr="003F4904">
        <w:rPr>
          <w:i w:val="0"/>
        </w:rPr>
        <w:instrText>quifer</w:instrText>
      </w:r>
      <w:r w:rsidR="005E4B77" w:rsidRPr="003F4904">
        <w:rPr>
          <w:bCs w:val="0"/>
          <w:i w:val="0"/>
        </w:rPr>
        <w:instrText>.</w:instrText>
      </w:r>
      <w:bookmarkEnd w:id="468"/>
      <w:r w:rsidRPr="003F4904">
        <w:rPr>
          <w:bCs w:val="0"/>
          <w:i w:val="0"/>
        </w:rPr>
        <w:instrText xml:space="preserve">" \f A \l “4” </w:instrText>
      </w:r>
      <w:r w:rsidRPr="003F4904">
        <w:rPr>
          <w:bCs w:val="0"/>
          <w:i w:val="0"/>
        </w:rPr>
        <w:fldChar w:fldCharType="end"/>
      </w:r>
    </w:p>
    <w:p w:rsidR="008242D7" w:rsidRDefault="00DA40F0" w:rsidP="00021090">
      <w:pPr>
        <w:pStyle w:val="Heading2"/>
        <w:tabs>
          <w:tab w:val="left" w:pos="720"/>
        </w:tabs>
        <w:spacing w:before="320"/>
      </w:pPr>
      <w:bookmarkStart w:id="469" w:name="_Ref327377789"/>
      <w:bookmarkStart w:id="470" w:name="_Toc390690135"/>
      <w:r>
        <w:lastRenderedPageBreak/>
        <w:t>New H</w:t>
      </w:r>
      <w:r w:rsidR="008242D7">
        <w:t xml:space="preserve">ydrogeological </w:t>
      </w:r>
      <w:r>
        <w:t>C</w:t>
      </w:r>
      <w:r w:rsidR="008242D7">
        <w:t xml:space="preserve">onceptual </w:t>
      </w:r>
      <w:r>
        <w:t>M</w:t>
      </w:r>
      <w:r w:rsidR="008242D7">
        <w:t>odel</w:t>
      </w:r>
      <w:bookmarkEnd w:id="469"/>
      <w:bookmarkEnd w:id="470"/>
    </w:p>
    <w:p w:rsidR="009038E6" w:rsidRDefault="009038E6" w:rsidP="009038E6">
      <w:pPr>
        <w:tabs>
          <w:tab w:val="num" w:pos="540"/>
        </w:tabs>
      </w:pPr>
      <w:r>
        <w:t xml:space="preserve">The importance of river (and lake) leakage in recharging the shallow </w:t>
      </w:r>
      <w:r>
        <w:rPr>
          <w:szCs w:val="22"/>
        </w:rPr>
        <w:t>unconfined</w:t>
      </w:r>
      <w:r w:rsidRPr="00D87A67">
        <w:rPr>
          <w:szCs w:val="22"/>
        </w:rPr>
        <w:t xml:space="preserve"> </w:t>
      </w:r>
      <w:r>
        <w:t xml:space="preserve">aquifers and </w:t>
      </w:r>
      <w:r w:rsidR="00C217F0">
        <w:t>Calivil Formation</w:t>
      </w:r>
      <w:r w:rsidR="003F4904">
        <w:t xml:space="preserve"> </w:t>
      </w:r>
      <w:r>
        <w:t>target aquifer is inferred from different lines of evidence, including:</w:t>
      </w:r>
    </w:p>
    <w:p w:rsidR="009038E6" w:rsidRDefault="009038E6" w:rsidP="00102A4D">
      <w:pPr>
        <w:numPr>
          <w:ilvl w:val="0"/>
          <w:numId w:val="20"/>
        </w:numPr>
        <w:tabs>
          <w:tab w:val="clear" w:pos="1080"/>
          <w:tab w:val="num" w:pos="540"/>
        </w:tabs>
        <w:spacing w:before="60"/>
        <w:ind w:left="538" w:hanging="357"/>
        <w:rPr>
          <w:szCs w:val="22"/>
        </w:rPr>
      </w:pPr>
      <w:r>
        <w:rPr>
          <w:szCs w:val="22"/>
        </w:rPr>
        <w:t xml:space="preserve">Interpolation of groundwater salinities based on a relationship between the </w:t>
      </w:r>
      <w:smartTag w:uri="urn:schemas-microsoft-com:office:smarttags" w:element="stockticker">
        <w:r>
          <w:rPr>
            <w:szCs w:val="22"/>
          </w:rPr>
          <w:t>AEM</w:t>
        </w:r>
      </w:smartTag>
      <w:r>
        <w:rPr>
          <w:szCs w:val="22"/>
        </w:rPr>
        <w:t xml:space="preserve"> and pore fluid chemistry showed freshening near the river and in particular leakage sites associated with 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sidR="00C72AD3">
        <w:rPr>
          <w:szCs w:val="22"/>
        </w:rPr>
        <w:t>, with</w:t>
      </w:r>
      <w:r w:rsidR="00465915">
        <w:t xml:space="preserve"> </w:t>
      </w:r>
      <w:r w:rsidR="00C72AD3" w:rsidRPr="00106292">
        <w:fldChar w:fldCharType="begin"/>
      </w:r>
      <w:r w:rsidR="00C72AD3" w:rsidRPr="00106292">
        <w:instrText xml:space="preserve"> REF _Ref325707840 \h  \* MERGEFORMAT </w:instrText>
      </w:r>
      <w:r w:rsidR="00C72AD3" w:rsidRPr="00106292">
        <w:fldChar w:fldCharType="separate"/>
      </w:r>
      <w:r w:rsidR="00966532" w:rsidRPr="00966532">
        <w:t>Figure 6</w:t>
      </w:r>
      <w:r w:rsidR="00966532" w:rsidRPr="00966532">
        <w:noBreakHyphen/>
        <w:t>1</w:t>
      </w:r>
      <w:r w:rsidR="00C72AD3" w:rsidRPr="00106292">
        <w:fldChar w:fldCharType="end"/>
      </w:r>
      <w:r w:rsidR="00465915">
        <w:t xml:space="preserve"> </w:t>
      </w:r>
      <w:r w:rsidR="00C72AD3">
        <w:t>illustrative of this.</w:t>
      </w:r>
    </w:p>
    <w:p w:rsidR="009038E6" w:rsidRPr="00D87A67" w:rsidRDefault="009038E6" w:rsidP="00102A4D">
      <w:pPr>
        <w:numPr>
          <w:ilvl w:val="0"/>
          <w:numId w:val="20"/>
        </w:numPr>
        <w:tabs>
          <w:tab w:val="clear" w:pos="1080"/>
          <w:tab w:val="num" w:pos="540"/>
        </w:tabs>
        <w:spacing w:before="60"/>
        <w:ind w:left="538" w:hanging="357"/>
        <w:rPr>
          <w:szCs w:val="22"/>
        </w:rPr>
      </w:pPr>
      <w:r>
        <w:rPr>
          <w:szCs w:val="22"/>
        </w:rPr>
        <w:t>Watertable c</w:t>
      </w:r>
      <w:r w:rsidRPr="00D87A67">
        <w:rPr>
          <w:szCs w:val="22"/>
        </w:rPr>
        <w:t>ontours interpreted fo</w:t>
      </w:r>
      <w:r>
        <w:rPr>
          <w:szCs w:val="22"/>
        </w:rPr>
        <w:t>r</w:t>
      </w:r>
      <w:r w:rsidRPr="00D87A67">
        <w:rPr>
          <w:szCs w:val="22"/>
        </w:rPr>
        <w:t xml:space="preserve"> the </w:t>
      </w:r>
      <w:r>
        <w:rPr>
          <w:szCs w:val="22"/>
        </w:rPr>
        <w:t xml:space="preserve">shallow </w:t>
      </w:r>
      <w:r w:rsidRPr="00D87A67">
        <w:rPr>
          <w:szCs w:val="22"/>
        </w:rPr>
        <w:t xml:space="preserve">aquifer </w:t>
      </w:r>
      <w:r w:rsidR="00C72AD3">
        <w:rPr>
          <w:szCs w:val="22"/>
        </w:rPr>
        <w:t>(</w:t>
      </w:r>
      <w:r w:rsidR="00C72AD3" w:rsidRPr="00106292">
        <w:fldChar w:fldCharType="begin"/>
      </w:r>
      <w:r w:rsidR="00C72AD3" w:rsidRPr="00106292">
        <w:instrText xml:space="preserve"> REF _Ref325707875 \h  \* MERGEFORMAT </w:instrText>
      </w:r>
      <w:r w:rsidR="00C72AD3" w:rsidRPr="00106292">
        <w:fldChar w:fldCharType="separate"/>
      </w:r>
      <w:r w:rsidR="00966532" w:rsidRPr="00966532">
        <w:t>Figure 6</w:t>
      </w:r>
      <w:r w:rsidR="00966532" w:rsidRPr="00966532">
        <w:noBreakHyphen/>
        <w:t>3</w:t>
      </w:r>
      <w:r w:rsidR="00C72AD3" w:rsidRPr="00106292">
        <w:fldChar w:fldCharType="end"/>
      </w:r>
      <w:r w:rsidR="00C72AD3">
        <w:t xml:space="preserve">) </w:t>
      </w:r>
      <w:r>
        <w:rPr>
          <w:szCs w:val="22"/>
        </w:rPr>
        <w:t>show</w:t>
      </w:r>
      <w:r w:rsidRPr="00D87A67">
        <w:rPr>
          <w:szCs w:val="22"/>
        </w:rPr>
        <w:t xml:space="preserve"> significant mounding </w:t>
      </w:r>
      <w:r>
        <w:rPr>
          <w:szCs w:val="22"/>
        </w:rPr>
        <w:t>near</w:t>
      </w:r>
      <w:r w:rsidRPr="00D87A67">
        <w:rPr>
          <w:szCs w:val="22"/>
        </w:rPr>
        <w:t xml:space="preserve"> the </w:t>
      </w:r>
      <w:smartTag w:uri="urn:schemas-microsoft-com:office:smarttags" w:element="place">
        <w:r w:rsidRPr="00D87A67">
          <w:rPr>
            <w:szCs w:val="22"/>
          </w:rPr>
          <w:t>Darling River</w:t>
        </w:r>
      </w:smartTag>
      <w:r>
        <w:rPr>
          <w:szCs w:val="22"/>
        </w:rPr>
        <w:t xml:space="preserve"> and the MLS. </w:t>
      </w:r>
      <w:r w:rsidRPr="00D87A67">
        <w:rPr>
          <w:szCs w:val="22"/>
        </w:rPr>
        <w:t>The in</w:t>
      </w:r>
      <w:r>
        <w:rPr>
          <w:szCs w:val="22"/>
        </w:rPr>
        <w:t xml:space="preserve">terpreted </w:t>
      </w:r>
      <w:r w:rsidR="003F4904">
        <w:rPr>
          <w:szCs w:val="22"/>
        </w:rPr>
        <w:t>pressure</w:t>
      </w:r>
      <w:r>
        <w:rPr>
          <w:szCs w:val="22"/>
        </w:rPr>
        <w:t xml:space="preserve"> levels</w:t>
      </w:r>
      <w:r w:rsidRPr="00D87A67">
        <w:rPr>
          <w:szCs w:val="22"/>
        </w:rPr>
        <w:t xml:space="preserve"> for the </w:t>
      </w:r>
      <w:r>
        <w:rPr>
          <w:szCs w:val="22"/>
        </w:rPr>
        <w:t xml:space="preserve">underlying </w:t>
      </w:r>
      <w:r w:rsidR="00C217F0">
        <w:rPr>
          <w:szCs w:val="22"/>
        </w:rPr>
        <w:t>Calivil Formation</w:t>
      </w:r>
      <w:r w:rsidR="003F4904">
        <w:rPr>
          <w:szCs w:val="22"/>
        </w:rPr>
        <w:t xml:space="preserve"> </w:t>
      </w:r>
      <w:r>
        <w:rPr>
          <w:szCs w:val="22"/>
        </w:rPr>
        <w:t xml:space="preserve">aquifer </w:t>
      </w:r>
      <w:r w:rsidR="00C72AD3" w:rsidRPr="00106292">
        <w:t>(</w:t>
      </w:r>
      <w:r w:rsidR="00C72AD3" w:rsidRPr="00106292">
        <w:fldChar w:fldCharType="begin"/>
      </w:r>
      <w:r w:rsidR="00C72AD3" w:rsidRPr="00106292">
        <w:instrText xml:space="preserve"> REF _Ref325707881 \h  \* MERGEFORMAT </w:instrText>
      </w:r>
      <w:r w:rsidR="00C72AD3" w:rsidRPr="00106292">
        <w:fldChar w:fldCharType="separate"/>
      </w:r>
      <w:r w:rsidR="00966532" w:rsidRPr="00966532">
        <w:t xml:space="preserve">Figure </w:t>
      </w:r>
      <w:r w:rsidR="00966532" w:rsidRPr="00966532">
        <w:rPr>
          <w:noProof/>
        </w:rPr>
        <w:t>6</w:t>
      </w:r>
      <w:r w:rsidR="00966532" w:rsidRPr="00966532">
        <w:rPr>
          <w:noProof/>
        </w:rPr>
        <w:noBreakHyphen/>
        <w:t>4</w:t>
      </w:r>
      <w:r w:rsidR="00C72AD3" w:rsidRPr="00106292">
        <w:fldChar w:fldCharType="end"/>
      </w:r>
      <w:r w:rsidR="00C72AD3" w:rsidRPr="00106292">
        <w:t xml:space="preserve">) </w:t>
      </w:r>
      <w:r>
        <w:rPr>
          <w:szCs w:val="22"/>
        </w:rPr>
        <w:t xml:space="preserve">have </w:t>
      </w:r>
      <w:r w:rsidRPr="00D87A67">
        <w:rPr>
          <w:szCs w:val="22"/>
        </w:rPr>
        <w:t>a broadly similar pattern suggesting the influence of river leakage, most notably in the GW</w:t>
      </w:r>
      <w:r>
        <w:rPr>
          <w:szCs w:val="22"/>
        </w:rPr>
        <w:t>R</w:t>
      </w:r>
      <w:r w:rsidRPr="00D87A67">
        <w:rPr>
          <w:szCs w:val="22"/>
        </w:rPr>
        <w:t>1 target area.</w:t>
      </w:r>
      <w:r>
        <w:rPr>
          <w:szCs w:val="22"/>
        </w:rPr>
        <w:t xml:space="preserve"> The dominant hydraulic gradient near the river is downwards, reflecting greater opportunity for river leakage (rather than groundwater discharge to the river).</w:t>
      </w:r>
    </w:p>
    <w:p w:rsidR="009038E6" w:rsidRPr="004D632B" w:rsidRDefault="009038E6" w:rsidP="00102A4D">
      <w:pPr>
        <w:numPr>
          <w:ilvl w:val="0"/>
          <w:numId w:val="20"/>
        </w:numPr>
        <w:tabs>
          <w:tab w:val="clear" w:pos="1080"/>
          <w:tab w:val="num" w:pos="540"/>
        </w:tabs>
        <w:spacing w:before="60"/>
        <w:ind w:left="538" w:hanging="357"/>
        <w:rPr>
          <w:szCs w:val="22"/>
        </w:rPr>
      </w:pPr>
      <w:r w:rsidRPr="00D87A67">
        <w:rPr>
          <w:szCs w:val="22"/>
        </w:rPr>
        <w:t xml:space="preserve">The majority of shallow </w:t>
      </w:r>
      <w:r>
        <w:rPr>
          <w:szCs w:val="22"/>
        </w:rPr>
        <w:t>groundwater</w:t>
      </w:r>
      <w:r w:rsidR="00C72AD3">
        <w:rPr>
          <w:szCs w:val="22"/>
        </w:rPr>
        <w:t xml:space="preserve"> samples</w:t>
      </w:r>
      <w:r w:rsidR="00465915">
        <w:rPr>
          <w:szCs w:val="22"/>
        </w:rPr>
        <w:t xml:space="preserve"> </w:t>
      </w:r>
      <w:r w:rsidR="00C72AD3">
        <w:rPr>
          <w:szCs w:val="22"/>
        </w:rPr>
        <w:t xml:space="preserve">near the river </w:t>
      </w:r>
      <w:r>
        <w:rPr>
          <w:szCs w:val="22"/>
        </w:rPr>
        <w:t>ha</w:t>
      </w:r>
      <w:r w:rsidR="00C72AD3">
        <w:rPr>
          <w:szCs w:val="22"/>
        </w:rPr>
        <w:t>s</w:t>
      </w:r>
      <w:r>
        <w:rPr>
          <w:szCs w:val="22"/>
        </w:rPr>
        <w:t xml:space="preserve"> a </w:t>
      </w:r>
      <w:r w:rsidRPr="00D87A67">
        <w:rPr>
          <w:szCs w:val="22"/>
        </w:rPr>
        <w:t xml:space="preserve">chemistry </w:t>
      </w:r>
      <w:r>
        <w:rPr>
          <w:szCs w:val="22"/>
        </w:rPr>
        <w:t xml:space="preserve">dominated by sodium, calcium, magnesium and bicarbonate, which is </w:t>
      </w:r>
      <w:r w:rsidRPr="00D87A67">
        <w:rPr>
          <w:szCs w:val="22"/>
        </w:rPr>
        <w:t xml:space="preserve">similar to </w:t>
      </w:r>
      <w:r>
        <w:rPr>
          <w:szCs w:val="22"/>
        </w:rPr>
        <w:t>the</w:t>
      </w:r>
      <w:r w:rsidRPr="00D87A67">
        <w:rPr>
          <w:szCs w:val="22"/>
        </w:rPr>
        <w:t xml:space="preserve"> </w:t>
      </w:r>
      <w:smartTag w:uri="urn:schemas-microsoft-com:office:smarttags" w:element="place">
        <w:r w:rsidRPr="00D87A67">
          <w:rPr>
            <w:szCs w:val="22"/>
          </w:rPr>
          <w:t>Darling River</w:t>
        </w:r>
      </w:smartTag>
      <w:r>
        <w:rPr>
          <w:szCs w:val="22"/>
        </w:rPr>
        <w:t xml:space="preserve"> </w:t>
      </w:r>
      <w:r w:rsidRPr="00E823BA">
        <w:t>samples</w:t>
      </w:r>
      <w:r w:rsidR="00C72AD3">
        <w:t xml:space="preserve"> </w:t>
      </w:r>
      <w:r w:rsidR="00C72AD3" w:rsidRPr="00106292">
        <w:t>(</w:t>
      </w:r>
      <w:r w:rsidR="00C72AD3" w:rsidRPr="00106292">
        <w:fldChar w:fldCharType="begin"/>
      </w:r>
      <w:r w:rsidR="00C72AD3" w:rsidRPr="00106292">
        <w:instrText xml:space="preserve"> REF _Ref325707942 \h  \* MERGEFORMAT </w:instrText>
      </w:r>
      <w:r w:rsidR="00C72AD3" w:rsidRPr="00106292">
        <w:fldChar w:fldCharType="separate"/>
      </w:r>
      <w:r w:rsidR="00966532" w:rsidRPr="00966532">
        <w:t xml:space="preserve">Figure </w:t>
      </w:r>
      <w:r w:rsidR="00966532" w:rsidRPr="00966532">
        <w:rPr>
          <w:noProof/>
        </w:rPr>
        <w:t>6</w:t>
      </w:r>
      <w:r w:rsidR="00966532" w:rsidRPr="00966532">
        <w:rPr>
          <w:noProof/>
        </w:rPr>
        <w:noBreakHyphen/>
        <w:t>9</w:t>
      </w:r>
      <w:r w:rsidR="00C72AD3" w:rsidRPr="00106292">
        <w:fldChar w:fldCharType="end"/>
      </w:r>
      <w:r w:rsidR="00C72AD3" w:rsidRPr="00106292">
        <w:t>).</w:t>
      </w:r>
    </w:p>
    <w:p w:rsidR="009038E6" w:rsidRPr="00D87A67" w:rsidRDefault="009038E6" w:rsidP="00102A4D">
      <w:pPr>
        <w:numPr>
          <w:ilvl w:val="0"/>
          <w:numId w:val="20"/>
        </w:numPr>
        <w:tabs>
          <w:tab w:val="clear" w:pos="1080"/>
          <w:tab w:val="num" w:pos="540"/>
        </w:tabs>
        <w:spacing w:before="60"/>
        <w:ind w:left="538" w:hanging="357"/>
        <w:rPr>
          <w:szCs w:val="22"/>
        </w:rPr>
      </w:pPr>
      <w:r>
        <w:rPr>
          <w:szCs w:val="22"/>
        </w:rPr>
        <w:t xml:space="preserve">In contrast, local rainfall samples are more enriched in calcium and potassium, suggesting that recharge from rainfall is not as important as river (or lake) leakage. </w:t>
      </w:r>
      <w:r w:rsidRPr="00D87A67">
        <w:rPr>
          <w:szCs w:val="22"/>
        </w:rPr>
        <w:t>A mixing</w:t>
      </w:r>
      <w:r>
        <w:rPr>
          <w:szCs w:val="22"/>
        </w:rPr>
        <w:t xml:space="preserve"> trend is evident between the </w:t>
      </w:r>
      <w:r w:rsidRPr="00D87A67">
        <w:rPr>
          <w:szCs w:val="22"/>
        </w:rPr>
        <w:t>surface waters and shallow groundwaters</w:t>
      </w:r>
      <w:r>
        <w:rPr>
          <w:szCs w:val="22"/>
        </w:rPr>
        <w:t>,</w:t>
      </w:r>
      <w:r w:rsidRPr="00D87A67">
        <w:rPr>
          <w:szCs w:val="22"/>
        </w:rPr>
        <w:t xml:space="preserve"> and </w:t>
      </w:r>
      <w:r>
        <w:rPr>
          <w:szCs w:val="22"/>
        </w:rPr>
        <w:t xml:space="preserve">the more saline and evolved </w:t>
      </w:r>
      <w:r w:rsidR="00C217F0">
        <w:rPr>
          <w:szCs w:val="22"/>
        </w:rPr>
        <w:t>Calivil Formation</w:t>
      </w:r>
      <w:r w:rsidR="003F4904">
        <w:rPr>
          <w:szCs w:val="22"/>
        </w:rPr>
        <w:t xml:space="preserve"> </w:t>
      </w:r>
      <w:r w:rsidRPr="00D87A67">
        <w:rPr>
          <w:szCs w:val="22"/>
        </w:rPr>
        <w:t xml:space="preserve">and </w:t>
      </w:r>
      <w:r w:rsidR="00C217F0">
        <w:rPr>
          <w:szCs w:val="22"/>
        </w:rPr>
        <w:t>Renmark Group</w:t>
      </w:r>
      <w:r w:rsidR="003F4904">
        <w:rPr>
          <w:szCs w:val="22"/>
        </w:rPr>
        <w:t xml:space="preserve"> </w:t>
      </w:r>
      <w:r w:rsidRPr="00D87A67">
        <w:rPr>
          <w:szCs w:val="22"/>
        </w:rPr>
        <w:t>regional groundwaters</w:t>
      </w:r>
      <w:r w:rsidR="00C72AD3">
        <w:rPr>
          <w:szCs w:val="22"/>
        </w:rPr>
        <w:t xml:space="preserve"> </w:t>
      </w:r>
      <w:r w:rsidR="00C72AD3" w:rsidRPr="00106292">
        <w:t>(</w:t>
      </w:r>
      <w:r w:rsidR="00C72AD3" w:rsidRPr="00106292">
        <w:fldChar w:fldCharType="begin"/>
      </w:r>
      <w:r w:rsidR="00C72AD3" w:rsidRPr="00106292">
        <w:instrText xml:space="preserve"> REF _Ref325707942 \h  \* MERGEFORMAT </w:instrText>
      </w:r>
      <w:r w:rsidR="00C72AD3" w:rsidRPr="00106292">
        <w:fldChar w:fldCharType="separate"/>
      </w:r>
      <w:r w:rsidR="00966532" w:rsidRPr="00966532">
        <w:t xml:space="preserve">Figure </w:t>
      </w:r>
      <w:r w:rsidR="00966532" w:rsidRPr="00966532">
        <w:rPr>
          <w:noProof/>
        </w:rPr>
        <w:t>6</w:t>
      </w:r>
      <w:r w:rsidR="00966532" w:rsidRPr="00966532">
        <w:rPr>
          <w:noProof/>
        </w:rPr>
        <w:noBreakHyphen/>
        <w:t>9</w:t>
      </w:r>
      <w:r w:rsidR="00C72AD3" w:rsidRPr="00106292">
        <w:fldChar w:fldCharType="end"/>
      </w:r>
      <w:r w:rsidR="00C72AD3" w:rsidRPr="00106292">
        <w:t>).</w:t>
      </w:r>
    </w:p>
    <w:p w:rsidR="009038E6" w:rsidRPr="00D87A67" w:rsidRDefault="00C72AD3" w:rsidP="00102A4D">
      <w:pPr>
        <w:numPr>
          <w:ilvl w:val="0"/>
          <w:numId w:val="20"/>
        </w:numPr>
        <w:tabs>
          <w:tab w:val="clear" w:pos="1080"/>
          <w:tab w:val="num" w:pos="540"/>
        </w:tabs>
        <w:spacing w:before="60"/>
        <w:ind w:left="538" w:hanging="357"/>
        <w:rPr>
          <w:szCs w:val="22"/>
        </w:rPr>
      </w:pPr>
      <w:r>
        <w:rPr>
          <w:szCs w:val="22"/>
        </w:rPr>
        <w:t>S</w:t>
      </w:r>
      <w:r w:rsidR="009038E6">
        <w:rPr>
          <w:szCs w:val="22"/>
        </w:rPr>
        <w:t>table isotopes of water (</w:t>
      </w:r>
      <w:r w:rsidR="009038E6" w:rsidRPr="00D87A67">
        <w:rPr>
          <w:szCs w:val="22"/>
        </w:rPr>
        <w:t>oxygen-18 and deu</w:t>
      </w:r>
      <w:r w:rsidR="009038E6">
        <w:rPr>
          <w:szCs w:val="22"/>
        </w:rPr>
        <w:t xml:space="preserve">terium) in river, lake, rainfall and groundwater samples show that the </w:t>
      </w:r>
      <w:smartTag w:uri="urn:schemas-microsoft-com:office:smarttags" w:element="place">
        <w:r w:rsidR="009038E6">
          <w:rPr>
            <w:szCs w:val="22"/>
          </w:rPr>
          <w:t>Darling River</w:t>
        </w:r>
      </w:smartTag>
      <w:r w:rsidR="009038E6">
        <w:rPr>
          <w:szCs w:val="22"/>
        </w:rPr>
        <w:t xml:space="preserve"> </w:t>
      </w:r>
      <w:r w:rsidR="009038E6" w:rsidRPr="00D87A67">
        <w:rPr>
          <w:szCs w:val="22"/>
        </w:rPr>
        <w:t>recharge</w:t>
      </w:r>
      <w:r w:rsidR="009038E6">
        <w:rPr>
          <w:szCs w:val="22"/>
        </w:rPr>
        <w:t>s the aquifers</w:t>
      </w:r>
      <w:r w:rsidR="009038E6" w:rsidRPr="00D87A67">
        <w:rPr>
          <w:szCs w:val="22"/>
        </w:rPr>
        <w:t xml:space="preserve">. The fresh </w:t>
      </w:r>
      <w:r w:rsidR="00C217F0">
        <w:rPr>
          <w:szCs w:val="22"/>
        </w:rPr>
        <w:t>Calivil Formation</w:t>
      </w:r>
      <w:r w:rsidR="003F4904">
        <w:rPr>
          <w:szCs w:val="22"/>
        </w:rPr>
        <w:t xml:space="preserve"> </w:t>
      </w:r>
      <w:r w:rsidR="009038E6" w:rsidRPr="00D87A67">
        <w:rPr>
          <w:szCs w:val="22"/>
        </w:rPr>
        <w:t xml:space="preserve">groundwaters have a stable isotope signature similar to </w:t>
      </w:r>
      <w:smartTag w:uri="urn:schemas-microsoft-com:office:smarttags" w:element="place">
        <w:r w:rsidR="009038E6" w:rsidRPr="00D87A67">
          <w:rPr>
            <w:szCs w:val="22"/>
          </w:rPr>
          <w:t>Darling River</w:t>
        </w:r>
      </w:smartTag>
      <w:r w:rsidR="009038E6" w:rsidRPr="00D87A67">
        <w:rPr>
          <w:szCs w:val="22"/>
        </w:rPr>
        <w:t xml:space="preserve"> samples collected during h</w:t>
      </w:r>
      <w:r w:rsidR="009038E6">
        <w:rPr>
          <w:szCs w:val="22"/>
        </w:rPr>
        <w:t xml:space="preserve">igh </w:t>
      </w:r>
      <w:r w:rsidR="009038E6" w:rsidRPr="00795774">
        <w:rPr>
          <w:szCs w:val="22"/>
        </w:rPr>
        <w:t xml:space="preserve">flows </w:t>
      </w:r>
      <w:r w:rsidR="009038E6" w:rsidRPr="00795774">
        <w:t>(</w:t>
      </w:r>
      <w:r w:rsidR="009038E6" w:rsidRPr="00795774">
        <w:fldChar w:fldCharType="begin"/>
      </w:r>
      <w:r w:rsidR="009038E6" w:rsidRPr="00795774">
        <w:instrText xml:space="preserve"> REF _Ref325708389 \h  \* MERGEFORMAT </w:instrText>
      </w:r>
      <w:r w:rsidR="009038E6" w:rsidRPr="00795774">
        <w:fldChar w:fldCharType="separate"/>
      </w:r>
      <w:r w:rsidR="00966532" w:rsidRPr="00966532">
        <w:t xml:space="preserve">Figure </w:t>
      </w:r>
      <w:r w:rsidR="00966532" w:rsidRPr="00966532">
        <w:rPr>
          <w:noProof/>
        </w:rPr>
        <w:t>6</w:t>
      </w:r>
      <w:r w:rsidR="00966532" w:rsidRPr="00966532">
        <w:rPr>
          <w:noProof/>
        </w:rPr>
        <w:noBreakHyphen/>
        <w:t>13</w:t>
      </w:r>
      <w:r w:rsidR="009038E6" w:rsidRPr="00795774">
        <w:fldChar w:fldCharType="end"/>
      </w:r>
      <w:r w:rsidR="009038E6" w:rsidRPr="00795774">
        <w:t>).</w:t>
      </w:r>
      <w:r w:rsidR="009038E6" w:rsidRPr="00E823BA">
        <w:t xml:space="preserve"> </w:t>
      </w:r>
      <w:r w:rsidR="009038E6" w:rsidRPr="00D87A67">
        <w:rPr>
          <w:szCs w:val="22"/>
        </w:rPr>
        <w:t xml:space="preserve">This would support </w:t>
      </w:r>
      <w:r w:rsidR="009038E6">
        <w:rPr>
          <w:szCs w:val="22"/>
        </w:rPr>
        <w:t xml:space="preserve">recharge into the </w:t>
      </w:r>
      <w:r w:rsidR="00C217F0">
        <w:rPr>
          <w:szCs w:val="22"/>
        </w:rPr>
        <w:t>Calivil Formation</w:t>
      </w:r>
      <w:r w:rsidR="003F4904">
        <w:rPr>
          <w:szCs w:val="22"/>
        </w:rPr>
        <w:t xml:space="preserve"> </w:t>
      </w:r>
      <w:r w:rsidR="009038E6">
        <w:rPr>
          <w:szCs w:val="22"/>
        </w:rPr>
        <w:t>being linked to</w:t>
      </w:r>
      <w:r w:rsidR="009038E6" w:rsidRPr="00D87A67">
        <w:rPr>
          <w:szCs w:val="22"/>
        </w:rPr>
        <w:t xml:space="preserve"> high flow events, rather than continual river leakage. </w:t>
      </w:r>
      <w:r w:rsidR="009038E6">
        <w:rPr>
          <w:szCs w:val="22"/>
        </w:rPr>
        <w:t xml:space="preserve">The tight clustering of the </w:t>
      </w:r>
      <w:r w:rsidR="00C217F0">
        <w:rPr>
          <w:szCs w:val="22"/>
        </w:rPr>
        <w:t>Calivil Formation</w:t>
      </w:r>
      <w:r w:rsidR="003F4904">
        <w:rPr>
          <w:szCs w:val="22"/>
        </w:rPr>
        <w:t xml:space="preserve"> </w:t>
      </w:r>
      <w:r w:rsidR="009038E6">
        <w:rPr>
          <w:szCs w:val="22"/>
        </w:rPr>
        <w:t xml:space="preserve">stable isotope samples suggests that recharge is relatively rapid. </w:t>
      </w:r>
      <w:r w:rsidR="009038E6" w:rsidRPr="00D87A67">
        <w:rPr>
          <w:szCs w:val="22"/>
        </w:rPr>
        <w:t xml:space="preserve">The contrast </w:t>
      </w:r>
      <w:r w:rsidR="009038E6">
        <w:rPr>
          <w:szCs w:val="22"/>
        </w:rPr>
        <w:t xml:space="preserve">in the isotopic signature of </w:t>
      </w:r>
      <w:r w:rsidR="009038E6" w:rsidRPr="00D87A67">
        <w:rPr>
          <w:szCs w:val="22"/>
        </w:rPr>
        <w:t xml:space="preserve">the fresh </w:t>
      </w:r>
      <w:r w:rsidR="00C217F0">
        <w:rPr>
          <w:szCs w:val="22"/>
        </w:rPr>
        <w:t>Calivil Formation</w:t>
      </w:r>
      <w:r w:rsidR="003F4904">
        <w:rPr>
          <w:szCs w:val="22"/>
        </w:rPr>
        <w:t xml:space="preserve"> </w:t>
      </w:r>
      <w:r w:rsidR="009038E6" w:rsidRPr="00D87A67">
        <w:rPr>
          <w:szCs w:val="22"/>
        </w:rPr>
        <w:t>groundwat</w:t>
      </w:r>
      <w:r w:rsidR="009038E6">
        <w:rPr>
          <w:szCs w:val="22"/>
        </w:rPr>
        <w:t>ers and that of the</w:t>
      </w:r>
      <w:r w:rsidR="009038E6" w:rsidRPr="00D87A67">
        <w:rPr>
          <w:szCs w:val="22"/>
        </w:rPr>
        <w:t xml:space="preserve"> shallow groundwaters, suggests that </w:t>
      </w:r>
      <w:r w:rsidR="00C217F0">
        <w:rPr>
          <w:szCs w:val="22"/>
        </w:rPr>
        <w:t>Calivil Formation</w:t>
      </w:r>
      <w:r w:rsidR="003F4904">
        <w:rPr>
          <w:szCs w:val="22"/>
        </w:rPr>
        <w:t xml:space="preserve"> </w:t>
      </w:r>
      <w:r w:rsidR="009038E6" w:rsidRPr="00D87A67">
        <w:rPr>
          <w:szCs w:val="22"/>
        </w:rPr>
        <w:t>recharge occurs near-river, rather than via infiltration through the shallow aquifer in the floodplain.</w:t>
      </w:r>
    </w:p>
    <w:p w:rsidR="009038E6" w:rsidRDefault="009038E6" w:rsidP="00102A4D">
      <w:pPr>
        <w:numPr>
          <w:ilvl w:val="0"/>
          <w:numId w:val="20"/>
        </w:numPr>
        <w:tabs>
          <w:tab w:val="clear" w:pos="1080"/>
          <w:tab w:val="num" w:pos="540"/>
        </w:tabs>
        <w:spacing w:before="60"/>
        <w:ind w:left="538" w:hanging="357"/>
        <w:rPr>
          <w:szCs w:val="22"/>
        </w:rPr>
      </w:pPr>
      <w:r w:rsidRPr="00D87A67">
        <w:rPr>
          <w:szCs w:val="22"/>
        </w:rPr>
        <w:t xml:space="preserve">The </w:t>
      </w:r>
      <w:r>
        <w:rPr>
          <w:szCs w:val="22"/>
        </w:rPr>
        <w:t xml:space="preserve">fresh near-river </w:t>
      </w:r>
      <w:r w:rsidRPr="00D87A67">
        <w:rPr>
          <w:szCs w:val="22"/>
        </w:rPr>
        <w:t>shallow groundwater</w:t>
      </w:r>
      <w:r>
        <w:rPr>
          <w:szCs w:val="22"/>
        </w:rPr>
        <w:t xml:space="preserve"> </w:t>
      </w:r>
      <w:r w:rsidRPr="00D87A67">
        <w:rPr>
          <w:szCs w:val="22"/>
        </w:rPr>
        <w:t>typically has a modern carbon signature, further supporting river leakage under current climatic conditions as being the dominant recharge process.</w:t>
      </w:r>
      <w:r>
        <w:rPr>
          <w:szCs w:val="22"/>
        </w:rPr>
        <w:t xml:space="preserve"> There is a decrease in the proportion of </w:t>
      </w:r>
      <w:r w:rsidRPr="00D87A67">
        <w:rPr>
          <w:szCs w:val="22"/>
        </w:rPr>
        <w:t xml:space="preserve">modern carbon as the </w:t>
      </w:r>
      <w:r w:rsidR="00C217F0">
        <w:rPr>
          <w:szCs w:val="22"/>
        </w:rPr>
        <w:t>Calivil Formation</w:t>
      </w:r>
      <w:r w:rsidR="003F4904">
        <w:rPr>
          <w:szCs w:val="22"/>
        </w:rPr>
        <w:t xml:space="preserve"> </w:t>
      </w:r>
      <w:r w:rsidRPr="00D87A67">
        <w:rPr>
          <w:szCs w:val="22"/>
        </w:rPr>
        <w:t>groundwaters progressively become more saline and less influenced by modern recharge.</w:t>
      </w:r>
    </w:p>
    <w:p w:rsidR="009038E6" w:rsidRPr="00795774" w:rsidRDefault="009038E6" w:rsidP="00102A4D">
      <w:pPr>
        <w:numPr>
          <w:ilvl w:val="0"/>
          <w:numId w:val="20"/>
        </w:numPr>
        <w:tabs>
          <w:tab w:val="clear" w:pos="1080"/>
          <w:tab w:val="num" w:pos="540"/>
        </w:tabs>
        <w:spacing w:before="60"/>
        <w:ind w:left="538" w:hanging="357"/>
        <w:rPr>
          <w:szCs w:val="22"/>
        </w:rPr>
      </w:pPr>
      <w:r>
        <w:rPr>
          <w:szCs w:val="22"/>
        </w:rPr>
        <w:t>Data from monitoring bores screened in the unconfined</w:t>
      </w:r>
      <w:r w:rsidR="00E27075">
        <w:rPr>
          <w:szCs w:val="22"/>
        </w:rPr>
        <w:t xml:space="preserve"> Quaternary</w:t>
      </w:r>
      <w:r>
        <w:rPr>
          <w:szCs w:val="22"/>
        </w:rPr>
        <w:t xml:space="preserve">, </w:t>
      </w:r>
      <w:r w:rsidR="00DF0CAB">
        <w:rPr>
          <w:szCs w:val="22"/>
        </w:rPr>
        <w:t>semi</w:t>
      </w:r>
      <w:r w:rsidR="00E27075">
        <w:rPr>
          <w:szCs w:val="22"/>
        </w:rPr>
        <w:t xml:space="preserve">-confined </w:t>
      </w:r>
      <w:r w:rsidR="00C217F0">
        <w:rPr>
          <w:szCs w:val="22"/>
        </w:rPr>
        <w:t>Calivil Formation</w:t>
      </w:r>
      <w:r w:rsidR="003F4904">
        <w:rPr>
          <w:szCs w:val="22"/>
        </w:rPr>
        <w:t xml:space="preserve"> </w:t>
      </w:r>
      <w:r>
        <w:rPr>
          <w:szCs w:val="22"/>
        </w:rPr>
        <w:t xml:space="preserve">and </w:t>
      </w:r>
      <w:r w:rsidR="00E27075">
        <w:rPr>
          <w:szCs w:val="22"/>
        </w:rPr>
        <w:t xml:space="preserve">confined </w:t>
      </w:r>
      <w:r w:rsidR="00C217F0">
        <w:rPr>
          <w:szCs w:val="22"/>
        </w:rPr>
        <w:t>Renmark Group</w:t>
      </w:r>
      <w:r w:rsidR="003F4904">
        <w:rPr>
          <w:szCs w:val="22"/>
        </w:rPr>
        <w:t xml:space="preserve"> </w:t>
      </w:r>
      <w:r>
        <w:rPr>
          <w:szCs w:val="22"/>
        </w:rPr>
        <w:t xml:space="preserve">aquifers show rises in groundwater levels associated with high flow events in the </w:t>
      </w:r>
      <w:smartTag w:uri="urn:schemas-microsoft-com:office:smarttags" w:element="place">
        <w:r>
          <w:rPr>
            <w:szCs w:val="22"/>
          </w:rPr>
          <w:t xml:space="preserve">Darling </w:t>
        </w:r>
        <w:r w:rsidRPr="00795774">
          <w:t>River</w:t>
        </w:r>
      </w:smartTag>
      <w:r w:rsidRPr="00795774">
        <w:t xml:space="preserve"> (</w:t>
      </w:r>
      <w:r w:rsidRPr="00795774">
        <w:fldChar w:fldCharType="begin"/>
      </w:r>
      <w:r w:rsidRPr="00795774">
        <w:instrText xml:space="preserve"> REF _Ref325707907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5</w:t>
      </w:r>
      <w:r w:rsidRPr="00795774">
        <w:fldChar w:fldCharType="end"/>
      </w:r>
      <w:r w:rsidRPr="00795774">
        <w:t xml:space="preserve"> to </w:t>
      </w:r>
      <w:r w:rsidRPr="00795774">
        <w:fldChar w:fldCharType="begin"/>
      </w:r>
      <w:r w:rsidRPr="00795774">
        <w:instrText xml:space="preserve"> REF _Ref325707925 \h  \* MERGEFORMAT </w:instrText>
      </w:r>
      <w:r w:rsidRPr="00795774">
        <w:fldChar w:fldCharType="separate"/>
      </w:r>
      <w:r w:rsidR="00966532" w:rsidRPr="00966532">
        <w:t xml:space="preserve">Figure </w:t>
      </w:r>
      <w:r w:rsidR="00966532" w:rsidRPr="00966532">
        <w:rPr>
          <w:noProof/>
        </w:rPr>
        <w:t>6</w:t>
      </w:r>
      <w:r w:rsidR="00966532" w:rsidRPr="00966532">
        <w:rPr>
          <w:noProof/>
        </w:rPr>
        <w:noBreakHyphen/>
        <w:t>7</w:t>
      </w:r>
      <w:r w:rsidRPr="00795774">
        <w:fldChar w:fldCharType="end"/>
      </w:r>
      <w:r w:rsidRPr="00795774">
        <w:t>). Overb</w:t>
      </w:r>
      <w:r w:rsidRPr="00795774">
        <w:rPr>
          <w:szCs w:val="22"/>
        </w:rPr>
        <w:t xml:space="preserve">ank flow is not necessary for such recharge to occur. The continuation of rising trends in the </w:t>
      </w:r>
      <w:r w:rsidR="00C217F0">
        <w:rPr>
          <w:szCs w:val="22"/>
        </w:rPr>
        <w:t>Calivil Formation</w:t>
      </w:r>
      <w:r w:rsidR="003F4904">
        <w:rPr>
          <w:szCs w:val="22"/>
        </w:rPr>
        <w:t xml:space="preserve"> </w:t>
      </w:r>
      <w:r w:rsidRPr="00795774">
        <w:rPr>
          <w:szCs w:val="22"/>
        </w:rPr>
        <w:t xml:space="preserve">monitoring bores after the flood peak recedes suggests that this is an actual recharge response rather than hydraulic loading. Simple Darcian vertical infiltration </w:t>
      </w:r>
      <w:r w:rsidR="00E27075">
        <w:rPr>
          <w:szCs w:val="22"/>
        </w:rPr>
        <w:t xml:space="preserve">through the overlying Blanchetown Clay </w:t>
      </w:r>
      <w:r w:rsidRPr="00795774">
        <w:rPr>
          <w:szCs w:val="22"/>
        </w:rPr>
        <w:t>cannot explain the rapid response. Faulting</w:t>
      </w:r>
      <w:r w:rsidR="00C72AD3">
        <w:rPr>
          <w:szCs w:val="22"/>
        </w:rPr>
        <w:t xml:space="preserve">, </w:t>
      </w:r>
      <w:r w:rsidRPr="00795774">
        <w:rPr>
          <w:szCs w:val="22"/>
        </w:rPr>
        <w:t xml:space="preserve">vertical structural offsets of formations </w:t>
      </w:r>
      <w:r w:rsidR="00C72AD3">
        <w:rPr>
          <w:szCs w:val="22"/>
        </w:rPr>
        <w:t xml:space="preserve">and gaps in aquitards </w:t>
      </w:r>
      <w:r w:rsidRPr="00795774">
        <w:rPr>
          <w:szCs w:val="22"/>
        </w:rPr>
        <w:t>near the river could result in pathways for such by-pass flow.</w:t>
      </w:r>
    </w:p>
    <w:p w:rsidR="009038E6" w:rsidRDefault="009038E6" w:rsidP="009038E6">
      <w:pPr>
        <w:tabs>
          <w:tab w:val="num" w:pos="540"/>
        </w:tabs>
      </w:pPr>
    </w:p>
    <w:p w:rsidR="009038E6" w:rsidRPr="00106292" w:rsidRDefault="003F4904" w:rsidP="009038E6">
      <w:pPr>
        <w:rPr>
          <w:szCs w:val="22"/>
        </w:rPr>
      </w:pPr>
      <w:r w:rsidRPr="00106292">
        <w:t xml:space="preserve">A more detailed interpretation and discussion is to be found in </w:t>
      </w:r>
      <w:r w:rsidRPr="00106292">
        <w:rPr>
          <w:szCs w:val="22"/>
        </w:rPr>
        <w:t>Lawrie</w:t>
      </w:r>
      <w:r w:rsidR="008A5F7D" w:rsidRPr="00CF7613">
        <w:rPr>
          <w:rStyle w:val="StyleItalic"/>
        </w:rPr>
        <w:t xml:space="preserve"> et al</w:t>
      </w:r>
      <w:r w:rsidRPr="00106292">
        <w:rPr>
          <w:szCs w:val="22"/>
        </w:rPr>
        <w:t>. (2012b), with s</w:t>
      </w:r>
      <w:r w:rsidR="009038E6" w:rsidRPr="00106292">
        <w:t xml:space="preserve">upporting data </w:t>
      </w:r>
      <w:r w:rsidRPr="00106292">
        <w:t>in</w:t>
      </w:r>
      <w:r w:rsidR="009038E6" w:rsidRPr="00106292">
        <w:t xml:space="preserve"> </w:t>
      </w:r>
      <w:r w:rsidR="00B03359">
        <w:t>Appendix 6 (</w:t>
      </w:r>
      <w:r w:rsidR="009038E6" w:rsidRPr="00106292">
        <w:t>Somerville</w:t>
      </w:r>
      <w:r w:rsidR="008A5F7D" w:rsidRPr="00CF7613">
        <w:rPr>
          <w:rStyle w:val="StyleItalic"/>
        </w:rPr>
        <w:t xml:space="preserve"> et al</w:t>
      </w:r>
      <w:r w:rsidR="009038E6" w:rsidRPr="00106292">
        <w:t>.</w:t>
      </w:r>
      <w:r w:rsidR="00B03359">
        <w:t>,</w:t>
      </w:r>
      <w:r w:rsidR="009038E6" w:rsidRPr="00106292">
        <w:t xml:space="preserve"> 2012), </w:t>
      </w:r>
      <w:r w:rsidRPr="00106292">
        <w:t xml:space="preserve">and </w:t>
      </w:r>
      <w:r w:rsidR="009038E6" w:rsidRPr="00106292">
        <w:t xml:space="preserve">specific methods used </w:t>
      </w:r>
      <w:r w:rsidRPr="00106292">
        <w:t>in</w:t>
      </w:r>
      <w:r w:rsidR="009038E6" w:rsidRPr="00106292">
        <w:t xml:space="preserve"> </w:t>
      </w:r>
      <w:r w:rsidR="009038E6" w:rsidRPr="00106292">
        <w:rPr>
          <w:szCs w:val="22"/>
        </w:rPr>
        <w:t>Lawrie</w:t>
      </w:r>
      <w:r w:rsidR="008A5F7D" w:rsidRPr="00CF7613">
        <w:rPr>
          <w:rStyle w:val="StyleItalic"/>
        </w:rPr>
        <w:t xml:space="preserve"> et al</w:t>
      </w:r>
      <w:r w:rsidR="009038E6" w:rsidRPr="00106292">
        <w:rPr>
          <w:szCs w:val="22"/>
        </w:rPr>
        <w:t>. (2012a)</w:t>
      </w:r>
      <w:r w:rsidRPr="00106292">
        <w:t>.</w:t>
      </w:r>
    </w:p>
    <w:p w:rsidR="003F4904" w:rsidRPr="00106292" w:rsidRDefault="003F4904" w:rsidP="009038E6">
      <w:pPr>
        <w:tabs>
          <w:tab w:val="num" w:pos="540"/>
        </w:tabs>
      </w:pPr>
    </w:p>
    <w:p w:rsidR="009038E6" w:rsidRPr="00795774" w:rsidRDefault="009038E6" w:rsidP="009038E6">
      <w:pPr>
        <w:tabs>
          <w:tab w:val="num" w:pos="540"/>
        </w:tabs>
      </w:pPr>
      <w:r w:rsidRPr="00106292">
        <w:fldChar w:fldCharType="begin"/>
      </w:r>
      <w:r w:rsidRPr="00106292">
        <w:instrText xml:space="preserve"> REF _Ref327377172 \h  \* MERGEFORMAT </w:instrText>
      </w:r>
      <w:r w:rsidRPr="00106292">
        <w:fldChar w:fldCharType="separate"/>
      </w:r>
      <w:r w:rsidR="00966532" w:rsidRPr="00966532">
        <w:t>Figure 6</w:t>
      </w:r>
      <w:r w:rsidR="00966532" w:rsidRPr="00966532">
        <w:noBreakHyphen/>
        <w:t>16</w:t>
      </w:r>
      <w:r w:rsidRPr="00106292">
        <w:fldChar w:fldCharType="end"/>
      </w:r>
      <w:r w:rsidRPr="00106292">
        <w:t xml:space="preserve"> summarises the conceptual model (</w:t>
      </w:r>
      <w:r w:rsidRPr="00106292">
        <w:rPr>
          <w:szCs w:val="22"/>
        </w:rPr>
        <w:t>Lawrie</w:t>
      </w:r>
      <w:r w:rsidR="008A5F7D" w:rsidRPr="00CF7613">
        <w:rPr>
          <w:rStyle w:val="StyleItalic"/>
        </w:rPr>
        <w:t xml:space="preserve"> et al</w:t>
      </w:r>
      <w:r w:rsidRPr="00106292">
        <w:rPr>
          <w:szCs w:val="22"/>
        </w:rPr>
        <w:t xml:space="preserve">., 2012b) </w:t>
      </w:r>
      <w:r w:rsidRPr="00106292">
        <w:t xml:space="preserve">showing the configuration of aquifers and aquitards and the recharge dynamics associated with the </w:t>
      </w:r>
      <w:smartTag w:uri="urn:schemas-microsoft-com:office:smarttags" w:element="place">
        <w:r w:rsidRPr="00106292">
          <w:t>Darling River</w:t>
        </w:r>
      </w:smartTag>
      <w:r w:rsidRPr="00106292">
        <w:t>. During low flow conditions (</w:t>
      </w:r>
      <w:r w:rsidRPr="00106292">
        <w:fldChar w:fldCharType="begin"/>
      </w:r>
      <w:r w:rsidRPr="00106292">
        <w:instrText xml:space="preserve"> REF _Ref327377172 \h  \* MERGEFORMAT </w:instrText>
      </w:r>
      <w:r w:rsidRPr="00106292">
        <w:fldChar w:fldCharType="separate"/>
      </w:r>
      <w:r w:rsidR="00966532" w:rsidRPr="00966532">
        <w:t>Figure 6</w:t>
      </w:r>
      <w:r w:rsidR="00966532" w:rsidRPr="00966532">
        <w:noBreakHyphen/>
        <w:t>16</w:t>
      </w:r>
      <w:r w:rsidRPr="00106292">
        <w:fldChar w:fldCharType="end"/>
      </w:r>
      <w:r w:rsidRPr="00106292">
        <w:t xml:space="preserve">a) there is no recharge </w:t>
      </w:r>
      <w:r w:rsidR="00390B6D">
        <w:t>because</w:t>
      </w:r>
      <w:r w:rsidRPr="00106292">
        <w:t xml:space="preserve"> a mud veneer </w:t>
      </w:r>
      <w:r w:rsidR="00102A4D" w:rsidRPr="00106292">
        <w:t xml:space="preserve">(up to 20cm thick) </w:t>
      </w:r>
      <w:r w:rsidRPr="00106292">
        <w:t xml:space="preserve">and mineral precipitates </w:t>
      </w:r>
      <w:r w:rsidR="00102A4D" w:rsidRPr="00106292">
        <w:t xml:space="preserve">in </w:t>
      </w:r>
      <w:r w:rsidRPr="00106292">
        <w:t xml:space="preserve">the river </w:t>
      </w:r>
      <w:r w:rsidR="00102A4D" w:rsidRPr="00106292">
        <w:t xml:space="preserve">banks </w:t>
      </w:r>
      <w:r w:rsidRPr="00106292">
        <w:t xml:space="preserve">act as an effective seal. </w:t>
      </w:r>
      <w:r w:rsidR="00102A4D" w:rsidRPr="00106292">
        <w:t xml:space="preserve">Laboratory infiltration tests </w:t>
      </w:r>
      <w:r w:rsidR="00DE3247" w:rsidRPr="00106292">
        <w:t>of river bank materials confirm</w:t>
      </w:r>
      <w:r w:rsidR="00102A4D" w:rsidRPr="00106292">
        <w:t xml:space="preserve"> the very low permeability of these mud veneers (</w:t>
      </w:r>
      <w:r w:rsidR="003015AB" w:rsidRPr="00106292">
        <w:t>Page</w:t>
      </w:r>
      <w:r w:rsidR="008A5F7D" w:rsidRPr="00CF7613">
        <w:rPr>
          <w:rStyle w:val="StyleItalic"/>
        </w:rPr>
        <w:t xml:space="preserve"> et al</w:t>
      </w:r>
      <w:r w:rsidR="00102A4D" w:rsidRPr="00106292">
        <w:t>., 2010</w:t>
      </w:r>
      <w:r w:rsidR="003015AB" w:rsidRPr="00106292">
        <w:t>b</w:t>
      </w:r>
      <w:r w:rsidR="00102A4D" w:rsidRPr="00106292">
        <w:t xml:space="preserve">). </w:t>
      </w:r>
      <w:r w:rsidRPr="00106292">
        <w:t xml:space="preserve">Under no-flow conditions, </w:t>
      </w:r>
      <w:r w:rsidR="00102A4D" w:rsidRPr="00106292">
        <w:t xml:space="preserve">the deep holes in the river bed, which are surprisingly devoid of significant debris, </w:t>
      </w:r>
      <w:r w:rsidRPr="00106292">
        <w:t>can be windows to the watertable (within the shallow unconfined aquifer), and act as critical drought refuges for the aquatic ecosystem.</w:t>
      </w:r>
    </w:p>
    <w:p w:rsidR="009038E6" w:rsidRPr="00795774" w:rsidRDefault="009038E6" w:rsidP="009038E6"/>
    <w:p w:rsidR="009038E6" w:rsidRDefault="009038E6" w:rsidP="009038E6">
      <w:r w:rsidRPr="00106292">
        <w:t>During high-flow conditions (</w:t>
      </w:r>
      <w:r w:rsidRPr="00106292">
        <w:fldChar w:fldCharType="begin"/>
      </w:r>
      <w:r w:rsidRPr="00106292">
        <w:instrText xml:space="preserve"> REF _Ref327377172 \h  \* MERGEFORMAT </w:instrText>
      </w:r>
      <w:r w:rsidRPr="00106292">
        <w:fldChar w:fldCharType="separate"/>
      </w:r>
      <w:r w:rsidR="00966532" w:rsidRPr="00966532">
        <w:t>Figure 6</w:t>
      </w:r>
      <w:r w:rsidR="00966532" w:rsidRPr="00966532">
        <w:noBreakHyphen/>
        <w:t>16</w:t>
      </w:r>
      <w:r w:rsidRPr="00106292">
        <w:fldChar w:fldCharType="end"/>
      </w:r>
      <w:r w:rsidRPr="00106292">
        <w:t>b), the river banks and bed are scoured and the mud veneer seal is remove</w:t>
      </w:r>
      <w:r w:rsidR="00102A4D" w:rsidRPr="00106292">
        <w:t xml:space="preserve">d, revealing accretion surfaces within </w:t>
      </w:r>
      <w:r w:rsidR="00390B6D">
        <w:t xml:space="preserve">the </w:t>
      </w:r>
      <w:r w:rsidR="00C217F0">
        <w:t>Menindee Formation</w:t>
      </w:r>
      <w:r w:rsidR="00102A4D" w:rsidRPr="00106292">
        <w:t xml:space="preserve"> and </w:t>
      </w:r>
      <w:r w:rsidR="00C217F0">
        <w:t>Coonambidgal Formation</w:t>
      </w:r>
      <w:r w:rsidR="00102A4D" w:rsidRPr="00106292">
        <w:t xml:space="preserve"> scroll plain sediments (Lawrie</w:t>
      </w:r>
      <w:r w:rsidR="008A5F7D" w:rsidRPr="00CF7613">
        <w:rPr>
          <w:rStyle w:val="StyleItalic"/>
        </w:rPr>
        <w:t xml:space="preserve"> et al</w:t>
      </w:r>
      <w:r w:rsidR="00102A4D" w:rsidRPr="00106292">
        <w:t xml:space="preserve">., 2012b). In places, there is also significant erosion of the river banks, with apparent preferential erosion of </w:t>
      </w:r>
      <w:r w:rsidR="00390B6D">
        <w:t xml:space="preserve">the </w:t>
      </w:r>
      <w:r w:rsidR="00C217F0">
        <w:t>Coonambidgal Formation</w:t>
      </w:r>
      <w:r w:rsidR="00102A4D" w:rsidRPr="00106292">
        <w:t xml:space="preserve">, which </w:t>
      </w:r>
      <w:r w:rsidR="00DE3247" w:rsidRPr="00106292">
        <w:t>is less cemented</w:t>
      </w:r>
      <w:r w:rsidR="00102A4D" w:rsidRPr="00106292">
        <w:t xml:space="preserve"> than the </w:t>
      </w:r>
      <w:r w:rsidR="00C217F0">
        <w:t>Menindee Formation</w:t>
      </w:r>
      <w:r w:rsidR="00102A4D" w:rsidRPr="00106292">
        <w:t xml:space="preserve"> on the river banks. T</w:t>
      </w:r>
      <w:r w:rsidRPr="00106292">
        <w:t xml:space="preserve">his allows recharge to occur predominantly by lateral bank recharge through </w:t>
      </w:r>
      <w:r w:rsidRPr="00106292">
        <w:lastRenderedPageBreak/>
        <w:t>the sandy sequences in the shallow aquifer as well as bypass flow via</w:t>
      </w:r>
      <w:r w:rsidRPr="003543D8">
        <w:t xml:space="preserve"> faults</w:t>
      </w:r>
      <w:r>
        <w:t xml:space="preserve">. The high river stage level facilitates lateral and downward leakage. Overbank flow is not a pre-requisite for recharge but can provide other localised recharge pathways in the floodplain. Structural features and gaps in the Blanchetown Clay confining layer provide flow paths to the </w:t>
      </w:r>
      <w:r w:rsidR="00C217F0">
        <w:t>Calivil Formation</w:t>
      </w:r>
      <w:r>
        <w:t xml:space="preserve"> aquifer. During flood recession, there may be</w:t>
      </w:r>
      <w:r w:rsidRPr="003543D8">
        <w:t xml:space="preserve"> some drain-back from </w:t>
      </w:r>
      <w:r>
        <w:t xml:space="preserve">bank storage in the </w:t>
      </w:r>
      <w:r w:rsidRPr="00106292">
        <w:t xml:space="preserve">unconfined aquifers encouraging carbonate precipitation. </w:t>
      </w:r>
      <w:r w:rsidR="00102A4D" w:rsidRPr="00106292">
        <w:t xml:space="preserve">Comparison of bank and </w:t>
      </w:r>
      <w:r w:rsidR="00DF0CAB">
        <w:t>bore</w:t>
      </w:r>
      <w:r w:rsidR="00102A4D" w:rsidRPr="00106292">
        <w:t xml:space="preserve">hole materials also reveals that the degree of cementation in the </w:t>
      </w:r>
      <w:r w:rsidR="00C217F0">
        <w:t>Menindee Formation</w:t>
      </w:r>
      <w:r w:rsidR="00102A4D" w:rsidRPr="00106292">
        <w:t xml:space="preserve"> sediments increases significantly in a narrow zone near the river banks (Lawrie</w:t>
      </w:r>
      <w:r w:rsidR="008A5F7D" w:rsidRPr="00CF7613">
        <w:rPr>
          <w:rStyle w:val="StyleItalic"/>
        </w:rPr>
        <w:t xml:space="preserve"> et al</w:t>
      </w:r>
      <w:r w:rsidR="00102A4D" w:rsidRPr="00106292">
        <w:t xml:space="preserve">., 2012b). </w:t>
      </w:r>
      <w:r w:rsidRPr="00106292">
        <w:t>The</w:t>
      </w:r>
      <w:r>
        <w:t xml:space="preserve"> mud veneer also re</w:t>
      </w:r>
      <w:r w:rsidR="00102A4D">
        <w:t>-</w:t>
      </w:r>
      <w:r>
        <w:t xml:space="preserve">deposits with declining river stage and flow velocities. Over time, the system returns to relatively low-flow conditions with the channel mud veneer again constraining river leakage. The overall conclusion from our investigations is that recharge to the </w:t>
      </w:r>
      <w:r w:rsidR="00C217F0">
        <w:t>Calivil Formation</w:t>
      </w:r>
      <w:r>
        <w:t xml:space="preserve"> target aquifer is mainly due to river leakage associated with high flow events (such as major flooding) of the </w:t>
      </w:r>
      <w:smartTag w:uri="urn:schemas-microsoft-com:office:smarttags" w:element="place">
        <w:r>
          <w:t>Darling River</w:t>
        </w:r>
      </w:smartTag>
      <w:r>
        <w:t xml:space="preserve">. </w:t>
      </w:r>
    </w:p>
    <w:p w:rsidR="00F21C43" w:rsidRDefault="00F21C43" w:rsidP="009038E6"/>
    <w:p w:rsidR="009038E6" w:rsidRDefault="00706A3B" w:rsidP="00656729">
      <w:pPr>
        <w:spacing w:after="60"/>
      </w:pPr>
      <w:r>
        <w:rPr>
          <w:noProof/>
        </w:rPr>
        <w:drawing>
          <wp:inline distT="0" distB="0" distL="0" distR="0" wp14:anchorId="2C18FB9E" wp14:editId="55799498">
            <wp:extent cx="6064531" cy="567753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6064531" cy="5677535"/>
                    </a:xfrm>
                    <a:prstGeom prst="rect">
                      <a:avLst/>
                    </a:prstGeom>
                    <a:noFill/>
                    <a:ln>
                      <a:noFill/>
                    </a:ln>
                  </pic:spPr>
                </pic:pic>
              </a:graphicData>
            </a:graphic>
          </wp:inline>
        </w:drawing>
      </w:r>
    </w:p>
    <w:p w:rsidR="009038E6" w:rsidRDefault="009038E6" w:rsidP="00021090">
      <w:pPr>
        <w:pStyle w:val="Caption"/>
      </w:pPr>
      <w:bookmarkStart w:id="471" w:name="_Ref32737717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16</w:t>
      </w:r>
      <w:r w:rsidR="00A23C59">
        <w:rPr>
          <w:b/>
        </w:rPr>
        <w:fldChar w:fldCharType="end"/>
      </w:r>
      <w:bookmarkEnd w:id="471"/>
      <w:r w:rsidRPr="004F730A">
        <w:rPr>
          <w:b/>
        </w:rPr>
        <w:t xml:space="preserve">. </w:t>
      </w:r>
      <w:r w:rsidRPr="004F730A">
        <w:t>Conceptual</w:t>
      </w:r>
      <w:r w:rsidRPr="00843A54">
        <w:t xml:space="preserve"> model for groundwater recharge in the Darling Floodplain alluvial</w:t>
      </w:r>
      <w:r>
        <w:t xml:space="preserve"> sediments (A) during low to average flow conditions and (B) during high flow conditions.</w:t>
      </w:r>
      <w:r w:rsidRPr="00BE08AB">
        <w:t xml:space="preserve"> </w:t>
      </w:r>
      <w:r w:rsidRPr="007960BF">
        <w:fldChar w:fldCharType="begin"/>
      </w:r>
      <w:r w:rsidRPr="007960BF">
        <w:instrText xml:space="preserve"> TC "</w:instrText>
      </w:r>
      <w:bookmarkStart w:id="472" w:name="_Toc325975232"/>
      <w:bookmarkStart w:id="473" w:name="_Toc390690249"/>
      <w:r w:rsidR="00DE0DFA">
        <w:instrText xml:space="preserve">Figure </w:instrText>
      </w:r>
      <w:r w:rsidR="000D653B">
        <w:instrText>6-1</w:instrText>
      </w:r>
      <w:r w:rsidR="00DE0DFA">
        <w:instrText>6.</w:instrText>
      </w:r>
      <w:r w:rsidRPr="007960BF">
        <w:instrText xml:space="preserve"> Conceptual model for groundwater recharge in the Darling Floodplain alluvial sediments</w:instrText>
      </w:r>
      <w:bookmarkEnd w:id="472"/>
      <w:r w:rsidR="005E4B77">
        <w:instrText>.</w:instrText>
      </w:r>
      <w:bookmarkEnd w:id="473"/>
      <w:r w:rsidRPr="007960BF">
        <w:instrText xml:space="preserve">" \f A \l “4” </w:instrText>
      </w:r>
      <w:r w:rsidRPr="007960BF">
        <w:fldChar w:fldCharType="end"/>
      </w:r>
    </w:p>
    <w:p w:rsidR="008242D7" w:rsidRDefault="000F7173" w:rsidP="00021090">
      <w:pPr>
        <w:pStyle w:val="Heading2"/>
        <w:tabs>
          <w:tab w:val="left" w:pos="720"/>
        </w:tabs>
        <w:spacing w:before="320"/>
      </w:pPr>
      <w:r>
        <w:br w:type="page"/>
      </w:r>
      <w:bookmarkStart w:id="474" w:name="_Toc390690136"/>
      <w:r w:rsidR="00DA40F0">
        <w:lastRenderedPageBreak/>
        <w:t>Recharge E</w:t>
      </w:r>
      <w:r w:rsidR="008242D7">
        <w:t>stimation</w:t>
      </w:r>
      <w:bookmarkEnd w:id="474"/>
    </w:p>
    <w:p w:rsidR="009038E6" w:rsidRDefault="009038E6" w:rsidP="009038E6">
      <w:r>
        <w:t>Di</w:t>
      </w:r>
      <w:r w:rsidRPr="00106292">
        <w:t xml:space="preserve">fferent approaches were taken to estimate groundwater recharge. This included applying the watertable fluctuation method (Healy &amp; Cook, 2002), the steady state groundwater mounding equation of Bouwer (2002) and radiocarbon depth models for unconfined and confined aquifers (Cook &amp; Bohlke, 2000). Each of these methods is discussed in more detail in </w:t>
      </w:r>
      <w:r w:rsidRPr="00106292">
        <w:rPr>
          <w:szCs w:val="22"/>
        </w:rPr>
        <w:t>Lawrie</w:t>
      </w:r>
      <w:r w:rsidR="008A5F7D" w:rsidRPr="00CF7613">
        <w:rPr>
          <w:rStyle w:val="StyleItalic"/>
        </w:rPr>
        <w:t xml:space="preserve"> et al</w:t>
      </w:r>
      <w:r w:rsidRPr="00106292">
        <w:rPr>
          <w:szCs w:val="22"/>
        </w:rPr>
        <w:t>. (2012a)</w:t>
      </w:r>
      <w:r w:rsidR="00106292" w:rsidRPr="00106292">
        <w:rPr>
          <w:szCs w:val="22"/>
        </w:rPr>
        <w:t>.</w:t>
      </w:r>
    </w:p>
    <w:p w:rsidR="009038E6" w:rsidRDefault="009038E6" w:rsidP="009038E6"/>
    <w:p w:rsidR="00DE3247" w:rsidRDefault="00DE3247" w:rsidP="00ED3667">
      <w:r>
        <w:t>The watertable fluctuation method uses the watertable rise associated with the 2010/11 high flow event to estimate recharge to the uncon</w:t>
      </w:r>
      <w:r w:rsidR="00F4198C">
        <w:t>fined aquifer. To derive a long-</w:t>
      </w:r>
      <w:r>
        <w:t xml:space="preserve">term average recharge rate requires an understanding of how often such high flows occur for the </w:t>
      </w:r>
      <w:smartTag w:uri="urn:schemas-microsoft-com:office:smarttags" w:element="place">
        <w:r>
          <w:t>Darling River</w:t>
        </w:r>
      </w:smartTag>
      <w:r>
        <w:t xml:space="preserve">. </w:t>
      </w:r>
      <w:r w:rsidR="00ED3CCE" w:rsidRPr="00ED3CCE">
        <w:rPr>
          <w:szCs w:val="22"/>
          <w:lang w:val="en-US"/>
        </w:rPr>
        <w:t xml:space="preserve">By taking a flow threshold of about 8-10,000 ML/d based on the hydrographic responses, frequency analysis of the available flow record spanning from 1974 to 2012 indicates that such events occurred over about 17% of this 38-year period </w:t>
      </w:r>
      <w:r w:rsidRPr="00DF0CAB">
        <w:rPr>
          <w:szCs w:val="22"/>
          <w:lang w:val="en-US"/>
        </w:rPr>
        <w:t>(</w:t>
      </w:r>
      <w:r w:rsidR="00DF0CAB">
        <w:rPr>
          <w:szCs w:val="22"/>
          <w:lang w:val="en-US"/>
        </w:rPr>
        <w:fldChar w:fldCharType="begin"/>
      </w:r>
      <w:r w:rsidR="00DF0CAB">
        <w:rPr>
          <w:szCs w:val="22"/>
          <w:lang w:val="en-US"/>
        </w:rPr>
        <w:instrText xml:space="preserve"> REF _Ref355707366 \h  \* MERGEFORMAT </w:instrText>
      </w:r>
      <w:r w:rsidR="00DF0CAB">
        <w:rPr>
          <w:szCs w:val="22"/>
          <w:lang w:val="en-US"/>
        </w:rPr>
      </w:r>
      <w:r w:rsidR="00DF0CAB">
        <w:rPr>
          <w:szCs w:val="22"/>
          <w:lang w:val="en-US"/>
        </w:rPr>
        <w:fldChar w:fldCharType="separate"/>
      </w:r>
      <w:r w:rsidR="00966532" w:rsidRPr="00966532">
        <w:rPr>
          <w:szCs w:val="22"/>
          <w:lang w:val="en-US"/>
        </w:rPr>
        <w:t>Table 6</w:t>
      </w:r>
      <w:r w:rsidR="00966532" w:rsidRPr="00966532">
        <w:rPr>
          <w:szCs w:val="22"/>
          <w:lang w:val="en-US"/>
        </w:rPr>
        <w:noBreakHyphen/>
        <w:t>3</w:t>
      </w:r>
      <w:r w:rsidR="00DF0CAB">
        <w:rPr>
          <w:szCs w:val="22"/>
          <w:lang w:val="en-US"/>
        </w:rPr>
        <w:fldChar w:fldCharType="end"/>
      </w:r>
      <w:r w:rsidRPr="00ED3667">
        <w:rPr>
          <w:szCs w:val="22"/>
          <w:lang w:val="en-US"/>
        </w:rPr>
        <w:t>). By infe</w:t>
      </w:r>
      <w:r w:rsidRPr="00ED3CCE">
        <w:t>rence, minimal recharge occurs for the remaining 83% of the time.</w:t>
      </w:r>
    </w:p>
    <w:p w:rsidR="00DE3247" w:rsidRDefault="00DE3247" w:rsidP="009038E6">
      <w:pPr>
        <w:rPr>
          <w:szCs w:val="22"/>
        </w:rPr>
      </w:pPr>
    </w:p>
    <w:p w:rsidR="00F4198C" w:rsidRDefault="009038E6" w:rsidP="009038E6">
      <w:pPr>
        <w:rPr>
          <w:szCs w:val="22"/>
        </w:rPr>
      </w:pPr>
      <w:r>
        <w:rPr>
          <w:szCs w:val="22"/>
        </w:rPr>
        <w:t xml:space="preserve">The watertable fluctuation method is only applicable to unconfined aquifers (Healy </w:t>
      </w:r>
      <w:r w:rsidR="00813DB8">
        <w:rPr>
          <w:szCs w:val="22"/>
        </w:rPr>
        <w:t>&amp;</w:t>
      </w:r>
      <w:r>
        <w:rPr>
          <w:szCs w:val="22"/>
        </w:rPr>
        <w:t xml:space="preserve"> Cook, 2002), so only analysis using the water level data from shallow monitoring bores is </w:t>
      </w:r>
      <w:r w:rsidRPr="00EF07F3">
        <w:t xml:space="preserve">reported </w:t>
      </w:r>
      <w:r w:rsidRPr="00795774">
        <w:t xml:space="preserve">in </w:t>
      </w:r>
      <w:r w:rsidRPr="00795774">
        <w:fldChar w:fldCharType="begin"/>
      </w:r>
      <w:r w:rsidRPr="00795774">
        <w:instrText xml:space="preserve"> REF _Ref325709650 \h  \* MERGEFORMAT </w:instrText>
      </w:r>
      <w:r w:rsidRPr="00795774">
        <w:fldChar w:fldCharType="separate"/>
      </w:r>
      <w:r w:rsidR="00966532" w:rsidRPr="00966532">
        <w:t xml:space="preserve">Table </w:t>
      </w:r>
      <w:r w:rsidR="00966532" w:rsidRPr="00966532">
        <w:rPr>
          <w:noProof/>
        </w:rPr>
        <w:t>6</w:t>
      </w:r>
      <w:r w:rsidR="00966532" w:rsidRPr="00966532">
        <w:rPr>
          <w:noProof/>
        </w:rPr>
        <w:noBreakHyphen/>
        <w:t>4</w:t>
      </w:r>
      <w:r w:rsidRPr="00795774">
        <w:fldChar w:fldCharType="end"/>
      </w:r>
      <w:r w:rsidRPr="00795774">
        <w:t>. The</w:t>
      </w:r>
      <w:r w:rsidRPr="00795774">
        <w:rPr>
          <w:szCs w:val="22"/>
        </w:rPr>
        <w:t xml:space="preserve"> equation</w:t>
      </w:r>
      <w:r>
        <w:rPr>
          <w:szCs w:val="22"/>
        </w:rPr>
        <w:t xml:space="preserve"> </w:t>
      </w:r>
      <w:r w:rsidRPr="00B32F4D">
        <w:rPr>
          <w:szCs w:val="22"/>
        </w:rPr>
        <w:t>requires an estimate of the specific yield of the aquifer. In the absence of direct measurements, a nominal range of 0.05-0.10 was used, so this represents the greatest error source. The recharge along the Darling River corridor for the 2010/11 flood event varies by at least an order of magnitude (</w:t>
      </w:r>
      <w:r w:rsidR="00F4198C" w:rsidRPr="00B32F4D">
        <w:rPr>
          <w:szCs w:val="22"/>
        </w:rPr>
        <w:t>19-543</w:t>
      </w:r>
      <w:r w:rsidR="00A72012">
        <w:rPr>
          <w:szCs w:val="22"/>
        </w:rPr>
        <w:t xml:space="preserve"> </w:t>
      </w:r>
      <w:r w:rsidRPr="00B32F4D">
        <w:rPr>
          <w:szCs w:val="22"/>
        </w:rPr>
        <w:t>mm) but is highly significant compared to recharge estimates based</w:t>
      </w:r>
      <w:r>
        <w:rPr>
          <w:szCs w:val="22"/>
        </w:rPr>
        <w:t xml:space="preserve"> on diffuse rainfall (&lt;1 mm/yr). This flood event would equate to a groundwater recharge volume of 19-543 ML per kilometre square of aquifer receiving recharge. </w:t>
      </w:r>
      <w:r w:rsidRPr="00B223CA">
        <w:rPr>
          <w:szCs w:val="22"/>
        </w:rPr>
        <w:t>In the north along Lake Wetherell (BH</w:t>
      </w:r>
      <w:r>
        <w:rPr>
          <w:szCs w:val="22"/>
        </w:rPr>
        <w:t>MAR</w:t>
      </w:r>
      <w:r w:rsidRPr="00B223CA">
        <w:rPr>
          <w:szCs w:val="22"/>
        </w:rPr>
        <w:t>34-</w:t>
      </w:r>
      <w:r>
        <w:rPr>
          <w:szCs w:val="22"/>
        </w:rPr>
        <w:t>2</w:t>
      </w:r>
      <w:r w:rsidRPr="00B223CA">
        <w:rPr>
          <w:szCs w:val="22"/>
        </w:rPr>
        <w:t>)</w:t>
      </w:r>
      <w:r>
        <w:rPr>
          <w:szCs w:val="22"/>
        </w:rPr>
        <w:t xml:space="preserve"> the </w:t>
      </w:r>
      <w:r w:rsidRPr="00B223CA">
        <w:rPr>
          <w:szCs w:val="22"/>
        </w:rPr>
        <w:t xml:space="preserve">average </w:t>
      </w:r>
      <w:r>
        <w:rPr>
          <w:szCs w:val="22"/>
        </w:rPr>
        <w:t xml:space="preserve">daily </w:t>
      </w:r>
      <w:r w:rsidRPr="00B223CA">
        <w:rPr>
          <w:szCs w:val="22"/>
        </w:rPr>
        <w:t xml:space="preserve">recharge </w:t>
      </w:r>
      <w:r>
        <w:rPr>
          <w:szCs w:val="22"/>
        </w:rPr>
        <w:t>during the event wa</w:t>
      </w:r>
      <w:r w:rsidRPr="00B223CA">
        <w:rPr>
          <w:szCs w:val="22"/>
        </w:rPr>
        <w:t>s ~</w:t>
      </w:r>
      <w:r>
        <w:rPr>
          <w:szCs w:val="22"/>
        </w:rPr>
        <w:t>0.06 mm/d</w:t>
      </w:r>
      <w:r w:rsidRPr="00B223CA">
        <w:rPr>
          <w:szCs w:val="22"/>
        </w:rPr>
        <w:t>; in the Jimargil-East Bootingee area (BH</w:t>
      </w:r>
      <w:r>
        <w:rPr>
          <w:szCs w:val="22"/>
        </w:rPr>
        <w:t>MAR</w:t>
      </w:r>
      <w:r w:rsidRPr="00B223CA">
        <w:rPr>
          <w:szCs w:val="22"/>
        </w:rPr>
        <w:t>77-3, BH</w:t>
      </w:r>
      <w:r>
        <w:rPr>
          <w:szCs w:val="22"/>
        </w:rPr>
        <w:t>MAR</w:t>
      </w:r>
      <w:r w:rsidRPr="00B223CA">
        <w:rPr>
          <w:szCs w:val="22"/>
        </w:rPr>
        <w:t>84</w:t>
      </w:r>
      <w:r>
        <w:rPr>
          <w:szCs w:val="22"/>
        </w:rPr>
        <w:t>-4</w:t>
      </w:r>
      <w:r w:rsidRPr="00B223CA">
        <w:rPr>
          <w:szCs w:val="22"/>
        </w:rPr>
        <w:t>, BH</w:t>
      </w:r>
      <w:r>
        <w:rPr>
          <w:szCs w:val="22"/>
        </w:rPr>
        <w:t>MAR</w:t>
      </w:r>
      <w:r w:rsidRPr="00B223CA">
        <w:rPr>
          <w:szCs w:val="22"/>
        </w:rPr>
        <w:t>92-2 and BH</w:t>
      </w:r>
      <w:r>
        <w:rPr>
          <w:szCs w:val="22"/>
        </w:rPr>
        <w:t>MAR</w:t>
      </w:r>
      <w:r w:rsidRPr="00B223CA">
        <w:rPr>
          <w:szCs w:val="22"/>
        </w:rPr>
        <w:t>33</w:t>
      </w:r>
      <w:r>
        <w:rPr>
          <w:szCs w:val="22"/>
        </w:rPr>
        <w:t>-3</w:t>
      </w:r>
      <w:r w:rsidRPr="00B223CA">
        <w:rPr>
          <w:szCs w:val="22"/>
        </w:rPr>
        <w:t>)</w:t>
      </w:r>
      <w:r>
        <w:rPr>
          <w:szCs w:val="22"/>
        </w:rPr>
        <w:t xml:space="preserve"> the average</w:t>
      </w:r>
      <w:r w:rsidRPr="00B223CA">
        <w:rPr>
          <w:szCs w:val="22"/>
        </w:rPr>
        <w:t xml:space="preserve"> </w:t>
      </w:r>
      <w:r>
        <w:rPr>
          <w:szCs w:val="22"/>
        </w:rPr>
        <w:t xml:space="preserve">daily </w:t>
      </w:r>
      <w:r w:rsidRPr="00B223CA">
        <w:rPr>
          <w:szCs w:val="22"/>
        </w:rPr>
        <w:t xml:space="preserve">recharge </w:t>
      </w:r>
      <w:r>
        <w:rPr>
          <w:szCs w:val="22"/>
        </w:rPr>
        <w:t>ranged 0.07-1.3 m</w:t>
      </w:r>
      <w:r w:rsidRPr="00B223CA">
        <w:rPr>
          <w:szCs w:val="22"/>
        </w:rPr>
        <w:t xml:space="preserve">m/d; </w:t>
      </w:r>
      <w:r>
        <w:rPr>
          <w:szCs w:val="22"/>
        </w:rPr>
        <w:t>and further south at Tandou (BHMAR</w:t>
      </w:r>
      <w:r w:rsidRPr="00B223CA">
        <w:rPr>
          <w:szCs w:val="22"/>
        </w:rPr>
        <w:t>21-</w:t>
      </w:r>
      <w:r>
        <w:rPr>
          <w:szCs w:val="22"/>
        </w:rPr>
        <w:t>2</w:t>
      </w:r>
      <w:r w:rsidRPr="00B223CA">
        <w:rPr>
          <w:szCs w:val="22"/>
        </w:rPr>
        <w:t xml:space="preserve">) recharge </w:t>
      </w:r>
      <w:r>
        <w:rPr>
          <w:szCs w:val="22"/>
        </w:rPr>
        <w:t>wa</w:t>
      </w:r>
      <w:r w:rsidRPr="00B223CA">
        <w:rPr>
          <w:szCs w:val="22"/>
        </w:rPr>
        <w:t xml:space="preserve">s </w:t>
      </w:r>
      <w:r>
        <w:rPr>
          <w:szCs w:val="22"/>
        </w:rPr>
        <w:t>~0.2 m</w:t>
      </w:r>
      <w:r w:rsidRPr="00B223CA">
        <w:rPr>
          <w:szCs w:val="22"/>
        </w:rPr>
        <w:t xml:space="preserve">m/d. At the northwest </w:t>
      </w:r>
      <w:r>
        <w:rPr>
          <w:szCs w:val="22"/>
        </w:rPr>
        <w:t>margin</w:t>
      </w:r>
      <w:r w:rsidRPr="00B223CA">
        <w:rPr>
          <w:szCs w:val="22"/>
        </w:rPr>
        <w:t xml:space="preserve"> </w:t>
      </w:r>
      <w:r>
        <w:rPr>
          <w:szCs w:val="22"/>
        </w:rPr>
        <w:t xml:space="preserve">of </w:t>
      </w:r>
      <w:smartTag w:uri="urn:schemas-microsoft-com:office:smarttags" w:element="place">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smartTag>
      <w:r>
        <w:rPr>
          <w:szCs w:val="22"/>
        </w:rPr>
        <w:t xml:space="preserve"> </w:t>
      </w:r>
      <w:r w:rsidRPr="00B223CA">
        <w:rPr>
          <w:szCs w:val="22"/>
        </w:rPr>
        <w:t>(BH</w:t>
      </w:r>
      <w:r>
        <w:rPr>
          <w:szCs w:val="22"/>
        </w:rPr>
        <w:t>MAR</w:t>
      </w:r>
      <w:r w:rsidRPr="00B223CA">
        <w:rPr>
          <w:szCs w:val="22"/>
        </w:rPr>
        <w:t>23-2)</w:t>
      </w:r>
      <w:r>
        <w:rPr>
          <w:szCs w:val="22"/>
        </w:rPr>
        <w:t xml:space="preserve"> </w:t>
      </w:r>
      <w:r w:rsidRPr="00B223CA">
        <w:rPr>
          <w:szCs w:val="22"/>
        </w:rPr>
        <w:t xml:space="preserve">recharge </w:t>
      </w:r>
      <w:r>
        <w:rPr>
          <w:szCs w:val="22"/>
        </w:rPr>
        <w:t>from lake leakage wa</w:t>
      </w:r>
      <w:r w:rsidRPr="00B223CA">
        <w:rPr>
          <w:szCs w:val="22"/>
        </w:rPr>
        <w:t>s ~</w:t>
      </w:r>
      <w:r w:rsidRPr="00A0051C">
        <w:rPr>
          <w:szCs w:val="22"/>
        </w:rPr>
        <w:t>0.7</w:t>
      </w:r>
      <w:r w:rsidRPr="00B223CA">
        <w:rPr>
          <w:szCs w:val="22"/>
        </w:rPr>
        <w:t xml:space="preserve"> </w:t>
      </w:r>
      <w:r>
        <w:rPr>
          <w:szCs w:val="22"/>
        </w:rPr>
        <w:t>m</w:t>
      </w:r>
      <w:r w:rsidRPr="00B223CA">
        <w:rPr>
          <w:szCs w:val="22"/>
        </w:rPr>
        <w:t>m/d</w:t>
      </w:r>
      <w:r>
        <w:rPr>
          <w:szCs w:val="22"/>
        </w:rPr>
        <w:t>, equating to ~300 ML per kilometre square of aquifer receiving leakage over the time period.</w:t>
      </w:r>
    </w:p>
    <w:p w:rsidR="003C3F3D" w:rsidRDefault="003C3F3D" w:rsidP="00ED3CCE">
      <w:pPr>
        <w:pStyle w:val="Caption"/>
        <w:spacing w:after="120"/>
        <w:rPr>
          <w:b/>
        </w:rPr>
      </w:pPr>
      <w:bookmarkStart w:id="475" w:name="_Ref325974847"/>
    </w:p>
    <w:p w:rsidR="009038E6" w:rsidRPr="00EF07F3" w:rsidRDefault="009038E6" w:rsidP="00ED3CCE">
      <w:pPr>
        <w:pStyle w:val="Caption"/>
        <w:spacing w:after="120"/>
      </w:pPr>
      <w:bookmarkStart w:id="476" w:name="_Ref355707366"/>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6</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3</w:t>
      </w:r>
      <w:r w:rsidR="00B96C96">
        <w:rPr>
          <w:b/>
        </w:rPr>
        <w:fldChar w:fldCharType="end"/>
      </w:r>
      <w:bookmarkEnd w:id="475"/>
      <w:bookmarkEnd w:id="476"/>
      <w:r w:rsidRPr="00CD2825">
        <w:rPr>
          <w:b/>
        </w:rPr>
        <w:t>.</w:t>
      </w:r>
      <w:r>
        <w:t xml:space="preserve"> </w:t>
      </w:r>
      <w:r w:rsidRPr="00EF07F3">
        <w:t xml:space="preserve">Summary of events exceeding flow thresholds for the </w:t>
      </w:r>
      <w:smartTag w:uri="urn:schemas-microsoft-com:office:smarttags" w:element="place">
        <w:r w:rsidRPr="00EF07F3">
          <w:t>Darling River</w:t>
        </w:r>
      </w:smartTag>
      <w:r>
        <w:t xml:space="preserve"> at</w:t>
      </w:r>
      <w:r w:rsidRPr="00EF07F3">
        <w:t xml:space="preserve"> Weir 32 gauge record</w:t>
      </w:r>
      <w:r w:rsidR="00DE3247">
        <w:t xml:space="preserve"> </w:t>
      </w:r>
      <w:r w:rsidR="00ED3CCE">
        <w:t>(1974-</w:t>
      </w:r>
      <w:r w:rsidR="00DE3247">
        <w:t xml:space="preserve"> 2012</w:t>
      </w:r>
      <w:r w:rsidR="00ED3CCE">
        <w:t>)</w:t>
      </w:r>
      <w:r>
        <w:t>.</w:t>
      </w:r>
      <w:r w:rsidRPr="00395AD1">
        <w:t xml:space="preserve"> </w:t>
      </w:r>
      <w:r w:rsidRPr="007960BF">
        <w:rPr>
          <w:i w:val="0"/>
        </w:rPr>
        <w:fldChar w:fldCharType="begin"/>
      </w:r>
      <w:r w:rsidRPr="007960BF">
        <w:rPr>
          <w:i w:val="0"/>
        </w:rPr>
        <w:instrText xml:space="preserve"> TC "</w:instrText>
      </w:r>
      <w:bookmarkStart w:id="477" w:name="_Toc325975304"/>
      <w:bookmarkStart w:id="478" w:name="_Toc390690293"/>
      <w:r w:rsidRPr="007960BF">
        <w:rPr>
          <w:i w:val="0"/>
        </w:rPr>
        <w:instrText xml:space="preserve">Table </w:instrText>
      </w:r>
      <w:r w:rsidR="000D653B">
        <w:rPr>
          <w:i w:val="0"/>
        </w:rPr>
        <w:instrText>6-3</w:instrText>
      </w:r>
      <w:r w:rsidR="00DE0DFA">
        <w:rPr>
          <w:i w:val="0"/>
        </w:rPr>
        <w:instrText>.</w:instrText>
      </w:r>
      <w:r w:rsidRPr="007960BF">
        <w:rPr>
          <w:i w:val="0"/>
        </w:rPr>
        <w:instrText xml:space="preserve"> Summary of events exceeding flow thresholds for the </w:instrText>
      </w:r>
      <w:smartTag w:uri="urn:schemas-microsoft-com:office:smarttags" w:element="place">
        <w:r w:rsidRPr="007960BF">
          <w:rPr>
            <w:i w:val="0"/>
          </w:rPr>
          <w:instrText>Darling River</w:instrText>
        </w:r>
      </w:smartTag>
      <w:r w:rsidRPr="007960BF">
        <w:rPr>
          <w:i w:val="0"/>
        </w:rPr>
        <w:instrText xml:space="preserve"> at Weir 32 gauge record</w:instrText>
      </w:r>
      <w:bookmarkEnd w:id="477"/>
      <w:r w:rsidR="00ED3CCE">
        <w:rPr>
          <w:i w:val="0"/>
        </w:rPr>
        <w:instrText xml:space="preserve"> (1974-2012)</w:instrText>
      </w:r>
      <w:r w:rsidR="005E4B77">
        <w:rPr>
          <w:i w:val="0"/>
        </w:rPr>
        <w:instrText>.</w:instrText>
      </w:r>
      <w:bookmarkEnd w:id="478"/>
      <w:r w:rsidRPr="007960BF">
        <w:rPr>
          <w:i w:val="0"/>
        </w:rPr>
        <w:instrText xml:space="preserve">" \f B \l "4" </w:instrText>
      </w:r>
      <w:r w:rsidRPr="007960BF">
        <w:rPr>
          <w:i w:val="0"/>
        </w:rPr>
        <w:fldChar w:fldCharType="end"/>
      </w:r>
    </w:p>
    <w:tbl>
      <w:tblPr>
        <w:tblW w:w="7791" w:type="dxa"/>
        <w:jc w:val="center"/>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0"/>
        <w:gridCol w:w="1078"/>
        <w:gridCol w:w="1161"/>
        <w:gridCol w:w="1039"/>
        <w:gridCol w:w="1080"/>
        <w:gridCol w:w="1105"/>
        <w:gridCol w:w="1068"/>
      </w:tblGrid>
      <w:tr w:rsidR="009038E6" w:rsidRPr="00ED3667" w:rsidTr="00ED3667">
        <w:trPr>
          <w:trHeight w:val="450"/>
          <w:jc w:val="center"/>
        </w:trPr>
        <w:tc>
          <w:tcPr>
            <w:tcW w:w="1260" w:type="dxa"/>
            <w:shd w:val="clear" w:color="auto" w:fill="CCCCCC"/>
            <w:vAlign w:val="center"/>
          </w:tcPr>
          <w:p w:rsidR="009038E6" w:rsidRPr="00ED3667" w:rsidRDefault="009038E6" w:rsidP="00ED3667">
            <w:pPr>
              <w:spacing w:before="60" w:after="60"/>
              <w:jc w:val="center"/>
              <w:rPr>
                <w:b/>
                <w:bCs/>
                <w:sz w:val="20"/>
                <w:szCs w:val="20"/>
              </w:rPr>
            </w:pPr>
            <w:r w:rsidRPr="00ED3667">
              <w:rPr>
                <w:b/>
                <w:bCs/>
                <w:sz w:val="20"/>
                <w:szCs w:val="20"/>
              </w:rPr>
              <w:t>Flow Threshold (ML/d)</w:t>
            </w:r>
          </w:p>
        </w:tc>
        <w:tc>
          <w:tcPr>
            <w:tcW w:w="1078" w:type="dxa"/>
            <w:shd w:val="clear" w:color="auto" w:fill="CCCCCC"/>
            <w:vAlign w:val="center"/>
          </w:tcPr>
          <w:p w:rsidR="009038E6" w:rsidRPr="00ED3667" w:rsidRDefault="009038E6" w:rsidP="00ED3667">
            <w:pPr>
              <w:spacing w:before="60" w:after="60"/>
              <w:jc w:val="center"/>
              <w:rPr>
                <w:b/>
                <w:bCs/>
                <w:sz w:val="20"/>
                <w:szCs w:val="20"/>
              </w:rPr>
            </w:pPr>
            <w:r w:rsidRPr="00ED3667">
              <w:rPr>
                <w:b/>
                <w:bCs/>
                <w:sz w:val="20"/>
                <w:szCs w:val="20"/>
              </w:rPr>
              <w:t>Total Days</w:t>
            </w:r>
          </w:p>
        </w:tc>
        <w:tc>
          <w:tcPr>
            <w:tcW w:w="1161" w:type="dxa"/>
            <w:shd w:val="clear" w:color="auto" w:fill="CCCCCC"/>
            <w:vAlign w:val="center"/>
          </w:tcPr>
          <w:p w:rsidR="009038E6" w:rsidRPr="00ED3667" w:rsidRDefault="009038E6" w:rsidP="00ED3667">
            <w:pPr>
              <w:spacing w:before="60" w:after="60"/>
              <w:jc w:val="center"/>
              <w:rPr>
                <w:b/>
                <w:bCs/>
                <w:sz w:val="20"/>
                <w:szCs w:val="20"/>
              </w:rPr>
            </w:pPr>
            <w:r w:rsidRPr="00ED3667">
              <w:rPr>
                <w:b/>
                <w:bCs/>
                <w:sz w:val="20"/>
                <w:szCs w:val="20"/>
              </w:rPr>
              <w:t>Proportion of Record</w:t>
            </w:r>
          </w:p>
        </w:tc>
        <w:tc>
          <w:tcPr>
            <w:tcW w:w="1039" w:type="dxa"/>
            <w:shd w:val="clear" w:color="auto" w:fill="CCCCCC"/>
            <w:vAlign w:val="center"/>
          </w:tcPr>
          <w:p w:rsidR="009038E6" w:rsidRPr="00ED3667" w:rsidRDefault="009038E6" w:rsidP="00ED3667">
            <w:pPr>
              <w:spacing w:before="60" w:after="60"/>
              <w:jc w:val="center"/>
              <w:rPr>
                <w:b/>
                <w:bCs/>
                <w:sz w:val="20"/>
                <w:szCs w:val="20"/>
              </w:rPr>
            </w:pPr>
            <w:r w:rsidRPr="00ED3667">
              <w:rPr>
                <w:b/>
                <w:bCs/>
                <w:sz w:val="20"/>
                <w:szCs w:val="20"/>
              </w:rPr>
              <w:t>Number of events</w:t>
            </w:r>
          </w:p>
        </w:tc>
        <w:tc>
          <w:tcPr>
            <w:tcW w:w="1080" w:type="dxa"/>
            <w:shd w:val="clear" w:color="auto" w:fill="CCCCCC"/>
            <w:vAlign w:val="center"/>
          </w:tcPr>
          <w:p w:rsidR="009038E6" w:rsidRPr="00ED3667" w:rsidRDefault="009038E6" w:rsidP="00ED3667">
            <w:pPr>
              <w:spacing w:before="60" w:after="60"/>
              <w:jc w:val="center"/>
              <w:rPr>
                <w:b/>
                <w:bCs/>
                <w:sz w:val="20"/>
                <w:szCs w:val="20"/>
              </w:rPr>
            </w:pPr>
            <w:r w:rsidRPr="00ED3667">
              <w:rPr>
                <w:b/>
                <w:bCs/>
                <w:sz w:val="20"/>
                <w:szCs w:val="20"/>
              </w:rPr>
              <w:t>Minimum Duration</w:t>
            </w:r>
            <w:r w:rsidR="00ED3667" w:rsidRPr="00ED3667">
              <w:rPr>
                <w:b/>
                <w:bCs/>
                <w:sz w:val="20"/>
                <w:szCs w:val="20"/>
              </w:rPr>
              <w:t xml:space="preserve"> (days)</w:t>
            </w:r>
          </w:p>
        </w:tc>
        <w:tc>
          <w:tcPr>
            <w:tcW w:w="1105" w:type="dxa"/>
            <w:shd w:val="clear" w:color="auto" w:fill="CCCCCC"/>
            <w:vAlign w:val="center"/>
          </w:tcPr>
          <w:p w:rsidR="009038E6" w:rsidRPr="00ED3667" w:rsidRDefault="009038E6" w:rsidP="00ED3667">
            <w:pPr>
              <w:spacing w:before="60" w:after="60"/>
              <w:jc w:val="center"/>
              <w:rPr>
                <w:b/>
                <w:bCs/>
                <w:sz w:val="20"/>
                <w:szCs w:val="20"/>
              </w:rPr>
            </w:pPr>
            <w:r w:rsidRPr="00ED3667">
              <w:rPr>
                <w:b/>
                <w:bCs/>
                <w:sz w:val="20"/>
                <w:szCs w:val="20"/>
              </w:rPr>
              <w:t>Maximum Duration</w:t>
            </w:r>
            <w:r w:rsidR="00ED3667" w:rsidRPr="00ED3667">
              <w:rPr>
                <w:b/>
                <w:bCs/>
                <w:sz w:val="20"/>
                <w:szCs w:val="20"/>
              </w:rPr>
              <w:t xml:space="preserve"> (days)</w:t>
            </w:r>
          </w:p>
        </w:tc>
        <w:tc>
          <w:tcPr>
            <w:tcW w:w="1068" w:type="dxa"/>
            <w:shd w:val="clear" w:color="auto" w:fill="CCCCCC"/>
            <w:vAlign w:val="center"/>
          </w:tcPr>
          <w:p w:rsidR="009038E6" w:rsidRPr="00ED3667" w:rsidRDefault="009038E6" w:rsidP="00ED3667">
            <w:pPr>
              <w:spacing w:before="60" w:after="60"/>
              <w:jc w:val="center"/>
              <w:rPr>
                <w:b/>
                <w:bCs/>
                <w:sz w:val="20"/>
                <w:szCs w:val="20"/>
              </w:rPr>
            </w:pPr>
            <w:r w:rsidRPr="00ED3667">
              <w:rPr>
                <w:b/>
                <w:bCs/>
                <w:sz w:val="20"/>
                <w:szCs w:val="20"/>
              </w:rPr>
              <w:t>Average Duration</w:t>
            </w:r>
            <w:r w:rsidR="00ED3667" w:rsidRPr="00ED3667">
              <w:rPr>
                <w:b/>
                <w:bCs/>
                <w:sz w:val="20"/>
                <w:szCs w:val="20"/>
              </w:rPr>
              <w:t xml:space="preserve"> (days)</w:t>
            </w:r>
          </w:p>
        </w:tc>
      </w:tr>
      <w:tr w:rsidR="009038E6" w:rsidRPr="00ED3667" w:rsidTr="00ED3667">
        <w:trPr>
          <w:trHeight w:val="255"/>
          <w:jc w:val="center"/>
        </w:trPr>
        <w:tc>
          <w:tcPr>
            <w:tcW w:w="126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5000</w:t>
            </w:r>
          </w:p>
        </w:tc>
        <w:tc>
          <w:tcPr>
            <w:tcW w:w="107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3216</w:t>
            </w:r>
          </w:p>
        </w:tc>
        <w:tc>
          <w:tcPr>
            <w:tcW w:w="1161"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0.23</w:t>
            </w:r>
          </w:p>
        </w:tc>
        <w:tc>
          <w:tcPr>
            <w:tcW w:w="1039"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38</w:t>
            </w:r>
          </w:p>
        </w:tc>
        <w:tc>
          <w:tcPr>
            <w:tcW w:w="108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3</w:t>
            </w:r>
          </w:p>
        </w:tc>
        <w:tc>
          <w:tcPr>
            <w:tcW w:w="1105"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360</w:t>
            </w:r>
          </w:p>
        </w:tc>
        <w:tc>
          <w:tcPr>
            <w:tcW w:w="106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85</w:t>
            </w:r>
          </w:p>
        </w:tc>
      </w:tr>
      <w:tr w:rsidR="009038E6" w:rsidRPr="00ED3667" w:rsidTr="00ED3667">
        <w:trPr>
          <w:trHeight w:val="255"/>
          <w:jc w:val="center"/>
        </w:trPr>
        <w:tc>
          <w:tcPr>
            <w:tcW w:w="126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8000</w:t>
            </w:r>
          </w:p>
        </w:tc>
        <w:tc>
          <w:tcPr>
            <w:tcW w:w="107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2573</w:t>
            </w:r>
          </w:p>
        </w:tc>
        <w:tc>
          <w:tcPr>
            <w:tcW w:w="1161"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0.18</w:t>
            </w:r>
          </w:p>
        </w:tc>
        <w:tc>
          <w:tcPr>
            <w:tcW w:w="1039"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29</w:t>
            </w:r>
          </w:p>
        </w:tc>
        <w:tc>
          <w:tcPr>
            <w:tcW w:w="108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5</w:t>
            </w:r>
          </w:p>
        </w:tc>
        <w:tc>
          <w:tcPr>
            <w:tcW w:w="1105"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355</w:t>
            </w:r>
          </w:p>
        </w:tc>
        <w:tc>
          <w:tcPr>
            <w:tcW w:w="106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89</w:t>
            </w:r>
          </w:p>
        </w:tc>
      </w:tr>
      <w:tr w:rsidR="009038E6" w:rsidRPr="00ED3667" w:rsidTr="00ED3667">
        <w:trPr>
          <w:trHeight w:val="255"/>
          <w:jc w:val="center"/>
        </w:trPr>
        <w:tc>
          <w:tcPr>
            <w:tcW w:w="126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10000</w:t>
            </w:r>
          </w:p>
        </w:tc>
        <w:tc>
          <w:tcPr>
            <w:tcW w:w="107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2171</w:t>
            </w:r>
          </w:p>
        </w:tc>
        <w:tc>
          <w:tcPr>
            <w:tcW w:w="1161"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0.16</w:t>
            </w:r>
          </w:p>
        </w:tc>
        <w:tc>
          <w:tcPr>
            <w:tcW w:w="1039"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22</w:t>
            </w:r>
          </w:p>
        </w:tc>
        <w:tc>
          <w:tcPr>
            <w:tcW w:w="108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w:t>
            </w:r>
          </w:p>
        </w:tc>
        <w:tc>
          <w:tcPr>
            <w:tcW w:w="1105"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342</w:t>
            </w:r>
          </w:p>
        </w:tc>
        <w:tc>
          <w:tcPr>
            <w:tcW w:w="106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99</w:t>
            </w:r>
          </w:p>
        </w:tc>
      </w:tr>
      <w:tr w:rsidR="009038E6" w:rsidRPr="00ED3667" w:rsidTr="00ED3667">
        <w:trPr>
          <w:trHeight w:val="255"/>
          <w:jc w:val="center"/>
        </w:trPr>
        <w:tc>
          <w:tcPr>
            <w:tcW w:w="126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15000</w:t>
            </w:r>
          </w:p>
        </w:tc>
        <w:tc>
          <w:tcPr>
            <w:tcW w:w="107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1728</w:t>
            </w:r>
          </w:p>
        </w:tc>
        <w:tc>
          <w:tcPr>
            <w:tcW w:w="1161"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0.12</w:t>
            </w:r>
          </w:p>
        </w:tc>
        <w:tc>
          <w:tcPr>
            <w:tcW w:w="1039"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20</w:t>
            </w:r>
          </w:p>
        </w:tc>
        <w:tc>
          <w:tcPr>
            <w:tcW w:w="108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9</w:t>
            </w:r>
          </w:p>
        </w:tc>
        <w:tc>
          <w:tcPr>
            <w:tcW w:w="1105"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212</w:t>
            </w:r>
          </w:p>
        </w:tc>
        <w:tc>
          <w:tcPr>
            <w:tcW w:w="106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86</w:t>
            </w:r>
          </w:p>
        </w:tc>
      </w:tr>
      <w:tr w:rsidR="009038E6" w:rsidRPr="00ED3667" w:rsidTr="00ED3667">
        <w:trPr>
          <w:trHeight w:val="255"/>
          <w:jc w:val="center"/>
        </w:trPr>
        <w:tc>
          <w:tcPr>
            <w:tcW w:w="126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19000</w:t>
            </w:r>
          </w:p>
        </w:tc>
        <w:tc>
          <w:tcPr>
            <w:tcW w:w="107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1136</w:t>
            </w:r>
          </w:p>
        </w:tc>
        <w:tc>
          <w:tcPr>
            <w:tcW w:w="1161"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0.08</w:t>
            </w:r>
          </w:p>
        </w:tc>
        <w:tc>
          <w:tcPr>
            <w:tcW w:w="1039"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18</w:t>
            </w:r>
          </w:p>
        </w:tc>
        <w:tc>
          <w:tcPr>
            <w:tcW w:w="108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7</w:t>
            </w:r>
          </w:p>
        </w:tc>
        <w:tc>
          <w:tcPr>
            <w:tcW w:w="1105"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181</w:t>
            </w:r>
          </w:p>
        </w:tc>
        <w:tc>
          <w:tcPr>
            <w:tcW w:w="106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63</w:t>
            </w:r>
          </w:p>
        </w:tc>
      </w:tr>
      <w:tr w:rsidR="009038E6" w:rsidRPr="00ED3667" w:rsidTr="00ED3667">
        <w:trPr>
          <w:trHeight w:val="255"/>
          <w:jc w:val="center"/>
        </w:trPr>
        <w:tc>
          <w:tcPr>
            <w:tcW w:w="126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25000</w:t>
            </w:r>
          </w:p>
        </w:tc>
        <w:tc>
          <w:tcPr>
            <w:tcW w:w="107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604</w:t>
            </w:r>
          </w:p>
        </w:tc>
        <w:tc>
          <w:tcPr>
            <w:tcW w:w="1161"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0.04</w:t>
            </w:r>
          </w:p>
        </w:tc>
        <w:tc>
          <w:tcPr>
            <w:tcW w:w="1039"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9</w:t>
            </w:r>
          </w:p>
        </w:tc>
        <w:tc>
          <w:tcPr>
            <w:tcW w:w="1080"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w:t>
            </w:r>
          </w:p>
        </w:tc>
        <w:tc>
          <w:tcPr>
            <w:tcW w:w="1105"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110</w:t>
            </w:r>
          </w:p>
        </w:tc>
        <w:tc>
          <w:tcPr>
            <w:tcW w:w="1068" w:type="dxa"/>
            <w:shd w:val="clear" w:color="auto" w:fill="auto"/>
            <w:noWrap/>
            <w:vAlign w:val="bottom"/>
          </w:tcPr>
          <w:p w:rsidR="009038E6" w:rsidRPr="00ED3667" w:rsidRDefault="009038E6" w:rsidP="009038E6">
            <w:pPr>
              <w:spacing w:before="60" w:after="60"/>
              <w:jc w:val="center"/>
              <w:rPr>
                <w:sz w:val="20"/>
                <w:szCs w:val="20"/>
              </w:rPr>
            </w:pPr>
            <w:r w:rsidRPr="00ED3667">
              <w:rPr>
                <w:sz w:val="20"/>
                <w:szCs w:val="20"/>
              </w:rPr>
              <w:t>67</w:t>
            </w:r>
          </w:p>
        </w:tc>
      </w:tr>
    </w:tbl>
    <w:p w:rsidR="009038E6" w:rsidRPr="00795774" w:rsidRDefault="009038E6" w:rsidP="009038E6"/>
    <w:p w:rsidR="009038E6" w:rsidRDefault="009038E6" w:rsidP="009038E6">
      <w:r w:rsidRPr="001B0602">
        <w:fldChar w:fldCharType="begin"/>
      </w:r>
      <w:r w:rsidRPr="001B0602">
        <w:instrText xml:space="preserve"> REF _Ref325973345 \h </w:instrText>
      </w:r>
      <w:r>
        <w:instrText xml:space="preserve"> \* MERGEFORMAT </w:instrText>
      </w:r>
      <w:r w:rsidRPr="001B0602">
        <w:fldChar w:fldCharType="separate"/>
      </w:r>
      <w:r w:rsidR="00966532" w:rsidRPr="00966532">
        <w:t>Table 6</w:t>
      </w:r>
      <w:r w:rsidR="00966532" w:rsidRPr="00966532">
        <w:noBreakHyphen/>
        <w:t>5</w:t>
      </w:r>
      <w:r w:rsidRPr="001B0602">
        <w:fldChar w:fldCharType="end"/>
      </w:r>
      <w:r>
        <w:t xml:space="preserve"> </w:t>
      </w:r>
      <w:r w:rsidRPr="001B0602">
        <w:t>c</w:t>
      </w:r>
      <w:r>
        <w:t xml:space="preserve">ompares the different recharge estimation methods, focussing on the Jimargil-East Bootingee site due to its greater data availability. The watertable fluctuation values for the shallow </w:t>
      </w:r>
      <w:r w:rsidR="00C217F0">
        <w:t>Coonambidgal Formation</w:t>
      </w:r>
      <w:r>
        <w:t xml:space="preserve"> and </w:t>
      </w:r>
      <w:r w:rsidR="00C217F0">
        <w:t>Menindee Formation</w:t>
      </w:r>
      <w:r>
        <w:t xml:space="preserve"> aquifers are long-term recharge rates derived by multiplying with a proportion factor (0.17) estimated by flood frequency analysis</w:t>
      </w:r>
      <w:r w:rsidR="00F4198C">
        <w:t>.</w:t>
      </w:r>
      <w:r>
        <w:t xml:space="preserve"> They are reported as ranges due to the uncertainty (and inherent variability) of the specific yield input parameter. The long-term watertable fluctuation recharge ranges for the </w:t>
      </w:r>
      <w:r w:rsidR="00C217F0">
        <w:t>Coonambidgal Formation</w:t>
      </w:r>
      <w:r>
        <w:t xml:space="preserve"> aquifer bores tend to exceed 100 mm/yr near the river. </w:t>
      </w:r>
      <w:r w:rsidRPr="001B0602">
        <w:t>Using</w:t>
      </w:r>
      <w:r>
        <w:t xml:space="preserve"> the steady state mounding equation (Bouwer, 2002) provide</w:t>
      </w:r>
      <w:r w:rsidR="00F4198C">
        <w:t>s</w:t>
      </w:r>
      <w:r>
        <w:t xml:space="preserve"> recharge rates of a similar magnitude for the </w:t>
      </w:r>
      <w:r w:rsidR="00C217F0">
        <w:t>Coonambidgal Formation</w:t>
      </w:r>
      <w:r>
        <w:t xml:space="preserve"> and </w:t>
      </w:r>
      <w:r w:rsidR="00C217F0">
        <w:t>Menindee Formation</w:t>
      </w:r>
      <w:r>
        <w:t xml:space="preserve"> aquifers.</w:t>
      </w:r>
    </w:p>
    <w:p w:rsidR="009038E6" w:rsidRDefault="009038E6" w:rsidP="009038E6"/>
    <w:p w:rsidR="003721DD" w:rsidRDefault="007E657C" w:rsidP="009038E6">
      <w:pPr>
        <w:rPr>
          <w:szCs w:val="22"/>
        </w:rPr>
      </w:pPr>
      <w:r>
        <w:t>R</w:t>
      </w:r>
      <w:r w:rsidR="009038E6">
        <w:t xml:space="preserve">echarge rates derived from the unconfined radiocarbon model are significantly lower for the </w:t>
      </w:r>
      <w:r w:rsidR="00C217F0">
        <w:t>Coonambidgal Formation</w:t>
      </w:r>
      <w:r w:rsidR="009038E6">
        <w:t xml:space="preserve"> and </w:t>
      </w:r>
      <w:r w:rsidR="00C217F0">
        <w:t>Menindee Formation</w:t>
      </w:r>
      <w:r w:rsidR="009038E6">
        <w:t xml:space="preserve"> aquifers than using the other methods (</w:t>
      </w:r>
      <w:r w:rsidR="009038E6" w:rsidRPr="001B0602">
        <w:fldChar w:fldCharType="begin"/>
      </w:r>
      <w:r w:rsidR="009038E6" w:rsidRPr="001B0602">
        <w:instrText xml:space="preserve"> REF _Ref325973345 \h </w:instrText>
      </w:r>
      <w:r w:rsidR="009038E6">
        <w:instrText xml:space="preserve"> \* MERGEFORMAT </w:instrText>
      </w:r>
      <w:r w:rsidR="009038E6" w:rsidRPr="001B0602">
        <w:fldChar w:fldCharType="separate"/>
      </w:r>
      <w:r w:rsidR="00966532" w:rsidRPr="00966532">
        <w:t>Table 6</w:t>
      </w:r>
      <w:r w:rsidR="00966532" w:rsidRPr="00966532">
        <w:noBreakHyphen/>
        <w:t>5</w:t>
      </w:r>
      <w:r w:rsidR="009038E6" w:rsidRPr="001B0602">
        <w:fldChar w:fldCharType="end"/>
      </w:r>
      <w:r w:rsidR="009038E6">
        <w:t xml:space="preserve">). For the </w:t>
      </w:r>
      <w:r w:rsidR="00C217F0">
        <w:t>Calivil Formation</w:t>
      </w:r>
      <w:r w:rsidR="009038E6">
        <w:t xml:space="preserve"> aquifer bores, the results using the confined radiocarbon model are reported as ranges due to variations in the radiocarbon input parameter. For the </w:t>
      </w:r>
      <w:r w:rsidR="00C217F0">
        <w:t>Calivil Formation</w:t>
      </w:r>
      <w:r w:rsidR="009038E6">
        <w:t xml:space="preserve"> aquifer, the radiocarbon method suggests that relatively close to the river (as exemplified by BHMAR77-5 and BHMAR80A-7) the long-term recharge may be in the order of 20-35 mm/yr, with recharge decreasing with distance away from the river </w:t>
      </w:r>
      <w:r w:rsidR="009038E6">
        <w:lastRenderedPageBreak/>
        <w:t xml:space="preserve">source. As the analysis focuses on monitoring bores in the Jimargil-East Bootingee target, the recharge rates reported in </w:t>
      </w:r>
      <w:r w:rsidR="009038E6" w:rsidRPr="001B0602">
        <w:fldChar w:fldCharType="begin"/>
      </w:r>
      <w:r w:rsidR="009038E6" w:rsidRPr="001B0602">
        <w:instrText xml:space="preserve"> REF _Ref325973345 \h  \* MERGEFORMAT </w:instrText>
      </w:r>
      <w:r w:rsidR="009038E6" w:rsidRPr="001B0602">
        <w:fldChar w:fldCharType="separate"/>
      </w:r>
      <w:r w:rsidR="00966532" w:rsidRPr="00966532">
        <w:t>Table 6</w:t>
      </w:r>
      <w:r w:rsidR="00966532" w:rsidRPr="00966532">
        <w:noBreakHyphen/>
        <w:t>5</w:t>
      </w:r>
      <w:r w:rsidR="009038E6" w:rsidRPr="001B0602">
        <w:fldChar w:fldCharType="end"/>
      </w:r>
      <w:r w:rsidR="009038E6" w:rsidRPr="001B0602">
        <w:t xml:space="preserve"> are</w:t>
      </w:r>
      <w:r w:rsidR="009038E6">
        <w:t xml:space="preserve"> likely to be relatively high </w:t>
      </w:r>
      <w:r w:rsidR="00106292">
        <w:t xml:space="preserve">when </w:t>
      </w:r>
      <w:r w:rsidR="009038E6">
        <w:t>compared to regional averages.</w:t>
      </w:r>
      <w:r w:rsidR="009038E6" w:rsidRPr="00C57DE1">
        <w:rPr>
          <w:szCs w:val="22"/>
        </w:rPr>
        <w:t xml:space="preserve"> </w:t>
      </w:r>
      <w:r w:rsidR="009038E6">
        <w:rPr>
          <w:szCs w:val="22"/>
        </w:rPr>
        <w:t xml:space="preserve">Such </w:t>
      </w:r>
      <w:r>
        <w:rPr>
          <w:szCs w:val="22"/>
        </w:rPr>
        <w:t xml:space="preserve">relatively high </w:t>
      </w:r>
      <w:r w:rsidR="009038E6">
        <w:rPr>
          <w:szCs w:val="22"/>
        </w:rPr>
        <w:t xml:space="preserve">recharge is limited to the river corridor (and specific areas of lake leakage), rather than being distributed across the whole landscape, as is the case for </w:t>
      </w:r>
      <w:r>
        <w:rPr>
          <w:szCs w:val="22"/>
        </w:rPr>
        <w:t>diffuse</w:t>
      </w:r>
      <w:r w:rsidR="009038E6">
        <w:rPr>
          <w:szCs w:val="22"/>
        </w:rPr>
        <w:t xml:space="preserve"> recharge</w:t>
      </w:r>
      <w:r>
        <w:rPr>
          <w:szCs w:val="22"/>
        </w:rPr>
        <w:t xml:space="preserve"> from rainfall</w:t>
      </w:r>
      <w:r w:rsidR="009038E6">
        <w:rPr>
          <w:szCs w:val="22"/>
        </w:rPr>
        <w:t>. This makes it more difficult to derive volumetric estimates of recharge. Construction of a transient groundwater flow model calibrating the hydrographic response to a series of flood events is recommended.</w:t>
      </w:r>
    </w:p>
    <w:p w:rsidR="003721DD" w:rsidRDefault="003721DD" w:rsidP="009038E6">
      <w:pPr>
        <w:rPr>
          <w:szCs w:val="22"/>
        </w:rPr>
        <w:sectPr w:rsidR="003721DD" w:rsidSect="00C6706D">
          <w:pgSz w:w="11906" w:h="16838" w:code="9"/>
          <w:pgMar w:top="1134" w:right="1134" w:bottom="1134" w:left="1134" w:header="709" w:footer="709" w:gutter="0"/>
          <w:cols w:space="708"/>
          <w:docGrid w:linePitch="360"/>
        </w:sectPr>
      </w:pPr>
    </w:p>
    <w:p w:rsidR="009038E6" w:rsidRPr="00843A7F" w:rsidRDefault="009038E6" w:rsidP="009038E6">
      <w:pPr>
        <w:pStyle w:val="Caption"/>
        <w:rPr>
          <w:i w:val="0"/>
          <w:szCs w:val="22"/>
        </w:rPr>
      </w:pPr>
      <w:bookmarkStart w:id="479" w:name="_Ref325709650"/>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6</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4</w:t>
      </w:r>
      <w:r w:rsidR="00B96C96">
        <w:rPr>
          <w:b/>
        </w:rPr>
        <w:fldChar w:fldCharType="end"/>
      </w:r>
      <w:bookmarkEnd w:id="479"/>
      <w:r w:rsidRPr="00CD2825">
        <w:rPr>
          <w:b/>
        </w:rPr>
        <w:t>.</w:t>
      </w:r>
      <w:r>
        <w:t xml:space="preserve"> </w:t>
      </w:r>
      <w:r w:rsidRPr="00EF07F3">
        <w:t>Recharge estimates for unconfined aquifers based on watertable fluctuation method</w:t>
      </w:r>
      <w:r>
        <w:t>.</w:t>
      </w:r>
      <w:r w:rsidRPr="00395AD1">
        <w:t xml:space="preserve"> </w:t>
      </w:r>
      <w:r w:rsidRPr="007960BF">
        <w:rPr>
          <w:i w:val="0"/>
        </w:rPr>
        <w:fldChar w:fldCharType="begin"/>
      </w:r>
      <w:r w:rsidRPr="007960BF">
        <w:rPr>
          <w:i w:val="0"/>
        </w:rPr>
        <w:instrText xml:space="preserve"> TC "</w:instrText>
      </w:r>
      <w:bookmarkStart w:id="480" w:name="_Toc325975305"/>
      <w:bookmarkStart w:id="481" w:name="_Toc390690294"/>
      <w:r w:rsidRPr="007960BF">
        <w:rPr>
          <w:i w:val="0"/>
        </w:rPr>
        <w:instrText xml:space="preserve">Table </w:instrText>
      </w:r>
      <w:r w:rsidR="000D653B">
        <w:rPr>
          <w:i w:val="0"/>
        </w:rPr>
        <w:instrText>6-4</w:instrText>
      </w:r>
      <w:r w:rsidR="00DE0DFA">
        <w:rPr>
          <w:i w:val="0"/>
        </w:rPr>
        <w:instrText>.</w:instrText>
      </w:r>
      <w:r w:rsidRPr="007960BF">
        <w:rPr>
          <w:i w:val="0"/>
        </w:rPr>
        <w:instrText xml:space="preserve"> Recharge estimates for unconfined aquifers based on watertable fluctuation method</w:instrText>
      </w:r>
      <w:bookmarkEnd w:id="480"/>
      <w:r w:rsidR="003721DD">
        <w:rPr>
          <w:i w:val="0"/>
        </w:rPr>
        <w:instrText>.</w:instrText>
      </w:r>
      <w:bookmarkEnd w:id="481"/>
      <w:r w:rsidRPr="007960BF">
        <w:rPr>
          <w:i w:val="0"/>
        </w:rPr>
        <w:instrText xml:space="preserve">" \f B \l "4" </w:instrText>
      </w:r>
      <w:r w:rsidRPr="007960BF">
        <w:rPr>
          <w:i w:val="0"/>
        </w:rPr>
        <w:fldChar w:fldCharType="end"/>
      </w:r>
    </w:p>
    <w:tbl>
      <w:tblPr>
        <w:tblW w:w="146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620"/>
        <w:gridCol w:w="1276"/>
        <w:gridCol w:w="1800"/>
        <w:gridCol w:w="1021"/>
        <w:gridCol w:w="992"/>
        <w:gridCol w:w="1282"/>
        <w:gridCol w:w="1353"/>
        <w:gridCol w:w="1615"/>
        <w:gridCol w:w="1265"/>
        <w:gridCol w:w="1346"/>
      </w:tblGrid>
      <w:tr w:rsidR="009038E6" w:rsidRPr="00290E8E" w:rsidTr="00ED3667">
        <w:trPr>
          <w:trHeight w:val="1121"/>
        </w:trPr>
        <w:tc>
          <w:tcPr>
            <w:tcW w:w="1080"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BHMAR</w:t>
            </w:r>
          </w:p>
        </w:tc>
        <w:tc>
          <w:tcPr>
            <w:tcW w:w="1620"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Aquifer</w:t>
            </w:r>
          </w:p>
        </w:tc>
        <w:tc>
          <w:tcPr>
            <w:tcW w:w="1276"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Screened Interval</w:t>
            </w:r>
          </w:p>
          <w:p w:rsidR="00BE6FCE" w:rsidRPr="00290E8E" w:rsidRDefault="00BE6FCE" w:rsidP="00ED3667">
            <w:pPr>
              <w:spacing w:before="60" w:after="60"/>
              <w:jc w:val="center"/>
              <w:rPr>
                <w:b/>
                <w:bCs/>
                <w:sz w:val="18"/>
                <w:szCs w:val="18"/>
              </w:rPr>
            </w:pPr>
            <w:r w:rsidRPr="00290E8E">
              <w:rPr>
                <w:b/>
                <w:bCs/>
                <w:sz w:val="18"/>
                <w:szCs w:val="18"/>
              </w:rPr>
              <w:t>(m below land surface)</w:t>
            </w:r>
          </w:p>
        </w:tc>
        <w:tc>
          <w:tcPr>
            <w:tcW w:w="1800"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Location</w:t>
            </w:r>
          </w:p>
        </w:tc>
        <w:tc>
          <w:tcPr>
            <w:tcW w:w="1021"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ΔRWL (m): Start to PEAK</w:t>
            </w:r>
          </w:p>
        </w:tc>
        <w:tc>
          <w:tcPr>
            <w:tcW w:w="992"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 xml:space="preserve">Peak </w:t>
            </w:r>
            <w:r w:rsidR="00ED3667" w:rsidRPr="00290E8E">
              <w:rPr>
                <w:b/>
                <w:bCs/>
                <w:sz w:val="18"/>
                <w:szCs w:val="18"/>
              </w:rPr>
              <w:t>(</w:t>
            </w:r>
            <w:r w:rsidRPr="00290E8E">
              <w:rPr>
                <w:b/>
                <w:bCs/>
                <w:sz w:val="18"/>
                <w:szCs w:val="18"/>
              </w:rPr>
              <w:t>days</w:t>
            </w:r>
            <w:r w:rsidR="00ED3667" w:rsidRPr="00290E8E">
              <w:rPr>
                <w:b/>
                <w:bCs/>
                <w:sz w:val="18"/>
                <w:szCs w:val="18"/>
              </w:rPr>
              <w:t>)</w:t>
            </w:r>
          </w:p>
        </w:tc>
        <w:tc>
          <w:tcPr>
            <w:tcW w:w="1282"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Event Recharge (mm)</w:t>
            </w:r>
          </w:p>
        </w:tc>
        <w:tc>
          <w:tcPr>
            <w:tcW w:w="1353"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Daily Recharge (mm/d)</w:t>
            </w:r>
          </w:p>
        </w:tc>
        <w:tc>
          <w:tcPr>
            <w:tcW w:w="1615"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Recharge Source</w:t>
            </w:r>
          </w:p>
        </w:tc>
        <w:tc>
          <w:tcPr>
            <w:tcW w:w="1265" w:type="dxa"/>
            <w:shd w:val="clear" w:color="auto" w:fill="CCCCCC"/>
            <w:vAlign w:val="center"/>
          </w:tcPr>
          <w:p w:rsidR="00F830A9" w:rsidRDefault="009038E6" w:rsidP="00ED3667">
            <w:pPr>
              <w:spacing w:before="60" w:after="60"/>
              <w:jc w:val="center"/>
              <w:rPr>
                <w:b/>
                <w:bCs/>
                <w:sz w:val="18"/>
                <w:szCs w:val="18"/>
              </w:rPr>
            </w:pPr>
            <w:r w:rsidRPr="00290E8E">
              <w:rPr>
                <w:b/>
                <w:bCs/>
                <w:sz w:val="18"/>
                <w:szCs w:val="18"/>
              </w:rPr>
              <w:t xml:space="preserve">Distance to Source </w:t>
            </w:r>
          </w:p>
          <w:p w:rsidR="009038E6" w:rsidRPr="00290E8E" w:rsidRDefault="009038E6" w:rsidP="00ED3667">
            <w:pPr>
              <w:spacing w:before="60" w:after="60"/>
              <w:jc w:val="center"/>
              <w:rPr>
                <w:b/>
                <w:bCs/>
                <w:sz w:val="18"/>
                <w:szCs w:val="18"/>
              </w:rPr>
            </w:pPr>
            <w:r w:rsidRPr="00290E8E">
              <w:rPr>
                <w:b/>
                <w:bCs/>
                <w:sz w:val="18"/>
                <w:szCs w:val="18"/>
              </w:rPr>
              <w:t>(m)</w:t>
            </w:r>
          </w:p>
        </w:tc>
        <w:tc>
          <w:tcPr>
            <w:tcW w:w="1346" w:type="dxa"/>
            <w:shd w:val="clear" w:color="auto" w:fill="CCCCCC"/>
            <w:vAlign w:val="center"/>
          </w:tcPr>
          <w:p w:rsidR="009038E6" w:rsidRPr="00290E8E" w:rsidRDefault="009038E6" w:rsidP="00ED3667">
            <w:pPr>
              <w:spacing w:before="60" w:after="60"/>
              <w:jc w:val="center"/>
              <w:rPr>
                <w:b/>
                <w:bCs/>
                <w:sz w:val="18"/>
                <w:szCs w:val="18"/>
              </w:rPr>
            </w:pPr>
            <w:r w:rsidRPr="00290E8E">
              <w:rPr>
                <w:b/>
                <w:bCs/>
                <w:sz w:val="18"/>
                <w:szCs w:val="18"/>
              </w:rPr>
              <w:t>Confidence</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84-3</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Coonambidgal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10-23</w:t>
            </w:r>
          </w:p>
        </w:tc>
        <w:tc>
          <w:tcPr>
            <w:tcW w:w="1800"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East Bootingee</w:t>
              </w:r>
            </w:smartTag>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5.43</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162</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272-543</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1.7-3.4</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Darling</w:t>
              </w:r>
              <w:r w:rsidR="00BE6FCE" w:rsidRPr="00290E8E">
                <w:rPr>
                  <w:sz w:val="18"/>
                  <w:szCs w:val="18"/>
                </w:rPr>
                <w:t xml:space="preserve"> River</w:t>
              </w:r>
            </w:smartTag>
          </w:p>
        </w:tc>
        <w:tc>
          <w:tcPr>
            <w:tcW w:w="1265" w:type="dxa"/>
          </w:tcPr>
          <w:p w:rsidR="009038E6" w:rsidRPr="00290E8E" w:rsidRDefault="009038E6" w:rsidP="009038E6">
            <w:pPr>
              <w:spacing w:before="60" w:after="60"/>
              <w:jc w:val="center"/>
              <w:rPr>
                <w:sz w:val="18"/>
                <w:szCs w:val="18"/>
              </w:rPr>
            </w:pPr>
            <w:r w:rsidRPr="00290E8E">
              <w:rPr>
                <w:sz w:val="18"/>
                <w:szCs w:val="18"/>
              </w:rPr>
              <w:t>17</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Moderate</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84-4</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Coonambidgal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12-23</w:t>
            </w:r>
          </w:p>
        </w:tc>
        <w:tc>
          <w:tcPr>
            <w:tcW w:w="1800"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East Bootingee</w:t>
              </w:r>
            </w:smartTag>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2.74</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162</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137-274</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0.9-1.7</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Darling</w:t>
              </w:r>
              <w:r w:rsidR="00BE6FCE" w:rsidRPr="00290E8E">
                <w:rPr>
                  <w:sz w:val="18"/>
                  <w:szCs w:val="18"/>
                </w:rPr>
                <w:t xml:space="preserve"> River</w:t>
              </w:r>
            </w:smartTag>
          </w:p>
        </w:tc>
        <w:tc>
          <w:tcPr>
            <w:tcW w:w="1265" w:type="dxa"/>
          </w:tcPr>
          <w:p w:rsidR="009038E6" w:rsidRPr="00290E8E" w:rsidRDefault="009038E6" w:rsidP="009038E6">
            <w:pPr>
              <w:spacing w:before="60" w:after="60"/>
              <w:jc w:val="center"/>
              <w:rPr>
                <w:sz w:val="18"/>
                <w:szCs w:val="18"/>
              </w:rPr>
            </w:pPr>
            <w:r w:rsidRPr="00290E8E">
              <w:rPr>
                <w:sz w:val="18"/>
                <w:szCs w:val="18"/>
              </w:rPr>
              <w:t>100</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Moderate</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04-3</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8-14</w:t>
            </w:r>
          </w:p>
        </w:tc>
        <w:tc>
          <w:tcPr>
            <w:tcW w:w="1800"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smartTag w:uri="urn:schemas-microsoft-com:office:smarttags" w:element="PlaceType">
                <w:r w:rsidRPr="00290E8E">
                  <w:rPr>
                    <w:sz w:val="18"/>
                    <w:szCs w:val="18"/>
                  </w:rPr>
                  <w:t>Lake</w:t>
                </w:r>
              </w:smartTag>
              <w:r w:rsidRPr="00290E8E">
                <w:rPr>
                  <w:sz w:val="18"/>
                  <w:szCs w:val="18"/>
                </w:rPr>
                <w:t xml:space="preserve"> </w:t>
              </w:r>
              <w:smartTag w:uri="urn:schemas-microsoft-com:office:smarttags" w:element="PlaceName">
                <w:r w:rsidRPr="00290E8E">
                  <w:rPr>
                    <w:sz w:val="18"/>
                    <w:szCs w:val="18"/>
                  </w:rPr>
                  <w:t>Wetherell</w:t>
                </w:r>
              </w:smartTag>
            </w:smartTag>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1.71</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571</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86-171</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0.1-0.3</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smartTag w:uri="urn:schemas-microsoft-com:office:smarttags" w:element="PlaceType">
                <w:r w:rsidRPr="00290E8E">
                  <w:rPr>
                    <w:sz w:val="18"/>
                    <w:szCs w:val="18"/>
                  </w:rPr>
                  <w:t>Lake</w:t>
                </w:r>
              </w:smartTag>
              <w:r w:rsidRPr="00290E8E">
                <w:rPr>
                  <w:sz w:val="18"/>
                  <w:szCs w:val="18"/>
                </w:rPr>
                <w:t xml:space="preserve"> </w:t>
              </w:r>
              <w:smartTag w:uri="urn:schemas-microsoft-com:office:smarttags" w:element="PlaceName">
                <w:r w:rsidRPr="00290E8E">
                  <w:rPr>
                    <w:sz w:val="18"/>
                    <w:szCs w:val="18"/>
                  </w:rPr>
                  <w:t>Wetherell</w:t>
                </w:r>
              </w:smartTag>
            </w:smartTag>
          </w:p>
        </w:tc>
        <w:tc>
          <w:tcPr>
            <w:tcW w:w="1265" w:type="dxa"/>
          </w:tcPr>
          <w:p w:rsidR="009038E6" w:rsidRPr="00290E8E" w:rsidRDefault="009038E6" w:rsidP="009038E6">
            <w:pPr>
              <w:spacing w:before="60" w:after="60"/>
              <w:jc w:val="center"/>
              <w:rPr>
                <w:sz w:val="18"/>
                <w:szCs w:val="18"/>
              </w:rPr>
            </w:pPr>
            <w:r w:rsidRPr="00290E8E">
              <w:rPr>
                <w:sz w:val="18"/>
                <w:szCs w:val="18"/>
              </w:rPr>
              <w:t>95</w:t>
            </w:r>
          </w:p>
        </w:tc>
        <w:tc>
          <w:tcPr>
            <w:tcW w:w="134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H</w:t>
            </w:r>
            <w:r w:rsidR="00ED3667" w:rsidRPr="00290E8E">
              <w:rPr>
                <w:sz w:val="18"/>
                <w:szCs w:val="18"/>
              </w:rPr>
              <w:t>igh</w:t>
            </w:r>
          </w:p>
        </w:tc>
      </w:tr>
      <w:tr w:rsidR="009038E6" w:rsidRPr="00290E8E" w:rsidTr="009038E6">
        <w:trPr>
          <w:trHeight w:val="302"/>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77-3</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11-16</w:t>
            </w:r>
          </w:p>
        </w:tc>
        <w:tc>
          <w:tcPr>
            <w:tcW w:w="180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Jimargil</w:t>
            </w:r>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1.17</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182</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59-117</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0.3-0.6</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Darling</w:t>
              </w:r>
              <w:r w:rsidR="00BE6FCE" w:rsidRPr="00290E8E">
                <w:rPr>
                  <w:sz w:val="18"/>
                  <w:szCs w:val="18"/>
                </w:rPr>
                <w:t xml:space="preserve"> River</w:t>
              </w:r>
            </w:smartTag>
          </w:p>
        </w:tc>
        <w:tc>
          <w:tcPr>
            <w:tcW w:w="1265" w:type="dxa"/>
          </w:tcPr>
          <w:p w:rsidR="009038E6" w:rsidRPr="00290E8E" w:rsidRDefault="009038E6" w:rsidP="009038E6">
            <w:pPr>
              <w:spacing w:before="60" w:after="60"/>
              <w:jc w:val="center"/>
              <w:rPr>
                <w:sz w:val="18"/>
                <w:szCs w:val="18"/>
              </w:rPr>
            </w:pPr>
            <w:r w:rsidRPr="00290E8E">
              <w:rPr>
                <w:sz w:val="18"/>
                <w:szCs w:val="18"/>
              </w:rPr>
              <w:t>115</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Moderate</w:t>
            </w:r>
          </w:p>
        </w:tc>
      </w:tr>
      <w:tr w:rsidR="009038E6" w:rsidRPr="00290E8E" w:rsidTr="009038E6">
        <w:trPr>
          <w:trHeight w:val="302"/>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33-3</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14-23</w:t>
            </w:r>
          </w:p>
        </w:tc>
        <w:tc>
          <w:tcPr>
            <w:tcW w:w="180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Jimargil</w:t>
            </w:r>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0.38</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358</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19-38</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0.05-0.1</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Darling</w:t>
              </w:r>
              <w:r w:rsidR="00BE6FCE" w:rsidRPr="00290E8E">
                <w:rPr>
                  <w:sz w:val="18"/>
                  <w:szCs w:val="18"/>
                </w:rPr>
                <w:t xml:space="preserve"> River</w:t>
              </w:r>
            </w:smartTag>
          </w:p>
        </w:tc>
        <w:tc>
          <w:tcPr>
            <w:tcW w:w="1265" w:type="dxa"/>
          </w:tcPr>
          <w:p w:rsidR="009038E6" w:rsidRPr="00290E8E" w:rsidRDefault="009038E6" w:rsidP="009038E6">
            <w:pPr>
              <w:spacing w:before="60" w:after="60"/>
              <w:jc w:val="center"/>
              <w:rPr>
                <w:sz w:val="18"/>
                <w:szCs w:val="18"/>
              </w:rPr>
            </w:pPr>
            <w:r w:rsidRPr="00290E8E">
              <w:rPr>
                <w:sz w:val="18"/>
                <w:szCs w:val="18"/>
              </w:rPr>
              <w:t>813</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High</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92-2</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12-16</w:t>
            </w:r>
          </w:p>
        </w:tc>
        <w:tc>
          <w:tcPr>
            <w:tcW w:w="1800"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East Bootingee</w:t>
              </w:r>
            </w:smartTag>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1.67</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203</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83-167</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0.4-0.8</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Darling</w:t>
              </w:r>
              <w:r w:rsidR="00BE6FCE" w:rsidRPr="00290E8E">
                <w:rPr>
                  <w:sz w:val="18"/>
                  <w:szCs w:val="18"/>
                </w:rPr>
                <w:t xml:space="preserve"> River</w:t>
              </w:r>
            </w:smartTag>
          </w:p>
        </w:tc>
        <w:tc>
          <w:tcPr>
            <w:tcW w:w="1265" w:type="dxa"/>
          </w:tcPr>
          <w:p w:rsidR="009038E6" w:rsidRPr="00290E8E" w:rsidRDefault="009038E6" w:rsidP="009038E6">
            <w:pPr>
              <w:spacing w:before="60" w:after="60"/>
              <w:jc w:val="center"/>
              <w:rPr>
                <w:sz w:val="18"/>
                <w:szCs w:val="18"/>
              </w:rPr>
            </w:pPr>
            <w:r w:rsidRPr="00290E8E">
              <w:rPr>
                <w:sz w:val="18"/>
                <w:szCs w:val="18"/>
              </w:rPr>
              <w:t>151</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Moderate</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34-2</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8-20</w:t>
            </w:r>
          </w:p>
        </w:tc>
        <w:tc>
          <w:tcPr>
            <w:tcW w:w="1800"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smartTag w:uri="urn:schemas-microsoft-com:office:smarttags" w:element="PlaceType">
                <w:r w:rsidRPr="00290E8E">
                  <w:rPr>
                    <w:sz w:val="18"/>
                    <w:szCs w:val="18"/>
                  </w:rPr>
                  <w:t>Lake</w:t>
                </w:r>
              </w:smartTag>
              <w:r w:rsidRPr="00290E8E">
                <w:rPr>
                  <w:sz w:val="18"/>
                  <w:szCs w:val="18"/>
                </w:rPr>
                <w:t xml:space="preserve"> </w:t>
              </w:r>
              <w:smartTag w:uri="urn:schemas-microsoft-com:office:smarttags" w:element="PlaceName">
                <w:r w:rsidRPr="00290E8E">
                  <w:rPr>
                    <w:sz w:val="18"/>
                    <w:szCs w:val="18"/>
                  </w:rPr>
                  <w:t>Wetherell</w:t>
                </w:r>
              </w:smartTag>
            </w:smartTag>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0.56</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680</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28-56</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0.04-0.08</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smartTag w:uri="urn:schemas-microsoft-com:office:smarttags" w:element="PlaceType">
                <w:r w:rsidRPr="00290E8E">
                  <w:rPr>
                    <w:sz w:val="18"/>
                    <w:szCs w:val="18"/>
                  </w:rPr>
                  <w:t>Lake</w:t>
                </w:r>
              </w:smartTag>
              <w:r w:rsidRPr="00290E8E">
                <w:rPr>
                  <w:sz w:val="18"/>
                  <w:szCs w:val="18"/>
                </w:rPr>
                <w:t xml:space="preserve"> </w:t>
              </w:r>
              <w:smartTag w:uri="urn:schemas-microsoft-com:office:smarttags" w:element="PlaceName">
                <w:r w:rsidRPr="00290E8E">
                  <w:rPr>
                    <w:sz w:val="18"/>
                    <w:szCs w:val="18"/>
                  </w:rPr>
                  <w:t>Wetherell</w:t>
                </w:r>
              </w:smartTag>
            </w:smartTag>
          </w:p>
        </w:tc>
        <w:tc>
          <w:tcPr>
            <w:tcW w:w="1265" w:type="dxa"/>
          </w:tcPr>
          <w:p w:rsidR="009038E6" w:rsidRPr="00290E8E" w:rsidRDefault="009038E6" w:rsidP="009038E6">
            <w:pPr>
              <w:spacing w:before="60" w:after="60"/>
              <w:jc w:val="center"/>
              <w:rPr>
                <w:sz w:val="18"/>
                <w:szCs w:val="18"/>
              </w:rPr>
            </w:pPr>
            <w:r w:rsidRPr="00290E8E">
              <w:rPr>
                <w:sz w:val="18"/>
                <w:szCs w:val="18"/>
              </w:rPr>
              <w:t>81</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Moderate</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21-2</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10.5-23.5</w:t>
            </w:r>
          </w:p>
        </w:tc>
        <w:tc>
          <w:tcPr>
            <w:tcW w:w="180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Tandou</w:t>
            </w:r>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1.51</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595</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76-151</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0.13-0.25</w:t>
            </w:r>
          </w:p>
        </w:tc>
        <w:tc>
          <w:tcPr>
            <w:tcW w:w="1615" w:type="dxa"/>
            <w:shd w:val="clear" w:color="auto" w:fill="auto"/>
            <w:noWrap/>
            <w:vAlign w:val="bottom"/>
          </w:tcPr>
          <w:p w:rsidR="009038E6" w:rsidRPr="00290E8E" w:rsidRDefault="009038E6" w:rsidP="009038E6">
            <w:pPr>
              <w:spacing w:before="60" w:after="60"/>
              <w:jc w:val="center"/>
              <w:rPr>
                <w:sz w:val="18"/>
                <w:szCs w:val="18"/>
              </w:rPr>
            </w:pPr>
            <w:smartTag w:uri="urn:schemas-microsoft-com:office:smarttags" w:element="place">
              <w:r w:rsidRPr="00290E8E">
                <w:rPr>
                  <w:sz w:val="18"/>
                  <w:szCs w:val="18"/>
                </w:rPr>
                <w:t>Darling</w:t>
              </w:r>
              <w:r w:rsidR="00BE6FCE" w:rsidRPr="00290E8E">
                <w:rPr>
                  <w:sz w:val="18"/>
                  <w:szCs w:val="18"/>
                </w:rPr>
                <w:t xml:space="preserve"> River</w:t>
              </w:r>
            </w:smartTag>
          </w:p>
        </w:tc>
        <w:tc>
          <w:tcPr>
            <w:tcW w:w="1265" w:type="dxa"/>
          </w:tcPr>
          <w:p w:rsidR="009038E6" w:rsidRPr="00290E8E" w:rsidRDefault="009038E6" w:rsidP="009038E6">
            <w:pPr>
              <w:spacing w:before="60" w:after="60"/>
              <w:jc w:val="center"/>
              <w:rPr>
                <w:sz w:val="18"/>
                <w:szCs w:val="18"/>
              </w:rPr>
            </w:pPr>
            <w:r w:rsidRPr="00290E8E">
              <w:rPr>
                <w:sz w:val="18"/>
                <w:szCs w:val="18"/>
              </w:rPr>
              <w:t>334</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Moderate</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61-3</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12.5-22.5</w:t>
            </w:r>
          </w:p>
        </w:tc>
        <w:tc>
          <w:tcPr>
            <w:tcW w:w="180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Wanda</w:t>
            </w:r>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0.74</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486</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37-74</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0.08-0.15</w:t>
            </w:r>
          </w:p>
        </w:tc>
        <w:tc>
          <w:tcPr>
            <w:tcW w:w="1615"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Charlie Stones Creek</w:t>
            </w:r>
          </w:p>
        </w:tc>
        <w:tc>
          <w:tcPr>
            <w:tcW w:w="1265" w:type="dxa"/>
          </w:tcPr>
          <w:p w:rsidR="009038E6" w:rsidRPr="00290E8E" w:rsidRDefault="009038E6" w:rsidP="009038E6">
            <w:pPr>
              <w:spacing w:before="60" w:after="60"/>
              <w:jc w:val="center"/>
              <w:rPr>
                <w:sz w:val="18"/>
                <w:szCs w:val="18"/>
              </w:rPr>
            </w:pPr>
            <w:r w:rsidRPr="00290E8E">
              <w:rPr>
                <w:sz w:val="18"/>
                <w:szCs w:val="18"/>
              </w:rPr>
              <w:t>168</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Moderate</w:t>
            </w:r>
          </w:p>
        </w:tc>
      </w:tr>
      <w:tr w:rsidR="009038E6" w:rsidRPr="00290E8E" w:rsidTr="009038E6">
        <w:trPr>
          <w:trHeight w:val="320"/>
        </w:trPr>
        <w:tc>
          <w:tcPr>
            <w:tcW w:w="1080"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23-2</w:t>
            </w:r>
          </w:p>
        </w:tc>
        <w:tc>
          <w:tcPr>
            <w:tcW w:w="1620" w:type="dxa"/>
            <w:shd w:val="clear" w:color="auto" w:fill="auto"/>
            <w:noWrap/>
            <w:vAlign w:val="bottom"/>
          </w:tcPr>
          <w:p w:rsidR="009038E6" w:rsidRPr="00290E8E" w:rsidRDefault="00C217F0" w:rsidP="009038E6">
            <w:pPr>
              <w:spacing w:before="60" w:after="60"/>
              <w:jc w:val="center"/>
              <w:rPr>
                <w:sz w:val="18"/>
                <w:szCs w:val="18"/>
              </w:rPr>
            </w:pPr>
            <w:r w:rsidRPr="00290E8E">
              <w:rPr>
                <w:sz w:val="18"/>
                <w:szCs w:val="18"/>
              </w:rPr>
              <w:t>Menindee Formation</w:t>
            </w:r>
            <w:r w:rsidR="009038E6" w:rsidRPr="00290E8E">
              <w:rPr>
                <w:sz w:val="18"/>
                <w:szCs w:val="18"/>
              </w:rPr>
              <w:t>/</w:t>
            </w:r>
          </w:p>
          <w:p w:rsidR="009038E6" w:rsidRPr="00290E8E" w:rsidRDefault="00C217F0" w:rsidP="009038E6">
            <w:pPr>
              <w:spacing w:before="60" w:after="60"/>
              <w:jc w:val="center"/>
              <w:rPr>
                <w:sz w:val="18"/>
                <w:szCs w:val="18"/>
              </w:rPr>
            </w:pPr>
            <w:r w:rsidRPr="00290E8E">
              <w:rPr>
                <w:sz w:val="18"/>
                <w:szCs w:val="18"/>
              </w:rPr>
              <w:t>Calivil Formation</w:t>
            </w:r>
          </w:p>
        </w:tc>
        <w:tc>
          <w:tcPr>
            <w:tcW w:w="1276"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29-47</w:t>
            </w:r>
          </w:p>
        </w:tc>
        <w:tc>
          <w:tcPr>
            <w:tcW w:w="1800" w:type="dxa"/>
            <w:shd w:val="clear" w:color="auto" w:fill="auto"/>
            <w:noWrap/>
            <w:vAlign w:val="bottom"/>
          </w:tcPr>
          <w:p w:rsidR="009038E6" w:rsidRPr="00290E8E" w:rsidRDefault="00C217F0" w:rsidP="009038E6">
            <w:pPr>
              <w:spacing w:before="60" w:after="60"/>
              <w:jc w:val="center"/>
              <w:rPr>
                <w:sz w:val="18"/>
                <w:szCs w:val="18"/>
              </w:rPr>
            </w:pPr>
            <w:smartTag w:uri="urn:schemas-microsoft-com:office:smarttags" w:element="place">
              <w:smartTag w:uri="urn:schemas-microsoft-com:office:smarttags" w:element="PlaceType">
                <w:r w:rsidRPr="00290E8E">
                  <w:rPr>
                    <w:sz w:val="18"/>
                    <w:szCs w:val="18"/>
                  </w:rPr>
                  <w:t>Lake</w:t>
                </w:r>
              </w:smartTag>
              <w:r w:rsidRPr="00290E8E">
                <w:rPr>
                  <w:sz w:val="18"/>
                  <w:szCs w:val="18"/>
                </w:rPr>
                <w:t xml:space="preserve"> </w:t>
              </w:r>
              <w:smartTag w:uri="urn:schemas-microsoft-com:office:smarttags" w:element="PlaceName">
                <w:r w:rsidRPr="00290E8E">
                  <w:rPr>
                    <w:sz w:val="18"/>
                    <w:szCs w:val="18"/>
                  </w:rPr>
                  <w:t>Menindee</w:t>
                </w:r>
              </w:smartTag>
            </w:smartTag>
          </w:p>
        </w:tc>
        <w:tc>
          <w:tcPr>
            <w:tcW w:w="1021"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4.01</w:t>
            </w:r>
          </w:p>
        </w:tc>
        <w:tc>
          <w:tcPr>
            <w:tcW w:w="99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407</w:t>
            </w:r>
          </w:p>
        </w:tc>
        <w:tc>
          <w:tcPr>
            <w:tcW w:w="1282"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200-401</w:t>
            </w:r>
          </w:p>
        </w:tc>
        <w:tc>
          <w:tcPr>
            <w:tcW w:w="1353" w:type="dxa"/>
            <w:shd w:val="clear" w:color="auto" w:fill="auto"/>
            <w:noWrap/>
            <w:vAlign w:val="bottom"/>
          </w:tcPr>
          <w:p w:rsidR="009038E6" w:rsidRPr="00290E8E" w:rsidRDefault="009038E6" w:rsidP="009038E6">
            <w:pPr>
              <w:spacing w:before="60" w:after="60"/>
              <w:jc w:val="center"/>
              <w:rPr>
                <w:sz w:val="18"/>
                <w:szCs w:val="18"/>
              </w:rPr>
            </w:pPr>
            <w:r w:rsidRPr="00290E8E">
              <w:rPr>
                <w:sz w:val="18"/>
                <w:szCs w:val="18"/>
              </w:rPr>
              <w:t>0.5-1.0</w:t>
            </w:r>
          </w:p>
        </w:tc>
        <w:tc>
          <w:tcPr>
            <w:tcW w:w="1615" w:type="dxa"/>
            <w:shd w:val="clear" w:color="auto" w:fill="auto"/>
            <w:noWrap/>
            <w:vAlign w:val="bottom"/>
          </w:tcPr>
          <w:p w:rsidR="009038E6" w:rsidRPr="00290E8E" w:rsidRDefault="00C217F0" w:rsidP="009038E6">
            <w:pPr>
              <w:spacing w:before="60" w:after="60"/>
              <w:jc w:val="center"/>
              <w:rPr>
                <w:sz w:val="18"/>
                <w:szCs w:val="18"/>
              </w:rPr>
            </w:pPr>
            <w:smartTag w:uri="urn:schemas-microsoft-com:office:smarttags" w:element="place">
              <w:smartTag w:uri="urn:schemas-microsoft-com:office:smarttags" w:element="PlaceType">
                <w:r w:rsidRPr="00290E8E">
                  <w:rPr>
                    <w:sz w:val="18"/>
                    <w:szCs w:val="18"/>
                  </w:rPr>
                  <w:t>Lake</w:t>
                </w:r>
              </w:smartTag>
              <w:r w:rsidRPr="00290E8E">
                <w:rPr>
                  <w:sz w:val="18"/>
                  <w:szCs w:val="18"/>
                </w:rPr>
                <w:t xml:space="preserve"> </w:t>
              </w:r>
              <w:smartTag w:uri="urn:schemas-microsoft-com:office:smarttags" w:element="PlaceName">
                <w:r w:rsidRPr="00290E8E">
                  <w:rPr>
                    <w:sz w:val="18"/>
                    <w:szCs w:val="18"/>
                  </w:rPr>
                  <w:t>Menindee</w:t>
                </w:r>
              </w:smartTag>
            </w:smartTag>
          </w:p>
        </w:tc>
        <w:tc>
          <w:tcPr>
            <w:tcW w:w="1265" w:type="dxa"/>
          </w:tcPr>
          <w:p w:rsidR="009038E6" w:rsidRPr="00290E8E" w:rsidRDefault="009038E6" w:rsidP="009038E6">
            <w:pPr>
              <w:spacing w:before="60" w:after="60"/>
              <w:jc w:val="center"/>
              <w:rPr>
                <w:sz w:val="18"/>
                <w:szCs w:val="18"/>
              </w:rPr>
            </w:pPr>
            <w:r w:rsidRPr="00290E8E">
              <w:rPr>
                <w:sz w:val="18"/>
                <w:szCs w:val="18"/>
              </w:rPr>
              <w:t>157</w:t>
            </w:r>
          </w:p>
        </w:tc>
        <w:tc>
          <w:tcPr>
            <w:tcW w:w="1346" w:type="dxa"/>
            <w:shd w:val="clear" w:color="auto" w:fill="auto"/>
            <w:noWrap/>
            <w:vAlign w:val="bottom"/>
          </w:tcPr>
          <w:p w:rsidR="009038E6" w:rsidRPr="00290E8E" w:rsidRDefault="00ED3667" w:rsidP="009038E6">
            <w:pPr>
              <w:spacing w:before="60" w:after="60"/>
              <w:jc w:val="center"/>
              <w:rPr>
                <w:sz w:val="18"/>
                <w:szCs w:val="18"/>
              </w:rPr>
            </w:pPr>
            <w:r w:rsidRPr="00290E8E">
              <w:rPr>
                <w:sz w:val="18"/>
                <w:szCs w:val="18"/>
              </w:rPr>
              <w:t>High</w:t>
            </w:r>
          </w:p>
        </w:tc>
      </w:tr>
    </w:tbl>
    <w:p w:rsidR="00BE6FCE" w:rsidRPr="00BE6FCE" w:rsidRDefault="00BE6FCE" w:rsidP="009038E6">
      <w:pPr>
        <w:rPr>
          <w:sz w:val="20"/>
          <w:szCs w:val="20"/>
        </w:rPr>
      </w:pPr>
      <w:r w:rsidRPr="00BE6FCE">
        <w:rPr>
          <w:sz w:val="20"/>
          <w:szCs w:val="20"/>
        </w:rPr>
        <w:t xml:space="preserve">Notes: </w:t>
      </w:r>
    </w:p>
    <w:p w:rsidR="009038E6" w:rsidRPr="00BE6FCE" w:rsidRDefault="00BE6FCE" w:rsidP="009038E6">
      <w:pPr>
        <w:rPr>
          <w:sz w:val="20"/>
          <w:szCs w:val="20"/>
        </w:rPr>
        <w:sectPr w:rsidR="009038E6" w:rsidRPr="00BE6FCE" w:rsidSect="00C6706D">
          <w:pgSz w:w="16838" w:h="11906" w:orient="landscape" w:code="9"/>
          <w:pgMar w:top="1134" w:right="1134" w:bottom="1134" w:left="1134" w:header="709" w:footer="709" w:gutter="0"/>
          <w:cols w:space="708"/>
          <w:docGrid w:linePitch="360"/>
        </w:sectPr>
      </w:pPr>
      <w:r w:rsidRPr="00BE6FCE">
        <w:rPr>
          <w:sz w:val="20"/>
          <w:szCs w:val="20"/>
        </w:rPr>
        <w:t>1. ΔRWL is the maximum rise (peak) in groundwater level in the bore from the start of flood event.</w:t>
      </w:r>
    </w:p>
    <w:p w:rsidR="009038E6" w:rsidRPr="007960BF" w:rsidRDefault="009038E6" w:rsidP="009038E6">
      <w:pPr>
        <w:pStyle w:val="Caption"/>
        <w:rPr>
          <w:b/>
          <w:i w:val="0"/>
        </w:rPr>
      </w:pPr>
      <w:bookmarkStart w:id="482" w:name="_Ref325973345"/>
      <w:r w:rsidRPr="00A6797D">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6</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5</w:t>
      </w:r>
      <w:r w:rsidR="00B96C96">
        <w:rPr>
          <w:b/>
        </w:rPr>
        <w:fldChar w:fldCharType="end"/>
      </w:r>
      <w:bookmarkEnd w:id="482"/>
      <w:r w:rsidRPr="00A6797D">
        <w:rPr>
          <w:b/>
        </w:rPr>
        <w:t>.</w:t>
      </w:r>
      <w:r>
        <w:t xml:space="preserve"> </w:t>
      </w:r>
      <w:r w:rsidRPr="00A6797D">
        <w:t xml:space="preserve">Comparison of recharge </w:t>
      </w:r>
      <w:r w:rsidRPr="00700573">
        <w:t>estimates</w:t>
      </w:r>
      <w:r w:rsidRPr="00A6797D">
        <w:t xml:space="preserve"> using differen</w:t>
      </w:r>
      <w:r w:rsidR="00CB7EA6">
        <w:t>t methods for sites at Jimargil</w:t>
      </w:r>
      <w:r w:rsidRPr="00A6797D">
        <w:t>.</w:t>
      </w:r>
      <w:r w:rsidRPr="00395AD1">
        <w:t xml:space="preserve"> </w:t>
      </w:r>
      <w:r w:rsidRPr="007960BF">
        <w:rPr>
          <w:i w:val="0"/>
        </w:rPr>
        <w:fldChar w:fldCharType="begin"/>
      </w:r>
      <w:r w:rsidRPr="007960BF">
        <w:rPr>
          <w:i w:val="0"/>
        </w:rPr>
        <w:instrText xml:space="preserve"> TC "</w:instrText>
      </w:r>
      <w:bookmarkStart w:id="483" w:name="_Toc325975306"/>
      <w:bookmarkStart w:id="484" w:name="_Toc390690295"/>
      <w:r w:rsidRPr="007960BF">
        <w:rPr>
          <w:i w:val="0"/>
        </w:rPr>
        <w:instrText xml:space="preserve">Table </w:instrText>
      </w:r>
      <w:r w:rsidR="000D653B">
        <w:rPr>
          <w:i w:val="0"/>
        </w:rPr>
        <w:instrText>6-5</w:instrText>
      </w:r>
      <w:r w:rsidR="00DE0DFA">
        <w:rPr>
          <w:i w:val="0"/>
        </w:rPr>
        <w:instrText>.</w:instrText>
      </w:r>
      <w:r w:rsidRPr="007960BF">
        <w:rPr>
          <w:i w:val="0"/>
        </w:rPr>
        <w:instrText xml:space="preserve"> Comparison of recharge estimates using different methods for sites at Jimargil</w:instrText>
      </w:r>
      <w:bookmarkEnd w:id="483"/>
      <w:r w:rsidR="003721DD">
        <w:rPr>
          <w:i w:val="0"/>
        </w:rPr>
        <w:instrText>.</w:instrText>
      </w:r>
      <w:bookmarkEnd w:id="484"/>
      <w:r w:rsidRPr="007960BF">
        <w:rPr>
          <w:i w:val="0"/>
        </w:rPr>
        <w:instrText xml:space="preserve">" \f B \l "4" </w:instrText>
      </w:r>
      <w:r w:rsidRPr="007960BF">
        <w:rPr>
          <w:i w:val="0"/>
        </w:rPr>
        <w:fldChar w:fldCharType="end"/>
      </w:r>
    </w:p>
    <w:tbl>
      <w:tblPr>
        <w:tblW w:w="13086" w:type="dxa"/>
        <w:jc w:val="center"/>
        <w:tblLayout w:type="fixed"/>
        <w:tblLook w:val="0000" w:firstRow="0" w:lastRow="0" w:firstColumn="0" w:lastColumn="0" w:noHBand="0" w:noVBand="0"/>
      </w:tblPr>
      <w:tblGrid>
        <w:gridCol w:w="1206"/>
        <w:gridCol w:w="2761"/>
        <w:gridCol w:w="1400"/>
        <w:gridCol w:w="1475"/>
        <w:gridCol w:w="1564"/>
        <w:gridCol w:w="1405"/>
        <w:gridCol w:w="1475"/>
        <w:gridCol w:w="1800"/>
      </w:tblGrid>
      <w:tr w:rsidR="009038E6" w:rsidRPr="00290E8E" w:rsidTr="00ED3667">
        <w:trPr>
          <w:trHeight w:val="257"/>
          <w:jc w:val="center"/>
        </w:trPr>
        <w:tc>
          <w:tcPr>
            <w:tcW w:w="1206" w:type="dxa"/>
            <w:tcBorders>
              <w:bottom w:val="single" w:sz="4" w:space="0" w:color="auto"/>
            </w:tcBorders>
            <w:shd w:val="clear" w:color="auto" w:fill="auto"/>
            <w:noWrap/>
            <w:vAlign w:val="center"/>
          </w:tcPr>
          <w:p w:rsidR="009038E6" w:rsidRPr="00290E8E" w:rsidRDefault="009038E6" w:rsidP="00ED3667">
            <w:pPr>
              <w:spacing w:before="40" w:after="40"/>
              <w:jc w:val="center"/>
              <w:rPr>
                <w:b/>
                <w:bCs/>
                <w:sz w:val="18"/>
                <w:szCs w:val="18"/>
              </w:rPr>
            </w:pPr>
          </w:p>
        </w:tc>
        <w:tc>
          <w:tcPr>
            <w:tcW w:w="2761" w:type="dxa"/>
            <w:tcBorders>
              <w:bottom w:val="single" w:sz="4" w:space="0" w:color="auto"/>
            </w:tcBorders>
            <w:shd w:val="clear" w:color="auto" w:fill="auto"/>
            <w:noWrap/>
            <w:vAlign w:val="center"/>
          </w:tcPr>
          <w:p w:rsidR="009038E6" w:rsidRPr="00290E8E" w:rsidRDefault="009038E6" w:rsidP="00ED3667">
            <w:pPr>
              <w:spacing w:before="40" w:after="40"/>
              <w:jc w:val="center"/>
              <w:rPr>
                <w:b/>
                <w:bCs/>
                <w:sz w:val="18"/>
                <w:szCs w:val="18"/>
              </w:rPr>
            </w:pPr>
          </w:p>
        </w:tc>
        <w:tc>
          <w:tcPr>
            <w:tcW w:w="1400" w:type="dxa"/>
            <w:tcBorders>
              <w:bottom w:val="single" w:sz="4" w:space="0" w:color="auto"/>
            </w:tcBorders>
            <w:shd w:val="clear" w:color="auto" w:fill="auto"/>
            <w:noWrap/>
            <w:vAlign w:val="center"/>
          </w:tcPr>
          <w:p w:rsidR="009038E6" w:rsidRPr="00290E8E" w:rsidRDefault="009038E6" w:rsidP="00ED3667">
            <w:pPr>
              <w:spacing w:before="40" w:after="40"/>
              <w:jc w:val="center"/>
              <w:rPr>
                <w:b/>
                <w:bCs/>
                <w:sz w:val="18"/>
                <w:szCs w:val="18"/>
              </w:rPr>
            </w:pPr>
          </w:p>
        </w:tc>
        <w:tc>
          <w:tcPr>
            <w:tcW w:w="1475" w:type="dxa"/>
            <w:tcBorders>
              <w:bottom w:val="single" w:sz="4" w:space="0" w:color="auto"/>
              <w:right w:val="single" w:sz="4" w:space="0" w:color="auto"/>
            </w:tcBorders>
            <w:vAlign w:val="center"/>
          </w:tcPr>
          <w:p w:rsidR="009038E6" w:rsidRPr="00290E8E" w:rsidRDefault="009038E6" w:rsidP="00ED3667">
            <w:pPr>
              <w:spacing w:before="40" w:after="40"/>
              <w:jc w:val="center"/>
              <w:rPr>
                <w:b/>
                <w:bCs/>
                <w:sz w:val="18"/>
                <w:szCs w:val="18"/>
              </w:rPr>
            </w:pPr>
          </w:p>
        </w:tc>
        <w:tc>
          <w:tcPr>
            <w:tcW w:w="1564" w:type="dxa"/>
            <w:tcBorders>
              <w:top w:val="single" w:sz="4" w:space="0" w:color="auto"/>
              <w:left w:val="single" w:sz="4" w:space="0" w:color="auto"/>
              <w:bottom w:val="single" w:sz="4" w:space="0" w:color="auto"/>
              <w:right w:val="single" w:sz="4" w:space="0" w:color="auto"/>
            </w:tcBorders>
            <w:shd w:val="clear" w:color="auto" w:fill="B3B3B3"/>
            <w:vAlign w:val="center"/>
          </w:tcPr>
          <w:p w:rsidR="009038E6" w:rsidRPr="00290E8E" w:rsidRDefault="009038E6" w:rsidP="00ED3667">
            <w:pPr>
              <w:spacing w:before="40" w:after="40"/>
              <w:jc w:val="center"/>
              <w:rPr>
                <w:b/>
                <w:bCs/>
                <w:sz w:val="18"/>
                <w:szCs w:val="18"/>
              </w:rPr>
            </w:pPr>
            <w:r w:rsidRPr="00290E8E">
              <w:rPr>
                <w:b/>
                <w:bCs/>
                <w:sz w:val="18"/>
                <w:szCs w:val="18"/>
              </w:rPr>
              <w:t>Watertable Fluctuation</w:t>
            </w:r>
          </w:p>
          <w:p w:rsidR="009038E6" w:rsidRPr="00290E8E" w:rsidRDefault="009038E6" w:rsidP="00ED3667">
            <w:pPr>
              <w:spacing w:before="40" w:after="40"/>
              <w:jc w:val="center"/>
              <w:rPr>
                <w:b/>
                <w:bCs/>
                <w:sz w:val="18"/>
                <w:szCs w:val="18"/>
              </w:rPr>
            </w:pPr>
            <w:r w:rsidRPr="00290E8E">
              <w:rPr>
                <w:b/>
                <w:bCs/>
                <w:sz w:val="18"/>
                <w:szCs w:val="18"/>
              </w:rPr>
              <w:t>(Averaged)</w:t>
            </w:r>
          </w:p>
        </w:tc>
        <w:tc>
          <w:tcPr>
            <w:tcW w:w="1405" w:type="dxa"/>
            <w:tcBorders>
              <w:top w:val="single" w:sz="4" w:space="0" w:color="auto"/>
              <w:left w:val="single" w:sz="4" w:space="0" w:color="auto"/>
              <w:bottom w:val="single" w:sz="4" w:space="0" w:color="auto"/>
              <w:right w:val="single" w:sz="4" w:space="0" w:color="auto"/>
            </w:tcBorders>
            <w:shd w:val="clear" w:color="auto" w:fill="B3B3B3"/>
            <w:vAlign w:val="center"/>
          </w:tcPr>
          <w:p w:rsidR="009038E6" w:rsidRPr="00290E8E" w:rsidRDefault="009038E6" w:rsidP="00ED3667">
            <w:pPr>
              <w:spacing w:before="40" w:after="40"/>
              <w:jc w:val="center"/>
              <w:rPr>
                <w:b/>
                <w:bCs/>
                <w:sz w:val="18"/>
                <w:szCs w:val="18"/>
              </w:rPr>
            </w:pPr>
            <w:r w:rsidRPr="00290E8E">
              <w:rPr>
                <w:b/>
                <w:bCs/>
                <w:sz w:val="18"/>
                <w:szCs w:val="18"/>
              </w:rPr>
              <w:t>Mounding</w:t>
            </w:r>
          </w:p>
        </w:tc>
        <w:tc>
          <w:tcPr>
            <w:tcW w:w="1475" w:type="dxa"/>
            <w:tcBorders>
              <w:top w:val="single" w:sz="4" w:space="0" w:color="auto"/>
              <w:left w:val="single" w:sz="4" w:space="0" w:color="auto"/>
              <w:bottom w:val="single" w:sz="4" w:space="0" w:color="auto"/>
              <w:right w:val="single" w:sz="4" w:space="0" w:color="auto"/>
            </w:tcBorders>
            <w:shd w:val="clear" w:color="auto" w:fill="B3B3B3"/>
            <w:vAlign w:val="center"/>
          </w:tcPr>
          <w:p w:rsidR="009038E6" w:rsidRPr="00290E8E" w:rsidRDefault="009038E6" w:rsidP="00ED3667">
            <w:pPr>
              <w:spacing w:before="40" w:after="40"/>
              <w:jc w:val="center"/>
              <w:rPr>
                <w:b/>
                <w:bCs/>
                <w:sz w:val="18"/>
                <w:szCs w:val="18"/>
              </w:rPr>
            </w:pPr>
            <w:r w:rsidRPr="00290E8E">
              <w:rPr>
                <w:b/>
                <w:bCs/>
                <w:sz w:val="18"/>
                <w:szCs w:val="18"/>
              </w:rPr>
              <w:t>Radiocarbon</w:t>
            </w:r>
          </w:p>
          <w:p w:rsidR="009038E6" w:rsidRPr="00290E8E" w:rsidRDefault="009038E6" w:rsidP="00ED3667">
            <w:pPr>
              <w:spacing w:before="40" w:after="40"/>
              <w:jc w:val="center"/>
              <w:rPr>
                <w:b/>
                <w:bCs/>
                <w:sz w:val="18"/>
                <w:szCs w:val="18"/>
              </w:rPr>
            </w:pPr>
            <w:r w:rsidRPr="00290E8E">
              <w:rPr>
                <w:b/>
                <w:bCs/>
                <w:sz w:val="18"/>
                <w:szCs w:val="18"/>
              </w:rPr>
              <w:t>(Unconfined)</w:t>
            </w:r>
          </w:p>
        </w:tc>
        <w:tc>
          <w:tcPr>
            <w:tcW w:w="1800" w:type="dxa"/>
            <w:tcBorders>
              <w:top w:val="single" w:sz="4" w:space="0" w:color="auto"/>
              <w:left w:val="single" w:sz="4" w:space="0" w:color="auto"/>
              <w:bottom w:val="single" w:sz="4" w:space="0" w:color="auto"/>
              <w:right w:val="single" w:sz="4" w:space="0" w:color="auto"/>
            </w:tcBorders>
            <w:shd w:val="clear" w:color="auto" w:fill="B3B3B3"/>
            <w:vAlign w:val="center"/>
          </w:tcPr>
          <w:p w:rsidR="009038E6" w:rsidRPr="00290E8E" w:rsidRDefault="009038E6" w:rsidP="00ED3667">
            <w:pPr>
              <w:spacing w:before="40" w:after="40"/>
              <w:jc w:val="center"/>
              <w:rPr>
                <w:b/>
                <w:bCs/>
                <w:sz w:val="18"/>
                <w:szCs w:val="18"/>
              </w:rPr>
            </w:pPr>
            <w:r w:rsidRPr="00290E8E">
              <w:rPr>
                <w:b/>
                <w:bCs/>
                <w:sz w:val="18"/>
                <w:szCs w:val="18"/>
              </w:rPr>
              <w:t>Radiocarbon</w:t>
            </w:r>
          </w:p>
          <w:p w:rsidR="009038E6" w:rsidRPr="00290E8E" w:rsidRDefault="009038E6" w:rsidP="00ED3667">
            <w:pPr>
              <w:spacing w:before="40" w:after="40"/>
              <w:jc w:val="center"/>
              <w:rPr>
                <w:b/>
                <w:bCs/>
                <w:sz w:val="18"/>
                <w:szCs w:val="18"/>
              </w:rPr>
            </w:pPr>
            <w:r w:rsidRPr="00290E8E">
              <w:rPr>
                <w:b/>
                <w:bCs/>
                <w:sz w:val="18"/>
                <w:szCs w:val="18"/>
              </w:rPr>
              <w:t>(Confined)</w:t>
            </w:r>
          </w:p>
        </w:tc>
      </w:tr>
      <w:tr w:rsidR="009038E6" w:rsidRPr="00290E8E" w:rsidTr="00ED3667">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CCCCCC"/>
            <w:noWrap/>
            <w:vAlign w:val="center"/>
          </w:tcPr>
          <w:p w:rsidR="009038E6" w:rsidRPr="00290E8E" w:rsidRDefault="009038E6" w:rsidP="00ED3667">
            <w:pPr>
              <w:spacing w:before="40" w:after="40"/>
              <w:jc w:val="center"/>
              <w:rPr>
                <w:b/>
                <w:bCs/>
                <w:sz w:val="18"/>
                <w:szCs w:val="18"/>
              </w:rPr>
            </w:pPr>
            <w:r w:rsidRPr="00290E8E">
              <w:rPr>
                <w:b/>
                <w:bCs/>
                <w:sz w:val="18"/>
                <w:szCs w:val="18"/>
              </w:rPr>
              <w:t>BHMAR</w:t>
            </w:r>
          </w:p>
        </w:tc>
        <w:tc>
          <w:tcPr>
            <w:tcW w:w="2761" w:type="dxa"/>
            <w:tcBorders>
              <w:top w:val="single" w:sz="4" w:space="0" w:color="auto"/>
              <w:left w:val="single" w:sz="4" w:space="0" w:color="auto"/>
              <w:bottom w:val="single" w:sz="4" w:space="0" w:color="auto"/>
              <w:right w:val="single" w:sz="4" w:space="0" w:color="auto"/>
            </w:tcBorders>
            <w:shd w:val="clear" w:color="auto" w:fill="CCCCCC"/>
            <w:noWrap/>
            <w:vAlign w:val="center"/>
          </w:tcPr>
          <w:p w:rsidR="009038E6" w:rsidRPr="00290E8E" w:rsidRDefault="009038E6" w:rsidP="00ED3667">
            <w:pPr>
              <w:spacing w:before="40" w:after="40"/>
              <w:jc w:val="center"/>
              <w:rPr>
                <w:b/>
                <w:bCs/>
                <w:sz w:val="18"/>
                <w:szCs w:val="18"/>
              </w:rPr>
            </w:pPr>
            <w:r w:rsidRPr="00290E8E">
              <w:rPr>
                <w:b/>
                <w:bCs/>
                <w:sz w:val="18"/>
                <w:szCs w:val="18"/>
              </w:rPr>
              <w:t>Aquifer</w:t>
            </w:r>
          </w:p>
        </w:tc>
        <w:tc>
          <w:tcPr>
            <w:tcW w:w="1400" w:type="dxa"/>
            <w:tcBorders>
              <w:top w:val="single" w:sz="4" w:space="0" w:color="auto"/>
              <w:left w:val="single" w:sz="4" w:space="0" w:color="auto"/>
              <w:bottom w:val="single" w:sz="4" w:space="0" w:color="auto"/>
              <w:right w:val="single" w:sz="4" w:space="0" w:color="auto"/>
            </w:tcBorders>
            <w:shd w:val="clear" w:color="auto" w:fill="CCCCCC"/>
            <w:noWrap/>
            <w:vAlign w:val="center"/>
          </w:tcPr>
          <w:p w:rsidR="009038E6" w:rsidRPr="00290E8E" w:rsidRDefault="009038E6" w:rsidP="00ED3667">
            <w:pPr>
              <w:spacing w:before="40" w:after="40"/>
              <w:jc w:val="center"/>
              <w:rPr>
                <w:b/>
                <w:bCs/>
                <w:sz w:val="18"/>
                <w:szCs w:val="18"/>
              </w:rPr>
            </w:pPr>
            <w:r w:rsidRPr="00290E8E">
              <w:rPr>
                <w:b/>
                <w:bCs/>
                <w:sz w:val="18"/>
                <w:szCs w:val="18"/>
              </w:rPr>
              <w:t>Screened Interval</w:t>
            </w:r>
          </w:p>
          <w:p w:rsidR="007E657C" w:rsidRPr="00290E8E" w:rsidRDefault="007E657C" w:rsidP="00ED3667">
            <w:pPr>
              <w:spacing w:before="40" w:after="40"/>
              <w:jc w:val="center"/>
              <w:rPr>
                <w:b/>
                <w:bCs/>
                <w:sz w:val="18"/>
                <w:szCs w:val="18"/>
              </w:rPr>
            </w:pPr>
            <w:r w:rsidRPr="00290E8E">
              <w:rPr>
                <w:b/>
                <w:bCs/>
                <w:sz w:val="18"/>
                <w:szCs w:val="18"/>
              </w:rPr>
              <w:t>(m below land surface)</w:t>
            </w:r>
          </w:p>
        </w:tc>
        <w:tc>
          <w:tcPr>
            <w:tcW w:w="1475" w:type="dxa"/>
            <w:tcBorders>
              <w:top w:val="single" w:sz="4" w:space="0" w:color="auto"/>
              <w:left w:val="single" w:sz="4" w:space="0" w:color="auto"/>
              <w:bottom w:val="single" w:sz="4" w:space="0" w:color="auto"/>
              <w:right w:val="single" w:sz="4" w:space="0" w:color="auto"/>
            </w:tcBorders>
            <w:shd w:val="clear" w:color="auto" w:fill="CCCCCC"/>
            <w:vAlign w:val="center"/>
          </w:tcPr>
          <w:p w:rsidR="009038E6" w:rsidRPr="00290E8E" w:rsidRDefault="009038E6" w:rsidP="00ED3667">
            <w:pPr>
              <w:spacing w:before="40" w:after="40"/>
              <w:jc w:val="center"/>
              <w:rPr>
                <w:b/>
                <w:bCs/>
                <w:sz w:val="18"/>
                <w:szCs w:val="18"/>
              </w:rPr>
            </w:pPr>
            <w:r w:rsidRPr="00290E8E">
              <w:rPr>
                <w:b/>
                <w:bCs/>
                <w:sz w:val="18"/>
                <w:szCs w:val="18"/>
              </w:rPr>
              <w:t>Distance to River (m)</w:t>
            </w:r>
          </w:p>
        </w:tc>
        <w:tc>
          <w:tcPr>
            <w:tcW w:w="1564" w:type="dxa"/>
            <w:tcBorders>
              <w:top w:val="single" w:sz="4" w:space="0" w:color="auto"/>
              <w:left w:val="single" w:sz="4" w:space="0" w:color="auto"/>
              <w:bottom w:val="single" w:sz="4" w:space="0" w:color="auto"/>
              <w:right w:val="single" w:sz="4" w:space="0" w:color="auto"/>
            </w:tcBorders>
            <w:shd w:val="clear" w:color="auto" w:fill="CCCCCC"/>
            <w:vAlign w:val="center"/>
          </w:tcPr>
          <w:p w:rsidR="007E657C" w:rsidRPr="00290E8E" w:rsidRDefault="009038E6" w:rsidP="00ED3667">
            <w:pPr>
              <w:spacing w:before="40" w:after="40"/>
              <w:jc w:val="center"/>
              <w:rPr>
                <w:b/>
                <w:bCs/>
                <w:sz w:val="18"/>
                <w:szCs w:val="18"/>
              </w:rPr>
            </w:pPr>
            <w:r w:rsidRPr="00290E8E">
              <w:rPr>
                <w:b/>
                <w:bCs/>
                <w:sz w:val="18"/>
                <w:szCs w:val="18"/>
              </w:rPr>
              <w:t>R</w:t>
            </w:r>
            <w:r w:rsidR="007E657C" w:rsidRPr="00290E8E">
              <w:rPr>
                <w:b/>
                <w:bCs/>
                <w:sz w:val="18"/>
                <w:szCs w:val="18"/>
              </w:rPr>
              <w:t>echarge</w:t>
            </w:r>
          </w:p>
          <w:p w:rsidR="009038E6" w:rsidRPr="00290E8E" w:rsidRDefault="009038E6" w:rsidP="00ED3667">
            <w:pPr>
              <w:spacing w:before="40" w:after="40"/>
              <w:jc w:val="center"/>
              <w:rPr>
                <w:b/>
                <w:bCs/>
                <w:sz w:val="18"/>
                <w:szCs w:val="18"/>
              </w:rPr>
            </w:pPr>
            <w:r w:rsidRPr="00290E8E">
              <w:rPr>
                <w:b/>
                <w:bCs/>
                <w:sz w:val="18"/>
                <w:szCs w:val="18"/>
              </w:rPr>
              <w:t>(mm/yr)</w:t>
            </w:r>
          </w:p>
        </w:tc>
        <w:tc>
          <w:tcPr>
            <w:tcW w:w="1405" w:type="dxa"/>
            <w:tcBorders>
              <w:top w:val="single" w:sz="4" w:space="0" w:color="auto"/>
              <w:left w:val="single" w:sz="4" w:space="0" w:color="auto"/>
              <w:bottom w:val="single" w:sz="4" w:space="0" w:color="auto"/>
              <w:right w:val="single" w:sz="4" w:space="0" w:color="auto"/>
            </w:tcBorders>
            <w:shd w:val="clear" w:color="auto" w:fill="CCCCCC"/>
            <w:vAlign w:val="center"/>
          </w:tcPr>
          <w:p w:rsidR="007E657C" w:rsidRPr="00290E8E" w:rsidRDefault="009038E6" w:rsidP="00ED3667">
            <w:pPr>
              <w:spacing w:before="40" w:after="40"/>
              <w:jc w:val="center"/>
              <w:rPr>
                <w:b/>
                <w:bCs/>
                <w:sz w:val="18"/>
                <w:szCs w:val="18"/>
              </w:rPr>
            </w:pPr>
            <w:r w:rsidRPr="00290E8E">
              <w:rPr>
                <w:b/>
                <w:bCs/>
                <w:sz w:val="18"/>
                <w:szCs w:val="18"/>
              </w:rPr>
              <w:t>R</w:t>
            </w:r>
            <w:r w:rsidR="007E657C" w:rsidRPr="00290E8E">
              <w:rPr>
                <w:b/>
                <w:bCs/>
                <w:sz w:val="18"/>
                <w:szCs w:val="18"/>
              </w:rPr>
              <w:t>echarge</w:t>
            </w:r>
          </w:p>
          <w:p w:rsidR="009038E6" w:rsidRPr="00290E8E" w:rsidRDefault="009038E6" w:rsidP="00ED3667">
            <w:pPr>
              <w:spacing w:before="40" w:after="40"/>
              <w:jc w:val="center"/>
              <w:rPr>
                <w:b/>
                <w:bCs/>
                <w:sz w:val="18"/>
                <w:szCs w:val="18"/>
              </w:rPr>
            </w:pPr>
            <w:r w:rsidRPr="00290E8E">
              <w:rPr>
                <w:b/>
                <w:bCs/>
                <w:sz w:val="18"/>
                <w:szCs w:val="18"/>
              </w:rPr>
              <w:t>(mm/yr)</w:t>
            </w:r>
          </w:p>
        </w:tc>
        <w:tc>
          <w:tcPr>
            <w:tcW w:w="1475" w:type="dxa"/>
            <w:tcBorders>
              <w:top w:val="single" w:sz="4" w:space="0" w:color="auto"/>
              <w:left w:val="single" w:sz="4" w:space="0" w:color="auto"/>
              <w:bottom w:val="single" w:sz="4" w:space="0" w:color="auto"/>
              <w:right w:val="single" w:sz="4" w:space="0" w:color="auto"/>
            </w:tcBorders>
            <w:shd w:val="clear" w:color="auto" w:fill="CCCCCC"/>
            <w:vAlign w:val="center"/>
          </w:tcPr>
          <w:p w:rsidR="007E657C" w:rsidRPr="00290E8E" w:rsidRDefault="009038E6" w:rsidP="00ED3667">
            <w:pPr>
              <w:spacing w:before="40" w:after="40"/>
              <w:jc w:val="center"/>
              <w:rPr>
                <w:b/>
                <w:bCs/>
                <w:sz w:val="18"/>
                <w:szCs w:val="18"/>
              </w:rPr>
            </w:pPr>
            <w:r w:rsidRPr="00290E8E">
              <w:rPr>
                <w:b/>
                <w:bCs/>
                <w:sz w:val="18"/>
                <w:szCs w:val="18"/>
              </w:rPr>
              <w:t>R</w:t>
            </w:r>
            <w:r w:rsidR="007E657C" w:rsidRPr="00290E8E">
              <w:rPr>
                <w:b/>
                <w:bCs/>
                <w:sz w:val="18"/>
                <w:szCs w:val="18"/>
              </w:rPr>
              <w:t>echarge</w:t>
            </w:r>
          </w:p>
          <w:p w:rsidR="009038E6" w:rsidRPr="00290E8E" w:rsidRDefault="009038E6" w:rsidP="00ED3667">
            <w:pPr>
              <w:spacing w:before="40" w:after="40"/>
              <w:jc w:val="center"/>
              <w:rPr>
                <w:b/>
                <w:bCs/>
                <w:sz w:val="18"/>
                <w:szCs w:val="18"/>
              </w:rPr>
            </w:pPr>
            <w:r w:rsidRPr="00290E8E">
              <w:rPr>
                <w:b/>
                <w:bCs/>
                <w:sz w:val="18"/>
                <w:szCs w:val="18"/>
              </w:rPr>
              <w:t>(mm/yr)</w:t>
            </w:r>
          </w:p>
        </w:tc>
        <w:tc>
          <w:tcPr>
            <w:tcW w:w="1800" w:type="dxa"/>
            <w:tcBorders>
              <w:top w:val="single" w:sz="4" w:space="0" w:color="auto"/>
              <w:left w:val="single" w:sz="4" w:space="0" w:color="auto"/>
              <w:bottom w:val="single" w:sz="4" w:space="0" w:color="auto"/>
              <w:right w:val="single" w:sz="4" w:space="0" w:color="auto"/>
            </w:tcBorders>
            <w:shd w:val="clear" w:color="auto" w:fill="CCCCCC"/>
            <w:vAlign w:val="center"/>
          </w:tcPr>
          <w:p w:rsidR="007E657C" w:rsidRPr="00290E8E" w:rsidRDefault="009038E6" w:rsidP="00ED3667">
            <w:pPr>
              <w:spacing w:before="40" w:after="40"/>
              <w:jc w:val="center"/>
              <w:rPr>
                <w:b/>
                <w:bCs/>
                <w:sz w:val="18"/>
                <w:szCs w:val="18"/>
              </w:rPr>
            </w:pPr>
            <w:r w:rsidRPr="00290E8E">
              <w:rPr>
                <w:b/>
                <w:bCs/>
                <w:sz w:val="18"/>
                <w:szCs w:val="18"/>
              </w:rPr>
              <w:t>R</w:t>
            </w:r>
            <w:r w:rsidR="007E657C" w:rsidRPr="00290E8E">
              <w:rPr>
                <w:b/>
                <w:bCs/>
                <w:sz w:val="18"/>
                <w:szCs w:val="18"/>
              </w:rPr>
              <w:t>echarge</w:t>
            </w:r>
          </w:p>
          <w:p w:rsidR="009038E6" w:rsidRPr="00290E8E" w:rsidRDefault="009038E6" w:rsidP="00ED3667">
            <w:pPr>
              <w:spacing w:before="40" w:after="40"/>
              <w:jc w:val="center"/>
              <w:rPr>
                <w:b/>
                <w:bCs/>
                <w:sz w:val="18"/>
                <w:szCs w:val="18"/>
              </w:rPr>
            </w:pPr>
            <w:r w:rsidRPr="00290E8E">
              <w:rPr>
                <w:b/>
                <w:bCs/>
                <w:sz w:val="18"/>
                <w:szCs w:val="18"/>
              </w:rPr>
              <w:t>(mm/yr)</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80A-3</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Coonambidgal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11-17</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71</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60</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6</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80A-4</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Coonambidgal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10-14</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174</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10</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80B-3</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Coonambidgal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11-16</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75</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7</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84-3</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Coonambidgal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10-23</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17</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106-212</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5</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84-4</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Coonambidgal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12-23</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100</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55-106</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5</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84-5</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Coonambidgal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10-23</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110</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8</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77-3</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Menindee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11-16</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102</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18-37</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8</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77-4</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Menindee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11-15</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108</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10</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92-2</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Menindee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12-16</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151</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26-51</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87</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19</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N/A</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77-2</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47-55</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115</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5-6</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77-5</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46-56</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50</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27-35</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80A-2</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jc w:val="center"/>
              <w:rPr>
                <w:sz w:val="18"/>
                <w:szCs w:val="18"/>
              </w:rPr>
            </w:pPr>
            <w:r w:rsidRPr="00290E8E">
              <w:rPr>
                <w:sz w:val="18"/>
                <w:szCs w:val="18"/>
              </w:rPr>
              <w:t>35-53</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164</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7-13</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80A-5</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35-55.5</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174</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80A-7</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42-54</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71</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18-35</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80B-2</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53-65</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135</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6-9</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83-2</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48-63</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177</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4-5</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84-2</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45-51</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112</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1.6-1.7</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92-1</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Calivil Formation</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32-62</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151</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5-8</w:t>
            </w:r>
          </w:p>
        </w:tc>
      </w:tr>
      <w:tr w:rsidR="009038E6" w:rsidRPr="00290E8E" w:rsidTr="007E657C">
        <w:trPr>
          <w:trHeight w:val="257"/>
          <w:jc w:val="center"/>
        </w:trPr>
        <w:tc>
          <w:tcPr>
            <w:tcW w:w="12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9038E6" w:rsidP="009038E6">
            <w:pPr>
              <w:spacing w:before="40" w:after="40"/>
              <w:rPr>
                <w:sz w:val="18"/>
                <w:szCs w:val="18"/>
              </w:rPr>
            </w:pPr>
            <w:r w:rsidRPr="00290E8E">
              <w:rPr>
                <w:sz w:val="18"/>
                <w:szCs w:val="18"/>
              </w:rPr>
              <w:t>80A-6</w:t>
            </w:r>
          </w:p>
        </w:tc>
        <w:tc>
          <w:tcPr>
            <w:tcW w:w="27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8E6" w:rsidRPr="00290E8E" w:rsidRDefault="00C217F0" w:rsidP="009038E6">
            <w:pPr>
              <w:spacing w:before="40" w:after="40"/>
              <w:rPr>
                <w:sz w:val="18"/>
                <w:szCs w:val="18"/>
              </w:rPr>
            </w:pPr>
            <w:r w:rsidRPr="00290E8E">
              <w:rPr>
                <w:sz w:val="18"/>
                <w:szCs w:val="18"/>
              </w:rPr>
              <w:t>Renmark Group</w:t>
            </w:r>
          </w:p>
        </w:tc>
        <w:tc>
          <w:tcPr>
            <w:tcW w:w="1400" w:type="dxa"/>
            <w:tcBorders>
              <w:top w:val="single" w:sz="4" w:space="0" w:color="auto"/>
              <w:left w:val="single" w:sz="4" w:space="0" w:color="auto"/>
              <w:bottom w:val="single" w:sz="4" w:space="0" w:color="auto"/>
              <w:right w:val="single" w:sz="4" w:space="0" w:color="auto"/>
            </w:tcBorders>
            <w:shd w:val="clear" w:color="auto" w:fill="auto"/>
            <w:vAlign w:val="center"/>
          </w:tcPr>
          <w:p w:rsidR="009038E6" w:rsidRPr="00290E8E" w:rsidRDefault="009038E6" w:rsidP="009038E6">
            <w:pPr>
              <w:spacing w:before="40" w:after="40"/>
              <w:jc w:val="center"/>
              <w:rPr>
                <w:sz w:val="18"/>
                <w:szCs w:val="18"/>
              </w:rPr>
            </w:pPr>
            <w:r w:rsidRPr="00290E8E">
              <w:rPr>
                <w:sz w:val="18"/>
                <w:szCs w:val="18"/>
              </w:rPr>
              <w:t>84-102</w:t>
            </w:r>
          </w:p>
        </w:tc>
        <w:tc>
          <w:tcPr>
            <w:tcW w:w="1475"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r w:rsidRPr="00290E8E">
              <w:rPr>
                <w:sz w:val="18"/>
                <w:szCs w:val="18"/>
              </w:rPr>
              <w:t>174</w:t>
            </w:r>
          </w:p>
        </w:tc>
        <w:tc>
          <w:tcPr>
            <w:tcW w:w="1564"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0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475" w:type="dxa"/>
            <w:tcBorders>
              <w:top w:val="single" w:sz="4" w:space="0" w:color="auto"/>
              <w:left w:val="single" w:sz="4" w:space="0" w:color="auto"/>
              <w:bottom w:val="single" w:sz="4" w:space="0" w:color="auto"/>
              <w:right w:val="single" w:sz="4" w:space="0" w:color="auto"/>
            </w:tcBorders>
            <w:vAlign w:val="center"/>
          </w:tcPr>
          <w:p w:rsidR="009038E6" w:rsidRPr="00290E8E" w:rsidRDefault="009038E6" w:rsidP="009038E6">
            <w:pPr>
              <w:spacing w:before="40" w:after="40"/>
              <w:jc w:val="center"/>
              <w:rPr>
                <w:sz w:val="18"/>
                <w:szCs w:val="18"/>
              </w:rPr>
            </w:pPr>
            <w:r w:rsidRPr="00290E8E">
              <w:rPr>
                <w:sz w:val="18"/>
                <w:szCs w:val="18"/>
              </w:rPr>
              <w:t>N/A</w:t>
            </w:r>
          </w:p>
        </w:tc>
        <w:tc>
          <w:tcPr>
            <w:tcW w:w="1800" w:type="dxa"/>
            <w:tcBorders>
              <w:top w:val="single" w:sz="4" w:space="0" w:color="auto"/>
              <w:left w:val="single" w:sz="4" w:space="0" w:color="auto"/>
              <w:bottom w:val="single" w:sz="4" w:space="0" w:color="auto"/>
              <w:right w:val="single" w:sz="4" w:space="0" w:color="auto"/>
            </w:tcBorders>
          </w:tcPr>
          <w:p w:rsidR="009038E6" w:rsidRPr="00290E8E" w:rsidRDefault="009038E6" w:rsidP="009038E6">
            <w:pPr>
              <w:spacing w:before="40" w:after="40"/>
              <w:jc w:val="center"/>
              <w:rPr>
                <w:sz w:val="18"/>
                <w:szCs w:val="18"/>
              </w:rPr>
            </w:pPr>
          </w:p>
        </w:tc>
      </w:tr>
    </w:tbl>
    <w:p w:rsidR="009038E6" w:rsidRDefault="009038E6" w:rsidP="008242D7">
      <w:pPr>
        <w:sectPr w:rsidR="009038E6" w:rsidSect="009038E6">
          <w:pgSz w:w="16838" w:h="11906" w:orient="landscape" w:code="9"/>
          <w:pgMar w:top="1134" w:right="1134" w:bottom="1134" w:left="1134" w:header="709" w:footer="709" w:gutter="0"/>
          <w:cols w:space="708"/>
          <w:docGrid w:linePitch="360"/>
        </w:sectPr>
      </w:pPr>
    </w:p>
    <w:p w:rsidR="008242D7" w:rsidRDefault="008242D7" w:rsidP="008242D7"/>
    <w:p w:rsidR="008242D7" w:rsidRDefault="008242D7" w:rsidP="008242D7">
      <w:pPr>
        <w:pStyle w:val="Heading3"/>
      </w:pPr>
      <w:bookmarkStart w:id="485" w:name="_Toc390690137"/>
      <w:r>
        <w:t>Palaeo</w:t>
      </w:r>
      <w:r w:rsidR="00E655C7">
        <w:t>-</w:t>
      </w:r>
      <w:r>
        <w:t>recharge</w:t>
      </w:r>
      <w:bookmarkEnd w:id="485"/>
    </w:p>
    <w:p w:rsidR="009038E6" w:rsidRDefault="009038E6" w:rsidP="009038E6">
      <w:pPr>
        <w:rPr>
          <w:szCs w:val="22"/>
        </w:rPr>
      </w:pPr>
      <w:r>
        <w:rPr>
          <w:szCs w:val="22"/>
        </w:rPr>
        <w:t>Some groundwater resource targets are located away from modern drainage and the influence of river or lake leakage. This would suggest that such targets are largely relict resources with no obvious source of active recharge. The r</w:t>
      </w:r>
      <w:r w:rsidRPr="00920B70">
        <w:rPr>
          <w:szCs w:val="22"/>
        </w:rPr>
        <w:t xml:space="preserve">echarge </w:t>
      </w:r>
      <w:r w:rsidRPr="00795774">
        <w:rPr>
          <w:szCs w:val="22"/>
        </w:rPr>
        <w:t>potential for each target was assessed using a matrix approach (Lawrie</w:t>
      </w:r>
      <w:r w:rsidR="008A5F7D" w:rsidRPr="00CF7613">
        <w:rPr>
          <w:rStyle w:val="StyleItalic"/>
        </w:rPr>
        <w:t xml:space="preserve"> et al</w:t>
      </w:r>
      <w:r w:rsidRPr="00CF7613">
        <w:rPr>
          <w:rStyle w:val="StyleItalic"/>
        </w:rPr>
        <w:t>.,</w:t>
      </w:r>
      <w:r w:rsidRPr="00795774">
        <w:rPr>
          <w:szCs w:val="22"/>
        </w:rPr>
        <w:t xml:space="preserve"> 2012</w:t>
      </w:r>
      <w:r>
        <w:rPr>
          <w:szCs w:val="22"/>
        </w:rPr>
        <w:t>a</w:t>
      </w:r>
      <w:r w:rsidRPr="00795774">
        <w:rPr>
          <w:szCs w:val="22"/>
        </w:rPr>
        <w:t>) to combine contribut</w:t>
      </w:r>
      <w:r w:rsidR="007C45E4">
        <w:rPr>
          <w:szCs w:val="22"/>
        </w:rPr>
        <w:t>ing</w:t>
      </w:r>
      <w:r w:rsidRPr="00795774">
        <w:rPr>
          <w:szCs w:val="22"/>
        </w:rPr>
        <w:t xml:space="preserve"> </w:t>
      </w:r>
      <w:r w:rsidRPr="00795774">
        <w:t>factors (</w:t>
      </w:r>
      <w:r w:rsidRPr="00795774">
        <w:fldChar w:fldCharType="begin"/>
      </w:r>
      <w:r w:rsidRPr="00795774">
        <w:instrText xml:space="preserve"> REF _Ref325708500 \h  \* MERGEFORMAT </w:instrText>
      </w:r>
      <w:r w:rsidRPr="00795774">
        <w:fldChar w:fldCharType="separate"/>
      </w:r>
      <w:r w:rsidR="00966532" w:rsidRPr="00966532">
        <w:t>Figure 6</w:t>
      </w:r>
      <w:r w:rsidR="00966532" w:rsidRPr="00966532">
        <w:noBreakHyphen/>
        <w:t>17</w:t>
      </w:r>
      <w:r w:rsidRPr="00795774">
        <w:fldChar w:fldCharType="end"/>
      </w:r>
      <w:r w:rsidRPr="00795774">
        <w:t>). Initially</w:t>
      </w:r>
      <w:r w:rsidRPr="00795774">
        <w:rPr>
          <w:szCs w:val="22"/>
        </w:rPr>
        <w:t>, the presence of potential (1) surface source water and (2) recharge pathways were assessed for each target. If either was absent, then modern recharge was inferred to be limited.</w:t>
      </w:r>
      <w:r w:rsidR="00F4198C">
        <w:rPr>
          <w:szCs w:val="22"/>
        </w:rPr>
        <w:t xml:space="preserve"> </w:t>
      </w:r>
      <w:r w:rsidRPr="00795774">
        <w:rPr>
          <w:szCs w:val="22"/>
        </w:rPr>
        <w:t xml:space="preserve">GWR4 is an example of this as it lacks connectivity with surface water features and has no apparent leakage mechanism to the </w:t>
      </w:r>
      <w:r w:rsidR="00C217F0">
        <w:rPr>
          <w:szCs w:val="22"/>
        </w:rPr>
        <w:t>Calivil Formation</w:t>
      </w:r>
      <w:r w:rsidR="00F4198C">
        <w:rPr>
          <w:szCs w:val="22"/>
        </w:rPr>
        <w:t xml:space="preserve"> </w:t>
      </w:r>
      <w:r w:rsidRPr="00795774">
        <w:rPr>
          <w:szCs w:val="22"/>
        </w:rPr>
        <w:t>aquifer. Other factors were also assessed in the matrix approach, including watertable response to flooding, leakiness of the upper confining aquitard and groundwater age dating. For example, the assessment of GWR4 is supported by relatively old apparent radiocarbon ages for groundwater from monitoring bores in the target. Targets GWR11, 12 and 13 are also inferred to be palaeo-</w:t>
      </w:r>
      <w:r w:rsidRPr="00795774">
        <w:t>resources (</w:t>
      </w:r>
      <w:r w:rsidRPr="00795774">
        <w:fldChar w:fldCharType="begin"/>
      </w:r>
      <w:r w:rsidRPr="00795774">
        <w:instrText xml:space="preserve"> REF _Ref325708500 \h  \* MERGEFORMAT </w:instrText>
      </w:r>
      <w:r w:rsidRPr="00795774">
        <w:fldChar w:fldCharType="separate"/>
      </w:r>
      <w:r w:rsidR="00966532" w:rsidRPr="00966532">
        <w:t>Figure 6</w:t>
      </w:r>
      <w:r w:rsidR="00966532" w:rsidRPr="00966532">
        <w:noBreakHyphen/>
        <w:t>17</w:t>
      </w:r>
      <w:r w:rsidRPr="00795774">
        <w:fldChar w:fldCharType="end"/>
      </w:r>
      <w:r w:rsidRPr="00795774">
        <w:t>) however</w:t>
      </w:r>
      <w:r w:rsidRPr="00795774">
        <w:rPr>
          <w:szCs w:val="22"/>
        </w:rPr>
        <w:t xml:space="preserve"> drilling and</w:t>
      </w:r>
      <w:r>
        <w:rPr>
          <w:szCs w:val="22"/>
        </w:rPr>
        <w:t xml:space="preserve"> </w:t>
      </w:r>
      <w:r w:rsidRPr="00920B70">
        <w:rPr>
          <w:szCs w:val="22"/>
        </w:rPr>
        <w:t xml:space="preserve">groundwater </w:t>
      </w:r>
      <w:r>
        <w:rPr>
          <w:szCs w:val="22"/>
        </w:rPr>
        <w:t>analysis</w:t>
      </w:r>
      <w:r w:rsidRPr="00920B70">
        <w:rPr>
          <w:szCs w:val="22"/>
        </w:rPr>
        <w:t xml:space="preserve"> </w:t>
      </w:r>
      <w:r>
        <w:rPr>
          <w:szCs w:val="22"/>
        </w:rPr>
        <w:t>is required to confirm this assessment</w:t>
      </w:r>
      <w:r w:rsidRPr="00920B70">
        <w:rPr>
          <w:szCs w:val="22"/>
        </w:rPr>
        <w:t>.</w:t>
      </w:r>
      <w:r>
        <w:rPr>
          <w:szCs w:val="22"/>
        </w:rPr>
        <w:t xml:space="preserve"> Insufficient data exists to make a determination about GWR10. </w:t>
      </w:r>
    </w:p>
    <w:p w:rsidR="009038E6" w:rsidRDefault="009038E6" w:rsidP="009038E6">
      <w:pPr>
        <w:rPr>
          <w:szCs w:val="22"/>
        </w:rPr>
      </w:pPr>
    </w:p>
    <w:p w:rsidR="009038E6" w:rsidRPr="00795774" w:rsidRDefault="009038E6" w:rsidP="009038E6">
      <w:r>
        <w:rPr>
          <w:szCs w:val="22"/>
        </w:rPr>
        <w:t xml:space="preserve">GWR9 and GWR14 are located along Talyawalka Creek and have identified recharge pathways through lateral bank recharge and vertical leakage via holes in the upper confining aquitard. Modern carbon within the </w:t>
      </w:r>
      <w:r w:rsidR="00C217F0">
        <w:rPr>
          <w:szCs w:val="22"/>
        </w:rPr>
        <w:t>Calivil Formation</w:t>
      </w:r>
      <w:r>
        <w:rPr>
          <w:szCs w:val="22"/>
        </w:rPr>
        <w:t xml:space="preserve"> aquifer in these targets confirms that active recharge occurs to a degree. However, two factors limit the volume and frequency of recharge. Firstly, flows in Talyawalka Creek are limited to large flood events which occur infrequently. Secondly, the watertable is at considerable depth (&gt;20</w:t>
      </w:r>
      <w:r w:rsidR="00030542">
        <w:rPr>
          <w:szCs w:val="22"/>
        </w:rPr>
        <w:t xml:space="preserve"> </w:t>
      </w:r>
      <w:r>
        <w:rPr>
          <w:szCs w:val="22"/>
        </w:rPr>
        <w:t xml:space="preserve">m) and the incision of the Talyawalka channel is relatively shallow (~ 5-6 m). Therefore, river leakage must infiltrate through a thick unsaturated zone before recharge to the watertable can occur. Slow recharge rates are confirmed by the lack of short-term response (12 month period) of the watertable to the 2010/11 flood event. These targets have been classified as </w:t>
      </w:r>
      <w:r w:rsidRPr="00CF7613">
        <w:rPr>
          <w:rStyle w:val="StyleItalic"/>
        </w:rPr>
        <w:t xml:space="preserve">modern recharge possible but very slow rates </w:t>
      </w:r>
      <w:r w:rsidRPr="00795774">
        <w:t>(</w:t>
      </w:r>
      <w:r w:rsidRPr="00795774">
        <w:fldChar w:fldCharType="begin"/>
      </w:r>
      <w:r w:rsidRPr="00795774">
        <w:instrText xml:space="preserve"> REF _Ref325708500 \h  \* MERGEFORMAT </w:instrText>
      </w:r>
      <w:r w:rsidRPr="00795774">
        <w:fldChar w:fldCharType="separate"/>
      </w:r>
      <w:r w:rsidR="00966532" w:rsidRPr="00966532">
        <w:t>Figure 6</w:t>
      </w:r>
      <w:r w:rsidR="00966532" w:rsidRPr="00966532">
        <w:noBreakHyphen/>
        <w:t>17</w:t>
      </w:r>
      <w:r w:rsidRPr="00795774">
        <w:fldChar w:fldCharType="end"/>
      </w:r>
      <w:r w:rsidRPr="00795774">
        <w:t xml:space="preserve">). </w:t>
      </w:r>
    </w:p>
    <w:p w:rsidR="009038E6" w:rsidRDefault="009038E6" w:rsidP="009038E6">
      <w:pPr>
        <w:spacing w:before="240"/>
        <w:rPr>
          <w:szCs w:val="22"/>
        </w:rPr>
      </w:pPr>
      <w:r>
        <w:rPr>
          <w:szCs w:val="22"/>
        </w:rPr>
        <w:t xml:space="preserve">The existence of fresh groundwater targets with no apparent active recharge may be linked to the regional geomorphic history. </w:t>
      </w:r>
      <w:r w:rsidRPr="00912EF4">
        <w:rPr>
          <w:szCs w:val="22"/>
        </w:rPr>
        <w:t xml:space="preserve">The lower </w:t>
      </w:r>
      <w:smartTag w:uri="urn:schemas-microsoft-com:office:smarttags" w:element="place">
        <w:smartTag w:uri="urn:schemas-microsoft-com:office:smarttags" w:element="PlaceName">
          <w:r w:rsidRPr="00912EF4">
            <w:rPr>
              <w:szCs w:val="22"/>
            </w:rPr>
            <w:t>Darling</w:t>
          </w:r>
        </w:smartTag>
        <w:r w:rsidRPr="00912EF4">
          <w:rPr>
            <w:szCs w:val="22"/>
          </w:rPr>
          <w:t xml:space="preserve"> </w:t>
        </w:r>
        <w:smartTag w:uri="urn:schemas-microsoft-com:office:smarttags" w:element="PlaceType">
          <w:r w:rsidRPr="00912EF4">
            <w:rPr>
              <w:szCs w:val="22"/>
            </w:rPr>
            <w:t>Valley</w:t>
          </w:r>
        </w:smartTag>
      </w:smartTag>
      <w:r>
        <w:rPr>
          <w:szCs w:val="22"/>
        </w:rPr>
        <w:t xml:space="preserve"> </w:t>
      </w:r>
      <w:r w:rsidRPr="00912EF4">
        <w:rPr>
          <w:szCs w:val="22"/>
        </w:rPr>
        <w:t xml:space="preserve">shows clear geomorphic evidence of episodic </w:t>
      </w:r>
      <w:r>
        <w:rPr>
          <w:szCs w:val="22"/>
        </w:rPr>
        <w:t>lateral-migration phases represented in</w:t>
      </w:r>
      <w:r w:rsidRPr="00912EF4">
        <w:rPr>
          <w:szCs w:val="22"/>
        </w:rPr>
        <w:t xml:space="preserve"> at least three successive cross-cutting scroll-plain tracts (</w:t>
      </w:r>
      <w:r w:rsidR="00C217F0">
        <w:rPr>
          <w:szCs w:val="22"/>
        </w:rPr>
        <w:t>Coonambidgal Formation</w:t>
      </w:r>
      <w:r>
        <w:rPr>
          <w:szCs w:val="22"/>
        </w:rPr>
        <w:t xml:space="preserve"> Phases 1-3</w:t>
      </w:r>
      <w:r w:rsidRPr="00912EF4">
        <w:rPr>
          <w:szCs w:val="22"/>
        </w:rPr>
        <w:t>).</w:t>
      </w:r>
      <w:r>
        <w:rPr>
          <w:szCs w:val="22"/>
        </w:rPr>
        <w:t xml:space="preserve"> The youngest </w:t>
      </w:r>
      <w:r w:rsidRPr="00912EF4">
        <w:rPr>
          <w:szCs w:val="22"/>
        </w:rPr>
        <w:t xml:space="preserve">scroll-plain phase, associated with the modern </w:t>
      </w:r>
      <w:smartTag w:uri="urn:schemas-microsoft-com:office:smarttags" w:element="place">
        <w:r w:rsidRPr="00912EF4">
          <w:rPr>
            <w:szCs w:val="22"/>
          </w:rPr>
          <w:t>Darling River</w:t>
        </w:r>
      </w:smartTag>
      <w:r w:rsidRPr="00912EF4">
        <w:rPr>
          <w:szCs w:val="22"/>
        </w:rPr>
        <w:t xml:space="preserve"> (</w:t>
      </w:r>
      <w:r w:rsidR="00C217F0">
        <w:rPr>
          <w:szCs w:val="22"/>
        </w:rPr>
        <w:t>Coonambidgal Formation</w:t>
      </w:r>
      <w:r w:rsidRPr="00912EF4">
        <w:rPr>
          <w:szCs w:val="22"/>
        </w:rPr>
        <w:t xml:space="preserve"> 1), was active in the period 6-2 ka. The previous Talyawalka-Anabranch scroll-plain phase (</w:t>
      </w:r>
      <w:r w:rsidR="00C217F0">
        <w:rPr>
          <w:szCs w:val="22"/>
        </w:rPr>
        <w:t>Coonambidgal Formation</w:t>
      </w:r>
      <w:r w:rsidRPr="00912EF4">
        <w:rPr>
          <w:szCs w:val="22"/>
        </w:rPr>
        <w:t xml:space="preserve"> 2) has L</w:t>
      </w:r>
      <w:r>
        <w:rPr>
          <w:szCs w:val="22"/>
        </w:rPr>
        <w:t xml:space="preserve">ast </w:t>
      </w:r>
      <w:r w:rsidRPr="00912EF4">
        <w:rPr>
          <w:szCs w:val="22"/>
        </w:rPr>
        <w:t>G</w:t>
      </w:r>
      <w:r>
        <w:rPr>
          <w:szCs w:val="22"/>
        </w:rPr>
        <w:t xml:space="preserve">lacial </w:t>
      </w:r>
      <w:r w:rsidRPr="00912EF4">
        <w:rPr>
          <w:szCs w:val="22"/>
        </w:rPr>
        <w:t>M</w:t>
      </w:r>
      <w:r>
        <w:rPr>
          <w:szCs w:val="22"/>
        </w:rPr>
        <w:t>aximum (LGM)</w:t>
      </w:r>
      <w:r w:rsidRPr="00912EF4">
        <w:rPr>
          <w:szCs w:val="22"/>
        </w:rPr>
        <w:t xml:space="preserve"> dates around 22-17 ka</w:t>
      </w:r>
      <w:r>
        <w:rPr>
          <w:szCs w:val="22"/>
        </w:rPr>
        <w:t>.</w:t>
      </w:r>
      <w:r w:rsidRPr="00912EF4">
        <w:rPr>
          <w:szCs w:val="22"/>
        </w:rPr>
        <w:t xml:space="preserve"> Indistinct scroll-plain tracts of the relict Talyawalka-Anabranch system (</w:t>
      </w:r>
      <w:r w:rsidR="00C217F0">
        <w:rPr>
          <w:szCs w:val="22"/>
        </w:rPr>
        <w:t>Coonambidgal Formation</w:t>
      </w:r>
      <w:r w:rsidRPr="00912EF4">
        <w:rPr>
          <w:szCs w:val="22"/>
        </w:rPr>
        <w:t xml:space="preserve"> 3</w:t>
      </w:r>
      <w:r>
        <w:rPr>
          <w:szCs w:val="22"/>
        </w:rPr>
        <w:t>)</w:t>
      </w:r>
      <w:r w:rsidRPr="00912EF4">
        <w:rPr>
          <w:szCs w:val="22"/>
        </w:rPr>
        <w:t xml:space="preserve"> have ages around 25-30</w:t>
      </w:r>
      <w:r>
        <w:rPr>
          <w:szCs w:val="22"/>
        </w:rPr>
        <w:t xml:space="preserve"> </w:t>
      </w:r>
      <w:r w:rsidRPr="00912EF4">
        <w:rPr>
          <w:szCs w:val="22"/>
        </w:rPr>
        <w:t xml:space="preserve">ka. Older dates of 45-50 ka, 85 ka and &gt;150 ka have been obtained beneath the </w:t>
      </w:r>
      <w:r w:rsidR="00C217F0">
        <w:rPr>
          <w:szCs w:val="22"/>
        </w:rPr>
        <w:t>Menindee Formation</w:t>
      </w:r>
      <w:r w:rsidRPr="00912EF4">
        <w:rPr>
          <w:szCs w:val="22"/>
        </w:rPr>
        <w:t xml:space="preserve"> floodplain.</w:t>
      </w:r>
    </w:p>
    <w:p w:rsidR="009038E6" w:rsidRDefault="009038E6" w:rsidP="009038E6">
      <w:pPr>
        <w:spacing w:before="240"/>
        <w:rPr>
          <w:szCs w:val="22"/>
        </w:rPr>
      </w:pPr>
      <w:r w:rsidRPr="00912EF4">
        <w:rPr>
          <w:szCs w:val="22"/>
        </w:rPr>
        <w:t xml:space="preserve">The morphology of scroll traces and channel dimensions in the </w:t>
      </w:r>
      <w:r w:rsidR="00C217F0">
        <w:rPr>
          <w:szCs w:val="22"/>
        </w:rPr>
        <w:t>Coonambidgal Formation</w:t>
      </w:r>
      <w:r w:rsidR="00F4198C">
        <w:rPr>
          <w:szCs w:val="22"/>
        </w:rPr>
        <w:t xml:space="preserve"> </w:t>
      </w:r>
      <w:r w:rsidRPr="00912EF4">
        <w:rPr>
          <w:szCs w:val="22"/>
        </w:rPr>
        <w:t xml:space="preserve">scroll-plain tracts demonstrate that </w:t>
      </w:r>
      <w:r>
        <w:rPr>
          <w:szCs w:val="22"/>
        </w:rPr>
        <w:t xml:space="preserve">there have been episodes of </w:t>
      </w:r>
      <w:r w:rsidRPr="00912EF4">
        <w:rPr>
          <w:szCs w:val="22"/>
        </w:rPr>
        <w:t>st</w:t>
      </w:r>
      <w:r>
        <w:rPr>
          <w:szCs w:val="22"/>
        </w:rPr>
        <w:t>r</w:t>
      </w:r>
      <w:r w:rsidRPr="00912EF4">
        <w:rPr>
          <w:szCs w:val="22"/>
        </w:rPr>
        <w:t>eam dis</w:t>
      </w:r>
      <w:r>
        <w:rPr>
          <w:szCs w:val="22"/>
        </w:rPr>
        <w:t>charge higher than what is</w:t>
      </w:r>
      <w:r w:rsidRPr="00912EF4">
        <w:rPr>
          <w:szCs w:val="22"/>
        </w:rPr>
        <w:t xml:space="preserve"> associated with the modern Darling. The episodes of </w:t>
      </w:r>
      <w:r w:rsidR="00C217F0">
        <w:rPr>
          <w:szCs w:val="22"/>
        </w:rPr>
        <w:t>Coonambidgal Formation</w:t>
      </w:r>
      <w:r w:rsidR="00F4198C">
        <w:rPr>
          <w:szCs w:val="22"/>
        </w:rPr>
        <w:t xml:space="preserve"> </w:t>
      </w:r>
      <w:r>
        <w:rPr>
          <w:szCs w:val="22"/>
        </w:rPr>
        <w:t>P</w:t>
      </w:r>
      <w:r w:rsidRPr="00912EF4">
        <w:rPr>
          <w:szCs w:val="22"/>
        </w:rPr>
        <w:t>hases 1 to 3 suggest lateral-migr</w:t>
      </w:r>
      <w:r>
        <w:rPr>
          <w:szCs w:val="22"/>
        </w:rPr>
        <w:t xml:space="preserve">ational intervals of about </w:t>
      </w:r>
      <w:r w:rsidRPr="00912EF4">
        <w:rPr>
          <w:szCs w:val="22"/>
        </w:rPr>
        <w:t>5 ka separated by approximately 10 ka periods of quiescence. The mechanism that controls the onset and termination of lateral-migration phases is uncertain but is probably a combination of changes in discharge and sediment regimes</w:t>
      </w:r>
      <w:r>
        <w:rPr>
          <w:szCs w:val="22"/>
        </w:rPr>
        <w:t xml:space="preserve"> rather than simple glacial-interglacial climate-cycle forcing</w:t>
      </w:r>
      <w:r w:rsidRPr="00912EF4">
        <w:rPr>
          <w:szCs w:val="22"/>
        </w:rPr>
        <w:t xml:space="preserve">. </w:t>
      </w:r>
    </w:p>
    <w:p w:rsidR="009038E6" w:rsidRPr="00912EF4" w:rsidRDefault="009038E6" w:rsidP="009038E6">
      <w:pPr>
        <w:rPr>
          <w:szCs w:val="22"/>
        </w:rPr>
      </w:pPr>
    </w:p>
    <w:p w:rsidR="009038E6" w:rsidRDefault="009038E6" w:rsidP="009038E6">
      <w:pPr>
        <w:rPr>
          <w:szCs w:val="22"/>
        </w:rPr>
      </w:pPr>
      <w:r>
        <w:rPr>
          <w:szCs w:val="22"/>
        </w:rPr>
        <w:t>E</w:t>
      </w:r>
      <w:r w:rsidRPr="00912EF4">
        <w:rPr>
          <w:szCs w:val="22"/>
        </w:rPr>
        <w:t>nhanced discharge is likely to include higher mean flows and higher and/or more frequent floods which increase both the hydraulic heads driving river leakage as well as the opportunities for leakage to occur.</w:t>
      </w:r>
      <w:r>
        <w:rPr>
          <w:szCs w:val="22"/>
        </w:rPr>
        <w:t xml:space="preserve"> </w:t>
      </w:r>
      <w:r w:rsidRPr="00912EF4">
        <w:rPr>
          <w:szCs w:val="22"/>
        </w:rPr>
        <w:t>Additionally, active lateral accretion enhance</w:t>
      </w:r>
      <w:r>
        <w:rPr>
          <w:szCs w:val="22"/>
        </w:rPr>
        <w:t xml:space="preserve">s river leakage by </w:t>
      </w:r>
      <w:r w:rsidRPr="00912EF4">
        <w:rPr>
          <w:szCs w:val="22"/>
        </w:rPr>
        <w:t>through sandier banks and clean well-sorted active sandy scroll plains with minimal overbank mud drapes or secondary cementation. There will also be good opportunities of connectivity to lower aquifers via contemporary, coarse-sediment bottomed, deeper, scour channels and pools.</w:t>
      </w:r>
      <w:r>
        <w:rPr>
          <w:szCs w:val="22"/>
        </w:rPr>
        <w:t xml:space="preserve"> </w:t>
      </w:r>
    </w:p>
    <w:p w:rsidR="009038E6" w:rsidRDefault="009038E6" w:rsidP="009038E6">
      <w:pPr>
        <w:rPr>
          <w:szCs w:val="22"/>
        </w:rPr>
      </w:pPr>
    </w:p>
    <w:p w:rsidR="009038E6" w:rsidRDefault="009038E6" w:rsidP="009038E6">
      <w:pPr>
        <w:rPr>
          <w:szCs w:val="22"/>
        </w:rPr>
      </w:pPr>
      <w:r w:rsidRPr="00912EF4">
        <w:rPr>
          <w:szCs w:val="22"/>
        </w:rPr>
        <w:t>From these conclusions</w:t>
      </w:r>
      <w:r>
        <w:rPr>
          <w:szCs w:val="22"/>
        </w:rPr>
        <w:t>,</w:t>
      </w:r>
      <w:r w:rsidRPr="00912EF4">
        <w:rPr>
          <w:szCs w:val="22"/>
        </w:rPr>
        <w:t xml:space="preserve"> it is expected that the regional groundwaters should show evidence, in chemical tracers and age dating, of enhanced recharge pulses coincident with the active lateral-accretion phases at 6-2 ka, 22-17 ka and around 30 ka and perhaps during earlier less well defined fluvial phases. Such a comparison is difficult due to the problems of ascribing accurate ages to groundwaters from radiocarbon analyses and the fact that modern recharge continues to </w:t>
      </w:r>
      <w:r>
        <w:rPr>
          <w:szCs w:val="22"/>
        </w:rPr>
        <w:t>occur in many of the</w:t>
      </w:r>
      <w:r w:rsidRPr="00912EF4">
        <w:rPr>
          <w:szCs w:val="22"/>
        </w:rPr>
        <w:t xml:space="preserve"> groundwater resource targets. However, the Larloona GWR4 target has minimal modern recharge</w:t>
      </w:r>
      <w:r>
        <w:rPr>
          <w:szCs w:val="22"/>
        </w:rPr>
        <w:t>;</w:t>
      </w:r>
      <w:r w:rsidRPr="00912EF4">
        <w:rPr>
          <w:szCs w:val="22"/>
        </w:rPr>
        <w:t xml:space="preserve"> radiocarbon analyses </w:t>
      </w:r>
      <w:r>
        <w:rPr>
          <w:szCs w:val="22"/>
        </w:rPr>
        <w:t xml:space="preserve">there </w:t>
      </w:r>
      <w:r w:rsidRPr="00912EF4">
        <w:rPr>
          <w:szCs w:val="22"/>
        </w:rPr>
        <w:t>vary from 21-29 % modern carbon, which are equivalent to calendar ages of 12</w:t>
      </w:r>
      <w:r>
        <w:rPr>
          <w:szCs w:val="22"/>
        </w:rPr>
        <w:t>–</w:t>
      </w:r>
      <w:r w:rsidRPr="00912EF4">
        <w:rPr>
          <w:szCs w:val="22"/>
        </w:rPr>
        <w:t xml:space="preserve">14.8 ka. </w:t>
      </w:r>
      <w:r>
        <w:rPr>
          <w:szCs w:val="22"/>
        </w:rPr>
        <w:t xml:space="preserve">These ages are likely to be an underestimation </w:t>
      </w:r>
      <w:r>
        <w:rPr>
          <w:szCs w:val="22"/>
        </w:rPr>
        <w:lastRenderedPageBreak/>
        <w:t xml:space="preserve">due to contamination by modern carbon. Considering this, analysis </w:t>
      </w:r>
      <w:r w:rsidRPr="00912EF4">
        <w:rPr>
          <w:szCs w:val="22"/>
        </w:rPr>
        <w:t>strongly suggest</w:t>
      </w:r>
      <w:r>
        <w:rPr>
          <w:szCs w:val="22"/>
        </w:rPr>
        <w:t>s</w:t>
      </w:r>
      <w:r w:rsidRPr="00912EF4">
        <w:rPr>
          <w:szCs w:val="22"/>
        </w:rPr>
        <w:t xml:space="preserve"> that </w:t>
      </w:r>
      <w:r>
        <w:rPr>
          <w:szCs w:val="22"/>
        </w:rPr>
        <w:t xml:space="preserve">the majority of </w:t>
      </w:r>
      <w:r w:rsidRPr="00912EF4">
        <w:rPr>
          <w:szCs w:val="22"/>
        </w:rPr>
        <w:t xml:space="preserve">recharge to the Larloona GWR4 resource occurred when the adjacent Talyawalka scroll plain was active </w:t>
      </w:r>
      <w:r>
        <w:rPr>
          <w:szCs w:val="22"/>
        </w:rPr>
        <w:t>at 22-17 ka.</w:t>
      </w:r>
    </w:p>
    <w:p w:rsidR="009038E6" w:rsidRDefault="00706A3B" w:rsidP="00656729">
      <w:pPr>
        <w:spacing w:before="240" w:after="60"/>
        <w:jc w:val="center"/>
      </w:pPr>
      <w:bookmarkStart w:id="486" w:name="_Ref324922398"/>
      <w:r>
        <w:rPr>
          <w:noProof/>
        </w:rPr>
        <w:drawing>
          <wp:inline distT="0" distB="0" distL="0" distR="0" wp14:anchorId="34466DE6" wp14:editId="0CF2F2DD">
            <wp:extent cx="6102985" cy="7251700"/>
            <wp:effectExtent l="0" t="0" r="0" b="0"/>
            <wp:docPr id="71" name="Picture 71" descr="Fig0I_37_RechargePotential_Targets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g0I_37_RechargePotential_Targets_v2"/>
                    <pic:cNvPicPr>
                      <a:picLocks noChangeAspect="1" noChangeArrowheads="1"/>
                    </pic:cNvPicPr>
                  </pic:nvPicPr>
                  <pic:blipFill>
                    <a:blip r:embed="rId111" cstate="print">
                      <a:extLst>
                        <a:ext uri="{28A0092B-C50C-407E-A947-70E740481C1C}">
                          <a14:useLocalDpi xmlns:a14="http://schemas.microsoft.com/office/drawing/2010/main" val="0"/>
                        </a:ext>
                      </a:extLst>
                    </a:blip>
                    <a:srcRect l="8598" t="5859" r="8479" b="24504"/>
                    <a:stretch>
                      <a:fillRect/>
                    </a:stretch>
                  </pic:blipFill>
                  <pic:spPr bwMode="auto">
                    <a:xfrm>
                      <a:off x="0" y="0"/>
                      <a:ext cx="6102985" cy="7251700"/>
                    </a:xfrm>
                    <a:prstGeom prst="rect">
                      <a:avLst/>
                    </a:prstGeom>
                    <a:noFill/>
                    <a:ln>
                      <a:noFill/>
                    </a:ln>
                  </pic:spPr>
                </pic:pic>
              </a:graphicData>
            </a:graphic>
          </wp:inline>
        </w:drawing>
      </w:r>
    </w:p>
    <w:p w:rsidR="009038E6" w:rsidRPr="00A6797D" w:rsidRDefault="009038E6" w:rsidP="009038E6">
      <w:pPr>
        <w:pStyle w:val="Caption"/>
      </w:pPr>
      <w:bookmarkStart w:id="487" w:name="_Ref325708500"/>
      <w:bookmarkEnd w:id="486"/>
      <w:r w:rsidRPr="00A6797D">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6</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17</w:t>
      </w:r>
      <w:r w:rsidR="00A23C59">
        <w:rPr>
          <w:b/>
        </w:rPr>
        <w:fldChar w:fldCharType="end"/>
      </w:r>
      <w:bookmarkEnd w:id="487"/>
      <w:r w:rsidRPr="00A6797D">
        <w:rPr>
          <w:b/>
        </w:rPr>
        <w:t>.</w:t>
      </w:r>
      <w:r w:rsidRPr="00AA7E88">
        <w:t xml:space="preserve"> </w:t>
      </w:r>
      <w:r w:rsidRPr="00822303">
        <w:t>Recharge potential and pathway classification applied to the 14 groundwater resource targets</w:t>
      </w:r>
      <w:r>
        <w:t>.</w:t>
      </w:r>
      <w:r w:rsidRPr="00BE08AB">
        <w:t xml:space="preserve"> </w:t>
      </w:r>
      <w:r w:rsidRPr="007960BF">
        <w:rPr>
          <w:i w:val="0"/>
        </w:rPr>
        <w:fldChar w:fldCharType="begin"/>
      </w:r>
      <w:r w:rsidRPr="007960BF">
        <w:rPr>
          <w:i w:val="0"/>
        </w:rPr>
        <w:instrText xml:space="preserve"> TC "</w:instrText>
      </w:r>
      <w:bookmarkStart w:id="488" w:name="_Toc325975233"/>
      <w:bookmarkStart w:id="489" w:name="_Toc390690250"/>
      <w:r w:rsidR="00DE0DFA">
        <w:rPr>
          <w:i w:val="0"/>
        </w:rPr>
        <w:instrText xml:space="preserve">Figure </w:instrText>
      </w:r>
      <w:r w:rsidR="000D653B">
        <w:rPr>
          <w:i w:val="0"/>
        </w:rPr>
        <w:instrText>6-1</w:instrText>
      </w:r>
      <w:r w:rsidR="00DE0DFA">
        <w:rPr>
          <w:i w:val="0"/>
        </w:rPr>
        <w:instrText>7.</w:instrText>
      </w:r>
      <w:r w:rsidRPr="007960BF">
        <w:rPr>
          <w:i w:val="0"/>
        </w:rPr>
        <w:instrText xml:space="preserve"> Recharge potential and pathway classification applied to the 14 groundwater resource targets.</w:instrText>
      </w:r>
      <w:bookmarkEnd w:id="488"/>
      <w:bookmarkEnd w:id="489"/>
      <w:r w:rsidRPr="007960BF">
        <w:rPr>
          <w:i w:val="0"/>
        </w:rPr>
        <w:instrText xml:space="preserve">" \f A \l “4” </w:instrText>
      </w:r>
      <w:r w:rsidRPr="007960BF">
        <w:rPr>
          <w:i w:val="0"/>
        </w:rPr>
        <w:fldChar w:fldCharType="end"/>
      </w:r>
    </w:p>
    <w:p w:rsidR="009038E6" w:rsidRPr="002028F3" w:rsidRDefault="009038E6" w:rsidP="009038E6">
      <w:pPr>
        <w:pStyle w:val="BodyText1"/>
        <w:sectPr w:rsidR="009038E6" w:rsidRPr="002028F3" w:rsidSect="00C6706D">
          <w:pgSz w:w="11906" w:h="16838" w:code="9"/>
          <w:pgMar w:top="1134" w:right="1134" w:bottom="1134" w:left="1134" w:header="709" w:footer="709" w:gutter="0"/>
          <w:cols w:space="708"/>
          <w:docGrid w:linePitch="360"/>
        </w:sectPr>
      </w:pPr>
    </w:p>
    <w:p w:rsidR="00D924C5" w:rsidRDefault="008242D7" w:rsidP="00D35ACA">
      <w:pPr>
        <w:pStyle w:val="Heading1"/>
        <w:tabs>
          <w:tab w:val="clear" w:pos="360"/>
          <w:tab w:val="num" w:pos="720"/>
        </w:tabs>
        <w:ind w:left="720" w:hanging="720"/>
      </w:pPr>
      <w:r>
        <w:lastRenderedPageBreak/>
        <w:t xml:space="preserve"> </w:t>
      </w:r>
      <w:bookmarkStart w:id="490" w:name="_Toc390690138"/>
      <w:r w:rsidR="00D924C5">
        <w:t xml:space="preserve">A Conjunctive Approach to Water Management </w:t>
      </w:r>
      <w:r w:rsidR="00C66AF3">
        <w:t>at the MLS</w:t>
      </w:r>
      <w:bookmarkEnd w:id="385"/>
      <w:bookmarkEnd w:id="386"/>
      <w:bookmarkEnd w:id="387"/>
      <w:bookmarkEnd w:id="490"/>
    </w:p>
    <w:p w:rsidR="00D924C5" w:rsidRDefault="00D924C5" w:rsidP="00D924C5">
      <w:pPr>
        <w:autoSpaceDE w:val="0"/>
        <w:autoSpaceDN w:val="0"/>
        <w:adjustRightInd w:val="0"/>
        <w:rPr>
          <w:rFonts w:cs="Angsana New"/>
          <w:szCs w:val="22"/>
          <w:lang w:eastAsia="zh-CN" w:bidi="th-TH"/>
        </w:rPr>
      </w:pPr>
      <w:r w:rsidRPr="00CC06B5">
        <w:rPr>
          <w:rFonts w:cs="Angsana New"/>
          <w:szCs w:val="22"/>
          <w:lang w:eastAsia="zh-CN" w:bidi="th-TH"/>
        </w:rPr>
        <w:t xml:space="preserve">Conjunctive </w:t>
      </w:r>
      <w:r>
        <w:rPr>
          <w:rFonts w:cs="Angsana New"/>
          <w:szCs w:val="22"/>
          <w:lang w:eastAsia="zh-CN" w:bidi="th-TH"/>
        </w:rPr>
        <w:t xml:space="preserve">water management can be defined as the management of hydraulically connected surface water and groundwater resources in a coordinated way. Integrating the management and use of surface water and groundwater storages can enable greater efficiencies and flexibility in providing for regional water security. It can also provide benefits in managing other water issues such as water use efficiency, dependent ecosystems, river salinity or nutrient loads. </w:t>
      </w:r>
    </w:p>
    <w:p w:rsidR="00D924C5" w:rsidRDefault="00D924C5" w:rsidP="00D924C5">
      <w:pPr>
        <w:autoSpaceDE w:val="0"/>
        <w:autoSpaceDN w:val="0"/>
        <w:adjustRightInd w:val="0"/>
        <w:rPr>
          <w:rFonts w:cs="Angsana New"/>
          <w:szCs w:val="22"/>
          <w:lang w:eastAsia="zh-CN" w:bidi="th-TH"/>
        </w:rPr>
      </w:pPr>
    </w:p>
    <w:p w:rsidR="00B51C2E" w:rsidRPr="00106292" w:rsidRDefault="00D924C5" w:rsidP="00D924C5">
      <w:pPr>
        <w:autoSpaceDE w:val="0"/>
        <w:autoSpaceDN w:val="0"/>
        <w:adjustRightInd w:val="0"/>
        <w:rPr>
          <w:szCs w:val="22"/>
        </w:rPr>
      </w:pPr>
      <w:r>
        <w:rPr>
          <w:szCs w:val="22"/>
        </w:rPr>
        <w:t xml:space="preserve">Conjunctive water management can simply mean coordinating groundwater extraction and releases from surface water reservoirs to meet specific water demands. </w:t>
      </w:r>
      <w:r>
        <w:t xml:space="preserve">It can also involve the re-use and/or reclamation of some portion of available water resources, and the active movement of water between surface and underground storage components under controlled conditions to minimise losses and maximise aquifer </w:t>
      </w:r>
      <w:r w:rsidRPr="004C1FD2">
        <w:t xml:space="preserve">productivity </w:t>
      </w:r>
      <w:r w:rsidRPr="004C1FD2">
        <w:rPr>
          <w:szCs w:val="22"/>
        </w:rPr>
        <w:t>(Dillon, 2005; Dillon</w:t>
      </w:r>
      <w:r w:rsidR="008A5F7D" w:rsidRPr="00CF7613">
        <w:rPr>
          <w:rStyle w:val="StyleItalic"/>
        </w:rPr>
        <w:t xml:space="preserve"> et al</w:t>
      </w:r>
      <w:r w:rsidRPr="004C1FD2">
        <w:rPr>
          <w:szCs w:val="22"/>
        </w:rPr>
        <w:t>., 2005, Dillon</w:t>
      </w:r>
      <w:r w:rsidR="008A5F7D" w:rsidRPr="00CF7613">
        <w:rPr>
          <w:rStyle w:val="StyleItalic"/>
        </w:rPr>
        <w:t xml:space="preserve"> et al</w:t>
      </w:r>
      <w:r w:rsidRPr="00CF7613">
        <w:rPr>
          <w:rStyle w:val="StyleItalic"/>
        </w:rPr>
        <w:t>.,</w:t>
      </w:r>
      <w:r w:rsidRPr="004C1FD2">
        <w:rPr>
          <w:szCs w:val="22"/>
        </w:rPr>
        <w:t xml:space="preserve"> 2009).</w:t>
      </w:r>
      <w:r w:rsidRPr="004C1FD2">
        <w:t xml:space="preserve"> </w:t>
      </w:r>
      <w:r w:rsidR="00FA6A92" w:rsidRPr="004C1FD2">
        <w:rPr>
          <w:szCs w:val="22"/>
        </w:rPr>
        <w:t>In the latter scenario</w:t>
      </w:r>
      <w:r w:rsidR="00FA6A92">
        <w:rPr>
          <w:szCs w:val="22"/>
        </w:rPr>
        <w:t>, t</w:t>
      </w:r>
      <w:r w:rsidRPr="00C03699">
        <w:rPr>
          <w:szCs w:val="22"/>
        </w:rPr>
        <w:t>he aquifer is used to store surpl</w:t>
      </w:r>
      <w:r>
        <w:rPr>
          <w:szCs w:val="22"/>
        </w:rPr>
        <w:t>us water to secure water supplies for communities at times when drought conditions prevail and surface water supplies are significantly depleted or compromised</w:t>
      </w:r>
      <w:r w:rsidRPr="00C03699">
        <w:rPr>
          <w:szCs w:val="22"/>
        </w:rPr>
        <w:t>.</w:t>
      </w:r>
      <w:r>
        <w:rPr>
          <w:szCs w:val="22"/>
        </w:rPr>
        <w:t xml:space="preserve"> This means that a Managed Aquifer Recharge (MAR) component </w:t>
      </w:r>
      <w:r w:rsidRPr="00106292">
        <w:rPr>
          <w:szCs w:val="22"/>
        </w:rPr>
        <w:t>is incorporated into the water storage and delivery infrastructure.</w:t>
      </w:r>
      <w:r w:rsidR="00925630" w:rsidRPr="00106292">
        <w:rPr>
          <w:szCs w:val="22"/>
        </w:rPr>
        <w:t xml:space="preserve"> More details of the benefits of conjunctive water management are included in Lawrie</w:t>
      </w:r>
      <w:r w:rsidR="008A5F7D" w:rsidRPr="00CF7613">
        <w:rPr>
          <w:rStyle w:val="StyleItalic"/>
        </w:rPr>
        <w:t xml:space="preserve"> et al</w:t>
      </w:r>
      <w:r w:rsidR="00925630" w:rsidRPr="00106292">
        <w:rPr>
          <w:szCs w:val="22"/>
        </w:rPr>
        <w:t>. (2012c, d).</w:t>
      </w:r>
    </w:p>
    <w:p w:rsidR="00B51C2E" w:rsidRPr="00106292" w:rsidRDefault="00B51C2E" w:rsidP="00D924C5">
      <w:pPr>
        <w:autoSpaceDE w:val="0"/>
        <w:autoSpaceDN w:val="0"/>
        <w:adjustRightInd w:val="0"/>
        <w:rPr>
          <w:i/>
          <w:sz w:val="20"/>
          <w:szCs w:val="20"/>
        </w:rPr>
      </w:pPr>
    </w:p>
    <w:p w:rsidR="00FA6A92" w:rsidRPr="00106292" w:rsidRDefault="00B51C2E" w:rsidP="00B51C2E">
      <w:pPr>
        <w:rPr>
          <w:rFonts w:cs="Angsana New"/>
          <w:szCs w:val="22"/>
          <w:lang w:eastAsia="zh-CN" w:bidi="th-TH"/>
        </w:rPr>
      </w:pPr>
      <w:r w:rsidRPr="00106292">
        <w:rPr>
          <w:rFonts w:cs="Angsana New"/>
          <w:szCs w:val="22"/>
          <w:lang w:eastAsia="zh-CN" w:bidi="th-TH"/>
        </w:rPr>
        <w:t xml:space="preserve">At </w:t>
      </w:r>
      <w:r w:rsidR="00C217F0">
        <w:rPr>
          <w:rFonts w:cs="Angsana New"/>
          <w:szCs w:val="22"/>
          <w:lang w:eastAsia="zh-CN" w:bidi="th-TH"/>
        </w:rPr>
        <w:t>Menindee</w:t>
      </w:r>
      <w:r w:rsidRPr="00106292">
        <w:rPr>
          <w:rFonts w:cs="Angsana New"/>
          <w:szCs w:val="22"/>
          <w:lang w:eastAsia="zh-CN" w:bidi="th-TH"/>
        </w:rPr>
        <w:t xml:space="preserve">, a conjunctive management approach would involve supplementing the existing MLS surface water storage capacity </w:t>
      </w:r>
      <w:r w:rsidR="00FA6A92" w:rsidRPr="00106292">
        <w:rPr>
          <w:rFonts w:cs="Angsana New"/>
          <w:szCs w:val="22"/>
          <w:lang w:eastAsia="zh-CN" w:bidi="th-TH"/>
        </w:rPr>
        <w:t xml:space="preserve">either </w:t>
      </w:r>
      <w:r w:rsidRPr="00106292">
        <w:rPr>
          <w:rFonts w:cs="Angsana New"/>
          <w:szCs w:val="22"/>
          <w:lang w:eastAsia="zh-CN" w:bidi="th-TH"/>
        </w:rPr>
        <w:t xml:space="preserve">with groundwater </w:t>
      </w:r>
      <w:r w:rsidR="00FA6A92" w:rsidRPr="00106292">
        <w:rPr>
          <w:rFonts w:cs="Angsana New"/>
          <w:szCs w:val="22"/>
          <w:lang w:eastAsia="zh-CN" w:bidi="th-TH"/>
        </w:rPr>
        <w:t xml:space="preserve">extraction from the </w:t>
      </w:r>
      <w:r w:rsidR="00C217F0">
        <w:rPr>
          <w:rFonts w:cs="Angsana New"/>
          <w:szCs w:val="22"/>
          <w:lang w:eastAsia="zh-CN" w:bidi="th-TH"/>
        </w:rPr>
        <w:t>Calivil Formation</w:t>
      </w:r>
      <w:r w:rsidR="00FA6A92" w:rsidRPr="00106292">
        <w:rPr>
          <w:rFonts w:cs="Angsana New"/>
          <w:szCs w:val="22"/>
          <w:lang w:eastAsia="zh-CN" w:bidi="th-TH"/>
        </w:rPr>
        <w:t xml:space="preserve">, or through developing a MAR scheme to supplement the fresh groundwater stored in the </w:t>
      </w:r>
      <w:r w:rsidR="00C217F0">
        <w:rPr>
          <w:rFonts w:cs="Angsana New"/>
          <w:szCs w:val="22"/>
          <w:lang w:eastAsia="zh-CN" w:bidi="th-TH"/>
        </w:rPr>
        <w:t>Calivil Formation</w:t>
      </w:r>
      <w:r w:rsidR="00FA6A92" w:rsidRPr="00106292">
        <w:rPr>
          <w:rFonts w:cs="Angsana New"/>
          <w:szCs w:val="22"/>
          <w:lang w:eastAsia="zh-CN" w:bidi="th-TH"/>
        </w:rPr>
        <w:t xml:space="preserve">. </w:t>
      </w:r>
      <w:r w:rsidRPr="00106292">
        <w:rPr>
          <w:rFonts w:cs="Angsana New"/>
          <w:szCs w:val="22"/>
          <w:lang w:eastAsia="zh-CN" w:bidi="th-TH"/>
        </w:rPr>
        <w:t xml:space="preserve">Supply of water to Broken Hill and </w:t>
      </w:r>
      <w:r w:rsidR="00C217F0">
        <w:rPr>
          <w:rFonts w:cs="Angsana New"/>
          <w:szCs w:val="22"/>
          <w:lang w:eastAsia="zh-CN" w:bidi="th-TH"/>
        </w:rPr>
        <w:t xml:space="preserve">Menindee </w:t>
      </w:r>
      <w:r w:rsidRPr="00106292">
        <w:rPr>
          <w:rFonts w:cs="Angsana New"/>
          <w:szCs w:val="22"/>
          <w:lang w:eastAsia="zh-CN" w:bidi="th-TH"/>
        </w:rPr>
        <w:t xml:space="preserve">from existing surface water arrangements could continue during non-drought times, with groundwater reserves providing water security during drought. </w:t>
      </w:r>
      <w:bookmarkStart w:id="491" w:name="OLE_LINK2"/>
      <w:bookmarkStart w:id="492" w:name="OLE_LINK3"/>
    </w:p>
    <w:p w:rsidR="00B51C2E" w:rsidRPr="00106292" w:rsidRDefault="00FA6A92" w:rsidP="00021090">
      <w:pPr>
        <w:pStyle w:val="Heading2"/>
        <w:tabs>
          <w:tab w:val="left" w:pos="720"/>
        </w:tabs>
        <w:spacing w:before="320"/>
      </w:pPr>
      <w:bookmarkStart w:id="493" w:name="_Toc325700121"/>
      <w:bookmarkStart w:id="494" w:name="_Toc325700464"/>
      <w:bookmarkStart w:id="495" w:name="_Toc325975146"/>
      <w:bookmarkStart w:id="496" w:name="_Toc390690139"/>
      <w:bookmarkEnd w:id="491"/>
      <w:bookmarkEnd w:id="492"/>
      <w:r w:rsidRPr="00106292">
        <w:t xml:space="preserve">Conjunctive Water Management </w:t>
      </w:r>
      <w:r w:rsidR="00C66AF3" w:rsidRPr="00106292">
        <w:t xml:space="preserve">at </w:t>
      </w:r>
      <w:r w:rsidR="002632FB" w:rsidRPr="00106292">
        <w:t>MLS</w:t>
      </w:r>
      <w:r w:rsidR="00C66AF3" w:rsidRPr="00106292">
        <w:t xml:space="preserve"> </w:t>
      </w:r>
      <w:r w:rsidRPr="00106292">
        <w:t>Involving Groundwater E</w:t>
      </w:r>
      <w:r w:rsidR="00B51C2E" w:rsidRPr="00106292">
        <w:t>xtraction</w:t>
      </w:r>
      <w:bookmarkEnd w:id="493"/>
      <w:bookmarkEnd w:id="494"/>
      <w:bookmarkEnd w:id="495"/>
      <w:bookmarkEnd w:id="496"/>
    </w:p>
    <w:p w:rsidR="00FA6A92" w:rsidRPr="00106292" w:rsidRDefault="00FA6A92" w:rsidP="00B51C2E">
      <w:pPr>
        <w:tabs>
          <w:tab w:val="num" w:pos="540"/>
        </w:tabs>
      </w:pPr>
      <w:r w:rsidRPr="00106292">
        <w:t xml:space="preserve">The new hydrogeological conceptual model for the BHMAR </w:t>
      </w:r>
      <w:r w:rsidR="00A56C85">
        <w:t>project</w:t>
      </w:r>
      <w:r w:rsidRPr="00106292">
        <w:t xml:space="preserve"> area </w:t>
      </w:r>
      <w:r w:rsidR="00925630" w:rsidRPr="00106292">
        <w:t>(</w:t>
      </w:r>
      <w:r w:rsidR="00B03359">
        <w:t>Section</w:t>
      </w:r>
      <w:r w:rsidR="00925630" w:rsidRPr="00106292">
        <w:t xml:space="preserve"> </w:t>
      </w:r>
      <w:r w:rsidR="009038E6" w:rsidRPr="00106292">
        <w:fldChar w:fldCharType="begin"/>
      </w:r>
      <w:r w:rsidR="009038E6" w:rsidRPr="00106292">
        <w:instrText xml:space="preserve"> REF _Ref327377789 \n \h </w:instrText>
      </w:r>
      <w:r w:rsidR="00106292">
        <w:instrText xml:space="preserve"> \* MERGEFORMAT </w:instrText>
      </w:r>
      <w:r w:rsidR="009038E6" w:rsidRPr="00106292">
        <w:fldChar w:fldCharType="separate"/>
      </w:r>
      <w:r w:rsidR="00966532">
        <w:t>6.5</w:t>
      </w:r>
      <w:r w:rsidR="009038E6" w:rsidRPr="00106292">
        <w:fldChar w:fldCharType="end"/>
      </w:r>
      <w:r w:rsidR="00925630" w:rsidRPr="00106292">
        <w:t xml:space="preserve">; </w:t>
      </w:r>
      <w:r w:rsidR="00925630" w:rsidRPr="00106292">
        <w:rPr>
          <w:szCs w:val="22"/>
        </w:rPr>
        <w:t>Lawrie</w:t>
      </w:r>
      <w:r w:rsidR="008A5F7D" w:rsidRPr="00CF7613">
        <w:rPr>
          <w:rStyle w:val="StyleItalic"/>
        </w:rPr>
        <w:t xml:space="preserve"> et al</w:t>
      </w:r>
      <w:r w:rsidR="00925630" w:rsidRPr="00106292">
        <w:rPr>
          <w:szCs w:val="22"/>
        </w:rPr>
        <w:t>., 2012b</w:t>
      </w:r>
      <w:r w:rsidR="00925630" w:rsidRPr="00106292">
        <w:t xml:space="preserve">) </w:t>
      </w:r>
      <w:r w:rsidRPr="00106292">
        <w:t xml:space="preserve">shows that </w:t>
      </w:r>
      <w:r w:rsidR="00B51C2E" w:rsidRPr="00106292">
        <w:t xml:space="preserve">recharge to the </w:t>
      </w:r>
      <w:r w:rsidR="00C217F0">
        <w:t>Calivil Formation</w:t>
      </w:r>
      <w:r w:rsidRPr="00106292">
        <w:t xml:space="preserve"> </w:t>
      </w:r>
      <w:r w:rsidR="00B51C2E" w:rsidRPr="00106292">
        <w:t xml:space="preserve">target aquifer is mainly due to river leakage associated with high flow events (such as major flooding) of the Darling River. This is important, as by inference, during drought conditions with low river flow the recharge to the aquifer will be negligible. Hence, there would be limited opportunity for natural replenishment whilst the aquifer is being actively pumped as a drought supply. </w:t>
      </w:r>
    </w:p>
    <w:p w:rsidR="00FA6A92" w:rsidRPr="00106292" w:rsidRDefault="00FA6A92" w:rsidP="00B51C2E">
      <w:pPr>
        <w:tabs>
          <w:tab w:val="num" w:pos="540"/>
        </w:tabs>
      </w:pPr>
    </w:p>
    <w:p w:rsidR="00B51C2E" w:rsidRPr="00FA6A92" w:rsidRDefault="00FA6A92" w:rsidP="00B51C2E">
      <w:pPr>
        <w:tabs>
          <w:tab w:val="num" w:pos="540"/>
        </w:tabs>
      </w:pPr>
      <w:r w:rsidRPr="00106292">
        <w:t>In a conjunctive use scheme involving groundwater extraction-only, there are additional risks from e</w:t>
      </w:r>
      <w:r w:rsidR="00B51C2E" w:rsidRPr="00106292">
        <w:t xml:space="preserve">xcessive drawdown </w:t>
      </w:r>
      <w:r w:rsidRPr="00106292">
        <w:t>that might occur from sustained pumping over prolonged droughts</w:t>
      </w:r>
      <w:r w:rsidR="00925630" w:rsidRPr="00106292">
        <w:t xml:space="preserve"> (</w:t>
      </w:r>
      <w:r w:rsidR="00925630" w:rsidRPr="00106292">
        <w:rPr>
          <w:szCs w:val="22"/>
        </w:rPr>
        <w:t>Lawrie</w:t>
      </w:r>
      <w:r w:rsidR="008A5F7D" w:rsidRPr="00CF7613">
        <w:rPr>
          <w:rStyle w:val="StyleItalic"/>
        </w:rPr>
        <w:t xml:space="preserve"> et al</w:t>
      </w:r>
      <w:r w:rsidR="00925630" w:rsidRPr="00106292">
        <w:rPr>
          <w:szCs w:val="22"/>
        </w:rPr>
        <w:t>., 2012c, d)</w:t>
      </w:r>
      <w:r w:rsidRPr="00106292">
        <w:t>. While the option may be viable in the short-term, over the</w:t>
      </w:r>
      <w:r w:rsidRPr="00FA6A92">
        <w:t xml:space="preserve"> longer-term, risks of </w:t>
      </w:r>
      <w:r w:rsidR="00B51C2E" w:rsidRPr="00FA6A92">
        <w:t xml:space="preserve">negative impacts </w:t>
      </w:r>
      <w:r w:rsidRPr="00FA6A92">
        <w:t xml:space="preserve">from excessive </w:t>
      </w:r>
      <w:r w:rsidR="007C45E4" w:rsidRPr="00FA6A92">
        <w:t>drawdown</w:t>
      </w:r>
      <w:r w:rsidRPr="00FA6A92">
        <w:t xml:space="preserve"> include</w:t>
      </w:r>
      <w:r w:rsidR="00B51C2E" w:rsidRPr="00FA6A92">
        <w:t xml:space="preserve"> the potential for:</w:t>
      </w:r>
    </w:p>
    <w:p w:rsidR="00B51C2E" w:rsidRPr="00FA6A92" w:rsidRDefault="00B51C2E" w:rsidP="004A6480">
      <w:pPr>
        <w:numPr>
          <w:ilvl w:val="0"/>
          <w:numId w:val="20"/>
        </w:numPr>
        <w:tabs>
          <w:tab w:val="clear" w:pos="1080"/>
          <w:tab w:val="num" w:pos="720"/>
        </w:tabs>
        <w:spacing w:before="60"/>
        <w:ind w:left="714" w:hanging="357"/>
        <w:rPr>
          <w:szCs w:val="22"/>
        </w:rPr>
      </w:pPr>
      <w:r w:rsidRPr="00FA6A92">
        <w:rPr>
          <w:szCs w:val="22"/>
        </w:rPr>
        <w:t xml:space="preserve">Migration of saline </w:t>
      </w:r>
      <w:r w:rsidR="001C23A9">
        <w:rPr>
          <w:szCs w:val="22"/>
        </w:rPr>
        <w:t xml:space="preserve">(or poor quality) </w:t>
      </w:r>
      <w:r w:rsidRPr="00FA6A92">
        <w:rPr>
          <w:szCs w:val="22"/>
        </w:rPr>
        <w:t xml:space="preserve">groundwater into the fresh </w:t>
      </w:r>
      <w:r w:rsidR="001C23A9">
        <w:rPr>
          <w:szCs w:val="22"/>
        </w:rPr>
        <w:t xml:space="preserve">productive </w:t>
      </w:r>
      <w:r w:rsidRPr="00FA6A92">
        <w:rPr>
          <w:szCs w:val="22"/>
        </w:rPr>
        <w:t>zones of the aquifer that are being pumped. This will mean that the quality of the Broken Hill source water would decline over time.</w:t>
      </w:r>
    </w:p>
    <w:p w:rsidR="00B51C2E" w:rsidRPr="00FA6A92" w:rsidRDefault="00B51C2E" w:rsidP="004A6480">
      <w:pPr>
        <w:numPr>
          <w:ilvl w:val="0"/>
          <w:numId w:val="20"/>
        </w:numPr>
        <w:tabs>
          <w:tab w:val="clear" w:pos="1080"/>
          <w:tab w:val="num" w:pos="720"/>
        </w:tabs>
        <w:spacing w:before="60"/>
        <w:ind w:left="714" w:hanging="357"/>
        <w:rPr>
          <w:szCs w:val="22"/>
        </w:rPr>
      </w:pPr>
      <w:r w:rsidRPr="00FA6A92">
        <w:rPr>
          <w:szCs w:val="22"/>
        </w:rPr>
        <w:t>Induced leakage from the overlying shallow watertable aquifer, particularly in areas where the intervening Blanchetown Clay is thin (or absent) or relatively sandy. Decline in the watertable may place additional stress on vegetation that access shallow groundwater, particularly during prolonged periods of drought.</w:t>
      </w:r>
    </w:p>
    <w:p w:rsidR="00B51C2E" w:rsidRPr="00FA6A92" w:rsidRDefault="00B51C2E" w:rsidP="004A6480">
      <w:pPr>
        <w:numPr>
          <w:ilvl w:val="0"/>
          <w:numId w:val="20"/>
        </w:numPr>
        <w:tabs>
          <w:tab w:val="clear" w:pos="1080"/>
          <w:tab w:val="num" w:pos="720"/>
        </w:tabs>
        <w:spacing w:before="60"/>
        <w:ind w:left="714" w:hanging="357"/>
        <w:rPr>
          <w:szCs w:val="22"/>
        </w:rPr>
      </w:pPr>
      <w:r w:rsidRPr="00FA6A92">
        <w:rPr>
          <w:szCs w:val="22"/>
        </w:rPr>
        <w:t>Reducing the access to the groundwater resource by existing entitlement holders (such as surrounding stock and domestic bores going dry or saline).</w:t>
      </w:r>
    </w:p>
    <w:p w:rsidR="00B51C2E" w:rsidRPr="00FA6A92" w:rsidRDefault="00B51C2E" w:rsidP="004A6480">
      <w:pPr>
        <w:numPr>
          <w:ilvl w:val="0"/>
          <w:numId w:val="20"/>
        </w:numPr>
        <w:tabs>
          <w:tab w:val="clear" w:pos="1080"/>
          <w:tab w:val="num" w:pos="720"/>
        </w:tabs>
        <w:spacing w:before="60"/>
        <w:ind w:left="714" w:hanging="357"/>
        <w:rPr>
          <w:szCs w:val="22"/>
        </w:rPr>
      </w:pPr>
      <w:r w:rsidRPr="00FA6A92">
        <w:rPr>
          <w:szCs w:val="22"/>
        </w:rPr>
        <w:t>Land subsidence due to dewatering causing compaction of the sediment, particular beds of clay or silt.</w:t>
      </w:r>
    </w:p>
    <w:p w:rsidR="00B51C2E" w:rsidRPr="00FA6A92" w:rsidRDefault="00B51C2E" w:rsidP="004A6480">
      <w:pPr>
        <w:numPr>
          <w:ilvl w:val="0"/>
          <w:numId w:val="20"/>
        </w:numPr>
        <w:tabs>
          <w:tab w:val="clear" w:pos="1080"/>
          <w:tab w:val="num" w:pos="720"/>
        </w:tabs>
        <w:spacing w:before="60"/>
        <w:ind w:left="714" w:hanging="357"/>
        <w:rPr>
          <w:szCs w:val="22"/>
        </w:rPr>
      </w:pPr>
      <w:r w:rsidRPr="00FA6A92">
        <w:rPr>
          <w:szCs w:val="22"/>
        </w:rPr>
        <w:t>Enhanced river leakage having an impact on stream flow. This is not considered a major management issue as the current Broken Hill supply during these dry times is direct pumping of surface water.</w:t>
      </w:r>
    </w:p>
    <w:p w:rsidR="00B51C2E" w:rsidRPr="00FA6A92" w:rsidRDefault="00B51C2E" w:rsidP="00B51C2E"/>
    <w:p w:rsidR="00B51C2E" w:rsidRPr="00106292" w:rsidRDefault="00B51C2E" w:rsidP="00D924C5">
      <w:r w:rsidRPr="00106292">
        <w:lastRenderedPageBreak/>
        <w:t xml:space="preserve">With active recharge to the </w:t>
      </w:r>
      <w:r w:rsidR="00C217F0">
        <w:t>Calivil Formation</w:t>
      </w:r>
      <w:r w:rsidRPr="00106292">
        <w:t xml:space="preserve"> aquifer limited to major flooding of the </w:t>
      </w:r>
      <w:smartTag w:uri="urn:schemas-microsoft-com:office:smarttags" w:element="place">
        <w:r w:rsidRPr="00106292">
          <w:t>Darling River</w:t>
        </w:r>
      </w:smartTag>
      <w:r w:rsidR="00925630" w:rsidRPr="00106292">
        <w:t xml:space="preserve"> (</w:t>
      </w:r>
      <w:r w:rsidR="00925630" w:rsidRPr="00106292">
        <w:rPr>
          <w:szCs w:val="22"/>
        </w:rPr>
        <w:t>Lawrie</w:t>
      </w:r>
      <w:r w:rsidR="008A5F7D" w:rsidRPr="00CF7613">
        <w:rPr>
          <w:rStyle w:val="StyleItalic"/>
        </w:rPr>
        <w:t xml:space="preserve"> et al</w:t>
      </w:r>
      <w:r w:rsidR="00925630" w:rsidRPr="00106292">
        <w:rPr>
          <w:szCs w:val="22"/>
        </w:rPr>
        <w:t>., 2012b</w:t>
      </w:r>
      <w:r w:rsidR="00925630" w:rsidRPr="00106292">
        <w:t>)</w:t>
      </w:r>
      <w:r w:rsidRPr="00106292">
        <w:t xml:space="preserve">, the offsetting of any major </w:t>
      </w:r>
      <w:r w:rsidR="007C45E4" w:rsidRPr="00106292">
        <w:t>drawdown</w:t>
      </w:r>
      <w:r w:rsidRPr="00106292">
        <w:t xml:space="preserve"> in the aquifer may take years or perhaps decades. Some potential impacts such as land subsidence would be largely irreversible. In contrast, actively recharging the aquifer using managed aquifer recharge (e.g. utilising an aquifer storage and recovery (</w:t>
      </w:r>
      <w:smartTag w:uri="urn:schemas-microsoft-com:office:smarttags" w:element="stockticker">
        <w:r w:rsidRPr="00106292">
          <w:t>ASR</w:t>
        </w:r>
      </w:smartTag>
      <w:r w:rsidRPr="00106292">
        <w:t>) borefield, or bank filtration coupled with an ASR borefield</w:t>
      </w:r>
      <w:r w:rsidR="00925630" w:rsidRPr="00106292">
        <w:t>)</w:t>
      </w:r>
      <w:r w:rsidRPr="00106292">
        <w:t xml:space="preserve">, would provide a buffer against the risk of excessive drawdown in the </w:t>
      </w:r>
      <w:r w:rsidR="00C217F0">
        <w:t>Calivil Formation</w:t>
      </w:r>
      <w:r w:rsidRPr="00106292">
        <w:t xml:space="preserve"> aquifer. Injection of relatively fresh treated river water into the aquifer would more likely lead to a long-term improvement in groundwater salinity rather than a decline.</w:t>
      </w:r>
      <w:r w:rsidR="00FA6A92" w:rsidRPr="00106292">
        <w:t xml:space="preserve"> </w:t>
      </w:r>
    </w:p>
    <w:p w:rsidR="00C66AF3" w:rsidRPr="00106292" w:rsidRDefault="00C66AF3" w:rsidP="00D924C5"/>
    <w:p w:rsidR="00C66AF3" w:rsidRPr="00106292" w:rsidRDefault="00C66AF3" w:rsidP="00B81A6B">
      <w:pPr>
        <w:tabs>
          <w:tab w:val="num" w:pos="540"/>
          <w:tab w:val="left" w:pos="8640"/>
        </w:tabs>
        <w:rPr>
          <w:szCs w:val="22"/>
        </w:rPr>
      </w:pPr>
      <w:r w:rsidRPr="00106292">
        <w:rPr>
          <w:szCs w:val="22"/>
        </w:rPr>
        <w:t xml:space="preserve">In groundwater extraction-only options, borefield design and operation would need to be optimised in order to delay the onset of salinity ingress and up-coning, groundwater </w:t>
      </w:r>
      <w:r w:rsidR="00242E98" w:rsidRPr="00106292">
        <w:rPr>
          <w:szCs w:val="22"/>
        </w:rPr>
        <w:t xml:space="preserve">flow and solute transport </w:t>
      </w:r>
      <w:r w:rsidRPr="00106292">
        <w:rPr>
          <w:szCs w:val="22"/>
        </w:rPr>
        <w:t>modelling required to predict salinisation and exceed</w:t>
      </w:r>
      <w:r w:rsidR="00691549" w:rsidRPr="00106292">
        <w:rPr>
          <w:szCs w:val="22"/>
        </w:rPr>
        <w:t>a</w:t>
      </w:r>
      <w:r w:rsidRPr="00106292">
        <w:rPr>
          <w:szCs w:val="22"/>
        </w:rPr>
        <w:t>nces of metals and metalloids with respect to ADWG</w:t>
      </w:r>
      <w:r w:rsidR="00B81A6B">
        <w:rPr>
          <w:szCs w:val="22"/>
        </w:rPr>
        <w:t>2011</w:t>
      </w:r>
      <w:r w:rsidRPr="00106292">
        <w:rPr>
          <w:szCs w:val="22"/>
        </w:rPr>
        <w:t xml:space="preserve"> thresholds. </w:t>
      </w:r>
    </w:p>
    <w:p w:rsidR="00C66AF3" w:rsidRPr="00106292" w:rsidRDefault="00C66AF3" w:rsidP="00C66AF3">
      <w:pPr>
        <w:tabs>
          <w:tab w:val="num" w:pos="540"/>
        </w:tabs>
        <w:rPr>
          <w:szCs w:val="22"/>
        </w:rPr>
      </w:pPr>
    </w:p>
    <w:p w:rsidR="00C66AF3" w:rsidRDefault="00C66AF3" w:rsidP="00C66AF3">
      <w:pPr>
        <w:tabs>
          <w:tab w:val="num" w:pos="540"/>
        </w:tabs>
        <w:rPr>
          <w:szCs w:val="22"/>
        </w:rPr>
      </w:pPr>
      <w:r w:rsidRPr="00106292">
        <w:rPr>
          <w:szCs w:val="22"/>
        </w:rPr>
        <w:t>In summary, a conjunctive use scheme involving groundwater extraction-only would deliver a measure of drought security, and may have lower capital and initial treatment costs than ASR or bank filtration</w:t>
      </w:r>
      <w:r w:rsidR="00925630" w:rsidRPr="00106292">
        <w:rPr>
          <w:szCs w:val="22"/>
        </w:rPr>
        <w:t xml:space="preserve"> (Lawrie</w:t>
      </w:r>
      <w:r w:rsidR="008A5F7D" w:rsidRPr="00CF7613">
        <w:rPr>
          <w:rStyle w:val="StyleItalic"/>
        </w:rPr>
        <w:t xml:space="preserve"> et al</w:t>
      </w:r>
      <w:r w:rsidR="00925630" w:rsidRPr="00106292">
        <w:rPr>
          <w:szCs w:val="22"/>
        </w:rPr>
        <w:t>., 2012c, d)</w:t>
      </w:r>
      <w:r w:rsidRPr="00106292">
        <w:rPr>
          <w:szCs w:val="22"/>
        </w:rPr>
        <w:t>. This option</w:t>
      </w:r>
      <w:r>
        <w:rPr>
          <w:szCs w:val="22"/>
        </w:rPr>
        <w:t xml:space="preserve"> might be the simplest to implement should extraction be anticipated only for relatively short time periods (weeks </w:t>
      </w:r>
      <w:r w:rsidR="00242E98">
        <w:rPr>
          <w:szCs w:val="22"/>
        </w:rPr>
        <w:t>to</w:t>
      </w:r>
      <w:r>
        <w:rPr>
          <w:szCs w:val="22"/>
        </w:rPr>
        <w:t xml:space="preserve"> months?). </w:t>
      </w:r>
      <w:r w:rsidRPr="00EA4276">
        <w:rPr>
          <w:szCs w:val="22"/>
        </w:rPr>
        <w:t xml:space="preserve">However, numerical groundwater modelling is required to determine the duration and rates of supply possible, and to assess potential impacts from prolonged extraction during drought conditions. </w:t>
      </w:r>
    </w:p>
    <w:p w:rsidR="00D924C5" w:rsidRPr="00106292" w:rsidRDefault="00B51C2E" w:rsidP="00021090">
      <w:pPr>
        <w:pStyle w:val="Heading2"/>
        <w:tabs>
          <w:tab w:val="left" w:pos="720"/>
        </w:tabs>
        <w:spacing w:before="320"/>
      </w:pPr>
      <w:bookmarkStart w:id="497" w:name="_Toc325700122"/>
      <w:bookmarkStart w:id="498" w:name="_Toc325700465"/>
      <w:bookmarkStart w:id="499" w:name="_Toc325975147"/>
      <w:bookmarkStart w:id="500" w:name="_Toc390690140"/>
      <w:r w:rsidRPr="00106292">
        <w:t xml:space="preserve">Conjunctive Water Management Involving </w:t>
      </w:r>
      <w:r w:rsidR="00C66AF3" w:rsidRPr="00106292">
        <w:t>MAR</w:t>
      </w:r>
      <w:bookmarkEnd w:id="497"/>
      <w:bookmarkEnd w:id="498"/>
      <w:bookmarkEnd w:id="499"/>
      <w:bookmarkEnd w:id="500"/>
    </w:p>
    <w:p w:rsidR="00FA6A92" w:rsidRDefault="00FA6A92" w:rsidP="00FA6A92">
      <w:pPr>
        <w:rPr>
          <w:rFonts w:cs="Angsana New"/>
          <w:szCs w:val="22"/>
          <w:lang w:eastAsia="zh-CN" w:bidi="th-TH"/>
        </w:rPr>
      </w:pPr>
      <w:r w:rsidRPr="00106292">
        <w:rPr>
          <w:szCs w:val="22"/>
        </w:rPr>
        <w:t xml:space="preserve">The BHMAR project has identified suitable groundwater storage in the </w:t>
      </w:r>
      <w:r w:rsidR="00C217F0">
        <w:rPr>
          <w:szCs w:val="22"/>
        </w:rPr>
        <w:t>Calivil Formation</w:t>
      </w:r>
      <w:r w:rsidRPr="00106292">
        <w:rPr>
          <w:szCs w:val="22"/>
        </w:rPr>
        <w:t xml:space="preserve"> target aquifer to secure Broken Hill’s 3-year drought requirements for potable water</w:t>
      </w:r>
      <w:r w:rsidR="00E1471C" w:rsidRPr="00106292">
        <w:rPr>
          <w:szCs w:val="22"/>
        </w:rPr>
        <w:t xml:space="preserve"> (Lawrie</w:t>
      </w:r>
      <w:r w:rsidR="008A5F7D" w:rsidRPr="00CF7613">
        <w:rPr>
          <w:rStyle w:val="StyleItalic"/>
        </w:rPr>
        <w:t xml:space="preserve"> et al</w:t>
      </w:r>
      <w:r w:rsidR="00E1471C" w:rsidRPr="00106292">
        <w:rPr>
          <w:szCs w:val="22"/>
        </w:rPr>
        <w:t>., 2012c)</w:t>
      </w:r>
      <w:r w:rsidRPr="00106292">
        <w:rPr>
          <w:szCs w:val="22"/>
        </w:rPr>
        <w:t>. This option would enhance Broken Hill’s water security through providing a buffer against future climate variability and change, deliver significant water savings, improve source water quality over time, have minimal environmental impact, preserve some local water amenities</w:t>
      </w:r>
      <w:r w:rsidRPr="00CC06B5">
        <w:rPr>
          <w:szCs w:val="22"/>
        </w:rPr>
        <w:t xml:space="preserve"> for community use, and enable key elements of the engineered </w:t>
      </w:r>
      <w:smartTag w:uri="urn:schemas-microsoft-com:office:smarttags" w:element="stockticker">
        <w:r w:rsidRPr="00CC06B5">
          <w:rPr>
            <w:szCs w:val="22"/>
          </w:rPr>
          <w:t>MLS</w:t>
        </w:r>
      </w:smartTag>
      <w:r w:rsidRPr="00CC06B5">
        <w:rPr>
          <w:szCs w:val="22"/>
        </w:rPr>
        <w:t xml:space="preserve"> to be returned</w:t>
      </w:r>
      <w:r>
        <w:rPr>
          <w:szCs w:val="22"/>
        </w:rPr>
        <w:t xml:space="preserve"> to a more natural condition.</w:t>
      </w:r>
      <w:r w:rsidR="00E823BA">
        <w:rPr>
          <w:szCs w:val="22"/>
        </w:rPr>
        <w:t xml:space="preserve"> </w:t>
      </w:r>
      <w:r>
        <w:rPr>
          <w:rFonts w:cs="Angsana New"/>
          <w:szCs w:val="22"/>
          <w:lang w:eastAsia="zh-CN" w:bidi="th-TH"/>
        </w:rPr>
        <w:t>Incorporating a MAR scheme involving active aquifer replenishment would provide greater security for the drought groundwater reserve.</w:t>
      </w:r>
    </w:p>
    <w:p w:rsidR="00FA6A92" w:rsidRPr="00795774" w:rsidRDefault="00FA6A92" w:rsidP="00FA6A92">
      <w:pPr>
        <w:rPr>
          <w:szCs w:val="22"/>
        </w:rPr>
      </w:pPr>
    </w:p>
    <w:p w:rsidR="00D924C5" w:rsidRPr="00795774" w:rsidRDefault="00DB12CD" w:rsidP="00D924C5">
      <w:r w:rsidRPr="00795774">
        <w:fldChar w:fldCharType="begin"/>
      </w:r>
      <w:r w:rsidRPr="00795774">
        <w:instrText xml:space="preserve"> REF _Ref325708522 \h </w:instrText>
      </w:r>
      <w:r w:rsidR="00795774" w:rsidRPr="00795774">
        <w:instrText xml:space="preserve"> \* MERGEFORMAT </w:instrText>
      </w:r>
      <w:r w:rsidRPr="00795774">
        <w:fldChar w:fldCharType="separate"/>
      </w:r>
      <w:r w:rsidR="00966532" w:rsidRPr="00966532">
        <w:t xml:space="preserve">Figure </w:t>
      </w:r>
      <w:r w:rsidR="00966532" w:rsidRPr="00966532">
        <w:rPr>
          <w:noProof/>
        </w:rPr>
        <w:t>7</w:t>
      </w:r>
      <w:r w:rsidR="00966532" w:rsidRPr="00966532">
        <w:rPr>
          <w:noProof/>
        </w:rPr>
        <w:noBreakHyphen/>
        <w:t>1</w:t>
      </w:r>
      <w:r w:rsidRPr="00795774">
        <w:fldChar w:fldCharType="end"/>
      </w:r>
      <w:r w:rsidRPr="00795774">
        <w:t xml:space="preserve"> </w:t>
      </w:r>
      <w:r w:rsidR="00D924C5" w:rsidRPr="00795774">
        <w:t xml:space="preserve">shows conceptually such a conjunctive water management strategy. In this scenario, extra components have been added to the existing surface water storage and pipeline infrastructure at </w:t>
      </w:r>
      <w:r w:rsidR="00C217F0">
        <w:t>Menindee</w:t>
      </w:r>
      <w:r w:rsidR="00D924C5" w:rsidRPr="00795774">
        <w:t>. This includes an array of aquifer storage and recovery (</w:t>
      </w:r>
      <w:smartTag w:uri="urn:schemas-microsoft-com:office:smarttags" w:element="stockticker">
        <w:r w:rsidR="00D924C5" w:rsidRPr="00795774">
          <w:t>ASR</w:t>
        </w:r>
      </w:smartTag>
      <w:r w:rsidR="00D924C5" w:rsidRPr="00795774">
        <w:t xml:space="preserve">) wells that enable the injection of treated surface water into the underground aquifer storage identified in sands and gravels of the </w:t>
      </w:r>
      <w:r w:rsidR="00C217F0">
        <w:t>Calivil Formation</w:t>
      </w:r>
      <w:r w:rsidR="00D924C5" w:rsidRPr="00795774">
        <w:t xml:space="preserve">. These bores are dual purpose – they are also used to pump the water from the aquifer storage when required. A pipeline connects the </w:t>
      </w:r>
      <w:smartTag w:uri="urn:schemas-microsoft-com:office:smarttags" w:element="stockticker">
        <w:r w:rsidR="00D924C5" w:rsidRPr="00795774">
          <w:t>ASR</w:t>
        </w:r>
      </w:smartTag>
      <w:r w:rsidR="00D924C5" w:rsidRPr="00795774">
        <w:t xml:space="preserve"> borefield to the existing treatment plant and Broken Hill supply pipeline at </w:t>
      </w:r>
      <w:r w:rsidR="00C217F0">
        <w:t>Menindee</w:t>
      </w:r>
      <w:r w:rsidR="00D924C5" w:rsidRPr="00795774">
        <w:t>. The water treatment facility would be upgraded to treat the surface water prior to injection into the aquifer, to manage the risk of clogging due to high turbidity and nutrient levels. Upon recovery, treatment of pumped groundwater is likely to occur at the Broken Hill treatment plant before reticulation.</w:t>
      </w:r>
    </w:p>
    <w:p w:rsidR="00D924C5" w:rsidRPr="00795774" w:rsidRDefault="00D924C5" w:rsidP="00D924C5"/>
    <w:p w:rsidR="00D924C5" w:rsidRPr="00795774" w:rsidRDefault="00C215F4" w:rsidP="00D924C5">
      <w:r>
        <w:t xml:space="preserve">Operationally, the new conjunctive water infrastructure at </w:t>
      </w:r>
      <w:r w:rsidR="00C217F0">
        <w:t xml:space="preserve">Menindee </w:t>
      </w:r>
      <w:r>
        <w:t xml:space="preserve">is used differently depending on hydrological conditions. During high flows in the </w:t>
      </w:r>
      <w:smartTag w:uri="urn:schemas-microsoft-com:office:smarttags" w:element="place">
        <w:r>
          <w:t>Darling River</w:t>
        </w:r>
      </w:smartTag>
      <w:r>
        <w:t xml:space="preserve">, the flood water is diverted into the MLS, as is the current practice. This allows replenishment of the surface water storages and the opportunity to harvest episodic flood events in the </w:t>
      </w:r>
      <w:smartTag w:uri="urn:schemas-microsoft-com:office:smarttags" w:element="place">
        <w:r>
          <w:t>Darling River</w:t>
        </w:r>
      </w:smartTag>
      <w:r>
        <w:t xml:space="preserve">. The scouring of river bank muds during high flows also facilitates natural recharge of the alluvial aquifers. During and following these events, Broken Hill water supply and treatment is identical to the existing situation with the water source being the </w:t>
      </w:r>
      <w:smartTag w:uri="urn:schemas-microsoft-com:office:smarttags" w:element="place">
        <w:r>
          <w:t>Darling River</w:t>
        </w:r>
      </w:smartTag>
      <w:r>
        <w:t xml:space="preserve"> weir pool </w:t>
      </w:r>
      <w:r w:rsidR="00D924C5" w:rsidRPr="00795774">
        <w:t>(</w:t>
      </w:r>
      <w:r w:rsidR="00DB12CD" w:rsidRPr="00795774">
        <w:fldChar w:fldCharType="begin"/>
      </w:r>
      <w:r w:rsidR="00DB12CD" w:rsidRPr="00795774">
        <w:instrText xml:space="preserve"> REF _Ref325708522 \h </w:instrText>
      </w:r>
      <w:r w:rsidR="00795774" w:rsidRPr="00795774">
        <w:instrText xml:space="preserve"> \* MERGEFORMAT </w:instrText>
      </w:r>
      <w:r w:rsidR="00DB12CD" w:rsidRPr="00795774">
        <w:fldChar w:fldCharType="separate"/>
      </w:r>
      <w:r w:rsidR="00966532" w:rsidRPr="00966532">
        <w:t xml:space="preserve">Figure </w:t>
      </w:r>
      <w:r w:rsidR="00966532" w:rsidRPr="00966532">
        <w:rPr>
          <w:noProof/>
        </w:rPr>
        <w:t>7</w:t>
      </w:r>
      <w:r w:rsidR="00966532" w:rsidRPr="00966532">
        <w:rPr>
          <w:noProof/>
        </w:rPr>
        <w:noBreakHyphen/>
        <w:t>1</w:t>
      </w:r>
      <w:r w:rsidR="00DB12CD" w:rsidRPr="00795774">
        <w:fldChar w:fldCharType="end"/>
      </w:r>
      <w:r w:rsidR="00D924C5" w:rsidRPr="00795774">
        <w:t xml:space="preserve">a). In this replenishment phase, the major difference to existing arrangements is that the weir pool is also the source for water that is treated, piped and injected into the </w:t>
      </w:r>
      <w:r w:rsidR="00C217F0">
        <w:t>Calivil Formation</w:t>
      </w:r>
      <w:r w:rsidR="00D924C5" w:rsidRPr="00795774">
        <w:t xml:space="preserve"> aquifer. High flows in the </w:t>
      </w:r>
      <w:smartTag w:uri="urn:schemas-microsoft-com:office:smarttags" w:element="place">
        <w:r w:rsidR="00D924C5" w:rsidRPr="00795774">
          <w:t>Darling River</w:t>
        </w:r>
      </w:smartTag>
      <w:r w:rsidR="00D924C5" w:rsidRPr="00795774">
        <w:t xml:space="preserve"> tend to have relatively low salinities when compared to when flow in the river is low. This means that replenishing aquifer storage during high-flow river conditions will have a water quality benefit from a source water salinity perspective.</w:t>
      </w:r>
      <w:r>
        <w:t xml:space="preserve"> The bank filtration option is also shown in </w:t>
      </w:r>
      <w:smartTag w:uri="urn:schemas-microsoft-com:office:smarttags" w:element="Street">
        <w:smartTag w:uri="urn:schemas-microsoft-com:office:smarttags" w:element="address">
          <w:r>
            <w:t>Figure L</w:t>
          </w:r>
          <w:r w:rsidRPr="00E823BA">
            <w:t>a</w:t>
          </w:r>
          <w:r>
            <w:t>.</w:t>
          </w:r>
        </w:smartTag>
      </w:smartTag>
      <w:r>
        <w:t xml:space="preserve"> During periods of high river flow, pumping of near-river bores in the shallow aquifer could also provide source water for injection into the ASR borefield. Natural filtration provided by the shallow aquifer could offset treatment costs in reducing turbidity and nutrient levels in the source water.</w:t>
      </w:r>
    </w:p>
    <w:p w:rsidR="00D924C5" w:rsidRPr="00795774" w:rsidRDefault="00D924C5" w:rsidP="00D924C5"/>
    <w:p w:rsidR="00D924C5" w:rsidRDefault="00D924C5" w:rsidP="00D924C5">
      <w:r w:rsidRPr="00795774">
        <w:t>The second regulation phase is triggered after ASR injection has allowed sufficient water of suitable salinity to be stored underground to meet the defined security requirements (</w:t>
      </w:r>
      <w:r w:rsidR="00DB12CD" w:rsidRPr="00795774">
        <w:fldChar w:fldCharType="begin"/>
      </w:r>
      <w:r w:rsidR="00DB12CD" w:rsidRPr="00795774">
        <w:instrText xml:space="preserve"> REF _Ref325708522 \h </w:instrText>
      </w:r>
      <w:r w:rsidR="00795774" w:rsidRPr="00795774">
        <w:instrText xml:space="preserve"> \* MERGEFORMAT </w:instrText>
      </w:r>
      <w:r w:rsidR="00DB12CD" w:rsidRPr="00795774">
        <w:fldChar w:fldCharType="separate"/>
      </w:r>
      <w:r w:rsidR="00966532" w:rsidRPr="00966532">
        <w:t xml:space="preserve">Figure </w:t>
      </w:r>
      <w:r w:rsidR="00966532" w:rsidRPr="00966532">
        <w:rPr>
          <w:noProof/>
        </w:rPr>
        <w:t>7</w:t>
      </w:r>
      <w:r w:rsidR="00966532" w:rsidRPr="00966532">
        <w:rPr>
          <w:noProof/>
        </w:rPr>
        <w:noBreakHyphen/>
        <w:t>1</w:t>
      </w:r>
      <w:r w:rsidR="00DB12CD" w:rsidRPr="00795774">
        <w:fldChar w:fldCharType="end"/>
      </w:r>
      <w:r w:rsidRPr="00795774">
        <w:t xml:space="preserve">b). The </w:t>
      </w:r>
      <w:smartTag w:uri="urn:schemas-microsoft-com:office:smarttags" w:element="stockticker">
        <w:r w:rsidRPr="00795774">
          <w:t>ASR</w:t>
        </w:r>
      </w:smartTag>
      <w:r w:rsidRPr="00795774">
        <w:t xml:space="preserve"> borefield design, </w:t>
      </w:r>
      <w:r w:rsidRPr="00795774">
        <w:lastRenderedPageBreak/>
        <w:t>the groundwater flow and solute transport modelling and monitoring of groundwater conditions (such as water levels, pressures and salinity) would be used to define this threshold, and to decide when aquifer</w:t>
      </w:r>
      <w:r>
        <w:t xml:space="preserve"> injection has been adequate. This provision of a drought reserve that has negligible evaporative losses provides the opportunity for regulated releases from the </w:t>
      </w:r>
      <w:r w:rsidR="00C217F0">
        <w:t xml:space="preserve">Menindee </w:t>
      </w:r>
      <w:r>
        <w:t>surface storages to also include the previous reserve allocated to Broken Hill.</w:t>
      </w:r>
      <w:r w:rsidR="00E823BA">
        <w:t xml:space="preserve"> </w:t>
      </w:r>
      <w:r>
        <w:t xml:space="preserve">Hence, this surface water can be made available to downstream users or to provide environmental benefits rather than be lost by evaporation from the </w:t>
      </w:r>
      <w:r w:rsidR="007D1583">
        <w:t>Menindee Lakes</w:t>
      </w:r>
      <w:r>
        <w:t>.</w:t>
      </w:r>
      <w:r w:rsidR="00E823BA">
        <w:t xml:space="preserve"> </w:t>
      </w:r>
      <w:r>
        <w:t xml:space="preserve">In this phase of regulated flows from the MLS, the water supply to Broken Hill will mostly be from the Darling weir pool, with the possibility of drawing upon the groundwater storage if dictated by operational requirements (such as short-term declines in river water quality such as algal blooms). </w:t>
      </w:r>
      <w:r w:rsidR="00C215F4">
        <w:t xml:space="preserve">Monitoring of the </w:t>
      </w:r>
      <w:smartTag w:uri="urn:schemas-microsoft-com:office:smarttags" w:element="place">
        <w:r w:rsidR="00C215F4">
          <w:t>Darling River</w:t>
        </w:r>
      </w:smartTag>
      <w:r w:rsidR="00C215F4">
        <w:t xml:space="preserve"> during this phase would define opportunities when additional aquifer injection could occur. Minor flood events may also provide opportunities for the operation of the bank filtration bores to provide source water for injection into the </w:t>
      </w:r>
      <w:r w:rsidR="00C217F0">
        <w:t>Calivil Formation</w:t>
      </w:r>
      <w:r w:rsidR="00C215F4">
        <w:t xml:space="preserve"> aquifer. </w:t>
      </w:r>
    </w:p>
    <w:p w:rsidR="00D924C5" w:rsidRDefault="00D924C5" w:rsidP="00D924C5"/>
    <w:p w:rsidR="00D924C5" w:rsidRDefault="00C215F4" w:rsidP="00D924C5">
      <w:r>
        <w:t xml:space="preserve">With prolonged dry conditions, the infrastructure is operated in a drought response mode. The surface water storages have largely been drawn down, and low flow conditions exist for the </w:t>
      </w:r>
      <w:smartTag w:uri="urn:schemas-microsoft-com:office:smarttags" w:element="place">
        <w:r>
          <w:t>Darling River</w:t>
        </w:r>
      </w:smartTag>
      <w:r>
        <w:t xml:space="preserve">. </w:t>
      </w:r>
      <w:smartTag w:uri="urn:schemas-microsoft-com:office:smarttags" w:element="PersonName">
        <w:r>
          <w:t>Groundwater</w:t>
        </w:r>
      </w:smartTag>
      <w:r>
        <w:t xml:space="preserve"> recharge by river leakage is minimal due to the riverbank mud veneer. </w:t>
      </w:r>
      <w:r w:rsidR="00D924C5" w:rsidRPr="00795774">
        <w:t>In this groundwater recovery phase (</w:t>
      </w:r>
      <w:r w:rsidR="00DB12CD" w:rsidRPr="00795774">
        <w:fldChar w:fldCharType="begin"/>
      </w:r>
      <w:r w:rsidR="00DB12CD" w:rsidRPr="00795774">
        <w:instrText xml:space="preserve"> REF _Ref325708522 \h </w:instrText>
      </w:r>
      <w:r w:rsidR="00795774" w:rsidRPr="00795774">
        <w:instrText xml:space="preserve"> \* MERGEFORMAT </w:instrText>
      </w:r>
      <w:r w:rsidR="00DB12CD" w:rsidRPr="00795774">
        <w:fldChar w:fldCharType="separate"/>
      </w:r>
      <w:r w:rsidR="00966532" w:rsidRPr="00966532">
        <w:t xml:space="preserve">Figure </w:t>
      </w:r>
      <w:r w:rsidR="00966532" w:rsidRPr="00966532">
        <w:rPr>
          <w:noProof/>
        </w:rPr>
        <w:t>7</w:t>
      </w:r>
      <w:r w:rsidR="00966532" w:rsidRPr="00966532">
        <w:rPr>
          <w:noProof/>
        </w:rPr>
        <w:noBreakHyphen/>
        <w:t>1</w:t>
      </w:r>
      <w:r w:rsidR="00DB12CD" w:rsidRPr="00795774">
        <w:fldChar w:fldCharType="end"/>
      </w:r>
      <w:r w:rsidR="00D924C5" w:rsidRPr="00795774">
        <w:t>c), the water</w:t>
      </w:r>
      <w:r w:rsidR="00D924C5">
        <w:t xml:space="preserve"> supply for Broken Hill is secured by extraction from the </w:t>
      </w:r>
      <w:smartTag w:uri="urn:schemas-microsoft-com:office:smarttags" w:element="stockticker">
        <w:r w:rsidR="00D924C5">
          <w:t>ASR</w:t>
        </w:r>
      </w:smartTag>
      <w:r w:rsidR="00D924C5">
        <w:t xml:space="preserve"> borefield. Hence</w:t>
      </w:r>
      <w:r w:rsidR="00C66AF3">
        <w:t>,</w:t>
      </w:r>
      <w:r w:rsidR="00D924C5">
        <w:t xml:space="preserve"> the supply is </w:t>
      </w:r>
      <w:smartTag w:uri="urn:schemas-microsoft-com:office:smarttags" w:element="PersonName">
        <w:r w:rsidR="00D924C5">
          <w:t>groundwater</w:t>
        </w:r>
      </w:smartTag>
      <w:r w:rsidR="00D924C5">
        <w:t xml:space="preserve">-dominated, accessing the water added to the </w:t>
      </w:r>
      <w:r w:rsidR="00C217F0">
        <w:t>Calivil Formation</w:t>
      </w:r>
      <w:r w:rsidR="00D924C5">
        <w:t xml:space="preserve"> aquifer during post-flood replenishment. </w:t>
      </w:r>
    </w:p>
    <w:p w:rsidR="00D924C5" w:rsidRPr="00CF7613" w:rsidRDefault="00D924C5" w:rsidP="00D924C5">
      <w:pPr>
        <w:rPr>
          <w:rStyle w:val="StyleItalic"/>
        </w:rPr>
      </w:pPr>
    </w:p>
    <w:p w:rsidR="00D924C5" w:rsidRDefault="00D924C5" w:rsidP="00D924C5">
      <w:r>
        <w:t xml:space="preserve">The conjunctive use scheme envisaged would utilise the co-location at </w:t>
      </w:r>
      <w:r w:rsidR="00C217F0">
        <w:t xml:space="preserve">Menindee </w:t>
      </w:r>
      <w:r>
        <w:t>of significant off-river surface water reservoirs with underlying aquifer storage capacity. Using and managing both surface water and groundwater storages in a coordinated way would provide:</w:t>
      </w:r>
    </w:p>
    <w:p w:rsidR="00D924C5" w:rsidRDefault="00D924C5" w:rsidP="00106292">
      <w:pPr>
        <w:numPr>
          <w:ilvl w:val="0"/>
          <w:numId w:val="26"/>
        </w:numPr>
        <w:spacing w:before="60"/>
        <w:ind w:left="714" w:hanging="357"/>
      </w:pPr>
      <w:r>
        <w:t xml:space="preserve">An increase in the overall capacity of the </w:t>
      </w:r>
      <w:r w:rsidR="00C217F0">
        <w:t xml:space="preserve">Menindee </w:t>
      </w:r>
      <w:r>
        <w:t>scheme by introducing addi</w:t>
      </w:r>
      <w:r w:rsidR="00DE0DFA">
        <w:t>tional aquifer storage capacity.</w:t>
      </w:r>
    </w:p>
    <w:p w:rsidR="00D924C5" w:rsidRDefault="00D924C5" w:rsidP="00106292">
      <w:pPr>
        <w:numPr>
          <w:ilvl w:val="0"/>
          <w:numId w:val="26"/>
        </w:numPr>
        <w:spacing w:before="60"/>
      </w:pPr>
      <w:r>
        <w:t xml:space="preserve">Greater flexibility in water supply options and provision of drought reserves in an environment of highly variable surface water flows. This is essential for maintaining water security for Broken Hill, particularly with any increases in the frequency or duration of droughts </w:t>
      </w:r>
      <w:r w:rsidR="00DE0DFA">
        <w:t>brought about by climate change.</w:t>
      </w:r>
    </w:p>
    <w:p w:rsidR="00D924C5" w:rsidRDefault="00D924C5" w:rsidP="00106292">
      <w:pPr>
        <w:numPr>
          <w:ilvl w:val="0"/>
          <w:numId w:val="26"/>
        </w:numPr>
        <w:spacing w:before="60"/>
      </w:pPr>
      <w:r>
        <w:t>Significant reduction of high evaporative losses with the opportunity to utilise water that is currently lost due to the current need to retain a reserve in the MLS to p</w:t>
      </w:r>
      <w:r w:rsidR="00DE0DFA">
        <w:t>rovide security for Broken Hill.</w:t>
      </w:r>
    </w:p>
    <w:p w:rsidR="00D924C5" w:rsidRDefault="00D924C5" w:rsidP="00106292">
      <w:pPr>
        <w:numPr>
          <w:ilvl w:val="0"/>
          <w:numId w:val="26"/>
        </w:numPr>
        <w:spacing w:before="60"/>
      </w:pPr>
      <w:r>
        <w:t xml:space="preserve">The opportunity to improve the groundwater quality and recovery efficiencies within the aquifer storage zone defined by the MAR borefield. Aquifer storage could be expanded by freshening of the groundwater resource through ASR injection displacing peripheral brackish to saline zones. </w:t>
      </w:r>
    </w:p>
    <w:p w:rsidR="00D924C5" w:rsidRDefault="00D924C5" w:rsidP="00106292">
      <w:pPr>
        <w:numPr>
          <w:ilvl w:val="0"/>
          <w:numId w:val="26"/>
        </w:numPr>
        <w:spacing w:before="60"/>
      </w:pPr>
      <w:r>
        <w:t>Less likelihood of the potential negative impacts of direct groundwater extraction to occur. Purposeful recharge of the aquifer during periods of high surface water availability would reduce the risk of ingress of saline water, groundwater pressure decline or subsidence occurring through over</w:t>
      </w:r>
      <w:r w:rsidR="007C45E4">
        <w:t>-</w:t>
      </w:r>
      <w:r>
        <w:t>pumping of the resource.</w:t>
      </w:r>
    </w:p>
    <w:p w:rsidR="00D924C5" w:rsidRDefault="00D924C5" w:rsidP="00106292">
      <w:pPr>
        <w:numPr>
          <w:ilvl w:val="0"/>
          <w:numId w:val="26"/>
        </w:numPr>
        <w:spacing w:before="60"/>
      </w:pPr>
      <w:r>
        <w:t xml:space="preserve">Overall improvements to the water quality of Broken Hill supply by taking advantage of the lower salinities evident during high flows in the </w:t>
      </w:r>
      <w:smartTag w:uri="urn:schemas-microsoft-com:office:smarttags" w:element="place">
        <w:r>
          <w:t>Darling River</w:t>
        </w:r>
      </w:smartTag>
      <w:r>
        <w:t xml:space="preserve"> to replenish aquifer storage. </w:t>
      </w:r>
    </w:p>
    <w:p w:rsidR="00D924C5" w:rsidRDefault="00D924C5" w:rsidP="00106292">
      <w:pPr>
        <w:numPr>
          <w:ilvl w:val="0"/>
          <w:numId w:val="26"/>
        </w:numPr>
        <w:spacing w:before="60"/>
      </w:pPr>
      <w:r>
        <w:t xml:space="preserve">The option of having an alternative groundwater source if there are emergency constraints in the use of </w:t>
      </w:r>
      <w:smartTag w:uri="urn:schemas-microsoft-com:office:smarttags" w:element="place">
        <w:r>
          <w:t>Darling River</w:t>
        </w:r>
      </w:smartTag>
      <w:r>
        <w:t xml:space="preserve"> water, such as equipment failure or quality issues such as algal blooms.</w:t>
      </w:r>
    </w:p>
    <w:p w:rsidR="00D924C5" w:rsidRDefault="00D924C5" w:rsidP="008551AF"/>
    <w:p w:rsidR="00C66AF3" w:rsidRPr="00EA4276" w:rsidRDefault="00C66AF3" w:rsidP="00C66AF3">
      <w:pPr>
        <w:rPr>
          <w:szCs w:val="22"/>
        </w:rPr>
      </w:pPr>
      <w:r w:rsidRPr="00EA4276">
        <w:rPr>
          <w:szCs w:val="22"/>
        </w:rPr>
        <w:t>An alternative MAR option would utilise bank filtration to enhance natural recharge. Costs associated with this option would be lower than ASR due to the reliance on natural filtration processes to treat the water</w:t>
      </w:r>
      <w:r w:rsidR="00B443B8">
        <w:rPr>
          <w:szCs w:val="22"/>
        </w:rPr>
        <w:t xml:space="preserve"> however</w:t>
      </w:r>
      <w:r w:rsidRPr="00EA4276">
        <w:rPr>
          <w:szCs w:val="22"/>
        </w:rPr>
        <w:t xml:space="preserve"> risks of negative environmental consequences are higher due to potential impacts on the overlying unconfined aquifer and groundwater dependent vegetation. Further aquifer testing and numerical groundwater modelling are required to evaluate this option fully. </w:t>
      </w:r>
    </w:p>
    <w:p w:rsidR="00D924C5" w:rsidRDefault="00D924C5" w:rsidP="00D924C5"/>
    <w:p w:rsidR="00C66AF3" w:rsidRPr="00EA4276" w:rsidRDefault="00C66AF3" w:rsidP="00C66AF3">
      <w:pPr>
        <w:tabs>
          <w:tab w:val="num" w:pos="2517"/>
        </w:tabs>
        <w:spacing w:before="60"/>
        <w:rPr>
          <w:szCs w:val="22"/>
        </w:rPr>
      </w:pPr>
      <w:r w:rsidRPr="00EA4276">
        <w:rPr>
          <w:szCs w:val="22"/>
        </w:rPr>
        <w:t xml:space="preserve">Overall, the conjunctive management of surface and groundwater involving MAR options would provide the greatest drought security for Broken Hill. MAR options are far superior to existing surface storage options, with security of supply of a known quantity of high and consistent water quality from underground storage. High recovery efficiencies will be obtained by injecting fresh surface water into areas of the </w:t>
      </w:r>
      <w:r w:rsidR="00C217F0">
        <w:rPr>
          <w:szCs w:val="22"/>
        </w:rPr>
        <w:t>Calivil Formation</w:t>
      </w:r>
      <w:r w:rsidRPr="00EA4276">
        <w:rPr>
          <w:szCs w:val="22"/>
        </w:rPr>
        <w:t xml:space="preserve"> containing low salinity groundwater. The ASR option would provide a significant buffer against future climate variability and change, deliver significant water savings, improve source water quality over </w:t>
      </w:r>
      <w:r w:rsidRPr="00EA4276">
        <w:rPr>
          <w:szCs w:val="22"/>
        </w:rPr>
        <w:lastRenderedPageBreak/>
        <w:t xml:space="preserve">time, have minimal environmental impact, preserve some local water amenities for community use, and enable key elements of the engineered </w:t>
      </w:r>
      <w:smartTag w:uri="urn:schemas-microsoft-com:office:smarttags" w:element="stockticker">
        <w:r w:rsidRPr="00EA4276">
          <w:rPr>
            <w:szCs w:val="22"/>
          </w:rPr>
          <w:t>MLS</w:t>
        </w:r>
      </w:smartTag>
      <w:r w:rsidRPr="00EA4276">
        <w:rPr>
          <w:szCs w:val="22"/>
        </w:rPr>
        <w:t xml:space="preserve"> to be returned to a more natural condition.</w:t>
      </w:r>
      <w:r>
        <w:rPr>
          <w:szCs w:val="22"/>
        </w:rPr>
        <w:t xml:space="preserve"> </w:t>
      </w:r>
    </w:p>
    <w:p w:rsidR="00C66AF3" w:rsidRDefault="00C66AF3" w:rsidP="002C1A40"/>
    <w:p w:rsidR="002C1A40" w:rsidRDefault="002C1A40" w:rsidP="002C1A40">
      <w:r>
        <w:t>Under this option, retention of some surface storage capacity is essential to supply water to Broken Hill at times of surplus, and to provide a reservoir for water prior to treatment and injection to the aquifer. Further design work is required to determine the surface storage volumes that would be retained in this option. Such an estimate is outside the scope of this study</w:t>
      </w:r>
      <w:r w:rsidR="00354E6D">
        <w:t>.</w:t>
      </w:r>
    </w:p>
    <w:p w:rsidR="00D924C5" w:rsidRPr="004C1FD2" w:rsidRDefault="00734B30" w:rsidP="00656729">
      <w:pPr>
        <w:spacing w:after="60"/>
        <w:jc w:val="center"/>
      </w:pPr>
      <w:r>
        <w:br w:type="page"/>
      </w:r>
      <w:r w:rsidR="00706A3B">
        <w:rPr>
          <w:noProof/>
          <w:szCs w:val="22"/>
        </w:rPr>
        <w:lastRenderedPageBreak/>
        <w:drawing>
          <wp:inline distT="0" distB="0" distL="0" distR="0" wp14:anchorId="5F5BC7BF" wp14:editId="5F0AE4D1">
            <wp:extent cx="4965700" cy="7757609"/>
            <wp:effectExtent l="19050" t="19050" r="25400" b="152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6308-2_MARPhases_updated_resampled"/>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965700" cy="7757609"/>
                    </a:xfrm>
                    <a:prstGeom prst="rect">
                      <a:avLst/>
                    </a:prstGeom>
                    <a:noFill/>
                    <a:ln w="6350" cmpd="sng">
                      <a:solidFill>
                        <a:srgbClr val="000000"/>
                      </a:solidFill>
                      <a:miter lim="800000"/>
                      <a:headEnd/>
                      <a:tailEnd/>
                    </a:ln>
                    <a:effectLst/>
                  </pic:spPr>
                </pic:pic>
              </a:graphicData>
            </a:graphic>
          </wp:inline>
        </w:drawing>
      </w:r>
    </w:p>
    <w:p w:rsidR="00D924C5" w:rsidRPr="007960BF" w:rsidRDefault="001741E7" w:rsidP="00EF07F3">
      <w:pPr>
        <w:pStyle w:val="Caption"/>
        <w:rPr>
          <w:i w:val="0"/>
          <w:szCs w:val="20"/>
        </w:rPr>
      </w:pPr>
      <w:bookmarkStart w:id="501" w:name="_Ref32570852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7</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501"/>
      <w:r>
        <w:rPr>
          <w:b/>
        </w:rPr>
        <w:t>.</w:t>
      </w:r>
      <w:r w:rsidR="00D924C5">
        <w:rPr>
          <w:i w:val="0"/>
          <w:szCs w:val="20"/>
        </w:rPr>
        <w:t xml:space="preserve"> </w:t>
      </w:r>
      <w:r w:rsidR="00D924C5" w:rsidRPr="00EF07F3">
        <w:rPr>
          <w:szCs w:val="20"/>
        </w:rPr>
        <w:t xml:space="preserve">Conjunctive water management approach integrating existing </w:t>
      </w:r>
      <w:smartTag w:uri="urn:schemas-microsoft-com:office:smarttags" w:element="place">
        <w:smartTag w:uri="urn:schemas-microsoft-com:office:smarttags" w:element="PlaceName">
          <w:r w:rsidR="007D1583">
            <w:rPr>
              <w:szCs w:val="20"/>
            </w:rPr>
            <w:t>Menindee</w:t>
          </w:r>
        </w:smartTag>
        <w:r w:rsidR="007D1583">
          <w:rPr>
            <w:szCs w:val="20"/>
          </w:rPr>
          <w:t xml:space="preserve"> </w:t>
        </w:r>
        <w:smartTag w:uri="urn:schemas-microsoft-com:office:smarttags" w:element="PlaceType">
          <w:r w:rsidR="007D1583">
            <w:rPr>
              <w:szCs w:val="20"/>
            </w:rPr>
            <w:t>Lakes</w:t>
          </w:r>
        </w:smartTag>
      </w:smartTag>
      <w:r w:rsidR="00D924C5" w:rsidRPr="00EF07F3">
        <w:rPr>
          <w:szCs w:val="20"/>
        </w:rPr>
        <w:t xml:space="preserve"> surface storages with additional aquifer storage.</w:t>
      </w:r>
      <w:r w:rsidR="00BE08AB" w:rsidRPr="007960BF">
        <w:rPr>
          <w:bCs w:val="0"/>
          <w:i w:val="0"/>
        </w:rPr>
        <w:fldChar w:fldCharType="begin"/>
      </w:r>
      <w:r w:rsidR="00BE08AB" w:rsidRPr="007960BF">
        <w:rPr>
          <w:bCs w:val="0"/>
          <w:i w:val="0"/>
        </w:rPr>
        <w:instrText xml:space="preserve"> TC "</w:instrText>
      </w:r>
      <w:bookmarkStart w:id="502" w:name="_Toc325975234"/>
      <w:bookmarkStart w:id="503" w:name="_Toc390690251"/>
      <w:r w:rsidR="00AA7E88" w:rsidRPr="007960BF">
        <w:rPr>
          <w:bCs w:val="0"/>
          <w:i w:val="0"/>
        </w:rPr>
        <w:instrText xml:space="preserve">Figure </w:instrText>
      </w:r>
      <w:r w:rsidR="000D653B">
        <w:rPr>
          <w:bCs w:val="0"/>
          <w:i w:val="0"/>
        </w:rPr>
        <w:instrText>7-1</w:instrText>
      </w:r>
      <w:r w:rsidR="00DE0DFA">
        <w:rPr>
          <w:bCs w:val="0"/>
          <w:i w:val="0"/>
        </w:rPr>
        <w:instrText>.</w:instrText>
      </w:r>
      <w:r w:rsidR="00BE08AB" w:rsidRPr="007960BF">
        <w:rPr>
          <w:bCs w:val="0"/>
          <w:i w:val="0"/>
        </w:rPr>
        <w:instrText xml:space="preserve"> </w:instrText>
      </w:r>
      <w:r w:rsidR="004F730A" w:rsidRPr="007960BF">
        <w:rPr>
          <w:i w:val="0"/>
          <w:szCs w:val="20"/>
        </w:rPr>
        <w:instrText xml:space="preserve">Conjunctive water management approach integrating existing </w:instrText>
      </w:r>
      <w:smartTag w:uri="urn:schemas-microsoft-com:office:smarttags" w:element="PlaceName">
        <w:r w:rsidR="007D1583">
          <w:rPr>
            <w:i w:val="0"/>
            <w:szCs w:val="20"/>
          </w:rPr>
          <w:instrText>Menindee</w:instrText>
        </w:r>
      </w:smartTag>
      <w:r w:rsidR="007D1583">
        <w:rPr>
          <w:i w:val="0"/>
          <w:szCs w:val="20"/>
        </w:rPr>
        <w:instrText xml:space="preserve"> </w:instrText>
      </w:r>
      <w:smartTag w:uri="urn:schemas-microsoft-com:office:smarttags" w:element="PlaceType">
        <w:r w:rsidR="007D1583">
          <w:rPr>
            <w:i w:val="0"/>
            <w:szCs w:val="20"/>
          </w:rPr>
          <w:instrText>Lakes</w:instrText>
        </w:r>
      </w:smartTag>
      <w:r w:rsidR="004F730A" w:rsidRPr="007960BF">
        <w:rPr>
          <w:i w:val="0"/>
          <w:szCs w:val="20"/>
        </w:rPr>
        <w:instrText xml:space="preserve"> surface storages with additional aquifer storage</w:instrText>
      </w:r>
      <w:bookmarkEnd w:id="502"/>
      <w:r w:rsidR="003721DD">
        <w:rPr>
          <w:bCs w:val="0"/>
          <w:i w:val="0"/>
        </w:rPr>
        <w:instrText>.</w:instrText>
      </w:r>
      <w:bookmarkEnd w:id="503"/>
      <w:r w:rsidR="00BE08AB" w:rsidRPr="007960BF">
        <w:rPr>
          <w:bCs w:val="0"/>
          <w:i w:val="0"/>
        </w:rPr>
        <w:instrText xml:space="preserve">" \f A \l “4” </w:instrText>
      </w:r>
      <w:r w:rsidR="00BE08AB" w:rsidRPr="007960BF">
        <w:rPr>
          <w:bCs w:val="0"/>
          <w:i w:val="0"/>
        </w:rPr>
        <w:fldChar w:fldCharType="end"/>
      </w:r>
    </w:p>
    <w:p w:rsidR="00D924C5" w:rsidRDefault="00D67561" w:rsidP="00021090">
      <w:pPr>
        <w:pStyle w:val="Heading2"/>
        <w:tabs>
          <w:tab w:val="left" w:pos="720"/>
        </w:tabs>
        <w:spacing w:before="320"/>
      </w:pPr>
      <w:bookmarkStart w:id="504" w:name="_Toc325700123"/>
      <w:bookmarkStart w:id="505" w:name="_Toc325700466"/>
      <w:bookmarkStart w:id="506" w:name="_Toc325975148"/>
      <w:r>
        <w:br w:type="page"/>
      </w:r>
      <w:bookmarkStart w:id="507" w:name="_Toc390690141"/>
      <w:r w:rsidR="00D924C5">
        <w:lastRenderedPageBreak/>
        <w:t>Water Quality Benefits</w:t>
      </w:r>
      <w:r w:rsidR="00C6655F">
        <w:t xml:space="preserve"> from a C</w:t>
      </w:r>
      <w:r w:rsidR="00C66AF3">
        <w:t xml:space="preserve">onjunctive </w:t>
      </w:r>
      <w:r w:rsidR="00C6655F">
        <w:t>A</w:t>
      </w:r>
      <w:r w:rsidR="00C66AF3">
        <w:t>pproach</w:t>
      </w:r>
      <w:bookmarkEnd w:id="504"/>
      <w:bookmarkEnd w:id="505"/>
      <w:bookmarkEnd w:id="506"/>
      <w:bookmarkEnd w:id="507"/>
    </w:p>
    <w:p w:rsidR="00D924C5" w:rsidRDefault="00D924C5" w:rsidP="00795774">
      <w:pPr>
        <w:keepNext/>
        <w:rPr>
          <w:szCs w:val="22"/>
        </w:rPr>
      </w:pPr>
      <w:r>
        <w:rPr>
          <w:szCs w:val="22"/>
        </w:rPr>
        <w:t xml:space="preserve">A conjunctive approach may improve source water quality for the Broken Hill supply. At </w:t>
      </w:r>
      <w:r w:rsidR="00C217F0">
        <w:rPr>
          <w:szCs w:val="22"/>
        </w:rPr>
        <w:t>Menindee</w:t>
      </w:r>
      <w:r>
        <w:rPr>
          <w:szCs w:val="22"/>
        </w:rPr>
        <w:t xml:space="preserve">, the current supply accesses the </w:t>
      </w:r>
      <w:smartTag w:uri="urn:schemas-microsoft-com:office:smarttags" w:element="place">
        <w:r>
          <w:rPr>
            <w:szCs w:val="22"/>
          </w:rPr>
          <w:t>Darling River</w:t>
        </w:r>
      </w:smartTag>
      <w:r>
        <w:rPr>
          <w:szCs w:val="22"/>
        </w:rPr>
        <w:t xml:space="preserve"> from the pool formed by Weir 32. Hence,</w:t>
      </w:r>
      <w:r w:rsidRPr="007C6DCA">
        <w:rPr>
          <w:szCs w:val="22"/>
        </w:rPr>
        <w:t xml:space="preserve"> </w:t>
      </w:r>
      <w:r>
        <w:rPr>
          <w:szCs w:val="22"/>
        </w:rPr>
        <w:t xml:space="preserve">the river monitoring at Weir 32 shows how source water quality changes </w:t>
      </w:r>
      <w:r w:rsidRPr="00795774">
        <w:rPr>
          <w:szCs w:val="22"/>
        </w:rPr>
        <w:t>through time</w:t>
      </w:r>
      <w:r w:rsidRPr="00795774">
        <w:t xml:space="preserve">. </w:t>
      </w:r>
      <w:r w:rsidR="00DB12CD" w:rsidRPr="00795774">
        <w:fldChar w:fldCharType="begin"/>
      </w:r>
      <w:r w:rsidR="00DB12CD" w:rsidRPr="00795774">
        <w:instrText xml:space="preserve"> REF _Ref325708552 \h </w:instrText>
      </w:r>
      <w:r w:rsidR="00795774" w:rsidRPr="00795774">
        <w:instrText xml:space="preserve"> \* MERGEFORMAT </w:instrText>
      </w:r>
      <w:r w:rsidR="00DB12CD" w:rsidRPr="00795774">
        <w:fldChar w:fldCharType="separate"/>
      </w:r>
      <w:r w:rsidR="00966532" w:rsidRPr="00966532">
        <w:t xml:space="preserve">Figure </w:t>
      </w:r>
      <w:r w:rsidR="00966532" w:rsidRPr="00966532">
        <w:rPr>
          <w:noProof/>
        </w:rPr>
        <w:t>7</w:t>
      </w:r>
      <w:r w:rsidR="00966532" w:rsidRPr="00966532">
        <w:rPr>
          <w:noProof/>
        </w:rPr>
        <w:noBreakHyphen/>
        <w:t>2</w:t>
      </w:r>
      <w:r w:rsidR="00DB12CD" w:rsidRPr="00795774">
        <w:fldChar w:fldCharType="end"/>
      </w:r>
      <w:r w:rsidR="00DB12CD" w:rsidRPr="00795774">
        <w:t xml:space="preserve"> </w:t>
      </w:r>
      <w:r w:rsidRPr="00795774">
        <w:t>plots</w:t>
      </w:r>
      <w:r>
        <w:rPr>
          <w:szCs w:val="22"/>
        </w:rPr>
        <w:t xml:space="preserve"> the fluctuations in river flow and salinity (expressed as electrical conductivity or EC) for about 18 years commencing from 1992. </w:t>
      </w:r>
      <w:r w:rsidR="00E1471C">
        <w:rPr>
          <w:szCs w:val="22"/>
        </w:rPr>
        <w:t xml:space="preserve">Raw data is also available </w:t>
      </w:r>
      <w:r w:rsidR="009A0250">
        <w:rPr>
          <w:szCs w:val="22"/>
        </w:rPr>
        <w:t>in</w:t>
      </w:r>
      <w:r w:rsidR="00E1471C">
        <w:rPr>
          <w:szCs w:val="22"/>
        </w:rPr>
        <w:t xml:space="preserve"> </w:t>
      </w:r>
      <w:r w:rsidR="001C23A9">
        <w:rPr>
          <w:szCs w:val="22"/>
        </w:rPr>
        <w:t>Appendix 6 (</w:t>
      </w:r>
      <w:r w:rsidR="00E1471C">
        <w:rPr>
          <w:szCs w:val="22"/>
        </w:rPr>
        <w:t>Somerville</w:t>
      </w:r>
      <w:r w:rsidR="008A5F7D" w:rsidRPr="00CF7613">
        <w:rPr>
          <w:rStyle w:val="StyleItalic"/>
        </w:rPr>
        <w:t xml:space="preserve"> et al</w:t>
      </w:r>
      <w:r w:rsidR="00E1471C">
        <w:rPr>
          <w:szCs w:val="22"/>
        </w:rPr>
        <w:t>.</w:t>
      </w:r>
      <w:r w:rsidR="001C23A9">
        <w:rPr>
          <w:szCs w:val="22"/>
        </w:rPr>
        <w:t>,</w:t>
      </w:r>
      <w:r w:rsidR="00E1471C">
        <w:rPr>
          <w:szCs w:val="22"/>
        </w:rPr>
        <w:t xml:space="preserve"> 2012). </w:t>
      </w:r>
      <w:r>
        <w:rPr>
          <w:szCs w:val="22"/>
        </w:rPr>
        <w:t xml:space="preserve">Note the negative correlation between river flow (blue line) and EC (red line). This shows the dramatic impact low flows associated with extended drought between 2002 and 2010 had on river water quality. For 555 days in 2002-2004 and for 362 days in 2006-2008, the weir pool salinity exceeded what the </w:t>
      </w:r>
      <w:r w:rsidR="001C23A9">
        <w:rPr>
          <w:szCs w:val="22"/>
        </w:rPr>
        <w:t>ADWG2011</w:t>
      </w:r>
      <w:r>
        <w:rPr>
          <w:szCs w:val="22"/>
        </w:rPr>
        <w:t xml:space="preserve"> guidelines would consider as </w:t>
      </w:r>
      <w:r w:rsidR="00FE05F2">
        <w:rPr>
          <w:szCs w:val="22"/>
        </w:rPr>
        <w:t>‘</w:t>
      </w:r>
      <w:r>
        <w:rPr>
          <w:szCs w:val="22"/>
        </w:rPr>
        <w:t>good</w:t>
      </w:r>
      <w:r w:rsidR="00FE05F2">
        <w:rPr>
          <w:szCs w:val="22"/>
        </w:rPr>
        <w:t>’</w:t>
      </w:r>
      <w:r>
        <w:rPr>
          <w:szCs w:val="22"/>
        </w:rPr>
        <w:t xml:space="preserve"> quality water. For 182 days in 2002-2004, the weir pool salinity would have been deemed as </w:t>
      </w:r>
      <w:r w:rsidR="00FE05F2">
        <w:rPr>
          <w:szCs w:val="22"/>
        </w:rPr>
        <w:t>‘</w:t>
      </w:r>
      <w:r>
        <w:rPr>
          <w:szCs w:val="22"/>
        </w:rPr>
        <w:t>unacceptable</w:t>
      </w:r>
      <w:r w:rsidR="00FE05F2">
        <w:rPr>
          <w:szCs w:val="22"/>
        </w:rPr>
        <w:t>’</w:t>
      </w:r>
      <w:r>
        <w:rPr>
          <w:szCs w:val="22"/>
        </w:rPr>
        <w:t xml:space="preserve"> under the A</w:t>
      </w:r>
      <w:r w:rsidR="001C23A9">
        <w:rPr>
          <w:szCs w:val="22"/>
        </w:rPr>
        <w:t>DWG2011</w:t>
      </w:r>
      <w:r>
        <w:rPr>
          <w:szCs w:val="22"/>
        </w:rPr>
        <w:t xml:space="preserve">. </w:t>
      </w:r>
    </w:p>
    <w:p w:rsidR="00B32F4D" w:rsidRDefault="00B32F4D" w:rsidP="00B32F4D">
      <w:pPr>
        <w:rPr>
          <w:szCs w:val="22"/>
        </w:rPr>
      </w:pPr>
    </w:p>
    <w:p w:rsidR="00B32F4D" w:rsidRDefault="00B32F4D" w:rsidP="00B32F4D">
      <w:pPr>
        <w:rPr>
          <w:szCs w:val="22"/>
        </w:rPr>
      </w:pPr>
      <w:r w:rsidRPr="00795774">
        <w:fldChar w:fldCharType="begin"/>
      </w:r>
      <w:r w:rsidRPr="00795774">
        <w:instrText xml:space="preserve"> REF _Ref325708560 \h  \* MERGEFORMAT </w:instrText>
      </w:r>
      <w:r w:rsidRPr="00795774">
        <w:fldChar w:fldCharType="separate"/>
      </w:r>
      <w:r w:rsidR="00966532" w:rsidRPr="00966532">
        <w:t xml:space="preserve">Figure </w:t>
      </w:r>
      <w:r w:rsidR="00966532" w:rsidRPr="00966532">
        <w:rPr>
          <w:noProof/>
        </w:rPr>
        <w:t>7</w:t>
      </w:r>
      <w:r w:rsidR="00966532" w:rsidRPr="00966532">
        <w:rPr>
          <w:noProof/>
        </w:rPr>
        <w:noBreakHyphen/>
        <w:t>3</w:t>
      </w:r>
      <w:r w:rsidRPr="00795774">
        <w:fldChar w:fldCharType="end"/>
      </w:r>
      <w:r w:rsidRPr="00795774">
        <w:t xml:space="preserve"> is </w:t>
      </w:r>
      <w:r w:rsidRPr="00795774">
        <w:rPr>
          <w:szCs w:val="22"/>
        </w:rPr>
        <w:t>a salinity</w:t>
      </w:r>
      <w:r>
        <w:rPr>
          <w:szCs w:val="22"/>
        </w:rPr>
        <w:t xml:space="preserve"> exceedance curve which expresses this monitoring data between 1992–and 2010 in a different way. This graph indicates the percentage of time different EC values were exceeded in the </w:t>
      </w:r>
      <w:smartTag w:uri="urn:schemas-microsoft-com:office:smarttags" w:element="place">
        <w:r>
          <w:rPr>
            <w:szCs w:val="22"/>
          </w:rPr>
          <w:t>Darling River</w:t>
        </w:r>
      </w:smartTag>
      <w:r>
        <w:rPr>
          <w:szCs w:val="22"/>
        </w:rPr>
        <w:t xml:space="preserve"> at Weir 32. Both the </w:t>
      </w:r>
      <w:r w:rsidR="00FE05F2">
        <w:rPr>
          <w:szCs w:val="22"/>
        </w:rPr>
        <w:t>‘</w:t>
      </w:r>
      <w:r>
        <w:rPr>
          <w:szCs w:val="22"/>
        </w:rPr>
        <w:t>good</w:t>
      </w:r>
      <w:r w:rsidR="00FE05F2">
        <w:rPr>
          <w:szCs w:val="22"/>
        </w:rPr>
        <w:t>’</w:t>
      </w:r>
      <w:r>
        <w:rPr>
          <w:szCs w:val="22"/>
        </w:rPr>
        <w:t xml:space="preserve"> (600 mg/L or 920 EC) and “unacceptable” (1200 mg/L or 1850 EC) ADWG</w:t>
      </w:r>
      <w:r w:rsidR="00B81A6B">
        <w:rPr>
          <w:szCs w:val="22"/>
        </w:rPr>
        <w:t>2011</w:t>
      </w:r>
      <w:r>
        <w:rPr>
          <w:szCs w:val="22"/>
        </w:rPr>
        <w:t xml:space="preserve"> salinity thresholds are shown. The exceedance curve shows that for the 1992</w:t>
      </w:r>
      <w:r w:rsidR="007C45E4">
        <w:rPr>
          <w:szCs w:val="22"/>
        </w:rPr>
        <w:t xml:space="preserve"> to </w:t>
      </w:r>
      <w:r>
        <w:rPr>
          <w:szCs w:val="22"/>
        </w:rPr>
        <w:t>2010 period, the water quality at Weir 32, used as source water for Broken Hill, exceeded the salinity standard for good quality water for about 14 % of the time. Likewise, for about 3 % of the time, salinity levels would have been deemed unacceptable by A</w:t>
      </w:r>
      <w:r w:rsidR="001C23A9">
        <w:rPr>
          <w:szCs w:val="22"/>
        </w:rPr>
        <w:t>DWG2011</w:t>
      </w:r>
      <w:r>
        <w:rPr>
          <w:szCs w:val="22"/>
        </w:rPr>
        <w:t xml:space="preserve">. </w:t>
      </w:r>
    </w:p>
    <w:p w:rsidR="00B32F4D" w:rsidRDefault="00B32F4D" w:rsidP="00B32F4D"/>
    <w:p w:rsidR="00B32F4D" w:rsidRDefault="00B32F4D" w:rsidP="00B32F4D">
      <w:pPr>
        <w:rPr>
          <w:szCs w:val="22"/>
        </w:rPr>
      </w:pPr>
      <w:r>
        <w:rPr>
          <w:szCs w:val="22"/>
        </w:rPr>
        <w:t xml:space="preserve">The plot of historic river flow and salinity data at </w:t>
      </w:r>
      <w:r w:rsidRPr="00795774">
        <w:rPr>
          <w:szCs w:val="22"/>
        </w:rPr>
        <w:t xml:space="preserve">Weir </w:t>
      </w:r>
      <w:r w:rsidRPr="00795774">
        <w:t>32 (</w:t>
      </w:r>
      <w:r w:rsidRPr="00795774">
        <w:fldChar w:fldCharType="begin"/>
      </w:r>
      <w:r w:rsidRPr="00795774">
        <w:instrText xml:space="preserve"> REF _Ref325708552 \h  \* MERGEFORMAT </w:instrText>
      </w:r>
      <w:r w:rsidRPr="00795774">
        <w:fldChar w:fldCharType="separate"/>
      </w:r>
      <w:r w:rsidR="00966532" w:rsidRPr="00966532">
        <w:t xml:space="preserve">Figure </w:t>
      </w:r>
      <w:r w:rsidR="00966532" w:rsidRPr="00966532">
        <w:rPr>
          <w:noProof/>
        </w:rPr>
        <w:t>7</w:t>
      </w:r>
      <w:r w:rsidR="00966532" w:rsidRPr="00966532">
        <w:rPr>
          <w:noProof/>
        </w:rPr>
        <w:noBreakHyphen/>
        <w:t>2</w:t>
      </w:r>
      <w:r w:rsidRPr="00795774">
        <w:fldChar w:fldCharType="end"/>
      </w:r>
      <w:r w:rsidRPr="00795774">
        <w:t xml:space="preserve">) shows in </w:t>
      </w:r>
      <w:r w:rsidRPr="00795774">
        <w:rPr>
          <w:szCs w:val="22"/>
        </w:rPr>
        <w:t xml:space="preserve">general, river (source) salinity increases as river flow diminishes. A conjunctive approach would largely circumvent this situation and provide a water quality benefit. During favourable conditions, when river flows are high and salinity levels are low, </w:t>
      </w:r>
      <w:smartTag w:uri="urn:schemas-microsoft-com:office:smarttags" w:element="place">
        <w:r w:rsidRPr="00795774">
          <w:rPr>
            <w:szCs w:val="22"/>
          </w:rPr>
          <w:t>Darling River</w:t>
        </w:r>
      </w:smartTag>
      <w:r w:rsidRPr="00795774">
        <w:rPr>
          <w:szCs w:val="22"/>
        </w:rPr>
        <w:t xml:space="preserve"> water could be treated and injected into the aquifer to secure a drought reserve. During such favourable conditions, the Broken Hill water supply would be sourced from Darling River flow augmented by releases from </w:t>
      </w:r>
      <w:r>
        <w:rPr>
          <w:szCs w:val="22"/>
        </w:rPr>
        <w:t xml:space="preserve">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sidRPr="00795774">
        <w:rPr>
          <w:szCs w:val="22"/>
        </w:rPr>
        <w:t xml:space="preserve"> storages, as is the current situation. The quality of the injected river water is dependent on the duration (and volume) of injection. For </w:t>
      </w:r>
      <w:r w:rsidRPr="00795774">
        <w:t xml:space="preserve">example, </w:t>
      </w:r>
      <w:r w:rsidRPr="00E1471C">
        <w:fldChar w:fldCharType="begin"/>
      </w:r>
      <w:r w:rsidRPr="00E1471C">
        <w:instrText xml:space="preserve"> REF _Ref325708560 \h  \* MERGEFORMAT </w:instrText>
      </w:r>
      <w:r w:rsidRPr="00E1471C">
        <w:fldChar w:fldCharType="separate"/>
      </w:r>
      <w:r w:rsidR="00966532" w:rsidRPr="00966532">
        <w:t xml:space="preserve">Figure </w:t>
      </w:r>
      <w:r w:rsidR="00966532" w:rsidRPr="00966532">
        <w:rPr>
          <w:noProof/>
        </w:rPr>
        <w:t>7</w:t>
      </w:r>
      <w:r w:rsidR="00966532" w:rsidRPr="00966532">
        <w:rPr>
          <w:noProof/>
        </w:rPr>
        <w:noBreakHyphen/>
        <w:t>3</w:t>
      </w:r>
      <w:r w:rsidRPr="00E1471C">
        <w:fldChar w:fldCharType="end"/>
      </w:r>
      <w:r w:rsidRPr="00E1471C">
        <w:t xml:space="preserve"> </w:t>
      </w:r>
      <w:r w:rsidRPr="00E1471C">
        <w:rPr>
          <w:szCs w:val="22"/>
        </w:rPr>
        <w:t>i</w:t>
      </w:r>
      <w:r w:rsidRPr="00795774">
        <w:rPr>
          <w:szCs w:val="22"/>
        </w:rPr>
        <w:t xml:space="preserve">ndicates that if injection was required to occur 50 % of the time then the average salinity levels of the injected water would be about 485 EC. </w:t>
      </w:r>
      <w:r w:rsidRPr="00795774">
        <w:t xml:space="preserve">In </w:t>
      </w:r>
      <w:r w:rsidRPr="00795774">
        <w:fldChar w:fldCharType="begin"/>
      </w:r>
      <w:r w:rsidRPr="00795774">
        <w:instrText xml:space="preserve"> REF _Ref325708560 \h  \* MERGEFORMAT </w:instrText>
      </w:r>
      <w:r w:rsidRPr="00795774">
        <w:fldChar w:fldCharType="separate"/>
      </w:r>
      <w:r w:rsidR="00966532" w:rsidRPr="00966532">
        <w:t xml:space="preserve">Figure </w:t>
      </w:r>
      <w:r w:rsidR="00966532" w:rsidRPr="00966532">
        <w:rPr>
          <w:noProof/>
        </w:rPr>
        <w:t>7</w:t>
      </w:r>
      <w:r w:rsidR="00966532" w:rsidRPr="00966532">
        <w:rPr>
          <w:noProof/>
        </w:rPr>
        <w:noBreakHyphen/>
        <w:t>3</w:t>
      </w:r>
      <w:r w:rsidRPr="00795774">
        <w:fldChar w:fldCharType="end"/>
      </w:r>
      <w:r w:rsidRPr="00795774">
        <w:t xml:space="preserve">, the </w:t>
      </w:r>
      <w:r w:rsidRPr="00795774">
        <w:rPr>
          <w:szCs w:val="22"/>
        </w:rPr>
        <w:t>80</w:t>
      </w:r>
      <w:r>
        <w:rPr>
          <w:szCs w:val="22"/>
        </w:rPr>
        <w:t xml:space="preserve"> </w:t>
      </w:r>
      <w:r w:rsidRPr="00795774">
        <w:rPr>
          <w:szCs w:val="22"/>
        </w:rPr>
        <w:t>% exceedance value is about 340 EC – this means that river salinity</w:t>
      </w:r>
      <w:r>
        <w:rPr>
          <w:szCs w:val="22"/>
        </w:rPr>
        <w:t xml:space="preserve"> exceeds this value for 80 % of the time. It also means that if injection could be limited to 20 % of the time during favourable river conditions than the salinity of the injected water would be more like 340EC.</w:t>
      </w:r>
    </w:p>
    <w:p w:rsidR="00B32F4D" w:rsidRDefault="00B32F4D" w:rsidP="00D924C5">
      <w:pPr>
        <w:rPr>
          <w:szCs w:val="22"/>
        </w:rPr>
      </w:pPr>
    </w:p>
    <w:p w:rsidR="00B32F4D" w:rsidRDefault="00B32F4D" w:rsidP="00B32F4D">
      <w:r>
        <w:rPr>
          <w:szCs w:val="22"/>
        </w:rPr>
        <w:t xml:space="preserve">During less favourable conditions, when river flows are low and river salinity levels are high, Broken Hill water supply could be switched over to a MAR recovery scheme, utilising the water in aquifer storage. As a consequence, less source water would be directly extracted from the </w:t>
      </w:r>
      <w:smartTag w:uri="urn:schemas-microsoft-com:office:smarttags" w:element="place">
        <w:r>
          <w:rPr>
            <w:szCs w:val="22"/>
          </w:rPr>
          <w:t>Darling River</w:t>
        </w:r>
      </w:smartTag>
      <w:r>
        <w:rPr>
          <w:szCs w:val="22"/>
        </w:rPr>
        <w:t xml:space="preserve"> during droughts, and thus not further contribute to decreases in river flow. The same principle can be used to </w:t>
      </w:r>
      <w:r w:rsidR="007C45E4">
        <w:rPr>
          <w:szCs w:val="22"/>
        </w:rPr>
        <w:t>mitigate</w:t>
      </w:r>
      <w:r>
        <w:rPr>
          <w:szCs w:val="22"/>
        </w:rPr>
        <w:t xml:space="preserve"> against other water quality issues (such as algal blooms) which may prevail in the </w:t>
      </w:r>
      <w:smartTag w:uri="urn:schemas-microsoft-com:office:smarttags" w:element="place">
        <w:r>
          <w:rPr>
            <w:szCs w:val="22"/>
          </w:rPr>
          <w:t>Darling River</w:t>
        </w:r>
      </w:smartTag>
      <w:r>
        <w:rPr>
          <w:szCs w:val="22"/>
        </w:rPr>
        <w:t xml:space="preserve">. Aquifer injection could be scheduled when the overall quality of the Darling River source water is good, with aquifer storage available if the </w:t>
      </w:r>
      <w:smartTag w:uri="urn:schemas-microsoft-com:office:smarttags" w:element="place">
        <w:r>
          <w:rPr>
            <w:szCs w:val="22"/>
          </w:rPr>
          <w:t>Darling River</w:t>
        </w:r>
      </w:smartTag>
      <w:r>
        <w:rPr>
          <w:szCs w:val="22"/>
        </w:rPr>
        <w:t xml:space="preserve"> source water is deemed unacceptable. </w:t>
      </w:r>
      <w:r w:rsidRPr="00755C27">
        <w:rPr>
          <w:szCs w:val="22"/>
        </w:rPr>
        <w:t xml:space="preserve">Hence, contingent on recovery efficiencies, this would suggest that a conjunctive </w:t>
      </w:r>
      <w:smartTag w:uri="urn:schemas-microsoft-com:office:smarttags" w:element="stockticker">
        <w:r w:rsidRPr="00755C27">
          <w:rPr>
            <w:szCs w:val="22"/>
          </w:rPr>
          <w:t>MAR</w:t>
        </w:r>
      </w:smartTag>
      <w:r w:rsidRPr="00755C27">
        <w:rPr>
          <w:szCs w:val="22"/>
        </w:rPr>
        <w:t xml:space="preserve"> scheme would provide significant water quality outcomes from a source wate</w:t>
      </w:r>
      <w:r>
        <w:rPr>
          <w:szCs w:val="22"/>
        </w:rPr>
        <w:t xml:space="preserve">r salinity perspective, especially when compared with the existing surface water options used during drought periods. </w:t>
      </w:r>
    </w:p>
    <w:p w:rsidR="00B32F4D" w:rsidRDefault="00B32F4D" w:rsidP="00D924C5">
      <w:pPr>
        <w:rPr>
          <w:szCs w:val="22"/>
        </w:rPr>
      </w:pPr>
    </w:p>
    <w:p w:rsidR="00B32F4D" w:rsidRDefault="00B32F4D" w:rsidP="00D924C5">
      <w:pPr>
        <w:rPr>
          <w:szCs w:val="22"/>
        </w:rPr>
        <w:sectPr w:rsidR="00B32F4D" w:rsidSect="00C6706D">
          <w:pgSz w:w="11906" w:h="16838" w:code="9"/>
          <w:pgMar w:top="1134" w:right="1134" w:bottom="1134" w:left="1134" w:header="709" w:footer="709" w:gutter="0"/>
          <w:cols w:space="708"/>
          <w:docGrid w:linePitch="360"/>
        </w:sectPr>
      </w:pPr>
    </w:p>
    <w:p w:rsidR="00B32F4D" w:rsidRPr="009F6DD9" w:rsidRDefault="00B32F4D" w:rsidP="00D924C5">
      <w:pPr>
        <w:rPr>
          <w:szCs w:val="22"/>
        </w:rPr>
      </w:pPr>
    </w:p>
    <w:p w:rsidR="00D924C5" w:rsidRDefault="00706A3B" w:rsidP="00656729">
      <w:pPr>
        <w:spacing w:after="60"/>
        <w:jc w:val="center"/>
      </w:pPr>
      <w:r>
        <w:rPr>
          <w:noProof/>
        </w:rPr>
        <w:drawing>
          <wp:inline distT="0" distB="0" distL="0" distR="0" wp14:anchorId="3FF91E7C" wp14:editId="53135EDA">
            <wp:extent cx="9133205" cy="3051810"/>
            <wp:effectExtent l="19050" t="1905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33205" cy="3051810"/>
                    </a:xfrm>
                    <a:prstGeom prst="rect">
                      <a:avLst/>
                    </a:prstGeom>
                    <a:noFill/>
                    <a:ln w="6350" cmpd="sng">
                      <a:solidFill>
                        <a:srgbClr val="000000"/>
                      </a:solidFill>
                      <a:miter lim="800000"/>
                      <a:headEnd/>
                      <a:tailEnd/>
                    </a:ln>
                    <a:effectLst/>
                  </pic:spPr>
                </pic:pic>
              </a:graphicData>
            </a:graphic>
          </wp:inline>
        </w:drawing>
      </w:r>
    </w:p>
    <w:p w:rsidR="00D924C5" w:rsidRDefault="001741E7" w:rsidP="0067778F">
      <w:pPr>
        <w:pStyle w:val="Caption"/>
        <w:tabs>
          <w:tab w:val="left" w:pos="8100"/>
        </w:tabs>
        <w:rPr>
          <w:bCs w:val="0"/>
          <w:i w:val="0"/>
        </w:rPr>
      </w:pPr>
      <w:bookmarkStart w:id="508" w:name="_Ref32570855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7</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508"/>
      <w:r>
        <w:rPr>
          <w:b/>
        </w:rPr>
        <w:t xml:space="preserve">. </w:t>
      </w:r>
      <w:r w:rsidR="00D924C5" w:rsidRPr="00EF07F3">
        <w:t xml:space="preserve">Time series of flow and salinity (measured as electrical conductivity or EC) of the </w:t>
      </w:r>
      <w:smartTag w:uri="urn:schemas-microsoft-com:office:smarttags" w:element="place">
        <w:r w:rsidR="00D924C5" w:rsidRPr="00EF07F3">
          <w:t>Darling River</w:t>
        </w:r>
      </w:smartTag>
      <w:r w:rsidR="00D924C5" w:rsidRPr="00EF07F3">
        <w:t xml:space="preserve"> at the Weir 32 gauging station. (Data source: </w:t>
      </w:r>
      <w:smartTag w:uri="urn:schemas-microsoft-com:office:smarttags" w:element="place">
        <w:smartTag w:uri="urn:schemas-microsoft-com:office:smarttags" w:element="PlaceName">
          <w:r w:rsidR="00D924C5" w:rsidRPr="00EF07F3">
            <w:t>Murray</w:t>
          </w:r>
        </w:smartTag>
        <w:r w:rsidR="00D924C5" w:rsidRPr="00EF07F3">
          <w:t xml:space="preserve"> </w:t>
        </w:r>
        <w:smartTag w:uri="urn:schemas-microsoft-com:office:smarttags" w:element="PlaceName">
          <w:r w:rsidR="00D924C5" w:rsidRPr="00EF07F3">
            <w:t>Darling</w:t>
          </w:r>
        </w:smartTag>
        <w:r w:rsidR="00D924C5" w:rsidRPr="00EF07F3">
          <w:t xml:space="preserve"> </w:t>
        </w:r>
        <w:smartTag w:uri="urn:schemas-microsoft-com:office:smarttags" w:element="PlaceType">
          <w:r w:rsidR="00D924C5" w:rsidRPr="00EF07F3">
            <w:t>Basin</w:t>
          </w:r>
        </w:smartTag>
      </w:smartTag>
      <w:r w:rsidR="00D924C5" w:rsidRPr="00EF07F3">
        <w:t xml:space="preserve"> Authority). The Australian drinking water threshold for what is considered good quality (600 mg/L or 920 </w:t>
      </w:r>
      <w:r w:rsidR="00935679">
        <w:t>µS/cm</w:t>
      </w:r>
      <w:r w:rsidR="00D924C5" w:rsidRPr="00EF07F3">
        <w:t xml:space="preserve">) is shown as a green line. Salinity levels above the orange line (1200 mg/L or 1850 </w:t>
      </w:r>
      <w:r w:rsidR="00935679">
        <w:t>µS/cm</w:t>
      </w:r>
      <w:r w:rsidR="00D924C5" w:rsidRPr="00EF07F3">
        <w:t>) would be considered unacceptable under the Australian drinking water guidelines</w:t>
      </w:r>
      <w:r w:rsidR="00EF07F3">
        <w:t>.</w:t>
      </w:r>
      <w:r w:rsidR="00395AD1" w:rsidRPr="00395AD1">
        <w:rPr>
          <w:bCs w:val="0"/>
          <w:i w:val="0"/>
        </w:rPr>
        <w:t xml:space="preserve"> </w:t>
      </w:r>
      <w:r w:rsidR="00395AD1" w:rsidRPr="007960BF">
        <w:rPr>
          <w:bCs w:val="0"/>
          <w:i w:val="0"/>
        </w:rPr>
        <w:fldChar w:fldCharType="begin"/>
      </w:r>
      <w:r w:rsidR="00395AD1" w:rsidRPr="007960BF">
        <w:rPr>
          <w:bCs w:val="0"/>
          <w:i w:val="0"/>
        </w:rPr>
        <w:instrText xml:space="preserve"> TC "</w:instrText>
      </w:r>
      <w:bookmarkStart w:id="509" w:name="_Toc325975235"/>
      <w:bookmarkStart w:id="510" w:name="_Toc390690252"/>
      <w:r w:rsidR="004F730A" w:rsidRPr="007960BF">
        <w:rPr>
          <w:bCs w:val="0"/>
          <w:i w:val="0"/>
        </w:rPr>
        <w:instrText xml:space="preserve">Figure </w:instrText>
      </w:r>
      <w:r w:rsidR="000D653B">
        <w:rPr>
          <w:bCs w:val="0"/>
          <w:i w:val="0"/>
        </w:rPr>
        <w:instrText>7-2</w:instrText>
      </w:r>
      <w:r w:rsidR="00DE0DFA">
        <w:rPr>
          <w:bCs w:val="0"/>
          <w:i w:val="0"/>
        </w:rPr>
        <w:instrText>.</w:instrText>
      </w:r>
      <w:r w:rsidR="00395AD1" w:rsidRPr="007960BF">
        <w:rPr>
          <w:bCs w:val="0"/>
          <w:i w:val="0"/>
        </w:rPr>
        <w:instrText xml:space="preserve"> </w:instrText>
      </w:r>
      <w:r w:rsidR="004F730A" w:rsidRPr="007960BF">
        <w:rPr>
          <w:i w:val="0"/>
        </w:rPr>
        <w:instrText xml:space="preserve">Time series of flow and salinity (electrical conductivity) of the </w:instrText>
      </w:r>
      <w:smartTag w:uri="urn:schemas-microsoft-com:office:smarttags" w:element="place">
        <w:r w:rsidR="004F730A" w:rsidRPr="007960BF">
          <w:rPr>
            <w:i w:val="0"/>
          </w:rPr>
          <w:instrText>Darling River</w:instrText>
        </w:r>
      </w:smartTag>
      <w:r w:rsidR="004F730A" w:rsidRPr="007960BF">
        <w:rPr>
          <w:i w:val="0"/>
        </w:rPr>
        <w:instrText xml:space="preserve"> at the Weir 32 gauging station</w:instrText>
      </w:r>
      <w:bookmarkEnd w:id="509"/>
      <w:r w:rsidR="003721DD">
        <w:rPr>
          <w:bCs w:val="0"/>
          <w:i w:val="0"/>
        </w:rPr>
        <w:instrText>.</w:instrText>
      </w:r>
      <w:bookmarkEnd w:id="510"/>
      <w:r w:rsidR="00395AD1" w:rsidRPr="007960BF">
        <w:rPr>
          <w:bCs w:val="0"/>
          <w:i w:val="0"/>
        </w:rPr>
        <w:instrText xml:space="preserve">" \f A \l “4” </w:instrText>
      </w:r>
      <w:r w:rsidR="00395AD1" w:rsidRPr="007960BF">
        <w:rPr>
          <w:bCs w:val="0"/>
          <w:i w:val="0"/>
        </w:rPr>
        <w:fldChar w:fldCharType="end"/>
      </w:r>
    </w:p>
    <w:p w:rsidR="00B32F4D" w:rsidRDefault="00B32F4D" w:rsidP="00B32F4D">
      <w:pPr>
        <w:pStyle w:val="BodyText1"/>
        <w:sectPr w:rsidR="00B32F4D" w:rsidSect="00B32F4D">
          <w:pgSz w:w="16838" w:h="11906" w:orient="landscape" w:code="9"/>
          <w:pgMar w:top="1134" w:right="1134" w:bottom="1134" w:left="1134" w:header="709" w:footer="709" w:gutter="0"/>
          <w:cols w:space="708"/>
          <w:docGrid w:linePitch="360"/>
        </w:sectPr>
      </w:pPr>
    </w:p>
    <w:p w:rsidR="00D924C5" w:rsidRPr="00170734" w:rsidRDefault="00706A3B" w:rsidP="00656729">
      <w:pPr>
        <w:spacing w:before="240" w:after="60"/>
        <w:jc w:val="center"/>
        <w:rPr>
          <w:b/>
          <w:i/>
          <w:sz w:val="20"/>
        </w:rPr>
      </w:pPr>
      <w:r>
        <w:rPr>
          <w:b/>
          <w:i/>
          <w:noProof/>
          <w:sz w:val="20"/>
        </w:rPr>
        <w:lastRenderedPageBreak/>
        <w:drawing>
          <wp:inline distT="0" distB="0" distL="0" distR="0" wp14:anchorId="292AA8F0" wp14:editId="649FCD90">
            <wp:extent cx="3657600" cy="3444875"/>
            <wp:effectExtent l="19050" t="1905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57600" cy="3444875"/>
                    </a:xfrm>
                    <a:prstGeom prst="rect">
                      <a:avLst/>
                    </a:prstGeom>
                    <a:noFill/>
                    <a:ln w="12700" cmpd="sng">
                      <a:solidFill>
                        <a:srgbClr val="000000"/>
                      </a:solidFill>
                      <a:miter lim="800000"/>
                      <a:headEnd/>
                      <a:tailEnd/>
                    </a:ln>
                    <a:effectLst/>
                  </pic:spPr>
                </pic:pic>
              </a:graphicData>
            </a:graphic>
          </wp:inline>
        </w:drawing>
      </w:r>
    </w:p>
    <w:p w:rsidR="00D924C5" w:rsidRPr="008F44FD" w:rsidRDefault="001741E7" w:rsidP="00EF07F3">
      <w:pPr>
        <w:pStyle w:val="Caption"/>
        <w:rPr>
          <w:szCs w:val="22"/>
        </w:rPr>
      </w:pPr>
      <w:bookmarkStart w:id="511" w:name="_Ref32570856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7</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511"/>
      <w:r>
        <w:rPr>
          <w:b/>
        </w:rPr>
        <w:t>.</w:t>
      </w:r>
      <w:r w:rsidR="00D924C5">
        <w:rPr>
          <w:b/>
          <w:i w:val="0"/>
        </w:rPr>
        <w:t xml:space="preserve"> </w:t>
      </w:r>
      <w:r w:rsidR="00D924C5" w:rsidRPr="00EF07F3">
        <w:t xml:space="preserve">Exceedance curve for salinity measured in the </w:t>
      </w:r>
      <w:smartTag w:uri="urn:schemas-microsoft-com:office:smarttags" w:element="place">
        <w:r w:rsidR="00D924C5" w:rsidRPr="00EF07F3">
          <w:t>Darling River</w:t>
        </w:r>
      </w:smartTag>
      <w:r w:rsidR="00D924C5" w:rsidRPr="00EF07F3">
        <w:t xml:space="preserve"> at Weir 32 during 1992-2010.</w:t>
      </w:r>
      <w:r w:rsidR="00E823BA">
        <w:t xml:space="preserve"> </w:t>
      </w:r>
      <w:r w:rsidR="00D924C5" w:rsidRPr="00EF07F3">
        <w:t>This shows that for 14% of the time, river salinity exceeded what is considered good quality under the Australian drinking water guidelines, and exceeded what is considered unacceptable for about 3% of the time.</w:t>
      </w:r>
      <w:r w:rsidR="00BE08AB" w:rsidRPr="00BE08AB">
        <w:rPr>
          <w:bCs w:val="0"/>
          <w:i w:val="0"/>
        </w:rPr>
        <w:t xml:space="preserve"> </w:t>
      </w:r>
      <w:r w:rsidR="00BE08AB" w:rsidRPr="007960BF">
        <w:rPr>
          <w:bCs w:val="0"/>
          <w:i w:val="0"/>
        </w:rPr>
        <w:fldChar w:fldCharType="begin"/>
      </w:r>
      <w:r w:rsidR="00BE08AB" w:rsidRPr="007960BF">
        <w:rPr>
          <w:bCs w:val="0"/>
          <w:i w:val="0"/>
        </w:rPr>
        <w:instrText xml:space="preserve"> TC "</w:instrText>
      </w:r>
      <w:bookmarkStart w:id="512" w:name="_Toc325975236"/>
      <w:bookmarkStart w:id="513" w:name="_Toc390690253"/>
      <w:r w:rsidR="00BE08AB" w:rsidRPr="007960BF">
        <w:rPr>
          <w:bCs w:val="0"/>
          <w:i w:val="0"/>
        </w:rPr>
        <w:instrText xml:space="preserve">Figure </w:instrText>
      </w:r>
      <w:r w:rsidR="000D653B">
        <w:rPr>
          <w:bCs w:val="0"/>
          <w:i w:val="0"/>
        </w:rPr>
        <w:instrText>7-3</w:instrText>
      </w:r>
      <w:r w:rsidR="00DE0DFA">
        <w:rPr>
          <w:bCs w:val="0"/>
          <w:i w:val="0"/>
        </w:rPr>
        <w:instrText>.</w:instrText>
      </w:r>
      <w:r w:rsidR="00BE08AB" w:rsidRPr="007960BF">
        <w:rPr>
          <w:bCs w:val="0"/>
          <w:i w:val="0"/>
        </w:rPr>
        <w:instrText xml:space="preserve"> </w:instrText>
      </w:r>
      <w:r w:rsidR="004F730A" w:rsidRPr="007960BF">
        <w:rPr>
          <w:i w:val="0"/>
        </w:rPr>
        <w:instrText xml:space="preserve">Exceedance curve for salinity measured in the </w:instrText>
      </w:r>
      <w:smartTag w:uri="urn:schemas-microsoft-com:office:smarttags" w:element="place">
        <w:r w:rsidR="004F730A" w:rsidRPr="007960BF">
          <w:rPr>
            <w:i w:val="0"/>
          </w:rPr>
          <w:instrText>Darling River</w:instrText>
        </w:r>
      </w:smartTag>
      <w:r w:rsidR="004F730A" w:rsidRPr="007960BF">
        <w:rPr>
          <w:i w:val="0"/>
        </w:rPr>
        <w:instrText xml:space="preserve"> at Weir 32 during 1992-2010</w:instrText>
      </w:r>
      <w:bookmarkEnd w:id="512"/>
      <w:r w:rsidR="003721DD">
        <w:rPr>
          <w:i w:val="0"/>
        </w:rPr>
        <w:instrText>.</w:instrText>
      </w:r>
      <w:bookmarkEnd w:id="513"/>
      <w:r w:rsidR="00BE08AB" w:rsidRPr="007960BF">
        <w:rPr>
          <w:bCs w:val="0"/>
          <w:i w:val="0"/>
        </w:rPr>
        <w:instrText xml:space="preserve">" \f A \l “4” </w:instrText>
      </w:r>
      <w:r w:rsidR="00BE08AB" w:rsidRPr="007960BF">
        <w:rPr>
          <w:bCs w:val="0"/>
          <w:i w:val="0"/>
        </w:rPr>
        <w:fldChar w:fldCharType="end"/>
      </w:r>
    </w:p>
    <w:p w:rsidR="00035877" w:rsidRPr="00FC0827" w:rsidRDefault="00035877" w:rsidP="00035877">
      <w:pPr>
        <w:autoSpaceDE w:val="0"/>
        <w:autoSpaceDN w:val="0"/>
        <w:adjustRightInd w:val="0"/>
        <w:rPr>
          <w:i/>
          <w:sz w:val="20"/>
          <w:szCs w:val="20"/>
        </w:rPr>
      </w:pPr>
    </w:p>
    <w:p w:rsidR="00035877" w:rsidRDefault="00035877" w:rsidP="00D35ACA">
      <w:pPr>
        <w:pStyle w:val="Heading1"/>
        <w:tabs>
          <w:tab w:val="clear" w:pos="360"/>
          <w:tab w:val="num" w:pos="720"/>
        </w:tabs>
        <w:ind w:left="720" w:hanging="720"/>
      </w:pPr>
      <w:r w:rsidRPr="00404E19">
        <w:rPr>
          <w:b/>
          <w:spacing w:val="10"/>
          <w:sz w:val="23"/>
        </w:rPr>
        <w:br w:type="page"/>
      </w:r>
      <w:bookmarkStart w:id="514" w:name="_Toc325700124"/>
      <w:bookmarkStart w:id="515" w:name="_Toc325700467"/>
      <w:bookmarkStart w:id="516" w:name="_Ref325914949"/>
      <w:bookmarkStart w:id="517" w:name="_Toc325975149"/>
      <w:bookmarkStart w:id="518" w:name="_Toc390690142"/>
      <w:r>
        <w:lastRenderedPageBreak/>
        <w:t xml:space="preserve">MAR </w:t>
      </w:r>
      <w:r w:rsidR="00E04B4B">
        <w:t xml:space="preserve">and </w:t>
      </w:r>
      <w:smartTag w:uri="urn:schemas-microsoft-com:office:smarttags" w:element="PersonName">
        <w:r w:rsidR="00E04B4B">
          <w:t>Groundwater</w:t>
        </w:r>
      </w:smartTag>
      <w:r w:rsidR="00E04B4B">
        <w:t xml:space="preserve"> Extraction </w:t>
      </w:r>
      <w:r>
        <w:t xml:space="preserve">Options </w:t>
      </w:r>
      <w:r w:rsidR="00E04B4B">
        <w:t>at the Priority Jimargil Site</w:t>
      </w:r>
      <w:bookmarkEnd w:id="514"/>
      <w:bookmarkEnd w:id="515"/>
      <w:bookmarkEnd w:id="516"/>
      <w:bookmarkEnd w:id="517"/>
      <w:bookmarkEnd w:id="518"/>
    </w:p>
    <w:p w:rsidR="00E04B4B" w:rsidRPr="00021090" w:rsidRDefault="00C6655F" w:rsidP="00021090">
      <w:pPr>
        <w:pStyle w:val="Heading2"/>
        <w:tabs>
          <w:tab w:val="left" w:pos="720"/>
        </w:tabs>
        <w:spacing w:before="320"/>
      </w:pPr>
      <w:bookmarkStart w:id="519" w:name="_Toc325700125"/>
      <w:bookmarkStart w:id="520" w:name="_Toc325700468"/>
      <w:bookmarkStart w:id="521" w:name="_Toc325975150"/>
      <w:bookmarkStart w:id="522" w:name="_Toc390690143"/>
      <w:r w:rsidRPr="00021090">
        <w:t>J</w:t>
      </w:r>
      <w:r w:rsidR="00E04B4B" w:rsidRPr="00021090">
        <w:t xml:space="preserve">imargil </w:t>
      </w:r>
      <w:r w:rsidRPr="00021090">
        <w:t xml:space="preserve">Site </w:t>
      </w:r>
      <w:bookmarkEnd w:id="519"/>
      <w:bookmarkEnd w:id="520"/>
      <w:r w:rsidR="00617B11">
        <w:t>C</w:t>
      </w:r>
      <w:r w:rsidR="00795774">
        <w:t>haracterisation</w:t>
      </w:r>
      <w:bookmarkEnd w:id="521"/>
      <w:bookmarkEnd w:id="522"/>
    </w:p>
    <w:p w:rsidR="00E1471C" w:rsidRPr="00106292" w:rsidRDefault="00001EDC" w:rsidP="00927BA1">
      <w:pPr>
        <w:rPr>
          <w:szCs w:val="22"/>
        </w:rPr>
      </w:pPr>
      <w:r w:rsidRPr="00106292">
        <w:rPr>
          <w:szCs w:val="22"/>
        </w:rPr>
        <w:t>The proposed borefield site is located 10-15</w:t>
      </w:r>
      <w:r w:rsidR="00E1471C" w:rsidRPr="00106292">
        <w:rPr>
          <w:szCs w:val="22"/>
        </w:rPr>
        <w:t xml:space="preserve"> </w:t>
      </w:r>
      <w:r w:rsidRPr="00106292">
        <w:rPr>
          <w:szCs w:val="22"/>
        </w:rPr>
        <w:t xml:space="preserve">km SSW of the </w:t>
      </w:r>
      <w:r w:rsidR="00C217F0">
        <w:rPr>
          <w:szCs w:val="22"/>
        </w:rPr>
        <w:t xml:space="preserve">Menindee </w:t>
      </w:r>
      <w:r w:rsidRPr="00106292">
        <w:rPr>
          <w:szCs w:val="22"/>
        </w:rPr>
        <w:t>pumping station, within the G</w:t>
      </w:r>
      <w:r w:rsidR="00D77B5F" w:rsidRPr="00106292">
        <w:rPr>
          <w:szCs w:val="22"/>
        </w:rPr>
        <w:t>WR</w:t>
      </w:r>
      <w:r w:rsidRPr="00106292">
        <w:rPr>
          <w:szCs w:val="22"/>
        </w:rPr>
        <w:t xml:space="preserve">1 groundwater target (Figure A; Figure J; </w:t>
      </w:r>
      <w:r w:rsidR="000B4790" w:rsidRPr="00106292">
        <w:rPr>
          <w:szCs w:val="22"/>
        </w:rPr>
        <w:fldChar w:fldCharType="begin"/>
      </w:r>
      <w:r w:rsidR="000B4790" w:rsidRPr="00106292">
        <w:rPr>
          <w:szCs w:val="22"/>
        </w:rPr>
        <w:instrText xml:space="preserve"> REF _Ref325708599 \h </w:instrText>
      </w:r>
      <w:r w:rsidR="00795774" w:rsidRPr="00106292">
        <w:rPr>
          <w:szCs w:val="22"/>
        </w:rPr>
        <w:instrText xml:space="preserve"> \* MERGEFORMAT </w:instrText>
      </w:r>
      <w:r w:rsidR="000B4790" w:rsidRPr="00106292">
        <w:rPr>
          <w:szCs w:val="22"/>
        </w:rPr>
      </w:r>
      <w:r w:rsidR="000B4790" w:rsidRPr="00106292">
        <w:rPr>
          <w:szCs w:val="22"/>
        </w:rPr>
        <w:fldChar w:fldCharType="separate"/>
      </w:r>
      <w:r w:rsidR="00966532" w:rsidRPr="00966532">
        <w:t xml:space="preserve">Figure </w:t>
      </w:r>
      <w:r w:rsidR="00966532" w:rsidRPr="00966532">
        <w:rPr>
          <w:noProof/>
        </w:rPr>
        <w:t>8</w:t>
      </w:r>
      <w:r w:rsidR="00966532" w:rsidRPr="00966532">
        <w:rPr>
          <w:noProof/>
        </w:rPr>
        <w:noBreakHyphen/>
        <w:t>1</w:t>
      </w:r>
      <w:r w:rsidR="000B4790" w:rsidRPr="00106292">
        <w:rPr>
          <w:szCs w:val="22"/>
        </w:rPr>
        <w:fldChar w:fldCharType="end"/>
      </w:r>
      <w:r w:rsidRPr="00106292">
        <w:rPr>
          <w:szCs w:val="22"/>
        </w:rPr>
        <w:t xml:space="preserve">). </w:t>
      </w:r>
      <w:r w:rsidR="00E1471C" w:rsidRPr="00106292">
        <w:rPr>
          <w:szCs w:val="22"/>
        </w:rPr>
        <w:t>For a detailed description of the Jimargil site, refer to Lawrie</w:t>
      </w:r>
      <w:r w:rsidR="008A5F7D" w:rsidRPr="00CF7613">
        <w:rPr>
          <w:rStyle w:val="StyleItalic"/>
        </w:rPr>
        <w:t xml:space="preserve"> et al</w:t>
      </w:r>
      <w:r w:rsidR="00E1471C" w:rsidRPr="00106292">
        <w:rPr>
          <w:szCs w:val="22"/>
        </w:rPr>
        <w:t xml:space="preserve">. (2012c). </w:t>
      </w:r>
    </w:p>
    <w:p w:rsidR="00E1471C" w:rsidRPr="00106292" w:rsidRDefault="00E1471C" w:rsidP="00927BA1">
      <w:pPr>
        <w:rPr>
          <w:szCs w:val="22"/>
        </w:rPr>
      </w:pPr>
    </w:p>
    <w:p w:rsidR="00B26EB3" w:rsidRDefault="00B26EB3" w:rsidP="00927BA1">
      <w:pPr>
        <w:rPr>
          <w:bCs/>
        </w:rPr>
      </w:pPr>
      <w:r>
        <w:t xml:space="preserve">A map showing offsets in the upper confining aquitard at the Jimargil potential borefield site reveals the local structural complexity at the Jimargil site </w:t>
      </w:r>
      <w:r w:rsidRPr="00B26EB3">
        <w:fldChar w:fldCharType="begin"/>
      </w:r>
      <w:r w:rsidRPr="00B26EB3">
        <w:instrText xml:space="preserve"> REF _Ref330211451 \h  \* MERGEFORMAT </w:instrText>
      </w:r>
      <w:r w:rsidRPr="00B26EB3">
        <w:fldChar w:fldCharType="separate"/>
      </w:r>
      <w:r w:rsidR="00966532" w:rsidRPr="00966532">
        <w:t xml:space="preserve">Figure </w:t>
      </w:r>
      <w:r w:rsidR="00966532" w:rsidRPr="00966532">
        <w:rPr>
          <w:noProof/>
        </w:rPr>
        <w:t>8</w:t>
      </w:r>
      <w:r w:rsidR="00966532" w:rsidRPr="00966532">
        <w:rPr>
          <w:noProof/>
        </w:rPr>
        <w:noBreakHyphen/>
        <w:t>2</w:t>
      </w:r>
      <w:r w:rsidRPr="00B26EB3">
        <w:fldChar w:fldCharType="end"/>
      </w:r>
      <w:r>
        <w:t xml:space="preserve">. Individual flight line conductivity depth sections were scrutinised to identify individual faults and the tops (and base) of the upper confining aquitard. Mapped faults include those identified from flight line section picks alone, from interpretation of maps of the upper confining aquitard, and from interpretation of Total Magnetic Intensity images that show the location of basement </w:t>
      </w:r>
      <w:r w:rsidRPr="00002133">
        <w:t>faults.</w:t>
      </w:r>
      <w:r w:rsidRPr="00002133">
        <w:rPr>
          <w:bCs/>
        </w:rPr>
        <w:t xml:space="preserve"> Locations where fault offsets are</w:t>
      </w:r>
      <w:r w:rsidR="001C23A9">
        <w:rPr>
          <w:bCs/>
        </w:rPr>
        <w:t xml:space="preserve"> sufficient to be</w:t>
      </w:r>
      <w:r w:rsidRPr="00002133">
        <w:rPr>
          <w:bCs/>
        </w:rPr>
        <w:t xml:space="preserve"> likely points for inter-aquifer leakage are marked with yellow stars</w:t>
      </w:r>
      <w:r>
        <w:rPr>
          <w:bCs/>
        </w:rPr>
        <w:t>. A number of these faults also have a surface expression in the LiDAR dataset (Lawrie</w:t>
      </w:r>
      <w:r w:rsidR="008A5F7D" w:rsidRPr="00CF7613">
        <w:rPr>
          <w:rStyle w:val="StyleItalic"/>
        </w:rPr>
        <w:t xml:space="preserve"> et al</w:t>
      </w:r>
      <w:r>
        <w:rPr>
          <w:bCs/>
        </w:rPr>
        <w:t>., 2012b). The structural geology is described and explained in Lawrie</w:t>
      </w:r>
      <w:r w:rsidR="008A5F7D" w:rsidRPr="00CF7613">
        <w:rPr>
          <w:rStyle w:val="StyleItalic"/>
        </w:rPr>
        <w:t xml:space="preserve"> et al</w:t>
      </w:r>
      <w:r>
        <w:rPr>
          <w:bCs/>
        </w:rPr>
        <w:t>. (2012b, c).</w:t>
      </w:r>
    </w:p>
    <w:p w:rsidR="00B26EB3" w:rsidRPr="00CF7613" w:rsidRDefault="00B26EB3" w:rsidP="00927BA1">
      <w:pPr>
        <w:rPr>
          <w:rStyle w:val="StyleItalic"/>
        </w:rPr>
      </w:pPr>
    </w:p>
    <w:p w:rsidR="00927BA1" w:rsidRPr="00106292" w:rsidRDefault="00E04B4B" w:rsidP="00927BA1">
      <w:pPr>
        <w:rPr>
          <w:szCs w:val="22"/>
        </w:rPr>
      </w:pPr>
      <w:r w:rsidRPr="00106292">
        <w:rPr>
          <w:szCs w:val="22"/>
        </w:rPr>
        <w:t xml:space="preserve">The site contains an excellent aquifer (the </w:t>
      </w:r>
      <w:r w:rsidR="00C217F0">
        <w:rPr>
          <w:szCs w:val="22"/>
        </w:rPr>
        <w:t>Calivil Formation</w:t>
      </w:r>
      <w:r w:rsidRPr="00106292">
        <w:rPr>
          <w:szCs w:val="22"/>
        </w:rPr>
        <w:t xml:space="preserve">). The aquifer is sandwiched between variably thick </w:t>
      </w:r>
      <w:r w:rsidR="001E3931" w:rsidRPr="00106292">
        <w:rPr>
          <w:szCs w:val="22"/>
        </w:rPr>
        <w:t>mud</w:t>
      </w:r>
      <w:r w:rsidRPr="00106292">
        <w:rPr>
          <w:szCs w:val="22"/>
        </w:rPr>
        <w:t xml:space="preserve"> aquitards</w:t>
      </w:r>
      <w:r w:rsidR="00617B11" w:rsidRPr="00106292">
        <w:rPr>
          <w:szCs w:val="22"/>
        </w:rPr>
        <w:t>, with consid</w:t>
      </w:r>
      <w:r w:rsidR="00F4198C" w:rsidRPr="00106292">
        <w:rPr>
          <w:szCs w:val="22"/>
        </w:rPr>
        <w:t>erable lithologic heterogeneity and faulting</w:t>
      </w:r>
      <w:r w:rsidR="00617B11" w:rsidRPr="00106292">
        <w:rPr>
          <w:szCs w:val="22"/>
        </w:rPr>
        <w:t xml:space="preserve"> observed </w:t>
      </w:r>
      <w:r w:rsidR="00001EDC" w:rsidRPr="00106292">
        <w:rPr>
          <w:szCs w:val="22"/>
        </w:rPr>
        <w:t>(</w:t>
      </w:r>
      <w:r w:rsidR="000B4790" w:rsidRPr="00106292">
        <w:rPr>
          <w:szCs w:val="22"/>
        </w:rPr>
        <w:fldChar w:fldCharType="begin"/>
      </w:r>
      <w:r w:rsidR="000B4790" w:rsidRPr="00106292">
        <w:rPr>
          <w:szCs w:val="22"/>
        </w:rPr>
        <w:instrText xml:space="preserve"> REF _Ref325912437 \h </w:instrText>
      </w:r>
      <w:r w:rsidR="00795774" w:rsidRPr="00106292">
        <w:rPr>
          <w:szCs w:val="22"/>
        </w:rPr>
        <w:instrText xml:space="preserve"> \* MERGEFORMAT </w:instrText>
      </w:r>
      <w:r w:rsidR="000B4790" w:rsidRPr="00106292">
        <w:rPr>
          <w:szCs w:val="22"/>
        </w:rPr>
      </w:r>
      <w:r w:rsidR="000B4790" w:rsidRPr="00106292">
        <w:rPr>
          <w:szCs w:val="22"/>
        </w:rPr>
        <w:fldChar w:fldCharType="separate"/>
      </w:r>
      <w:r w:rsidR="00966532" w:rsidRPr="00966532">
        <w:t xml:space="preserve">Figure </w:t>
      </w:r>
      <w:r w:rsidR="00966532" w:rsidRPr="00966532">
        <w:rPr>
          <w:noProof/>
        </w:rPr>
        <w:t>8</w:t>
      </w:r>
      <w:r w:rsidR="00966532" w:rsidRPr="00966532">
        <w:rPr>
          <w:noProof/>
        </w:rPr>
        <w:noBreakHyphen/>
        <w:t>3</w:t>
      </w:r>
      <w:r w:rsidR="000B4790" w:rsidRPr="00106292">
        <w:rPr>
          <w:szCs w:val="22"/>
        </w:rPr>
        <w:fldChar w:fldCharType="end"/>
      </w:r>
      <w:r w:rsidR="000B4790" w:rsidRPr="00106292">
        <w:rPr>
          <w:szCs w:val="22"/>
        </w:rPr>
        <w:t xml:space="preserve">; </w:t>
      </w:r>
      <w:r w:rsidR="000B4790" w:rsidRPr="00106292">
        <w:rPr>
          <w:szCs w:val="22"/>
        </w:rPr>
        <w:fldChar w:fldCharType="begin"/>
      </w:r>
      <w:r w:rsidR="000B4790" w:rsidRPr="00106292">
        <w:rPr>
          <w:szCs w:val="22"/>
        </w:rPr>
        <w:instrText xml:space="preserve"> REF _Ref325912438 \h </w:instrText>
      </w:r>
      <w:r w:rsidR="00795774" w:rsidRPr="00106292">
        <w:rPr>
          <w:szCs w:val="22"/>
        </w:rPr>
        <w:instrText xml:space="preserve"> \* MERGEFORMAT </w:instrText>
      </w:r>
      <w:r w:rsidR="000B4790" w:rsidRPr="00106292">
        <w:rPr>
          <w:szCs w:val="22"/>
        </w:rPr>
      </w:r>
      <w:r w:rsidR="000B4790" w:rsidRPr="00106292">
        <w:rPr>
          <w:szCs w:val="22"/>
        </w:rPr>
        <w:fldChar w:fldCharType="separate"/>
      </w:r>
      <w:r w:rsidR="00966532" w:rsidRPr="00966532">
        <w:t xml:space="preserve">Figure </w:t>
      </w:r>
      <w:r w:rsidR="00966532" w:rsidRPr="00966532">
        <w:rPr>
          <w:noProof/>
        </w:rPr>
        <w:t>8</w:t>
      </w:r>
      <w:r w:rsidR="00966532" w:rsidRPr="00966532">
        <w:rPr>
          <w:noProof/>
        </w:rPr>
        <w:noBreakHyphen/>
        <w:t>4</w:t>
      </w:r>
      <w:r w:rsidR="000B4790" w:rsidRPr="00106292">
        <w:rPr>
          <w:szCs w:val="22"/>
        </w:rPr>
        <w:fldChar w:fldCharType="end"/>
      </w:r>
      <w:r w:rsidR="00001EDC" w:rsidRPr="00106292">
        <w:rPr>
          <w:szCs w:val="22"/>
        </w:rPr>
        <w:t>)</w:t>
      </w:r>
      <w:r w:rsidR="00617B11" w:rsidRPr="00106292">
        <w:rPr>
          <w:szCs w:val="22"/>
        </w:rPr>
        <w:t>.</w:t>
      </w:r>
      <w:r w:rsidR="00E1471C" w:rsidRPr="00106292">
        <w:rPr>
          <w:szCs w:val="22"/>
        </w:rPr>
        <w:t xml:space="preserve"> </w:t>
      </w:r>
      <w:r w:rsidR="00617B11" w:rsidRPr="00106292">
        <w:rPr>
          <w:szCs w:val="22"/>
        </w:rPr>
        <w:t>O</w:t>
      </w:r>
      <w:r w:rsidRPr="00106292">
        <w:rPr>
          <w:szCs w:val="22"/>
        </w:rPr>
        <w:t xml:space="preserve">ver much of the target </w:t>
      </w:r>
      <w:r w:rsidR="00D77B5F" w:rsidRPr="00106292">
        <w:rPr>
          <w:szCs w:val="22"/>
        </w:rPr>
        <w:t xml:space="preserve">area, the </w:t>
      </w:r>
      <w:r w:rsidR="00C217F0">
        <w:rPr>
          <w:szCs w:val="22"/>
        </w:rPr>
        <w:t>Calivil Formation</w:t>
      </w:r>
      <w:r w:rsidR="00D77B5F" w:rsidRPr="00106292">
        <w:rPr>
          <w:szCs w:val="22"/>
        </w:rPr>
        <w:t xml:space="preserve"> </w:t>
      </w:r>
      <w:r w:rsidRPr="00106292">
        <w:rPr>
          <w:szCs w:val="22"/>
        </w:rPr>
        <w:t xml:space="preserve">can be characterised as varying from a semi-confined to confined system. </w:t>
      </w:r>
      <w:r w:rsidR="00927BA1" w:rsidRPr="00106292">
        <w:t xml:space="preserve">Drilling and </w:t>
      </w:r>
      <w:smartTag w:uri="urn:schemas-microsoft-com:office:smarttags" w:element="stockticker">
        <w:r w:rsidR="00927BA1" w:rsidRPr="00106292">
          <w:t>AEM</w:t>
        </w:r>
      </w:smartTag>
      <w:r w:rsidR="00927BA1" w:rsidRPr="00106292">
        <w:t xml:space="preserve"> data have confirmed the presence of a palaeochannel system developed in the </w:t>
      </w:r>
      <w:r w:rsidR="00C217F0">
        <w:t>Calivil Formation</w:t>
      </w:r>
      <w:r w:rsidR="00927BA1" w:rsidRPr="00106292">
        <w:t xml:space="preserve"> throughout GWR1, with a </w:t>
      </w:r>
      <w:r w:rsidR="00F47564">
        <w:t xml:space="preserve">thick aquifer sequence intersected in a </w:t>
      </w:r>
      <w:r w:rsidR="00927BA1" w:rsidRPr="00106292">
        <w:t xml:space="preserve">discrete palaeochannel </w:t>
      </w:r>
      <w:r w:rsidR="00F47564">
        <w:t xml:space="preserve">system </w:t>
      </w:r>
      <w:r w:rsidR="00001EDC" w:rsidRPr="00106292">
        <w:t>at Jimargil</w:t>
      </w:r>
      <w:r w:rsidR="00F47564">
        <w:t xml:space="preserve"> (</w:t>
      </w:r>
      <w:r w:rsidR="00F47564" w:rsidRPr="00F47564">
        <w:fldChar w:fldCharType="begin"/>
      </w:r>
      <w:r w:rsidR="00F47564" w:rsidRPr="00F47564">
        <w:instrText xml:space="preserve"> REF _Ref330304688 \h  \* MERGEFORMAT </w:instrText>
      </w:r>
      <w:r w:rsidR="00F47564" w:rsidRPr="00F47564">
        <w:fldChar w:fldCharType="separate"/>
      </w:r>
      <w:r w:rsidR="00966532" w:rsidRPr="00966532">
        <w:t xml:space="preserve">Figure </w:t>
      </w:r>
      <w:r w:rsidR="00966532" w:rsidRPr="00966532">
        <w:rPr>
          <w:noProof/>
        </w:rPr>
        <w:t>8</w:t>
      </w:r>
      <w:r w:rsidR="00966532" w:rsidRPr="00966532">
        <w:rPr>
          <w:noProof/>
        </w:rPr>
        <w:noBreakHyphen/>
        <w:t>5</w:t>
      </w:r>
      <w:r w:rsidR="00F47564" w:rsidRPr="00F47564">
        <w:fldChar w:fldCharType="end"/>
      </w:r>
      <w:r w:rsidR="00F47564" w:rsidRPr="00F47564">
        <w:t>)</w:t>
      </w:r>
      <w:r w:rsidR="00927BA1" w:rsidRPr="00106292">
        <w:t>. This is reflected in the distribution of fresh groundwater, which is hosted preferentially in these features (</w:t>
      </w:r>
      <w:r w:rsidR="00927BA1" w:rsidRPr="00106292">
        <w:fldChar w:fldCharType="begin"/>
      </w:r>
      <w:r w:rsidR="00927BA1" w:rsidRPr="00106292">
        <w:instrText xml:space="preserve"> REF _Ref325708599 \h </w:instrText>
      </w:r>
      <w:r w:rsidR="00795774" w:rsidRPr="00106292">
        <w:instrText xml:space="preserve"> \* MERGEFORMAT </w:instrText>
      </w:r>
      <w:r w:rsidR="00927BA1" w:rsidRPr="00106292">
        <w:fldChar w:fldCharType="separate"/>
      </w:r>
      <w:r w:rsidR="00966532" w:rsidRPr="00966532">
        <w:t xml:space="preserve">Figure </w:t>
      </w:r>
      <w:r w:rsidR="00966532" w:rsidRPr="00966532">
        <w:rPr>
          <w:noProof/>
        </w:rPr>
        <w:t>8</w:t>
      </w:r>
      <w:r w:rsidR="00966532" w:rsidRPr="00966532">
        <w:rPr>
          <w:noProof/>
        </w:rPr>
        <w:noBreakHyphen/>
        <w:t>1</w:t>
      </w:r>
      <w:r w:rsidR="00927BA1" w:rsidRPr="00106292">
        <w:fldChar w:fldCharType="end"/>
      </w:r>
      <w:r w:rsidR="00927BA1" w:rsidRPr="00106292">
        <w:t>). Such palaeochannels may provide preferred groundwater flow paths, a factor that will need to be incorporated into groundwater models and assessed in borefield design.</w:t>
      </w:r>
    </w:p>
    <w:p w:rsidR="00617B11" w:rsidRPr="00106292" w:rsidRDefault="00617B11" w:rsidP="00927BA1">
      <w:pPr>
        <w:rPr>
          <w:szCs w:val="22"/>
        </w:rPr>
      </w:pPr>
    </w:p>
    <w:p w:rsidR="00927BA1" w:rsidRPr="00795774" w:rsidRDefault="00D82AD2" w:rsidP="00927BA1">
      <w:r>
        <w:rPr>
          <w:szCs w:val="22"/>
        </w:rPr>
        <w:t>From t</w:t>
      </w:r>
      <w:r w:rsidR="00927BA1" w:rsidRPr="00106292">
        <w:rPr>
          <w:szCs w:val="22"/>
        </w:rPr>
        <w:t xml:space="preserve">he </w:t>
      </w:r>
      <w:smartTag w:uri="urn:schemas-microsoft-com:office:smarttags" w:element="stockticker">
        <w:r w:rsidR="00927BA1" w:rsidRPr="00106292">
          <w:rPr>
            <w:szCs w:val="22"/>
          </w:rPr>
          <w:t>AEM</w:t>
        </w:r>
      </w:smartTag>
      <w:r w:rsidR="00927BA1" w:rsidRPr="00106292">
        <w:rPr>
          <w:szCs w:val="22"/>
        </w:rPr>
        <w:t xml:space="preserve">, drilling, borehole geophysics and water sampling </w:t>
      </w:r>
      <w:r w:rsidR="00E1471C" w:rsidRPr="00106292">
        <w:rPr>
          <w:szCs w:val="22"/>
        </w:rPr>
        <w:t>(</w:t>
      </w:r>
      <w:r w:rsidR="00B03359">
        <w:rPr>
          <w:szCs w:val="22"/>
        </w:rPr>
        <w:t xml:space="preserve">Appendices 3-5, </w:t>
      </w:r>
      <w:r w:rsidR="00E1471C" w:rsidRPr="00106292">
        <w:rPr>
          <w:szCs w:val="22"/>
        </w:rPr>
        <w:t>Apps</w:t>
      </w:r>
      <w:r w:rsidR="008A5F7D" w:rsidRPr="00CF7613">
        <w:rPr>
          <w:rStyle w:val="StyleItalic"/>
        </w:rPr>
        <w:t xml:space="preserve"> et al</w:t>
      </w:r>
      <w:r w:rsidR="00E1471C" w:rsidRPr="00106292">
        <w:rPr>
          <w:szCs w:val="22"/>
        </w:rPr>
        <w:t xml:space="preserve">., </w:t>
      </w:r>
      <w:r w:rsidR="00EA29E9" w:rsidRPr="00106292">
        <w:rPr>
          <w:szCs w:val="22"/>
        </w:rPr>
        <w:t>2012</w:t>
      </w:r>
      <w:r w:rsidR="00B03359">
        <w:rPr>
          <w:szCs w:val="22"/>
        </w:rPr>
        <w:t>b, c</w:t>
      </w:r>
      <w:r w:rsidR="00E1471C" w:rsidRPr="00106292">
        <w:rPr>
          <w:szCs w:val="22"/>
        </w:rPr>
        <w:t xml:space="preserve">, </w:t>
      </w:r>
      <w:r w:rsidR="00EA29E9" w:rsidRPr="00106292">
        <w:rPr>
          <w:szCs w:val="22"/>
        </w:rPr>
        <w:t>d</w:t>
      </w:r>
      <w:r w:rsidR="00E1471C" w:rsidRPr="00106292">
        <w:rPr>
          <w:szCs w:val="22"/>
        </w:rPr>
        <w:t xml:space="preserve">; </w:t>
      </w:r>
      <w:r w:rsidR="00B03359">
        <w:rPr>
          <w:szCs w:val="22"/>
        </w:rPr>
        <w:t xml:space="preserve">Appendix 6, </w:t>
      </w:r>
      <w:r w:rsidR="00E1471C" w:rsidRPr="00106292">
        <w:rPr>
          <w:szCs w:val="22"/>
        </w:rPr>
        <w:t>Somerville</w:t>
      </w:r>
      <w:r w:rsidR="008A5F7D" w:rsidRPr="00CF7613">
        <w:rPr>
          <w:rStyle w:val="StyleItalic"/>
        </w:rPr>
        <w:t xml:space="preserve"> et al</w:t>
      </w:r>
      <w:r w:rsidR="00E1471C" w:rsidRPr="00106292">
        <w:rPr>
          <w:szCs w:val="22"/>
        </w:rPr>
        <w:t>., 2012)</w:t>
      </w:r>
      <w:r>
        <w:rPr>
          <w:szCs w:val="22"/>
        </w:rPr>
        <w:t xml:space="preserve"> it has been estimated</w:t>
      </w:r>
      <w:r w:rsidR="00465915">
        <w:rPr>
          <w:szCs w:val="22"/>
        </w:rPr>
        <w:t xml:space="preserve"> </w:t>
      </w:r>
      <w:r w:rsidR="00927BA1" w:rsidRPr="00106292">
        <w:rPr>
          <w:szCs w:val="22"/>
        </w:rPr>
        <w:t xml:space="preserve">that </w:t>
      </w:r>
      <w:r w:rsidR="0003283C" w:rsidRPr="00106292">
        <w:rPr>
          <w:szCs w:val="22"/>
        </w:rPr>
        <w:t>t</w:t>
      </w:r>
      <w:r w:rsidR="00001EDC" w:rsidRPr="00106292">
        <w:rPr>
          <w:szCs w:val="22"/>
        </w:rPr>
        <w:t xml:space="preserve">here is </w:t>
      </w:r>
      <w:r>
        <w:rPr>
          <w:szCs w:val="22"/>
        </w:rPr>
        <w:t>90</w:t>
      </w:r>
      <w:r w:rsidR="00001EDC" w:rsidRPr="00106292">
        <w:rPr>
          <w:szCs w:val="22"/>
        </w:rPr>
        <w:t>-</w:t>
      </w:r>
      <w:r>
        <w:rPr>
          <w:szCs w:val="22"/>
        </w:rPr>
        <w:t xml:space="preserve">190 </w:t>
      </w:r>
      <w:r w:rsidR="00001EDC" w:rsidRPr="00106292">
        <w:rPr>
          <w:szCs w:val="22"/>
        </w:rPr>
        <w:t xml:space="preserve">GL of fresh-acceptable groundwater </w:t>
      </w:r>
      <w:r>
        <w:rPr>
          <w:szCs w:val="22"/>
        </w:rPr>
        <w:t xml:space="preserve">(&lt;1200 mg/L) </w:t>
      </w:r>
      <w:r w:rsidR="00001EDC" w:rsidRPr="00106292">
        <w:rPr>
          <w:szCs w:val="22"/>
        </w:rPr>
        <w:t xml:space="preserve">and a </w:t>
      </w:r>
      <w:r w:rsidR="00001EDC" w:rsidRPr="00B96C96">
        <w:t xml:space="preserve">further </w:t>
      </w:r>
      <w:r w:rsidRPr="00B96C96">
        <w:t>20</w:t>
      </w:r>
      <w:r w:rsidR="00001EDC" w:rsidRPr="00B96C96">
        <w:t>-</w:t>
      </w:r>
      <w:r w:rsidRPr="00B96C96">
        <w:t>5</w:t>
      </w:r>
      <w:r w:rsidR="00001EDC" w:rsidRPr="00B96C96">
        <w:t>0</w:t>
      </w:r>
      <w:r w:rsidR="00FE05F2">
        <w:t xml:space="preserve"> </w:t>
      </w:r>
      <w:r w:rsidR="00001EDC" w:rsidRPr="00B96C96">
        <w:t xml:space="preserve">GL of brackish groundwater </w:t>
      </w:r>
      <w:r w:rsidRPr="00B96C96">
        <w:t xml:space="preserve">(1200-3000 mg/L) </w:t>
      </w:r>
      <w:r w:rsidR="00001EDC" w:rsidRPr="00B96C96">
        <w:t xml:space="preserve">stored in the </w:t>
      </w:r>
      <w:r w:rsidR="00C217F0" w:rsidRPr="00B96C96">
        <w:t>Calivil Formation</w:t>
      </w:r>
      <w:r w:rsidR="00001EDC" w:rsidRPr="00B96C96">
        <w:t xml:space="preserve"> at this site (</w:t>
      </w:r>
      <w:r w:rsidR="00B96C96" w:rsidRPr="00B96C96">
        <w:fldChar w:fldCharType="begin"/>
      </w:r>
      <w:r w:rsidR="00B96C96" w:rsidRPr="00B96C96">
        <w:instrText xml:space="preserve"> REF _Ref355623267 \h </w:instrText>
      </w:r>
      <w:r w:rsidR="00B96C96">
        <w:instrText xml:space="preserve"> \* MERGEFORMAT </w:instrText>
      </w:r>
      <w:r w:rsidR="00B96C96" w:rsidRPr="00B96C96">
        <w:fldChar w:fldCharType="separate"/>
      </w:r>
      <w:r w:rsidR="00966532" w:rsidRPr="00966532">
        <w:t>Table 8</w:t>
      </w:r>
      <w:r w:rsidR="00966532" w:rsidRPr="00966532">
        <w:noBreakHyphen/>
        <w:t>1</w:t>
      </w:r>
      <w:r w:rsidR="00B96C96" w:rsidRPr="00B96C96">
        <w:fldChar w:fldCharType="end"/>
      </w:r>
      <w:r w:rsidR="00001EDC" w:rsidRPr="00B96C96">
        <w:t>)</w:t>
      </w:r>
      <w:r w:rsidR="00927BA1" w:rsidRPr="00B96C96">
        <w:t>.</w:t>
      </w:r>
      <w:r w:rsidR="00927BA1" w:rsidRPr="00106292">
        <w:rPr>
          <w:szCs w:val="22"/>
        </w:rPr>
        <w:t xml:space="preserve"> The freshest groundwater lies closer to the </w:t>
      </w:r>
      <w:smartTag w:uri="urn:schemas-microsoft-com:office:smarttags" w:element="place">
        <w:r w:rsidR="00927BA1" w:rsidRPr="00106292">
          <w:rPr>
            <w:szCs w:val="22"/>
          </w:rPr>
          <w:t xml:space="preserve">Darling </w:t>
        </w:r>
        <w:r w:rsidR="00927BA1" w:rsidRPr="00106292">
          <w:t>River</w:t>
        </w:r>
      </w:smartTag>
      <w:r w:rsidR="00927BA1" w:rsidRPr="00106292">
        <w:t xml:space="preserve"> (</w:t>
      </w:r>
      <w:r w:rsidR="00927BA1" w:rsidRPr="00106292">
        <w:fldChar w:fldCharType="begin"/>
      </w:r>
      <w:r w:rsidR="00927BA1" w:rsidRPr="00106292">
        <w:instrText xml:space="preserve"> REF _Ref325708599 \h </w:instrText>
      </w:r>
      <w:r w:rsidR="00795774" w:rsidRPr="00106292">
        <w:instrText xml:space="preserve"> \* MERGEFORMAT </w:instrText>
      </w:r>
      <w:r w:rsidR="00927BA1" w:rsidRPr="00106292">
        <w:fldChar w:fldCharType="separate"/>
      </w:r>
      <w:r w:rsidR="00966532" w:rsidRPr="00966532">
        <w:t xml:space="preserve">Figure </w:t>
      </w:r>
      <w:r w:rsidR="00966532" w:rsidRPr="00966532">
        <w:rPr>
          <w:noProof/>
        </w:rPr>
        <w:t>8</w:t>
      </w:r>
      <w:r w:rsidR="00966532" w:rsidRPr="00966532">
        <w:rPr>
          <w:noProof/>
        </w:rPr>
        <w:noBreakHyphen/>
        <w:t>1</w:t>
      </w:r>
      <w:r w:rsidR="00927BA1" w:rsidRPr="00106292">
        <w:fldChar w:fldCharType="end"/>
      </w:r>
      <w:r w:rsidR="00927BA1" w:rsidRPr="00106292">
        <w:t xml:space="preserve">). </w:t>
      </w:r>
      <w:r w:rsidR="005430CB" w:rsidRPr="00106292">
        <w:t>However, it is important to note that AEM is a conductivity mapping tool primarily, and although there is an excellent correlation observed between the inverted AEM data and borehole induction data (</w:t>
      </w:r>
      <w:r w:rsidR="005430CB" w:rsidRPr="00106292">
        <w:fldChar w:fldCharType="begin"/>
      </w:r>
      <w:r w:rsidR="005430CB" w:rsidRPr="00106292">
        <w:instrText xml:space="preserve"> REF _Ref325912074 \h  \* MERGEFORMAT </w:instrText>
      </w:r>
      <w:r w:rsidR="005430CB" w:rsidRPr="00106292">
        <w:fldChar w:fldCharType="separate"/>
      </w:r>
      <w:r w:rsidR="00966532" w:rsidRPr="00966532">
        <w:t xml:space="preserve">Figure </w:t>
      </w:r>
      <w:r w:rsidR="00966532" w:rsidRPr="00966532">
        <w:rPr>
          <w:noProof/>
        </w:rPr>
        <w:t>3</w:t>
      </w:r>
      <w:r w:rsidR="00966532" w:rsidRPr="00966532">
        <w:rPr>
          <w:noProof/>
        </w:rPr>
        <w:noBreakHyphen/>
        <w:t>9</w:t>
      </w:r>
      <w:r w:rsidR="005430CB" w:rsidRPr="00106292">
        <w:fldChar w:fldCharType="end"/>
      </w:r>
      <w:r w:rsidR="005430CB" w:rsidRPr="00106292">
        <w:t>), there is greater uncertainty in mapping more resistive features. This is illustrated in uncertainty analysis of the inverted data (</w:t>
      </w:r>
      <w:r w:rsidR="005430CB" w:rsidRPr="00106292">
        <w:fldChar w:fldCharType="begin"/>
      </w:r>
      <w:r w:rsidR="005430CB" w:rsidRPr="00106292">
        <w:instrText xml:space="preserve"> REF _Ref325912084 \h  \* MERGEFORMAT </w:instrText>
      </w:r>
      <w:r w:rsidR="005430CB" w:rsidRPr="00106292">
        <w:fldChar w:fldCharType="separate"/>
      </w:r>
      <w:r w:rsidR="00966532" w:rsidRPr="00966532">
        <w:t xml:space="preserve">Figure </w:t>
      </w:r>
      <w:r w:rsidR="00966532" w:rsidRPr="00966532">
        <w:rPr>
          <w:noProof/>
        </w:rPr>
        <w:t>3</w:t>
      </w:r>
      <w:r w:rsidR="00966532" w:rsidRPr="00966532">
        <w:rPr>
          <w:noProof/>
        </w:rPr>
        <w:noBreakHyphen/>
        <w:t>10</w:t>
      </w:r>
      <w:r w:rsidR="005430CB" w:rsidRPr="00106292">
        <w:fldChar w:fldCharType="end"/>
      </w:r>
      <w:r w:rsidR="005430CB" w:rsidRPr="00106292">
        <w:t>). Particular caution must therefore be exercised in mapping ‘good’ to ‘acceptable’ groundwater quality, as this has greater uncertainties than more conductive features.</w:t>
      </w:r>
    </w:p>
    <w:p w:rsidR="00001EDC" w:rsidRPr="00795774" w:rsidRDefault="00001EDC" w:rsidP="00927BA1">
      <w:pPr>
        <w:rPr>
          <w:szCs w:val="22"/>
        </w:rPr>
      </w:pPr>
    </w:p>
    <w:p w:rsidR="00001EDC" w:rsidRPr="00106292" w:rsidRDefault="00001EDC" w:rsidP="00001EDC">
      <w:r w:rsidRPr="00106292">
        <w:t>Across much of the Jimargil site, there is a thick near-surface mud aquitard which precludes filtration of surface water to the unconfined shallow aquifer (</w:t>
      </w:r>
      <w:r w:rsidR="00DE0DFA" w:rsidRPr="00106292">
        <w:fldChar w:fldCharType="begin"/>
      </w:r>
      <w:r w:rsidR="00DE0DFA" w:rsidRPr="00106292">
        <w:instrText xml:space="preserve"> REF _Ref327390119 \h  \* MERGEFORMAT </w:instrText>
      </w:r>
      <w:r w:rsidR="00DE0DFA" w:rsidRPr="00106292">
        <w:fldChar w:fldCharType="separate"/>
      </w:r>
      <w:r w:rsidR="00966532" w:rsidRPr="00966532">
        <w:t xml:space="preserve">Figure </w:t>
      </w:r>
      <w:r w:rsidR="00966532" w:rsidRPr="00966532">
        <w:rPr>
          <w:noProof/>
        </w:rPr>
        <w:t>8</w:t>
      </w:r>
      <w:r w:rsidR="00966532" w:rsidRPr="00966532">
        <w:rPr>
          <w:noProof/>
        </w:rPr>
        <w:noBreakHyphen/>
        <w:t>6</w:t>
      </w:r>
      <w:r w:rsidR="00DE0DFA" w:rsidRPr="00106292">
        <w:fldChar w:fldCharType="end"/>
      </w:r>
      <w:r w:rsidR="00E1471C" w:rsidRPr="00106292">
        <w:t xml:space="preserve">; </w:t>
      </w:r>
      <w:r w:rsidR="00E1471C" w:rsidRPr="00106292">
        <w:rPr>
          <w:szCs w:val="22"/>
        </w:rPr>
        <w:t>Lawrie</w:t>
      </w:r>
      <w:r w:rsidR="008A5F7D" w:rsidRPr="00CF7613">
        <w:rPr>
          <w:rStyle w:val="StyleItalic"/>
        </w:rPr>
        <w:t xml:space="preserve"> et al</w:t>
      </w:r>
      <w:r w:rsidR="00E1471C" w:rsidRPr="00106292">
        <w:rPr>
          <w:szCs w:val="22"/>
        </w:rPr>
        <w:t>., 2012b</w:t>
      </w:r>
      <w:r w:rsidRPr="00106292">
        <w:t xml:space="preserve">). </w:t>
      </w:r>
      <w:r w:rsidR="00C217F0">
        <w:t>Coonambidgal Formation</w:t>
      </w:r>
      <w:r w:rsidRPr="00106292">
        <w:t xml:space="preserve"> sand sediments occur in scroll-plain tracts adjacent to the modern river (</w:t>
      </w:r>
      <w:r w:rsidR="000B4790" w:rsidRPr="00106292">
        <w:fldChar w:fldCharType="begin"/>
      </w:r>
      <w:r w:rsidR="000B4790" w:rsidRPr="00106292">
        <w:instrText xml:space="preserve"> REF _Ref325912437 \h </w:instrText>
      </w:r>
      <w:r w:rsidR="00795774" w:rsidRPr="00106292">
        <w:instrText xml:space="preserve"> \* MERGEFORMAT </w:instrText>
      </w:r>
      <w:r w:rsidR="000B4790" w:rsidRPr="00106292">
        <w:fldChar w:fldCharType="separate"/>
      </w:r>
      <w:r w:rsidR="00966532" w:rsidRPr="00966532">
        <w:t xml:space="preserve">Figure </w:t>
      </w:r>
      <w:r w:rsidR="00966532" w:rsidRPr="00966532">
        <w:rPr>
          <w:noProof/>
        </w:rPr>
        <w:t>8</w:t>
      </w:r>
      <w:r w:rsidR="00966532" w:rsidRPr="00966532">
        <w:rPr>
          <w:noProof/>
        </w:rPr>
        <w:noBreakHyphen/>
        <w:t>3</w:t>
      </w:r>
      <w:r w:rsidR="000B4790" w:rsidRPr="00106292">
        <w:fldChar w:fldCharType="end"/>
      </w:r>
      <w:r w:rsidR="000B4790" w:rsidRPr="00106292">
        <w:t>;</w:t>
      </w:r>
      <w:r w:rsidR="00DE0DFA" w:rsidRPr="00106292">
        <w:t xml:space="preserve"> </w:t>
      </w:r>
      <w:r w:rsidR="00DE0DFA" w:rsidRPr="00106292">
        <w:fldChar w:fldCharType="begin"/>
      </w:r>
      <w:r w:rsidR="00DE0DFA" w:rsidRPr="00106292">
        <w:instrText xml:space="preserve"> REF _Ref327390119 \h  \* MERGEFORMAT </w:instrText>
      </w:r>
      <w:r w:rsidR="00DE0DFA" w:rsidRPr="00106292">
        <w:fldChar w:fldCharType="separate"/>
      </w:r>
      <w:r w:rsidR="00966532" w:rsidRPr="00966532">
        <w:t xml:space="preserve">Figure </w:t>
      </w:r>
      <w:r w:rsidR="00966532" w:rsidRPr="00966532">
        <w:rPr>
          <w:noProof/>
        </w:rPr>
        <w:t>8</w:t>
      </w:r>
      <w:r w:rsidR="00966532" w:rsidRPr="00966532">
        <w:rPr>
          <w:noProof/>
        </w:rPr>
        <w:noBreakHyphen/>
        <w:t>6</w:t>
      </w:r>
      <w:r w:rsidR="00DE0DFA" w:rsidRPr="00106292">
        <w:fldChar w:fldCharType="end"/>
      </w:r>
      <w:r w:rsidRPr="00106292">
        <w:t xml:space="preserve">), and these facilitate recharge to the shallow unconfined aquifer but are largely prevented from recharging the </w:t>
      </w:r>
      <w:r w:rsidR="00C217F0">
        <w:t>Calivil Formation</w:t>
      </w:r>
      <w:r w:rsidRPr="00106292">
        <w:t xml:space="preserve"> due to the presence of the upper confining aquitard</w:t>
      </w:r>
      <w:r w:rsidR="00F92C3C" w:rsidRPr="00106292">
        <w:t xml:space="preserve"> (</w:t>
      </w:r>
      <w:r w:rsidR="00F92C3C" w:rsidRPr="00106292">
        <w:rPr>
          <w:szCs w:val="22"/>
        </w:rPr>
        <w:t>Lawrie</w:t>
      </w:r>
      <w:r w:rsidR="008A5F7D" w:rsidRPr="00CF7613">
        <w:rPr>
          <w:rStyle w:val="StyleItalic"/>
        </w:rPr>
        <w:t xml:space="preserve"> et al</w:t>
      </w:r>
      <w:r w:rsidR="00F92C3C" w:rsidRPr="00106292">
        <w:rPr>
          <w:szCs w:val="22"/>
        </w:rPr>
        <w:t xml:space="preserve">., 2012b; </w:t>
      </w:r>
      <w:r w:rsidR="00B03359">
        <w:rPr>
          <w:szCs w:val="22"/>
        </w:rPr>
        <w:t xml:space="preserve">Appendix 5, </w:t>
      </w:r>
      <w:r w:rsidR="00F92C3C" w:rsidRPr="00106292">
        <w:rPr>
          <w:szCs w:val="22"/>
        </w:rPr>
        <w:t>Apps</w:t>
      </w:r>
      <w:r w:rsidR="008A5F7D" w:rsidRPr="00CF7613">
        <w:rPr>
          <w:rStyle w:val="StyleItalic"/>
        </w:rPr>
        <w:t xml:space="preserve"> et al</w:t>
      </w:r>
      <w:r w:rsidR="00F92C3C" w:rsidRPr="00106292">
        <w:rPr>
          <w:szCs w:val="22"/>
        </w:rPr>
        <w:t xml:space="preserve">., </w:t>
      </w:r>
      <w:r w:rsidR="00EA29E9" w:rsidRPr="00106292">
        <w:rPr>
          <w:szCs w:val="22"/>
        </w:rPr>
        <w:t>2012</w:t>
      </w:r>
      <w:r w:rsidR="00B03359">
        <w:rPr>
          <w:szCs w:val="22"/>
        </w:rPr>
        <w:t>d</w:t>
      </w:r>
      <w:r w:rsidR="00F92C3C" w:rsidRPr="00106292">
        <w:rPr>
          <w:szCs w:val="22"/>
        </w:rPr>
        <w:t>)</w:t>
      </w:r>
      <w:r w:rsidRPr="00106292">
        <w:t>. Beneath the near-surface aquitard, sandy sediments are distributed in broad (0.5-2</w:t>
      </w:r>
      <w:r w:rsidR="00F92C3C" w:rsidRPr="00106292">
        <w:t xml:space="preserve"> </w:t>
      </w:r>
      <w:r w:rsidR="00F4198C" w:rsidRPr="00106292">
        <w:t>k</w:t>
      </w:r>
      <w:r w:rsidRPr="00106292">
        <w:t>m) wide palaeochannels (</w:t>
      </w:r>
      <w:r w:rsidR="00C217F0">
        <w:t>Menindee Formation</w:t>
      </w:r>
      <w:r w:rsidRPr="00106292">
        <w:t xml:space="preserve">) that occur at depths near the base of the </w:t>
      </w:r>
      <w:smartTag w:uri="urn:schemas-microsoft-com:office:smarttags" w:element="place">
        <w:r w:rsidRPr="00106292">
          <w:t>Darling River</w:t>
        </w:r>
      </w:smartTag>
      <w:r w:rsidRPr="00106292">
        <w:t xml:space="preserve"> channel at ~9 m. The distribution of these sands, and faults that intersect these horizons, plays an important factor in determin</w:t>
      </w:r>
      <w:r w:rsidR="00691549" w:rsidRPr="00106292">
        <w:t>in</w:t>
      </w:r>
      <w:r w:rsidRPr="00106292">
        <w:t>g recharge pathways and inter-aquifer-leakage</w:t>
      </w:r>
      <w:r w:rsidR="00F92C3C" w:rsidRPr="00106292">
        <w:t xml:space="preserve"> (</w:t>
      </w:r>
      <w:r w:rsidR="00F92C3C" w:rsidRPr="00106292">
        <w:rPr>
          <w:szCs w:val="22"/>
        </w:rPr>
        <w:t>Lawrie</w:t>
      </w:r>
      <w:r w:rsidR="008A5F7D" w:rsidRPr="00CF7613">
        <w:rPr>
          <w:rStyle w:val="StyleItalic"/>
        </w:rPr>
        <w:t xml:space="preserve"> et al</w:t>
      </w:r>
      <w:r w:rsidR="00F92C3C" w:rsidRPr="00106292">
        <w:rPr>
          <w:szCs w:val="22"/>
        </w:rPr>
        <w:t>., 2012b)</w:t>
      </w:r>
      <w:r w:rsidRPr="00106292">
        <w:t>.</w:t>
      </w:r>
    </w:p>
    <w:p w:rsidR="00001EDC" w:rsidRPr="00106292" w:rsidRDefault="00001EDC" w:rsidP="00001EDC"/>
    <w:p w:rsidR="00001EDC" w:rsidRPr="00106292" w:rsidRDefault="00001EDC" w:rsidP="00001EDC">
      <w:r w:rsidRPr="00106292">
        <w:t xml:space="preserve">The base of the upper confining aquitard (predominantly Blanchetown Clay and clay-rich upper </w:t>
      </w:r>
      <w:r w:rsidR="00C217F0">
        <w:t>Calivil Formation</w:t>
      </w:r>
      <w:r w:rsidRPr="00106292">
        <w:t>) is typically at depth</w:t>
      </w:r>
      <w:r w:rsidR="00D77B5F" w:rsidRPr="00106292">
        <w:t>s</w:t>
      </w:r>
      <w:r w:rsidRPr="00106292">
        <w:t xml:space="preserve"> of 28 m or greater at the Jimargil borefield, but locally at the northern end of the borefield is only at 9.5 m depth, where it is locally eroded (</w:t>
      </w:r>
      <w:r w:rsidR="00DE0DFA" w:rsidRPr="00106292">
        <w:fldChar w:fldCharType="begin"/>
      </w:r>
      <w:r w:rsidR="00DE0DFA" w:rsidRPr="00106292">
        <w:instrText xml:space="preserve"> REF _Ref327390150 \h  \* MERGEFORMAT </w:instrText>
      </w:r>
      <w:r w:rsidR="00DE0DFA" w:rsidRPr="00106292">
        <w:fldChar w:fldCharType="separate"/>
      </w:r>
      <w:r w:rsidR="00966532" w:rsidRPr="00966532">
        <w:t xml:space="preserve">Figure </w:t>
      </w:r>
      <w:r w:rsidR="00966532" w:rsidRPr="00966532">
        <w:rPr>
          <w:noProof/>
        </w:rPr>
        <w:t>8</w:t>
      </w:r>
      <w:r w:rsidR="00966532" w:rsidRPr="00966532">
        <w:rPr>
          <w:noProof/>
        </w:rPr>
        <w:noBreakHyphen/>
        <w:t>7</w:t>
      </w:r>
      <w:r w:rsidR="00DE0DFA" w:rsidRPr="00106292">
        <w:fldChar w:fldCharType="end"/>
      </w:r>
      <w:r w:rsidRPr="00106292">
        <w:t>). The thickness of the aquitard is similarly variable</w:t>
      </w:r>
      <w:r w:rsidR="00F92C3C" w:rsidRPr="00106292">
        <w:t xml:space="preserve"> (</w:t>
      </w:r>
      <w:r w:rsidR="00F92C3C" w:rsidRPr="00106292">
        <w:rPr>
          <w:szCs w:val="22"/>
        </w:rPr>
        <w:t>Lawrie</w:t>
      </w:r>
      <w:r w:rsidR="008A5F7D" w:rsidRPr="00CF7613">
        <w:rPr>
          <w:rStyle w:val="StyleItalic"/>
        </w:rPr>
        <w:t xml:space="preserve"> et al</w:t>
      </w:r>
      <w:r w:rsidR="00F92C3C" w:rsidRPr="00106292">
        <w:rPr>
          <w:szCs w:val="22"/>
        </w:rPr>
        <w:t xml:space="preserve">., 2012b; </w:t>
      </w:r>
      <w:r w:rsidR="00B03359">
        <w:rPr>
          <w:szCs w:val="22"/>
        </w:rPr>
        <w:t xml:space="preserve">Appendix 5, </w:t>
      </w:r>
      <w:r w:rsidR="00F92C3C" w:rsidRPr="00106292">
        <w:rPr>
          <w:szCs w:val="22"/>
        </w:rPr>
        <w:t>Apps</w:t>
      </w:r>
      <w:r w:rsidR="008A5F7D" w:rsidRPr="00CF7613">
        <w:rPr>
          <w:rStyle w:val="StyleItalic"/>
        </w:rPr>
        <w:t xml:space="preserve"> et al</w:t>
      </w:r>
      <w:r w:rsidR="00F92C3C" w:rsidRPr="00106292">
        <w:rPr>
          <w:szCs w:val="22"/>
        </w:rPr>
        <w:t xml:space="preserve">., </w:t>
      </w:r>
      <w:r w:rsidR="00EA29E9" w:rsidRPr="00106292">
        <w:rPr>
          <w:szCs w:val="22"/>
        </w:rPr>
        <w:t>2012</w:t>
      </w:r>
      <w:r w:rsidR="00B03359">
        <w:rPr>
          <w:szCs w:val="22"/>
        </w:rPr>
        <w:t>d</w:t>
      </w:r>
      <w:r w:rsidR="00F92C3C" w:rsidRPr="00106292">
        <w:t>)</w:t>
      </w:r>
      <w:r w:rsidRPr="00106292">
        <w:t>. In some places it is interpreted as absent, or thin (&lt;4</w:t>
      </w:r>
      <w:r w:rsidR="00E1471C" w:rsidRPr="00106292">
        <w:t xml:space="preserve"> </w:t>
      </w:r>
      <w:r w:rsidRPr="00106292">
        <w:t>m), but elsewhere it can be as thick as 18 m (</w:t>
      </w:r>
      <w:r w:rsidR="00F4198C" w:rsidRPr="00106292">
        <w:fldChar w:fldCharType="begin"/>
      </w:r>
      <w:r w:rsidR="00F4198C" w:rsidRPr="00106292">
        <w:instrText xml:space="preserve"> REF _Ref327390187 \h  \* MERGEFORMAT </w:instrText>
      </w:r>
      <w:r w:rsidR="00F4198C" w:rsidRPr="00106292">
        <w:fldChar w:fldCharType="separate"/>
      </w:r>
      <w:r w:rsidR="00966532" w:rsidRPr="00966532">
        <w:t xml:space="preserve">Figure </w:t>
      </w:r>
      <w:r w:rsidR="00966532" w:rsidRPr="00966532">
        <w:rPr>
          <w:noProof/>
        </w:rPr>
        <w:t>8</w:t>
      </w:r>
      <w:r w:rsidR="00966532" w:rsidRPr="00966532">
        <w:rPr>
          <w:noProof/>
        </w:rPr>
        <w:noBreakHyphen/>
        <w:t>8</w:t>
      </w:r>
      <w:r w:rsidR="00F4198C" w:rsidRPr="00106292">
        <w:fldChar w:fldCharType="end"/>
      </w:r>
      <w:r w:rsidRPr="00106292">
        <w:t>). In general, the river course (and watertable mounding in the shallow aquifer) is associated with aquitard thicknesses of 6–14 m (</w:t>
      </w:r>
      <w:r w:rsidR="00DE0DFA" w:rsidRPr="00106292">
        <w:fldChar w:fldCharType="begin"/>
      </w:r>
      <w:r w:rsidR="00DE0DFA" w:rsidRPr="00106292">
        <w:instrText xml:space="preserve"> REF _Ref327390150 \h  \* MERGEFORMAT </w:instrText>
      </w:r>
      <w:r w:rsidR="00DE0DFA" w:rsidRPr="00106292">
        <w:fldChar w:fldCharType="separate"/>
      </w:r>
      <w:r w:rsidR="00966532" w:rsidRPr="00966532">
        <w:t xml:space="preserve">Figure </w:t>
      </w:r>
      <w:r w:rsidR="00966532" w:rsidRPr="00966532">
        <w:rPr>
          <w:noProof/>
        </w:rPr>
        <w:lastRenderedPageBreak/>
        <w:t>8</w:t>
      </w:r>
      <w:r w:rsidR="00966532" w:rsidRPr="00966532">
        <w:rPr>
          <w:noProof/>
        </w:rPr>
        <w:noBreakHyphen/>
        <w:t>7</w:t>
      </w:r>
      <w:r w:rsidR="00DE0DFA" w:rsidRPr="00106292">
        <w:fldChar w:fldCharType="end"/>
      </w:r>
      <w:r w:rsidRPr="00106292">
        <w:t xml:space="preserve">). Vertical recharge to the </w:t>
      </w:r>
      <w:r w:rsidR="00C217F0">
        <w:t>Calivil Formation</w:t>
      </w:r>
      <w:r w:rsidR="00F4198C" w:rsidRPr="00106292">
        <w:t xml:space="preserve"> aquifer </w:t>
      </w:r>
      <w:r w:rsidRPr="00106292">
        <w:t xml:space="preserve">is thus unlikely to occur </w:t>
      </w:r>
      <w:r w:rsidR="001C23A9">
        <w:t xml:space="preserve">by infiltration </w:t>
      </w:r>
      <w:r w:rsidRPr="00106292">
        <w:t>through the upper confining aquitard except through faults, and holes</w:t>
      </w:r>
      <w:r w:rsidR="00B26EB3">
        <w:t xml:space="preserve"> (</w:t>
      </w:r>
      <w:r w:rsidR="00B26EB3" w:rsidRPr="00B26EB3">
        <w:fldChar w:fldCharType="begin"/>
      </w:r>
      <w:r w:rsidR="00B26EB3" w:rsidRPr="00B26EB3">
        <w:instrText xml:space="preserve"> REF _Ref330211451 \h  \* MERGEFORMAT </w:instrText>
      </w:r>
      <w:r w:rsidR="00B26EB3" w:rsidRPr="00B26EB3">
        <w:fldChar w:fldCharType="separate"/>
      </w:r>
      <w:r w:rsidR="00966532" w:rsidRPr="00966532">
        <w:t xml:space="preserve">Figure </w:t>
      </w:r>
      <w:r w:rsidR="00966532" w:rsidRPr="00966532">
        <w:rPr>
          <w:noProof/>
        </w:rPr>
        <w:t>8</w:t>
      </w:r>
      <w:r w:rsidR="00966532" w:rsidRPr="00966532">
        <w:rPr>
          <w:noProof/>
        </w:rPr>
        <w:noBreakHyphen/>
        <w:t>2</w:t>
      </w:r>
      <w:r w:rsidR="00B26EB3" w:rsidRPr="00B26EB3">
        <w:fldChar w:fldCharType="end"/>
      </w:r>
      <w:r w:rsidR="00B26EB3">
        <w:t>)</w:t>
      </w:r>
      <w:r w:rsidRPr="00106292">
        <w:t>.</w:t>
      </w:r>
    </w:p>
    <w:p w:rsidR="00001EDC" w:rsidRPr="00106292" w:rsidRDefault="00001EDC" w:rsidP="00001EDC"/>
    <w:p w:rsidR="00001EDC" w:rsidRDefault="00001EDC" w:rsidP="00001EDC">
      <w:pPr>
        <w:rPr>
          <w:szCs w:val="22"/>
        </w:rPr>
      </w:pPr>
      <w:r w:rsidRPr="00106292">
        <w:t xml:space="preserve">Textural mapping of the </w:t>
      </w:r>
      <w:r w:rsidR="00C217F0">
        <w:t>Calivil Formation</w:t>
      </w:r>
      <w:r w:rsidRPr="00106292">
        <w:t xml:space="preserve"> aquifer is shown in</w:t>
      </w:r>
      <w:r w:rsidR="00DE0DFA" w:rsidRPr="00106292">
        <w:t xml:space="preserve"> </w:t>
      </w:r>
      <w:r w:rsidR="00DE0DFA" w:rsidRPr="00106292">
        <w:fldChar w:fldCharType="begin"/>
      </w:r>
      <w:r w:rsidR="00DE0DFA" w:rsidRPr="00106292">
        <w:instrText xml:space="preserve"> REF _Ref327390187 \h  \* MERGEFORMAT </w:instrText>
      </w:r>
      <w:r w:rsidR="00DE0DFA" w:rsidRPr="00106292">
        <w:fldChar w:fldCharType="separate"/>
      </w:r>
      <w:r w:rsidR="00966532" w:rsidRPr="00966532">
        <w:t xml:space="preserve">Figure </w:t>
      </w:r>
      <w:r w:rsidR="00966532" w:rsidRPr="00966532">
        <w:rPr>
          <w:noProof/>
        </w:rPr>
        <w:t>8</w:t>
      </w:r>
      <w:r w:rsidR="00966532" w:rsidRPr="00966532">
        <w:rPr>
          <w:noProof/>
        </w:rPr>
        <w:noBreakHyphen/>
        <w:t>8</w:t>
      </w:r>
      <w:r w:rsidR="00DE0DFA" w:rsidRPr="00106292">
        <w:fldChar w:fldCharType="end"/>
      </w:r>
      <w:r w:rsidRPr="00106292">
        <w:t>. Coarse sands predominate, particularly at depth of 51.5–61.0 m (</w:t>
      </w:r>
      <w:r w:rsidR="00DE0DFA" w:rsidRPr="00106292">
        <w:fldChar w:fldCharType="begin"/>
      </w:r>
      <w:r w:rsidR="00DE0DFA" w:rsidRPr="00106292">
        <w:instrText xml:space="preserve"> REF _Ref327390187 \h  \* MERGEFORMAT </w:instrText>
      </w:r>
      <w:r w:rsidR="00DE0DFA" w:rsidRPr="00106292">
        <w:fldChar w:fldCharType="separate"/>
      </w:r>
      <w:r w:rsidR="00966532" w:rsidRPr="00966532">
        <w:t xml:space="preserve">Figure </w:t>
      </w:r>
      <w:r w:rsidR="00966532" w:rsidRPr="00966532">
        <w:rPr>
          <w:noProof/>
        </w:rPr>
        <w:t>8</w:t>
      </w:r>
      <w:r w:rsidR="00966532" w:rsidRPr="00966532">
        <w:rPr>
          <w:noProof/>
        </w:rPr>
        <w:noBreakHyphen/>
        <w:t>8</w:t>
      </w:r>
      <w:r w:rsidR="00DE0DFA" w:rsidRPr="00106292">
        <w:fldChar w:fldCharType="end"/>
      </w:r>
      <w:r w:rsidRPr="00106292">
        <w:t>). Very little lower confining aquitard (</w:t>
      </w:r>
      <w:r w:rsidR="00C217F0">
        <w:t>Renmark Group</w:t>
      </w:r>
      <w:r w:rsidRPr="00106292">
        <w:t>) is evident at this depth</w:t>
      </w:r>
      <w:r w:rsidR="00F92C3C" w:rsidRPr="00106292">
        <w:t xml:space="preserve"> (</w:t>
      </w:r>
      <w:r w:rsidR="00F92C3C" w:rsidRPr="00106292">
        <w:rPr>
          <w:szCs w:val="22"/>
        </w:rPr>
        <w:t>Lawrie</w:t>
      </w:r>
      <w:r w:rsidR="008A5F7D" w:rsidRPr="00CF7613">
        <w:rPr>
          <w:rStyle w:val="StyleItalic"/>
        </w:rPr>
        <w:t xml:space="preserve"> et al</w:t>
      </w:r>
      <w:r w:rsidR="00F92C3C" w:rsidRPr="00106292">
        <w:rPr>
          <w:szCs w:val="22"/>
        </w:rPr>
        <w:t xml:space="preserve">., 2012b; </w:t>
      </w:r>
      <w:r w:rsidR="00B03359">
        <w:rPr>
          <w:szCs w:val="22"/>
        </w:rPr>
        <w:t xml:space="preserve">Appendix 5, </w:t>
      </w:r>
      <w:r w:rsidR="00F92C3C" w:rsidRPr="00106292">
        <w:rPr>
          <w:szCs w:val="22"/>
        </w:rPr>
        <w:t>Apps</w:t>
      </w:r>
      <w:r w:rsidR="008A5F7D" w:rsidRPr="00CF7613">
        <w:rPr>
          <w:rStyle w:val="StyleItalic"/>
        </w:rPr>
        <w:t xml:space="preserve"> et al</w:t>
      </w:r>
      <w:r w:rsidR="00F92C3C" w:rsidRPr="00106292">
        <w:rPr>
          <w:szCs w:val="22"/>
        </w:rPr>
        <w:t xml:space="preserve">., </w:t>
      </w:r>
      <w:r w:rsidR="00EA29E9" w:rsidRPr="00106292">
        <w:rPr>
          <w:szCs w:val="22"/>
        </w:rPr>
        <w:t>2012</w:t>
      </w:r>
      <w:r w:rsidR="00B03359">
        <w:rPr>
          <w:szCs w:val="22"/>
        </w:rPr>
        <w:t>d</w:t>
      </w:r>
      <w:r w:rsidR="00F92C3C" w:rsidRPr="00106292">
        <w:t>)</w:t>
      </w:r>
      <w:r w:rsidRPr="00106292">
        <w:t xml:space="preserve">. Within the next depth slice interval (61.0–72.3 m), remaining </w:t>
      </w:r>
      <w:r w:rsidR="00C217F0">
        <w:t>Calivil Formation</w:t>
      </w:r>
      <w:r w:rsidRPr="00106292">
        <w:t xml:space="preserve"> sediments range from interbedded sand and mud to medium-grained sand (</w:t>
      </w:r>
      <w:r w:rsidR="00F4198C" w:rsidRPr="00106292">
        <w:fldChar w:fldCharType="begin"/>
      </w:r>
      <w:r w:rsidR="00F4198C" w:rsidRPr="00106292">
        <w:instrText xml:space="preserve"> REF _Ref327390220 \h  \* MERGEFORMAT </w:instrText>
      </w:r>
      <w:r w:rsidR="00F4198C" w:rsidRPr="00106292">
        <w:fldChar w:fldCharType="separate"/>
      </w:r>
      <w:r w:rsidR="00966532" w:rsidRPr="00966532">
        <w:t xml:space="preserve">Figure </w:t>
      </w:r>
      <w:r w:rsidR="00966532" w:rsidRPr="00966532">
        <w:rPr>
          <w:noProof/>
        </w:rPr>
        <w:t>8</w:t>
      </w:r>
      <w:r w:rsidR="00966532" w:rsidRPr="00966532">
        <w:rPr>
          <w:noProof/>
        </w:rPr>
        <w:noBreakHyphen/>
        <w:t>9</w:t>
      </w:r>
      <w:r w:rsidR="00F4198C" w:rsidRPr="00106292">
        <w:fldChar w:fldCharType="end"/>
      </w:r>
      <w:r w:rsidRPr="00106292">
        <w:t>), corresponding with the deepest part (thalweg</w:t>
      </w:r>
      <w:r w:rsidRPr="00795774">
        <w:t xml:space="preserve">) of the Pliocene palaeochannel. </w:t>
      </w:r>
      <w:r w:rsidR="00C217F0">
        <w:t>Calivil Formation</w:t>
      </w:r>
      <w:r w:rsidRPr="00795774">
        <w:t xml:space="preserve"> aquifer thicknesses are in the order of 30-50 m within the Jimargil </w:t>
      </w:r>
      <w:r w:rsidRPr="00DE0DFA">
        <w:t>site (</w:t>
      </w:r>
      <w:r w:rsidR="00DE0DFA" w:rsidRPr="00DE0DFA">
        <w:fldChar w:fldCharType="begin"/>
      </w:r>
      <w:r w:rsidR="00DE0DFA" w:rsidRPr="00DE0DFA">
        <w:instrText xml:space="preserve"> REF _Ref327390220 \h  \* MERGEFORMAT </w:instrText>
      </w:r>
      <w:r w:rsidR="00DE0DFA" w:rsidRPr="00DE0DFA">
        <w:fldChar w:fldCharType="separate"/>
      </w:r>
      <w:r w:rsidR="00966532" w:rsidRPr="00966532">
        <w:t xml:space="preserve">Figure </w:t>
      </w:r>
      <w:r w:rsidR="00966532" w:rsidRPr="00966532">
        <w:rPr>
          <w:noProof/>
        </w:rPr>
        <w:t>8</w:t>
      </w:r>
      <w:r w:rsidR="00966532" w:rsidRPr="00966532">
        <w:rPr>
          <w:noProof/>
        </w:rPr>
        <w:noBreakHyphen/>
        <w:t>9</w:t>
      </w:r>
      <w:r w:rsidR="00DE0DFA" w:rsidRPr="00DE0DFA">
        <w:fldChar w:fldCharType="end"/>
      </w:r>
      <w:r w:rsidRPr="00DE0DFA">
        <w:t>), with</w:t>
      </w:r>
      <w:r w:rsidRPr="00795774">
        <w:t xml:space="preserve"> good sands present in relatively wide braided palaeochannel systems up to 3</w:t>
      </w:r>
      <w:r w:rsidR="00E1471C">
        <w:t xml:space="preserve"> </w:t>
      </w:r>
      <w:r w:rsidRPr="00795774">
        <w:t>km wide (</w:t>
      </w:r>
      <w:r w:rsidR="00DE0DFA" w:rsidRPr="00DE0DFA">
        <w:fldChar w:fldCharType="begin"/>
      </w:r>
      <w:r w:rsidR="00DE0DFA" w:rsidRPr="00DE0DFA">
        <w:instrText xml:space="preserve"> REF _Ref327390220 \h  \* MERGEFORMAT </w:instrText>
      </w:r>
      <w:r w:rsidR="00DE0DFA" w:rsidRPr="00DE0DFA">
        <w:fldChar w:fldCharType="separate"/>
      </w:r>
      <w:r w:rsidR="00966532" w:rsidRPr="00966532">
        <w:t xml:space="preserve">Figure </w:t>
      </w:r>
      <w:r w:rsidR="00966532" w:rsidRPr="00966532">
        <w:rPr>
          <w:noProof/>
        </w:rPr>
        <w:t>8</w:t>
      </w:r>
      <w:r w:rsidR="00966532" w:rsidRPr="00966532">
        <w:rPr>
          <w:noProof/>
        </w:rPr>
        <w:noBreakHyphen/>
        <w:t>9</w:t>
      </w:r>
      <w:r w:rsidR="00DE0DFA" w:rsidRPr="00DE0DFA">
        <w:fldChar w:fldCharType="end"/>
      </w:r>
      <w:r w:rsidRPr="00795774">
        <w:t>). Where t</w:t>
      </w:r>
      <w:r w:rsidRPr="00795774">
        <w:rPr>
          <w:szCs w:val="22"/>
        </w:rPr>
        <w:t>he aquifer is thick (&gt;30</w:t>
      </w:r>
      <w:r w:rsidR="00E1471C">
        <w:rPr>
          <w:szCs w:val="22"/>
        </w:rPr>
        <w:t xml:space="preserve"> </w:t>
      </w:r>
      <w:r w:rsidRPr="00795774">
        <w:rPr>
          <w:szCs w:val="22"/>
        </w:rPr>
        <w:t>m</w:t>
      </w:r>
      <w:r w:rsidRPr="00795774">
        <w:t xml:space="preserve">; </w:t>
      </w:r>
      <w:r w:rsidR="00DE0DFA" w:rsidRPr="00DE0DFA">
        <w:fldChar w:fldCharType="begin"/>
      </w:r>
      <w:r w:rsidR="00DE0DFA" w:rsidRPr="00DE0DFA">
        <w:instrText xml:space="preserve"> REF _Ref327390220 \h  \* MERGEFORMAT </w:instrText>
      </w:r>
      <w:r w:rsidR="00DE0DFA" w:rsidRPr="00DE0DFA">
        <w:fldChar w:fldCharType="separate"/>
      </w:r>
      <w:r w:rsidR="00966532" w:rsidRPr="00966532">
        <w:t xml:space="preserve">Figure </w:t>
      </w:r>
      <w:r w:rsidR="00966532" w:rsidRPr="00966532">
        <w:rPr>
          <w:noProof/>
        </w:rPr>
        <w:t>8</w:t>
      </w:r>
      <w:r w:rsidR="00966532" w:rsidRPr="00966532">
        <w:rPr>
          <w:noProof/>
        </w:rPr>
        <w:noBreakHyphen/>
        <w:t>9</w:t>
      </w:r>
      <w:r w:rsidR="00DE0DFA" w:rsidRPr="00DE0DFA">
        <w:fldChar w:fldCharType="end"/>
      </w:r>
      <w:r w:rsidRPr="00795774">
        <w:t>),</w:t>
      </w:r>
      <w:r w:rsidRPr="00795774">
        <w:rPr>
          <w:szCs w:val="22"/>
        </w:rPr>
        <w:t xml:space="preserve"> salinity</w:t>
      </w:r>
      <w:r w:rsidRPr="00020978">
        <w:rPr>
          <w:szCs w:val="22"/>
        </w:rPr>
        <w:t xml:space="preserve"> generally varies with depth. </w:t>
      </w:r>
    </w:p>
    <w:p w:rsidR="00001EDC" w:rsidRDefault="00001EDC" w:rsidP="00001EDC">
      <w:pPr>
        <w:rPr>
          <w:szCs w:val="22"/>
        </w:rPr>
      </w:pPr>
    </w:p>
    <w:p w:rsidR="00163BAD" w:rsidRDefault="00163BAD" w:rsidP="00163BAD">
      <w:bookmarkStart w:id="523" w:name="_Ref325913417"/>
      <w:r w:rsidRPr="00106292">
        <w:t xml:space="preserve">The priority aquifer at the Jimargil site only locally connects to underlying sands in the </w:t>
      </w:r>
      <w:r>
        <w:t>Renmark Group</w:t>
      </w:r>
      <w:r w:rsidRPr="00106292">
        <w:t xml:space="preserve">, with the productive aquifer generally limited to the </w:t>
      </w:r>
      <w:r>
        <w:t>Calivil Formation</w:t>
      </w:r>
      <w:r w:rsidRPr="00106292">
        <w:t xml:space="preserve"> (</w:t>
      </w:r>
      <w:r w:rsidRPr="00106292">
        <w:fldChar w:fldCharType="begin"/>
      </w:r>
      <w:r w:rsidRPr="00106292">
        <w:instrText xml:space="preserve"> REF _Ref327390187 \h  \* MERGEFORMAT </w:instrText>
      </w:r>
      <w:r w:rsidRPr="00106292">
        <w:fldChar w:fldCharType="separate"/>
      </w:r>
      <w:r w:rsidR="00966532" w:rsidRPr="00966532">
        <w:t xml:space="preserve">Figure </w:t>
      </w:r>
      <w:r w:rsidR="00966532" w:rsidRPr="00966532">
        <w:rPr>
          <w:noProof/>
        </w:rPr>
        <w:t>8</w:t>
      </w:r>
      <w:r w:rsidR="00966532" w:rsidRPr="00966532">
        <w:rPr>
          <w:noProof/>
        </w:rPr>
        <w:noBreakHyphen/>
        <w:t>8</w:t>
      </w:r>
      <w:r w:rsidRPr="00106292">
        <w:fldChar w:fldCharType="end"/>
      </w:r>
      <w:r w:rsidRPr="00106292">
        <w:t xml:space="preserve">). Some leakage from the upper sands of the </w:t>
      </w:r>
      <w:r>
        <w:t>Renmark Group</w:t>
      </w:r>
      <w:r w:rsidRPr="00106292">
        <w:t xml:space="preserve"> is inferred from pump tests (Lawrie</w:t>
      </w:r>
      <w:r w:rsidR="008A5F7D" w:rsidRPr="00CF7613">
        <w:rPr>
          <w:rStyle w:val="StyleItalic"/>
        </w:rPr>
        <w:t xml:space="preserve"> et al</w:t>
      </w:r>
      <w:r w:rsidRPr="00106292">
        <w:t xml:space="preserve">., 2012b; </w:t>
      </w:r>
      <w:r w:rsidR="00B03359">
        <w:t xml:space="preserve">Appendix 6, </w:t>
      </w:r>
      <w:r w:rsidRPr="00106292">
        <w:t>Somerville</w:t>
      </w:r>
      <w:r w:rsidR="008A5F7D" w:rsidRPr="00CF7613">
        <w:rPr>
          <w:rStyle w:val="StyleItalic"/>
        </w:rPr>
        <w:t xml:space="preserve"> et al</w:t>
      </w:r>
      <w:r w:rsidRPr="00106292">
        <w:t xml:space="preserve">., 2012), so for specific areas with brackish groundwater or inter-aquifer leakage, </w:t>
      </w:r>
      <w:smartTag w:uri="urn:schemas-microsoft-com:office:smarttags" w:element="stockticker">
        <w:r w:rsidRPr="00106292">
          <w:t>MAR</w:t>
        </w:r>
      </w:smartTag>
      <w:r w:rsidRPr="00106292">
        <w:t xml:space="preserve"> operations would need to manage groundwater ingress or mixing to ensure acceptable quality of the recovered water.</w:t>
      </w:r>
    </w:p>
    <w:p w:rsidR="00290E8E" w:rsidRPr="00106292" w:rsidRDefault="00290E8E" w:rsidP="00163BAD">
      <w:pPr>
        <w:rPr>
          <w:szCs w:val="22"/>
        </w:rPr>
      </w:pPr>
    </w:p>
    <w:p w:rsidR="00163BAD" w:rsidRPr="00106292" w:rsidRDefault="00163BAD" w:rsidP="00163BAD">
      <w:pPr>
        <w:pStyle w:val="Caption"/>
        <w:rPr>
          <w:i w:val="0"/>
          <w:szCs w:val="22"/>
        </w:rPr>
      </w:pPr>
      <w:bookmarkStart w:id="524" w:name="_Ref355623267"/>
      <w:r w:rsidRPr="00106292">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8</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523"/>
      <w:bookmarkEnd w:id="524"/>
      <w:r w:rsidRPr="00106292">
        <w:rPr>
          <w:b/>
        </w:rPr>
        <w:t>.</w:t>
      </w:r>
      <w:r w:rsidRPr="00106292">
        <w:t xml:space="preserve"> </w:t>
      </w:r>
      <w:r w:rsidRPr="00106292">
        <w:rPr>
          <w:szCs w:val="22"/>
        </w:rPr>
        <w:t xml:space="preserve">Indicative groundwater volume estimates for </w:t>
      </w:r>
      <w:r w:rsidR="001C23A9">
        <w:rPr>
          <w:szCs w:val="22"/>
        </w:rPr>
        <w:t xml:space="preserve">Jimargil </w:t>
      </w:r>
      <w:r w:rsidRPr="00106292">
        <w:rPr>
          <w:szCs w:val="22"/>
        </w:rPr>
        <w:t>potential borefield in the GWR1 target.</w:t>
      </w:r>
      <w:r w:rsidRPr="00106292">
        <w:rPr>
          <w:i w:val="0"/>
          <w:szCs w:val="22"/>
        </w:rPr>
        <w:t xml:space="preserve"> </w:t>
      </w:r>
      <w:r w:rsidRPr="00106292">
        <w:rPr>
          <w:i w:val="0"/>
        </w:rPr>
        <w:fldChar w:fldCharType="begin"/>
      </w:r>
      <w:r w:rsidRPr="00106292">
        <w:rPr>
          <w:i w:val="0"/>
        </w:rPr>
        <w:instrText xml:space="preserve"> TC "</w:instrText>
      </w:r>
      <w:bookmarkStart w:id="525" w:name="_Toc390690296"/>
      <w:r w:rsidRPr="00106292">
        <w:rPr>
          <w:i w:val="0"/>
        </w:rPr>
        <w:instrText xml:space="preserve">Table </w:instrText>
      </w:r>
      <w:r w:rsidR="000D653B">
        <w:rPr>
          <w:i w:val="0"/>
        </w:rPr>
        <w:instrText>8-1</w:instrText>
      </w:r>
      <w:r w:rsidRPr="00106292">
        <w:rPr>
          <w:i w:val="0"/>
        </w:rPr>
        <w:instrText xml:space="preserve">. </w:instrText>
      </w:r>
      <w:r w:rsidRPr="00106292">
        <w:rPr>
          <w:i w:val="0"/>
          <w:szCs w:val="22"/>
        </w:rPr>
        <w:instrText xml:space="preserve">Indicative groundwater volume estimates for </w:instrText>
      </w:r>
      <w:r w:rsidR="001C23A9">
        <w:rPr>
          <w:i w:val="0"/>
          <w:szCs w:val="22"/>
        </w:rPr>
        <w:instrText xml:space="preserve">Jimargil </w:instrText>
      </w:r>
      <w:r w:rsidRPr="00106292">
        <w:rPr>
          <w:i w:val="0"/>
          <w:szCs w:val="22"/>
        </w:rPr>
        <w:instrText>potential borefield in the GWR1 target</w:instrText>
      </w:r>
      <w:r w:rsidRPr="00106292">
        <w:rPr>
          <w:i w:val="0"/>
        </w:rPr>
        <w:instrText>.</w:instrText>
      </w:r>
      <w:bookmarkEnd w:id="525"/>
      <w:r w:rsidRPr="00106292">
        <w:rPr>
          <w:i w:val="0"/>
        </w:rPr>
        <w:instrText xml:space="preserve">" \f B \l "4" </w:instrText>
      </w:r>
      <w:r w:rsidRPr="00106292">
        <w:rPr>
          <w:i w:val="0"/>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370"/>
        <w:gridCol w:w="1800"/>
        <w:gridCol w:w="1648"/>
        <w:gridCol w:w="1639"/>
        <w:gridCol w:w="1933"/>
      </w:tblGrid>
      <w:tr w:rsidR="007C13E4" w:rsidRPr="007C13E4" w:rsidTr="00755ED0">
        <w:trPr>
          <w:trHeight w:val="509"/>
        </w:trPr>
        <w:tc>
          <w:tcPr>
            <w:tcW w:w="2370" w:type="dxa"/>
            <w:tcBorders>
              <w:top w:val="single" w:sz="4" w:space="0" w:color="auto"/>
              <w:left w:val="single" w:sz="4" w:space="0" w:color="auto"/>
              <w:bottom w:val="single" w:sz="4" w:space="0" w:color="auto"/>
              <w:right w:val="single" w:sz="4" w:space="0" w:color="auto"/>
            </w:tcBorders>
            <w:shd w:val="clear" w:color="auto" w:fill="CCCCCC"/>
            <w:vAlign w:val="center"/>
          </w:tcPr>
          <w:p w:rsidR="007C13E4" w:rsidRPr="009A77C1" w:rsidRDefault="007C13E4" w:rsidP="00F830A9">
            <w:pPr>
              <w:jc w:val="center"/>
              <w:rPr>
                <w:b/>
                <w:bCs/>
                <w:color w:val="000000"/>
                <w:sz w:val="18"/>
                <w:szCs w:val="18"/>
              </w:rPr>
            </w:pPr>
            <w:r w:rsidRPr="009A77C1">
              <w:rPr>
                <w:b/>
                <w:bCs/>
                <w:color w:val="000000"/>
                <w:sz w:val="18"/>
                <w:szCs w:val="18"/>
              </w:rPr>
              <w:t>Borefield Target</w:t>
            </w:r>
          </w:p>
        </w:tc>
        <w:tc>
          <w:tcPr>
            <w:tcW w:w="1800" w:type="dxa"/>
            <w:tcBorders>
              <w:top w:val="single" w:sz="4" w:space="0" w:color="auto"/>
              <w:left w:val="single" w:sz="4" w:space="0" w:color="auto"/>
              <w:bottom w:val="single" w:sz="4" w:space="0" w:color="auto"/>
              <w:right w:val="single" w:sz="4" w:space="0" w:color="auto"/>
            </w:tcBorders>
            <w:shd w:val="clear" w:color="auto" w:fill="CCCCCC"/>
            <w:vAlign w:val="center"/>
          </w:tcPr>
          <w:p w:rsidR="007C13E4" w:rsidRPr="009A77C1" w:rsidRDefault="001C23A9" w:rsidP="00F830A9">
            <w:pPr>
              <w:jc w:val="center"/>
              <w:rPr>
                <w:b/>
                <w:bCs/>
                <w:color w:val="000000"/>
                <w:sz w:val="18"/>
                <w:szCs w:val="18"/>
              </w:rPr>
            </w:pPr>
            <w:r w:rsidRPr="009A77C1">
              <w:rPr>
                <w:b/>
                <w:bCs/>
                <w:color w:val="000000"/>
                <w:sz w:val="18"/>
                <w:szCs w:val="18"/>
              </w:rPr>
              <w:t xml:space="preserve">Predicted </w:t>
            </w:r>
            <w:r w:rsidR="007C13E4" w:rsidRPr="009A77C1">
              <w:rPr>
                <w:b/>
                <w:bCs/>
                <w:color w:val="000000"/>
                <w:sz w:val="18"/>
                <w:szCs w:val="18"/>
              </w:rPr>
              <w:t>Water Quality Class</w:t>
            </w:r>
          </w:p>
        </w:tc>
        <w:tc>
          <w:tcPr>
            <w:tcW w:w="1648" w:type="dxa"/>
            <w:tcBorders>
              <w:top w:val="single" w:sz="4" w:space="0" w:color="auto"/>
              <w:left w:val="single" w:sz="4" w:space="0" w:color="auto"/>
              <w:bottom w:val="single" w:sz="4" w:space="0" w:color="auto"/>
              <w:right w:val="single" w:sz="4" w:space="0" w:color="auto"/>
            </w:tcBorders>
            <w:shd w:val="clear" w:color="auto" w:fill="CCCCCC"/>
            <w:vAlign w:val="center"/>
          </w:tcPr>
          <w:p w:rsidR="00F830A9" w:rsidRDefault="007C13E4" w:rsidP="00F830A9">
            <w:pPr>
              <w:jc w:val="center"/>
              <w:rPr>
                <w:b/>
                <w:bCs/>
                <w:color w:val="000000"/>
                <w:sz w:val="18"/>
                <w:szCs w:val="18"/>
              </w:rPr>
            </w:pPr>
            <w:r w:rsidRPr="009A77C1">
              <w:rPr>
                <w:b/>
                <w:bCs/>
                <w:color w:val="000000"/>
                <w:sz w:val="18"/>
                <w:szCs w:val="18"/>
              </w:rPr>
              <w:t xml:space="preserve">Lower Quartile Groundwater Volume </w:t>
            </w:r>
          </w:p>
          <w:p w:rsidR="007C13E4" w:rsidRPr="009A77C1" w:rsidRDefault="007C13E4" w:rsidP="00F830A9">
            <w:pPr>
              <w:jc w:val="center"/>
              <w:rPr>
                <w:b/>
                <w:bCs/>
                <w:color w:val="000000"/>
                <w:sz w:val="18"/>
                <w:szCs w:val="18"/>
              </w:rPr>
            </w:pPr>
            <w:r w:rsidRPr="009A77C1">
              <w:rPr>
                <w:b/>
                <w:bCs/>
                <w:color w:val="000000"/>
                <w:sz w:val="18"/>
                <w:szCs w:val="18"/>
              </w:rPr>
              <w:t>(GL)</w:t>
            </w:r>
          </w:p>
        </w:tc>
        <w:tc>
          <w:tcPr>
            <w:tcW w:w="1639" w:type="dxa"/>
            <w:tcBorders>
              <w:top w:val="single" w:sz="4" w:space="0" w:color="auto"/>
              <w:left w:val="single" w:sz="4" w:space="0" w:color="auto"/>
              <w:bottom w:val="single" w:sz="4" w:space="0" w:color="auto"/>
              <w:right w:val="single" w:sz="4" w:space="0" w:color="auto"/>
            </w:tcBorders>
            <w:shd w:val="clear" w:color="auto" w:fill="CCCCCC"/>
            <w:vAlign w:val="center"/>
          </w:tcPr>
          <w:p w:rsidR="00F830A9" w:rsidRDefault="007C13E4" w:rsidP="00F830A9">
            <w:pPr>
              <w:jc w:val="center"/>
              <w:rPr>
                <w:b/>
                <w:bCs/>
                <w:color w:val="000000"/>
                <w:sz w:val="18"/>
                <w:szCs w:val="18"/>
              </w:rPr>
            </w:pPr>
            <w:r w:rsidRPr="009A77C1">
              <w:rPr>
                <w:b/>
                <w:bCs/>
                <w:color w:val="000000"/>
                <w:sz w:val="18"/>
                <w:szCs w:val="18"/>
              </w:rPr>
              <w:t xml:space="preserve">Median Groundwater Volume </w:t>
            </w:r>
          </w:p>
          <w:p w:rsidR="007C13E4" w:rsidRPr="009A77C1" w:rsidRDefault="007C13E4" w:rsidP="00F830A9">
            <w:pPr>
              <w:jc w:val="center"/>
              <w:rPr>
                <w:b/>
                <w:bCs/>
                <w:color w:val="000000"/>
                <w:sz w:val="18"/>
                <w:szCs w:val="18"/>
              </w:rPr>
            </w:pPr>
            <w:r w:rsidRPr="009A77C1">
              <w:rPr>
                <w:b/>
                <w:bCs/>
                <w:color w:val="000000"/>
                <w:sz w:val="18"/>
                <w:szCs w:val="18"/>
              </w:rPr>
              <w:t>(GL)</w:t>
            </w:r>
          </w:p>
        </w:tc>
        <w:tc>
          <w:tcPr>
            <w:tcW w:w="1933" w:type="dxa"/>
            <w:tcBorders>
              <w:top w:val="single" w:sz="4" w:space="0" w:color="auto"/>
              <w:left w:val="single" w:sz="4" w:space="0" w:color="auto"/>
              <w:bottom w:val="single" w:sz="4" w:space="0" w:color="auto"/>
              <w:right w:val="single" w:sz="4" w:space="0" w:color="auto"/>
            </w:tcBorders>
            <w:shd w:val="clear" w:color="auto" w:fill="CCCCCC"/>
            <w:vAlign w:val="center"/>
          </w:tcPr>
          <w:p w:rsidR="00F830A9" w:rsidRDefault="007C13E4" w:rsidP="00F830A9">
            <w:pPr>
              <w:jc w:val="center"/>
              <w:rPr>
                <w:b/>
                <w:bCs/>
                <w:color w:val="000000"/>
                <w:sz w:val="18"/>
                <w:szCs w:val="18"/>
              </w:rPr>
            </w:pPr>
            <w:r w:rsidRPr="009A77C1">
              <w:rPr>
                <w:b/>
                <w:bCs/>
                <w:color w:val="000000"/>
                <w:sz w:val="18"/>
                <w:szCs w:val="18"/>
              </w:rPr>
              <w:t xml:space="preserve">Upper Quartile Groundwater Volume </w:t>
            </w:r>
          </w:p>
          <w:p w:rsidR="00F830A9" w:rsidRDefault="00F830A9" w:rsidP="00F830A9">
            <w:pPr>
              <w:jc w:val="center"/>
              <w:rPr>
                <w:b/>
                <w:bCs/>
                <w:color w:val="000000"/>
                <w:sz w:val="18"/>
                <w:szCs w:val="18"/>
              </w:rPr>
            </w:pPr>
          </w:p>
          <w:p w:rsidR="007C13E4" w:rsidRPr="009A77C1" w:rsidRDefault="007C13E4" w:rsidP="00F830A9">
            <w:pPr>
              <w:jc w:val="center"/>
              <w:rPr>
                <w:b/>
                <w:bCs/>
                <w:color w:val="000000"/>
                <w:sz w:val="18"/>
                <w:szCs w:val="18"/>
              </w:rPr>
            </w:pPr>
            <w:r w:rsidRPr="009A77C1">
              <w:rPr>
                <w:b/>
                <w:bCs/>
                <w:color w:val="000000"/>
                <w:sz w:val="18"/>
                <w:szCs w:val="18"/>
              </w:rPr>
              <w:t>(GL)</w:t>
            </w:r>
          </w:p>
        </w:tc>
      </w:tr>
      <w:tr w:rsidR="007C13E4" w:rsidRPr="007C13E4" w:rsidTr="00755ED0">
        <w:trPr>
          <w:trHeight w:val="509"/>
        </w:trPr>
        <w:tc>
          <w:tcPr>
            <w:tcW w:w="2370"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rPr>
                <w:sz w:val="18"/>
                <w:szCs w:val="18"/>
              </w:rPr>
            </w:pPr>
            <w:r w:rsidRPr="009A77C1">
              <w:rPr>
                <w:sz w:val="18"/>
                <w:szCs w:val="18"/>
              </w:rPr>
              <w:t>GWR1 - Jimargil</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rPr>
                <w:sz w:val="18"/>
                <w:szCs w:val="18"/>
              </w:rPr>
            </w:pPr>
            <w:r w:rsidRPr="009A77C1">
              <w:rPr>
                <w:sz w:val="18"/>
                <w:szCs w:val="18"/>
              </w:rPr>
              <w:t xml:space="preserve"> &lt; 600 mg/L</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80</w:t>
            </w:r>
          </w:p>
        </w:tc>
      </w:tr>
      <w:tr w:rsidR="007C13E4" w:rsidRPr="007C13E4" w:rsidTr="00755ED0">
        <w:trPr>
          <w:trHeight w:val="509"/>
        </w:trPr>
        <w:tc>
          <w:tcPr>
            <w:tcW w:w="2370"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rPr>
                <w:sz w:val="18"/>
                <w:szCs w:val="18"/>
              </w:rPr>
            </w:pPr>
            <w:r w:rsidRPr="009A77C1">
              <w:rPr>
                <w:sz w:val="18"/>
                <w:szCs w:val="18"/>
              </w:rPr>
              <w:t>GWR1 - Jimargil</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rPr>
                <w:sz w:val="18"/>
                <w:szCs w:val="18"/>
              </w:rPr>
            </w:pPr>
            <w:r w:rsidRPr="009A77C1">
              <w:rPr>
                <w:sz w:val="18"/>
                <w:szCs w:val="18"/>
              </w:rPr>
              <w:t xml:space="preserve"> 600 - 1,200 mg/L</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50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80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110</w:t>
            </w:r>
          </w:p>
        </w:tc>
      </w:tr>
      <w:tr w:rsidR="007C13E4" w:rsidRPr="007C13E4" w:rsidTr="00755ED0">
        <w:trPr>
          <w:trHeight w:val="509"/>
        </w:trPr>
        <w:tc>
          <w:tcPr>
            <w:tcW w:w="2370"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rPr>
                <w:sz w:val="18"/>
                <w:szCs w:val="18"/>
              </w:rPr>
            </w:pPr>
            <w:r w:rsidRPr="009A77C1">
              <w:rPr>
                <w:sz w:val="18"/>
                <w:szCs w:val="18"/>
              </w:rPr>
              <w:t>GWR1 - Jimargil</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rPr>
                <w:sz w:val="18"/>
                <w:szCs w:val="18"/>
              </w:rPr>
            </w:pPr>
            <w:r w:rsidRPr="009A77C1">
              <w:rPr>
                <w:sz w:val="18"/>
                <w:szCs w:val="18"/>
              </w:rPr>
              <w:t xml:space="preserve"> 1,200 - 3,000 mg/L</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7C13E4" w:rsidRPr="009A77C1" w:rsidRDefault="007C13E4" w:rsidP="007C13E4">
            <w:pPr>
              <w:jc w:val="center"/>
              <w:rPr>
                <w:sz w:val="18"/>
                <w:szCs w:val="18"/>
              </w:rPr>
            </w:pPr>
            <w:r w:rsidRPr="009A77C1">
              <w:rPr>
                <w:sz w:val="18"/>
                <w:szCs w:val="18"/>
              </w:rPr>
              <w:t>50</w:t>
            </w:r>
          </w:p>
        </w:tc>
      </w:tr>
      <w:tr w:rsidR="007C13E4" w:rsidRPr="007C13E4" w:rsidTr="00755ED0">
        <w:trPr>
          <w:trHeight w:val="509"/>
        </w:trPr>
        <w:tc>
          <w:tcPr>
            <w:tcW w:w="2370" w:type="dxa"/>
            <w:tcBorders>
              <w:top w:val="single" w:sz="4" w:space="0" w:color="auto"/>
              <w:left w:val="single" w:sz="4" w:space="0" w:color="auto"/>
              <w:bottom w:val="single" w:sz="4" w:space="0" w:color="auto"/>
              <w:right w:val="single" w:sz="4" w:space="0" w:color="auto"/>
            </w:tcBorders>
            <w:shd w:val="clear" w:color="auto" w:fill="E0E0E0"/>
            <w:vAlign w:val="center"/>
          </w:tcPr>
          <w:p w:rsidR="007C13E4" w:rsidRPr="009A77C1" w:rsidRDefault="007C13E4" w:rsidP="007C13E4">
            <w:pPr>
              <w:rPr>
                <w:b/>
                <w:sz w:val="18"/>
                <w:szCs w:val="18"/>
              </w:rPr>
            </w:pPr>
            <w:r w:rsidRPr="009A77C1">
              <w:rPr>
                <w:b/>
                <w:sz w:val="18"/>
                <w:szCs w:val="18"/>
              </w:rPr>
              <w:t xml:space="preserve">Jimargil </w:t>
            </w:r>
            <w:r w:rsidR="00755ED0" w:rsidRPr="009A77C1">
              <w:rPr>
                <w:b/>
                <w:sz w:val="18"/>
                <w:szCs w:val="18"/>
              </w:rPr>
              <w:t>Borefield (</w:t>
            </w:r>
            <w:r w:rsidRPr="009A77C1">
              <w:rPr>
                <w:b/>
                <w:sz w:val="18"/>
                <w:szCs w:val="18"/>
              </w:rPr>
              <w:t>Total)</w:t>
            </w:r>
          </w:p>
        </w:tc>
        <w:tc>
          <w:tcPr>
            <w:tcW w:w="1800" w:type="dxa"/>
            <w:tcBorders>
              <w:top w:val="single" w:sz="4" w:space="0" w:color="auto"/>
              <w:left w:val="single" w:sz="4" w:space="0" w:color="auto"/>
              <w:bottom w:val="single" w:sz="4" w:space="0" w:color="auto"/>
              <w:right w:val="single" w:sz="4" w:space="0" w:color="auto"/>
            </w:tcBorders>
            <w:shd w:val="clear" w:color="auto" w:fill="E0E0E0"/>
            <w:vAlign w:val="center"/>
          </w:tcPr>
          <w:p w:rsidR="007C13E4" w:rsidRPr="009A77C1" w:rsidRDefault="007C13E4" w:rsidP="007C13E4">
            <w:pPr>
              <w:rPr>
                <w:b/>
                <w:sz w:val="18"/>
                <w:szCs w:val="18"/>
              </w:rPr>
            </w:pPr>
            <w:r w:rsidRPr="009A77C1">
              <w:rPr>
                <w:b/>
                <w:sz w:val="18"/>
                <w:szCs w:val="18"/>
              </w:rPr>
              <w:t>&lt; 3</w:t>
            </w:r>
            <w:r w:rsidR="00F830A9">
              <w:rPr>
                <w:b/>
                <w:sz w:val="18"/>
                <w:szCs w:val="18"/>
              </w:rPr>
              <w:t>,</w:t>
            </w:r>
            <w:r w:rsidRPr="009A77C1">
              <w:rPr>
                <w:b/>
                <w:sz w:val="18"/>
                <w:szCs w:val="18"/>
              </w:rPr>
              <w:t>000 mg/L</w:t>
            </w:r>
          </w:p>
        </w:tc>
        <w:tc>
          <w:tcPr>
            <w:tcW w:w="1648" w:type="dxa"/>
            <w:tcBorders>
              <w:top w:val="single" w:sz="4" w:space="0" w:color="auto"/>
              <w:left w:val="single" w:sz="4" w:space="0" w:color="auto"/>
              <w:bottom w:val="single" w:sz="4" w:space="0" w:color="auto"/>
              <w:right w:val="single" w:sz="4" w:space="0" w:color="auto"/>
            </w:tcBorders>
            <w:shd w:val="clear" w:color="auto" w:fill="E0E0E0"/>
            <w:vAlign w:val="center"/>
          </w:tcPr>
          <w:p w:rsidR="007C13E4" w:rsidRPr="009A77C1" w:rsidRDefault="007C13E4" w:rsidP="007C13E4">
            <w:pPr>
              <w:jc w:val="center"/>
              <w:rPr>
                <w:b/>
                <w:sz w:val="18"/>
                <w:szCs w:val="18"/>
              </w:rPr>
            </w:pPr>
            <w:r w:rsidRPr="009A77C1">
              <w:rPr>
                <w:b/>
                <w:sz w:val="18"/>
                <w:szCs w:val="18"/>
              </w:rPr>
              <w:t>110</w:t>
            </w:r>
          </w:p>
        </w:tc>
        <w:tc>
          <w:tcPr>
            <w:tcW w:w="1639" w:type="dxa"/>
            <w:tcBorders>
              <w:top w:val="single" w:sz="4" w:space="0" w:color="auto"/>
              <w:left w:val="single" w:sz="4" w:space="0" w:color="auto"/>
              <w:bottom w:val="single" w:sz="4" w:space="0" w:color="auto"/>
              <w:right w:val="single" w:sz="4" w:space="0" w:color="auto"/>
            </w:tcBorders>
            <w:shd w:val="clear" w:color="auto" w:fill="E0E0E0"/>
            <w:vAlign w:val="center"/>
          </w:tcPr>
          <w:p w:rsidR="007C13E4" w:rsidRPr="009A77C1" w:rsidRDefault="007C13E4" w:rsidP="007C13E4">
            <w:pPr>
              <w:jc w:val="center"/>
              <w:rPr>
                <w:b/>
                <w:sz w:val="18"/>
                <w:szCs w:val="18"/>
              </w:rPr>
            </w:pPr>
            <w:r w:rsidRPr="009A77C1">
              <w:rPr>
                <w:b/>
                <w:sz w:val="18"/>
                <w:szCs w:val="18"/>
              </w:rPr>
              <w:t>170</w:t>
            </w:r>
          </w:p>
        </w:tc>
        <w:tc>
          <w:tcPr>
            <w:tcW w:w="1933" w:type="dxa"/>
            <w:tcBorders>
              <w:top w:val="single" w:sz="4" w:space="0" w:color="auto"/>
              <w:left w:val="single" w:sz="4" w:space="0" w:color="auto"/>
              <w:bottom w:val="single" w:sz="4" w:space="0" w:color="auto"/>
              <w:right w:val="single" w:sz="4" w:space="0" w:color="auto"/>
            </w:tcBorders>
            <w:shd w:val="clear" w:color="auto" w:fill="E0E0E0"/>
            <w:vAlign w:val="center"/>
          </w:tcPr>
          <w:p w:rsidR="007C13E4" w:rsidRPr="009A77C1" w:rsidRDefault="007C13E4" w:rsidP="007C13E4">
            <w:pPr>
              <w:jc w:val="center"/>
              <w:rPr>
                <w:b/>
                <w:sz w:val="18"/>
                <w:szCs w:val="18"/>
              </w:rPr>
            </w:pPr>
            <w:r w:rsidRPr="009A77C1">
              <w:rPr>
                <w:b/>
                <w:sz w:val="18"/>
                <w:szCs w:val="18"/>
              </w:rPr>
              <w:t>240</w:t>
            </w:r>
          </w:p>
        </w:tc>
      </w:tr>
    </w:tbl>
    <w:p w:rsidR="00290E8E" w:rsidRPr="007F343E" w:rsidRDefault="00290E8E" w:rsidP="00290E8E">
      <w:pPr>
        <w:spacing w:before="120" w:after="120"/>
        <w:rPr>
          <w:sz w:val="20"/>
          <w:szCs w:val="20"/>
        </w:rPr>
      </w:pPr>
      <w:r w:rsidRPr="007F343E">
        <w:rPr>
          <w:sz w:val="20"/>
          <w:szCs w:val="20"/>
        </w:rPr>
        <w:t xml:space="preserve">Notes: </w:t>
      </w:r>
      <w:r>
        <w:rPr>
          <w:sz w:val="20"/>
          <w:szCs w:val="20"/>
        </w:rPr>
        <w:t xml:space="preserve">These groundwater volumes are indicative estimates only. </w:t>
      </w:r>
      <w:r w:rsidRPr="007F343E">
        <w:rPr>
          <w:sz w:val="20"/>
          <w:szCs w:val="20"/>
        </w:rPr>
        <w:t>Groundwater storage volumes do not equate to extractable</w:t>
      </w:r>
      <w:r>
        <w:rPr>
          <w:sz w:val="20"/>
          <w:szCs w:val="20"/>
        </w:rPr>
        <w:t xml:space="preserve"> groundwater volumes, which would</w:t>
      </w:r>
      <w:r w:rsidRPr="007F343E">
        <w:rPr>
          <w:sz w:val="20"/>
          <w:szCs w:val="20"/>
        </w:rPr>
        <w:t xml:space="preserve"> be smaller </w:t>
      </w:r>
      <w:r w:rsidR="00E33C41">
        <w:rPr>
          <w:sz w:val="20"/>
          <w:szCs w:val="20"/>
        </w:rPr>
        <w:t>than</w:t>
      </w:r>
      <w:r w:rsidRPr="007F343E">
        <w:rPr>
          <w:sz w:val="20"/>
          <w:szCs w:val="20"/>
        </w:rPr>
        <w:t xml:space="preserve"> these estimates</w:t>
      </w:r>
      <w:r>
        <w:rPr>
          <w:sz w:val="20"/>
          <w:szCs w:val="20"/>
        </w:rPr>
        <w:t>.</w:t>
      </w:r>
    </w:p>
    <w:p w:rsidR="00290E8E" w:rsidRPr="00106292" w:rsidRDefault="00290E8E" w:rsidP="00163BAD">
      <w:pPr>
        <w:rPr>
          <w:rFonts w:cs="Angsana New"/>
          <w:szCs w:val="22"/>
          <w:lang w:eastAsia="zh-CN" w:bidi="th-TH"/>
        </w:rPr>
      </w:pPr>
    </w:p>
    <w:p w:rsidR="00B96C96" w:rsidRDefault="00B96C96" w:rsidP="00B96C96">
      <w:r>
        <w:t xml:space="preserve">Woody vegetation, principally open forest of low condition has been identified within the </w:t>
      </w:r>
      <w:smartTag w:uri="urn:schemas-microsoft-com:office:smarttags" w:element="place">
        <w:r>
          <w:t>Darling River</w:t>
        </w:r>
      </w:smartTag>
      <w:r>
        <w:t xml:space="preserve"> riparian zone whereas woodland vegetation is more common on the floodplain (</w:t>
      </w:r>
      <w:r>
        <w:fldChar w:fldCharType="begin"/>
      </w:r>
      <w:r>
        <w:instrText xml:space="preserve"> REF _Ref327390055 \h  \* MERGEFORMAT </w:instrText>
      </w:r>
      <w:r>
        <w:fldChar w:fldCharType="separate"/>
      </w:r>
      <w:r w:rsidR="00966532" w:rsidRPr="00966532">
        <w:t xml:space="preserve">Figure </w:t>
      </w:r>
      <w:r w:rsidR="00966532" w:rsidRPr="00966532">
        <w:rPr>
          <w:noProof/>
        </w:rPr>
        <w:t>8</w:t>
      </w:r>
      <w:r w:rsidR="00966532" w:rsidRPr="00966532">
        <w:rPr>
          <w:noProof/>
        </w:rPr>
        <w:noBreakHyphen/>
        <w:t>10</w:t>
      </w:r>
      <w:r>
        <w:fldChar w:fldCharType="end"/>
      </w:r>
      <w:r>
        <w:t xml:space="preserve">; </w:t>
      </w:r>
      <w:r>
        <w:rPr>
          <w:szCs w:val="22"/>
        </w:rPr>
        <w:t>Lawrie</w:t>
      </w:r>
      <w:r w:rsidR="008A5F7D" w:rsidRPr="00CF7613">
        <w:rPr>
          <w:rStyle w:val="StyleItalic"/>
        </w:rPr>
        <w:t xml:space="preserve"> et al</w:t>
      </w:r>
      <w:r>
        <w:rPr>
          <w:szCs w:val="22"/>
        </w:rPr>
        <w:t>., 2012a, b, c, d</w:t>
      </w:r>
      <w:r>
        <w:t>). Based on temporal remote sensing analysis all these vegetation communities have been class</w:t>
      </w:r>
      <w:r w:rsidR="000D653B">
        <w:t xml:space="preserve">ified as groundwater dependent </w:t>
      </w:r>
      <w:r>
        <w:t>(</w:t>
      </w:r>
      <w:r>
        <w:fldChar w:fldCharType="begin"/>
      </w:r>
      <w:r>
        <w:instrText xml:space="preserve"> REF _Ref327390055 \h  \* MERGEFORMAT </w:instrText>
      </w:r>
      <w:r>
        <w:fldChar w:fldCharType="separate"/>
      </w:r>
      <w:r w:rsidR="00966532" w:rsidRPr="00966532">
        <w:t xml:space="preserve">Figure </w:t>
      </w:r>
      <w:r w:rsidR="00966532" w:rsidRPr="00966532">
        <w:rPr>
          <w:noProof/>
        </w:rPr>
        <w:t>8</w:t>
      </w:r>
      <w:r w:rsidR="00966532" w:rsidRPr="00966532">
        <w:rPr>
          <w:noProof/>
        </w:rPr>
        <w:noBreakHyphen/>
        <w:t>10</w:t>
      </w:r>
      <w:r>
        <w:fldChar w:fldCharType="end"/>
      </w:r>
      <w:r>
        <w:t xml:space="preserve">; </w:t>
      </w:r>
      <w:r>
        <w:rPr>
          <w:szCs w:val="22"/>
        </w:rPr>
        <w:t>Lawrie</w:t>
      </w:r>
      <w:r w:rsidR="008A5F7D" w:rsidRPr="00CF7613">
        <w:rPr>
          <w:rStyle w:val="StyleItalic"/>
        </w:rPr>
        <w:t xml:space="preserve"> et al</w:t>
      </w:r>
      <w:r>
        <w:rPr>
          <w:szCs w:val="22"/>
        </w:rPr>
        <w:t>., 2012a</w:t>
      </w:r>
      <w:r>
        <w:t xml:space="preserve">). </w:t>
      </w:r>
    </w:p>
    <w:p w:rsidR="00B96C96" w:rsidRDefault="00B96C96" w:rsidP="00B96C96"/>
    <w:p w:rsidR="00B96C96" w:rsidRDefault="00B96C96" w:rsidP="00B96C96">
      <w:r>
        <w:t>In general, riparian vegetation (and some adjacent floodplain vegetation) was interpreted to be reliant on surface water while floodplain vegetation appears to be particularly responsive to river recharge due to their proximity to the river (and associated watertable mound) and location within more porous Coonambidgal Formation sediments. During the recent drought this response was observed as a greater decline in condition by the end of the drought (with respect to more distal vegetation that was already of poorer condition) and greater variability in condition throughout the drought in response to minor fluctuations in watertable levels proximal to the river. Communities less influenced by localised recharge typically exhibit poorer condition at the end of the drought with respect to vegetation closer to the river channel; minimal change in condition with resp</w:t>
      </w:r>
      <w:r w:rsidR="00104868">
        <w:t>ect to the start of the drought</w:t>
      </w:r>
      <w:r>
        <w:t>, and low variability in condition over the course of the drought. (</w:t>
      </w:r>
      <w:r>
        <w:rPr>
          <w:szCs w:val="22"/>
        </w:rPr>
        <w:t>Lawrie</w:t>
      </w:r>
      <w:r w:rsidR="008A5F7D" w:rsidRPr="00CF7613">
        <w:rPr>
          <w:rStyle w:val="StyleItalic"/>
        </w:rPr>
        <w:t xml:space="preserve"> et al</w:t>
      </w:r>
      <w:r w:rsidR="000D653B">
        <w:rPr>
          <w:szCs w:val="22"/>
        </w:rPr>
        <w:t>.,</w:t>
      </w:r>
      <w:r>
        <w:rPr>
          <w:szCs w:val="22"/>
        </w:rPr>
        <w:t xml:space="preserve"> 2012c</w:t>
      </w:r>
      <w:r>
        <w:t xml:space="preserve">). Groundwater-dependent vegetation utilises groundwater within the shallow unconfined aquifer, not </w:t>
      </w:r>
      <w:r w:rsidR="001C23A9">
        <w:t xml:space="preserve">directly from </w:t>
      </w:r>
      <w:r>
        <w:t xml:space="preserve">the semi-confined Calivil Formation aquifer. There is a strong association between mapped fault structures, observed vegetation condition and the course of the </w:t>
      </w:r>
      <w:smartTag w:uri="urn:schemas-microsoft-com:office:smarttags" w:element="place">
        <w:r>
          <w:t>Darling River</w:t>
        </w:r>
      </w:smartTag>
      <w:r>
        <w:t>. Such structures can:</w:t>
      </w:r>
    </w:p>
    <w:p w:rsidR="00B96C96" w:rsidRDefault="00B96C96" w:rsidP="00B96C96">
      <w:pPr>
        <w:numPr>
          <w:ilvl w:val="0"/>
          <w:numId w:val="67"/>
        </w:numPr>
        <w:ind w:left="714" w:hanging="357"/>
      </w:pPr>
      <w:r>
        <w:t xml:space="preserve">Result in reduced effective storage (i.e. saturated thickness) in some areas of the landscape which makes it non-conducive to supporting woody vegetation; </w:t>
      </w:r>
    </w:p>
    <w:p w:rsidR="00B96C96" w:rsidRDefault="00B96C96" w:rsidP="00B96C96">
      <w:pPr>
        <w:numPr>
          <w:ilvl w:val="0"/>
          <w:numId w:val="67"/>
        </w:numPr>
        <w:ind w:left="714" w:hanging="357"/>
      </w:pPr>
      <w:r>
        <w:lastRenderedPageBreak/>
        <w:t xml:space="preserve">Act as impermeable barriers to flow beyond which point the watertable is considerably lower; or </w:t>
      </w:r>
    </w:p>
    <w:p w:rsidR="00B96C96" w:rsidRDefault="00B96C96" w:rsidP="00B96C96">
      <w:pPr>
        <w:numPr>
          <w:ilvl w:val="0"/>
          <w:numId w:val="67"/>
        </w:numPr>
        <w:ind w:left="714" w:hanging="357"/>
      </w:pPr>
      <w:r>
        <w:t xml:space="preserve">Facilitate recharge from the shallow unconfined aquifer to the deeper semi-confined aquifer. </w:t>
      </w:r>
    </w:p>
    <w:p w:rsidR="00B96C96" w:rsidRDefault="00B96C96" w:rsidP="00B96C96"/>
    <w:p w:rsidR="00B96C96" w:rsidRDefault="00B96C96" w:rsidP="00B96C96">
      <w:r>
        <w:t>The combination of leaky faults, holes in the upper confining aquitard, and associated connectivity between the shallow unconfined aquifer and the semi-confined aquifer, and groundwater dependent vegetation in the northern portion of Jimargil (</w:t>
      </w:r>
      <w:r>
        <w:fldChar w:fldCharType="begin"/>
      </w:r>
      <w:r>
        <w:instrText xml:space="preserve"> REF _Ref327390055 \h  \* MERGEFORMAT </w:instrText>
      </w:r>
      <w:r>
        <w:fldChar w:fldCharType="separate"/>
      </w:r>
      <w:r w:rsidR="00966532" w:rsidRPr="00966532">
        <w:t xml:space="preserve">Figure </w:t>
      </w:r>
      <w:r w:rsidR="00966532" w:rsidRPr="00966532">
        <w:rPr>
          <w:noProof/>
        </w:rPr>
        <w:t>8</w:t>
      </w:r>
      <w:r w:rsidR="00966532" w:rsidRPr="00966532">
        <w:rPr>
          <w:noProof/>
        </w:rPr>
        <w:noBreakHyphen/>
        <w:t>10</w:t>
      </w:r>
      <w:r>
        <w:fldChar w:fldCharType="end"/>
      </w:r>
      <w:r>
        <w:t xml:space="preserve">) make this localised area a poor choice for groundwater development schemes and should be avoided. Vegetation within the remainder of the proposed borefield is unlikely to be affected by groundwater development within the semi-confined aquifer due to the apparent lack of connectivity between the two aquifers. </w:t>
      </w:r>
    </w:p>
    <w:p w:rsidR="00163BAD" w:rsidRDefault="00163BAD" w:rsidP="00163BAD"/>
    <w:p w:rsidR="00447C78" w:rsidRDefault="00447C78" w:rsidP="00163BAD"/>
    <w:p w:rsidR="00E04B4B" w:rsidRDefault="00447C78" w:rsidP="00656729">
      <w:pPr>
        <w:spacing w:after="60"/>
        <w:rPr>
          <w:rFonts w:cs="Angsana New"/>
          <w:szCs w:val="22"/>
          <w:lang w:eastAsia="zh-CN" w:bidi="th-TH"/>
        </w:rPr>
      </w:pPr>
      <w:r>
        <w:br w:type="page"/>
      </w:r>
      <w:r w:rsidR="00706A3B">
        <w:rPr>
          <w:rFonts w:cs="Angsana New"/>
          <w:noProof/>
          <w:szCs w:val="22"/>
        </w:rPr>
        <w:lastRenderedPageBreak/>
        <w:drawing>
          <wp:inline distT="0" distB="0" distL="0" distR="0" wp14:anchorId="619DE700" wp14:editId="01B3D51A">
            <wp:extent cx="6017895" cy="7463790"/>
            <wp:effectExtent l="19050" t="19050" r="1905" b="3810"/>
            <wp:docPr id="75" name="Picture 75" descr="Fig0K_41_Jimargil_WQ_cali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g0K_41_Jimargil_WQ_calivil"/>
                    <pic:cNvPicPr>
                      <a:picLocks noChangeAspect="1" noChangeArrowheads="1"/>
                    </pic:cNvPicPr>
                  </pic:nvPicPr>
                  <pic:blipFill>
                    <a:blip r:embed="rId33" cstate="print">
                      <a:extLst>
                        <a:ext uri="{28A0092B-C50C-407E-A947-70E740481C1C}">
                          <a14:useLocalDpi xmlns:a14="http://schemas.microsoft.com/office/drawing/2010/main" val="0"/>
                        </a:ext>
                      </a:extLst>
                    </a:blip>
                    <a:srcRect l="8972" t="7004" r="9415" b="21420"/>
                    <a:stretch>
                      <a:fillRect/>
                    </a:stretch>
                  </pic:blipFill>
                  <pic:spPr bwMode="auto">
                    <a:xfrm>
                      <a:off x="0" y="0"/>
                      <a:ext cx="6017895" cy="7463790"/>
                    </a:xfrm>
                    <a:prstGeom prst="rect">
                      <a:avLst/>
                    </a:prstGeom>
                    <a:noFill/>
                    <a:ln w="12700" cmpd="sng">
                      <a:solidFill>
                        <a:srgbClr val="000000"/>
                      </a:solidFill>
                      <a:miter lim="800000"/>
                      <a:headEnd/>
                      <a:tailEnd/>
                    </a:ln>
                    <a:effectLst/>
                  </pic:spPr>
                </pic:pic>
              </a:graphicData>
            </a:graphic>
          </wp:inline>
        </w:drawing>
      </w:r>
    </w:p>
    <w:p w:rsidR="00F32C95" w:rsidRDefault="001741E7" w:rsidP="00EF07F3">
      <w:pPr>
        <w:pStyle w:val="Caption"/>
        <w:rPr>
          <w:bCs w:val="0"/>
          <w:i w:val="0"/>
        </w:rPr>
      </w:pPr>
      <w:bookmarkStart w:id="526" w:name="_Ref325708599"/>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526"/>
      <w:r>
        <w:rPr>
          <w:b/>
        </w:rPr>
        <w:t xml:space="preserve">. </w:t>
      </w:r>
      <w:r w:rsidR="00F4198C">
        <w:t>Predicted g</w:t>
      </w:r>
      <w:r w:rsidR="00EF07F3">
        <w:t xml:space="preserve">roundwater </w:t>
      </w:r>
      <w:r w:rsidR="008F12F7">
        <w:t>salinity</w:t>
      </w:r>
      <w:r w:rsidR="00EF07F3">
        <w:t xml:space="preserve"> within the </w:t>
      </w:r>
      <w:r w:rsidR="00C217F0">
        <w:t>Calivil Formation</w:t>
      </w:r>
      <w:r w:rsidR="009E2332">
        <w:t xml:space="preserve"> aquifer at depth of 43.1-51.5</w:t>
      </w:r>
      <w:r w:rsidR="00A72012">
        <w:t xml:space="preserve"> </w:t>
      </w:r>
      <w:r w:rsidR="00EF07F3">
        <w:t>m</w:t>
      </w:r>
      <w:r w:rsidR="008F12F7">
        <w:t xml:space="preserve"> at the Jimargil site</w:t>
      </w:r>
      <w:r w:rsidR="00EF07F3">
        <w:t>. A number of proposed pipeline routes are also show</w:t>
      </w:r>
      <w:r w:rsidR="008F12F7">
        <w:t>n</w:t>
      </w:r>
      <w:r w:rsidR="00EF07F3">
        <w:t>.</w:t>
      </w:r>
      <w:r w:rsidR="00BE08AB" w:rsidRPr="00BE08AB">
        <w:rPr>
          <w:bCs w:val="0"/>
          <w:i w:val="0"/>
        </w:rPr>
        <w:t xml:space="preserve"> </w:t>
      </w:r>
      <w:r w:rsidR="00BE08AB" w:rsidRPr="007960BF">
        <w:rPr>
          <w:bCs w:val="0"/>
          <w:i w:val="0"/>
        </w:rPr>
        <w:fldChar w:fldCharType="begin"/>
      </w:r>
      <w:r w:rsidR="00BE08AB" w:rsidRPr="007960BF">
        <w:rPr>
          <w:bCs w:val="0"/>
          <w:i w:val="0"/>
        </w:rPr>
        <w:instrText xml:space="preserve"> TC "</w:instrText>
      </w:r>
      <w:bookmarkStart w:id="527" w:name="_Toc325975237"/>
      <w:bookmarkStart w:id="528" w:name="_Toc390690254"/>
      <w:r w:rsidR="00AA7E88" w:rsidRPr="007960BF">
        <w:rPr>
          <w:bCs w:val="0"/>
          <w:i w:val="0"/>
        </w:rPr>
        <w:instrText xml:space="preserve">Figure </w:instrText>
      </w:r>
      <w:r w:rsidR="000D653B">
        <w:rPr>
          <w:bCs w:val="0"/>
          <w:i w:val="0"/>
        </w:rPr>
        <w:instrText>8-</w:instrText>
      </w:r>
      <w:r w:rsidR="003F328C" w:rsidRPr="007960BF">
        <w:rPr>
          <w:bCs w:val="0"/>
          <w:i w:val="0"/>
        </w:rPr>
        <w:instrText>1</w:instrText>
      </w:r>
      <w:r w:rsidR="00DE0DFA">
        <w:rPr>
          <w:bCs w:val="0"/>
          <w:i w:val="0"/>
        </w:rPr>
        <w:instrText>.</w:instrText>
      </w:r>
      <w:r w:rsidR="00BE08AB" w:rsidRPr="007960BF">
        <w:rPr>
          <w:bCs w:val="0"/>
          <w:i w:val="0"/>
        </w:rPr>
        <w:instrText xml:space="preserve"> </w:instrText>
      </w:r>
      <w:r w:rsidR="00F4198C">
        <w:rPr>
          <w:i w:val="0"/>
        </w:rPr>
        <w:instrText>Predicted g</w:instrText>
      </w:r>
      <w:r w:rsidR="004F730A" w:rsidRPr="007960BF">
        <w:rPr>
          <w:i w:val="0"/>
        </w:rPr>
        <w:instrText xml:space="preserve">roundwater </w:instrText>
      </w:r>
      <w:r w:rsidR="008F12F7">
        <w:rPr>
          <w:i w:val="0"/>
        </w:rPr>
        <w:instrText>salinity in the</w:instrText>
      </w:r>
      <w:r w:rsidR="004F730A" w:rsidRPr="007960BF">
        <w:rPr>
          <w:i w:val="0"/>
        </w:rPr>
        <w:instrText xml:space="preserve"> 43.1-51.5 m</w:instrText>
      </w:r>
      <w:bookmarkEnd w:id="527"/>
      <w:r w:rsidR="008F12F7">
        <w:rPr>
          <w:i w:val="0"/>
        </w:rPr>
        <w:instrText xml:space="preserve"> depth slice at the Jimargil site</w:instrText>
      </w:r>
      <w:r w:rsidR="003721DD">
        <w:rPr>
          <w:bCs w:val="0"/>
          <w:i w:val="0"/>
        </w:rPr>
        <w:instrText>.</w:instrText>
      </w:r>
      <w:bookmarkEnd w:id="528"/>
      <w:r w:rsidR="00BE08AB" w:rsidRPr="007960BF">
        <w:rPr>
          <w:bCs w:val="0"/>
          <w:i w:val="0"/>
        </w:rPr>
        <w:instrText xml:space="preserve">" \f A \l “4” </w:instrText>
      </w:r>
      <w:r w:rsidR="00BE08AB" w:rsidRPr="007960BF">
        <w:rPr>
          <w:bCs w:val="0"/>
          <w:i w:val="0"/>
        </w:rPr>
        <w:fldChar w:fldCharType="end"/>
      </w:r>
    </w:p>
    <w:p w:rsidR="00001EDC" w:rsidRDefault="00001EDC" w:rsidP="00001EDC"/>
    <w:p w:rsidR="00183C3B" w:rsidRDefault="00183C3B" w:rsidP="00001EDC"/>
    <w:p w:rsidR="00183C3B" w:rsidRDefault="00183C3B" w:rsidP="00001EDC"/>
    <w:p w:rsidR="00183C3B" w:rsidRDefault="00183C3B" w:rsidP="00001EDC"/>
    <w:p w:rsidR="00183C3B" w:rsidRDefault="00183C3B" w:rsidP="00183C3B">
      <w:pPr>
        <w:spacing w:before="120"/>
      </w:pPr>
    </w:p>
    <w:p w:rsidR="00001EDC" w:rsidRPr="0084133A" w:rsidRDefault="00706A3B" w:rsidP="00656729">
      <w:pPr>
        <w:spacing w:before="120" w:after="60"/>
        <w:jc w:val="center"/>
        <w:rPr>
          <w:szCs w:val="22"/>
        </w:rPr>
      </w:pPr>
      <w:r>
        <w:rPr>
          <w:noProof/>
          <w:szCs w:val="22"/>
        </w:rPr>
        <w:lastRenderedPageBreak/>
        <w:drawing>
          <wp:inline distT="0" distB="0" distL="0" distR="0" wp14:anchorId="6B0301B6" wp14:editId="6D6596F5">
            <wp:extent cx="5975350" cy="8112760"/>
            <wp:effectExtent l="19050" t="19050" r="6350" b="2540"/>
            <wp:docPr id="76" name="Picture 76" descr="Fig42_EBJW_UCA_TopAHD_AllStructur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g42_EBJW_UCA_TopAHD_AllStructures2"/>
                    <pic:cNvPicPr>
                      <a:picLocks noChangeAspect="1" noChangeArrowheads="1"/>
                    </pic:cNvPicPr>
                  </pic:nvPicPr>
                  <pic:blipFill>
                    <a:blip r:embed="rId114" cstate="print">
                      <a:extLst>
                        <a:ext uri="{28A0092B-C50C-407E-A947-70E740481C1C}">
                          <a14:useLocalDpi xmlns:a14="http://schemas.microsoft.com/office/drawing/2010/main" val="0"/>
                        </a:ext>
                      </a:extLst>
                    </a:blip>
                    <a:srcRect l="8966" t="5243" r="8473" b="15469"/>
                    <a:stretch>
                      <a:fillRect/>
                    </a:stretch>
                  </pic:blipFill>
                  <pic:spPr bwMode="auto">
                    <a:xfrm>
                      <a:off x="0" y="0"/>
                      <a:ext cx="5975350" cy="8112760"/>
                    </a:xfrm>
                    <a:prstGeom prst="rect">
                      <a:avLst/>
                    </a:prstGeom>
                    <a:noFill/>
                    <a:ln w="12700" cmpd="sng">
                      <a:solidFill>
                        <a:srgbClr val="000000"/>
                      </a:solidFill>
                      <a:miter lim="800000"/>
                      <a:headEnd/>
                      <a:tailEnd/>
                    </a:ln>
                    <a:effectLst/>
                  </pic:spPr>
                </pic:pic>
              </a:graphicData>
            </a:graphic>
          </wp:inline>
        </w:drawing>
      </w:r>
    </w:p>
    <w:p w:rsidR="004C1FD2" w:rsidRPr="00447C78" w:rsidRDefault="0084133A" w:rsidP="00447C78">
      <w:pPr>
        <w:pStyle w:val="Caption"/>
        <w:rPr>
          <w:bCs w:val="0"/>
          <w:i w:val="0"/>
        </w:rPr>
      </w:pPr>
      <w:bookmarkStart w:id="529" w:name="_Ref330211451"/>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529"/>
      <w:r>
        <w:rPr>
          <w:b/>
        </w:rPr>
        <w:t>.</w:t>
      </w:r>
      <w:r>
        <w:t xml:space="preserve"> </w:t>
      </w:r>
      <w:r w:rsidR="00B26EB3">
        <w:t>M</w:t>
      </w:r>
      <w:r>
        <w:t xml:space="preserve">ap showing faults offsetting the upper confining aquitard at the Jimargil </w:t>
      </w:r>
      <w:r w:rsidR="00002133">
        <w:t xml:space="preserve">potential </w:t>
      </w:r>
      <w:r>
        <w:t>borefield site. Individual flight line conductivity depth sections were used to identify faults and the tops (and base) of the upper confining aquitard produced. Mapped faults include those identified from flight line section picks alone, from interpretation of maps of the upper confining aquitard, and from interpretat</w:t>
      </w:r>
      <w:r w:rsidR="00B26EB3">
        <w:t>ion of Total Magnetic Intensity</w:t>
      </w:r>
      <w:r>
        <w:t xml:space="preserve"> images that show the location of basement </w:t>
      </w:r>
      <w:r w:rsidRPr="00002133">
        <w:t xml:space="preserve">faults. </w:t>
      </w:r>
      <w:r w:rsidR="00002133" w:rsidRPr="00002133">
        <w:t xml:space="preserve">Locations where fault offsets are </w:t>
      </w:r>
      <w:r w:rsidR="001C23A9">
        <w:t>sufficient to be</w:t>
      </w:r>
      <w:r w:rsidR="00002133" w:rsidRPr="00002133">
        <w:t xml:space="preserve"> likely points for inter-aquifer leakage are marked with yellow stars.</w:t>
      </w:r>
      <w:r w:rsidR="00002133">
        <w:t xml:space="preserve"> </w:t>
      </w:r>
      <w:r w:rsidRPr="0084133A">
        <w:fldChar w:fldCharType="begin"/>
      </w:r>
      <w:r w:rsidRPr="0084133A">
        <w:instrText xml:space="preserve"> TC "</w:instrText>
      </w:r>
      <w:bookmarkStart w:id="530" w:name="_Toc390690255"/>
      <w:r w:rsidR="000D653B">
        <w:instrText>Figure 8-</w:instrText>
      </w:r>
      <w:r w:rsidRPr="0084133A">
        <w:instrText xml:space="preserve">2. </w:instrText>
      </w:r>
      <w:r w:rsidR="00B26EB3" w:rsidRPr="00B26EB3">
        <w:instrText>Map showing faults offsetting the upper confinin</w:instrText>
      </w:r>
      <w:r w:rsidR="00971C9D">
        <w:instrText>g aquitard at the Jimargil site</w:instrText>
      </w:r>
      <w:r w:rsidRPr="00B26EB3">
        <w:instrText>.</w:instrText>
      </w:r>
      <w:bookmarkEnd w:id="530"/>
      <w:r w:rsidRPr="00B26EB3">
        <w:instrText>" \f A \l “4</w:instrText>
      </w:r>
      <w:r w:rsidRPr="0084133A">
        <w:instrText xml:space="preserve">” </w:instrText>
      </w:r>
      <w:r w:rsidRPr="0084133A">
        <w:fldChar w:fldCharType="end"/>
      </w:r>
    </w:p>
    <w:p w:rsidR="00E04B4B" w:rsidRDefault="0066145C" w:rsidP="00E04B4B">
      <w:pPr>
        <w:rPr>
          <w:szCs w:val="22"/>
        </w:rPr>
        <w:sectPr w:rsidR="00E04B4B" w:rsidSect="00C6706D">
          <w:pgSz w:w="11906" w:h="16838" w:code="9"/>
          <w:pgMar w:top="1134" w:right="1134" w:bottom="1134" w:left="1134" w:header="709" w:footer="709" w:gutter="0"/>
          <w:cols w:space="708"/>
          <w:docGrid w:linePitch="360"/>
        </w:sectPr>
      </w:pPr>
      <w:r>
        <w:rPr>
          <w:szCs w:val="22"/>
        </w:rPr>
        <w:lastRenderedPageBreak/>
        <w:br w:type="page"/>
      </w:r>
    </w:p>
    <w:p w:rsidR="00E04B4B" w:rsidRPr="00DE0DFA" w:rsidRDefault="00706A3B" w:rsidP="00656729">
      <w:pPr>
        <w:spacing w:after="60"/>
        <w:jc w:val="center"/>
      </w:pPr>
      <w:r>
        <w:rPr>
          <w:noProof/>
        </w:rPr>
        <w:lastRenderedPageBreak/>
        <w:drawing>
          <wp:anchor distT="0" distB="0" distL="114300" distR="114300" simplePos="0" relativeHeight="251643904" behindDoc="0" locked="0" layoutInCell="1" allowOverlap="1" wp14:anchorId="6D5D1EBA" wp14:editId="2870AACD">
            <wp:simplePos x="0" y="0"/>
            <wp:positionH relativeFrom="character">
              <wp:posOffset>0</wp:posOffset>
            </wp:positionH>
            <wp:positionV relativeFrom="line">
              <wp:posOffset>0</wp:posOffset>
            </wp:positionV>
            <wp:extent cx="12631420" cy="8640445"/>
            <wp:effectExtent l="19050" t="19050" r="0" b="8255"/>
            <wp:wrapNone/>
            <wp:docPr id="1268" name="Picture 1268" descr="east_bootingee_jimargil_1_03may_litho_strat_redox-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east_bootingee_jimargil_1_03may_litho_strat_redox-Page1"/>
                    <pic:cNvPicPr>
                      <a:picLocks noChangeAspect="1" noChangeArrowheads="1"/>
                    </pic:cNvPicPr>
                  </pic:nvPicPr>
                  <pic:blipFill>
                    <a:blip r:embed="rId115" cstate="print">
                      <a:extLst>
                        <a:ext uri="{28A0092B-C50C-407E-A947-70E740481C1C}">
                          <a14:useLocalDpi xmlns:a14="http://schemas.microsoft.com/office/drawing/2010/main" val="0"/>
                        </a:ext>
                      </a:extLst>
                    </a:blip>
                    <a:srcRect t="1482" b="1784"/>
                    <a:stretch>
                      <a:fillRect/>
                    </a:stretch>
                  </pic:blipFill>
                  <pic:spPr bwMode="auto">
                    <a:xfrm>
                      <a:off x="0" y="0"/>
                      <a:ext cx="12631420" cy="86404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05553D3D" wp14:editId="321AFA91">
                <wp:extent cx="12631420" cy="8644255"/>
                <wp:effectExtent l="0" t="0" r="0" b="0"/>
                <wp:docPr id="1"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631420" cy="8644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style="width:994.6pt;height:68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" filled="f" stroked="f">
                <o:lock v:ext="edit" aspectratio="t"/>
                <w10:anchorlock/>
              </v:rect>
            </w:pict>
          </mc:Fallback>
        </mc:AlternateContent>
      </w:r>
    </w:p>
    <w:p w:rsidR="00E04B4B" w:rsidRDefault="001741E7" w:rsidP="00EF07F3">
      <w:pPr>
        <w:pStyle w:val="Caption"/>
        <w:rPr>
          <w:bCs w:val="0"/>
          <w:i w:val="0"/>
        </w:rPr>
      </w:pPr>
      <w:bookmarkStart w:id="531" w:name="_Ref325912437"/>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531"/>
      <w:r>
        <w:rPr>
          <w:b/>
        </w:rPr>
        <w:t>.</w:t>
      </w:r>
      <w:r w:rsidR="00EF07F3">
        <w:t xml:space="preserve"> </w:t>
      </w:r>
      <w:r w:rsidR="00A22E97">
        <w:t xml:space="preserve">Local </w:t>
      </w:r>
      <w:r w:rsidR="00703410">
        <w:t xml:space="preserve">geological </w:t>
      </w:r>
      <w:r w:rsidR="00A22E97">
        <w:t>cross section</w:t>
      </w:r>
      <w:r w:rsidR="00703410">
        <w:t xml:space="preserve"> through the northern end of the Jimargil borefield site, showing mapped formations and textural classes, and redox zones</w:t>
      </w:r>
      <w:r w:rsidR="00A22E97">
        <w:t>.</w:t>
      </w:r>
      <w:r w:rsidR="00703410">
        <w:t xml:space="preserve"> This section shows the upper confining aquitard marginal to the main palaeochannel.</w:t>
      </w:r>
      <w:r w:rsidR="00BE08AB" w:rsidRPr="00BE08AB">
        <w:rPr>
          <w:bCs w:val="0"/>
          <w:i w:val="0"/>
        </w:rPr>
        <w:t xml:space="preserve"> </w:t>
      </w:r>
      <w:r w:rsidR="00F30270">
        <w:t>The location of the secti</w:t>
      </w:r>
      <w:r w:rsidR="00146290">
        <w:t>on is shown in the upper left inset</w:t>
      </w:r>
      <w:r w:rsidR="00F30270">
        <w:t xml:space="preserve">. </w:t>
      </w:r>
      <w:r w:rsidR="00BE08AB" w:rsidRPr="005706E3">
        <w:rPr>
          <w:bCs w:val="0"/>
          <w:i w:val="0"/>
        </w:rPr>
        <w:fldChar w:fldCharType="begin"/>
      </w:r>
      <w:r w:rsidR="00BE08AB" w:rsidRPr="005706E3">
        <w:rPr>
          <w:bCs w:val="0"/>
          <w:i w:val="0"/>
        </w:rPr>
        <w:instrText xml:space="preserve"> TC "</w:instrText>
      </w:r>
      <w:bookmarkStart w:id="532" w:name="_Toc325975238"/>
      <w:bookmarkStart w:id="533" w:name="_Toc390690256"/>
      <w:r w:rsidR="004F730A">
        <w:rPr>
          <w:bCs w:val="0"/>
          <w:i w:val="0"/>
        </w:rPr>
        <w:instrText xml:space="preserve">Figure </w:instrText>
      </w:r>
      <w:r w:rsidR="000D653B">
        <w:rPr>
          <w:bCs w:val="0"/>
          <w:i w:val="0"/>
        </w:rPr>
        <w:instrText>8-</w:instrText>
      </w:r>
      <w:r w:rsidR="00CB7EA6">
        <w:rPr>
          <w:bCs w:val="0"/>
          <w:i w:val="0"/>
        </w:rPr>
        <w:instrText>3</w:instrText>
      </w:r>
      <w:r w:rsidR="003F328C">
        <w:rPr>
          <w:bCs w:val="0"/>
          <w:i w:val="0"/>
        </w:rPr>
        <w:instrText>.</w:instrText>
      </w:r>
      <w:r w:rsidR="00BE08AB" w:rsidRPr="00703410">
        <w:rPr>
          <w:bCs w:val="0"/>
          <w:i w:val="0"/>
        </w:rPr>
        <w:instrText xml:space="preserve"> </w:instrText>
      </w:r>
      <w:r w:rsidR="004F730A" w:rsidRPr="00703410">
        <w:rPr>
          <w:bCs w:val="0"/>
          <w:i w:val="0"/>
        </w:rPr>
        <w:instrText>L</w:instrText>
      </w:r>
      <w:r w:rsidR="004F730A" w:rsidRPr="00703410">
        <w:rPr>
          <w:i w:val="0"/>
        </w:rPr>
        <w:instrText xml:space="preserve">ocal </w:instrText>
      </w:r>
      <w:r w:rsidR="00703410">
        <w:rPr>
          <w:i w:val="0"/>
        </w:rPr>
        <w:instrText xml:space="preserve">geological </w:instrText>
      </w:r>
      <w:r w:rsidR="004F730A" w:rsidRPr="00703410">
        <w:rPr>
          <w:i w:val="0"/>
        </w:rPr>
        <w:instrText>cross sectio</w:instrText>
      </w:r>
      <w:r w:rsidR="00703410" w:rsidRPr="00703410">
        <w:rPr>
          <w:i w:val="0"/>
        </w:rPr>
        <w:instrText>n through the northern end of the Jimargil site</w:instrText>
      </w:r>
      <w:bookmarkEnd w:id="532"/>
      <w:r w:rsidR="003721DD">
        <w:rPr>
          <w:bCs w:val="0"/>
          <w:i w:val="0"/>
        </w:rPr>
        <w:instrText>.</w:instrText>
      </w:r>
      <w:bookmarkEnd w:id="533"/>
      <w:r w:rsidR="00BE08AB" w:rsidRPr="005706E3">
        <w:rPr>
          <w:bCs w:val="0"/>
          <w:i w:val="0"/>
        </w:rPr>
        <w:instrText xml:space="preserve">" \f A \l “4” </w:instrText>
      </w:r>
      <w:r w:rsidR="00BE08AB" w:rsidRPr="005706E3">
        <w:rPr>
          <w:bCs w:val="0"/>
          <w:i w:val="0"/>
        </w:rPr>
        <w:fldChar w:fldCharType="end"/>
      </w:r>
    </w:p>
    <w:p w:rsidR="00183C3B" w:rsidRPr="00183C3B" w:rsidRDefault="00183C3B" w:rsidP="00183C3B">
      <w:pPr>
        <w:pStyle w:val="BodyText1"/>
        <w:spacing w:before="120" w:after="0"/>
      </w:pPr>
    </w:p>
    <w:p w:rsidR="00703410" w:rsidRPr="00DE0DFA" w:rsidRDefault="0066145C" w:rsidP="00656729">
      <w:pPr>
        <w:spacing w:before="120" w:after="60"/>
        <w:jc w:val="center"/>
      </w:pPr>
      <w:r>
        <w:br w:type="page"/>
      </w:r>
      <w:r w:rsidR="00706A3B">
        <w:rPr>
          <w:noProof/>
        </w:rPr>
        <w:lastRenderedPageBreak/>
        <w:drawing>
          <wp:inline distT="0" distB="0" distL="0" distR="0" wp14:anchorId="500B695D" wp14:editId="60D5E2B5">
            <wp:extent cx="11313160" cy="7985125"/>
            <wp:effectExtent l="19050" t="19050" r="2540" b="0"/>
            <wp:docPr id="77" name="Picture 77" descr="east_boot_jimargil_1_21may2012_vh-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ast_boot_jimargil_1_21may2012_vh-Page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313160" cy="7985125"/>
                    </a:xfrm>
                    <a:prstGeom prst="rect">
                      <a:avLst/>
                    </a:prstGeom>
                    <a:noFill/>
                    <a:ln w="6350" cmpd="sng">
                      <a:solidFill>
                        <a:srgbClr val="000000"/>
                      </a:solidFill>
                      <a:miter lim="800000"/>
                      <a:headEnd/>
                      <a:tailEnd/>
                    </a:ln>
                    <a:effectLst/>
                  </pic:spPr>
                </pic:pic>
              </a:graphicData>
            </a:graphic>
          </wp:inline>
        </w:drawing>
      </w:r>
    </w:p>
    <w:p w:rsidR="001A1962" w:rsidRDefault="001741E7" w:rsidP="003346A4">
      <w:pPr>
        <w:pStyle w:val="Caption"/>
        <w:rPr>
          <w:bCs w:val="0"/>
          <w:i w:val="0"/>
        </w:rPr>
      </w:pPr>
      <w:bookmarkStart w:id="534" w:name="_Ref325912438"/>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4</w:t>
      </w:r>
      <w:r w:rsidR="00A23C59">
        <w:rPr>
          <w:b/>
        </w:rPr>
        <w:fldChar w:fldCharType="end"/>
      </w:r>
      <w:bookmarkEnd w:id="534"/>
      <w:r>
        <w:rPr>
          <w:b/>
        </w:rPr>
        <w:t xml:space="preserve">. </w:t>
      </w:r>
      <w:r w:rsidR="00703410">
        <w:t>Local hydrogeological cross section through the northern end of the Jimargil borefield site, showing mapped aquifers, aquifer, screened intervals and the watertable. This section shows the upper confining aquitard marginal to the main palaeochannel.</w:t>
      </w:r>
      <w:r w:rsidR="00F30270">
        <w:t xml:space="preserve"> The location of the secti</w:t>
      </w:r>
      <w:r w:rsidR="00146290">
        <w:t>on is shown in the upper left inset</w:t>
      </w:r>
      <w:r w:rsidR="00F30270">
        <w:t xml:space="preserve">. </w:t>
      </w:r>
      <w:r w:rsidR="003F328C" w:rsidRPr="005706E3">
        <w:rPr>
          <w:bCs w:val="0"/>
          <w:i w:val="0"/>
        </w:rPr>
        <w:fldChar w:fldCharType="begin"/>
      </w:r>
      <w:r w:rsidR="003F328C" w:rsidRPr="005706E3">
        <w:rPr>
          <w:bCs w:val="0"/>
          <w:i w:val="0"/>
        </w:rPr>
        <w:instrText xml:space="preserve"> TC "</w:instrText>
      </w:r>
      <w:bookmarkStart w:id="535" w:name="_Toc390690257"/>
      <w:r w:rsidR="000D653B">
        <w:rPr>
          <w:bCs w:val="0"/>
          <w:i w:val="0"/>
        </w:rPr>
        <w:instrText>Figure 8-</w:instrText>
      </w:r>
      <w:r w:rsidR="00CB7EA6">
        <w:rPr>
          <w:bCs w:val="0"/>
          <w:i w:val="0"/>
        </w:rPr>
        <w:instrText>4</w:instrText>
      </w:r>
      <w:r w:rsidR="003F328C">
        <w:rPr>
          <w:bCs w:val="0"/>
          <w:i w:val="0"/>
        </w:rPr>
        <w:instrText>.</w:instrText>
      </w:r>
      <w:r w:rsidR="003F328C" w:rsidRPr="00703410">
        <w:rPr>
          <w:bCs w:val="0"/>
          <w:i w:val="0"/>
        </w:rPr>
        <w:instrText xml:space="preserve"> L</w:instrText>
      </w:r>
      <w:r w:rsidR="003F328C" w:rsidRPr="00703410">
        <w:rPr>
          <w:i w:val="0"/>
        </w:rPr>
        <w:instrText xml:space="preserve">ocal </w:instrText>
      </w:r>
      <w:r w:rsidR="003F328C">
        <w:rPr>
          <w:i w:val="0"/>
        </w:rPr>
        <w:instrText xml:space="preserve">hydrogeological </w:instrText>
      </w:r>
      <w:r w:rsidR="003F328C" w:rsidRPr="00703410">
        <w:rPr>
          <w:i w:val="0"/>
        </w:rPr>
        <w:instrText>cross section through the northern end of the Jimargil site</w:instrText>
      </w:r>
      <w:r w:rsidR="003721DD">
        <w:rPr>
          <w:bCs w:val="0"/>
          <w:i w:val="0"/>
        </w:rPr>
        <w:instrText>.</w:instrText>
      </w:r>
      <w:bookmarkEnd w:id="535"/>
      <w:r w:rsidR="003F328C" w:rsidRPr="005706E3">
        <w:rPr>
          <w:bCs w:val="0"/>
          <w:i w:val="0"/>
        </w:rPr>
        <w:instrText xml:space="preserve">" \f A \l “4” </w:instrText>
      </w:r>
      <w:r w:rsidR="003F328C" w:rsidRPr="005706E3">
        <w:rPr>
          <w:bCs w:val="0"/>
          <w:i w:val="0"/>
        </w:rPr>
        <w:fldChar w:fldCharType="end"/>
      </w:r>
      <w:bookmarkStart w:id="536" w:name="_Ref325708635"/>
    </w:p>
    <w:p w:rsidR="00183C3B" w:rsidRDefault="00183C3B" w:rsidP="00183C3B">
      <w:pPr>
        <w:pStyle w:val="BodyText1"/>
      </w:pPr>
    </w:p>
    <w:p w:rsidR="00183C3B" w:rsidRPr="00183C3B" w:rsidRDefault="00183C3B" w:rsidP="00183C3B">
      <w:pPr>
        <w:pStyle w:val="BodyText1"/>
        <w:spacing w:before="120" w:after="0"/>
      </w:pPr>
    </w:p>
    <w:p w:rsidR="000E5783" w:rsidRPr="00DE0DFA" w:rsidRDefault="0066145C" w:rsidP="00656729">
      <w:pPr>
        <w:spacing w:before="120" w:after="60"/>
        <w:jc w:val="center"/>
      </w:pPr>
      <w:r>
        <w:br w:type="page"/>
      </w:r>
      <w:r>
        <w:lastRenderedPageBreak/>
        <w:br w:type="page"/>
      </w:r>
      <w:r w:rsidR="00706A3B">
        <w:rPr>
          <w:noProof/>
        </w:rPr>
        <w:lastRenderedPageBreak/>
        <w:drawing>
          <wp:inline distT="0" distB="0" distL="0" distR="0" wp14:anchorId="0867365D" wp14:editId="7A9D43E1">
            <wp:extent cx="11781155" cy="8314690"/>
            <wp:effectExtent l="19050" t="19050" r="0" b="0"/>
            <wp:docPr id="78" name="Picture 78" descr="East Bootingee Jimargil 2 hydro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ast Bootingee Jimargil 2 hydrogeology"/>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781155" cy="8314690"/>
                    </a:xfrm>
                    <a:prstGeom prst="rect">
                      <a:avLst/>
                    </a:prstGeom>
                    <a:noFill/>
                    <a:ln w="6350" cmpd="sng">
                      <a:solidFill>
                        <a:srgbClr val="000000"/>
                      </a:solidFill>
                      <a:miter lim="800000"/>
                      <a:headEnd/>
                      <a:tailEnd/>
                    </a:ln>
                    <a:effectLst/>
                  </pic:spPr>
                </pic:pic>
              </a:graphicData>
            </a:graphic>
          </wp:inline>
        </w:drawing>
      </w:r>
    </w:p>
    <w:p w:rsidR="000E5783" w:rsidRPr="000E5783" w:rsidRDefault="000E5783" w:rsidP="000E5783">
      <w:pPr>
        <w:pStyle w:val="Caption"/>
        <w:rPr>
          <w:bCs w:val="0"/>
          <w:i w:val="0"/>
        </w:rPr>
      </w:pPr>
      <w:bookmarkStart w:id="537" w:name="_Ref330304688"/>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5</w:t>
      </w:r>
      <w:r w:rsidR="00A23C59">
        <w:rPr>
          <w:b/>
        </w:rPr>
        <w:fldChar w:fldCharType="end"/>
      </w:r>
      <w:bookmarkEnd w:id="537"/>
      <w:r>
        <w:rPr>
          <w:b/>
        </w:rPr>
        <w:t xml:space="preserve">. </w:t>
      </w:r>
      <w:r>
        <w:t>Local</w:t>
      </w:r>
      <w:r w:rsidR="00146290">
        <w:t xml:space="preserve"> east-west</w:t>
      </w:r>
      <w:r>
        <w:t xml:space="preserve"> hydrogeological cross section through the northern end of the Jimargil borefield site, showing mapped aquifers, aquifer, screened intervals and the watertable. This section shows the main palaeochannel through the Calivil Formation aquifer. </w:t>
      </w:r>
      <w:r w:rsidR="00F30270">
        <w:t>The location of the secti</w:t>
      </w:r>
      <w:r w:rsidR="00146290">
        <w:t>on is shown in the upper left inset</w:t>
      </w:r>
      <w:r w:rsidR="00F30270">
        <w:t xml:space="preserve">. </w:t>
      </w:r>
      <w:r w:rsidRPr="00F47564">
        <w:rPr>
          <w:i w:val="0"/>
        </w:rPr>
        <w:fldChar w:fldCharType="begin"/>
      </w:r>
      <w:r w:rsidRPr="00F47564">
        <w:rPr>
          <w:i w:val="0"/>
        </w:rPr>
        <w:instrText xml:space="preserve"> TC "</w:instrText>
      </w:r>
      <w:bookmarkStart w:id="538" w:name="_Toc390690258"/>
      <w:r w:rsidRPr="00F47564">
        <w:rPr>
          <w:i w:val="0"/>
        </w:rPr>
        <w:instrText>Figur</w:instrText>
      </w:r>
      <w:r w:rsidR="000D653B">
        <w:rPr>
          <w:i w:val="0"/>
        </w:rPr>
        <w:instrText>e 8-</w:instrText>
      </w:r>
      <w:r w:rsidR="00153AFF" w:rsidRPr="00F47564">
        <w:rPr>
          <w:i w:val="0"/>
        </w:rPr>
        <w:instrText>5</w:instrText>
      </w:r>
      <w:r w:rsidRPr="00F47564">
        <w:rPr>
          <w:i w:val="0"/>
        </w:rPr>
        <w:instrText xml:space="preserve">. Local </w:instrText>
      </w:r>
      <w:r w:rsidR="00146290">
        <w:rPr>
          <w:i w:val="0"/>
        </w:rPr>
        <w:instrText xml:space="preserve">east-west </w:instrText>
      </w:r>
      <w:r w:rsidRPr="00F47564">
        <w:rPr>
          <w:i w:val="0"/>
        </w:rPr>
        <w:instrText xml:space="preserve">hydrogeological </w:instrText>
      </w:r>
      <w:r w:rsidR="00F47564" w:rsidRPr="00F47564">
        <w:rPr>
          <w:i w:val="0"/>
        </w:rPr>
        <w:instrText>cross section through the Jimargil site</w:instrText>
      </w:r>
      <w:bookmarkEnd w:id="538"/>
      <w:r w:rsidRPr="00F47564">
        <w:rPr>
          <w:i w:val="0"/>
        </w:rPr>
        <w:instrText xml:space="preserve">" \f A \l “4” </w:instrText>
      </w:r>
      <w:r w:rsidRPr="00F47564">
        <w:rPr>
          <w:i w:val="0"/>
        </w:rPr>
        <w:fldChar w:fldCharType="end"/>
      </w:r>
    </w:p>
    <w:p w:rsidR="001A1962" w:rsidRPr="00DE0DFA" w:rsidRDefault="0066145C" w:rsidP="00656729">
      <w:pPr>
        <w:spacing w:after="60"/>
        <w:jc w:val="center"/>
      </w:pPr>
      <w:r>
        <w:br w:type="page"/>
      </w:r>
      <w:r>
        <w:lastRenderedPageBreak/>
        <w:br w:type="page"/>
      </w:r>
      <w:r w:rsidR="00706A3B">
        <w:rPr>
          <w:noProof/>
        </w:rPr>
        <w:lastRenderedPageBreak/>
        <w:drawing>
          <wp:inline distT="0" distB="0" distL="0" distR="0" wp14:anchorId="7E42147B" wp14:editId="4818BBBA">
            <wp:extent cx="6017895" cy="8803640"/>
            <wp:effectExtent l="19050" t="19050" r="1905" b="0"/>
            <wp:docPr id="79" name="Picture 79" descr="EBJW_Geomor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BJW_Geomorph"/>
                    <pic:cNvPicPr>
                      <a:picLocks noChangeAspect="1" noChangeArrowheads="1"/>
                    </pic:cNvPicPr>
                  </pic:nvPicPr>
                  <pic:blipFill>
                    <a:blip r:embed="rId118" cstate="print">
                      <a:extLst>
                        <a:ext uri="{28A0092B-C50C-407E-A947-70E740481C1C}">
                          <a14:useLocalDpi xmlns:a14="http://schemas.microsoft.com/office/drawing/2010/main" val="0"/>
                        </a:ext>
                      </a:extLst>
                    </a:blip>
                    <a:srcRect l="9645" t="6000" r="7825" b="8694"/>
                    <a:stretch>
                      <a:fillRect/>
                    </a:stretch>
                  </pic:blipFill>
                  <pic:spPr bwMode="auto">
                    <a:xfrm>
                      <a:off x="0" y="0"/>
                      <a:ext cx="6017895" cy="8803640"/>
                    </a:xfrm>
                    <a:prstGeom prst="rect">
                      <a:avLst/>
                    </a:prstGeom>
                    <a:noFill/>
                    <a:ln w="12700" cmpd="sng">
                      <a:solidFill>
                        <a:srgbClr val="000000"/>
                      </a:solidFill>
                      <a:miter lim="800000"/>
                      <a:headEnd/>
                      <a:tailEnd/>
                    </a:ln>
                    <a:effectLst/>
                  </pic:spPr>
                </pic:pic>
              </a:graphicData>
            </a:graphic>
          </wp:inline>
        </w:drawing>
      </w:r>
      <w:r w:rsidR="003D4EF0" w:rsidDel="00E46E5D">
        <w:t xml:space="preserve"> </w:t>
      </w:r>
      <w:r w:rsidR="00706A3B">
        <w:rPr>
          <w:noProof/>
        </w:rPr>
        <w:drawing>
          <wp:inline distT="0" distB="0" distL="0" distR="0" wp14:anchorId="77E6B0F3" wp14:editId="681F4712">
            <wp:extent cx="6060440" cy="8814435"/>
            <wp:effectExtent l="19050" t="19050" r="0" b="5715"/>
            <wp:docPr id="80" name="Picture 80" descr="EBJW_Li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BJW_LiDAR"/>
                    <pic:cNvPicPr>
                      <a:picLocks noChangeAspect="1" noChangeArrowheads="1"/>
                    </pic:cNvPicPr>
                  </pic:nvPicPr>
                  <pic:blipFill>
                    <a:blip r:embed="rId119" cstate="print">
                      <a:extLst>
                        <a:ext uri="{28A0092B-C50C-407E-A947-70E740481C1C}">
                          <a14:useLocalDpi xmlns:a14="http://schemas.microsoft.com/office/drawing/2010/main" val="0"/>
                        </a:ext>
                      </a:extLst>
                    </a:blip>
                    <a:srcRect l="8485" t="6006" r="8607" b="8601"/>
                    <a:stretch>
                      <a:fillRect/>
                    </a:stretch>
                  </pic:blipFill>
                  <pic:spPr bwMode="auto">
                    <a:xfrm>
                      <a:off x="0" y="0"/>
                      <a:ext cx="6060440" cy="8814435"/>
                    </a:xfrm>
                    <a:prstGeom prst="rect">
                      <a:avLst/>
                    </a:prstGeom>
                    <a:noFill/>
                    <a:ln w="12700" cmpd="sng">
                      <a:solidFill>
                        <a:srgbClr val="000000"/>
                      </a:solidFill>
                      <a:miter lim="800000"/>
                      <a:headEnd/>
                      <a:tailEnd/>
                    </a:ln>
                    <a:effectLst/>
                  </pic:spPr>
                </pic:pic>
              </a:graphicData>
            </a:graphic>
          </wp:inline>
        </w:drawing>
      </w:r>
    </w:p>
    <w:p w:rsidR="001A1962" w:rsidRDefault="001741E7" w:rsidP="003346A4">
      <w:pPr>
        <w:pStyle w:val="Caption"/>
        <w:rPr>
          <w:bCs w:val="0"/>
          <w:i w:val="0"/>
        </w:rPr>
      </w:pPr>
      <w:bookmarkStart w:id="539" w:name="_Ref327390119"/>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6</w:t>
      </w:r>
      <w:r w:rsidR="00A23C59">
        <w:rPr>
          <w:b/>
        </w:rPr>
        <w:fldChar w:fldCharType="end"/>
      </w:r>
      <w:bookmarkEnd w:id="536"/>
      <w:bookmarkEnd w:id="539"/>
      <w:r w:rsidRPr="003F328C">
        <w:rPr>
          <w:b/>
        </w:rPr>
        <w:t>.</w:t>
      </w:r>
      <w:r w:rsidR="003346A4" w:rsidRPr="003F328C">
        <w:t xml:space="preserve"> Left- </w:t>
      </w:r>
      <w:r w:rsidR="00F4198C">
        <w:t>G</w:t>
      </w:r>
      <w:r w:rsidR="00703410" w:rsidRPr="003F328C">
        <w:t xml:space="preserve">eomorphology </w:t>
      </w:r>
      <w:r w:rsidR="00F4198C">
        <w:t>of</w:t>
      </w:r>
      <w:r w:rsidR="00703410" w:rsidRPr="003F328C">
        <w:t xml:space="preserve"> the Jimargil borefield site; Right:</w:t>
      </w:r>
      <w:r w:rsidR="000E5783">
        <w:t xml:space="preserve"> </w:t>
      </w:r>
      <w:r w:rsidR="00ED0C9C">
        <w:t>LiDAR DEM image of the Jimargil priority site showing the location of cross-sections used in the report.</w:t>
      </w:r>
      <w:r w:rsidR="00703410" w:rsidRPr="003F328C">
        <w:t xml:space="preserve"> </w:t>
      </w:r>
      <w:r w:rsidR="003F328C" w:rsidRPr="003F328C">
        <w:rPr>
          <w:bCs w:val="0"/>
          <w:i w:val="0"/>
        </w:rPr>
        <w:fldChar w:fldCharType="begin"/>
      </w:r>
      <w:r w:rsidR="003F328C" w:rsidRPr="003F328C">
        <w:rPr>
          <w:bCs w:val="0"/>
          <w:i w:val="0"/>
        </w:rPr>
        <w:instrText xml:space="preserve"> </w:instrText>
      </w:r>
      <w:r w:rsidR="003F328C" w:rsidRPr="007960BF">
        <w:rPr>
          <w:bCs w:val="0"/>
          <w:i w:val="0"/>
        </w:rPr>
        <w:instrText>TC "</w:instrText>
      </w:r>
      <w:bookmarkStart w:id="540" w:name="_Toc390690259"/>
      <w:r w:rsidR="000D653B">
        <w:rPr>
          <w:bCs w:val="0"/>
          <w:i w:val="0"/>
        </w:rPr>
        <w:instrText>Figure 8-</w:instrText>
      </w:r>
      <w:r w:rsidR="00153AFF">
        <w:rPr>
          <w:bCs w:val="0"/>
          <w:i w:val="0"/>
        </w:rPr>
        <w:instrText>6</w:instrText>
      </w:r>
      <w:r w:rsidR="00DE0DFA">
        <w:rPr>
          <w:bCs w:val="0"/>
          <w:i w:val="0"/>
        </w:rPr>
        <w:instrText>.</w:instrText>
      </w:r>
      <w:r w:rsidR="003F328C" w:rsidRPr="007960BF">
        <w:rPr>
          <w:bCs w:val="0"/>
          <w:i w:val="0"/>
        </w:rPr>
        <w:instrText xml:space="preserve"> </w:instrText>
      </w:r>
      <w:r w:rsidR="000E5783">
        <w:rPr>
          <w:i w:val="0"/>
        </w:rPr>
        <w:instrText>Maps showing the g</w:instrText>
      </w:r>
      <w:r w:rsidR="003F328C" w:rsidRPr="007960BF">
        <w:rPr>
          <w:i w:val="0"/>
        </w:rPr>
        <w:instrText xml:space="preserve">eomorphology </w:instrText>
      </w:r>
      <w:r w:rsidR="000E5783">
        <w:rPr>
          <w:i w:val="0"/>
        </w:rPr>
        <w:instrText xml:space="preserve">and topography </w:instrText>
      </w:r>
      <w:r w:rsidR="00F4198C">
        <w:rPr>
          <w:i w:val="0"/>
        </w:rPr>
        <w:instrText>of</w:instrText>
      </w:r>
      <w:r w:rsidR="003F328C" w:rsidRPr="007960BF">
        <w:rPr>
          <w:i w:val="0"/>
        </w:rPr>
        <w:instrText xml:space="preserve"> the Jimargil site</w:instrText>
      </w:r>
      <w:r w:rsidR="000E5783">
        <w:rPr>
          <w:i w:val="0"/>
        </w:rPr>
        <w:instrText>.</w:instrText>
      </w:r>
      <w:bookmarkEnd w:id="540"/>
      <w:r w:rsidR="003F328C" w:rsidRPr="007960BF">
        <w:rPr>
          <w:bCs w:val="0"/>
          <w:i w:val="0"/>
        </w:rPr>
        <w:instrText>" \f A \l “4”</w:instrText>
      </w:r>
      <w:r w:rsidR="003F328C" w:rsidRPr="003F328C">
        <w:rPr>
          <w:bCs w:val="0"/>
          <w:i w:val="0"/>
        </w:rPr>
        <w:instrText xml:space="preserve"> </w:instrText>
      </w:r>
      <w:r w:rsidR="003F328C" w:rsidRPr="003F328C">
        <w:rPr>
          <w:bCs w:val="0"/>
          <w:i w:val="0"/>
        </w:rPr>
        <w:fldChar w:fldCharType="end"/>
      </w:r>
      <w:r w:rsidR="001A1962">
        <w:rPr>
          <w:bCs w:val="0"/>
          <w:i w:val="0"/>
        </w:rPr>
        <w:t xml:space="preserve"> </w:t>
      </w:r>
      <w:bookmarkStart w:id="541" w:name="_Ref325708655"/>
    </w:p>
    <w:p w:rsidR="001A1962" w:rsidRPr="00ED0C9C" w:rsidRDefault="0066145C" w:rsidP="00656729">
      <w:pPr>
        <w:spacing w:after="60"/>
        <w:jc w:val="center"/>
      </w:pPr>
      <w:r>
        <w:br w:type="page"/>
      </w:r>
      <w:r>
        <w:lastRenderedPageBreak/>
        <w:br w:type="page"/>
      </w:r>
      <w:r w:rsidR="00706A3B">
        <w:rPr>
          <w:noProof/>
        </w:rPr>
        <w:lastRenderedPageBreak/>
        <w:drawing>
          <wp:inline distT="0" distB="0" distL="0" distR="0" wp14:anchorId="12F673DB" wp14:editId="13C744C5">
            <wp:extent cx="6347460" cy="7985125"/>
            <wp:effectExtent l="19050" t="19050" r="0" b="0"/>
            <wp:docPr id="81" name="Picture 81" descr="EBJW_MudThickness_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BJW_MudThickness_percent"/>
                    <pic:cNvPicPr>
                      <a:picLocks noChangeAspect="1" noChangeArrowheads="1"/>
                    </pic:cNvPicPr>
                  </pic:nvPicPr>
                  <pic:blipFill>
                    <a:blip r:embed="rId120" cstate="print">
                      <a:extLst>
                        <a:ext uri="{28A0092B-C50C-407E-A947-70E740481C1C}">
                          <a14:useLocalDpi xmlns:a14="http://schemas.microsoft.com/office/drawing/2010/main" val="0"/>
                        </a:ext>
                      </a:extLst>
                    </a:blip>
                    <a:srcRect l="9845" t="6000" r="8218" b="21057"/>
                    <a:stretch>
                      <a:fillRect/>
                    </a:stretch>
                  </pic:blipFill>
                  <pic:spPr bwMode="auto">
                    <a:xfrm>
                      <a:off x="0" y="0"/>
                      <a:ext cx="6347460" cy="7985125"/>
                    </a:xfrm>
                    <a:prstGeom prst="rect">
                      <a:avLst/>
                    </a:prstGeom>
                    <a:noFill/>
                    <a:ln w="12700" cmpd="sng">
                      <a:solidFill>
                        <a:srgbClr val="000000"/>
                      </a:solidFill>
                      <a:miter lim="800000"/>
                      <a:headEnd/>
                      <a:tailEnd/>
                    </a:ln>
                    <a:effectLst/>
                  </pic:spPr>
                </pic:pic>
              </a:graphicData>
            </a:graphic>
          </wp:inline>
        </w:drawing>
      </w:r>
      <w:r w:rsidR="000D653B">
        <w:t xml:space="preserve"> </w:t>
      </w:r>
      <w:r w:rsidR="00706A3B">
        <w:rPr>
          <w:noProof/>
        </w:rPr>
        <w:drawing>
          <wp:inline distT="0" distB="0" distL="0" distR="0" wp14:anchorId="5EA5F37C" wp14:editId="1F7AC58C">
            <wp:extent cx="6443345" cy="7995920"/>
            <wp:effectExtent l="19050" t="19050" r="0" b="5080"/>
            <wp:docPr id="82" name="Picture 82" descr="EBJW_Qac_Q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BJW_Qac_Qam"/>
                    <pic:cNvPicPr>
                      <a:picLocks noChangeAspect="1" noChangeArrowheads="1"/>
                    </pic:cNvPicPr>
                  </pic:nvPicPr>
                  <pic:blipFill>
                    <a:blip r:embed="rId121" cstate="print">
                      <a:extLst>
                        <a:ext uri="{28A0092B-C50C-407E-A947-70E740481C1C}">
                          <a14:useLocalDpi xmlns:a14="http://schemas.microsoft.com/office/drawing/2010/main" val="0"/>
                        </a:ext>
                      </a:extLst>
                    </a:blip>
                    <a:srcRect l="8875" t="6000" r="8025" b="21057"/>
                    <a:stretch>
                      <a:fillRect/>
                    </a:stretch>
                  </pic:blipFill>
                  <pic:spPr bwMode="auto">
                    <a:xfrm>
                      <a:off x="0" y="0"/>
                      <a:ext cx="6443345" cy="7995920"/>
                    </a:xfrm>
                    <a:prstGeom prst="rect">
                      <a:avLst/>
                    </a:prstGeom>
                    <a:noFill/>
                    <a:ln w="12700" cmpd="sng">
                      <a:solidFill>
                        <a:srgbClr val="000000"/>
                      </a:solidFill>
                      <a:miter lim="800000"/>
                      <a:headEnd/>
                      <a:tailEnd/>
                    </a:ln>
                    <a:effectLst/>
                  </pic:spPr>
                </pic:pic>
              </a:graphicData>
            </a:graphic>
          </wp:inline>
        </w:drawing>
      </w:r>
    </w:p>
    <w:p w:rsidR="001A1962" w:rsidRDefault="001741E7" w:rsidP="003346A4">
      <w:pPr>
        <w:pStyle w:val="Caption"/>
        <w:rPr>
          <w:bCs w:val="0"/>
          <w:i w:val="0"/>
        </w:rPr>
      </w:pPr>
      <w:bookmarkStart w:id="542" w:name="_Ref32739015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7</w:t>
      </w:r>
      <w:r w:rsidR="00A23C59">
        <w:rPr>
          <w:b/>
        </w:rPr>
        <w:fldChar w:fldCharType="end"/>
      </w:r>
      <w:bookmarkEnd w:id="541"/>
      <w:bookmarkEnd w:id="542"/>
      <w:r>
        <w:rPr>
          <w:b/>
        </w:rPr>
        <w:t xml:space="preserve">. </w:t>
      </w:r>
      <w:r w:rsidR="003803FE">
        <w:t>Left:</w:t>
      </w:r>
      <w:r w:rsidR="00703410">
        <w:t xml:space="preserve"> </w:t>
      </w:r>
      <w:r w:rsidR="00ED0C9C" w:rsidRPr="003F328C">
        <w:t>Mud drape thickness represented as a percentage of the regolith profile between the surface and the base of the Darling River (~ 9</w:t>
      </w:r>
      <w:r w:rsidR="00A72012">
        <w:t xml:space="preserve"> </w:t>
      </w:r>
      <w:r w:rsidR="00ED0C9C" w:rsidRPr="003F328C">
        <w:t>m depth).</w:t>
      </w:r>
      <w:r w:rsidR="00ED0C9C">
        <w:t xml:space="preserve"> Right: </w:t>
      </w:r>
      <w:r w:rsidR="00C217F0">
        <w:t>Coonambidgal Formation</w:t>
      </w:r>
      <w:r w:rsidR="00A62ED5">
        <w:t xml:space="preserve"> and </w:t>
      </w:r>
      <w:r w:rsidR="00C217F0">
        <w:t>Menindee Formation</w:t>
      </w:r>
      <w:r w:rsidR="00ED0C9C">
        <w:t xml:space="preserve"> unconfined sand aquifers. While many of the faults marked are offsets at the top of the Blanchetown Clay, it is evident from this map that there also appears to be </w:t>
      </w:r>
      <w:r w:rsidR="00F30270">
        <w:t xml:space="preserve">some </w:t>
      </w:r>
      <w:r w:rsidR="00ED0C9C">
        <w:t>fault control on the distribution of Coonambidgal and Menindee Formation sediments</w:t>
      </w:r>
      <w:r w:rsidR="005430CB">
        <w:t>.</w:t>
      </w:r>
      <w:r w:rsidR="00703410">
        <w:t xml:space="preserve"> </w:t>
      </w:r>
      <w:r w:rsidR="003346A4" w:rsidRPr="000E5783">
        <w:rPr>
          <w:bCs w:val="0"/>
          <w:i w:val="0"/>
        </w:rPr>
        <w:fldChar w:fldCharType="begin"/>
      </w:r>
      <w:r w:rsidR="003346A4" w:rsidRPr="000E5783">
        <w:rPr>
          <w:bCs w:val="0"/>
          <w:i w:val="0"/>
        </w:rPr>
        <w:instrText xml:space="preserve"> TC "</w:instrText>
      </w:r>
      <w:bookmarkStart w:id="543" w:name="_Toc325975241"/>
      <w:bookmarkStart w:id="544" w:name="_Toc390690260"/>
      <w:r w:rsidR="003346A4" w:rsidRPr="000E5783">
        <w:rPr>
          <w:bCs w:val="0"/>
          <w:i w:val="0"/>
        </w:rPr>
        <w:instrText xml:space="preserve">Figure </w:instrText>
      </w:r>
      <w:r w:rsidR="000D653B">
        <w:rPr>
          <w:bCs w:val="0"/>
          <w:i w:val="0"/>
        </w:rPr>
        <w:instrText>8-</w:instrText>
      </w:r>
      <w:r w:rsidR="00153AFF">
        <w:rPr>
          <w:bCs w:val="0"/>
          <w:i w:val="0"/>
        </w:rPr>
        <w:instrText>7</w:instrText>
      </w:r>
      <w:r w:rsidR="00DE0DFA" w:rsidRPr="000E5783">
        <w:rPr>
          <w:bCs w:val="0"/>
          <w:i w:val="0"/>
        </w:rPr>
        <w:instrText>.</w:instrText>
      </w:r>
      <w:r w:rsidR="000E5783" w:rsidRPr="000E5783">
        <w:rPr>
          <w:bCs w:val="0"/>
          <w:i w:val="0"/>
        </w:rPr>
        <w:instrText xml:space="preserve"> Maps showing </w:instrText>
      </w:r>
      <w:r w:rsidR="000E5783" w:rsidRPr="000E5783">
        <w:rPr>
          <w:i w:val="0"/>
        </w:rPr>
        <w:instrText>mud drape thickness and the distribution of the Coonambidgal and Menindee Formation unconfined aquifers</w:instrText>
      </w:r>
      <w:r w:rsidR="008F12F7">
        <w:rPr>
          <w:i w:val="0"/>
        </w:rPr>
        <w:instrText xml:space="preserve"> at the Jimargil site</w:instrText>
      </w:r>
      <w:r w:rsidR="003346A4" w:rsidRPr="000E5783">
        <w:rPr>
          <w:i w:val="0"/>
        </w:rPr>
        <w:instrText>.</w:instrText>
      </w:r>
      <w:bookmarkEnd w:id="543"/>
      <w:bookmarkEnd w:id="544"/>
      <w:r w:rsidR="003346A4" w:rsidRPr="000E5783">
        <w:rPr>
          <w:bCs w:val="0"/>
          <w:i w:val="0"/>
        </w:rPr>
        <w:instrText xml:space="preserve">" \f A \l “4” </w:instrText>
      </w:r>
      <w:r w:rsidR="003346A4" w:rsidRPr="000E5783">
        <w:rPr>
          <w:bCs w:val="0"/>
          <w:i w:val="0"/>
        </w:rPr>
        <w:fldChar w:fldCharType="end"/>
      </w:r>
      <w:bookmarkStart w:id="545" w:name="_Ref325708623"/>
    </w:p>
    <w:p w:rsidR="00ED6235" w:rsidRDefault="00ED6235" w:rsidP="00DE0DFA">
      <w:pPr>
        <w:jc w:val="center"/>
      </w:pPr>
    </w:p>
    <w:p w:rsidR="00ED6235" w:rsidRDefault="00ED6235" w:rsidP="00DE0DFA">
      <w:pPr>
        <w:jc w:val="center"/>
      </w:pPr>
    </w:p>
    <w:p w:rsidR="00ED6235" w:rsidRDefault="00ED6235" w:rsidP="00DE0DFA">
      <w:pPr>
        <w:jc w:val="center"/>
      </w:pPr>
    </w:p>
    <w:p w:rsidR="001A1962" w:rsidRPr="00DE0DFA" w:rsidRDefault="0066145C" w:rsidP="00656729">
      <w:pPr>
        <w:spacing w:before="120" w:after="60"/>
        <w:jc w:val="center"/>
      </w:pPr>
      <w:r>
        <w:br w:type="page"/>
      </w:r>
      <w:r>
        <w:lastRenderedPageBreak/>
        <w:br w:type="page"/>
      </w:r>
      <w:r w:rsidR="00706A3B">
        <w:rPr>
          <w:noProof/>
        </w:rPr>
        <w:lastRenderedPageBreak/>
        <w:drawing>
          <wp:inline distT="0" distB="0" distL="0" distR="0" wp14:anchorId="43F95C1C" wp14:editId="504F6641">
            <wp:extent cx="5996940" cy="8325485"/>
            <wp:effectExtent l="19050" t="19050" r="3810" b="0"/>
            <wp:docPr id="83" name="Picture 83" descr="EBJW_UCATh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BJW_UCAThick"/>
                    <pic:cNvPicPr>
                      <a:picLocks noChangeAspect="1" noChangeArrowheads="1"/>
                    </pic:cNvPicPr>
                  </pic:nvPicPr>
                  <pic:blipFill>
                    <a:blip r:embed="rId122" cstate="print">
                      <a:extLst>
                        <a:ext uri="{28A0092B-C50C-407E-A947-70E740481C1C}">
                          <a14:useLocalDpi xmlns:a14="http://schemas.microsoft.com/office/drawing/2010/main" val="0"/>
                        </a:ext>
                      </a:extLst>
                    </a:blip>
                    <a:srcRect l="9845" t="6006" r="8218" b="13547"/>
                    <a:stretch>
                      <a:fillRect/>
                    </a:stretch>
                  </pic:blipFill>
                  <pic:spPr bwMode="auto">
                    <a:xfrm>
                      <a:off x="0" y="0"/>
                      <a:ext cx="5996940" cy="8325485"/>
                    </a:xfrm>
                    <a:prstGeom prst="rect">
                      <a:avLst/>
                    </a:prstGeom>
                    <a:noFill/>
                    <a:ln w="12700" cmpd="sng">
                      <a:solidFill>
                        <a:srgbClr val="000000"/>
                      </a:solidFill>
                      <a:miter lim="800000"/>
                      <a:headEnd/>
                      <a:tailEnd/>
                    </a:ln>
                    <a:effectLst/>
                  </pic:spPr>
                </pic:pic>
              </a:graphicData>
            </a:graphic>
          </wp:inline>
        </w:drawing>
      </w:r>
      <w:r w:rsidR="000D653B">
        <w:t xml:space="preserve"> </w:t>
      </w:r>
      <w:r w:rsidR="00706A3B">
        <w:rPr>
          <w:noProof/>
        </w:rPr>
        <w:drawing>
          <wp:inline distT="0" distB="0" distL="0" distR="0" wp14:anchorId="11129B6A" wp14:editId="11E0F625">
            <wp:extent cx="6092190" cy="8335645"/>
            <wp:effectExtent l="19050" t="19050" r="3810" b="8255"/>
            <wp:docPr id="84" name="Picture 84" descr="EBJW_lith_depth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BJW_lith_depth51"/>
                    <pic:cNvPicPr>
                      <a:picLocks noChangeAspect="1" noChangeArrowheads="1"/>
                    </pic:cNvPicPr>
                  </pic:nvPicPr>
                  <pic:blipFill>
                    <a:blip r:embed="rId123" cstate="print">
                      <a:extLst>
                        <a:ext uri="{28A0092B-C50C-407E-A947-70E740481C1C}">
                          <a14:useLocalDpi xmlns:a14="http://schemas.microsoft.com/office/drawing/2010/main" val="0"/>
                        </a:ext>
                      </a:extLst>
                    </a:blip>
                    <a:srcRect l="8875" t="6000" r="8025" b="13640"/>
                    <a:stretch>
                      <a:fillRect/>
                    </a:stretch>
                  </pic:blipFill>
                  <pic:spPr bwMode="auto">
                    <a:xfrm>
                      <a:off x="0" y="0"/>
                      <a:ext cx="6092190" cy="8335645"/>
                    </a:xfrm>
                    <a:prstGeom prst="rect">
                      <a:avLst/>
                    </a:prstGeom>
                    <a:noFill/>
                    <a:ln w="12700" cmpd="sng">
                      <a:solidFill>
                        <a:srgbClr val="000000"/>
                      </a:solidFill>
                      <a:miter lim="800000"/>
                      <a:headEnd/>
                      <a:tailEnd/>
                    </a:ln>
                    <a:effectLst/>
                  </pic:spPr>
                </pic:pic>
              </a:graphicData>
            </a:graphic>
          </wp:inline>
        </w:drawing>
      </w:r>
      <w:r w:rsidR="00465915">
        <w:t xml:space="preserve"> </w:t>
      </w:r>
    </w:p>
    <w:p w:rsidR="00860930" w:rsidRDefault="001741E7" w:rsidP="003346A4">
      <w:pPr>
        <w:pStyle w:val="Caption"/>
        <w:rPr>
          <w:bCs w:val="0"/>
          <w:i w:val="0"/>
        </w:rPr>
      </w:pPr>
      <w:bookmarkStart w:id="546" w:name="_Ref327390187"/>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8</w:t>
      </w:r>
      <w:r w:rsidR="00A23C59">
        <w:rPr>
          <w:b/>
        </w:rPr>
        <w:fldChar w:fldCharType="end"/>
      </w:r>
      <w:bookmarkEnd w:id="545"/>
      <w:bookmarkEnd w:id="546"/>
      <w:r>
        <w:rPr>
          <w:b/>
        </w:rPr>
        <w:t>.</w:t>
      </w:r>
      <w:r w:rsidR="003346A4">
        <w:rPr>
          <w:b/>
        </w:rPr>
        <w:t xml:space="preserve"> </w:t>
      </w:r>
      <w:r w:rsidR="005D2650" w:rsidRPr="005D2650">
        <w:t>Thickness of the upper confining aquitard (left) and m</w:t>
      </w:r>
      <w:r w:rsidR="003346A4">
        <w:t xml:space="preserve">apped textural classes within the </w:t>
      </w:r>
      <w:r w:rsidR="00C217F0">
        <w:t>Calivil Formation</w:t>
      </w:r>
      <w:r w:rsidR="00703410">
        <w:t xml:space="preserve"> aquifer at 51.5-61.0 m (right) </w:t>
      </w:r>
      <w:r w:rsidR="003346A4">
        <w:t>within the Jimargil borefield.</w:t>
      </w:r>
      <w:r w:rsidR="00163BAD">
        <w:t xml:space="preserve"> Key fault structures are shown on both maps.</w:t>
      </w:r>
      <w:r w:rsidR="003346A4" w:rsidRPr="00BE08AB">
        <w:rPr>
          <w:bCs w:val="0"/>
          <w:i w:val="0"/>
        </w:rPr>
        <w:t xml:space="preserve"> </w:t>
      </w:r>
      <w:r w:rsidR="003346A4" w:rsidRPr="007960BF">
        <w:rPr>
          <w:bCs w:val="0"/>
          <w:i w:val="0"/>
        </w:rPr>
        <w:fldChar w:fldCharType="begin"/>
      </w:r>
      <w:r w:rsidR="003346A4" w:rsidRPr="007960BF">
        <w:rPr>
          <w:bCs w:val="0"/>
          <w:i w:val="0"/>
        </w:rPr>
        <w:instrText xml:space="preserve"> TC "</w:instrText>
      </w:r>
      <w:bookmarkStart w:id="547" w:name="_Toc325975242"/>
      <w:bookmarkStart w:id="548" w:name="_Toc390690261"/>
      <w:r w:rsidR="003346A4" w:rsidRPr="007960BF">
        <w:rPr>
          <w:bCs w:val="0"/>
          <w:i w:val="0"/>
        </w:rPr>
        <w:instrText xml:space="preserve">Figure </w:instrText>
      </w:r>
      <w:r w:rsidR="000D653B">
        <w:rPr>
          <w:bCs w:val="0"/>
          <w:i w:val="0"/>
        </w:rPr>
        <w:instrText>8-</w:instrText>
      </w:r>
      <w:r w:rsidR="00153AFF">
        <w:rPr>
          <w:bCs w:val="0"/>
          <w:i w:val="0"/>
        </w:rPr>
        <w:instrText>8</w:instrText>
      </w:r>
      <w:r w:rsidR="00DE0DFA">
        <w:rPr>
          <w:bCs w:val="0"/>
          <w:i w:val="0"/>
        </w:rPr>
        <w:instrText>.</w:instrText>
      </w:r>
      <w:r w:rsidR="003346A4" w:rsidRPr="007960BF">
        <w:rPr>
          <w:bCs w:val="0"/>
          <w:i w:val="0"/>
        </w:rPr>
        <w:instrText xml:space="preserve"> </w:instrText>
      </w:r>
      <w:r w:rsidR="009848CD">
        <w:rPr>
          <w:bCs w:val="0"/>
          <w:i w:val="0"/>
        </w:rPr>
        <w:instrText xml:space="preserve">Upper aquitard thickness and </w:instrText>
      </w:r>
      <w:r w:rsidR="009848CD">
        <w:rPr>
          <w:i w:val="0"/>
        </w:rPr>
        <w:instrText>m</w:instrText>
      </w:r>
      <w:r w:rsidR="003346A4" w:rsidRPr="007960BF">
        <w:rPr>
          <w:i w:val="0"/>
        </w:rPr>
        <w:instrText xml:space="preserve">apped textural classes </w:instrText>
      </w:r>
      <w:r w:rsidR="009848CD">
        <w:rPr>
          <w:i w:val="0"/>
        </w:rPr>
        <w:instrText xml:space="preserve">at 51.5-61m </w:instrText>
      </w:r>
      <w:r w:rsidR="00146290">
        <w:rPr>
          <w:i w:val="0"/>
        </w:rPr>
        <w:instrText xml:space="preserve">depth </w:instrText>
      </w:r>
      <w:r w:rsidR="009848CD">
        <w:rPr>
          <w:i w:val="0"/>
        </w:rPr>
        <w:instrText>at the Jimargil site</w:instrText>
      </w:r>
      <w:bookmarkEnd w:id="547"/>
      <w:r w:rsidR="003721DD">
        <w:rPr>
          <w:i w:val="0"/>
        </w:rPr>
        <w:instrText>.</w:instrText>
      </w:r>
      <w:bookmarkEnd w:id="548"/>
      <w:r w:rsidR="003346A4" w:rsidRPr="007960BF">
        <w:rPr>
          <w:bCs w:val="0"/>
          <w:i w:val="0"/>
        </w:rPr>
        <w:instrText xml:space="preserve">" \f A \l “4” </w:instrText>
      </w:r>
      <w:r w:rsidR="003346A4" w:rsidRPr="007960BF">
        <w:rPr>
          <w:bCs w:val="0"/>
          <w:i w:val="0"/>
        </w:rPr>
        <w:fldChar w:fldCharType="end"/>
      </w:r>
      <w:bookmarkStart w:id="549" w:name="_Ref325708617"/>
    </w:p>
    <w:p w:rsidR="00860930" w:rsidRPr="00DE0DFA" w:rsidRDefault="0066145C" w:rsidP="00656729">
      <w:pPr>
        <w:spacing w:after="60"/>
        <w:jc w:val="center"/>
      </w:pPr>
      <w:r>
        <w:br w:type="page"/>
      </w:r>
      <w:r>
        <w:lastRenderedPageBreak/>
        <w:br w:type="page"/>
      </w:r>
      <w:r w:rsidR="00706A3B">
        <w:rPr>
          <w:noProof/>
        </w:rPr>
        <w:lastRenderedPageBreak/>
        <w:drawing>
          <wp:inline distT="0" distB="0" distL="0" distR="0" wp14:anchorId="7E4FAB9A" wp14:editId="51771BB2">
            <wp:extent cx="6092190" cy="8771890"/>
            <wp:effectExtent l="19050" t="19050" r="3810" b="0"/>
            <wp:docPr id="85" name="Picture 85" descr="EBJW_lith_depth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BJW_lith_depth61"/>
                    <pic:cNvPicPr>
                      <a:picLocks noChangeAspect="1" noChangeArrowheads="1"/>
                    </pic:cNvPicPr>
                  </pic:nvPicPr>
                  <pic:blipFill>
                    <a:blip r:embed="rId124" cstate="print">
                      <a:extLst>
                        <a:ext uri="{28A0092B-C50C-407E-A947-70E740481C1C}">
                          <a14:useLocalDpi xmlns:a14="http://schemas.microsoft.com/office/drawing/2010/main" val="0"/>
                        </a:ext>
                      </a:extLst>
                    </a:blip>
                    <a:srcRect l="9198" t="5830" r="8214" b="9932"/>
                    <a:stretch>
                      <a:fillRect/>
                    </a:stretch>
                  </pic:blipFill>
                  <pic:spPr bwMode="auto">
                    <a:xfrm>
                      <a:off x="0" y="0"/>
                      <a:ext cx="6092190" cy="8771890"/>
                    </a:xfrm>
                    <a:prstGeom prst="rect">
                      <a:avLst/>
                    </a:prstGeom>
                    <a:noFill/>
                    <a:ln w="12700" cmpd="sng">
                      <a:solidFill>
                        <a:srgbClr val="000000"/>
                      </a:solidFill>
                      <a:miter lim="800000"/>
                      <a:headEnd/>
                      <a:tailEnd/>
                    </a:ln>
                    <a:effectLst/>
                  </pic:spPr>
                </pic:pic>
              </a:graphicData>
            </a:graphic>
          </wp:inline>
        </w:drawing>
      </w:r>
      <w:r w:rsidR="000D653B">
        <w:t xml:space="preserve"> </w:t>
      </w:r>
      <w:r w:rsidR="00706A3B">
        <w:rPr>
          <w:noProof/>
        </w:rPr>
        <w:drawing>
          <wp:inline distT="0" distB="0" distL="0" distR="0" wp14:anchorId="616E52F4" wp14:editId="60714BEE">
            <wp:extent cx="6082030" cy="8803640"/>
            <wp:effectExtent l="19050" t="19050" r="0" b="0"/>
            <wp:docPr id="86" name="Picture 86" descr="EBJW_CalivilFm_Thick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BJW_CalivilFm_Thickness"/>
                    <pic:cNvPicPr>
                      <a:picLocks noChangeAspect="1" noChangeArrowheads="1"/>
                    </pic:cNvPicPr>
                  </pic:nvPicPr>
                  <pic:blipFill>
                    <a:blip r:embed="rId125" cstate="print">
                      <a:extLst>
                        <a:ext uri="{28A0092B-C50C-407E-A947-70E740481C1C}">
                          <a14:useLocalDpi xmlns:a14="http://schemas.microsoft.com/office/drawing/2010/main" val="0"/>
                        </a:ext>
                      </a:extLst>
                    </a:blip>
                    <a:srcRect l="10233" t="6006" r="7635" b="9836"/>
                    <a:stretch>
                      <a:fillRect/>
                    </a:stretch>
                  </pic:blipFill>
                  <pic:spPr bwMode="auto">
                    <a:xfrm>
                      <a:off x="0" y="0"/>
                      <a:ext cx="6082030" cy="8803640"/>
                    </a:xfrm>
                    <a:prstGeom prst="rect">
                      <a:avLst/>
                    </a:prstGeom>
                    <a:noFill/>
                    <a:ln w="12700" cmpd="sng">
                      <a:solidFill>
                        <a:srgbClr val="000000"/>
                      </a:solidFill>
                      <a:miter lim="800000"/>
                      <a:headEnd/>
                      <a:tailEnd/>
                    </a:ln>
                    <a:effectLst/>
                  </pic:spPr>
                </pic:pic>
              </a:graphicData>
            </a:graphic>
          </wp:inline>
        </w:drawing>
      </w:r>
    </w:p>
    <w:p w:rsidR="00860930" w:rsidRDefault="001741E7" w:rsidP="00EF07F3">
      <w:pPr>
        <w:pStyle w:val="Caption"/>
        <w:rPr>
          <w:bCs w:val="0"/>
          <w:i w:val="0"/>
        </w:rPr>
      </w:pPr>
      <w:bookmarkStart w:id="550" w:name="_Ref32739022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9</w:t>
      </w:r>
      <w:r w:rsidR="00A23C59">
        <w:rPr>
          <w:b/>
        </w:rPr>
        <w:fldChar w:fldCharType="end"/>
      </w:r>
      <w:bookmarkEnd w:id="549"/>
      <w:bookmarkEnd w:id="550"/>
      <w:r>
        <w:rPr>
          <w:b/>
        </w:rPr>
        <w:t>.</w:t>
      </w:r>
      <w:r w:rsidR="003346A4">
        <w:t xml:space="preserve"> </w:t>
      </w:r>
      <w:r w:rsidR="00703410">
        <w:t xml:space="preserve">Mapped textural classes within the </w:t>
      </w:r>
      <w:r w:rsidR="00C217F0">
        <w:t>Calivil Formation</w:t>
      </w:r>
      <w:r w:rsidR="00703410">
        <w:t xml:space="preserve"> for </w:t>
      </w:r>
      <w:r w:rsidR="009E2332">
        <w:t>the 61.0-72.3</w:t>
      </w:r>
      <w:r w:rsidR="00A72012">
        <w:t xml:space="preserve"> </w:t>
      </w:r>
      <w:r w:rsidR="00703410">
        <w:t>m depth slice (right), and map of t</w:t>
      </w:r>
      <w:r w:rsidR="003346A4">
        <w:t xml:space="preserve">hickness of the </w:t>
      </w:r>
      <w:r w:rsidR="00C217F0">
        <w:t>Calivil Formation</w:t>
      </w:r>
      <w:r w:rsidR="003346A4">
        <w:t xml:space="preserve"> aquifer</w:t>
      </w:r>
      <w:r w:rsidR="00703410">
        <w:t>,</w:t>
      </w:r>
      <w:r w:rsidR="003346A4">
        <w:t xml:space="preserve"> at the Jimargil borefield site.</w:t>
      </w:r>
      <w:r w:rsidR="00163BAD">
        <w:t xml:space="preserve"> </w:t>
      </w:r>
      <w:bookmarkStart w:id="551" w:name="OLE_LINK23"/>
      <w:bookmarkStart w:id="552" w:name="OLE_LINK24"/>
      <w:r w:rsidR="00163BAD">
        <w:t>Key fault structures are shown on both maps</w:t>
      </w:r>
      <w:bookmarkEnd w:id="551"/>
      <w:bookmarkEnd w:id="552"/>
      <w:r w:rsidR="00163BAD">
        <w:t>.</w:t>
      </w:r>
      <w:r w:rsidR="003346A4" w:rsidRPr="00BE08AB">
        <w:rPr>
          <w:bCs w:val="0"/>
          <w:i w:val="0"/>
        </w:rPr>
        <w:t xml:space="preserve"> </w:t>
      </w:r>
      <w:r w:rsidR="003346A4" w:rsidRPr="005706E3">
        <w:rPr>
          <w:bCs w:val="0"/>
          <w:i w:val="0"/>
        </w:rPr>
        <w:fldChar w:fldCharType="begin"/>
      </w:r>
      <w:r w:rsidR="003346A4" w:rsidRPr="005706E3">
        <w:rPr>
          <w:bCs w:val="0"/>
          <w:i w:val="0"/>
        </w:rPr>
        <w:instrText xml:space="preserve"> TC "</w:instrText>
      </w:r>
      <w:bookmarkStart w:id="553" w:name="_Toc325975243"/>
      <w:bookmarkStart w:id="554" w:name="_Toc390690262"/>
      <w:r w:rsidR="003346A4" w:rsidRPr="00703410">
        <w:rPr>
          <w:bCs w:val="0"/>
          <w:i w:val="0"/>
        </w:rPr>
        <w:instrText xml:space="preserve">Figure </w:instrText>
      </w:r>
      <w:r w:rsidR="007E2632">
        <w:rPr>
          <w:bCs w:val="0"/>
          <w:i w:val="0"/>
        </w:rPr>
        <w:instrText>8-9</w:instrText>
      </w:r>
      <w:r w:rsidR="00DE0DFA">
        <w:rPr>
          <w:bCs w:val="0"/>
          <w:i w:val="0"/>
        </w:rPr>
        <w:instrText>.</w:instrText>
      </w:r>
      <w:r w:rsidR="003346A4" w:rsidRPr="00703410">
        <w:rPr>
          <w:bCs w:val="0"/>
          <w:i w:val="0"/>
        </w:rPr>
        <w:instrText xml:space="preserve"> </w:instrText>
      </w:r>
      <w:r w:rsidR="00703410" w:rsidRPr="00703410">
        <w:rPr>
          <w:bCs w:val="0"/>
          <w:i w:val="0"/>
        </w:rPr>
        <w:instrText xml:space="preserve">Textural classes for the </w:instrText>
      </w:r>
      <w:r w:rsidR="009E2332">
        <w:rPr>
          <w:i w:val="0"/>
        </w:rPr>
        <w:instrText>61.0-72.3</w:instrText>
      </w:r>
      <w:r w:rsidR="00703410" w:rsidRPr="00703410">
        <w:rPr>
          <w:i w:val="0"/>
        </w:rPr>
        <w:instrText>m depth slice, and t</w:instrText>
      </w:r>
      <w:r w:rsidR="003346A4" w:rsidRPr="00703410">
        <w:rPr>
          <w:i w:val="0"/>
        </w:rPr>
        <w:instrText>hickness o</w:instrText>
      </w:r>
      <w:r w:rsidR="00703410" w:rsidRPr="00703410">
        <w:rPr>
          <w:i w:val="0"/>
        </w:rPr>
        <w:instrText xml:space="preserve">f the </w:instrText>
      </w:r>
      <w:r w:rsidR="00C217F0">
        <w:rPr>
          <w:i w:val="0"/>
        </w:rPr>
        <w:instrText>Calivil Formation</w:instrText>
      </w:r>
      <w:r w:rsidR="00703410" w:rsidRPr="00703410">
        <w:rPr>
          <w:i w:val="0"/>
        </w:rPr>
        <w:instrText xml:space="preserve"> aquifer, </w:instrText>
      </w:r>
      <w:r w:rsidR="003346A4" w:rsidRPr="00703410">
        <w:rPr>
          <w:i w:val="0"/>
        </w:rPr>
        <w:instrText>at the Jimargil site</w:instrText>
      </w:r>
      <w:bookmarkEnd w:id="553"/>
      <w:r w:rsidR="003721DD">
        <w:rPr>
          <w:bCs w:val="0"/>
          <w:i w:val="0"/>
        </w:rPr>
        <w:instrText>.</w:instrText>
      </w:r>
      <w:bookmarkEnd w:id="554"/>
      <w:r w:rsidR="003346A4" w:rsidRPr="005706E3">
        <w:rPr>
          <w:bCs w:val="0"/>
          <w:i w:val="0"/>
        </w:rPr>
        <w:instrText xml:space="preserve">" \f A \l “4” </w:instrText>
      </w:r>
      <w:r w:rsidR="003346A4" w:rsidRPr="005706E3">
        <w:rPr>
          <w:bCs w:val="0"/>
          <w:i w:val="0"/>
        </w:rPr>
        <w:fldChar w:fldCharType="end"/>
      </w:r>
      <w:bookmarkStart w:id="555" w:name="_Ref325708699"/>
    </w:p>
    <w:p w:rsidR="00ED6235" w:rsidRDefault="00ED6235" w:rsidP="00935679">
      <w:pPr>
        <w:spacing w:before="120"/>
        <w:jc w:val="center"/>
      </w:pPr>
    </w:p>
    <w:p w:rsidR="00860930" w:rsidRPr="00DE0DFA" w:rsidRDefault="0066145C" w:rsidP="00656729">
      <w:pPr>
        <w:spacing w:before="120" w:after="60"/>
        <w:jc w:val="center"/>
      </w:pPr>
      <w:r>
        <w:br w:type="page"/>
      </w:r>
      <w:r w:rsidR="00706A3B">
        <w:rPr>
          <w:noProof/>
        </w:rPr>
        <w:lastRenderedPageBreak/>
        <w:drawing>
          <wp:inline distT="0" distB="0" distL="0" distR="0" wp14:anchorId="21F0F751" wp14:editId="344C9CEB">
            <wp:extent cx="6634480" cy="8112760"/>
            <wp:effectExtent l="19050" t="19050" r="0" b="2540"/>
            <wp:docPr id="87" name="Picture 87" descr="EBJW_Veg_cond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BJW_Veg_cond_2009"/>
                    <pic:cNvPicPr>
                      <a:picLocks noChangeAspect="1" noChangeArrowheads="1"/>
                    </pic:cNvPicPr>
                  </pic:nvPicPr>
                  <pic:blipFill>
                    <a:blip r:embed="rId126" cstate="print">
                      <a:extLst>
                        <a:ext uri="{28A0092B-C50C-407E-A947-70E740481C1C}">
                          <a14:useLocalDpi xmlns:a14="http://schemas.microsoft.com/office/drawing/2010/main" val="0"/>
                        </a:ext>
                      </a:extLst>
                    </a:blip>
                    <a:srcRect l="9062" t="6010" r="8214" b="22295"/>
                    <a:stretch>
                      <a:fillRect/>
                    </a:stretch>
                  </pic:blipFill>
                  <pic:spPr bwMode="auto">
                    <a:xfrm>
                      <a:off x="0" y="0"/>
                      <a:ext cx="6634480" cy="8112760"/>
                    </a:xfrm>
                    <a:prstGeom prst="rect">
                      <a:avLst/>
                    </a:prstGeom>
                    <a:noFill/>
                    <a:ln w="12700" cmpd="sng">
                      <a:solidFill>
                        <a:srgbClr val="000000"/>
                      </a:solidFill>
                      <a:miter lim="800000"/>
                      <a:headEnd/>
                      <a:tailEnd/>
                    </a:ln>
                    <a:effectLst/>
                  </pic:spPr>
                </pic:pic>
              </a:graphicData>
            </a:graphic>
          </wp:inline>
        </w:drawing>
      </w:r>
      <w:r w:rsidR="000D653B">
        <w:t xml:space="preserve"> </w:t>
      </w:r>
      <w:r w:rsidR="00706A3B">
        <w:rPr>
          <w:noProof/>
        </w:rPr>
        <w:drawing>
          <wp:inline distT="0" distB="0" distL="0" distR="0" wp14:anchorId="7A2CA993" wp14:editId="1E72742D">
            <wp:extent cx="6570980" cy="8123555"/>
            <wp:effectExtent l="19050" t="19050" r="1270" b="0"/>
            <wp:docPr id="88" name="Picture 88" descr="EBJW_veg_dom_water_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BJW_veg_dom_water_source"/>
                    <pic:cNvPicPr>
                      <a:picLocks noChangeAspect="1" noChangeArrowheads="1"/>
                    </pic:cNvPicPr>
                  </pic:nvPicPr>
                  <pic:blipFill>
                    <a:blip r:embed="rId127" cstate="print">
                      <a:extLst>
                        <a:ext uri="{28A0092B-C50C-407E-A947-70E740481C1C}">
                          <a14:useLocalDpi xmlns:a14="http://schemas.microsoft.com/office/drawing/2010/main" val="0"/>
                        </a:ext>
                      </a:extLst>
                    </a:blip>
                    <a:srcRect l="10233" t="6007" r="7635" b="22198"/>
                    <a:stretch>
                      <a:fillRect/>
                    </a:stretch>
                  </pic:blipFill>
                  <pic:spPr bwMode="auto">
                    <a:xfrm>
                      <a:off x="0" y="0"/>
                      <a:ext cx="6570980" cy="8123555"/>
                    </a:xfrm>
                    <a:prstGeom prst="rect">
                      <a:avLst/>
                    </a:prstGeom>
                    <a:noFill/>
                    <a:ln w="12700" cmpd="sng">
                      <a:solidFill>
                        <a:srgbClr val="000000"/>
                      </a:solidFill>
                      <a:miter lim="800000"/>
                      <a:headEnd/>
                      <a:tailEnd/>
                    </a:ln>
                    <a:effectLst/>
                  </pic:spPr>
                </pic:pic>
              </a:graphicData>
            </a:graphic>
          </wp:inline>
        </w:drawing>
      </w:r>
    </w:p>
    <w:p w:rsidR="007E6E21" w:rsidRPr="007E6E21" w:rsidRDefault="001741E7" w:rsidP="007E6E21">
      <w:pPr>
        <w:pStyle w:val="Caption"/>
        <w:rPr>
          <w:bCs w:val="0"/>
          <w:i w:val="0"/>
        </w:rPr>
      </w:pPr>
      <w:bookmarkStart w:id="556" w:name="_Ref327390055"/>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10</w:t>
      </w:r>
      <w:r w:rsidR="00A23C59">
        <w:rPr>
          <w:b/>
        </w:rPr>
        <w:fldChar w:fldCharType="end"/>
      </w:r>
      <w:bookmarkEnd w:id="555"/>
      <w:bookmarkEnd w:id="556"/>
      <w:r>
        <w:rPr>
          <w:b/>
        </w:rPr>
        <w:t xml:space="preserve">. </w:t>
      </w:r>
      <w:r w:rsidR="00FE37F2">
        <w:t>Condition of w</w:t>
      </w:r>
      <w:r w:rsidR="00A22E97">
        <w:t>oody vegetation</w:t>
      </w:r>
      <w:r w:rsidR="00FE37F2">
        <w:t xml:space="preserve"> in 2009 (left) and dominant water source </w:t>
      </w:r>
      <w:r w:rsidR="00F4198C">
        <w:t xml:space="preserve">for </w:t>
      </w:r>
      <w:r w:rsidR="004C1FD2">
        <w:t>vegetation (right) for the Jimargil borefield</w:t>
      </w:r>
      <w:r w:rsidR="00A22E97">
        <w:t xml:space="preserve">. </w:t>
      </w:r>
      <w:r w:rsidR="00163BAD">
        <w:t>Key fault structures are shown on both maps</w:t>
      </w:r>
      <w:r w:rsidR="004D05E2">
        <w:t>.</w:t>
      </w:r>
      <w:r w:rsidR="00163BAD" w:rsidRPr="007960BF">
        <w:rPr>
          <w:bCs w:val="0"/>
          <w:i w:val="0"/>
        </w:rPr>
        <w:t xml:space="preserve"> </w:t>
      </w:r>
      <w:r w:rsidR="007E6E21" w:rsidRPr="007E6E21">
        <w:rPr>
          <w:bCs w:val="0"/>
          <w:i w:val="0"/>
        </w:rPr>
        <w:fldChar w:fldCharType="begin"/>
      </w:r>
      <w:r w:rsidR="007E6E21" w:rsidRPr="007E6E21">
        <w:rPr>
          <w:bCs w:val="0"/>
          <w:i w:val="0"/>
        </w:rPr>
        <w:instrText xml:space="preserve"> TC "</w:instrText>
      </w:r>
      <w:bookmarkStart w:id="557" w:name="_Toc390690263"/>
      <w:r w:rsidR="007E6E21" w:rsidRPr="007E6E21">
        <w:rPr>
          <w:bCs w:val="0"/>
          <w:i w:val="0"/>
        </w:rPr>
        <w:instrText xml:space="preserve">Figure 8-10. </w:instrText>
      </w:r>
      <w:r w:rsidR="007E6E21" w:rsidRPr="007E6E21">
        <w:rPr>
          <w:i w:val="0"/>
        </w:rPr>
        <w:instrText>Condition of woody vegetation</w:instrText>
      </w:r>
      <w:r w:rsidR="007E6E21">
        <w:rPr>
          <w:i w:val="0"/>
        </w:rPr>
        <w:instrText xml:space="preserve"> in 2009 </w:instrText>
      </w:r>
      <w:r w:rsidR="007E6E21" w:rsidRPr="007E6E21">
        <w:rPr>
          <w:i w:val="0"/>
        </w:rPr>
        <w:instrText xml:space="preserve">and dominant water source for </w:instrText>
      </w:r>
      <w:r w:rsidR="007E6E21">
        <w:rPr>
          <w:i w:val="0"/>
        </w:rPr>
        <w:instrText xml:space="preserve">vegetation </w:instrText>
      </w:r>
      <w:r w:rsidR="007E6E21" w:rsidRPr="007E6E21">
        <w:rPr>
          <w:i w:val="0"/>
        </w:rPr>
        <w:instrText>for the Jimargil borefield</w:instrText>
      </w:r>
      <w:r w:rsidR="007E6E21" w:rsidRPr="007E6E21">
        <w:rPr>
          <w:bCs w:val="0"/>
          <w:i w:val="0"/>
        </w:rPr>
        <w:instrText>.</w:instrText>
      </w:r>
      <w:bookmarkEnd w:id="557"/>
      <w:r w:rsidR="007E6E21" w:rsidRPr="007E6E21">
        <w:rPr>
          <w:bCs w:val="0"/>
          <w:i w:val="0"/>
        </w:rPr>
        <w:instrText xml:space="preserve">" \f A \l “4” </w:instrText>
      </w:r>
      <w:r w:rsidR="007E6E21" w:rsidRPr="007E6E21">
        <w:rPr>
          <w:bCs w:val="0"/>
          <w:i w:val="0"/>
        </w:rPr>
        <w:fldChar w:fldCharType="end"/>
      </w:r>
    </w:p>
    <w:p w:rsidR="00D312B1" w:rsidRDefault="00D312B1" w:rsidP="00D312B1">
      <w:pPr>
        <w:pStyle w:val="Caption"/>
        <w:rPr>
          <w:bCs w:val="0"/>
          <w:i w:val="0"/>
        </w:rPr>
      </w:pPr>
    </w:p>
    <w:p w:rsidR="00D312B1" w:rsidRP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Default="00D312B1" w:rsidP="00D312B1">
      <w:pPr>
        <w:jc w:val="center"/>
      </w:pPr>
    </w:p>
    <w:p w:rsidR="00D312B1" w:rsidRPr="00D312B1" w:rsidRDefault="00D312B1" w:rsidP="00D312B1">
      <w:pPr>
        <w:jc w:val="center"/>
      </w:pPr>
    </w:p>
    <w:p w:rsidR="00D312B1" w:rsidRPr="00D312B1" w:rsidRDefault="00D312B1" w:rsidP="00D312B1">
      <w:pPr>
        <w:jc w:val="center"/>
      </w:pPr>
      <w:r>
        <w:t>.</w:t>
      </w:r>
    </w:p>
    <w:p w:rsidR="00D312B1" w:rsidRDefault="00D312B1" w:rsidP="00D312B1"/>
    <w:p w:rsidR="00E04B4B" w:rsidRPr="00D312B1" w:rsidRDefault="00E04B4B" w:rsidP="00D312B1">
      <w:pPr>
        <w:sectPr w:rsidR="00E04B4B" w:rsidRPr="00D312B1" w:rsidSect="003D4EF0">
          <w:pgSz w:w="23814" w:h="16840" w:orient="landscape" w:code="8"/>
          <w:pgMar w:top="1134" w:right="1134" w:bottom="1134" w:left="1134" w:header="709" w:footer="709" w:gutter="0"/>
          <w:cols w:space="708"/>
          <w:docGrid w:linePitch="360"/>
        </w:sectPr>
      </w:pPr>
    </w:p>
    <w:p w:rsidR="00DE0FB3" w:rsidRPr="00C33663" w:rsidRDefault="00CC7A70" w:rsidP="00EF7E00">
      <w:pPr>
        <w:pStyle w:val="Heading3"/>
        <w:tabs>
          <w:tab w:val="left" w:pos="1080"/>
        </w:tabs>
        <w:spacing w:before="320"/>
        <w:ind w:left="1080" w:hanging="1080"/>
      </w:pPr>
      <w:bookmarkStart w:id="558" w:name="_Toc325700126"/>
      <w:bookmarkStart w:id="559" w:name="_Toc325700469"/>
      <w:bookmarkStart w:id="560" w:name="_Toc325975151"/>
      <w:bookmarkStart w:id="561" w:name="_Toc390690144"/>
      <w:r>
        <w:lastRenderedPageBreak/>
        <w:t xml:space="preserve">Estimates of </w:t>
      </w:r>
      <w:r w:rsidR="00DE0FB3" w:rsidRPr="00C33663">
        <w:t>Hydraulic Conduc</w:t>
      </w:r>
      <w:bookmarkEnd w:id="558"/>
      <w:bookmarkEnd w:id="559"/>
      <w:r w:rsidR="002028F3">
        <w:t xml:space="preserve">tivity/Transmissivity and </w:t>
      </w:r>
      <w:r>
        <w:t>Storativity</w:t>
      </w:r>
      <w:bookmarkEnd w:id="560"/>
      <w:bookmarkEnd w:id="561"/>
    </w:p>
    <w:p w:rsidR="00617B11" w:rsidRDefault="00617B11" w:rsidP="00617B11">
      <w:pPr>
        <w:rPr>
          <w:rFonts w:cs="Arial"/>
          <w:szCs w:val="18"/>
        </w:rPr>
      </w:pPr>
      <w:r w:rsidRPr="00106292">
        <w:rPr>
          <w:rFonts w:cs="Arial"/>
          <w:szCs w:val="18"/>
        </w:rPr>
        <w:t>Limited</w:t>
      </w:r>
      <w:r w:rsidR="00937821">
        <w:rPr>
          <w:rFonts w:cs="Arial"/>
          <w:szCs w:val="18"/>
        </w:rPr>
        <w:t xml:space="preserve"> aquifer</w:t>
      </w:r>
      <w:r w:rsidRPr="00106292">
        <w:rPr>
          <w:rFonts w:cs="Arial"/>
          <w:szCs w:val="18"/>
        </w:rPr>
        <w:t xml:space="preserve"> p</w:t>
      </w:r>
      <w:r w:rsidR="008D0605" w:rsidRPr="00106292">
        <w:rPr>
          <w:rFonts w:cs="Arial"/>
          <w:szCs w:val="18"/>
        </w:rPr>
        <w:t xml:space="preserve">ump tests </w:t>
      </w:r>
      <w:r w:rsidR="00024C55" w:rsidRPr="00106292">
        <w:rPr>
          <w:rFonts w:cs="Arial"/>
          <w:szCs w:val="18"/>
        </w:rPr>
        <w:t>(Lawrie</w:t>
      </w:r>
      <w:r w:rsidR="008A5F7D" w:rsidRPr="00CF7613">
        <w:rPr>
          <w:rStyle w:val="StyleItalic"/>
        </w:rPr>
        <w:t xml:space="preserve"> et al</w:t>
      </w:r>
      <w:r w:rsidR="00024C55" w:rsidRPr="00106292">
        <w:rPr>
          <w:rFonts w:cs="Arial"/>
          <w:szCs w:val="18"/>
        </w:rPr>
        <w:t>., 2012</w:t>
      </w:r>
      <w:r w:rsidR="00AD2035" w:rsidRPr="00106292">
        <w:rPr>
          <w:rFonts w:cs="Arial"/>
          <w:szCs w:val="18"/>
        </w:rPr>
        <w:t>a</w:t>
      </w:r>
      <w:r w:rsidR="00106292" w:rsidRPr="00106292">
        <w:rPr>
          <w:rFonts w:cs="Arial"/>
          <w:szCs w:val="18"/>
        </w:rPr>
        <w:t>, c</w:t>
      </w:r>
      <w:r w:rsidR="00024C55" w:rsidRPr="00106292">
        <w:rPr>
          <w:rFonts w:cs="Arial"/>
          <w:szCs w:val="18"/>
        </w:rPr>
        <w:t xml:space="preserve">) </w:t>
      </w:r>
      <w:r w:rsidR="008D0605" w:rsidRPr="00106292">
        <w:rPr>
          <w:rFonts w:cs="Arial"/>
          <w:szCs w:val="18"/>
        </w:rPr>
        <w:t xml:space="preserve">have confirmed that the </w:t>
      </w:r>
      <w:r w:rsidR="00C217F0">
        <w:rPr>
          <w:rFonts w:cs="Arial"/>
          <w:szCs w:val="18"/>
        </w:rPr>
        <w:t>Calivil Formation</w:t>
      </w:r>
      <w:r w:rsidR="008D0605" w:rsidRPr="00106292">
        <w:rPr>
          <w:rFonts w:cs="Arial"/>
          <w:szCs w:val="18"/>
        </w:rPr>
        <w:t xml:space="preserve"> aquifer has </w:t>
      </w:r>
      <w:r w:rsidRPr="00106292">
        <w:rPr>
          <w:rFonts w:cs="Arial"/>
          <w:szCs w:val="18"/>
        </w:rPr>
        <w:t xml:space="preserve">high </w:t>
      </w:r>
      <w:r w:rsidR="008D0605" w:rsidRPr="00106292">
        <w:rPr>
          <w:rFonts w:cs="Arial"/>
          <w:szCs w:val="18"/>
        </w:rPr>
        <w:t xml:space="preserve">hydraulic conductivities </w:t>
      </w:r>
      <w:r w:rsidRPr="00106292">
        <w:rPr>
          <w:rFonts w:cs="Arial"/>
          <w:szCs w:val="18"/>
        </w:rPr>
        <w:t>at the Jimargil site</w:t>
      </w:r>
      <w:r w:rsidR="008D0605" w:rsidRPr="00106292">
        <w:rPr>
          <w:rFonts w:cs="Arial"/>
          <w:szCs w:val="18"/>
        </w:rPr>
        <w:t xml:space="preserve">. Estimated transmissivities from two </w:t>
      </w:r>
      <w:r w:rsidR="00937821">
        <w:rPr>
          <w:rFonts w:cs="Arial"/>
          <w:szCs w:val="18"/>
        </w:rPr>
        <w:t xml:space="preserve">aquifer </w:t>
      </w:r>
      <w:r w:rsidR="008D0605" w:rsidRPr="00106292">
        <w:rPr>
          <w:rFonts w:cs="Arial"/>
          <w:szCs w:val="18"/>
        </w:rPr>
        <w:t xml:space="preserve">pump tests at Jimargil and </w:t>
      </w:r>
      <w:smartTag w:uri="urn:schemas-microsoft-com:office:smarttags" w:element="place">
        <w:r w:rsidR="008D0605" w:rsidRPr="00106292">
          <w:rPr>
            <w:rFonts w:cs="Arial"/>
            <w:szCs w:val="18"/>
          </w:rPr>
          <w:t>East Bootingee</w:t>
        </w:r>
      </w:smartTag>
      <w:r w:rsidR="008D0605" w:rsidRPr="00106292">
        <w:rPr>
          <w:rFonts w:cs="Arial"/>
          <w:szCs w:val="18"/>
        </w:rPr>
        <w:t xml:space="preserve"> are 300 m</w:t>
      </w:r>
      <w:r w:rsidR="008D0605" w:rsidRPr="00106292">
        <w:rPr>
          <w:rFonts w:cs="Arial"/>
          <w:szCs w:val="18"/>
          <w:vertAlign w:val="superscript"/>
        </w:rPr>
        <w:t>2</w:t>
      </w:r>
      <w:r w:rsidR="008D0605" w:rsidRPr="00106292">
        <w:rPr>
          <w:rFonts w:cs="Arial"/>
          <w:szCs w:val="18"/>
        </w:rPr>
        <w:t>/d and 930 m</w:t>
      </w:r>
      <w:r w:rsidR="008D0605" w:rsidRPr="00106292">
        <w:rPr>
          <w:rFonts w:cs="Arial"/>
          <w:szCs w:val="18"/>
          <w:vertAlign w:val="superscript"/>
        </w:rPr>
        <w:t>2</w:t>
      </w:r>
      <w:r w:rsidR="008D0605" w:rsidRPr="00106292">
        <w:rPr>
          <w:rFonts w:cs="Arial"/>
          <w:szCs w:val="18"/>
        </w:rPr>
        <w:t>/d, respectively (</w:t>
      </w:r>
      <w:r w:rsidR="005B1337" w:rsidRPr="00106292">
        <w:rPr>
          <w:rFonts w:cs="Arial"/>
          <w:szCs w:val="18"/>
        </w:rPr>
        <w:fldChar w:fldCharType="begin"/>
      </w:r>
      <w:r w:rsidR="005B1337" w:rsidRPr="00106292">
        <w:rPr>
          <w:rFonts w:cs="Arial"/>
          <w:szCs w:val="18"/>
        </w:rPr>
        <w:instrText xml:space="preserve"> REF _Ref325913437 \h </w:instrText>
      </w:r>
      <w:r w:rsidR="00795774" w:rsidRPr="00106292">
        <w:rPr>
          <w:rFonts w:cs="Arial"/>
          <w:szCs w:val="18"/>
        </w:rPr>
        <w:instrText xml:space="preserve"> \* MERGEFORMAT </w:instrText>
      </w:r>
      <w:r w:rsidR="005B1337" w:rsidRPr="00106292">
        <w:rPr>
          <w:rFonts w:cs="Arial"/>
          <w:szCs w:val="18"/>
        </w:rPr>
      </w:r>
      <w:r w:rsidR="005B1337" w:rsidRPr="00106292">
        <w:rPr>
          <w:rFonts w:cs="Arial"/>
          <w:szCs w:val="18"/>
        </w:rPr>
        <w:fldChar w:fldCharType="separate"/>
      </w:r>
      <w:r w:rsidR="00966532" w:rsidRPr="00966532">
        <w:t xml:space="preserve">Table </w:t>
      </w:r>
      <w:r w:rsidR="00966532" w:rsidRPr="00966532">
        <w:rPr>
          <w:noProof/>
        </w:rPr>
        <w:t>8</w:t>
      </w:r>
      <w:r w:rsidR="00966532" w:rsidRPr="00966532">
        <w:rPr>
          <w:noProof/>
        </w:rPr>
        <w:noBreakHyphen/>
        <w:t>2</w:t>
      </w:r>
      <w:r w:rsidR="005B1337" w:rsidRPr="00106292">
        <w:rPr>
          <w:rFonts w:cs="Arial"/>
          <w:szCs w:val="18"/>
        </w:rPr>
        <w:fldChar w:fldCharType="end"/>
      </w:r>
      <w:r w:rsidR="008D0605" w:rsidRPr="00106292">
        <w:rPr>
          <w:rFonts w:cs="Arial"/>
          <w:szCs w:val="18"/>
        </w:rPr>
        <w:t xml:space="preserve">). These equate to hydraulic conductivity values of 15 and 28 m/d, and calculated critical drawdown pumping rates of 48 L/s and 128 L/s. Although these rates will not reflect actual operational pumping rates as the hydraulic analysis does not account for other constraints (such as potential salt mobilisation, well losses, hydraulic barrier boundaries or borehole pumping interference), these values are far higher than indicated from </w:t>
      </w:r>
      <w:r w:rsidR="003E5381" w:rsidRPr="00106292">
        <w:rPr>
          <w:rFonts w:cs="Arial"/>
          <w:szCs w:val="18"/>
        </w:rPr>
        <w:t xml:space="preserve">previous investigations </w:t>
      </w:r>
      <w:r w:rsidR="003C2406" w:rsidRPr="00106292">
        <w:rPr>
          <w:rFonts w:cs="Arial"/>
          <w:szCs w:val="18"/>
        </w:rPr>
        <w:t xml:space="preserve">of the </w:t>
      </w:r>
      <w:r w:rsidR="00C217F0">
        <w:rPr>
          <w:rFonts w:cs="Arial"/>
          <w:szCs w:val="18"/>
        </w:rPr>
        <w:t>Calivil Formation</w:t>
      </w:r>
      <w:r w:rsidR="003C2406" w:rsidRPr="00106292">
        <w:rPr>
          <w:rFonts w:cs="Arial"/>
          <w:szCs w:val="18"/>
        </w:rPr>
        <w:t xml:space="preserve"> aquifer in this area </w:t>
      </w:r>
      <w:r w:rsidR="003E5381" w:rsidRPr="00106292">
        <w:rPr>
          <w:rFonts w:cs="Arial"/>
          <w:szCs w:val="18"/>
        </w:rPr>
        <w:t>(e.g.</w:t>
      </w:r>
      <w:r w:rsidR="003C2406" w:rsidRPr="00106292">
        <w:rPr>
          <w:rFonts w:cs="Arial"/>
          <w:szCs w:val="18"/>
        </w:rPr>
        <w:t xml:space="preserve"> </w:t>
      </w:r>
      <w:r w:rsidR="003E5381" w:rsidRPr="00106292">
        <w:rPr>
          <w:rFonts w:cs="Arial"/>
          <w:szCs w:val="18"/>
        </w:rPr>
        <w:t xml:space="preserve">Jewell, 2007). </w:t>
      </w:r>
      <w:r w:rsidR="008D0605" w:rsidRPr="00106292">
        <w:rPr>
          <w:rFonts w:cs="Arial"/>
          <w:szCs w:val="18"/>
        </w:rPr>
        <w:t xml:space="preserve">The positive results are attributed to the ability to target higher yielding palaeochannel features using the </w:t>
      </w:r>
      <w:smartTag w:uri="urn:schemas-microsoft-com:office:smarttags" w:element="stockticker">
        <w:r w:rsidR="008D0605" w:rsidRPr="00106292">
          <w:rPr>
            <w:rFonts w:cs="Arial"/>
            <w:szCs w:val="18"/>
          </w:rPr>
          <w:t>AEM</w:t>
        </w:r>
      </w:smartTag>
      <w:r w:rsidR="008D0605" w:rsidRPr="00106292">
        <w:rPr>
          <w:rFonts w:cs="Arial"/>
          <w:szCs w:val="18"/>
        </w:rPr>
        <w:t xml:space="preserve"> data</w:t>
      </w:r>
      <w:r w:rsidR="00024C55" w:rsidRPr="00106292">
        <w:rPr>
          <w:rFonts w:cs="Arial"/>
          <w:szCs w:val="18"/>
        </w:rPr>
        <w:t xml:space="preserve"> (Lawrie</w:t>
      </w:r>
      <w:r w:rsidR="008A5F7D" w:rsidRPr="00CF7613">
        <w:rPr>
          <w:rStyle w:val="StyleItalic"/>
        </w:rPr>
        <w:t xml:space="preserve"> et al</w:t>
      </w:r>
      <w:r w:rsidR="00024C55" w:rsidRPr="00106292">
        <w:rPr>
          <w:rFonts w:cs="Arial"/>
          <w:szCs w:val="18"/>
        </w:rPr>
        <w:t>., 2012b</w:t>
      </w:r>
      <w:r w:rsidR="00106292" w:rsidRPr="00106292">
        <w:rPr>
          <w:rFonts w:cs="Arial"/>
          <w:szCs w:val="18"/>
        </w:rPr>
        <w:t>, c, d</w:t>
      </w:r>
      <w:r w:rsidR="00024C55" w:rsidRPr="00106292">
        <w:rPr>
          <w:rFonts w:cs="Arial"/>
          <w:szCs w:val="18"/>
        </w:rPr>
        <w:t>)</w:t>
      </w:r>
      <w:r w:rsidR="008D0605" w:rsidRPr="00106292">
        <w:rPr>
          <w:rFonts w:cs="Arial"/>
          <w:szCs w:val="18"/>
        </w:rPr>
        <w:t>.</w:t>
      </w:r>
      <w:r w:rsidRPr="00106292">
        <w:rPr>
          <w:rFonts w:cs="Arial"/>
          <w:szCs w:val="18"/>
        </w:rPr>
        <w:t xml:space="preserve"> </w:t>
      </w:r>
      <w:r w:rsidR="00C43508" w:rsidRPr="00106292">
        <w:rPr>
          <w:rFonts w:cs="Arial"/>
          <w:szCs w:val="18"/>
        </w:rPr>
        <w:t>Unfortunately</w:t>
      </w:r>
      <w:r w:rsidRPr="00106292">
        <w:rPr>
          <w:rFonts w:cs="Arial"/>
          <w:szCs w:val="18"/>
        </w:rPr>
        <w:t>, it was not possible to obtain permissions to carry out longer-duration, or additional</w:t>
      </w:r>
      <w:r w:rsidR="00937821">
        <w:rPr>
          <w:rFonts w:cs="Arial"/>
          <w:szCs w:val="18"/>
        </w:rPr>
        <w:t xml:space="preserve"> aquifer</w:t>
      </w:r>
      <w:r w:rsidRPr="00106292">
        <w:rPr>
          <w:rFonts w:cs="Arial"/>
          <w:szCs w:val="18"/>
        </w:rPr>
        <w:t xml:space="preserve"> pump tests</w:t>
      </w:r>
      <w:r w:rsidR="007C45E4">
        <w:rPr>
          <w:rFonts w:cs="Arial"/>
          <w:szCs w:val="18"/>
        </w:rPr>
        <w:t xml:space="preserve"> which</w:t>
      </w:r>
      <w:r w:rsidRPr="00106292">
        <w:rPr>
          <w:rFonts w:cs="Arial"/>
          <w:szCs w:val="18"/>
        </w:rPr>
        <w:t xml:space="preserve"> are required to more fully characterise the site. Hence, the pump test data were augmented by slug tests and a borehole </w:t>
      </w:r>
      <w:r w:rsidR="00CC7A70">
        <w:rPr>
          <w:rFonts w:cs="Arial"/>
          <w:szCs w:val="18"/>
        </w:rPr>
        <w:t>nuclear magnetic resonance (</w:t>
      </w:r>
      <w:r w:rsidRPr="00106292">
        <w:rPr>
          <w:rFonts w:cs="Arial"/>
          <w:szCs w:val="18"/>
        </w:rPr>
        <w:t>NMR</w:t>
      </w:r>
      <w:r w:rsidR="00CC7A70">
        <w:rPr>
          <w:rFonts w:cs="Arial"/>
          <w:szCs w:val="18"/>
        </w:rPr>
        <w:t>)</w:t>
      </w:r>
      <w:r w:rsidRPr="00106292">
        <w:rPr>
          <w:rFonts w:cs="Arial"/>
          <w:szCs w:val="18"/>
        </w:rPr>
        <w:t xml:space="preserve"> survey.</w:t>
      </w:r>
      <w:r>
        <w:rPr>
          <w:rFonts w:cs="Arial"/>
          <w:szCs w:val="18"/>
        </w:rPr>
        <w:t xml:space="preserve"> </w:t>
      </w:r>
    </w:p>
    <w:p w:rsidR="008D0605" w:rsidRPr="007960BF" w:rsidRDefault="008D0605" w:rsidP="008D0605">
      <w:pPr>
        <w:pStyle w:val="Caption"/>
        <w:keepNext/>
        <w:rPr>
          <w:i w:val="0"/>
          <w:szCs w:val="22"/>
        </w:rPr>
      </w:pPr>
      <w:bookmarkStart w:id="562" w:name="_Ref325913437"/>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8</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2</w:t>
      </w:r>
      <w:r w:rsidR="00B96C96">
        <w:rPr>
          <w:b/>
        </w:rPr>
        <w:fldChar w:fldCharType="end"/>
      </w:r>
      <w:bookmarkEnd w:id="562"/>
      <w:r w:rsidRPr="00CD2825">
        <w:rPr>
          <w:b/>
        </w:rPr>
        <w:t>.</w:t>
      </w:r>
      <w:r>
        <w:t xml:space="preserve"> </w:t>
      </w:r>
      <w:r w:rsidRPr="00611E78">
        <w:rPr>
          <w:szCs w:val="20"/>
          <w:lang w:eastAsia="zh-CN" w:bidi="th-TH"/>
        </w:rPr>
        <w:t xml:space="preserve">Summary of </w:t>
      </w:r>
      <w:r w:rsidR="00C17659">
        <w:rPr>
          <w:szCs w:val="20"/>
          <w:lang w:eastAsia="zh-CN" w:bidi="th-TH"/>
        </w:rPr>
        <w:t>P</w:t>
      </w:r>
      <w:r w:rsidRPr="00611E78">
        <w:rPr>
          <w:szCs w:val="20"/>
          <w:lang w:eastAsia="zh-CN" w:bidi="th-TH"/>
        </w:rPr>
        <w:t xml:space="preserve">hase 3a </w:t>
      </w:r>
      <w:r w:rsidR="00937821">
        <w:rPr>
          <w:szCs w:val="20"/>
          <w:lang w:eastAsia="zh-CN" w:bidi="th-TH"/>
        </w:rPr>
        <w:t xml:space="preserve">aquifer </w:t>
      </w:r>
      <w:r w:rsidRPr="00611E78">
        <w:rPr>
          <w:szCs w:val="20"/>
          <w:lang w:eastAsia="zh-CN" w:bidi="th-TH"/>
        </w:rPr>
        <w:t>pump tes</w:t>
      </w:r>
      <w:r w:rsidR="003C2406">
        <w:rPr>
          <w:szCs w:val="20"/>
          <w:lang w:eastAsia="zh-CN" w:bidi="th-TH"/>
        </w:rPr>
        <w:t xml:space="preserve">ts in </w:t>
      </w:r>
      <w:r w:rsidR="00C217F0">
        <w:rPr>
          <w:szCs w:val="20"/>
          <w:lang w:eastAsia="zh-CN" w:bidi="th-TH"/>
        </w:rPr>
        <w:t>Calivil Formation</w:t>
      </w:r>
      <w:r w:rsidRPr="00611E78">
        <w:rPr>
          <w:szCs w:val="20"/>
          <w:lang w:eastAsia="zh-CN" w:bidi="th-TH"/>
        </w:rPr>
        <w:t xml:space="preserve"> target </w:t>
      </w:r>
      <w:r w:rsidRPr="00A1060D">
        <w:rPr>
          <w:szCs w:val="20"/>
          <w:lang w:eastAsia="zh-CN" w:bidi="th-TH"/>
        </w:rPr>
        <w:t>aquifer</w:t>
      </w:r>
      <w:r w:rsidRPr="00A1060D">
        <w:rPr>
          <w:szCs w:val="22"/>
        </w:rPr>
        <w:t>.</w:t>
      </w:r>
      <w:r w:rsidRPr="00A1060D">
        <w:rPr>
          <w:i w:val="0"/>
          <w:szCs w:val="22"/>
        </w:rPr>
        <w:t xml:space="preserve"> </w:t>
      </w:r>
      <w:r w:rsidRPr="00CF7613">
        <w:rPr>
          <w:i w:val="0"/>
        </w:rPr>
        <w:fldChar w:fldCharType="begin"/>
      </w:r>
      <w:r w:rsidRPr="00CF7613">
        <w:rPr>
          <w:i w:val="0"/>
        </w:rPr>
        <w:instrText xml:space="preserve"> TC "</w:instrText>
      </w:r>
      <w:bookmarkStart w:id="563" w:name="_Toc325975308"/>
      <w:bookmarkStart w:id="564" w:name="_Toc390690297"/>
      <w:r w:rsidRPr="00CF7613">
        <w:rPr>
          <w:i w:val="0"/>
        </w:rPr>
        <w:instrText xml:space="preserve">Table </w:instrText>
      </w:r>
      <w:r w:rsidR="000D653B" w:rsidRPr="00CF7613">
        <w:rPr>
          <w:i w:val="0"/>
        </w:rPr>
        <w:instrText>8-2</w:instrText>
      </w:r>
      <w:r w:rsidRPr="00CF7613">
        <w:rPr>
          <w:i w:val="0"/>
        </w:rPr>
        <w:instrText xml:space="preserve">: </w:instrText>
      </w:r>
      <w:r w:rsidRPr="00CF7613">
        <w:rPr>
          <w:i w:val="0"/>
          <w:szCs w:val="20"/>
          <w:lang w:eastAsia="zh-CN" w:bidi="th-TH"/>
        </w:rPr>
        <w:instrText xml:space="preserve">Summary of </w:instrText>
      </w:r>
      <w:r w:rsidR="00C17659" w:rsidRPr="00CF7613">
        <w:rPr>
          <w:i w:val="0"/>
          <w:szCs w:val="20"/>
          <w:lang w:eastAsia="zh-CN" w:bidi="th-TH"/>
        </w:rPr>
        <w:instrText>P</w:instrText>
      </w:r>
      <w:r w:rsidRPr="00CF7613">
        <w:rPr>
          <w:i w:val="0"/>
          <w:szCs w:val="20"/>
          <w:lang w:eastAsia="zh-CN" w:bidi="th-TH"/>
        </w:rPr>
        <w:instrText xml:space="preserve">hase 3a </w:instrText>
      </w:r>
      <w:r w:rsidR="00937821" w:rsidRPr="00CF7613">
        <w:rPr>
          <w:i w:val="0"/>
          <w:szCs w:val="20"/>
          <w:lang w:eastAsia="zh-CN" w:bidi="th-TH"/>
        </w:rPr>
        <w:instrText xml:space="preserve">aquifer </w:instrText>
      </w:r>
      <w:r w:rsidRPr="00CF7613">
        <w:rPr>
          <w:i w:val="0"/>
          <w:szCs w:val="20"/>
          <w:lang w:eastAsia="zh-CN" w:bidi="th-TH"/>
        </w:rPr>
        <w:instrText xml:space="preserve">pump tests in </w:instrText>
      </w:r>
      <w:r w:rsidR="00C217F0" w:rsidRPr="00CF7613">
        <w:rPr>
          <w:i w:val="0"/>
          <w:szCs w:val="20"/>
          <w:lang w:eastAsia="zh-CN" w:bidi="th-TH"/>
        </w:rPr>
        <w:instrText>Calivil Formation</w:instrText>
      </w:r>
      <w:r w:rsidRPr="00CF7613">
        <w:rPr>
          <w:i w:val="0"/>
          <w:szCs w:val="20"/>
          <w:lang w:eastAsia="zh-CN" w:bidi="th-TH"/>
        </w:rPr>
        <w:instrText xml:space="preserve"> target aquifer</w:instrText>
      </w:r>
      <w:bookmarkEnd w:id="563"/>
      <w:r w:rsidR="003721DD" w:rsidRPr="00CF7613">
        <w:rPr>
          <w:i w:val="0"/>
        </w:rPr>
        <w:instrText>.</w:instrText>
      </w:r>
      <w:bookmarkEnd w:id="564"/>
      <w:r w:rsidRPr="00CF7613">
        <w:rPr>
          <w:i w:val="0"/>
        </w:rPr>
        <w:instrText xml:space="preserve">" \f B \l "4" </w:instrText>
      </w:r>
      <w:r w:rsidRPr="00CF7613">
        <w:rPr>
          <w:i w:val="0"/>
        </w:rPr>
        <w:fldChar w:fldCharType="end"/>
      </w:r>
      <w:r w:rsidR="00904876" w:rsidRPr="00CF7613">
        <w:rPr>
          <w:i w:val="0"/>
          <w:szCs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82"/>
        <w:gridCol w:w="1826"/>
        <w:gridCol w:w="1800"/>
      </w:tblGrid>
      <w:tr w:rsidR="008D0605" w:rsidRPr="00937821" w:rsidTr="00672844">
        <w:trPr>
          <w:jc w:val="center"/>
        </w:trPr>
        <w:tc>
          <w:tcPr>
            <w:tcW w:w="5482" w:type="dxa"/>
            <w:shd w:val="clear" w:color="auto" w:fill="C0C0C0"/>
          </w:tcPr>
          <w:p w:rsidR="008D0605" w:rsidRPr="00937821" w:rsidRDefault="008D0605" w:rsidP="00672844">
            <w:pPr>
              <w:keepNext/>
              <w:spacing w:before="60" w:after="60"/>
              <w:rPr>
                <w:b/>
                <w:sz w:val="20"/>
                <w:szCs w:val="20"/>
              </w:rPr>
            </w:pPr>
            <w:r w:rsidRPr="00937821">
              <w:rPr>
                <w:b/>
                <w:sz w:val="20"/>
                <w:szCs w:val="20"/>
              </w:rPr>
              <w:t>P</w:t>
            </w:r>
            <w:r w:rsidR="00C872EB">
              <w:rPr>
                <w:b/>
                <w:sz w:val="20"/>
                <w:szCs w:val="20"/>
              </w:rPr>
              <w:t>ump Test Details</w:t>
            </w:r>
          </w:p>
        </w:tc>
        <w:tc>
          <w:tcPr>
            <w:tcW w:w="1826" w:type="dxa"/>
            <w:shd w:val="clear" w:color="auto" w:fill="C0C0C0"/>
          </w:tcPr>
          <w:p w:rsidR="008D0605" w:rsidRPr="00937821" w:rsidRDefault="008D0605" w:rsidP="00672844">
            <w:pPr>
              <w:keepNext/>
              <w:spacing w:before="60" w:after="60"/>
              <w:rPr>
                <w:b/>
                <w:sz w:val="20"/>
                <w:szCs w:val="20"/>
              </w:rPr>
            </w:pPr>
            <w:r w:rsidRPr="00937821">
              <w:rPr>
                <w:b/>
                <w:sz w:val="20"/>
                <w:szCs w:val="20"/>
              </w:rPr>
              <w:t>BHMAR33-5</w:t>
            </w:r>
          </w:p>
        </w:tc>
        <w:tc>
          <w:tcPr>
            <w:tcW w:w="1800" w:type="dxa"/>
            <w:shd w:val="clear" w:color="auto" w:fill="C0C0C0"/>
          </w:tcPr>
          <w:p w:rsidR="008D0605" w:rsidRPr="00937821" w:rsidRDefault="008D0605" w:rsidP="00672844">
            <w:pPr>
              <w:keepNext/>
              <w:spacing w:before="60" w:after="60"/>
              <w:rPr>
                <w:b/>
                <w:sz w:val="20"/>
                <w:szCs w:val="20"/>
              </w:rPr>
            </w:pPr>
            <w:r w:rsidRPr="00937821">
              <w:rPr>
                <w:b/>
                <w:sz w:val="20"/>
                <w:szCs w:val="20"/>
              </w:rPr>
              <w:t>BHMAR80A-5</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Location</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Jimargil</w:t>
            </w:r>
          </w:p>
        </w:tc>
        <w:tc>
          <w:tcPr>
            <w:tcW w:w="1800" w:type="dxa"/>
            <w:shd w:val="clear" w:color="auto" w:fill="auto"/>
          </w:tcPr>
          <w:p w:rsidR="008D0605" w:rsidRPr="00937821" w:rsidRDefault="008D0605" w:rsidP="00672844">
            <w:pPr>
              <w:keepNext/>
              <w:spacing w:before="60" w:after="60"/>
              <w:rPr>
                <w:sz w:val="20"/>
                <w:szCs w:val="20"/>
              </w:rPr>
            </w:pPr>
            <w:smartTag w:uri="urn:schemas-microsoft-com:office:smarttags" w:element="place">
              <w:r w:rsidRPr="00937821">
                <w:rPr>
                  <w:sz w:val="20"/>
                  <w:szCs w:val="20"/>
                </w:rPr>
                <w:t>East Bootingee</w:t>
              </w:r>
            </w:smartTag>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Distance To River (m)</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780</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160</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Duration of Constant-Rate Test (d)</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7</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5</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Aquifer Type</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Leaky Confined</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Confined</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Aquifer Interval (m)</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39-59</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29-62</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Aquifer Thickness (m)</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20</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33</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Pumping Rate (L/s)</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25</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27.3</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 xml:space="preserve">Average </w:t>
            </w:r>
            <w:smartTag w:uri="urn:schemas-microsoft-com:office:smarttags" w:element="PersonName">
              <w:r w:rsidRPr="00937821">
                <w:rPr>
                  <w:sz w:val="20"/>
                  <w:szCs w:val="20"/>
                </w:rPr>
                <w:t>Groundwater</w:t>
              </w:r>
            </w:smartTag>
            <w:r w:rsidRPr="00937821">
              <w:rPr>
                <w:sz w:val="20"/>
                <w:szCs w:val="20"/>
              </w:rPr>
              <w:t xml:space="preserve"> Salinity (</w:t>
            </w:r>
            <w:r w:rsidRPr="00937821">
              <w:rPr>
                <w:sz w:val="20"/>
                <w:szCs w:val="20"/>
              </w:rPr>
              <w:sym w:font="Symbol" w:char="F06D"/>
            </w:r>
            <w:r w:rsidRPr="00937821">
              <w:rPr>
                <w:sz w:val="20"/>
                <w:szCs w:val="20"/>
              </w:rPr>
              <w:t>S/cm)</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1240</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520</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Calculated Transmissivity (m</w:t>
            </w:r>
            <w:r w:rsidRPr="00937821">
              <w:rPr>
                <w:sz w:val="20"/>
                <w:szCs w:val="20"/>
                <w:vertAlign w:val="superscript"/>
              </w:rPr>
              <w:t>2</w:t>
            </w:r>
            <w:r w:rsidRPr="00937821">
              <w:rPr>
                <w:sz w:val="20"/>
                <w:szCs w:val="20"/>
              </w:rPr>
              <w:t>/d)</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300</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930</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Estimated Hydraulic Conductivity (m/d)</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15</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28</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Calculated Storativity</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0.002</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0.001</w:t>
            </w:r>
          </w:p>
        </w:tc>
      </w:tr>
      <w:tr w:rsidR="008D0605" w:rsidRPr="00937821" w:rsidTr="00672844">
        <w:trPr>
          <w:jc w:val="center"/>
        </w:trPr>
        <w:tc>
          <w:tcPr>
            <w:tcW w:w="5482" w:type="dxa"/>
            <w:shd w:val="clear" w:color="auto" w:fill="auto"/>
          </w:tcPr>
          <w:p w:rsidR="008D0605" w:rsidRPr="00937821" w:rsidRDefault="008D0605" w:rsidP="00672844">
            <w:pPr>
              <w:keepNext/>
              <w:spacing w:before="60" w:after="60"/>
              <w:rPr>
                <w:sz w:val="20"/>
                <w:szCs w:val="20"/>
              </w:rPr>
            </w:pPr>
            <w:r w:rsidRPr="00937821">
              <w:rPr>
                <w:sz w:val="20"/>
                <w:szCs w:val="20"/>
              </w:rPr>
              <w:t>Calculated vertical permeability of leaky aquitard (m/d)</w:t>
            </w:r>
          </w:p>
        </w:tc>
        <w:tc>
          <w:tcPr>
            <w:tcW w:w="1826" w:type="dxa"/>
            <w:shd w:val="clear" w:color="auto" w:fill="auto"/>
          </w:tcPr>
          <w:p w:rsidR="008D0605" w:rsidRPr="00937821" w:rsidRDefault="008D0605" w:rsidP="00672844">
            <w:pPr>
              <w:keepNext/>
              <w:spacing w:before="60" w:after="60"/>
              <w:rPr>
                <w:sz w:val="20"/>
                <w:szCs w:val="20"/>
              </w:rPr>
            </w:pPr>
            <w:r w:rsidRPr="00937821">
              <w:rPr>
                <w:sz w:val="20"/>
                <w:szCs w:val="20"/>
              </w:rPr>
              <w:t>0.011</w:t>
            </w:r>
          </w:p>
        </w:tc>
        <w:tc>
          <w:tcPr>
            <w:tcW w:w="1800" w:type="dxa"/>
            <w:shd w:val="clear" w:color="auto" w:fill="auto"/>
          </w:tcPr>
          <w:p w:rsidR="008D0605" w:rsidRPr="00937821" w:rsidRDefault="008D0605" w:rsidP="00672844">
            <w:pPr>
              <w:keepNext/>
              <w:spacing w:before="60" w:after="60"/>
              <w:rPr>
                <w:sz w:val="20"/>
                <w:szCs w:val="20"/>
              </w:rPr>
            </w:pPr>
            <w:r w:rsidRPr="00937821">
              <w:rPr>
                <w:sz w:val="20"/>
                <w:szCs w:val="20"/>
              </w:rPr>
              <w:t>0</w:t>
            </w:r>
          </w:p>
        </w:tc>
      </w:tr>
      <w:tr w:rsidR="008D0605" w:rsidRPr="00937821" w:rsidTr="00672844">
        <w:trPr>
          <w:jc w:val="center"/>
        </w:trPr>
        <w:tc>
          <w:tcPr>
            <w:tcW w:w="5482" w:type="dxa"/>
            <w:shd w:val="clear" w:color="auto" w:fill="auto"/>
          </w:tcPr>
          <w:p w:rsidR="008D0605" w:rsidRPr="00937821" w:rsidRDefault="008D0605" w:rsidP="00672844">
            <w:pPr>
              <w:spacing w:before="60" w:after="60"/>
              <w:rPr>
                <w:sz w:val="20"/>
                <w:szCs w:val="20"/>
              </w:rPr>
            </w:pPr>
            <w:r w:rsidRPr="00937821">
              <w:rPr>
                <w:sz w:val="20"/>
                <w:szCs w:val="20"/>
              </w:rPr>
              <w:t>Critical Drawdown Level (m Depth)</w:t>
            </w:r>
          </w:p>
        </w:tc>
        <w:tc>
          <w:tcPr>
            <w:tcW w:w="1826" w:type="dxa"/>
            <w:shd w:val="clear" w:color="auto" w:fill="auto"/>
          </w:tcPr>
          <w:p w:rsidR="008D0605" w:rsidRPr="00937821" w:rsidRDefault="008D0605" w:rsidP="00672844">
            <w:pPr>
              <w:spacing w:before="60" w:after="60"/>
              <w:rPr>
                <w:sz w:val="20"/>
                <w:szCs w:val="20"/>
              </w:rPr>
            </w:pPr>
            <w:r w:rsidRPr="00937821">
              <w:rPr>
                <w:sz w:val="20"/>
                <w:szCs w:val="20"/>
              </w:rPr>
              <w:t>45</w:t>
            </w:r>
          </w:p>
        </w:tc>
        <w:tc>
          <w:tcPr>
            <w:tcW w:w="1800" w:type="dxa"/>
            <w:shd w:val="clear" w:color="auto" w:fill="auto"/>
          </w:tcPr>
          <w:p w:rsidR="008D0605" w:rsidRPr="00937821" w:rsidRDefault="008D0605" w:rsidP="00672844">
            <w:pPr>
              <w:spacing w:before="60" w:after="60"/>
              <w:rPr>
                <w:sz w:val="20"/>
                <w:szCs w:val="20"/>
              </w:rPr>
            </w:pPr>
            <w:r w:rsidRPr="00937821">
              <w:rPr>
                <w:sz w:val="20"/>
                <w:szCs w:val="20"/>
              </w:rPr>
              <w:t>33</w:t>
            </w:r>
          </w:p>
        </w:tc>
      </w:tr>
      <w:tr w:rsidR="008D0605" w:rsidRPr="00937821" w:rsidTr="00672844">
        <w:trPr>
          <w:jc w:val="center"/>
        </w:trPr>
        <w:tc>
          <w:tcPr>
            <w:tcW w:w="5482" w:type="dxa"/>
            <w:shd w:val="clear" w:color="auto" w:fill="auto"/>
          </w:tcPr>
          <w:p w:rsidR="008D0605" w:rsidRPr="00937821" w:rsidRDefault="008D0605" w:rsidP="00672844">
            <w:pPr>
              <w:spacing w:before="60" w:after="60"/>
              <w:rPr>
                <w:sz w:val="20"/>
                <w:szCs w:val="20"/>
              </w:rPr>
            </w:pPr>
            <w:r w:rsidRPr="00937821">
              <w:rPr>
                <w:sz w:val="20"/>
                <w:szCs w:val="20"/>
              </w:rPr>
              <w:t>700-Day Critical Drawdown Level Pumping Rate (L/s)</w:t>
            </w:r>
          </w:p>
        </w:tc>
        <w:tc>
          <w:tcPr>
            <w:tcW w:w="1826" w:type="dxa"/>
            <w:shd w:val="clear" w:color="auto" w:fill="auto"/>
          </w:tcPr>
          <w:p w:rsidR="008D0605" w:rsidRPr="00937821" w:rsidRDefault="008D0605" w:rsidP="00672844">
            <w:pPr>
              <w:spacing w:before="60" w:after="60"/>
              <w:rPr>
                <w:sz w:val="20"/>
                <w:szCs w:val="20"/>
              </w:rPr>
            </w:pPr>
            <w:r w:rsidRPr="00937821">
              <w:rPr>
                <w:sz w:val="20"/>
                <w:szCs w:val="20"/>
              </w:rPr>
              <w:t>48</w:t>
            </w:r>
          </w:p>
        </w:tc>
        <w:tc>
          <w:tcPr>
            <w:tcW w:w="1800" w:type="dxa"/>
            <w:shd w:val="clear" w:color="auto" w:fill="auto"/>
          </w:tcPr>
          <w:p w:rsidR="008D0605" w:rsidRPr="00937821" w:rsidRDefault="008D0605" w:rsidP="00672844">
            <w:pPr>
              <w:spacing w:before="60" w:after="60"/>
              <w:rPr>
                <w:sz w:val="20"/>
                <w:szCs w:val="20"/>
              </w:rPr>
            </w:pPr>
            <w:r w:rsidRPr="00937821">
              <w:rPr>
                <w:sz w:val="20"/>
                <w:szCs w:val="20"/>
              </w:rPr>
              <w:t>128</w:t>
            </w:r>
          </w:p>
        </w:tc>
      </w:tr>
    </w:tbl>
    <w:p w:rsidR="00CC7A70" w:rsidRPr="008D0605" w:rsidRDefault="00CC7A70" w:rsidP="008D0605">
      <w:pPr>
        <w:rPr>
          <w:rFonts w:cs="Arial"/>
          <w:szCs w:val="18"/>
        </w:rPr>
      </w:pPr>
    </w:p>
    <w:p w:rsidR="00E676F0" w:rsidRPr="00106292" w:rsidRDefault="00E676F0" w:rsidP="00E676F0">
      <w:pPr>
        <w:rPr>
          <w:rFonts w:cs="Arial"/>
          <w:szCs w:val="18"/>
        </w:rPr>
      </w:pPr>
      <w:r w:rsidRPr="00106292">
        <w:rPr>
          <w:rFonts w:cs="Arial"/>
          <w:szCs w:val="18"/>
        </w:rPr>
        <w:t>NMR</w:t>
      </w:r>
      <w:r w:rsidR="00CC7A70">
        <w:rPr>
          <w:rFonts w:cs="Arial"/>
          <w:szCs w:val="18"/>
        </w:rPr>
        <w:t xml:space="preserve"> borehole logging</w:t>
      </w:r>
      <w:r w:rsidRPr="00106292">
        <w:rPr>
          <w:rFonts w:cs="Arial"/>
          <w:szCs w:val="18"/>
        </w:rPr>
        <w:t xml:space="preserve"> can provide a direct measurement of the presence of water in the pore space of aquifer materials</w:t>
      </w:r>
      <w:r w:rsidR="00CC7A70">
        <w:rPr>
          <w:rFonts w:cs="Arial"/>
          <w:szCs w:val="18"/>
        </w:rPr>
        <w:t>. A description of the technology and its application in the BHMAR project is provided in</w:t>
      </w:r>
      <w:r w:rsidR="00465915">
        <w:rPr>
          <w:rFonts w:cs="Arial"/>
          <w:szCs w:val="18"/>
        </w:rPr>
        <w:t xml:space="preserve"> </w:t>
      </w:r>
      <w:r w:rsidR="00024C55" w:rsidRPr="00106292">
        <w:rPr>
          <w:rFonts w:cs="Arial"/>
          <w:szCs w:val="18"/>
        </w:rPr>
        <w:t>Lawrie</w:t>
      </w:r>
      <w:r w:rsidR="008A5F7D" w:rsidRPr="00CF7613">
        <w:rPr>
          <w:rStyle w:val="StyleItalic"/>
        </w:rPr>
        <w:t xml:space="preserve"> et al</w:t>
      </w:r>
      <w:r w:rsidR="00024C55" w:rsidRPr="00106292">
        <w:rPr>
          <w:rFonts w:cs="Arial"/>
          <w:szCs w:val="18"/>
        </w:rPr>
        <w:t xml:space="preserve">. </w:t>
      </w:r>
      <w:r w:rsidR="00CC7A70">
        <w:rPr>
          <w:rFonts w:cs="Arial"/>
          <w:szCs w:val="18"/>
        </w:rPr>
        <w:t>(</w:t>
      </w:r>
      <w:r w:rsidR="00024C55" w:rsidRPr="00106292">
        <w:rPr>
          <w:rFonts w:cs="Arial"/>
          <w:szCs w:val="18"/>
        </w:rPr>
        <w:t>2012a)</w:t>
      </w:r>
      <w:r w:rsidRPr="00106292">
        <w:rPr>
          <w:rFonts w:cs="Arial"/>
          <w:szCs w:val="18"/>
        </w:rPr>
        <w:t xml:space="preserve">. The detection is possible due to the nuclear magnetization of the hydrogen (protons) in the water. The NMR measurement is the basis of MRI (magnetic resonance imaging) in medical applications, and geophysical logging applications within consolidated sediments for the petroleum industry. </w:t>
      </w:r>
    </w:p>
    <w:p w:rsidR="00E676F0" w:rsidRPr="00106292" w:rsidRDefault="00E676F0" w:rsidP="00E676F0">
      <w:pPr>
        <w:rPr>
          <w:rFonts w:cs="Arial"/>
          <w:szCs w:val="18"/>
        </w:rPr>
      </w:pPr>
    </w:p>
    <w:p w:rsidR="00983111" w:rsidRPr="00795774" w:rsidRDefault="00E676F0" w:rsidP="00983111">
      <w:pPr>
        <w:rPr>
          <w:rFonts w:cs="Arial"/>
          <w:szCs w:val="18"/>
        </w:rPr>
      </w:pPr>
      <w:r w:rsidRPr="00106292">
        <w:rPr>
          <w:rFonts w:cs="Arial"/>
          <w:szCs w:val="18"/>
        </w:rPr>
        <w:t xml:space="preserve">In the </w:t>
      </w:r>
      <w:smartTag w:uri="urn:schemas-microsoft-com:office:smarttags" w:element="place">
        <w:r w:rsidRPr="00106292">
          <w:rPr>
            <w:rFonts w:cs="Arial"/>
            <w:szCs w:val="18"/>
          </w:rPr>
          <w:t>Darling River</w:t>
        </w:r>
      </w:smartTag>
      <w:r w:rsidRPr="00106292">
        <w:rPr>
          <w:rFonts w:cs="Arial"/>
          <w:szCs w:val="18"/>
        </w:rPr>
        <w:t xml:space="preserve"> floodplain, NMR data were acquired in 26 boreholes in a 4-week period</w:t>
      </w:r>
      <w:r w:rsidR="00024C55" w:rsidRPr="00106292">
        <w:rPr>
          <w:rFonts w:cs="Arial"/>
          <w:szCs w:val="18"/>
        </w:rPr>
        <w:t xml:space="preserve"> (</w:t>
      </w:r>
      <w:r w:rsidR="00B03359">
        <w:rPr>
          <w:rFonts w:cs="Arial"/>
          <w:szCs w:val="18"/>
        </w:rPr>
        <w:t xml:space="preserve">Appendix 3, </w:t>
      </w:r>
      <w:r w:rsidR="00024C55" w:rsidRPr="00106292">
        <w:rPr>
          <w:rFonts w:cs="Arial"/>
          <w:szCs w:val="18"/>
        </w:rPr>
        <w:t>Apps</w:t>
      </w:r>
      <w:r w:rsidR="008A5F7D" w:rsidRPr="00CF7613">
        <w:rPr>
          <w:rStyle w:val="StyleItalic"/>
        </w:rPr>
        <w:t xml:space="preserve"> et al</w:t>
      </w:r>
      <w:r w:rsidR="00024C55" w:rsidRPr="00106292">
        <w:rPr>
          <w:rFonts w:cs="Arial"/>
          <w:szCs w:val="18"/>
        </w:rPr>
        <w:t xml:space="preserve">., </w:t>
      </w:r>
      <w:r w:rsidR="007E44D8" w:rsidRPr="00106292">
        <w:rPr>
          <w:rFonts w:cs="Arial"/>
          <w:szCs w:val="18"/>
        </w:rPr>
        <w:t>2012</w:t>
      </w:r>
      <w:r w:rsidR="00B03359">
        <w:rPr>
          <w:rFonts w:cs="Arial"/>
          <w:szCs w:val="18"/>
        </w:rPr>
        <w:t>b</w:t>
      </w:r>
      <w:r w:rsidR="00024C55" w:rsidRPr="00106292">
        <w:rPr>
          <w:rFonts w:cs="Arial"/>
          <w:szCs w:val="18"/>
        </w:rPr>
        <w:t>)</w:t>
      </w:r>
      <w:r w:rsidRPr="00106292">
        <w:rPr>
          <w:rFonts w:cs="Arial"/>
          <w:szCs w:val="18"/>
        </w:rPr>
        <w:t>. Effective porosity values were derived directly from the NMR data, and hydraulic conductivity values were calculated using empirical relationships calibrated and verified with limited laboratory permeameter and field aquifer tests</w:t>
      </w:r>
      <w:r w:rsidR="00024C55" w:rsidRPr="00106292">
        <w:rPr>
          <w:rFonts w:cs="Arial"/>
          <w:szCs w:val="18"/>
        </w:rPr>
        <w:t xml:space="preserve"> (Lawrie</w:t>
      </w:r>
      <w:r w:rsidR="008A5F7D" w:rsidRPr="00CF7613">
        <w:rPr>
          <w:rStyle w:val="StyleItalic"/>
        </w:rPr>
        <w:t xml:space="preserve"> et al</w:t>
      </w:r>
      <w:r w:rsidR="00024C55" w:rsidRPr="00106292">
        <w:rPr>
          <w:rFonts w:cs="Arial"/>
          <w:szCs w:val="18"/>
        </w:rPr>
        <w:t>., 2012a)</w:t>
      </w:r>
      <w:r w:rsidRPr="00106292">
        <w:rPr>
          <w:rFonts w:cs="Arial"/>
          <w:szCs w:val="18"/>
        </w:rPr>
        <w:t xml:space="preserve">. The NMR logs </w:t>
      </w:r>
      <w:r w:rsidR="00024C55" w:rsidRPr="00106292">
        <w:rPr>
          <w:rFonts w:cs="Arial"/>
          <w:szCs w:val="18"/>
        </w:rPr>
        <w:t>(</w:t>
      </w:r>
      <w:r w:rsidR="00B03359">
        <w:rPr>
          <w:rFonts w:cs="Arial"/>
          <w:szCs w:val="18"/>
        </w:rPr>
        <w:t xml:space="preserve">Appendix 1, </w:t>
      </w:r>
      <w:r w:rsidR="00024C55" w:rsidRPr="00106292">
        <w:rPr>
          <w:rFonts w:cs="Arial"/>
          <w:szCs w:val="18"/>
        </w:rPr>
        <w:t>Halas</w:t>
      </w:r>
      <w:r w:rsidR="008A5F7D" w:rsidRPr="00CF7613">
        <w:rPr>
          <w:rStyle w:val="StyleItalic"/>
        </w:rPr>
        <w:t xml:space="preserve"> et al</w:t>
      </w:r>
      <w:r w:rsidR="00024C55" w:rsidRPr="00106292">
        <w:rPr>
          <w:rFonts w:cs="Arial"/>
          <w:szCs w:val="18"/>
        </w:rPr>
        <w:t xml:space="preserve">., 2012a) </w:t>
      </w:r>
      <w:r w:rsidRPr="00106292">
        <w:rPr>
          <w:rFonts w:cs="Arial"/>
          <w:szCs w:val="18"/>
        </w:rPr>
        <w:t xml:space="preserve">provide measurements of the effective porosity and hydraulic conductivity at a resolution not possible using traditional methods. These data provide superior measurements of the aquifer when compared with the traditional methods, with the additional benefit of many more calibration points. </w:t>
      </w:r>
      <w:r w:rsidR="009F3C58" w:rsidRPr="00106292">
        <w:rPr>
          <w:szCs w:val="22"/>
        </w:rPr>
        <w:t>Details of the NMR acquisition, processing and interpretation are provided in Lawrie</w:t>
      </w:r>
      <w:r w:rsidR="008A5F7D" w:rsidRPr="00CF7613">
        <w:rPr>
          <w:rStyle w:val="StyleItalic"/>
        </w:rPr>
        <w:t xml:space="preserve"> et al</w:t>
      </w:r>
      <w:r w:rsidR="009F3C58" w:rsidRPr="00CF7613">
        <w:rPr>
          <w:rStyle w:val="StyleItalic"/>
        </w:rPr>
        <w:t xml:space="preserve">. </w:t>
      </w:r>
      <w:r w:rsidR="009F3C58" w:rsidRPr="00106292">
        <w:rPr>
          <w:szCs w:val="22"/>
        </w:rPr>
        <w:t xml:space="preserve">(2012a). </w:t>
      </w:r>
      <w:r w:rsidR="00024C55" w:rsidRPr="00106292">
        <w:rPr>
          <w:szCs w:val="22"/>
        </w:rPr>
        <w:fldChar w:fldCharType="begin"/>
      </w:r>
      <w:r w:rsidR="00024C55" w:rsidRPr="00106292">
        <w:rPr>
          <w:szCs w:val="22"/>
        </w:rPr>
        <w:instrText xml:space="preserve"> REF _Ref325912562 \h  \* MERGEFORMAT </w:instrText>
      </w:r>
      <w:r w:rsidR="00024C55" w:rsidRPr="00106292">
        <w:rPr>
          <w:szCs w:val="22"/>
        </w:rPr>
      </w:r>
      <w:r w:rsidR="00024C55" w:rsidRPr="00106292">
        <w:rPr>
          <w:szCs w:val="22"/>
        </w:rPr>
        <w:fldChar w:fldCharType="separate"/>
      </w:r>
      <w:r w:rsidR="00966532" w:rsidRPr="00966532">
        <w:t xml:space="preserve">Figure </w:t>
      </w:r>
      <w:r w:rsidR="00966532" w:rsidRPr="00966532">
        <w:rPr>
          <w:noProof/>
        </w:rPr>
        <w:t>8</w:t>
      </w:r>
      <w:r w:rsidR="00966532" w:rsidRPr="00966532">
        <w:rPr>
          <w:noProof/>
        </w:rPr>
        <w:noBreakHyphen/>
        <w:t>11</w:t>
      </w:r>
      <w:r w:rsidR="00024C55" w:rsidRPr="00106292">
        <w:rPr>
          <w:szCs w:val="22"/>
        </w:rPr>
        <w:fldChar w:fldCharType="end"/>
      </w:r>
      <w:r w:rsidR="00024C55" w:rsidRPr="00106292">
        <w:rPr>
          <w:szCs w:val="22"/>
        </w:rPr>
        <w:t xml:space="preserve"> </w:t>
      </w:r>
      <w:r w:rsidR="00983111" w:rsidRPr="00106292">
        <w:rPr>
          <w:szCs w:val="22"/>
        </w:rPr>
        <w:t xml:space="preserve">is an example </w:t>
      </w:r>
      <w:r w:rsidR="00024C55" w:rsidRPr="00106292">
        <w:rPr>
          <w:szCs w:val="22"/>
        </w:rPr>
        <w:t>log, at</w:t>
      </w:r>
      <w:r w:rsidR="00983111" w:rsidRPr="00106292">
        <w:rPr>
          <w:szCs w:val="22"/>
        </w:rPr>
        <w:t xml:space="preserve"> BHMAR58-1 with the bound-water, </w:t>
      </w:r>
      <w:r w:rsidR="00937821">
        <w:rPr>
          <w:szCs w:val="22"/>
        </w:rPr>
        <w:t xml:space="preserve">mobile (or </w:t>
      </w:r>
      <w:r w:rsidR="00983111" w:rsidRPr="00106292">
        <w:rPr>
          <w:szCs w:val="22"/>
        </w:rPr>
        <w:t>free</w:t>
      </w:r>
      <w:r w:rsidR="00937821">
        <w:rPr>
          <w:szCs w:val="22"/>
        </w:rPr>
        <w:t>)</w:t>
      </w:r>
      <w:r w:rsidR="00983111" w:rsidRPr="00106292">
        <w:rPr>
          <w:szCs w:val="22"/>
        </w:rPr>
        <w:t>-water and the</w:t>
      </w:r>
      <w:r w:rsidR="00983111" w:rsidRPr="00CF7613">
        <w:rPr>
          <w:rStyle w:val="StyleItalic"/>
        </w:rPr>
        <w:t xml:space="preserve"> K</w:t>
      </w:r>
      <w:r w:rsidR="00983111" w:rsidRPr="00106292">
        <w:rPr>
          <w:i/>
          <w:szCs w:val="22"/>
          <w:vertAlign w:val="subscript"/>
        </w:rPr>
        <w:t>SDR</w:t>
      </w:r>
      <w:r w:rsidR="00983111" w:rsidRPr="00106292">
        <w:rPr>
          <w:szCs w:val="22"/>
        </w:rPr>
        <w:t xml:space="preserve"> plotted. </w:t>
      </w:r>
      <w:r w:rsidR="003C2406" w:rsidRPr="00106292">
        <w:rPr>
          <w:szCs w:val="22"/>
        </w:rPr>
        <w:t>Aquitards are characterised by high bound water and low</w:t>
      </w:r>
      <w:r w:rsidR="00983111" w:rsidRPr="00106292">
        <w:rPr>
          <w:szCs w:val="22"/>
        </w:rPr>
        <w:t xml:space="preserve"> </w:t>
      </w:r>
      <w:r w:rsidR="00983111" w:rsidRPr="00CF7613">
        <w:rPr>
          <w:rStyle w:val="StyleItalic"/>
        </w:rPr>
        <w:t>K</w:t>
      </w:r>
      <w:r w:rsidR="00983111" w:rsidRPr="00106292">
        <w:rPr>
          <w:i/>
          <w:szCs w:val="22"/>
          <w:vertAlign w:val="subscript"/>
        </w:rPr>
        <w:t>SDR</w:t>
      </w:r>
      <w:r w:rsidR="00983111" w:rsidRPr="00106292">
        <w:rPr>
          <w:szCs w:val="22"/>
        </w:rPr>
        <w:t xml:space="preserve">. </w:t>
      </w:r>
      <w:r w:rsidR="003C2406" w:rsidRPr="00106292">
        <w:rPr>
          <w:szCs w:val="22"/>
        </w:rPr>
        <w:t>Conversely</w:t>
      </w:r>
      <w:r w:rsidR="00983111" w:rsidRPr="00106292">
        <w:rPr>
          <w:szCs w:val="22"/>
        </w:rPr>
        <w:t xml:space="preserve">, </w:t>
      </w:r>
      <w:r w:rsidR="003C2406" w:rsidRPr="00106292">
        <w:rPr>
          <w:szCs w:val="22"/>
        </w:rPr>
        <w:t xml:space="preserve">an increase in </w:t>
      </w:r>
      <w:r w:rsidR="00937821">
        <w:rPr>
          <w:szCs w:val="22"/>
        </w:rPr>
        <w:t>mobil</w:t>
      </w:r>
      <w:r w:rsidR="00937821" w:rsidRPr="00106292">
        <w:rPr>
          <w:szCs w:val="22"/>
        </w:rPr>
        <w:t xml:space="preserve">e </w:t>
      </w:r>
      <w:r w:rsidR="003C2406" w:rsidRPr="00106292">
        <w:rPr>
          <w:szCs w:val="22"/>
        </w:rPr>
        <w:t>water and</w:t>
      </w:r>
      <w:r w:rsidR="00983111" w:rsidRPr="00106292">
        <w:rPr>
          <w:szCs w:val="22"/>
        </w:rPr>
        <w:t xml:space="preserve"> </w:t>
      </w:r>
      <w:r w:rsidR="00983111" w:rsidRPr="00CF7613">
        <w:rPr>
          <w:rStyle w:val="StyleItalic"/>
        </w:rPr>
        <w:t>K</w:t>
      </w:r>
      <w:r w:rsidR="00983111" w:rsidRPr="00106292">
        <w:rPr>
          <w:i/>
          <w:szCs w:val="22"/>
          <w:vertAlign w:val="subscript"/>
        </w:rPr>
        <w:t xml:space="preserve">SDR </w:t>
      </w:r>
      <w:r w:rsidR="00983111" w:rsidRPr="00106292">
        <w:rPr>
          <w:szCs w:val="22"/>
        </w:rPr>
        <w:t>indicat</w:t>
      </w:r>
      <w:r w:rsidR="008962BB" w:rsidRPr="00106292">
        <w:rPr>
          <w:szCs w:val="22"/>
        </w:rPr>
        <w:t>es</w:t>
      </w:r>
      <w:r w:rsidR="00983111" w:rsidRPr="00106292">
        <w:rPr>
          <w:szCs w:val="22"/>
        </w:rPr>
        <w:t xml:space="preserve"> the presence of an aquifer.</w:t>
      </w:r>
      <w:r w:rsidR="00983111" w:rsidRPr="00795774">
        <w:rPr>
          <w:szCs w:val="22"/>
        </w:rPr>
        <w:t xml:space="preserve"> </w:t>
      </w:r>
    </w:p>
    <w:p w:rsidR="00983111" w:rsidRPr="00795774" w:rsidRDefault="00983111" w:rsidP="00983111">
      <w:pPr>
        <w:rPr>
          <w:rFonts w:cs="Arial"/>
          <w:szCs w:val="18"/>
        </w:rPr>
      </w:pPr>
    </w:p>
    <w:p w:rsidR="009F3C58" w:rsidRDefault="00983111" w:rsidP="000B4790">
      <w:pPr>
        <w:jc w:val="both"/>
        <w:rPr>
          <w:szCs w:val="22"/>
        </w:rPr>
      </w:pPr>
      <w:r w:rsidRPr="00795774">
        <w:rPr>
          <w:szCs w:val="22"/>
        </w:rPr>
        <w:t>Transmissivities calculated from the NMR data, when compared with slug test results (</w:t>
      </w:r>
      <w:r w:rsidR="000B4790" w:rsidRPr="00795774">
        <w:rPr>
          <w:szCs w:val="22"/>
        </w:rPr>
        <w:fldChar w:fldCharType="begin"/>
      </w:r>
      <w:r w:rsidR="000B4790" w:rsidRPr="00795774">
        <w:rPr>
          <w:szCs w:val="22"/>
        </w:rPr>
        <w:instrText xml:space="preserve"> REF _Ref325912602 \h </w:instrText>
      </w:r>
      <w:r w:rsidR="00795774" w:rsidRPr="00795774">
        <w:rPr>
          <w:szCs w:val="22"/>
        </w:rPr>
        <w:instrText xml:space="preserve"> \* MERGEFORMAT </w:instrText>
      </w:r>
      <w:r w:rsidR="000B4790" w:rsidRPr="00795774">
        <w:rPr>
          <w:szCs w:val="22"/>
        </w:rPr>
      </w:r>
      <w:r w:rsidR="000B4790" w:rsidRPr="00795774">
        <w:rPr>
          <w:szCs w:val="22"/>
        </w:rPr>
        <w:fldChar w:fldCharType="separate"/>
      </w:r>
      <w:r w:rsidR="00966532" w:rsidRPr="00966532">
        <w:t xml:space="preserve">Figure </w:t>
      </w:r>
      <w:r w:rsidR="00966532" w:rsidRPr="00966532">
        <w:rPr>
          <w:noProof/>
        </w:rPr>
        <w:t>8</w:t>
      </w:r>
      <w:r w:rsidR="00966532" w:rsidRPr="00966532">
        <w:rPr>
          <w:noProof/>
        </w:rPr>
        <w:noBreakHyphen/>
        <w:t>12</w:t>
      </w:r>
      <w:r w:rsidR="000B4790" w:rsidRPr="00795774">
        <w:rPr>
          <w:szCs w:val="22"/>
        </w:rPr>
        <w:fldChar w:fldCharType="end"/>
      </w:r>
      <w:r w:rsidR="00777798">
        <w:rPr>
          <w:szCs w:val="22"/>
        </w:rPr>
        <w:t xml:space="preserve">; </w:t>
      </w:r>
      <w:r w:rsidR="007C45E4">
        <w:rPr>
          <w:szCs w:val="22"/>
        </w:rPr>
        <w:t>Appendix</w:t>
      </w:r>
      <w:r w:rsidR="00B03359">
        <w:rPr>
          <w:szCs w:val="22"/>
        </w:rPr>
        <w:t xml:space="preserve"> 6, </w:t>
      </w:r>
      <w:r w:rsidR="00777798">
        <w:rPr>
          <w:szCs w:val="22"/>
        </w:rPr>
        <w:t>Somerville</w:t>
      </w:r>
      <w:r w:rsidR="008A5F7D" w:rsidRPr="00CF7613">
        <w:rPr>
          <w:rStyle w:val="StyleItalic"/>
        </w:rPr>
        <w:t xml:space="preserve"> et al</w:t>
      </w:r>
      <w:r w:rsidR="00777798">
        <w:rPr>
          <w:szCs w:val="22"/>
        </w:rPr>
        <w:t>., 2012</w:t>
      </w:r>
      <w:r w:rsidR="00795774">
        <w:rPr>
          <w:szCs w:val="22"/>
        </w:rPr>
        <w:t>)</w:t>
      </w:r>
      <w:r w:rsidRPr="00795774">
        <w:rPr>
          <w:szCs w:val="22"/>
        </w:rPr>
        <w:t xml:space="preserve"> show a</w:t>
      </w:r>
      <w:r>
        <w:rPr>
          <w:szCs w:val="22"/>
        </w:rPr>
        <w:t xml:space="preserve"> reasonable consistency with a wide range of transmissivities evident, consistent with the observed heterogeneity within the </w:t>
      </w:r>
      <w:r w:rsidR="00C217F0">
        <w:rPr>
          <w:szCs w:val="22"/>
        </w:rPr>
        <w:t>Calivil Formation</w:t>
      </w:r>
      <w:r>
        <w:rPr>
          <w:szCs w:val="22"/>
        </w:rPr>
        <w:t xml:space="preserve"> aquifer. When the mapped distribution of these transmissivities is </w:t>
      </w:r>
      <w:r w:rsidRPr="00795774">
        <w:rPr>
          <w:szCs w:val="22"/>
        </w:rPr>
        <w:t>displayed, a good</w:t>
      </w:r>
      <w:r>
        <w:rPr>
          <w:szCs w:val="22"/>
        </w:rPr>
        <w:t xml:space="preserve"> correlation is observed with </w:t>
      </w:r>
      <w:r w:rsidR="003C2406">
        <w:rPr>
          <w:szCs w:val="22"/>
        </w:rPr>
        <w:t xml:space="preserve">groundwater salinities </w:t>
      </w:r>
      <w:r w:rsidR="003C2406" w:rsidRPr="00795774">
        <w:rPr>
          <w:szCs w:val="22"/>
        </w:rPr>
        <w:t>(</w:t>
      </w:r>
      <w:r w:rsidR="003C2406" w:rsidRPr="00795774">
        <w:rPr>
          <w:szCs w:val="22"/>
        </w:rPr>
        <w:fldChar w:fldCharType="begin"/>
      </w:r>
      <w:r w:rsidR="003C2406" w:rsidRPr="00795774">
        <w:rPr>
          <w:szCs w:val="22"/>
        </w:rPr>
        <w:instrText xml:space="preserve"> REF _Ref325912642 \h  \* MERGEFORMAT </w:instrText>
      </w:r>
      <w:r w:rsidR="003C2406" w:rsidRPr="00795774">
        <w:rPr>
          <w:szCs w:val="22"/>
        </w:rPr>
      </w:r>
      <w:r w:rsidR="003C2406" w:rsidRPr="00795774">
        <w:rPr>
          <w:szCs w:val="22"/>
        </w:rPr>
        <w:fldChar w:fldCharType="separate"/>
      </w:r>
      <w:r w:rsidR="00966532" w:rsidRPr="00966532">
        <w:t xml:space="preserve">Figure </w:t>
      </w:r>
      <w:r w:rsidR="00966532" w:rsidRPr="00966532">
        <w:rPr>
          <w:noProof/>
        </w:rPr>
        <w:t>8</w:t>
      </w:r>
      <w:r w:rsidR="00966532" w:rsidRPr="00966532">
        <w:rPr>
          <w:noProof/>
        </w:rPr>
        <w:noBreakHyphen/>
        <w:t>13</w:t>
      </w:r>
      <w:r w:rsidR="003C2406" w:rsidRPr="00795774">
        <w:rPr>
          <w:szCs w:val="22"/>
        </w:rPr>
        <w:fldChar w:fldCharType="end"/>
      </w:r>
      <w:r w:rsidR="003C2406" w:rsidRPr="00795774">
        <w:rPr>
          <w:szCs w:val="22"/>
        </w:rPr>
        <w:t>)</w:t>
      </w:r>
      <w:r w:rsidR="003C2406">
        <w:rPr>
          <w:szCs w:val="22"/>
        </w:rPr>
        <w:t>, and grain size (Lawrie</w:t>
      </w:r>
      <w:r w:rsidR="008A5F7D" w:rsidRPr="00CF7613">
        <w:rPr>
          <w:rStyle w:val="StyleItalic"/>
        </w:rPr>
        <w:t xml:space="preserve"> et al</w:t>
      </w:r>
      <w:r w:rsidR="003C2406">
        <w:rPr>
          <w:szCs w:val="22"/>
        </w:rPr>
        <w:t xml:space="preserve">., 2012b). Higher transmissivities correlate with the coarser-grained textural units </w:t>
      </w:r>
      <w:r>
        <w:rPr>
          <w:szCs w:val="22"/>
        </w:rPr>
        <w:t>in palaeochannels, and lower values in finer-grained units.</w:t>
      </w:r>
    </w:p>
    <w:p w:rsidR="008235E1" w:rsidRDefault="008235E1" w:rsidP="00DE0FB3">
      <w:pPr>
        <w:jc w:val="both"/>
        <w:rPr>
          <w:szCs w:val="22"/>
        </w:rPr>
      </w:pPr>
    </w:p>
    <w:p w:rsidR="00617B11" w:rsidRDefault="00617B11" w:rsidP="00617B11">
      <w:pPr>
        <w:rPr>
          <w:rFonts w:cs="Arial"/>
          <w:szCs w:val="18"/>
        </w:rPr>
      </w:pPr>
      <w:r>
        <w:rPr>
          <w:rFonts w:cs="Arial"/>
          <w:szCs w:val="18"/>
        </w:rPr>
        <w:t>In summary, the b</w:t>
      </w:r>
      <w:r w:rsidRPr="00D00FC4">
        <w:rPr>
          <w:rFonts w:cs="Arial"/>
          <w:szCs w:val="18"/>
        </w:rPr>
        <w:t>orehole NMR provides a</w:t>
      </w:r>
      <w:r w:rsidR="00983111">
        <w:rPr>
          <w:rFonts w:cs="Arial"/>
          <w:szCs w:val="18"/>
        </w:rPr>
        <w:t xml:space="preserve">n important additional and </w:t>
      </w:r>
      <w:r w:rsidRPr="00D00FC4">
        <w:rPr>
          <w:rFonts w:cs="Arial"/>
          <w:szCs w:val="18"/>
        </w:rPr>
        <w:t xml:space="preserve">rapid way of mapping the variations in effective porosity and hydraulic conductivity </w:t>
      </w:r>
      <w:r>
        <w:rPr>
          <w:rFonts w:cs="Arial"/>
          <w:szCs w:val="18"/>
        </w:rPr>
        <w:t>in unconsolidated sediments</w:t>
      </w:r>
      <w:r w:rsidR="00983111">
        <w:rPr>
          <w:rFonts w:cs="Arial"/>
          <w:szCs w:val="18"/>
        </w:rPr>
        <w:t>, and can provide some useful hydraulic parameters when it is not possible to carry out conventional pump tests. The latter are however required to gain an understanding of long-term bore yields and inter-aquifer leakage.</w:t>
      </w:r>
    </w:p>
    <w:p w:rsidR="00290E8E" w:rsidRDefault="00290E8E" w:rsidP="00617B11">
      <w:pPr>
        <w:rPr>
          <w:szCs w:val="22"/>
        </w:rPr>
      </w:pPr>
    </w:p>
    <w:p w:rsidR="00983111" w:rsidRPr="00B32F4D" w:rsidRDefault="00706A3B" w:rsidP="00656729">
      <w:pPr>
        <w:spacing w:before="240" w:after="60"/>
        <w:jc w:val="center"/>
        <w:rPr>
          <w:b/>
        </w:rPr>
      </w:pPr>
      <w:r>
        <w:rPr>
          <w:b/>
          <w:noProof/>
        </w:rPr>
        <w:drawing>
          <wp:inline distT="0" distB="0" distL="0" distR="0" wp14:anchorId="3455AC98" wp14:editId="55CB089A">
            <wp:extent cx="5273675" cy="6379845"/>
            <wp:effectExtent l="19050" t="19050" r="3175" b="1905"/>
            <wp:docPr id="89" name="Picture 89" descr="Muddy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uddy san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3675" cy="6379845"/>
                    </a:xfrm>
                    <a:prstGeom prst="rect">
                      <a:avLst/>
                    </a:prstGeom>
                    <a:noFill/>
                    <a:ln w="6350" cmpd="sng">
                      <a:solidFill>
                        <a:srgbClr val="000000"/>
                      </a:solidFill>
                      <a:miter lim="800000"/>
                      <a:headEnd/>
                      <a:tailEnd/>
                    </a:ln>
                    <a:effectLst/>
                  </pic:spPr>
                </pic:pic>
              </a:graphicData>
            </a:graphic>
          </wp:inline>
        </w:drawing>
      </w:r>
    </w:p>
    <w:p w:rsidR="00983111" w:rsidRPr="00836633" w:rsidRDefault="00983111" w:rsidP="00983111">
      <w:pPr>
        <w:pStyle w:val="Caption"/>
        <w:spacing w:before="240" w:after="0"/>
        <w:rPr>
          <w:i w:val="0"/>
        </w:rPr>
      </w:pPr>
      <w:bookmarkStart w:id="565" w:name="_Ref32591256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11</w:t>
      </w:r>
      <w:r w:rsidR="00A23C59">
        <w:rPr>
          <w:b/>
        </w:rPr>
        <w:fldChar w:fldCharType="end"/>
      </w:r>
      <w:bookmarkEnd w:id="565"/>
      <w:r>
        <w:rPr>
          <w:b/>
        </w:rPr>
        <w:t xml:space="preserve">. </w:t>
      </w:r>
      <w:r w:rsidRPr="002E2984">
        <w:rPr>
          <w:szCs w:val="20"/>
        </w:rPr>
        <w:t>Log plots of</w:t>
      </w:r>
      <w:r w:rsidRPr="002E2984">
        <w:rPr>
          <w:b/>
          <w:szCs w:val="20"/>
        </w:rPr>
        <w:t xml:space="preserve"> </w:t>
      </w:r>
      <w:r w:rsidRPr="002E2984">
        <w:rPr>
          <w:szCs w:val="20"/>
        </w:rPr>
        <w:t>bound-water, free-water and the K</w:t>
      </w:r>
      <w:r w:rsidRPr="002E2984">
        <w:rPr>
          <w:szCs w:val="20"/>
          <w:vertAlign w:val="subscript"/>
        </w:rPr>
        <w:t>SDR</w:t>
      </w:r>
      <w:r w:rsidRPr="002E2984">
        <w:rPr>
          <w:szCs w:val="20"/>
        </w:rPr>
        <w:t xml:space="preserve"> </w:t>
      </w:r>
      <w:r w:rsidR="003C2406">
        <w:rPr>
          <w:szCs w:val="20"/>
        </w:rPr>
        <w:t xml:space="preserve">from NMR logging </w:t>
      </w:r>
      <w:r w:rsidRPr="002E2984">
        <w:rPr>
          <w:szCs w:val="20"/>
        </w:rPr>
        <w:t>for BHMAR58-1, water table indicated by dashed line</w:t>
      </w:r>
      <w:r w:rsidRPr="004D05E2">
        <w:rPr>
          <w:szCs w:val="20"/>
        </w:rPr>
        <w:t xml:space="preserve">. </w:t>
      </w:r>
      <w:r w:rsidR="003C2406" w:rsidRPr="004D05E2">
        <w:rPr>
          <w:szCs w:val="20"/>
        </w:rPr>
        <w:t xml:space="preserve">The textural classes are mud, </w:t>
      </w:r>
      <w:r w:rsidR="00B32F4D" w:rsidRPr="004D05E2">
        <w:rPr>
          <w:szCs w:val="20"/>
        </w:rPr>
        <w:t xml:space="preserve">muddy sand, fine sand, </w:t>
      </w:r>
      <w:r w:rsidR="003C2406" w:rsidRPr="004D05E2">
        <w:rPr>
          <w:szCs w:val="20"/>
        </w:rPr>
        <w:t xml:space="preserve">medium sand and coarse-very coarse sand. </w:t>
      </w:r>
      <w:r w:rsidRPr="00836633">
        <w:rPr>
          <w:bCs w:val="0"/>
          <w:i w:val="0"/>
        </w:rPr>
        <w:fldChar w:fldCharType="begin"/>
      </w:r>
      <w:r w:rsidRPr="00836633">
        <w:rPr>
          <w:bCs w:val="0"/>
          <w:i w:val="0"/>
        </w:rPr>
        <w:instrText xml:space="preserve"> TC "</w:instrText>
      </w:r>
      <w:bookmarkStart w:id="566" w:name="_Toc325975245"/>
      <w:bookmarkStart w:id="567" w:name="_Toc390690264"/>
      <w:r w:rsidRPr="00836633">
        <w:rPr>
          <w:bCs w:val="0"/>
          <w:i w:val="0"/>
        </w:rPr>
        <w:instrText xml:space="preserve">Figure </w:instrText>
      </w:r>
      <w:r w:rsidR="000D653B" w:rsidRPr="00836633">
        <w:rPr>
          <w:bCs w:val="0"/>
          <w:i w:val="0"/>
        </w:rPr>
        <w:instrText>8-1</w:instrText>
      </w:r>
      <w:r w:rsidR="00153AFF" w:rsidRPr="00836633">
        <w:rPr>
          <w:bCs w:val="0"/>
          <w:i w:val="0"/>
        </w:rPr>
        <w:instrText>1</w:instrText>
      </w:r>
      <w:r w:rsidR="00DE0DFA" w:rsidRPr="00836633">
        <w:rPr>
          <w:bCs w:val="0"/>
          <w:i w:val="0"/>
        </w:rPr>
        <w:instrText>.</w:instrText>
      </w:r>
      <w:r w:rsidRPr="00836633">
        <w:rPr>
          <w:bCs w:val="0"/>
          <w:i w:val="0"/>
        </w:rPr>
        <w:instrText xml:space="preserve"> </w:instrText>
      </w:r>
      <w:r w:rsidRPr="00836633">
        <w:rPr>
          <w:i w:val="0"/>
          <w:szCs w:val="20"/>
        </w:rPr>
        <w:instrText>Log plots of</w:instrText>
      </w:r>
      <w:r w:rsidRPr="00146290">
        <w:rPr>
          <w:i w:val="0"/>
          <w:szCs w:val="20"/>
        </w:rPr>
        <w:instrText xml:space="preserve"> </w:instrText>
      </w:r>
      <w:r w:rsidR="00146290" w:rsidRPr="00146290">
        <w:rPr>
          <w:i w:val="0"/>
          <w:szCs w:val="20"/>
        </w:rPr>
        <w:instrText xml:space="preserve">NMR </w:instrText>
      </w:r>
      <w:r w:rsidRPr="00836633">
        <w:rPr>
          <w:i w:val="0"/>
          <w:szCs w:val="20"/>
        </w:rPr>
        <w:instrText>bound-water, free-water and the K</w:instrText>
      </w:r>
      <w:r w:rsidRPr="00836633">
        <w:rPr>
          <w:i w:val="0"/>
          <w:szCs w:val="20"/>
          <w:vertAlign w:val="subscript"/>
        </w:rPr>
        <w:instrText>SDR</w:instrText>
      </w:r>
      <w:r w:rsidRPr="00836633">
        <w:rPr>
          <w:i w:val="0"/>
          <w:szCs w:val="20"/>
        </w:rPr>
        <w:instrText xml:space="preserve"> for BHMAR58-</w:instrText>
      </w:r>
      <w:r w:rsidR="00836633" w:rsidRPr="00836633">
        <w:rPr>
          <w:i w:val="0"/>
          <w:szCs w:val="20"/>
        </w:rPr>
        <w:instrText>1</w:instrText>
      </w:r>
      <w:r w:rsidRPr="00836633">
        <w:rPr>
          <w:i w:val="0"/>
          <w:szCs w:val="20"/>
        </w:rPr>
        <w:instrText>.</w:instrText>
      </w:r>
      <w:bookmarkEnd w:id="566"/>
      <w:bookmarkEnd w:id="567"/>
      <w:r w:rsidRPr="00836633">
        <w:rPr>
          <w:bCs w:val="0"/>
          <w:i w:val="0"/>
        </w:rPr>
        <w:instrText xml:space="preserve">" \f A \l “4” </w:instrText>
      </w:r>
      <w:r w:rsidRPr="00836633">
        <w:rPr>
          <w:bCs w:val="0"/>
          <w:i w:val="0"/>
        </w:rPr>
        <w:fldChar w:fldCharType="end"/>
      </w:r>
    </w:p>
    <w:p w:rsidR="00D312B1" w:rsidRDefault="00D312B1" w:rsidP="00B62D2D">
      <w:pPr>
        <w:spacing w:before="240"/>
        <w:jc w:val="center"/>
      </w:pPr>
    </w:p>
    <w:p w:rsidR="00DE0FB3" w:rsidRDefault="00706A3B" w:rsidP="00656729">
      <w:pPr>
        <w:spacing w:before="240" w:after="60"/>
        <w:jc w:val="center"/>
      </w:pPr>
      <w:r>
        <w:rPr>
          <w:noProof/>
        </w:rPr>
        <w:drawing>
          <wp:inline distT="0" distB="0" distL="0" distR="0" wp14:anchorId="6915DD6D" wp14:editId="06DC8481">
            <wp:extent cx="5784215" cy="6167120"/>
            <wp:effectExtent l="19050" t="19050" r="6985" b="5080"/>
            <wp:docPr id="90" name="Picture 90" descr="crossplot_Tsdr_Ts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rossplot_Tsdr_Tslu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84215" cy="6167120"/>
                    </a:xfrm>
                    <a:prstGeom prst="rect">
                      <a:avLst/>
                    </a:prstGeom>
                    <a:noFill/>
                    <a:ln w="6350" cmpd="sng">
                      <a:solidFill>
                        <a:srgbClr val="000000"/>
                      </a:solidFill>
                      <a:miter lim="800000"/>
                      <a:headEnd/>
                      <a:tailEnd/>
                    </a:ln>
                    <a:effectLst/>
                  </pic:spPr>
                </pic:pic>
              </a:graphicData>
            </a:graphic>
          </wp:inline>
        </w:drawing>
      </w:r>
    </w:p>
    <w:p w:rsidR="0078272C" w:rsidRPr="007960BF" w:rsidRDefault="001741E7" w:rsidP="00EF07F3">
      <w:pPr>
        <w:pStyle w:val="Caption"/>
        <w:rPr>
          <w:bCs w:val="0"/>
          <w:i w:val="0"/>
        </w:rPr>
      </w:pPr>
      <w:bookmarkStart w:id="568" w:name="_Ref32591260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12</w:t>
      </w:r>
      <w:r w:rsidR="00A23C59">
        <w:rPr>
          <w:b/>
        </w:rPr>
        <w:fldChar w:fldCharType="end"/>
      </w:r>
      <w:bookmarkEnd w:id="568"/>
      <w:r>
        <w:rPr>
          <w:b/>
        </w:rPr>
        <w:t xml:space="preserve">. </w:t>
      </w:r>
      <w:r w:rsidR="0078272C" w:rsidRPr="002E2984">
        <w:rPr>
          <w:szCs w:val="20"/>
        </w:rPr>
        <w:t>Calculated transmissivity (T</w:t>
      </w:r>
      <w:r w:rsidR="0078272C" w:rsidRPr="002E2984">
        <w:rPr>
          <w:szCs w:val="20"/>
          <w:vertAlign w:val="subscript"/>
        </w:rPr>
        <w:t>SDR</w:t>
      </w:r>
      <w:r w:rsidR="007C45E4" w:rsidRPr="002E2984">
        <w:rPr>
          <w:szCs w:val="20"/>
        </w:rPr>
        <w:t>)</w:t>
      </w:r>
      <w:r w:rsidR="0078272C" w:rsidRPr="002E2984">
        <w:rPr>
          <w:szCs w:val="20"/>
        </w:rPr>
        <w:t xml:space="preserve"> based on the final hydraulic classes NMR derived C</w:t>
      </w:r>
      <w:r w:rsidR="0078272C" w:rsidRPr="002E2984">
        <w:rPr>
          <w:szCs w:val="20"/>
          <w:vertAlign w:val="subscript"/>
        </w:rPr>
        <w:t>ave</w:t>
      </w:r>
      <w:r w:rsidR="0078272C" w:rsidRPr="002E2984">
        <w:rPr>
          <w:szCs w:val="20"/>
        </w:rPr>
        <w:t xml:space="preserve"> values, versus transmissivity (T</w:t>
      </w:r>
      <w:r w:rsidR="0078272C" w:rsidRPr="002E2984">
        <w:rPr>
          <w:szCs w:val="20"/>
          <w:vertAlign w:val="subscript"/>
        </w:rPr>
        <w:t>Slug</w:t>
      </w:r>
      <w:r w:rsidR="0078272C" w:rsidRPr="002E2984">
        <w:rPr>
          <w:szCs w:val="20"/>
        </w:rPr>
        <w:t>) from the slug tests</w:t>
      </w:r>
      <w:r w:rsidR="003721DD">
        <w:rPr>
          <w:szCs w:val="20"/>
        </w:rPr>
        <w:t>.</w:t>
      </w:r>
      <w:r w:rsidR="0078272C" w:rsidRPr="00BE08AB">
        <w:rPr>
          <w:bCs w:val="0"/>
          <w:i w:val="0"/>
        </w:rPr>
        <w:t xml:space="preserve"> </w:t>
      </w:r>
      <w:r w:rsidR="0078272C" w:rsidRPr="007960BF">
        <w:rPr>
          <w:bCs w:val="0"/>
          <w:i w:val="0"/>
        </w:rPr>
        <w:fldChar w:fldCharType="begin"/>
      </w:r>
      <w:r w:rsidR="0078272C" w:rsidRPr="007960BF">
        <w:rPr>
          <w:bCs w:val="0"/>
          <w:i w:val="0"/>
        </w:rPr>
        <w:instrText xml:space="preserve"> TC "</w:instrText>
      </w:r>
      <w:bookmarkStart w:id="569" w:name="_Toc325975246"/>
      <w:bookmarkStart w:id="570" w:name="_Toc390690265"/>
      <w:r w:rsidR="0078272C" w:rsidRPr="007960BF">
        <w:rPr>
          <w:bCs w:val="0"/>
          <w:i w:val="0"/>
        </w:rPr>
        <w:instrText xml:space="preserve">Figure </w:instrText>
      </w:r>
      <w:r w:rsidR="000D653B">
        <w:rPr>
          <w:bCs w:val="0"/>
          <w:i w:val="0"/>
        </w:rPr>
        <w:instrText>8-1</w:instrText>
      </w:r>
      <w:r w:rsidR="00153AFF">
        <w:rPr>
          <w:bCs w:val="0"/>
          <w:i w:val="0"/>
        </w:rPr>
        <w:instrText>2</w:instrText>
      </w:r>
      <w:r w:rsidR="00DE0DFA">
        <w:rPr>
          <w:bCs w:val="0"/>
          <w:i w:val="0"/>
        </w:rPr>
        <w:instrText>.</w:instrText>
      </w:r>
      <w:r w:rsidR="0078272C" w:rsidRPr="007960BF">
        <w:rPr>
          <w:bCs w:val="0"/>
          <w:i w:val="0"/>
        </w:rPr>
        <w:instrText xml:space="preserve"> </w:instrText>
      </w:r>
      <w:r w:rsidR="002E2984" w:rsidRPr="007960BF">
        <w:rPr>
          <w:i w:val="0"/>
          <w:szCs w:val="20"/>
        </w:rPr>
        <w:instrText>Calculated transmissivity (T</w:instrText>
      </w:r>
      <w:r w:rsidR="002E2984" w:rsidRPr="007960BF">
        <w:rPr>
          <w:i w:val="0"/>
          <w:szCs w:val="20"/>
          <w:vertAlign w:val="subscript"/>
        </w:rPr>
        <w:instrText>SDR</w:instrText>
      </w:r>
      <w:r w:rsidR="002E2984" w:rsidRPr="007960BF">
        <w:rPr>
          <w:i w:val="0"/>
          <w:szCs w:val="20"/>
        </w:rPr>
        <w:instrText>) based on the final hydraulic classes NMR derived C</w:instrText>
      </w:r>
      <w:r w:rsidR="002E2984" w:rsidRPr="007960BF">
        <w:rPr>
          <w:i w:val="0"/>
          <w:szCs w:val="20"/>
          <w:vertAlign w:val="subscript"/>
        </w:rPr>
        <w:instrText>ave</w:instrText>
      </w:r>
      <w:r w:rsidR="002E2984" w:rsidRPr="007960BF">
        <w:rPr>
          <w:i w:val="0"/>
          <w:szCs w:val="20"/>
        </w:rPr>
        <w:instrText xml:space="preserve"> values, versus transmissivity (T</w:instrText>
      </w:r>
      <w:r w:rsidR="002E2984" w:rsidRPr="007960BF">
        <w:rPr>
          <w:i w:val="0"/>
          <w:szCs w:val="20"/>
          <w:vertAlign w:val="subscript"/>
        </w:rPr>
        <w:instrText>Slug</w:instrText>
      </w:r>
      <w:r w:rsidR="002E2984" w:rsidRPr="007960BF">
        <w:rPr>
          <w:i w:val="0"/>
          <w:szCs w:val="20"/>
        </w:rPr>
        <w:instrText>) from the slug tests</w:instrText>
      </w:r>
      <w:bookmarkEnd w:id="569"/>
      <w:r w:rsidR="003721DD">
        <w:rPr>
          <w:bCs w:val="0"/>
          <w:i w:val="0"/>
        </w:rPr>
        <w:instrText>.</w:instrText>
      </w:r>
      <w:bookmarkEnd w:id="570"/>
      <w:r w:rsidR="0078272C" w:rsidRPr="007960BF">
        <w:rPr>
          <w:bCs w:val="0"/>
          <w:i w:val="0"/>
        </w:rPr>
        <w:instrText xml:space="preserve">" \f A \l “4” </w:instrText>
      </w:r>
      <w:r w:rsidR="0078272C" w:rsidRPr="007960BF">
        <w:rPr>
          <w:bCs w:val="0"/>
          <w:i w:val="0"/>
        </w:rPr>
        <w:fldChar w:fldCharType="end"/>
      </w:r>
    </w:p>
    <w:p w:rsidR="00983111" w:rsidRDefault="00983111" w:rsidP="00983111">
      <w:pPr>
        <w:pStyle w:val="BodyText1"/>
      </w:pPr>
    </w:p>
    <w:p w:rsidR="00983111" w:rsidRDefault="00706A3B" w:rsidP="00656729">
      <w:pPr>
        <w:autoSpaceDE w:val="0"/>
        <w:autoSpaceDN w:val="0"/>
        <w:adjustRightInd w:val="0"/>
        <w:spacing w:after="60"/>
        <w:jc w:val="center"/>
        <w:rPr>
          <w:szCs w:val="22"/>
        </w:rPr>
      </w:pPr>
      <w:r>
        <w:rPr>
          <w:noProof/>
          <w:szCs w:val="22"/>
        </w:rPr>
        <w:lastRenderedPageBreak/>
        <w:drawing>
          <wp:inline distT="0" distB="0" distL="0" distR="0" wp14:anchorId="54D3FD89" wp14:editId="63B26535">
            <wp:extent cx="6060440" cy="8569960"/>
            <wp:effectExtent l="0" t="0" r="0" b="0"/>
            <wp:docPr id="91" name="Picture 91" descr="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gure 5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60440" cy="8569960"/>
                    </a:xfrm>
                    <a:prstGeom prst="rect">
                      <a:avLst/>
                    </a:prstGeom>
                    <a:noFill/>
                    <a:ln>
                      <a:noFill/>
                    </a:ln>
                  </pic:spPr>
                </pic:pic>
              </a:graphicData>
            </a:graphic>
          </wp:inline>
        </w:drawing>
      </w:r>
    </w:p>
    <w:p w:rsidR="00983111" w:rsidRPr="007960BF" w:rsidRDefault="00983111" w:rsidP="00983111">
      <w:pPr>
        <w:pStyle w:val="Caption"/>
        <w:rPr>
          <w:i w:val="0"/>
        </w:rPr>
      </w:pPr>
      <w:bookmarkStart w:id="571" w:name="_Ref32591264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13</w:t>
      </w:r>
      <w:r w:rsidR="00A23C59">
        <w:rPr>
          <w:b/>
        </w:rPr>
        <w:fldChar w:fldCharType="end"/>
      </w:r>
      <w:bookmarkEnd w:id="571"/>
      <w:r>
        <w:rPr>
          <w:b/>
        </w:rPr>
        <w:t xml:space="preserve">. </w:t>
      </w:r>
      <w:r>
        <w:t xml:space="preserve">GWR1 groundwater resource target showing distribution of </w:t>
      </w:r>
      <w:r w:rsidR="00404A6E">
        <w:t xml:space="preserve">NMR-derived </w:t>
      </w:r>
      <w:r w:rsidR="00537BDA">
        <w:t>h</w:t>
      </w:r>
      <w:r>
        <w:t xml:space="preserve">ydraulic </w:t>
      </w:r>
      <w:r w:rsidR="00537BDA">
        <w:t>c</w:t>
      </w:r>
      <w:r>
        <w:t xml:space="preserve">onductivities for the </w:t>
      </w:r>
      <w:r w:rsidR="00C217F0">
        <w:t>Calivil Formation</w:t>
      </w:r>
      <w:r>
        <w:t xml:space="preserve"> aquifer </w:t>
      </w:r>
      <w:r w:rsidR="00937821">
        <w:t xml:space="preserve">relative to </w:t>
      </w:r>
      <w:r w:rsidR="00404A6E">
        <w:t>predicted</w:t>
      </w:r>
      <w:r w:rsidR="003C2406">
        <w:t xml:space="preserve"> groundwater </w:t>
      </w:r>
      <w:r w:rsidR="00404A6E">
        <w:t>salin</w:t>
      </w:r>
      <w:r w:rsidR="003C2406">
        <w:t>ity</w:t>
      </w:r>
      <w:r>
        <w:t xml:space="preserve">. </w:t>
      </w:r>
      <w:r w:rsidRPr="007960BF">
        <w:rPr>
          <w:bCs w:val="0"/>
          <w:i w:val="0"/>
        </w:rPr>
        <w:fldChar w:fldCharType="begin"/>
      </w:r>
      <w:r w:rsidRPr="007960BF">
        <w:rPr>
          <w:bCs w:val="0"/>
          <w:i w:val="0"/>
        </w:rPr>
        <w:instrText xml:space="preserve"> TC "</w:instrText>
      </w:r>
      <w:bookmarkStart w:id="572" w:name="_Toc325975247"/>
      <w:bookmarkStart w:id="573" w:name="_Toc390690266"/>
      <w:r w:rsidRPr="007960BF">
        <w:rPr>
          <w:bCs w:val="0"/>
          <w:i w:val="0"/>
        </w:rPr>
        <w:instrText xml:space="preserve">Figure </w:instrText>
      </w:r>
      <w:r w:rsidR="000D653B">
        <w:rPr>
          <w:bCs w:val="0"/>
          <w:i w:val="0"/>
        </w:rPr>
        <w:instrText>8-1</w:instrText>
      </w:r>
      <w:r w:rsidR="00153AFF">
        <w:rPr>
          <w:bCs w:val="0"/>
          <w:i w:val="0"/>
        </w:rPr>
        <w:instrText>3</w:instrText>
      </w:r>
      <w:r w:rsidR="00DE0DFA">
        <w:rPr>
          <w:bCs w:val="0"/>
          <w:i w:val="0"/>
        </w:rPr>
        <w:instrText>.</w:instrText>
      </w:r>
      <w:r w:rsidRPr="007960BF">
        <w:rPr>
          <w:bCs w:val="0"/>
          <w:i w:val="0"/>
        </w:rPr>
        <w:instrText xml:space="preserve"> </w:instrText>
      </w:r>
      <w:r w:rsidR="00146290">
        <w:rPr>
          <w:i w:val="0"/>
        </w:rPr>
        <w:instrText>GWR1</w:instrText>
      </w:r>
      <w:r w:rsidR="0000277F">
        <w:rPr>
          <w:i w:val="0"/>
        </w:rPr>
        <w:instrText xml:space="preserve"> target showing </w:instrText>
      </w:r>
      <w:r w:rsidR="00404A6E">
        <w:rPr>
          <w:i w:val="0"/>
        </w:rPr>
        <w:instrText xml:space="preserve">NMR-derived </w:instrText>
      </w:r>
      <w:r w:rsidR="00937821">
        <w:rPr>
          <w:i w:val="0"/>
        </w:rPr>
        <w:instrText>h</w:instrText>
      </w:r>
      <w:r w:rsidRPr="007960BF">
        <w:rPr>
          <w:i w:val="0"/>
        </w:rPr>
        <w:instrText xml:space="preserve">ydraulic </w:instrText>
      </w:r>
      <w:r w:rsidR="00937821">
        <w:rPr>
          <w:i w:val="0"/>
        </w:rPr>
        <w:instrText>c</w:instrText>
      </w:r>
      <w:r w:rsidRPr="007960BF">
        <w:rPr>
          <w:i w:val="0"/>
        </w:rPr>
        <w:instrText xml:space="preserve">onductivities for the </w:instrText>
      </w:r>
      <w:r w:rsidR="00C217F0">
        <w:rPr>
          <w:i w:val="0"/>
        </w:rPr>
        <w:instrText>Calivil Formation</w:instrText>
      </w:r>
      <w:r w:rsidRPr="007960BF">
        <w:rPr>
          <w:i w:val="0"/>
        </w:rPr>
        <w:instrText xml:space="preserve"> </w:instrText>
      </w:r>
      <w:r w:rsidR="00404A6E">
        <w:rPr>
          <w:i w:val="0"/>
        </w:rPr>
        <w:instrText>relative to predicted</w:instrText>
      </w:r>
      <w:r w:rsidRPr="007960BF">
        <w:rPr>
          <w:i w:val="0"/>
        </w:rPr>
        <w:instrText xml:space="preserve"> </w:instrText>
      </w:r>
      <w:r w:rsidR="003C2406">
        <w:rPr>
          <w:i w:val="0"/>
        </w:rPr>
        <w:instrText xml:space="preserve">groundwater </w:instrText>
      </w:r>
      <w:r w:rsidR="00404A6E">
        <w:rPr>
          <w:i w:val="0"/>
        </w:rPr>
        <w:instrText>salinit</w:instrText>
      </w:r>
      <w:r w:rsidR="003C2406">
        <w:rPr>
          <w:i w:val="0"/>
        </w:rPr>
        <w:instrText>y</w:instrText>
      </w:r>
      <w:r w:rsidRPr="007960BF">
        <w:rPr>
          <w:i w:val="0"/>
        </w:rPr>
        <w:instrText>.</w:instrText>
      </w:r>
      <w:bookmarkEnd w:id="572"/>
      <w:bookmarkEnd w:id="573"/>
      <w:r w:rsidRPr="007960BF">
        <w:rPr>
          <w:bCs w:val="0"/>
          <w:i w:val="0"/>
        </w:rPr>
        <w:instrText>" \f A \l “4”</w:instrText>
      </w:r>
      <w:r w:rsidRPr="007960BF">
        <w:rPr>
          <w:bCs w:val="0"/>
          <w:i w:val="0"/>
        </w:rPr>
        <w:fldChar w:fldCharType="end"/>
      </w:r>
    </w:p>
    <w:p w:rsidR="00A92131" w:rsidRPr="00617B11" w:rsidRDefault="00A92131" w:rsidP="00617B11">
      <w:pPr>
        <w:pStyle w:val="Heading3"/>
        <w:tabs>
          <w:tab w:val="left" w:pos="1080"/>
        </w:tabs>
        <w:spacing w:before="320"/>
        <w:ind w:left="1080" w:hanging="1080"/>
      </w:pPr>
      <w:bookmarkStart w:id="574" w:name="_Toc325975152"/>
      <w:bookmarkStart w:id="575" w:name="_Toc390690145"/>
      <w:r w:rsidRPr="00617B11">
        <w:lastRenderedPageBreak/>
        <w:t>Groundwater Quality Assessment</w:t>
      </w:r>
      <w:bookmarkEnd w:id="574"/>
      <w:bookmarkEnd w:id="575"/>
    </w:p>
    <w:p w:rsidR="00A92131" w:rsidRPr="00795774" w:rsidRDefault="00A92131" w:rsidP="00A92131">
      <w:r>
        <w:t xml:space="preserve">The analytical results from groundwater sampling of the monitoring bores in the </w:t>
      </w:r>
      <w:r w:rsidR="00D3369C">
        <w:t>Jimargil site</w:t>
      </w:r>
      <w:r>
        <w:t xml:space="preserve"> were compared against current </w:t>
      </w:r>
      <w:r w:rsidR="001619A3">
        <w:t>Australian Drinking W</w:t>
      </w:r>
      <w:r>
        <w:t xml:space="preserve">ater </w:t>
      </w:r>
      <w:r w:rsidR="00B81A6B">
        <w:t>G</w:t>
      </w:r>
      <w:r>
        <w:t>uidelines (</w:t>
      </w:r>
      <w:r w:rsidR="00617B11" w:rsidRPr="00177FC7">
        <w:rPr>
          <w:szCs w:val="22"/>
        </w:rPr>
        <w:t>NHMRC-NRMMC, 2011</w:t>
      </w:r>
      <w:r>
        <w:t xml:space="preserve">). For the </w:t>
      </w:r>
      <w:r w:rsidR="00C217F0">
        <w:t>Calivil Formation</w:t>
      </w:r>
      <w:r>
        <w:t xml:space="preserve"> target aquifer, out of a total of 44 groundwater samples from 21 bores, there were exceedances relating to </w:t>
      </w:r>
      <w:r w:rsidR="00EE73D6">
        <w:t xml:space="preserve">the ADWG2011 aesthetic guidelines for </w:t>
      </w:r>
      <w:r>
        <w:t>chloride (6 samples), sodium (9), sulfate (2), iron (9), manganese (41)</w:t>
      </w:r>
      <w:r w:rsidR="00EE73D6">
        <w:t xml:space="preserve"> and </w:t>
      </w:r>
      <w:r>
        <w:t xml:space="preserve">ammonia (12) </w:t>
      </w:r>
      <w:r w:rsidR="00EE73D6">
        <w:t xml:space="preserve">and to the ADWG2011 health guideline for </w:t>
      </w:r>
      <w:r>
        <w:t>arsenic (1</w:t>
      </w:r>
      <w:r w:rsidRPr="00795774">
        <w:t>)</w:t>
      </w:r>
      <w:r w:rsidR="00D3369C" w:rsidRPr="00795774">
        <w:t xml:space="preserve"> (</w:t>
      </w:r>
      <w:r w:rsidR="005B1337" w:rsidRPr="00795774">
        <w:rPr>
          <w:highlight w:val="yellow"/>
        </w:rPr>
        <w:fldChar w:fldCharType="begin"/>
      </w:r>
      <w:r w:rsidR="005B1337" w:rsidRPr="00795774">
        <w:instrText xml:space="preserve"> REF _Ref325913468 \h </w:instrText>
      </w:r>
      <w:r w:rsidR="00795774" w:rsidRPr="00795774">
        <w:rPr>
          <w:highlight w:val="yellow"/>
        </w:rPr>
        <w:instrText xml:space="preserve"> \* MERGEFORMAT </w:instrText>
      </w:r>
      <w:r w:rsidR="005B1337" w:rsidRPr="00795774">
        <w:rPr>
          <w:highlight w:val="yellow"/>
        </w:rPr>
      </w:r>
      <w:r w:rsidR="005B1337" w:rsidRPr="00795774">
        <w:rPr>
          <w:highlight w:val="yellow"/>
        </w:rPr>
        <w:fldChar w:fldCharType="separate"/>
      </w:r>
      <w:r w:rsidR="00966532" w:rsidRPr="00966532">
        <w:t xml:space="preserve">Table </w:t>
      </w:r>
      <w:r w:rsidR="00966532" w:rsidRPr="00966532">
        <w:rPr>
          <w:noProof/>
        </w:rPr>
        <w:t>8</w:t>
      </w:r>
      <w:r w:rsidR="00966532" w:rsidRPr="00966532">
        <w:rPr>
          <w:noProof/>
        </w:rPr>
        <w:noBreakHyphen/>
        <w:t>3</w:t>
      </w:r>
      <w:r w:rsidR="005B1337" w:rsidRPr="00795774">
        <w:rPr>
          <w:highlight w:val="yellow"/>
        </w:rPr>
        <w:fldChar w:fldCharType="end"/>
      </w:r>
      <w:r w:rsidR="00777798">
        <w:t xml:space="preserve">; </w:t>
      </w:r>
      <w:r w:rsidR="00B03359">
        <w:t xml:space="preserve">Appendix 6, </w:t>
      </w:r>
      <w:r w:rsidR="00777798">
        <w:t>Somerville</w:t>
      </w:r>
      <w:r w:rsidR="008A5F7D" w:rsidRPr="00CF7613">
        <w:rPr>
          <w:rStyle w:val="StyleItalic"/>
        </w:rPr>
        <w:t xml:space="preserve"> et al</w:t>
      </w:r>
      <w:r w:rsidR="00777798">
        <w:t>., 2012</w:t>
      </w:r>
      <w:r w:rsidR="00D3369C" w:rsidRPr="00795774">
        <w:t>)</w:t>
      </w:r>
      <w:r w:rsidRPr="00795774">
        <w:t xml:space="preserve">. In terms of salinity, 31 samples exceeded the ADWG2011 </w:t>
      </w:r>
      <w:r w:rsidR="00EE73D6">
        <w:t xml:space="preserve">palatability </w:t>
      </w:r>
      <w:r w:rsidRPr="00795774">
        <w:t>threshold for good quality water (600 mg/L) and 4 samples exceeded the acceptable quality threshold (1200 mg/L</w:t>
      </w:r>
      <w:r w:rsidR="00777798">
        <w:t xml:space="preserve">; </w:t>
      </w:r>
      <w:r w:rsidR="00B03359">
        <w:t xml:space="preserve">Appendix 6, </w:t>
      </w:r>
      <w:r w:rsidR="00777798">
        <w:t>Somerville</w:t>
      </w:r>
      <w:r w:rsidR="008A5F7D" w:rsidRPr="00CF7613">
        <w:rPr>
          <w:rStyle w:val="StyleItalic"/>
        </w:rPr>
        <w:t xml:space="preserve"> et al</w:t>
      </w:r>
      <w:r w:rsidR="00777798">
        <w:t>., 2012</w:t>
      </w:r>
      <w:r w:rsidRPr="00795774">
        <w:t xml:space="preserve">). Two samples had laboratory pH values that exceeded the upper ADWG2011 </w:t>
      </w:r>
      <w:r w:rsidR="00EE73D6">
        <w:t xml:space="preserve">operational </w:t>
      </w:r>
      <w:r w:rsidRPr="00795774">
        <w:t xml:space="preserve">limit (pH </w:t>
      </w:r>
      <w:r w:rsidR="00F65643">
        <w:t>8</w:t>
      </w:r>
      <w:r w:rsidRPr="00795774">
        <w:t xml:space="preserve">.5). None of the </w:t>
      </w:r>
      <w:r w:rsidR="00C217F0">
        <w:t>Calivil Formation</w:t>
      </w:r>
      <w:r w:rsidRPr="00795774">
        <w:t xml:space="preserve"> groundwater samples </w:t>
      </w:r>
      <w:r w:rsidR="00F65643">
        <w:t xml:space="preserve">at the Jimargil site </w:t>
      </w:r>
      <w:r w:rsidRPr="00795774">
        <w:t>exceeded the ADWG</w:t>
      </w:r>
      <w:r w:rsidR="00F65643">
        <w:t>2011</w:t>
      </w:r>
      <w:r w:rsidRPr="00795774">
        <w:t xml:space="preserve"> </w:t>
      </w:r>
      <w:r w:rsidR="00EE73D6">
        <w:t xml:space="preserve">health </w:t>
      </w:r>
      <w:r w:rsidRPr="00795774">
        <w:t>guideline value for fluoride, nitrite, nitrate, antimony, barium, beryllium, boron, cadmium, chromium, copper, lead, mercury, molybdenum, nickel, selenium, silver, uranium and zinc</w:t>
      </w:r>
      <w:r w:rsidR="00EE73D6">
        <w:t xml:space="preserve"> or the ADWG2011 aesthetic guideline for silica and aluminium.</w:t>
      </w:r>
    </w:p>
    <w:p w:rsidR="00A92131" w:rsidRPr="00795774" w:rsidRDefault="00A92131" w:rsidP="00A92131"/>
    <w:p w:rsidR="00A92131" w:rsidRPr="00795774" w:rsidRDefault="000B4790" w:rsidP="00A92131">
      <w:r w:rsidRPr="00795774">
        <w:rPr>
          <w:highlight w:val="yellow"/>
        </w:rPr>
        <w:fldChar w:fldCharType="begin"/>
      </w:r>
      <w:r w:rsidRPr="00795774">
        <w:instrText xml:space="preserve"> REF _Ref325912673 \h </w:instrText>
      </w:r>
      <w:r w:rsidR="00795774" w:rsidRPr="00795774">
        <w:rPr>
          <w:highlight w:val="yellow"/>
        </w:rPr>
        <w:instrText xml:space="preserve"> \* MERGEFORMAT </w:instrText>
      </w:r>
      <w:r w:rsidRPr="00795774">
        <w:rPr>
          <w:highlight w:val="yellow"/>
        </w:rPr>
      </w:r>
      <w:r w:rsidRPr="00795774">
        <w:rPr>
          <w:highlight w:val="yellow"/>
        </w:rPr>
        <w:fldChar w:fldCharType="separate"/>
      </w:r>
      <w:r w:rsidR="00966532" w:rsidRPr="00966532">
        <w:t xml:space="preserve">Figure </w:t>
      </w:r>
      <w:r w:rsidR="00966532" w:rsidRPr="00966532">
        <w:rPr>
          <w:noProof/>
        </w:rPr>
        <w:t>8</w:t>
      </w:r>
      <w:r w:rsidR="00966532" w:rsidRPr="00966532">
        <w:rPr>
          <w:noProof/>
        </w:rPr>
        <w:noBreakHyphen/>
        <w:t>14</w:t>
      </w:r>
      <w:r w:rsidRPr="00795774">
        <w:rPr>
          <w:highlight w:val="yellow"/>
        </w:rPr>
        <w:fldChar w:fldCharType="end"/>
      </w:r>
      <w:r w:rsidR="00761298" w:rsidRPr="00795774">
        <w:t xml:space="preserve"> </w:t>
      </w:r>
      <w:r w:rsidR="00F65643">
        <w:t>are</w:t>
      </w:r>
      <w:r w:rsidR="00761298" w:rsidRPr="00795774">
        <w:t xml:space="preserve"> </w:t>
      </w:r>
      <w:r w:rsidR="00A92131" w:rsidRPr="00795774">
        <w:t xml:space="preserve">box and whisker plots that show the variation in key water quality parameters for the relevant groundwater samples in the </w:t>
      </w:r>
      <w:r w:rsidR="00C217F0">
        <w:t>Calivil Formation</w:t>
      </w:r>
      <w:r w:rsidR="003C2406">
        <w:t xml:space="preserve"> </w:t>
      </w:r>
      <w:r w:rsidR="00A92131" w:rsidRPr="00795774">
        <w:t>(Tpc) target aquifer</w:t>
      </w:r>
      <w:r w:rsidR="00F65643">
        <w:t xml:space="preserve"> at Jimargil</w:t>
      </w:r>
      <w:r w:rsidR="00A92131" w:rsidRPr="00795774">
        <w:t xml:space="preserve">, placed in context with the samples from the </w:t>
      </w:r>
      <w:r w:rsidR="00C217F0">
        <w:t>Coonambidgal Formation</w:t>
      </w:r>
      <w:r w:rsidR="003C2406">
        <w:t xml:space="preserve"> </w:t>
      </w:r>
      <w:r w:rsidR="007611B7">
        <w:t xml:space="preserve">(Qac) and </w:t>
      </w:r>
      <w:r w:rsidR="00C217F0">
        <w:t>Menindee Formation</w:t>
      </w:r>
      <w:r w:rsidR="003C2406">
        <w:t xml:space="preserve"> </w:t>
      </w:r>
      <w:r w:rsidR="00A92131" w:rsidRPr="00795774">
        <w:t>(Qam)</w:t>
      </w:r>
      <w:r w:rsidR="007611B7">
        <w:t xml:space="preserve"> aquifers, and the underlying </w:t>
      </w:r>
      <w:r w:rsidR="00C217F0">
        <w:t>Renmark Group</w:t>
      </w:r>
      <w:r w:rsidR="007611B7">
        <w:t xml:space="preserve"> (Ter) aquifer. The relatively deep </w:t>
      </w:r>
      <w:r w:rsidR="00C217F0">
        <w:t>Renmark Group</w:t>
      </w:r>
      <w:r w:rsidR="007611B7">
        <w:t xml:space="preserve"> (Ter1) groundwater sample from </w:t>
      </w:r>
      <w:r w:rsidR="007611B7">
        <w:rPr>
          <w:szCs w:val="22"/>
          <w:lang w:val="en-US"/>
        </w:rPr>
        <w:t>BHMAR33-1 (screened at 182-206</w:t>
      </w:r>
      <w:r w:rsidR="00A72012">
        <w:rPr>
          <w:szCs w:val="22"/>
          <w:lang w:val="en-US"/>
        </w:rPr>
        <w:t xml:space="preserve"> </w:t>
      </w:r>
      <w:r w:rsidR="007611B7">
        <w:rPr>
          <w:szCs w:val="22"/>
          <w:lang w:val="en-US"/>
        </w:rPr>
        <w:t xml:space="preserve">m) is separated out from the remaining </w:t>
      </w:r>
      <w:r w:rsidR="00C217F0">
        <w:rPr>
          <w:szCs w:val="22"/>
          <w:lang w:val="en-US"/>
        </w:rPr>
        <w:t>Renmark Group</w:t>
      </w:r>
      <w:r w:rsidR="007611B7">
        <w:rPr>
          <w:szCs w:val="22"/>
          <w:lang w:val="en-US"/>
        </w:rPr>
        <w:t xml:space="preserve"> (Ter3) samples. The latter are from bores accessing higher level successions of the </w:t>
      </w:r>
      <w:r w:rsidR="00C217F0">
        <w:rPr>
          <w:szCs w:val="22"/>
          <w:lang w:val="en-US"/>
        </w:rPr>
        <w:t>Renmark Group</w:t>
      </w:r>
      <w:r w:rsidR="007611B7">
        <w:rPr>
          <w:szCs w:val="22"/>
          <w:lang w:val="en-US"/>
        </w:rPr>
        <w:t xml:space="preserve"> sequence in the target area, at typical screen depths of 70-100</w:t>
      </w:r>
      <w:r w:rsidR="00030542">
        <w:rPr>
          <w:szCs w:val="22"/>
          <w:lang w:val="en-US"/>
        </w:rPr>
        <w:t xml:space="preserve"> </w:t>
      </w:r>
      <w:r w:rsidR="007611B7">
        <w:rPr>
          <w:szCs w:val="22"/>
          <w:lang w:val="en-US"/>
        </w:rPr>
        <w:t xml:space="preserve">m. </w:t>
      </w:r>
      <w:r w:rsidR="00A92131" w:rsidRPr="00795774">
        <w:t xml:space="preserve">In these plots, concentrations within the ADWG2011 guideline values are shown as a light blue polygon. For the salinity plot (Figure </w:t>
      </w:r>
      <w:r w:rsidR="00F65643">
        <w:t>51</w:t>
      </w:r>
      <w:r w:rsidR="00A92131" w:rsidRPr="00795774">
        <w:t>a) this relates to the threshold for good quality water (&lt;600 mg/L) with acceptable quality (600-1200 mg/L) shown as a light green polygon. In these plots, the “boxes” show the central 50% of the data and the line within the box is the median (50</w:t>
      </w:r>
      <w:r w:rsidR="00A92131" w:rsidRPr="00795774">
        <w:rPr>
          <w:vertAlign w:val="superscript"/>
        </w:rPr>
        <w:t>th</w:t>
      </w:r>
      <w:r w:rsidR="00A92131" w:rsidRPr="00795774">
        <w:t xml:space="preserve"> percentile) of the data. The “whiskers” represent the outer tails of the sample population, based on what is termed the interquartile range. The maximum value is plotted as a red dot if it is an outlier beyond the range defined by the whiskers</w:t>
      </w:r>
      <w:r w:rsidR="007640C5">
        <w:t>, and the minimum is represented as a blue dot if an outlier</w:t>
      </w:r>
      <w:r w:rsidR="00A92131" w:rsidRPr="00795774">
        <w:t>.</w:t>
      </w:r>
    </w:p>
    <w:p w:rsidR="00A92131" w:rsidRPr="00795774" w:rsidRDefault="00A92131" w:rsidP="00A92131"/>
    <w:p w:rsidR="00A92131" w:rsidRPr="00795774" w:rsidRDefault="00A92131" w:rsidP="00A92131">
      <w:r w:rsidRPr="00795774">
        <w:t xml:space="preserve">These graphs plot the groundwater quality data in relationship to the ADWG2011 guidelines. In terms of salinity, it shows the better quality water in the shallow aquifers (Qac, Qam, Tpc) compared to unacceptable </w:t>
      </w:r>
      <w:r w:rsidR="006C1AA6">
        <w:t xml:space="preserve">aesthetic </w:t>
      </w:r>
      <w:r w:rsidRPr="00795774">
        <w:t xml:space="preserve">quality in the </w:t>
      </w:r>
      <w:r w:rsidR="00C217F0">
        <w:t>Renmark Group</w:t>
      </w:r>
      <w:r w:rsidR="003C2406">
        <w:t xml:space="preserve"> </w:t>
      </w:r>
      <w:r w:rsidRPr="00795774">
        <w:t>units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a). This is also the case for chloride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c) and sodium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d), and sulfate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e). Excessive manganese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g) and iron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 xml:space="preserve">f) are </w:t>
      </w:r>
      <w:r w:rsidR="006C1AA6">
        <w:t xml:space="preserve">aesthetic </w:t>
      </w:r>
      <w:r w:rsidRPr="00795774">
        <w:t>issues common to all aquifers. This is also the case for ammonia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 xml:space="preserve">h), with the upper </w:t>
      </w:r>
      <w:r w:rsidR="00C217F0">
        <w:t>Renmark Group</w:t>
      </w:r>
      <w:r w:rsidR="003C2406">
        <w:t xml:space="preserve"> </w:t>
      </w:r>
      <w:r w:rsidRPr="00795774">
        <w:t xml:space="preserve">samples being the exception. For the </w:t>
      </w:r>
      <w:r w:rsidR="00C217F0">
        <w:t>Calivil Formation</w:t>
      </w:r>
      <w:r w:rsidR="003C2406">
        <w:t xml:space="preserve"> </w:t>
      </w:r>
      <w:r w:rsidRPr="00795774">
        <w:t xml:space="preserve">target aquifer, </w:t>
      </w:r>
      <w:r w:rsidR="006C1AA6">
        <w:t xml:space="preserve">aesthetic or operational </w:t>
      </w:r>
      <w:r w:rsidRPr="00795774">
        <w:t>issues relating to pH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b)</w:t>
      </w:r>
      <w:r w:rsidR="006C1AA6">
        <w:t xml:space="preserve"> and </w:t>
      </w:r>
      <w:r w:rsidRPr="00795774">
        <w:t>sulfate (</w:t>
      </w:r>
      <w:r w:rsidR="000B4790" w:rsidRPr="00795774">
        <w:fldChar w:fldCharType="begin"/>
      </w:r>
      <w:r w:rsidR="000B4790" w:rsidRPr="00795774">
        <w:instrText xml:space="preserve"> REF _Ref325912673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14</w:t>
      </w:r>
      <w:r w:rsidR="000B4790" w:rsidRPr="00795774">
        <w:fldChar w:fldCharType="end"/>
      </w:r>
      <w:r w:rsidRPr="00795774">
        <w:t>e) are limited to outliers, with the bulk of the samples within the ADWG</w:t>
      </w:r>
      <w:r w:rsidR="00F65643">
        <w:t>2011</w:t>
      </w:r>
      <w:r w:rsidRPr="00795774">
        <w:t xml:space="preserve"> thresholds.</w:t>
      </w:r>
      <w:r w:rsidR="006C1AA6" w:rsidRPr="006C1AA6">
        <w:t xml:space="preserve"> </w:t>
      </w:r>
      <w:r w:rsidR="006C1AA6">
        <w:t xml:space="preserve">This is also the case for </w:t>
      </w:r>
      <w:r w:rsidR="006C1AA6" w:rsidRPr="00795774">
        <w:t>arsenic (</w:t>
      </w:r>
      <w:r w:rsidR="006C1AA6" w:rsidRPr="00795774">
        <w:fldChar w:fldCharType="begin"/>
      </w:r>
      <w:r w:rsidR="006C1AA6" w:rsidRPr="00795774">
        <w:instrText xml:space="preserve"> REF _Ref325912673 \h  \* MERGEFORMAT </w:instrText>
      </w:r>
      <w:r w:rsidR="006C1AA6" w:rsidRPr="00795774">
        <w:fldChar w:fldCharType="separate"/>
      </w:r>
      <w:r w:rsidR="00966532" w:rsidRPr="00966532">
        <w:t xml:space="preserve">Figure </w:t>
      </w:r>
      <w:r w:rsidR="00966532" w:rsidRPr="00966532">
        <w:rPr>
          <w:noProof/>
        </w:rPr>
        <w:t>8</w:t>
      </w:r>
      <w:r w:rsidR="00966532" w:rsidRPr="00966532">
        <w:rPr>
          <w:noProof/>
        </w:rPr>
        <w:noBreakHyphen/>
        <w:t>14</w:t>
      </w:r>
      <w:r w:rsidR="006C1AA6" w:rsidRPr="00795774">
        <w:fldChar w:fldCharType="end"/>
      </w:r>
      <w:r w:rsidR="006C1AA6" w:rsidRPr="00795774">
        <w:t>i)</w:t>
      </w:r>
      <w:r w:rsidR="006C1AA6">
        <w:t xml:space="preserve">, the only health exceedance identified </w:t>
      </w:r>
      <w:r w:rsidR="00660271">
        <w:t xml:space="preserve">in one </w:t>
      </w:r>
      <w:r w:rsidR="006C1AA6">
        <w:t>groundwater sampl</w:t>
      </w:r>
      <w:r w:rsidR="00660271">
        <w:t>e</w:t>
      </w:r>
      <w:r w:rsidR="006C1AA6">
        <w:t xml:space="preserve"> f</w:t>
      </w:r>
      <w:r w:rsidR="00660271">
        <w:t>rom</w:t>
      </w:r>
      <w:r w:rsidR="006C1AA6">
        <w:t xml:space="preserve"> the </w:t>
      </w:r>
      <w:r w:rsidR="00C217F0">
        <w:t>Calivil Formation</w:t>
      </w:r>
      <w:r w:rsidR="003C2406">
        <w:t xml:space="preserve"> </w:t>
      </w:r>
      <w:r w:rsidR="006C1AA6">
        <w:t>aquifer at Jimargil.</w:t>
      </w:r>
    </w:p>
    <w:p w:rsidR="006D00DB" w:rsidRDefault="006D00DB" w:rsidP="00DE0FB3">
      <w:pPr>
        <w:autoSpaceDE w:val="0"/>
        <w:autoSpaceDN w:val="0"/>
        <w:adjustRightInd w:val="0"/>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53"/>
        <w:gridCol w:w="4815"/>
      </w:tblGrid>
      <w:tr w:rsidR="006D00DB" w:rsidRPr="00672844" w:rsidTr="00AE6C47">
        <w:tc>
          <w:tcPr>
            <w:tcW w:w="4653" w:type="dxa"/>
            <w:shd w:val="clear" w:color="auto" w:fill="auto"/>
          </w:tcPr>
          <w:p w:rsidR="006D00DB" w:rsidRPr="00672844" w:rsidRDefault="00706A3B" w:rsidP="00672844">
            <w:pPr>
              <w:autoSpaceDE w:val="0"/>
              <w:autoSpaceDN w:val="0"/>
              <w:adjustRightInd w:val="0"/>
              <w:rPr>
                <w:b/>
              </w:rPr>
            </w:pPr>
            <w:r>
              <w:rPr>
                <w:noProof/>
              </w:rPr>
              <w:drawing>
                <wp:inline distT="0" distB="0" distL="0" distR="0" wp14:anchorId="4DE1866F" wp14:editId="5FEF248B">
                  <wp:extent cx="2743200" cy="254127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43200" cy="2541270"/>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rPr>
              <w:t>a</w:t>
            </w:r>
          </w:p>
        </w:tc>
        <w:tc>
          <w:tcPr>
            <w:tcW w:w="4815" w:type="dxa"/>
            <w:shd w:val="clear" w:color="auto" w:fill="auto"/>
          </w:tcPr>
          <w:p w:rsidR="006D00DB" w:rsidRDefault="00706A3B" w:rsidP="00672844">
            <w:pPr>
              <w:autoSpaceDE w:val="0"/>
              <w:autoSpaceDN w:val="0"/>
              <w:adjustRightInd w:val="0"/>
            </w:pPr>
            <w:r>
              <w:rPr>
                <w:noProof/>
              </w:rPr>
              <w:drawing>
                <wp:inline distT="0" distB="0" distL="0" distR="0" wp14:anchorId="7459C8A0" wp14:editId="3372A40D">
                  <wp:extent cx="2711450" cy="250952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11450" cy="2509520"/>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rPr>
              <w:t>b</w:t>
            </w:r>
          </w:p>
        </w:tc>
      </w:tr>
      <w:tr w:rsidR="006D00DB" w:rsidRPr="00672844" w:rsidTr="00AE6C47">
        <w:tc>
          <w:tcPr>
            <w:tcW w:w="4653" w:type="dxa"/>
            <w:shd w:val="clear" w:color="auto" w:fill="auto"/>
          </w:tcPr>
          <w:p w:rsidR="006D00DB" w:rsidRPr="00672844" w:rsidRDefault="00706A3B" w:rsidP="00672844">
            <w:pPr>
              <w:autoSpaceDE w:val="0"/>
              <w:autoSpaceDN w:val="0"/>
              <w:adjustRightInd w:val="0"/>
              <w:rPr>
                <w:szCs w:val="22"/>
              </w:rPr>
            </w:pPr>
            <w:r>
              <w:rPr>
                <w:noProof/>
              </w:rPr>
              <w:lastRenderedPageBreak/>
              <w:drawing>
                <wp:inline distT="0" distB="0" distL="0" distR="0" wp14:anchorId="500C5F36" wp14:editId="05AD8851">
                  <wp:extent cx="2743200" cy="25412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43200" cy="2541270"/>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szCs w:val="22"/>
              </w:rPr>
              <w:t>c</w:t>
            </w:r>
          </w:p>
        </w:tc>
        <w:tc>
          <w:tcPr>
            <w:tcW w:w="4815" w:type="dxa"/>
            <w:shd w:val="clear" w:color="auto" w:fill="auto"/>
          </w:tcPr>
          <w:p w:rsidR="006D00DB" w:rsidRDefault="00706A3B" w:rsidP="00672844">
            <w:pPr>
              <w:autoSpaceDE w:val="0"/>
              <w:autoSpaceDN w:val="0"/>
              <w:adjustRightInd w:val="0"/>
            </w:pPr>
            <w:r>
              <w:rPr>
                <w:noProof/>
              </w:rPr>
              <w:drawing>
                <wp:inline distT="0" distB="0" distL="0" distR="0" wp14:anchorId="6D533BE7" wp14:editId="2D2DFAC4">
                  <wp:extent cx="2711450" cy="250952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11450" cy="2509520"/>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rPr>
              <w:t>d</w:t>
            </w:r>
          </w:p>
        </w:tc>
      </w:tr>
      <w:tr w:rsidR="006D00DB" w:rsidRPr="00672844" w:rsidTr="00AE6C47">
        <w:tc>
          <w:tcPr>
            <w:tcW w:w="4653" w:type="dxa"/>
            <w:shd w:val="clear" w:color="auto" w:fill="auto"/>
          </w:tcPr>
          <w:p w:rsidR="006D00DB" w:rsidRPr="00672844" w:rsidRDefault="00706A3B" w:rsidP="00672844">
            <w:pPr>
              <w:autoSpaceDE w:val="0"/>
              <w:autoSpaceDN w:val="0"/>
              <w:adjustRightInd w:val="0"/>
              <w:rPr>
                <w:szCs w:val="22"/>
              </w:rPr>
            </w:pPr>
            <w:r>
              <w:rPr>
                <w:noProof/>
              </w:rPr>
              <w:drawing>
                <wp:inline distT="0" distB="0" distL="0" distR="0" wp14:anchorId="57F9EF9E" wp14:editId="2A6A6601">
                  <wp:extent cx="2743200" cy="254127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43200" cy="2541270"/>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szCs w:val="22"/>
              </w:rPr>
              <w:t>e</w:t>
            </w:r>
          </w:p>
        </w:tc>
        <w:tc>
          <w:tcPr>
            <w:tcW w:w="4815" w:type="dxa"/>
            <w:shd w:val="clear" w:color="auto" w:fill="auto"/>
          </w:tcPr>
          <w:p w:rsidR="006D00DB" w:rsidRPr="00672844" w:rsidRDefault="00706A3B" w:rsidP="00672844">
            <w:pPr>
              <w:autoSpaceDE w:val="0"/>
              <w:autoSpaceDN w:val="0"/>
              <w:adjustRightInd w:val="0"/>
              <w:rPr>
                <w:szCs w:val="22"/>
              </w:rPr>
            </w:pPr>
            <w:r>
              <w:rPr>
                <w:noProof/>
              </w:rPr>
              <w:drawing>
                <wp:inline distT="0" distB="0" distL="0" distR="0" wp14:anchorId="4ED7F387" wp14:editId="4DA6609A">
                  <wp:extent cx="2711450" cy="25095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11450" cy="2509520"/>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szCs w:val="22"/>
              </w:rPr>
              <w:t>f</w:t>
            </w:r>
          </w:p>
        </w:tc>
      </w:tr>
      <w:tr w:rsidR="006D00DB" w:rsidRPr="00672844" w:rsidTr="00AE6C47">
        <w:tc>
          <w:tcPr>
            <w:tcW w:w="4653" w:type="dxa"/>
            <w:shd w:val="clear" w:color="auto" w:fill="auto"/>
          </w:tcPr>
          <w:p w:rsidR="006D00DB" w:rsidRPr="00672844" w:rsidRDefault="00706A3B" w:rsidP="00672844">
            <w:pPr>
              <w:autoSpaceDE w:val="0"/>
              <w:autoSpaceDN w:val="0"/>
              <w:adjustRightInd w:val="0"/>
              <w:rPr>
                <w:szCs w:val="22"/>
              </w:rPr>
            </w:pPr>
            <w:r>
              <w:rPr>
                <w:noProof/>
              </w:rPr>
              <w:drawing>
                <wp:inline distT="0" distB="0" distL="0" distR="0" wp14:anchorId="02D4D6A1" wp14:editId="3A3A9A6E">
                  <wp:extent cx="2743200" cy="254127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2541270"/>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szCs w:val="22"/>
              </w:rPr>
              <w:t>g</w:t>
            </w:r>
          </w:p>
        </w:tc>
        <w:tc>
          <w:tcPr>
            <w:tcW w:w="4815" w:type="dxa"/>
            <w:shd w:val="clear" w:color="auto" w:fill="auto"/>
          </w:tcPr>
          <w:p w:rsidR="006D00DB" w:rsidRPr="00672844" w:rsidRDefault="00706A3B" w:rsidP="00672844">
            <w:pPr>
              <w:autoSpaceDE w:val="0"/>
              <w:autoSpaceDN w:val="0"/>
              <w:adjustRightInd w:val="0"/>
              <w:rPr>
                <w:szCs w:val="22"/>
              </w:rPr>
            </w:pPr>
            <w:r>
              <w:rPr>
                <w:noProof/>
              </w:rPr>
              <w:drawing>
                <wp:inline distT="0" distB="0" distL="0" distR="0" wp14:anchorId="754353CA" wp14:editId="32F25775">
                  <wp:extent cx="3009265" cy="241363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09265" cy="2413635"/>
                          </a:xfrm>
                          <a:prstGeom prst="rect">
                            <a:avLst/>
                          </a:prstGeom>
                          <a:noFill/>
                          <a:ln>
                            <a:noFill/>
                          </a:ln>
                        </pic:spPr>
                      </pic:pic>
                    </a:graphicData>
                  </a:graphic>
                </wp:inline>
              </w:drawing>
            </w:r>
          </w:p>
          <w:p w:rsidR="006D00DB" w:rsidRPr="00672844" w:rsidRDefault="006D00DB" w:rsidP="00672844">
            <w:pPr>
              <w:autoSpaceDE w:val="0"/>
              <w:autoSpaceDN w:val="0"/>
              <w:adjustRightInd w:val="0"/>
              <w:rPr>
                <w:b/>
                <w:szCs w:val="22"/>
              </w:rPr>
            </w:pPr>
            <w:r w:rsidRPr="00672844">
              <w:rPr>
                <w:b/>
                <w:szCs w:val="22"/>
              </w:rPr>
              <w:t>h</w:t>
            </w:r>
          </w:p>
        </w:tc>
      </w:tr>
      <w:tr w:rsidR="006D00DB" w:rsidRPr="00672844" w:rsidTr="00AE6C47">
        <w:tc>
          <w:tcPr>
            <w:tcW w:w="4653" w:type="dxa"/>
            <w:shd w:val="clear" w:color="auto" w:fill="auto"/>
          </w:tcPr>
          <w:p w:rsidR="006D00DB" w:rsidRDefault="00706A3B" w:rsidP="00672844">
            <w:pPr>
              <w:autoSpaceDE w:val="0"/>
              <w:autoSpaceDN w:val="0"/>
              <w:adjustRightInd w:val="0"/>
            </w:pPr>
            <w:r>
              <w:rPr>
                <w:noProof/>
              </w:rPr>
              <w:lastRenderedPageBreak/>
              <w:drawing>
                <wp:inline distT="0" distB="0" distL="0" distR="0" wp14:anchorId="1611ECB6" wp14:editId="48B2C75A">
                  <wp:extent cx="2743200" cy="254127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43200" cy="2541270"/>
                          </a:xfrm>
                          <a:prstGeom prst="rect">
                            <a:avLst/>
                          </a:prstGeom>
                          <a:noFill/>
                          <a:ln>
                            <a:noFill/>
                          </a:ln>
                        </pic:spPr>
                      </pic:pic>
                    </a:graphicData>
                  </a:graphic>
                </wp:inline>
              </w:drawing>
            </w:r>
          </w:p>
          <w:p w:rsidR="006D00DB" w:rsidRPr="00672844" w:rsidRDefault="006D00DB" w:rsidP="00672844">
            <w:pPr>
              <w:autoSpaceDE w:val="0"/>
              <w:autoSpaceDN w:val="0"/>
              <w:adjustRightInd w:val="0"/>
              <w:rPr>
                <w:b/>
              </w:rPr>
            </w:pPr>
            <w:r w:rsidRPr="00672844">
              <w:rPr>
                <w:b/>
              </w:rPr>
              <w:t>i</w:t>
            </w:r>
          </w:p>
        </w:tc>
        <w:tc>
          <w:tcPr>
            <w:tcW w:w="4815" w:type="dxa"/>
            <w:shd w:val="clear" w:color="auto" w:fill="auto"/>
          </w:tcPr>
          <w:p w:rsidR="006D00DB" w:rsidRDefault="006D00DB" w:rsidP="00672844">
            <w:pPr>
              <w:autoSpaceDE w:val="0"/>
              <w:autoSpaceDN w:val="0"/>
              <w:adjustRightInd w:val="0"/>
            </w:pPr>
          </w:p>
        </w:tc>
      </w:tr>
    </w:tbl>
    <w:p w:rsidR="00AA7E88" w:rsidRPr="00EF07F3" w:rsidRDefault="006D00DB" w:rsidP="00AA7E88">
      <w:pPr>
        <w:pStyle w:val="Caption"/>
      </w:pPr>
      <w:bookmarkStart w:id="576" w:name="_Ref325912673"/>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14</w:t>
      </w:r>
      <w:r w:rsidR="00A23C59">
        <w:rPr>
          <w:b/>
        </w:rPr>
        <w:fldChar w:fldCharType="end"/>
      </w:r>
      <w:bookmarkEnd w:id="576"/>
      <w:r>
        <w:rPr>
          <w:b/>
        </w:rPr>
        <w:t xml:space="preserve">. </w:t>
      </w:r>
      <w:r w:rsidR="00A92131" w:rsidRPr="00A92131">
        <w:t xml:space="preserve">Box and whisker plots of groundwater quality parameters for samples from bores in the </w:t>
      </w:r>
      <w:r w:rsidR="00761298">
        <w:t>Jimargil</w:t>
      </w:r>
      <w:r w:rsidR="00A92131" w:rsidRPr="00A92131">
        <w:t xml:space="preserve"> site. Concentrations within ADWG</w:t>
      </w:r>
      <w:r w:rsidR="00B81A6B">
        <w:t>2011</w:t>
      </w:r>
      <w:r w:rsidR="00A92131" w:rsidRPr="00A92131">
        <w:t xml:space="preserve"> thresholds are shown in light blue (a) salinity as total dissolved solids mg/L (b) laboratory pH (c)chloride as mg/L (d) sodium as mg/L (e) sulfate as mg/L (f) iron as mg/L (g) manganese as mg/L (h) ammonia as mg/L NH</w:t>
      </w:r>
      <w:r w:rsidR="00A92131" w:rsidRPr="009A77C1">
        <w:rPr>
          <w:vertAlign w:val="subscript"/>
        </w:rPr>
        <w:t>3</w:t>
      </w:r>
      <w:r w:rsidR="00A92131" w:rsidRPr="00A92131">
        <w:t xml:space="preserve"> (i) arsenic as µg/L. Aquifers: Qac (</w:t>
      </w:r>
      <w:r w:rsidR="00C217F0">
        <w:t>Coonambidgal Formation</w:t>
      </w:r>
      <w:r w:rsidR="00A92131" w:rsidRPr="00A92131">
        <w:t>), Qam (</w:t>
      </w:r>
      <w:r w:rsidR="00C217F0">
        <w:t>Menindee Formation</w:t>
      </w:r>
      <w:r w:rsidR="00A92131" w:rsidRPr="00A92131">
        <w:t>), Tpc (</w:t>
      </w:r>
      <w:r w:rsidR="00C217F0">
        <w:t>Calivil Formation</w:t>
      </w:r>
      <w:r w:rsidR="00A92131" w:rsidRPr="00A92131">
        <w:t xml:space="preserve">), Ter3 (upper </w:t>
      </w:r>
      <w:r w:rsidR="00C217F0">
        <w:t>Renmark Group</w:t>
      </w:r>
      <w:r w:rsidR="00A92131" w:rsidRPr="00A92131">
        <w:t xml:space="preserve">), </w:t>
      </w:r>
      <w:r w:rsidR="00A92131" w:rsidRPr="00106292">
        <w:t xml:space="preserve">Ter3 (lower </w:t>
      </w:r>
      <w:r w:rsidR="00106292" w:rsidRPr="00106292">
        <w:t>part</w:t>
      </w:r>
      <w:r w:rsidR="00106292">
        <w:t xml:space="preserve"> of the upper </w:t>
      </w:r>
      <w:r w:rsidR="00C217F0">
        <w:t>Renmark Group</w:t>
      </w:r>
      <w:r w:rsidR="00A92131" w:rsidRPr="00A92131">
        <w:t>)</w:t>
      </w:r>
      <w:r w:rsidR="00A92131">
        <w:t>.</w:t>
      </w:r>
      <w:r>
        <w:t xml:space="preserve"> </w:t>
      </w:r>
      <w:r w:rsidR="00AA7E88" w:rsidRPr="007960BF">
        <w:rPr>
          <w:bCs w:val="0"/>
          <w:i w:val="0"/>
        </w:rPr>
        <w:fldChar w:fldCharType="begin"/>
      </w:r>
      <w:r w:rsidR="00AA7E88" w:rsidRPr="007960BF">
        <w:rPr>
          <w:bCs w:val="0"/>
          <w:i w:val="0"/>
        </w:rPr>
        <w:instrText xml:space="preserve"> TC "</w:instrText>
      </w:r>
      <w:bookmarkStart w:id="577" w:name="_Toc325975248"/>
      <w:bookmarkStart w:id="578" w:name="_Toc390690267"/>
      <w:r w:rsidR="00AA7E88" w:rsidRPr="007960BF">
        <w:rPr>
          <w:bCs w:val="0"/>
          <w:i w:val="0"/>
        </w:rPr>
        <w:instrText xml:space="preserve">Figure </w:instrText>
      </w:r>
      <w:r w:rsidR="000D653B">
        <w:rPr>
          <w:bCs w:val="0"/>
          <w:i w:val="0"/>
        </w:rPr>
        <w:instrText>8-1</w:instrText>
      </w:r>
      <w:r w:rsidR="00153AFF">
        <w:rPr>
          <w:bCs w:val="0"/>
          <w:i w:val="0"/>
        </w:rPr>
        <w:instrText>4</w:instrText>
      </w:r>
      <w:r w:rsidR="00DE0DFA">
        <w:rPr>
          <w:bCs w:val="0"/>
          <w:i w:val="0"/>
        </w:rPr>
        <w:instrText>.</w:instrText>
      </w:r>
      <w:r w:rsidR="00AA7E88" w:rsidRPr="007960BF">
        <w:rPr>
          <w:bCs w:val="0"/>
          <w:i w:val="0"/>
        </w:rPr>
        <w:instrText xml:space="preserve"> </w:instrText>
      </w:r>
      <w:r w:rsidR="00AA7E88" w:rsidRPr="007960BF">
        <w:rPr>
          <w:i w:val="0"/>
        </w:rPr>
        <w:instrText>Box and whisker plots of groundwater quality parameters for samples from bores in the Jimargil site</w:instrText>
      </w:r>
      <w:bookmarkEnd w:id="577"/>
      <w:r w:rsidR="003721DD">
        <w:rPr>
          <w:bCs w:val="0"/>
          <w:i w:val="0"/>
        </w:rPr>
        <w:instrText>.</w:instrText>
      </w:r>
      <w:bookmarkEnd w:id="578"/>
      <w:r w:rsidR="00AA7E88" w:rsidRPr="007960BF">
        <w:rPr>
          <w:bCs w:val="0"/>
          <w:i w:val="0"/>
        </w:rPr>
        <w:instrText xml:space="preserve">" \f A \l “4” </w:instrText>
      </w:r>
      <w:r w:rsidR="00AA7E88" w:rsidRPr="007960BF">
        <w:rPr>
          <w:bCs w:val="0"/>
          <w:i w:val="0"/>
        </w:rPr>
        <w:fldChar w:fldCharType="end"/>
      </w:r>
    </w:p>
    <w:p w:rsidR="000E5783" w:rsidRPr="003C3F3D" w:rsidRDefault="00106292" w:rsidP="003C3F3D">
      <w:pPr>
        <w:rPr>
          <w:szCs w:val="22"/>
        </w:rPr>
      </w:pPr>
      <w:r>
        <w:rPr>
          <w:szCs w:val="22"/>
        </w:rPr>
        <w:br w:type="page"/>
      </w:r>
      <w:bookmarkStart w:id="579" w:name="_Ref325913468"/>
      <w:r w:rsidR="00004255" w:rsidRPr="000E5783">
        <w:rPr>
          <w:b/>
          <w:i/>
          <w:sz w:val="20"/>
          <w:szCs w:val="20"/>
        </w:rPr>
        <w:lastRenderedPageBreak/>
        <w:t xml:space="preserve">Table </w:t>
      </w:r>
      <w:r w:rsidR="00B96C96">
        <w:rPr>
          <w:b/>
          <w:i/>
          <w:sz w:val="20"/>
          <w:szCs w:val="20"/>
        </w:rPr>
        <w:fldChar w:fldCharType="begin"/>
      </w:r>
      <w:r w:rsidR="00B96C96">
        <w:rPr>
          <w:b/>
          <w:i/>
          <w:sz w:val="20"/>
          <w:szCs w:val="20"/>
        </w:rPr>
        <w:instrText xml:space="preserve"> STYLEREF 1 \s </w:instrText>
      </w:r>
      <w:r w:rsidR="00B96C96">
        <w:rPr>
          <w:b/>
          <w:i/>
          <w:sz w:val="20"/>
          <w:szCs w:val="20"/>
        </w:rPr>
        <w:fldChar w:fldCharType="separate"/>
      </w:r>
      <w:r w:rsidR="00966532">
        <w:rPr>
          <w:b/>
          <w:i/>
          <w:noProof/>
          <w:sz w:val="20"/>
          <w:szCs w:val="20"/>
        </w:rPr>
        <w:t>8</w:t>
      </w:r>
      <w:r w:rsidR="00B96C96">
        <w:rPr>
          <w:b/>
          <w:i/>
          <w:sz w:val="20"/>
          <w:szCs w:val="20"/>
        </w:rPr>
        <w:fldChar w:fldCharType="end"/>
      </w:r>
      <w:r w:rsidR="00B96C96">
        <w:rPr>
          <w:b/>
          <w:i/>
          <w:sz w:val="20"/>
          <w:szCs w:val="20"/>
        </w:rPr>
        <w:noBreakHyphen/>
      </w:r>
      <w:r w:rsidR="00B96C96">
        <w:rPr>
          <w:b/>
          <w:i/>
          <w:sz w:val="20"/>
          <w:szCs w:val="20"/>
        </w:rPr>
        <w:fldChar w:fldCharType="begin"/>
      </w:r>
      <w:r w:rsidR="00B96C96">
        <w:rPr>
          <w:b/>
          <w:i/>
          <w:sz w:val="20"/>
          <w:szCs w:val="20"/>
        </w:rPr>
        <w:instrText xml:space="preserve"> SEQ Table \* ARABIC \s 1 </w:instrText>
      </w:r>
      <w:r w:rsidR="00B96C96">
        <w:rPr>
          <w:b/>
          <w:i/>
          <w:sz w:val="20"/>
          <w:szCs w:val="20"/>
        </w:rPr>
        <w:fldChar w:fldCharType="separate"/>
      </w:r>
      <w:r w:rsidR="00966532">
        <w:rPr>
          <w:b/>
          <w:i/>
          <w:noProof/>
          <w:sz w:val="20"/>
          <w:szCs w:val="20"/>
        </w:rPr>
        <w:t>3</w:t>
      </w:r>
      <w:r w:rsidR="00B96C96">
        <w:rPr>
          <w:b/>
          <w:i/>
          <w:sz w:val="20"/>
          <w:szCs w:val="20"/>
        </w:rPr>
        <w:fldChar w:fldCharType="end"/>
      </w:r>
      <w:bookmarkEnd w:id="579"/>
      <w:r w:rsidR="00004255" w:rsidRPr="000E5783">
        <w:rPr>
          <w:b/>
          <w:i/>
          <w:sz w:val="20"/>
          <w:szCs w:val="20"/>
        </w:rPr>
        <w:t>.</w:t>
      </w:r>
      <w:r w:rsidR="00004255" w:rsidRPr="000E5783">
        <w:rPr>
          <w:i/>
          <w:sz w:val="20"/>
          <w:szCs w:val="20"/>
        </w:rPr>
        <w:t xml:space="preserve"> </w:t>
      </w:r>
      <w:bookmarkStart w:id="580" w:name="OLE_LINK19"/>
      <w:bookmarkStart w:id="581" w:name="OLE_LINK20"/>
      <w:r w:rsidR="00004255" w:rsidRPr="000E5783">
        <w:rPr>
          <w:i/>
          <w:sz w:val="20"/>
          <w:szCs w:val="20"/>
        </w:rPr>
        <w:t xml:space="preserve">Characteristics of </w:t>
      </w:r>
      <w:r w:rsidR="00B36C73">
        <w:rPr>
          <w:i/>
          <w:sz w:val="20"/>
          <w:szCs w:val="20"/>
        </w:rPr>
        <w:t xml:space="preserve">the </w:t>
      </w:r>
      <w:r w:rsidR="00C217F0" w:rsidRPr="000E5783">
        <w:rPr>
          <w:i/>
          <w:sz w:val="20"/>
          <w:szCs w:val="20"/>
        </w:rPr>
        <w:t>Calivil Formation</w:t>
      </w:r>
      <w:r w:rsidR="003C2406" w:rsidRPr="000E5783">
        <w:rPr>
          <w:i/>
          <w:sz w:val="20"/>
          <w:szCs w:val="20"/>
        </w:rPr>
        <w:t xml:space="preserve"> </w:t>
      </w:r>
      <w:r w:rsidR="00004255" w:rsidRPr="000E5783">
        <w:rPr>
          <w:i/>
          <w:sz w:val="20"/>
          <w:szCs w:val="20"/>
        </w:rPr>
        <w:t>target aquifer</w:t>
      </w:r>
      <w:r w:rsidR="003C2406" w:rsidRPr="000E5783">
        <w:rPr>
          <w:i/>
          <w:sz w:val="20"/>
          <w:szCs w:val="20"/>
        </w:rPr>
        <w:t xml:space="preserve"> at the Jimargil site</w:t>
      </w:r>
      <w:bookmarkEnd w:id="580"/>
      <w:bookmarkEnd w:id="581"/>
      <w:r w:rsidR="003721DD" w:rsidRPr="000E5783">
        <w:rPr>
          <w:i/>
          <w:sz w:val="20"/>
          <w:szCs w:val="20"/>
        </w:rPr>
        <w:t>.</w:t>
      </w:r>
      <w:r w:rsidR="003721DD">
        <w:t xml:space="preserve"> </w:t>
      </w:r>
      <w:r w:rsidR="00004255" w:rsidRPr="0000277F">
        <w:rPr>
          <w:sz w:val="20"/>
          <w:szCs w:val="20"/>
        </w:rPr>
        <w:fldChar w:fldCharType="begin"/>
      </w:r>
      <w:r w:rsidR="00004255" w:rsidRPr="0000277F">
        <w:rPr>
          <w:sz w:val="20"/>
          <w:szCs w:val="20"/>
        </w:rPr>
        <w:instrText xml:space="preserve"> TC "</w:instrText>
      </w:r>
      <w:bookmarkStart w:id="582" w:name="_Toc325975309"/>
      <w:bookmarkStart w:id="583" w:name="_Toc390690298"/>
      <w:r w:rsidR="00004255" w:rsidRPr="0000277F">
        <w:rPr>
          <w:sz w:val="20"/>
          <w:szCs w:val="20"/>
        </w:rPr>
        <w:instrText xml:space="preserve">Table </w:instrText>
      </w:r>
      <w:r w:rsidR="000D653B" w:rsidRPr="0000277F">
        <w:rPr>
          <w:sz w:val="20"/>
          <w:szCs w:val="20"/>
        </w:rPr>
        <w:instrText>8-3</w:instrText>
      </w:r>
      <w:r w:rsidR="00DE0DFA" w:rsidRPr="0000277F">
        <w:rPr>
          <w:sz w:val="20"/>
          <w:szCs w:val="20"/>
        </w:rPr>
        <w:instrText>.</w:instrText>
      </w:r>
      <w:r w:rsidR="00004255" w:rsidRPr="0000277F">
        <w:rPr>
          <w:sz w:val="20"/>
          <w:szCs w:val="20"/>
        </w:rPr>
        <w:instrText xml:space="preserve"> </w:instrText>
      </w:r>
      <w:r w:rsidR="003C2406" w:rsidRPr="0000277F">
        <w:rPr>
          <w:sz w:val="20"/>
          <w:szCs w:val="20"/>
        </w:rPr>
        <w:instrText xml:space="preserve">Characteristics of </w:instrText>
      </w:r>
      <w:r w:rsidR="00C217F0" w:rsidRPr="0000277F">
        <w:rPr>
          <w:sz w:val="20"/>
          <w:szCs w:val="20"/>
        </w:rPr>
        <w:instrText>Calivil Formation</w:instrText>
      </w:r>
      <w:r w:rsidR="003C2406" w:rsidRPr="0000277F">
        <w:rPr>
          <w:sz w:val="20"/>
          <w:szCs w:val="20"/>
        </w:rPr>
        <w:instrText xml:space="preserve"> target aquifer at the Jimargil site</w:instrText>
      </w:r>
      <w:r w:rsidR="00004255" w:rsidRPr="0000277F">
        <w:rPr>
          <w:sz w:val="20"/>
          <w:szCs w:val="20"/>
        </w:rPr>
        <w:instrText>.</w:instrText>
      </w:r>
      <w:bookmarkEnd w:id="582"/>
      <w:bookmarkEnd w:id="583"/>
      <w:r w:rsidR="00004255" w:rsidRPr="0000277F">
        <w:rPr>
          <w:sz w:val="20"/>
          <w:szCs w:val="20"/>
        </w:rPr>
        <w:instrText xml:space="preserve">" \f B \l "4" </w:instrText>
      </w:r>
      <w:r w:rsidR="00004255" w:rsidRPr="0000277F">
        <w:rPr>
          <w:sz w:val="20"/>
          <w:szCs w:val="20"/>
        </w:rPr>
        <w:fldChar w:fldCharType="end"/>
      </w:r>
      <w:bookmarkStart w:id="584" w:name="_Toc325700127"/>
      <w:bookmarkStart w:id="585" w:name="_Toc325700470"/>
      <w:bookmarkStart w:id="586" w:name="_Toc325975153"/>
    </w:p>
    <w:tbl>
      <w:tblPr>
        <w:tblW w:w="9311"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3780"/>
        <w:gridCol w:w="3911"/>
      </w:tblGrid>
      <w:tr w:rsidR="00F12C87" w:rsidRPr="00290E8E" w:rsidTr="003B3C54">
        <w:trPr>
          <w:jc w:val="center"/>
        </w:trPr>
        <w:tc>
          <w:tcPr>
            <w:tcW w:w="1620" w:type="dxa"/>
            <w:tcBorders>
              <w:top w:val="nil"/>
              <w:left w:val="nil"/>
              <w:bottom w:val="single" w:sz="4" w:space="0" w:color="auto"/>
            </w:tcBorders>
            <w:shd w:val="clear" w:color="auto" w:fill="auto"/>
            <w:vAlign w:val="center"/>
          </w:tcPr>
          <w:p w:rsidR="00F12C87" w:rsidRPr="00290E8E" w:rsidRDefault="00F12C87" w:rsidP="00290E8E">
            <w:pPr>
              <w:jc w:val="center"/>
              <w:rPr>
                <w:sz w:val="18"/>
                <w:szCs w:val="18"/>
              </w:rPr>
            </w:pPr>
          </w:p>
        </w:tc>
        <w:tc>
          <w:tcPr>
            <w:tcW w:w="3780" w:type="dxa"/>
            <w:shd w:val="clear" w:color="auto" w:fill="A6A6A6"/>
          </w:tcPr>
          <w:p w:rsidR="00F12C87" w:rsidRPr="00290E8E" w:rsidRDefault="00F12C87" w:rsidP="00F47372">
            <w:pPr>
              <w:jc w:val="center"/>
              <w:rPr>
                <w:b/>
                <w:sz w:val="18"/>
                <w:szCs w:val="18"/>
              </w:rPr>
            </w:pPr>
            <w:r w:rsidRPr="00290E8E">
              <w:rPr>
                <w:b/>
                <w:sz w:val="18"/>
                <w:szCs w:val="18"/>
              </w:rPr>
              <w:t>Description</w:t>
            </w:r>
          </w:p>
          <w:p w:rsidR="00F12C87" w:rsidRPr="00290E8E" w:rsidRDefault="00F12C87" w:rsidP="00F47372">
            <w:pPr>
              <w:jc w:val="center"/>
              <w:rPr>
                <w:b/>
                <w:sz w:val="18"/>
                <w:szCs w:val="18"/>
              </w:rPr>
            </w:pPr>
          </w:p>
        </w:tc>
        <w:tc>
          <w:tcPr>
            <w:tcW w:w="3911" w:type="dxa"/>
            <w:shd w:val="clear" w:color="auto" w:fill="A6A6A6"/>
          </w:tcPr>
          <w:p w:rsidR="00F12C87" w:rsidRPr="00290E8E" w:rsidRDefault="00F12C87" w:rsidP="00F47372">
            <w:pPr>
              <w:jc w:val="center"/>
              <w:rPr>
                <w:b/>
                <w:sz w:val="18"/>
                <w:szCs w:val="18"/>
              </w:rPr>
            </w:pPr>
            <w:r w:rsidRPr="00290E8E">
              <w:rPr>
                <w:b/>
                <w:sz w:val="18"/>
                <w:szCs w:val="18"/>
              </w:rPr>
              <w:t>Comments</w:t>
            </w:r>
          </w:p>
          <w:p w:rsidR="00F12C87" w:rsidRPr="00290E8E" w:rsidRDefault="00F12C87" w:rsidP="00F47372">
            <w:pPr>
              <w:jc w:val="center"/>
              <w:rPr>
                <w:b/>
                <w:sz w:val="18"/>
                <w:szCs w:val="18"/>
              </w:rPr>
            </w:pPr>
          </w:p>
        </w:tc>
      </w:tr>
      <w:tr w:rsidR="00F12C87" w:rsidRPr="00290E8E" w:rsidTr="003B3C54">
        <w:trPr>
          <w:jc w:val="center"/>
        </w:trPr>
        <w:tc>
          <w:tcPr>
            <w:tcW w:w="1620" w:type="dxa"/>
            <w:shd w:val="clear" w:color="auto" w:fill="A6A6A6"/>
            <w:vAlign w:val="center"/>
          </w:tcPr>
          <w:p w:rsidR="00F12C87" w:rsidRPr="00290E8E" w:rsidRDefault="00F12C87" w:rsidP="00290E8E">
            <w:pPr>
              <w:jc w:val="center"/>
              <w:rPr>
                <w:b/>
                <w:sz w:val="18"/>
                <w:szCs w:val="18"/>
              </w:rPr>
            </w:pPr>
            <w:r w:rsidRPr="00290E8E">
              <w:rPr>
                <w:b/>
                <w:sz w:val="18"/>
                <w:szCs w:val="18"/>
              </w:rPr>
              <w:t>Host formation</w:t>
            </w:r>
          </w:p>
          <w:p w:rsidR="00F12C87" w:rsidRPr="00290E8E" w:rsidRDefault="00F12C87" w:rsidP="00290E8E">
            <w:pPr>
              <w:jc w:val="center"/>
              <w:rPr>
                <w:sz w:val="18"/>
                <w:szCs w:val="18"/>
              </w:rPr>
            </w:pPr>
          </w:p>
        </w:tc>
        <w:tc>
          <w:tcPr>
            <w:tcW w:w="3780" w:type="dxa"/>
            <w:shd w:val="clear" w:color="auto" w:fill="auto"/>
            <w:vAlign w:val="center"/>
          </w:tcPr>
          <w:p w:rsidR="00F12C87" w:rsidRPr="00290E8E" w:rsidRDefault="00C217F0" w:rsidP="003712E7">
            <w:pPr>
              <w:rPr>
                <w:sz w:val="18"/>
                <w:szCs w:val="18"/>
              </w:rPr>
            </w:pPr>
            <w:r w:rsidRPr="00290E8E">
              <w:rPr>
                <w:sz w:val="18"/>
                <w:szCs w:val="18"/>
              </w:rPr>
              <w:t>Calivil Formation</w:t>
            </w:r>
          </w:p>
        </w:tc>
        <w:tc>
          <w:tcPr>
            <w:tcW w:w="3911" w:type="dxa"/>
            <w:shd w:val="clear" w:color="auto" w:fill="auto"/>
            <w:vAlign w:val="center"/>
          </w:tcPr>
          <w:p w:rsidR="00F12C87" w:rsidRPr="00290E8E" w:rsidRDefault="00F12C87" w:rsidP="003712E7">
            <w:pPr>
              <w:rPr>
                <w:sz w:val="18"/>
                <w:szCs w:val="18"/>
              </w:rPr>
            </w:pPr>
          </w:p>
        </w:tc>
      </w:tr>
      <w:tr w:rsidR="00F12C87" w:rsidRPr="00290E8E" w:rsidTr="003B3C54">
        <w:trPr>
          <w:jc w:val="center"/>
        </w:trPr>
        <w:tc>
          <w:tcPr>
            <w:tcW w:w="1620" w:type="dxa"/>
            <w:shd w:val="clear" w:color="auto" w:fill="A6A6A6"/>
            <w:vAlign w:val="center"/>
          </w:tcPr>
          <w:p w:rsidR="00F12C87" w:rsidRPr="00290E8E" w:rsidRDefault="00F12C87" w:rsidP="00290E8E">
            <w:pPr>
              <w:jc w:val="center"/>
              <w:rPr>
                <w:b/>
                <w:sz w:val="18"/>
                <w:szCs w:val="18"/>
              </w:rPr>
            </w:pPr>
            <w:r w:rsidRPr="00290E8E">
              <w:rPr>
                <w:b/>
                <w:sz w:val="18"/>
                <w:szCs w:val="18"/>
              </w:rPr>
              <w:t>Aquifer type</w:t>
            </w:r>
          </w:p>
          <w:p w:rsidR="00F12C87" w:rsidRPr="00290E8E" w:rsidRDefault="00F12C87" w:rsidP="00290E8E">
            <w:pPr>
              <w:jc w:val="center"/>
              <w:rPr>
                <w:sz w:val="18"/>
                <w:szCs w:val="18"/>
              </w:rPr>
            </w:pPr>
          </w:p>
        </w:tc>
        <w:tc>
          <w:tcPr>
            <w:tcW w:w="3780" w:type="dxa"/>
            <w:shd w:val="clear" w:color="auto" w:fill="auto"/>
            <w:vAlign w:val="center"/>
          </w:tcPr>
          <w:p w:rsidR="00F12C87" w:rsidRPr="00290E8E" w:rsidRDefault="00F12C87" w:rsidP="003712E7">
            <w:pPr>
              <w:rPr>
                <w:sz w:val="18"/>
                <w:szCs w:val="18"/>
              </w:rPr>
            </w:pPr>
            <w:r w:rsidRPr="00290E8E">
              <w:rPr>
                <w:sz w:val="18"/>
                <w:szCs w:val="18"/>
              </w:rPr>
              <w:t>Confined to semi-confined</w:t>
            </w:r>
          </w:p>
        </w:tc>
        <w:tc>
          <w:tcPr>
            <w:tcW w:w="3911" w:type="dxa"/>
            <w:shd w:val="clear" w:color="auto" w:fill="auto"/>
            <w:vAlign w:val="center"/>
          </w:tcPr>
          <w:p w:rsidR="00F12C87" w:rsidRPr="00290E8E" w:rsidRDefault="00F12C87" w:rsidP="003712E7">
            <w:pPr>
              <w:rPr>
                <w:sz w:val="18"/>
                <w:szCs w:val="18"/>
              </w:rPr>
            </w:pPr>
            <w:r w:rsidRPr="00290E8E">
              <w:rPr>
                <w:sz w:val="18"/>
                <w:szCs w:val="18"/>
              </w:rPr>
              <w:t>Potential for leaky confined conditions with absence of Blanchetown Clay</w:t>
            </w:r>
            <w:r w:rsidR="0021723E" w:rsidRPr="00290E8E">
              <w:rPr>
                <w:sz w:val="18"/>
                <w:szCs w:val="18"/>
              </w:rPr>
              <w:t xml:space="preserve"> or presence of structural features</w:t>
            </w:r>
            <w:r w:rsidRPr="00290E8E">
              <w:rPr>
                <w:sz w:val="18"/>
                <w:szCs w:val="18"/>
              </w:rPr>
              <w:t xml:space="preserve"> in areas near </w:t>
            </w:r>
            <w:smartTag w:uri="urn:schemas-microsoft-com:office:smarttags" w:element="place">
              <w:r w:rsidRPr="00290E8E">
                <w:rPr>
                  <w:sz w:val="18"/>
                  <w:szCs w:val="18"/>
                </w:rPr>
                <w:t>Darling River</w:t>
              </w:r>
            </w:smartTag>
            <w:r w:rsidRPr="00290E8E">
              <w:rPr>
                <w:sz w:val="18"/>
                <w:szCs w:val="18"/>
              </w:rPr>
              <w:t>.</w:t>
            </w:r>
          </w:p>
        </w:tc>
      </w:tr>
      <w:tr w:rsidR="00F12C87" w:rsidRPr="00290E8E" w:rsidTr="003B3C54">
        <w:trPr>
          <w:jc w:val="center"/>
        </w:trPr>
        <w:tc>
          <w:tcPr>
            <w:tcW w:w="1620" w:type="dxa"/>
            <w:shd w:val="clear" w:color="auto" w:fill="A6A6A6"/>
            <w:vAlign w:val="center"/>
          </w:tcPr>
          <w:p w:rsidR="00F12C87" w:rsidRPr="00290E8E" w:rsidRDefault="00F12C87" w:rsidP="00290E8E">
            <w:pPr>
              <w:jc w:val="center"/>
              <w:rPr>
                <w:b/>
                <w:sz w:val="18"/>
                <w:szCs w:val="18"/>
              </w:rPr>
            </w:pPr>
            <w:r w:rsidRPr="00290E8E">
              <w:rPr>
                <w:b/>
                <w:sz w:val="18"/>
                <w:szCs w:val="18"/>
              </w:rPr>
              <w:t xml:space="preserve">Depth to top of aquifer </w:t>
            </w:r>
            <w:r w:rsidR="0021723E" w:rsidRPr="00290E8E">
              <w:rPr>
                <w:b/>
                <w:sz w:val="18"/>
                <w:szCs w:val="18"/>
              </w:rPr>
              <w:t xml:space="preserve">from ground surface </w:t>
            </w:r>
            <w:r w:rsidRPr="00290E8E">
              <w:rPr>
                <w:b/>
                <w:sz w:val="18"/>
                <w:szCs w:val="18"/>
              </w:rPr>
              <w:t>(m)</w:t>
            </w:r>
          </w:p>
          <w:p w:rsidR="00F12C87" w:rsidRPr="00290E8E" w:rsidRDefault="00F12C87" w:rsidP="00290E8E">
            <w:pPr>
              <w:jc w:val="center"/>
              <w:rPr>
                <w:b/>
                <w:sz w:val="18"/>
                <w:szCs w:val="18"/>
              </w:rPr>
            </w:pPr>
          </w:p>
        </w:tc>
        <w:tc>
          <w:tcPr>
            <w:tcW w:w="3780" w:type="dxa"/>
            <w:shd w:val="clear" w:color="auto" w:fill="auto"/>
            <w:vAlign w:val="center"/>
          </w:tcPr>
          <w:p w:rsidR="00F12C87" w:rsidRPr="00290E8E" w:rsidRDefault="00F12C87" w:rsidP="003712E7">
            <w:pPr>
              <w:rPr>
                <w:sz w:val="18"/>
                <w:szCs w:val="18"/>
              </w:rPr>
            </w:pPr>
            <w:r w:rsidRPr="00290E8E">
              <w:rPr>
                <w:sz w:val="18"/>
                <w:szCs w:val="18"/>
              </w:rPr>
              <w:t>Range: 15-43 m</w:t>
            </w:r>
          </w:p>
          <w:p w:rsidR="00F12C87" w:rsidRPr="00290E8E" w:rsidRDefault="00F12C87" w:rsidP="003712E7">
            <w:pPr>
              <w:rPr>
                <w:sz w:val="18"/>
                <w:szCs w:val="18"/>
              </w:rPr>
            </w:pPr>
            <w:r w:rsidRPr="00290E8E">
              <w:rPr>
                <w:sz w:val="18"/>
                <w:szCs w:val="18"/>
              </w:rPr>
              <w:t>Mean: 30 m</w:t>
            </w:r>
          </w:p>
        </w:tc>
        <w:tc>
          <w:tcPr>
            <w:tcW w:w="3911" w:type="dxa"/>
            <w:shd w:val="clear" w:color="auto" w:fill="auto"/>
            <w:vAlign w:val="center"/>
          </w:tcPr>
          <w:p w:rsidR="00F12C87" w:rsidRPr="00290E8E" w:rsidRDefault="00F12C87" w:rsidP="003712E7">
            <w:pPr>
              <w:rPr>
                <w:sz w:val="18"/>
                <w:szCs w:val="18"/>
              </w:rPr>
            </w:pPr>
            <w:r w:rsidRPr="00290E8E">
              <w:rPr>
                <w:sz w:val="18"/>
                <w:szCs w:val="18"/>
              </w:rPr>
              <w:t xml:space="preserve">Based on depth to base of Blanchetown Clay surface interpreted from AEM sections </w:t>
            </w:r>
            <w:r w:rsidR="0021723E" w:rsidRPr="00290E8E">
              <w:rPr>
                <w:sz w:val="18"/>
                <w:szCs w:val="18"/>
              </w:rPr>
              <w:t>and borehole data</w:t>
            </w:r>
            <w:r w:rsidRPr="00290E8E">
              <w:rPr>
                <w:sz w:val="18"/>
                <w:szCs w:val="18"/>
              </w:rPr>
              <w:t>.</w:t>
            </w:r>
          </w:p>
        </w:tc>
      </w:tr>
      <w:tr w:rsidR="00F12C87" w:rsidRPr="00290E8E" w:rsidTr="003B3C54">
        <w:trPr>
          <w:jc w:val="center"/>
        </w:trPr>
        <w:tc>
          <w:tcPr>
            <w:tcW w:w="1620" w:type="dxa"/>
            <w:shd w:val="clear" w:color="auto" w:fill="A6A6A6"/>
            <w:vAlign w:val="center"/>
          </w:tcPr>
          <w:p w:rsidR="00F12C87" w:rsidRPr="00290E8E" w:rsidRDefault="00F12C87" w:rsidP="00290E8E">
            <w:pPr>
              <w:jc w:val="center"/>
              <w:rPr>
                <w:b/>
                <w:sz w:val="18"/>
                <w:szCs w:val="18"/>
              </w:rPr>
            </w:pPr>
            <w:r w:rsidRPr="00290E8E">
              <w:rPr>
                <w:b/>
                <w:sz w:val="18"/>
                <w:szCs w:val="18"/>
              </w:rPr>
              <w:t>Aquifer thickness (m)</w:t>
            </w:r>
          </w:p>
          <w:p w:rsidR="00F12C87" w:rsidRPr="00290E8E" w:rsidRDefault="00F12C87" w:rsidP="00290E8E">
            <w:pPr>
              <w:jc w:val="center"/>
              <w:rPr>
                <w:b/>
                <w:sz w:val="18"/>
                <w:szCs w:val="18"/>
              </w:rPr>
            </w:pPr>
          </w:p>
        </w:tc>
        <w:tc>
          <w:tcPr>
            <w:tcW w:w="3780" w:type="dxa"/>
            <w:shd w:val="clear" w:color="auto" w:fill="auto"/>
            <w:vAlign w:val="center"/>
          </w:tcPr>
          <w:p w:rsidR="00F12C87" w:rsidRPr="00290E8E" w:rsidRDefault="0021723E" w:rsidP="003712E7">
            <w:pPr>
              <w:rPr>
                <w:sz w:val="18"/>
                <w:szCs w:val="18"/>
              </w:rPr>
            </w:pPr>
            <w:r w:rsidRPr="00290E8E">
              <w:rPr>
                <w:sz w:val="18"/>
                <w:szCs w:val="18"/>
              </w:rPr>
              <w:t xml:space="preserve">Range: </w:t>
            </w:r>
            <w:r w:rsidR="00F12C87" w:rsidRPr="00290E8E">
              <w:rPr>
                <w:sz w:val="18"/>
                <w:szCs w:val="18"/>
              </w:rPr>
              <w:t>4-44 m</w:t>
            </w:r>
          </w:p>
        </w:tc>
        <w:tc>
          <w:tcPr>
            <w:tcW w:w="3911" w:type="dxa"/>
            <w:shd w:val="clear" w:color="auto" w:fill="auto"/>
            <w:vAlign w:val="center"/>
          </w:tcPr>
          <w:p w:rsidR="00F12C87" w:rsidRPr="00290E8E" w:rsidRDefault="00F12C87" w:rsidP="003712E7">
            <w:pPr>
              <w:rPr>
                <w:sz w:val="18"/>
                <w:szCs w:val="18"/>
              </w:rPr>
            </w:pPr>
            <w:r w:rsidRPr="00290E8E">
              <w:rPr>
                <w:sz w:val="18"/>
                <w:szCs w:val="18"/>
              </w:rPr>
              <w:t xml:space="preserve">Based on sonic core logging </w:t>
            </w:r>
            <w:r w:rsidR="0021723E" w:rsidRPr="00290E8E">
              <w:rPr>
                <w:sz w:val="18"/>
                <w:szCs w:val="18"/>
              </w:rPr>
              <w:t>of Calivil Formation intervals in bores</w:t>
            </w:r>
            <w:r w:rsidRPr="00290E8E">
              <w:rPr>
                <w:sz w:val="18"/>
                <w:szCs w:val="18"/>
              </w:rPr>
              <w:t>.</w:t>
            </w:r>
          </w:p>
        </w:tc>
      </w:tr>
      <w:tr w:rsidR="00F12C87" w:rsidRPr="00290E8E" w:rsidTr="003B3C54">
        <w:trPr>
          <w:jc w:val="center"/>
        </w:trPr>
        <w:tc>
          <w:tcPr>
            <w:tcW w:w="1620" w:type="dxa"/>
            <w:shd w:val="clear" w:color="auto" w:fill="A6A6A6"/>
            <w:vAlign w:val="center"/>
          </w:tcPr>
          <w:p w:rsidR="00F12C87" w:rsidRPr="00290E8E" w:rsidRDefault="00F12C87" w:rsidP="00290E8E">
            <w:pPr>
              <w:jc w:val="center"/>
              <w:rPr>
                <w:b/>
                <w:sz w:val="18"/>
                <w:szCs w:val="18"/>
              </w:rPr>
            </w:pPr>
            <w:r w:rsidRPr="00290E8E">
              <w:rPr>
                <w:b/>
                <w:sz w:val="18"/>
                <w:szCs w:val="18"/>
              </w:rPr>
              <w:t>Lithologies</w:t>
            </w:r>
          </w:p>
          <w:p w:rsidR="00F12C87" w:rsidRPr="00290E8E" w:rsidRDefault="00F12C87" w:rsidP="00290E8E">
            <w:pPr>
              <w:jc w:val="center"/>
              <w:rPr>
                <w:b/>
                <w:sz w:val="18"/>
                <w:szCs w:val="18"/>
              </w:rPr>
            </w:pPr>
          </w:p>
        </w:tc>
        <w:tc>
          <w:tcPr>
            <w:tcW w:w="3780" w:type="dxa"/>
            <w:shd w:val="clear" w:color="auto" w:fill="auto"/>
            <w:vAlign w:val="center"/>
          </w:tcPr>
          <w:p w:rsidR="00F12C87" w:rsidRPr="00290E8E" w:rsidRDefault="00F12C87" w:rsidP="003712E7">
            <w:pPr>
              <w:rPr>
                <w:sz w:val="18"/>
                <w:szCs w:val="18"/>
              </w:rPr>
            </w:pPr>
            <w:r w:rsidRPr="00290E8E">
              <w:rPr>
                <w:sz w:val="18"/>
                <w:szCs w:val="18"/>
              </w:rPr>
              <w:t>Coarse to very coarse sand (33%)</w:t>
            </w:r>
          </w:p>
          <w:p w:rsidR="00F12C87" w:rsidRPr="00290E8E" w:rsidRDefault="00F12C87" w:rsidP="003712E7">
            <w:pPr>
              <w:rPr>
                <w:sz w:val="18"/>
                <w:szCs w:val="18"/>
              </w:rPr>
            </w:pPr>
            <w:r w:rsidRPr="00290E8E">
              <w:rPr>
                <w:sz w:val="18"/>
                <w:szCs w:val="18"/>
              </w:rPr>
              <w:t>Medium sand (41%)</w:t>
            </w:r>
          </w:p>
          <w:p w:rsidR="00F12C87" w:rsidRPr="00290E8E" w:rsidRDefault="00F12C87" w:rsidP="003712E7">
            <w:pPr>
              <w:rPr>
                <w:sz w:val="18"/>
                <w:szCs w:val="18"/>
              </w:rPr>
            </w:pPr>
            <w:r w:rsidRPr="00290E8E">
              <w:rPr>
                <w:sz w:val="18"/>
                <w:szCs w:val="18"/>
              </w:rPr>
              <w:t>Fine sand (9%)</w:t>
            </w:r>
          </w:p>
          <w:p w:rsidR="00F12C87" w:rsidRPr="00290E8E" w:rsidRDefault="00F12C87" w:rsidP="003712E7">
            <w:pPr>
              <w:rPr>
                <w:sz w:val="18"/>
                <w:szCs w:val="18"/>
              </w:rPr>
            </w:pPr>
            <w:r w:rsidRPr="00290E8E">
              <w:rPr>
                <w:sz w:val="18"/>
                <w:szCs w:val="18"/>
              </w:rPr>
              <w:t>Muddy sand (15%)</w:t>
            </w:r>
          </w:p>
          <w:p w:rsidR="00F12C87" w:rsidRPr="00290E8E" w:rsidRDefault="00F12C87" w:rsidP="003712E7">
            <w:pPr>
              <w:rPr>
                <w:sz w:val="18"/>
                <w:szCs w:val="18"/>
              </w:rPr>
            </w:pPr>
            <w:r w:rsidRPr="00290E8E">
              <w:rPr>
                <w:sz w:val="18"/>
                <w:szCs w:val="18"/>
              </w:rPr>
              <w:t>Mud (1%)</w:t>
            </w:r>
          </w:p>
        </w:tc>
        <w:tc>
          <w:tcPr>
            <w:tcW w:w="3911" w:type="dxa"/>
            <w:shd w:val="clear" w:color="auto" w:fill="auto"/>
            <w:vAlign w:val="center"/>
          </w:tcPr>
          <w:p w:rsidR="00F12C87" w:rsidRPr="00290E8E" w:rsidRDefault="00F12C87" w:rsidP="003712E7">
            <w:pPr>
              <w:rPr>
                <w:sz w:val="18"/>
                <w:szCs w:val="18"/>
              </w:rPr>
            </w:pPr>
            <w:r w:rsidRPr="00290E8E">
              <w:rPr>
                <w:sz w:val="18"/>
                <w:szCs w:val="18"/>
              </w:rPr>
              <w:t xml:space="preserve">Based on sonic core logging </w:t>
            </w:r>
            <w:r w:rsidR="0021723E" w:rsidRPr="00290E8E">
              <w:rPr>
                <w:sz w:val="18"/>
                <w:szCs w:val="18"/>
              </w:rPr>
              <w:t>of</w:t>
            </w:r>
            <w:r w:rsidRPr="00290E8E">
              <w:rPr>
                <w:sz w:val="18"/>
                <w:szCs w:val="18"/>
              </w:rPr>
              <w:t xml:space="preserve"> </w:t>
            </w:r>
            <w:r w:rsidR="00C217F0" w:rsidRPr="00290E8E">
              <w:rPr>
                <w:sz w:val="18"/>
                <w:szCs w:val="18"/>
              </w:rPr>
              <w:t>Calivil Formation</w:t>
            </w:r>
            <w:r w:rsidRPr="00290E8E">
              <w:rPr>
                <w:sz w:val="18"/>
                <w:szCs w:val="18"/>
              </w:rPr>
              <w:t xml:space="preserve"> </w:t>
            </w:r>
            <w:r w:rsidR="0021723E" w:rsidRPr="00290E8E">
              <w:rPr>
                <w:sz w:val="18"/>
                <w:szCs w:val="18"/>
              </w:rPr>
              <w:t>intervals</w:t>
            </w:r>
            <w:r w:rsidRPr="00290E8E">
              <w:rPr>
                <w:sz w:val="18"/>
                <w:szCs w:val="18"/>
              </w:rPr>
              <w:t xml:space="preserve"> in BHMAR33-1, 33-5, 33-6, 33-8, 61-1, 72-2, 80A-2, 80B-2, 83-2, 84-2, 92-1 and 99-1.</w:t>
            </w:r>
          </w:p>
        </w:tc>
      </w:tr>
      <w:tr w:rsidR="000C090A" w:rsidRPr="00290E8E" w:rsidTr="003B3C54">
        <w:trPr>
          <w:jc w:val="center"/>
        </w:trPr>
        <w:tc>
          <w:tcPr>
            <w:tcW w:w="1620" w:type="dxa"/>
            <w:shd w:val="clear" w:color="auto" w:fill="A6A6A6"/>
            <w:vAlign w:val="center"/>
          </w:tcPr>
          <w:p w:rsidR="000C090A" w:rsidRPr="00290E8E" w:rsidRDefault="000C090A" w:rsidP="00290E8E">
            <w:pPr>
              <w:jc w:val="center"/>
              <w:rPr>
                <w:b/>
                <w:sz w:val="18"/>
                <w:szCs w:val="18"/>
              </w:rPr>
            </w:pPr>
            <w:r w:rsidRPr="00290E8E">
              <w:rPr>
                <w:b/>
                <w:sz w:val="18"/>
                <w:szCs w:val="18"/>
              </w:rPr>
              <w:t>Porosity and storage coefficients</w:t>
            </w:r>
          </w:p>
        </w:tc>
        <w:tc>
          <w:tcPr>
            <w:tcW w:w="3780" w:type="dxa"/>
            <w:shd w:val="clear" w:color="auto" w:fill="auto"/>
          </w:tcPr>
          <w:p w:rsidR="000C090A" w:rsidRPr="00290E8E" w:rsidRDefault="000C090A" w:rsidP="009B0A0D">
            <w:pPr>
              <w:pStyle w:val="TableTextLeft"/>
              <w:rPr>
                <w:sz w:val="18"/>
                <w:szCs w:val="18"/>
              </w:rPr>
            </w:pPr>
            <w:r w:rsidRPr="00290E8E">
              <w:rPr>
                <w:sz w:val="18"/>
                <w:szCs w:val="18"/>
              </w:rPr>
              <w:t xml:space="preserve">NMR </w:t>
            </w:r>
            <w:r w:rsidR="00937821" w:rsidRPr="00290E8E">
              <w:rPr>
                <w:sz w:val="18"/>
                <w:szCs w:val="18"/>
              </w:rPr>
              <w:t>mobile</w:t>
            </w:r>
            <w:r w:rsidRPr="00290E8E">
              <w:rPr>
                <w:sz w:val="18"/>
                <w:szCs w:val="18"/>
              </w:rPr>
              <w:t xml:space="preserve"> </w:t>
            </w:r>
            <w:r w:rsidR="00937821" w:rsidRPr="00290E8E">
              <w:rPr>
                <w:sz w:val="18"/>
                <w:szCs w:val="18"/>
              </w:rPr>
              <w:t>w</w:t>
            </w:r>
            <w:r w:rsidRPr="00290E8E">
              <w:rPr>
                <w:sz w:val="18"/>
                <w:szCs w:val="18"/>
              </w:rPr>
              <w:t>ater</w:t>
            </w:r>
          </w:p>
          <w:p w:rsidR="000C090A" w:rsidRPr="00290E8E" w:rsidRDefault="000C090A" w:rsidP="009B0A0D">
            <w:pPr>
              <w:pStyle w:val="TableTextLeft"/>
              <w:rPr>
                <w:sz w:val="18"/>
                <w:szCs w:val="18"/>
              </w:rPr>
            </w:pPr>
            <w:r w:rsidRPr="00290E8E">
              <w:rPr>
                <w:sz w:val="18"/>
                <w:szCs w:val="18"/>
              </w:rPr>
              <w:t>P</w:t>
            </w:r>
            <w:r w:rsidRPr="00290E8E">
              <w:rPr>
                <w:sz w:val="18"/>
                <w:szCs w:val="18"/>
                <w:vertAlign w:val="subscript"/>
              </w:rPr>
              <w:t>25</w:t>
            </w:r>
            <w:r w:rsidRPr="00290E8E">
              <w:rPr>
                <w:sz w:val="18"/>
                <w:szCs w:val="18"/>
              </w:rPr>
              <w:t>: 0.08 Mean: 0.14 P</w:t>
            </w:r>
            <w:r w:rsidRPr="00290E8E">
              <w:rPr>
                <w:sz w:val="18"/>
                <w:szCs w:val="18"/>
                <w:vertAlign w:val="subscript"/>
              </w:rPr>
              <w:t>75</w:t>
            </w:r>
            <w:r w:rsidRPr="00290E8E">
              <w:rPr>
                <w:sz w:val="18"/>
                <w:szCs w:val="18"/>
              </w:rPr>
              <w:t>: 0.21</w:t>
            </w:r>
          </w:p>
          <w:p w:rsidR="000C090A" w:rsidRPr="00290E8E" w:rsidRDefault="000C090A" w:rsidP="009B0A0D">
            <w:pPr>
              <w:pStyle w:val="TableTextLeft"/>
              <w:rPr>
                <w:sz w:val="18"/>
                <w:szCs w:val="18"/>
              </w:rPr>
            </w:pPr>
          </w:p>
          <w:p w:rsidR="000C090A" w:rsidRPr="00290E8E" w:rsidRDefault="000C090A" w:rsidP="009B0A0D">
            <w:pPr>
              <w:pStyle w:val="TableTextLeft"/>
              <w:rPr>
                <w:sz w:val="18"/>
                <w:szCs w:val="18"/>
              </w:rPr>
            </w:pPr>
          </w:p>
          <w:p w:rsidR="000C090A" w:rsidRPr="00290E8E" w:rsidRDefault="000C090A" w:rsidP="009B0A0D">
            <w:pPr>
              <w:pStyle w:val="TableTextLeft"/>
              <w:rPr>
                <w:sz w:val="18"/>
                <w:szCs w:val="18"/>
              </w:rPr>
            </w:pPr>
          </w:p>
          <w:p w:rsidR="000C090A" w:rsidRPr="00290E8E" w:rsidRDefault="000C090A" w:rsidP="009B0A0D">
            <w:pPr>
              <w:pStyle w:val="TableTextLeft"/>
              <w:rPr>
                <w:sz w:val="18"/>
                <w:szCs w:val="18"/>
              </w:rPr>
            </w:pPr>
            <w:r w:rsidRPr="00290E8E">
              <w:rPr>
                <w:sz w:val="18"/>
                <w:szCs w:val="18"/>
              </w:rPr>
              <w:t>Aquifer pump tests</w:t>
            </w:r>
          </w:p>
          <w:p w:rsidR="000C090A" w:rsidRPr="00290E8E" w:rsidRDefault="000C090A" w:rsidP="003712E7">
            <w:pPr>
              <w:rPr>
                <w:sz w:val="18"/>
                <w:szCs w:val="18"/>
              </w:rPr>
            </w:pPr>
            <w:r w:rsidRPr="00290E8E">
              <w:rPr>
                <w:sz w:val="18"/>
                <w:szCs w:val="18"/>
              </w:rPr>
              <w:t>Storativity:</w:t>
            </w:r>
            <w:r w:rsidR="00465915" w:rsidRPr="00290E8E">
              <w:rPr>
                <w:sz w:val="18"/>
                <w:szCs w:val="18"/>
              </w:rPr>
              <w:t xml:space="preserve"> </w:t>
            </w:r>
            <w:r w:rsidRPr="00290E8E">
              <w:rPr>
                <w:sz w:val="18"/>
                <w:szCs w:val="18"/>
              </w:rPr>
              <w:t>0.002 and 0.001</w:t>
            </w:r>
          </w:p>
        </w:tc>
        <w:tc>
          <w:tcPr>
            <w:tcW w:w="3911" w:type="dxa"/>
            <w:shd w:val="clear" w:color="auto" w:fill="auto"/>
          </w:tcPr>
          <w:p w:rsidR="000C090A" w:rsidRPr="00290E8E" w:rsidRDefault="000C090A" w:rsidP="009B0A0D">
            <w:pPr>
              <w:pStyle w:val="Tabletext1"/>
              <w:rPr>
                <w:sz w:val="18"/>
                <w:szCs w:val="18"/>
              </w:rPr>
            </w:pPr>
            <w:r w:rsidRPr="00290E8E">
              <w:rPr>
                <w:sz w:val="18"/>
                <w:szCs w:val="18"/>
              </w:rPr>
              <w:t>25</w:t>
            </w:r>
            <w:r w:rsidRPr="00290E8E">
              <w:rPr>
                <w:sz w:val="18"/>
                <w:szCs w:val="18"/>
                <w:vertAlign w:val="superscript"/>
              </w:rPr>
              <w:t>th</w:t>
            </w:r>
            <w:r w:rsidRPr="00290E8E">
              <w:rPr>
                <w:sz w:val="18"/>
                <w:szCs w:val="18"/>
              </w:rPr>
              <w:t xml:space="preserve"> percentile, mean and 75</w:t>
            </w:r>
            <w:r w:rsidRPr="00290E8E">
              <w:rPr>
                <w:sz w:val="18"/>
                <w:szCs w:val="18"/>
                <w:vertAlign w:val="superscript"/>
              </w:rPr>
              <w:t>th</w:t>
            </w:r>
            <w:r w:rsidRPr="00290E8E">
              <w:rPr>
                <w:sz w:val="18"/>
                <w:szCs w:val="18"/>
              </w:rPr>
              <w:t xml:space="preserve"> percentile of the NMR </w:t>
            </w:r>
            <w:r w:rsidR="00937821" w:rsidRPr="00290E8E">
              <w:rPr>
                <w:sz w:val="18"/>
                <w:szCs w:val="18"/>
              </w:rPr>
              <w:t>mobile w</w:t>
            </w:r>
            <w:r w:rsidRPr="00290E8E">
              <w:rPr>
                <w:sz w:val="18"/>
                <w:szCs w:val="18"/>
              </w:rPr>
              <w:t xml:space="preserve">ater for the saturated Calivil Formation interval in NMR logged boreholes in borefield area. NMR </w:t>
            </w:r>
            <w:r w:rsidR="00937821" w:rsidRPr="00290E8E">
              <w:rPr>
                <w:sz w:val="18"/>
                <w:szCs w:val="18"/>
              </w:rPr>
              <w:t>mobile w</w:t>
            </w:r>
            <w:r w:rsidRPr="00290E8E">
              <w:rPr>
                <w:sz w:val="18"/>
                <w:szCs w:val="18"/>
              </w:rPr>
              <w:t xml:space="preserve">ater used as a surrogate for effective porosity. </w:t>
            </w:r>
          </w:p>
          <w:p w:rsidR="000C090A" w:rsidRPr="00290E8E" w:rsidRDefault="000C090A" w:rsidP="009B0A0D">
            <w:pPr>
              <w:pStyle w:val="Tabletext1"/>
              <w:rPr>
                <w:sz w:val="18"/>
                <w:szCs w:val="18"/>
              </w:rPr>
            </w:pPr>
          </w:p>
          <w:p w:rsidR="000C090A" w:rsidRPr="00290E8E" w:rsidRDefault="000C090A" w:rsidP="003712E7">
            <w:pPr>
              <w:rPr>
                <w:sz w:val="18"/>
                <w:szCs w:val="18"/>
              </w:rPr>
            </w:pPr>
            <w:r w:rsidRPr="00290E8E">
              <w:rPr>
                <w:sz w:val="18"/>
                <w:szCs w:val="18"/>
              </w:rPr>
              <w:t>Storativity estimates from two Calivil Formation aquifer tests undertaken at the Jimargil site.</w:t>
            </w:r>
          </w:p>
        </w:tc>
      </w:tr>
      <w:tr w:rsidR="000C090A" w:rsidRPr="00290E8E" w:rsidTr="003B3C54">
        <w:trPr>
          <w:jc w:val="center"/>
        </w:trPr>
        <w:tc>
          <w:tcPr>
            <w:tcW w:w="1620" w:type="dxa"/>
            <w:shd w:val="clear" w:color="auto" w:fill="A6A6A6"/>
            <w:vAlign w:val="center"/>
          </w:tcPr>
          <w:p w:rsidR="000C090A" w:rsidRPr="00290E8E" w:rsidRDefault="000C090A" w:rsidP="00290E8E">
            <w:pPr>
              <w:jc w:val="center"/>
              <w:rPr>
                <w:b/>
                <w:sz w:val="18"/>
                <w:szCs w:val="18"/>
              </w:rPr>
            </w:pPr>
            <w:r w:rsidRPr="00290E8E">
              <w:rPr>
                <w:b/>
                <w:sz w:val="18"/>
                <w:szCs w:val="18"/>
              </w:rPr>
              <w:t>Hydraulic conductivity (K, m/d) and transmissivity (T, m</w:t>
            </w:r>
            <w:r w:rsidRPr="00290E8E">
              <w:rPr>
                <w:b/>
                <w:sz w:val="18"/>
                <w:szCs w:val="18"/>
                <w:vertAlign w:val="superscript"/>
              </w:rPr>
              <w:t>2</w:t>
            </w:r>
            <w:r w:rsidRPr="00290E8E">
              <w:rPr>
                <w:b/>
                <w:sz w:val="18"/>
                <w:szCs w:val="18"/>
              </w:rPr>
              <w:t>/d)</w:t>
            </w:r>
          </w:p>
          <w:p w:rsidR="000C090A" w:rsidRPr="00290E8E" w:rsidRDefault="000C090A" w:rsidP="00290E8E">
            <w:pPr>
              <w:jc w:val="center"/>
              <w:rPr>
                <w:b/>
                <w:sz w:val="18"/>
                <w:szCs w:val="18"/>
              </w:rPr>
            </w:pPr>
          </w:p>
        </w:tc>
        <w:tc>
          <w:tcPr>
            <w:tcW w:w="3780" w:type="dxa"/>
            <w:shd w:val="clear" w:color="auto" w:fill="auto"/>
          </w:tcPr>
          <w:p w:rsidR="000C090A" w:rsidRPr="00290E8E" w:rsidRDefault="000C090A" w:rsidP="003712E7">
            <w:pPr>
              <w:rPr>
                <w:sz w:val="18"/>
                <w:szCs w:val="18"/>
              </w:rPr>
            </w:pPr>
            <w:r w:rsidRPr="00290E8E">
              <w:rPr>
                <w:sz w:val="18"/>
                <w:szCs w:val="18"/>
              </w:rPr>
              <w:t xml:space="preserve">Slug Tests: </w:t>
            </w:r>
          </w:p>
          <w:p w:rsidR="000C090A" w:rsidRPr="00290E8E" w:rsidRDefault="000C090A" w:rsidP="003712E7">
            <w:pPr>
              <w:rPr>
                <w:sz w:val="18"/>
                <w:szCs w:val="18"/>
              </w:rPr>
            </w:pPr>
            <w:r w:rsidRPr="00290E8E">
              <w:rPr>
                <w:sz w:val="18"/>
                <w:szCs w:val="18"/>
              </w:rPr>
              <w:t>K Range: 0.4-137 m/d K Mean: 25 m/d</w:t>
            </w:r>
          </w:p>
          <w:p w:rsidR="000C090A" w:rsidRPr="00290E8E" w:rsidRDefault="000C090A" w:rsidP="003712E7">
            <w:pPr>
              <w:rPr>
                <w:sz w:val="18"/>
                <w:szCs w:val="18"/>
                <w:lang w:val="fr-FR"/>
              </w:rPr>
            </w:pPr>
            <w:r w:rsidRPr="00290E8E">
              <w:rPr>
                <w:sz w:val="18"/>
                <w:szCs w:val="18"/>
                <w:lang w:val="fr-FR"/>
              </w:rPr>
              <w:t>T Range: 2-1850 m</w:t>
            </w:r>
            <w:r w:rsidRPr="00290E8E">
              <w:rPr>
                <w:sz w:val="18"/>
                <w:szCs w:val="18"/>
                <w:vertAlign w:val="superscript"/>
                <w:lang w:val="fr-FR"/>
              </w:rPr>
              <w:t>2</w:t>
            </w:r>
            <w:r w:rsidRPr="00290E8E">
              <w:rPr>
                <w:sz w:val="18"/>
                <w:szCs w:val="18"/>
                <w:lang w:val="fr-FR"/>
              </w:rPr>
              <w:t>/d T Mean: 338 m</w:t>
            </w:r>
            <w:r w:rsidRPr="00290E8E">
              <w:rPr>
                <w:sz w:val="18"/>
                <w:szCs w:val="18"/>
                <w:vertAlign w:val="superscript"/>
                <w:lang w:val="fr-FR"/>
              </w:rPr>
              <w:t>2</w:t>
            </w:r>
            <w:r w:rsidRPr="00290E8E">
              <w:rPr>
                <w:sz w:val="18"/>
                <w:szCs w:val="18"/>
                <w:lang w:val="fr-FR"/>
              </w:rPr>
              <w:t>/d</w:t>
            </w:r>
          </w:p>
          <w:p w:rsidR="000C090A" w:rsidRPr="00290E8E" w:rsidRDefault="000C090A" w:rsidP="003712E7">
            <w:pPr>
              <w:rPr>
                <w:sz w:val="18"/>
                <w:szCs w:val="18"/>
                <w:lang w:val="fr-FR"/>
              </w:rPr>
            </w:pPr>
          </w:p>
          <w:p w:rsidR="000C090A" w:rsidRPr="00290E8E" w:rsidRDefault="000C090A" w:rsidP="003712E7">
            <w:pPr>
              <w:rPr>
                <w:sz w:val="18"/>
                <w:szCs w:val="18"/>
                <w:lang w:val="fr-FR"/>
              </w:rPr>
            </w:pPr>
          </w:p>
          <w:p w:rsidR="000C090A" w:rsidRPr="00290E8E" w:rsidRDefault="000C090A" w:rsidP="003712E7">
            <w:pPr>
              <w:rPr>
                <w:sz w:val="18"/>
                <w:szCs w:val="18"/>
              </w:rPr>
            </w:pPr>
            <w:r w:rsidRPr="00290E8E">
              <w:rPr>
                <w:sz w:val="18"/>
                <w:szCs w:val="18"/>
              </w:rPr>
              <w:t xml:space="preserve">Nuclear Magnetic Resonance Logs: </w:t>
            </w:r>
          </w:p>
          <w:p w:rsidR="000C090A" w:rsidRPr="00290E8E" w:rsidRDefault="000C090A" w:rsidP="003712E7">
            <w:pPr>
              <w:rPr>
                <w:sz w:val="18"/>
                <w:szCs w:val="18"/>
              </w:rPr>
            </w:pPr>
            <w:r w:rsidRPr="00290E8E">
              <w:rPr>
                <w:sz w:val="18"/>
                <w:szCs w:val="18"/>
              </w:rPr>
              <w:t>K Range: 1.3-60 m/d K Mean: 13 m/d</w:t>
            </w:r>
          </w:p>
          <w:p w:rsidR="000C090A" w:rsidRPr="00290E8E" w:rsidRDefault="000C090A" w:rsidP="003712E7">
            <w:pPr>
              <w:rPr>
                <w:sz w:val="18"/>
                <w:szCs w:val="18"/>
                <w:lang w:val="fr-FR"/>
              </w:rPr>
            </w:pPr>
            <w:r w:rsidRPr="00290E8E">
              <w:rPr>
                <w:sz w:val="18"/>
                <w:szCs w:val="18"/>
                <w:lang w:val="fr-FR"/>
              </w:rPr>
              <w:t>T Range: 15-1630 m</w:t>
            </w:r>
            <w:r w:rsidRPr="00290E8E">
              <w:rPr>
                <w:sz w:val="18"/>
                <w:szCs w:val="18"/>
                <w:vertAlign w:val="superscript"/>
                <w:lang w:val="fr-FR"/>
              </w:rPr>
              <w:t>2</w:t>
            </w:r>
            <w:r w:rsidRPr="00290E8E">
              <w:rPr>
                <w:sz w:val="18"/>
                <w:szCs w:val="18"/>
                <w:lang w:val="fr-FR"/>
              </w:rPr>
              <w:t>/d, T Mean: 374 m</w:t>
            </w:r>
            <w:r w:rsidRPr="00290E8E">
              <w:rPr>
                <w:sz w:val="18"/>
                <w:szCs w:val="18"/>
                <w:vertAlign w:val="superscript"/>
                <w:lang w:val="fr-FR"/>
              </w:rPr>
              <w:t>2</w:t>
            </w:r>
            <w:r w:rsidRPr="00290E8E">
              <w:rPr>
                <w:sz w:val="18"/>
                <w:szCs w:val="18"/>
                <w:lang w:val="fr-FR"/>
              </w:rPr>
              <w:t>/d</w:t>
            </w:r>
          </w:p>
          <w:p w:rsidR="000C090A" w:rsidRPr="00290E8E" w:rsidRDefault="000C090A" w:rsidP="003712E7">
            <w:pPr>
              <w:rPr>
                <w:sz w:val="18"/>
                <w:szCs w:val="18"/>
                <w:lang w:val="fr-FR"/>
              </w:rPr>
            </w:pPr>
          </w:p>
          <w:p w:rsidR="000C090A" w:rsidRPr="00290E8E" w:rsidRDefault="000C090A" w:rsidP="0021723E">
            <w:pPr>
              <w:rPr>
                <w:sz w:val="18"/>
                <w:szCs w:val="18"/>
              </w:rPr>
            </w:pPr>
            <w:r w:rsidRPr="00290E8E">
              <w:rPr>
                <w:sz w:val="18"/>
                <w:szCs w:val="18"/>
              </w:rPr>
              <w:t>Aquifer Pump Tests</w:t>
            </w:r>
          </w:p>
          <w:p w:rsidR="000C090A" w:rsidRPr="00290E8E" w:rsidRDefault="000C090A" w:rsidP="0021723E">
            <w:pPr>
              <w:rPr>
                <w:sz w:val="18"/>
                <w:szCs w:val="18"/>
              </w:rPr>
            </w:pPr>
            <w:r w:rsidRPr="00290E8E">
              <w:rPr>
                <w:sz w:val="18"/>
                <w:szCs w:val="18"/>
              </w:rPr>
              <w:t>T estimates of 300 and 930 m</w:t>
            </w:r>
            <w:r w:rsidRPr="00290E8E">
              <w:rPr>
                <w:sz w:val="18"/>
                <w:szCs w:val="18"/>
                <w:vertAlign w:val="superscript"/>
              </w:rPr>
              <w:t>2</w:t>
            </w:r>
            <w:r w:rsidRPr="00290E8E">
              <w:rPr>
                <w:sz w:val="18"/>
                <w:szCs w:val="18"/>
              </w:rPr>
              <w:t>/d</w:t>
            </w:r>
          </w:p>
          <w:p w:rsidR="000C090A" w:rsidRPr="00290E8E" w:rsidRDefault="000C090A" w:rsidP="003712E7">
            <w:pPr>
              <w:rPr>
                <w:sz w:val="18"/>
                <w:szCs w:val="18"/>
              </w:rPr>
            </w:pPr>
          </w:p>
        </w:tc>
        <w:tc>
          <w:tcPr>
            <w:tcW w:w="3911" w:type="dxa"/>
            <w:shd w:val="clear" w:color="auto" w:fill="auto"/>
            <w:vAlign w:val="center"/>
          </w:tcPr>
          <w:p w:rsidR="000C090A" w:rsidRPr="00290E8E" w:rsidRDefault="000C090A" w:rsidP="003712E7">
            <w:pPr>
              <w:rPr>
                <w:sz w:val="18"/>
                <w:szCs w:val="18"/>
              </w:rPr>
            </w:pPr>
            <w:r w:rsidRPr="00290E8E">
              <w:rPr>
                <w:sz w:val="18"/>
                <w:szCs w:val="18"/>
              </w:rPr>
              <w:t>Range and average of slug test results for BHMAR33-2, 33-3, 33-4, 33-5, 33-6, 33-7, 33-8, 33-9, 61-2, 77-2, 77-3, 77-4, 77-5, 80A-2, 80A-5, 80A-7, 80B-2, 83-2, 84-2, 92-1 and 99-1.</w:t>
            </w:r>
          </w:p>
          <w:p w:rsidR="000C090A" w:rsidRPr="00290E8E" w:rsidRDefault="000C090A" w:rsidP="003712E7">
            <w:pPr>
              <w:rPr>
                <w:sz w:val="18"/>
                <w:szCs w:val="18"/>
              </w:rPr>
            </w:pPr>
            <w:r w:rsidRPr="00290E8E">
              <w:rPr>
                <w:sz w:val="18"/>
                <w:szCs w:val="18"/>
              </w:rPr>
              <w:t>Range of average K and total T for NMR logged Calivil Formation screened sections in BHMAR33-1, 33-8, 77-2, 80A-2, 80B-2, 83-2, 84-2 and 99-1.</w:t>
            </w:r>
          </w:p>
          <w:p w:rsidR="000C090A" w:rsidRPr="00290E8E" w:rsidRDefault="000C090A" w:rsidP="003712E7">
            <w:pPr>
              <w:rPr>
                <w:sz w:val="18"/>
                <w:szCs w:val="18"/>
              </w:rPr>
            </w:pPr>
            <w:r w:rsidRPr="00290E8E">
              <w:rPr>
                <w:sz w:val="18"/>
                <w:szCs w:val="18"/>
              </w:rPr>
              <w:t>Aquifer tests undertaken on two test bores at the Jimargil site.</w:t>
            </w:r>
          </w:p>
          <w:p w:rsidR="000C090A" w:rsidRPr="00290E8E" w:rsidRDefault="000C090A" w:rsidP="003712E7">
            <w:pPr>
              <w:rPr>
                <w:sz w:val="18"/>
                <w:szCs w:val="18"/>
              </w:rPr>
            </w:pPr>
          </w:p>
        </w:tc>
      </w:tr>
      <w:tr w:rsidR="000C090A" w:rsidRPr="00290E8E" w:rsidTr="003B3C54">
        <w:trPr>
          <w:jc w:val="center"/>
        </w:trPr>
        <w:tc>
          <w:tcPr>
            <w:tcW w:w="1620" w:type="dxa"/>
            <w:shd w:val="clear" w:color="auto" w:fill="A6A6A6"/>
            <w:vAlign w:val="center"/>
          </w:tcPr>
          <w:p w:rsidR="000C090A" w:rsidRPr="00290E8E" w:rsidRDefault="000C090A" w:rsidP="00290E8E">
            <w:pPr>
              <w:jc w:val="center"/>
              <w:rPr>
                <w:b/>
                <w:sz w:val="18"/>
                <w:szCs w:val="18"/>
              </w:rPr>
            </w:pPr>
            <w:r w:rsidRPr="00290E8E">
              <w:rPr>
                <w:b/>
                <w:sz w:val="18"/>
                <w:szCs w:val="18"/>
              </w:rPr>
              <w:t>Elevation of groundwater level (m AHD)</w:t>
            </w:r>
          </w:p>
        </w:tc>
        <w:tc>
          <w:tcPr>
            <w:tcW w:w="3780" w:type="dxa"/>
            <w:shd w:val="clear" w:color="auto" w:fill="auto"/>
            <w:vAlign w:val="center"/>
          </w:tcPr>
          <w:p w:rsidR="000C090A" w:rsidRPr="00290E8E" w:rsidRDefault="000C090A" w:rsidP="003712E7">
            <w:pPr>
              <w:rPr>
                <w:sz w:val="18"/>
                <w:szCs w:val="18"/>
              </w:rPr>
            </w:pPr>
            <w:r w:rsidRPr="00290E8E">
              <w:rPr>
                <w:sz w:val="18"/>
                <w:szCs w:val="18"/>
              </w:rPr>
              <w:t>Range: 45.3-49.8 m AHD</w:t>
            </w:r>
          </w:p>
          <w:p w:rsidR="000C090A" w:rsidRPr="00290E8E" w:rsidRDefault="000C090A" w:rsidP="003712E7">
            <w:pPr>
              <w:rPr>
                <w:sz w:val="18"/>
                <w:szCs w:val="18"/>
              </w:rPr>
            </w:pPr>
            <w:r w:rsidRPr="00290E8E">
              <w:rPr>
                <w:sz w:val="18"/>
                <w:szCs w:val="18"/>
              </w:rPr>
              <w:t>Mean: 47.8 m AHD</w:t>
            </w:r>
          </w:p>
        </w:tc>
        <w:tc>
          <w:tcPr>
            <w:tcW w:w="3911" w:type="dxa"/>
            <w:shd w:val="clear" w:color="auto" w:fill="auto"/>
            <w:vAlign w:val="center"/>
          </w:tcPr>
          <w:p w:rsidR="000C090A" w:rsidRPr="00290E8E" w:rsidRDefault="000C090A" w:rsidP="003712E7">
            <w:pPr>
              <w:rPr>
                <w:sz w:val="18"/>
                <w:szCs w:val="18"/>
              </w:rPr>
            </w:pPr>
            <w:r w:rsidRPr="00290E8E">
              <w:rPr>
                <w:sz w:val="18"/>
                <w:szCs w:val="18"/>
              </w:rPr>
              <w:t>Based on Calivil Formation aquifer potentiometric surface over borefield area for December 2011 interpreted from borehole monitoring data.</w:t>
            </w:r>
          </w:p>
        </w:tc>
      </w:tr>
      <w:tr w:rsidR="000C090A" w:rsidRPr="00290E8E" w:rsidTr="003B3C54">
        <w:trPr>
          <w:jc w:val="center"/>
        </w:trPr>
        <w:tc>
          <w:tcPr>
            <w:tcW w:w="1620" w:type="dxa"/>
            <w:shd w:val="clear" w:color="auto" w:fill="A6A6A6"/>
            <w:vAlign w:val="center"/>
          </w:tcPr>
          <w:p w:rsidR="000C090A" w:rsidRPr="00290E8E" w:rsidRDefault="000C090A" w:rsidP="00290E8E">
            <w:pPr>
              <w:jc w:val="center"/>
              <w:rPr>
                <w:b/>
                <w:sz w:val="18"/>
                <w:szCs w:val="18"/>
              </w:rPr>
            </w:pPr>
            <w:r w:rsidRPr="00290E8E">
              <w:rPr>
                <w:b/>
                <w:sz w:val="18"/>
                <w:szCs w:val="18"/>
              </w:rPr>
              <w:t>Depth to groundwater level from ground surface (m)</w:t>
            </w:r>
          </w:p>
        </w:tc>
        <w:tc>
          <w:tcPr>
            <w:tcW w:w="3780" w:type="dxa"/>
            <w:shd w:val="clear" w:color="auto" w:fill="auto"/>
            <w:vAlign w:val="center"/>
          </w:tcPr>
          <w:p w:rsidR="000C090A" w:rsidRPr="00290E8E" w:rsidRDefault="000C090A" w:rsidP="003712E7">
            <w:pPr>
              <w:rPr>
                <w:sz w:val="18"/>
                <w:szCs w:val="18"/>
              </w:rPr>
            </w:pPr>
            <w:r w:rsidRPr="00290E8E">
              <w:rPr>
                <w:sz w:val="18"/>
                <w:szCs w:val="18"/>
              </w:rPr>
              <w:t xml:space="preserve">Range: &lt;2 – 18 m </w:t>
            </w:r>
          </w:p>
          <w:p w:rsidR="000C090A" w:rsidRPr="00290E8E" w:rsidRDefault="000C090A" w:rsidP="003712E7">
            <w:pPr>
              <w:rPr>
                <w:sz w:val="18"/>
                <w:szCs w:val="18"/>
              </w:rPr>
            </w:pPr>
            <w:r w:rsidRPr="00290E8E">
              <w:rPr>
                <w:sz w:val="18"/>
                <w:szCs w:val="18"/>
              </w:rPr>
              <w:t>Mean: 10</w:t>
            </w:r>
            <w:r w:rsidR="00030542">
              <w:rPr>
                <w:sz w:val="18"/>
                <w:szCs w:val="18"/>
              </w:rPr>
              <w:t xml:space="preserve"> </w:t>
            </w:r>
            <w:r w:rsidRPr="00290E8E">
              <w:rPr>
                <w:sz w:val="18"/>
                <w:szCs w:val="18"/>
              </w:rPr>
              <w:t>m</w:t>
            </w:r>
          </w:p>
        </w:tc>
        <w:tc>
          <w:tcPr>
            <w:tcW w:w="3911" w:type="dxa"/>
            <w:shd w:val="clear" w:color="auto" w:fill="auto"/>
            <w:vAlign w:val="center"/>
          </w:tcPr>
          <w:p w:rsidR="000C090A" w:rsidRPr="00290E8E" w:rsidRDefault="000C090A" w:rsidP="003712E7">
            <w:pPr>
              <w:rPr>
                <w:sz w:val="18"/>
                <w:szCs w:val="18"/>
              </w:rPr>
            </w:pPr>
            <w:r w:rsidRPr="00290E8E">
              <w:rPr>
                <w:sz w:val="18"/>
                <w:szCs w:val="18"/>
              </w:rPr>
              <w:t>Based on difference grid between ground surface and interpreted Calivil Formation potentiometric surface over target area.</w:t>
            </w:r>
          </w:p>
        </w:tc>
      </w:tr>
      <w:tr w:rsidR="000C090A" w:rsidRPr="00290E8E" w:rsidTr="003B3C54">
        <w:trPr>
          <w:jc w:val="center"/>
        </w:trPr>
        <w:tc>
          <w:tcPr>
            <w:tcW w:w="1620" w:type="dxa"/>
            <w:shd w:val="clear" w:color="auto" w:fill="A6A6A6"/>
            <w:vAlign w:val="center"/>
          </w:tcPr>
          <w:p w:rsidR="000C090A" w:rsidRPr="00290E8E" w:rsidRDefault="000C090A" w:rsidP="00290E8E">
            <w:pPr>
              <w:jc w:val="center"/>
              <w:rPr>
                <w:b/>
                <w:sz w:val="18"/>
                <w:szCs w:val="18"/>
              </w:rPr>
            </w:pPr>
            <w:r w:rsidRPr="00290E8E">
              <w:rPr>
                <w:b/>
                <w:sz w:val="18"/>
                <w:szCs w:val="18"/>
              </w:rPr>
              <w:t>Groundwater salinity (TDS, mg/L)</w:t>
            </w:r>
          </w:p>
          <w:p w:rsidR="000C090A" w:rsidRPr="00290E8E" w:rsidRDefault="000C090A" w:rsidP="00290E8E">
            <w:pPr>
              <w:jc w:val="center"/>
              <w:rPr>
                <w:sz w:val="18"/>
                <w:szCs w:val="18"/>
              </w:rPr>
            </w:pPr>
          </w:p>
        </w:tc>
        <w:tc>
          <w:tcPr>
            <w:tcW w:w="3780" w:type="dxa"/>
            <w:shd w:val="clear" w:color="auto" w:fill="auto"/>
            <w:vAlign w:val="center"/>
          </w:tcPr>
          <w:p w:rsidR="000C090A" w:rsidRPr="00290E8E" w:rsidRDefault="000C090A" w:rsidP="003712E7">
            <w:pPr>
              <w:rPr>
                <w:sz w:val="18"/>
                <w:szCs w:val="18"/>
              </w:rPr>
            </w:pPr>
            <w:r w:rsidRPr="00290E8E">
              <w:rPr>
                <w:sz w:val="18"/>
                <w:szCs w:val="18"/>
              </w:rPr>
              <w:t>&lt;3000 mg/L</w:t>
            </w:r>
          </w:p>
          <w:p w:rsidR="000C090A" w:rsidRPr="00290E8E" w:rsidRDefault="000C090A" w:rsidP="003712E7">
            <w:pPr>
              <w:rPr>
                <w:sz w:val="18"/>
                <w:szCs w:val="18"/>
              </w:rPr>
            </w:pPr>
            <w:r w:rsidRPr="00290E8E">
              <w:rPr>
                <w:sz w:val="18"/>
                <w:szCs w:val="18"/>
              </w:rPr>
              <w:t>Range: 247-1422 mg/L Mean: 566 mg/L</w:t>
            </w:r>
          </w:p>
        </w:tc>
        <w:tc>
          <w:tcPr>
            <w:tcW w:w="3911" w:type="dxa"/>
            <w:shd w:val="clear" w:color="auto" w:fill="auto"/>
            <w:vAlign w:val="center"/>
          </w:tcPr>
          <w:p w:rsidR="000C090A" w:rsidRPr="00290E8E" w:rsidRDefault="000C090A" w:rsidP="003712E7">
            <w:pPr>
              <w:rPr>
                <w:sz w:val="18"/>
                <w:szCs w:val="18"/>
              </w:rPr>
            </w:pPr>
            <w:r w:rsidRPr="00290E8E">
              <w:rPr>
                <w:sz w:val="18"/>
                <w:szCs w:val="18"/>
              </w:rPr>
              <w:t>Total dissolved solids (TDS) range and average of groundwater sampling from Calivil Formation monitoring bores in target borefield area. These bores tend to target low conductivity AEM zones inferred to contain fresher groundwater.</w:t>
            </w:r>
          </w:p>
        </w:tc>
      </w:tr>
      <w:tr w:rsidR="000C090A" w:rsidRPr="00290E8E" w:rsidTr="003B3C54">
        <w:trPr>
          <w:jc w:val="center"/>
        </w:trPr>
        <w:tc>
          <w:tcPr>
            <w:tcW w:w="1620" w:type="dxa"/>
            <w:shd w:val="clear" w:color="auto" w:fill="A6A6A6"/>
            <w:vAlign w:val="center"/>
          </w:tcPr>
          <w:p w:rsidR="000C090A" w:rsidRPr="00290E8E" w:rsidRDefault="000C090A" w:rsidP="00290E8E">
            <w:pPr>
              <w:jc w:val="center"/>
              <w:rPr>
                <w:b/>
                <w:sz w:val="18"/>
                <w:szCs w:val="18"/>
              </w:rPr>
            </w:pPr>
            <w:r w:rsidRPr="00290E8E">
              <w:rPr>
                <w:b/>
                <w:sz w:val="18"/>
                <w:szCs w:val="18"/>
              </w:rPr>
              <w:t>ADWG2011 water quality exceedances</w:t>
            </w:r>
          </w:p>
          <w:p w:rsidR="000C090A" w:rsidRPr="00290E8E" w:rsidRDefault="000C090A" w:rsidP="00290E8E">
            <w:pPr>
              <w:jc w:val="center"/>
              <w:rPr>
                <w:b/>
                <w:sz w:val="18"/>
                <w:szCs w:val="18"/>
              </w:rPr>
            </w:pPr>
          </w:p>
        </w:tc>
        <w:tc>
          <w:tcPr>
            <w:tcW w:w="3780" w:type="dxa"/>
            <w:shd w:val="clear" w:color="auto" w:fill="auto"/>
            <w:vAlign w:val="center"/>
          </w:tcPr>
          <w:p w:rsidR="000C090A" w:rsidRPr="00290E8E" w:rsidRDefault="000C090A" w:rsidP="003712E7">
            <w:pPr>
              <w:rPr>
                <w:sz w:val="18"/>
                <w:szCs w:val="18"/>
              </w:rPr>
            </w:pPr>
            <w:r w:rsidRPr="00290E8E">
              <w:rPr>
                <w:sz w:val="18"/>
                <w:szCs w:val="18"/>
              </w:rPr>
              <w:t>Total Dissolved Solids TDS &gt;600 mg/L (31/44)</w:t>
            </w:r>
          </w:p>
          <w:p w:rsidR="000C090A" w:rsidRPr="00290E8E" w:rsidRDefault="000C090A" w:rsidP="003712E7">
            <w:pPr>
              <w:rPr>
                <w:sz w:val="18"/>
                <w:szCs w:val="18"/>
              </w:rPr>
            </w:pPr>
            <w:r w:rsidRPr="00290E8E">
              <w:rPr>
                <w:sz w:val="18"/>
                <w:szCs w:val="18"/>
              </w:rPr>
              <w:t>Total Dissolved Solids TDS &gt;1200 mg/L (4/44)</w:t>
            </w:r>
          </w:p>
          <w:p w:rsidR="000C090A" w:rsidRPr="00290E8E" w:rsidRDefault="000C090A" w:rsidP="003712E7">
            <w:pPr>
              <w:rPr>
                <w:sz w:val="18"/>
                <w:szCs w:val="18"/>
              </w:rPr>
            </w:pPr>
            <w:r w:rsidRPr="00290E8E">
              <w:rPr>
                <w:sz w:val="18"/>
                <w:szCs w:val="18"/>
              </w:rPr>
              <w:t>pH &gt;8.5 (2/44)</w:t>
            </w:r>
          </w:p>
          <w:p w:rsidR="000C090A" w:rsidRPr="00290E8E" w:rsidRDefault="000C090A" w:rsidP="003712E7">
            <w:pPr>
              <w:rPr>
                <w:sz w:val="18"/>
                <w:szCs w:val="18"/>
              </w:rPr>
            </w:pPr>
            <w:r w:rsidRPr="00290E8E">
              <w:rPr>
                <w:sz w:val="18"/>
                <w:szCs w:val="18"/>
              </w:rPr>
              <w:t>Chloride Cl &gt;250 mg/L (6/44)</w:t>
            </w:r>
          </w:p>
          <w:p w:rsidR="000C090A" w:rsidRPr="00290E8E" w:rsidRDefault="000C090A" w:rsidP="003712E7">
            <w:pPr>
              <w:rPr>
                <w:sz w:val="18"/>
                <w:szCs w:val="18"/>
              </w:rPr>
            </w:pPr>
            <w:r w:rsidRPr="00290E8E">
              <w:rPr>
                <w:sz w:val="18"/>
                <w:szCs w:val="18"/>
              </w:rPr>
              <w:t>Sodium Na &gt;180 mg/L (9/44)</w:t>
            </w:r>
          </w:p>
          <w:p w:rsidR="000C090A" w:rsidRPr="00290E8E" w:rsidRDefault="000C090A" w:rsidP="003712E7">
            <w:pPr>
              <w:rPr>
                <w:sz w:val="18"/>
                <w:szCs w:val="18"/>
              </w:rPr>
            </w:pPr>
            <w:r w:rsidRPr="00290E8E">
              <w:rPr>
                <w:sz w:val="18"/>
                <w:szCs w:val="18"/>
              </w:rPr>
              <w:t>Sulfate SO</w:t>
            </w:r>
            <w:r w:rsidRPr="00290E8E">
              <w:rPr>
                <w:sz w:val="18"/>
                <w:szCs w:val="18"/>
                <w:vertAlign w:val="subscript"/>
              </w:rPr>
              <w:t>4</w:t>
            </w:r>
            <w:r w:rsidRPr="00290E8E">
              <w:rPr>
                <w:sz w:val="18"/>
                <w:szCs w:val="18"/>
              </w:rPr>
              <w:t xml:space="preserve"> &gt;250 mg/L (2/44)</w:t>
            </w:r>
          </w:p>
          <w:p w:rsidR="000C090A" w:rsidRPr="00290E8E" w:rsidRDefault="000C090A" w:rsidP="003712E7">
            <w:pPr>
              <w:rPr>
                <w:sz w:val="18"/>
                <w:szCs w:val="18"/>
                <w:lang w:val="it-IT"/>
              </w:rPr>
            </w:pPr>
            <w:r w:rsidRPr="00290E8E">
              <w:rPr>
                <w:sz w:val="18"/>
                <w:szCs w:val="18"/>
                <w:lang w:val="it-IT"/>
              </w:rPr>
              <w:t>Iron Fe &gt;0.3 mg/L (9/44)</w:t>
            </w:r>
          </w:p>
          <w:p w:rsidR="000C090A" w:rsidRPr="00290E8E" w:rsidRDefault="000C090A" w:rsidP="003712E7">
            <w:pPr>
              <w:rPr>
                <w:sz w:val="18"/>
                <w:szCs w:val="18"/>
                <w:lang w:val="it-IT"/>
              </w:rPr>
            </w:pPr>
            <w:r w:rsidRPr="00290E8E">
              <w:rPr>
                <w:sz w:val="18"/>
                <w:szCs w:val="18"/>
                <w:lang w:val="it-IT"/>
              </w:rPr>
              <w:t>Manganese Mn &gt;0.1 mg/L (41/44)</w:t>
            </w:r>
          </w:p>
          <w:p w:rsidR="000C090A" w:rsidRPr="00290E8E" w:rsidRDefault="000C090A" w:rsidP="003712E7">
            <w:pPr>
              <w:rPr>
                <w:sz w:val="18"/>
                <w:szCs w:val="18"/>
              </w:rPr>
            </w:pPr>
            <w:r w:rsidRPr="00290E8E">
              <w:rPr>
                <w:sz w:val="18"/>
                <w:szCs w:val="18"/>
              </w:rPr>
              <w:t>Arsenic As &gt;10 µg/L (1/44)</w:t>
            </w:r>
          </w:p>
          <w:p w:rsidR="000C090A" w:rsidRPr="00290E8E" w:rsidRDefault="000C090A" w:rsidP="003712E7">
            <w:pPr>
              <w:rPr>
                <w:sz w:val="18"/>
                <w:szCs w:val="18"/>
              </w:rPr>
            </w:pPr>
            <w:r w:rsidRPr="00290E8E">
              <w:rPr>
                <w:sz w:val="18"/>
                <w:szCs w:val="18"/>
              </w:rPr>
              <w:t>Ammonia NH</w:t>
            </w:r>
            <w:r w:rsidRPr="00290E8E">
              <w:rPr>
                <w:sz w:val="18"/>
                <w:szCs w:val="18"/>
                <w:vertAlign w:val="subscript"/>
              </w:rPr>
              <w:t>3</w:t>
            </w:r>
            <w:r w:rsidRPr="00290E8E">
              <w:rPr>
                <w:sz w:val="18"/>
                <w:szCs w:val="18"/>
              </w:rPr>
              <w:t xml:space="preserve"> &gt;0.39 mg/L-N (12/43)</w:t>
            </w:r>
          </w:p>
        </w:tc>
        <w:tc>
          <w:tcPr>
            <w:tcW w:w="3911" w:type="dxa"/>
            <w:shd w:val="clear" w:color="auto" w:fill="auto"/>
            <w:vAlign w:val="center"/>
          </w:tcPr>
          <w:p w:rsidR="000C090A" w:rsidRPr="00290E8E" w:rsidRDefault="000C090A" w:rsidP="003712E7">
            <w:pPr>
              <w:rPr>
                <w:sz w:val="18"/>
                <w:szCs w:val="18"/>
              </w:rPr>
            </w:pPr>
            <w:r w:rsidRPr="00290E8E">
              <w:rPr>
                <w:sz w:val="18"/>
                <w:szCs w:val="18"/>
              </w:rPr>
              <w:t>Australian Drinking Water Quality (ADWG2011) exceedances for 44 groundwater samples from BHMAR33-2, 33-3, 33-4, 33-5, 33-6, 33-7, 33-8, 33-9, 61-2, 77-2, 77-3, 77-4, 77-5, 80A-2, 80A-5, 80A-7, 80B-2, 83-2, 84-2, 92-1 and 99-1.</w:t>
            </w:r>
          </w:p>
        </w:tc>
      </w:tr>
    </w:tbl>
    <w:p w:rsidR="00F12C87" w:rsidRPr="00B94D89" w:rsidRDefault="000F35BD" w:rsidP="000F35BD">
      <w:pPr>
        <w:pStyle w:val="BodyText2Notes"/>
      </w:pPr>
      <w:r>
        <w:t>N</w:t>
      </w:r>
      <w:r w:rsidR="009B0A0D">
        <w:t>ote: The NMR data in this table</w:t>
      </w:r>
      <w:r>
        <w:t xml:space="preserve"> were collected in 2011 using the Javelin tool with an inter-echo spacing of 2.5 ms. Subsequent laboratory and field tests have demonstrated that this setting underestimates the </w:t>
      </w:r>
      <w:r w:rsidR="00937821">
        <w:t>mobile</w:t>
      </w:r>
      <w:r>
        <w:t xml:space="preserve"> and total water content, and derived porosities, and should only be used on a semi-quantitative comparative basis. The NMR data may also be unreliable in zones where there is significant iron-(hematite) coating of quartz grains.</w:t>
      </w:r>
    </w:p>
    <w:p w:rsidR="00035877" w:rsidRPr="00021090" w:rsidRDefault="00C6655F" w:rsidP="00021090">
      <w:pPr>
        <w:pStyle w:val="Heading2"/>
        <w:tabs>
          <w:tab w:val="left" w:pos="720"/>
        </w:tabs>
        <w:spacing w:before="320"/>
      </w:pPr>
      <w:bookmarkStart w:id="587" w:name="_Toc390690146"/>
      <w:r w:rsidRPr="008235E1">
        <w:lastRenderedPageBreak/>
        <w:t>O</w:t>
      </w:r>
      <w:r w:rsidR="00E04B4B" w:rsidRPr="008235E1">
        <w:t>ption</w:t>
      </w:r>
      <w:r w:rsidR="00E04B4B" w:rsidRPr="00021090">
        <w:t xml:space="preserve"> 1: </w:t>
      </w:r>
      <w:r w:rsidRPr="00021090">
        <w:t>Aquifer S</w:t>
      </w:r>
      <w:r w:rsidR="00E04B4B" w:rsidRPr="00021090">
        <w:t xml:space="preserve">torage and </w:t>
      </w:r>
      <w:r w:rsidRPr="00021090">
        <w:t>R</w:t>
      </w:r>
      <w:r w:rsidR="00E04B4B" w:rsidRPr="00021090">
        <w:t>ecovery</w:t>
      </w:r>
      <w:bookmarkEnd w:id="584"/>
      <w:bookmarkEnd w:id="585"/>
      <w:bookmarkEnd w:id="586"/>
      <w:bookmarkEnd w:id="587"/>
    </w:p>
    <w:p w:rsidR="00F82C8F" w:rsidRDefault="00F82C8F" w:rsidP="00E04B4B">
      <w:r w:rsidRPr="00106292">
        <w:rPr>
          <w:szCs w:val="22"/>
        </w:rPr>
        <w:t>ASR involves injection of water into an aquifer via a well, and recovery from the same well</w:t>
      </w:r>
      <w:r w:rsidRPr="00106292">
        <w:t xml:space="preserve">. The aquifer may be confined or unconfined. This is useful in brackish aquifers, where storage is the primary goal and water treatment is a smaller consideration. </w:t>
      </w:r>
      <w:r w:rsidR="00777798" w:rsidRPr="00106292">
        <w:t xml:space="preserve">Additional information about ASR is provided in </w:t>
      </w:r>
      <w:r w:rsidR="00937821">
        <w:t>Section</w:t>
      </w:r>
      <w:r w:rsidR="00777798" w:rsidRPr="00106292">
        <w:t xml:space="preserve"> </w:t>
      </w:r>
      <w:r w:rsidR="00777798" w:rsidRPr="00106292">
        <w:fldChar w:fldCharType="begin"/>
      </w:r>
      <w:r w:rsidR="00777798" w:rsidRPr="00106292">
        <w:instrText xml:space="preserve"> REF _Ref325644473 \n \h </w:instrText>
      </w:r>
      <w:r w:rsidR="00106292">
        <w:instrText xml:space="preserve"> \* MERGEFORMAT </w:instrText>
      </w:r>
      <w:r w:rsidR="00777798" w:rsidRPr="00106292">
        <w:fldChar w:fldCharType="separate"/>
      </w:r>
      <w:r w:rsidR="00966532">
        <w:t>4</w:t>
      </w:r>
      <w:r w:rsidR="00777798" w:rsidRPr="00106292">
        <w:fldChar w:fldCharType="end"/>
      </w:r>
      <w:r w:rsidR="00937821">
        <w:t xml:space="preserve"> and</w:t>
      </w:r>
      <w:r w:rsidR="00777798" w:rsidRPr="00106292">
        <w:t xml:space="preserve"> </w:t>
      </w:r>
      <w:r w:rsidR="00777798" w:rsidRPr="00106292">
        <w:rPr>
          <w:rFonts w:cs="Arial"/>
          <w:szCs w:val="18"/>
        </w:rPr>
        <w:t>Lawrie</w:t>
      </w:r>
      <w:r w:rsidR="008A5F7D" w:rsidRPr="00CF7613">
        <w:rPr>
          <w:rStyle w:val="StyleItalic"/>
        </w:rPr>
        <w:t xml:space="preserve"> et al</w:t>
      </w:r>
      <w:r w:rsidR="00777798" w:rsidRPr="00106292">
        <w:rPr>
          <w:rFonts w:cs="Arial"/>
          <w:szCs w:val="18"/>
        </w:rPr>
        <w:t>. (2</w:t>
      </w:r>
      <w:r w:rsidR="00AD2035" w:rsidRPr="00106292">
        <w:rPr>
          <w:rFonts w:cs="Arial"/>
          <w:szCs w:val="18"/>
        </w:rPr>
        <w:t xml:space="preserve">012a, c, </w:t>
      </w:r>
      <w:r w:rsidR="00777798" w:rsidRPr="00106292">
        <w:rPr>
          <w:rFonts w:cs="Arial"/>
          <w:szCs w:val="18"/>
        </w:rPr>
        <w:t xml:space="preserve">d). </w:t>
      </w:r>
      <w:r w:rsidRPr="00106292">
        <w:t xml:space="preserve">At Jimargil, the ASR scheme would utilise the </w:t>
      </w:r>
      <w:r w:rsidR="00C217F0">
        <w:t>Calivil Formation</w:t>
      </w:r>
      <w:r w:rsidRPr="00106292">
        <w:t xml:space="preserve"> aquifer.</w:t>
      </w:r>
      <w:r w:rsidR="00E57182" w:rsidRPr="00106292">
        <w:t xml:space="preserve"> A map showing the potential distribution</w:t>
      </w:r>
      <w:r w:rsidR="00E57182">
        <w:t xml:space="preserve"> of </w:t>
      </w:r>
      <w:r w:rsidR="008962BB">
        <w:t xml:space="preserve">ASR </w:t>
      </w:r>
      <w:r w:rsidR="00E57182">
        <w:t xml:space="preserve">bores is </w:t>
      </w:r>
      <w:r w:rsidR="00E57182" w:rsidRPr="00795774">
        <w:t xml:space="preserve">shown in </w:t>
      </w:r>
      <w:r w:rsidR="000B4790" w:rsidRPr="00795774">
        <w:fldChar w:fldCharType="begin"/>
      </w:r>
      <w:r w:rsidR="000B4790" w:rsidRPr="00795774">
        <w:instrText xml:space="preserve"> REF _Ref325708745 \h  \* MERGEFORMAT </w:instrText>
      </w:r>
      <w:r w:rsidR="000B4790" w:rsidRPr="00795774">
        <w:fldChar w:fldCharType="separate"/>
      </w:r>
      <w:r w:rsidR="00966532" w:rsidRPr="00966532">
        <w:t xml:space="preserve">Figure </w:t>
      </w:r>
      <w:r w:rsidR="00966532" w:rsidRPr="00966532">
        <w:rPr>
          <w:noProof/>
        </w:rPr>
        <w:t>8</w:t>
      </w:r>
      <w:r w:rsidR="00966532" w:rsidRPr="00966532">
        <w:rPr>
          <w:noProof/>
        </w:rPr>
        <w:noBreakHyphen/>
        <w:t>15</w:t>
      </w:r>
      <w:r w:rsidR="000B4790" w:rsidRPr="00795774">
        <w:fldChar w:fldCharType="end"/>
      </w:r>
      <w:r w:rsidR="00E57182" w:rsidRPr="00795774">
        <w:t>. Further drilling, aquifer testing and numerical groundwater modelling is required to determine the optimum</w:t>
      </w:r>
      <w:r w:rsidR="00E57182">
        <w:t xml:space="preserve"> spacing of bores. Preliminary estimates, based on a conservative pumping rate (10-15</w:t>
      </w:r>
      <w:r w:rsidR="00777798">
        <w:t xml:space="preserve"> </w:t>
      </w:r>
      <w:r w:rsidR="00E57182">
        <w:t xml:space="preserve">L/sec) from the </w:t>
      </w:r>
      <w:r w:rsidR="00C217F0">
        <w:t>Calivil Formation</w:t>
      </w:r>
      <w:r w:rsidR="00E57182">
        <w:t xml:space="preserve"> palaeochannel at the Jimargil site, are that 15-25 bores would be required to allow for a surge capacity demand of 205 L/sec, regardless of the extraction option selected.</w:t>
      </w:r>
    </w:p>
    <w:p w:rsidR="00300215" w:rsidRDefault="006C237B" w:rsidP="00EF7E00">
      <w:pPr>
        <w:pStyle w:val="Heading3"/>
        <w:tabs>
          <w:tab w:val="left" w:pos="1080"/>
        </w:tabs>
        <w:spacing w:before="320"/>
        <w:ind w:left="1080" w:hanging="1080"/>
      </w:pPr>
      <w:bookmarkStart w:id="588" w:name="_Toc325975154"/>
      <w:bookmarkStart w:id="589" w:name="_Toc390690147"/>
      <w:r>
        <w:t>Phase 2 Entry L</w:t>
      </w:r>
      <w:r w:rsidR="00300215">
        <w:t xml:space="preserve">evel </w:t>
      </w:r>
      <w:r w:rsidR="008F4F0D">
        <w:t xml:space="preserve">Viability </w:t>
      </w:r>
      <w:r w:rsidR="00300215">
        <w:t xml:space="preserve">and Degree of </w:t>
      </w:r>
      <w:r w:rsidR="004B6EC9">
        <w:t>D</w:t>
      </w:r>
      <w:r w:rsidR="00300215">
        <w:t>ifficulty Assessment</w:t>
      </w:r>
      <w:r w:rsidR="008F4F0D">
        <w:t>s</w:t>
      </w:r>
      <w:bookmarkEnd w:id="588"/>
      <w:bookmarkEnd w:id="589"/>
    </w:p>
    <w:p w:rsidR="008F4F0D" w:rsidRDefault="008F4F0D" w:rsidP="008F4F0D">
      <w:pPr>
        <w:spacing w:before="120"/>
        <w:rPr>
          <w:szCs w:val="22"/>
        </w:rPr>
      </w:pPr>
      <w:r>
        <w:rPr>
          <w:szCs w:val="22"/>
        </w:rPr>
        <w:t>During Phase 2 of the project, a</w:t>
      </w:r>
      <w:r w:rsidRPr="00486BC4">
        <w:rPr>
          <w:szCs w:val="22"/>
        </w:rPr>
        <w:t xml:space="preserve">n Entry-Level </w:t>
      </w:r>
      <w:smartTag w:uri="urn:schemas-microsoft-com:office:smarttags" w:element="stockticker">
        <w:r w:rsidRPr="00486BC4">
          <w:rPr>
            <w:szCs w:val="22"/>
          </w:rPr>
          <w:t>MAR</w:t>
        </w:r>
      </w:smartTag>
      <w:r w:rsidRPr="00486BC4">
        <w:rPr>
          <w:szCs w:val="22"/>
        </w:rPr>
        <w:t xml:space="preserve"> risk assessment </w:t>
      </w:r>
      <w:r>
        <w:rPr>
          <w:szCs w:val="22"/>
        </w:rPr>
        <w:t>was</w:t>
      </w:r>
      <w:r w:rsidRPr="00486BC4">
        <w:rPr>
          <w:szCs w:val="22"/>
        </w:rPr>
        <w:t xml:space="preserve"> carried out using the new national Managed Aquifer Recharge (</w:t>
      </w:r>
      <w:smartTag w:uri="urn:schemas-microsoft-com:office:smarttags" w:element="stockticker">
        <w:r w:rsidRPr="00486BC4">
          <w:rPr>
            <w:szCs w:val="22"/>
          </w:rPr>
          <w:t>MAR</w:t>
        </w:r>
      </w:smartTag>
      <w:r w:rsidRPr="00486BC4">
        <w:rPr>
          <w:szCs w:val="22"/>
        </w:rPr>
        <w:t xml:space="preserve">) risk assessment </w:t>
      </w:r>
      <w:r w:rsidR="0089737C">
        <w:rPr>
          <w:szCs w:val="22"/>
        </w:rPr>
        <w:t>guidelines (NRMMC-EPHC-</w:t>
      </w:r>
      <w:r w:rsidRPr="00AD2035">
        <w:rPr>
          <w:szCs w:val="22"/>
        </w:rPr>
        <w:t xml:space="preserve">NHMRC, 2009) to assess the viability of implementing a </w:t>
      </w:r>
      <w:smartTag w:uri="urn:schemas-microsoft-com:office:smarttags" w:element="stockticker">
        <w:r w:rsidRPr="00AD2035">
          <w:rPr>
            <w:szCs w:val="22"/>
          </w:rPr>
          <w:t>MAR</w:t>
        </w:r>
      </w:smartTag>
      <w:r w:rsidRPr="00AD2035">
        <w:rPr>
          <w:szCs w:val="22"/>
        </w:rPr>
        <w:t xml:space="preserve"> system in the </w:t>
      </w:r>
      <w:r w:rsidR="00C217F0">
        <w:rPr>
          <w:szCs w:val="22"/>
        </w:rPr>
        <w:t xml:space="preserve">Menindee </w:t>
      </w:r>
      <w:r w:rsidRPr="00AD2035">
        <w:rPr>
          <w:szCs w:val="22"/>
        </w:rPr>
        <w:t>region.</w:t>
      </w:r>
      <w:r w:rsidRPr="00486BC4">
        <w:rPr>
          <w:szCs w:val="22"/>
        </w:rPr>
        <w:t xml:space="preserve"> </w:t>
      </w:r>
    </w:p>
    <w:p w:rsidR="008F4F0D" w:rsidRDefault="008F4F0D" w:rsidP="00E04B4B">
      <w:pPr>
        <w:rPr>
          <w:szCs w:val="22"/>
        </w:rPr>
      </w:pPr>
    </w:p>
    <w:p w:rsidR="008F4F0D" w:rsidRDefault="008F4F0D" w:rsidP="00E04B4B">
      <w:pPr>
        <w:rPr>
          <w:szCs w:val="22"/>
        </w:rPr>
      </w:pPr>
      <w:r w:rsidRPr="00486BC4">
        <w:rPr>
          <w:szCs w:val="22"/>
        </w:rPr>
        <w:t xml:space="preserve">The results of the initial Viability Assessment </w:t>
      </w:r>
      <w:r>
        <w:rPr>
          <w:szCs w:val="22"/>
        </w:rPr>
        <w:t>we</w:t>
      </w:r>
      <w:r w:rsidRPr="00486BC4">
        <w:rPr>
          <w:szCs w:val="22"/>
        </w:rPr>
        <w:t xml:space="preserve">re positive, with the caveat that issues of source water entitlements and licensing </w:t>
      </w:r>
      <w:r>
        <w:rPr>
          <w:szCs w:val="22"/>
        </w:rPr>
        <w:t>we</w:t>
      </w:r>
      <w:r w:rsidRPr="00486BC4">
        <w:rPr>
          <w:szCs w:val="22"/>
        </w:rPr>
        <w:t>re outside the remit of this project. It was decided to carry out the Part 2 Degree of Difficulty Assessment on the basis of this positive assessment.</w:t>
      </w:r>
      <w:r>
        <w:rPr>
          <w:szCs w:val="22"/>
        </w:rPr>
        <w:t xml:space="preserve"> </w:t>
      </w:r>
      <w:r w:rsidRPr="00486BC4">
        <w:rPr>
          <w:szCs w:val="22"/>
        </w:rPr>
        <w:t>The results of the Part 2 Degree of Difficult</w:t>
      </w:r>
      <w:r w:rsidR="007640C5">
        <w:rPr>
          <w:szCs w:val="22"/>
        </w:rPr>
        <w:t>y</w:t>
      </w:r>
      <w:r w:rsidRPr="00486BC4">
        <w:rPr>
          <w:szCs w:val="22"/>
        </w:rPr>
        <w:t xml:space="preserve"> Assessment are </w:t>
      </w:r>
      <w:r w:rsidRPr="00795774">
        <w:rPr>
          <w:szCs w:val="22"/>
        </w:rPr>
        <w:t xml:space="preserve">tabulated in </w:t>
      </w:r>
      <w:r w:rsidR="005B1337" w:rsidRPr="00795774">
        <w:rPr>
          <w:szCs w:val="22"/>
          <w:highlight w:val="yellow"/>
        </w:rPr>
        <w:fldChar w:fldCharType="begin"/>
      </w:r>
      <w:r w:rsidR="005B1337" w:rsidRPr="00795774">
        <w:rPr>
          <w:szCs w:val="22"/>
        </w:rPr>
        <w:instrText xml:space="preserve"> REF _Ref325913499 \h </w:instrText>
      </w:r>
      <w:r w:rsidR="00795774" w:rsidRPr="00795774">
        <w:rPr>
          <w:szCs w:val="22"/>
          <w:highlight w:val="yellow"/>
        </w:rPr>
        <w:instrText xml:space="preserve"> \* MERGEFORMAT </w:instrText>
      </w:r>
      <w:r w:rsidR="005B1337" w:rsidRPr="00795774">
        <w:rPr>
          <w:szCs w:val="22"/>
          <w:highlight w:val="yellow"/>
        </w:rPr>
      </w:r>
      <w:r w:rsidR="005B1337" w:rsidRPr="00795774">
        <w:rPr>
          <w:szCs w:val="22"/>
          <w:highlight w:val="yellow"/>
        </w:rPr>
        <w:fldChar w:fldCharType="separate"/>
      </w:r>
      <w:r w:rsidR="00966532" w:rsidRPr="00966532">
        <w:t xml:space="preserve">Table </w:t>
      </w:r>
      <w:r w:rsidR="00966532" w:rsidRPr="00966532">
        <w:rPr>
          <w:noProof/>
        </w:rPr>
        <w:t>8</w:t>
      </w:r>
      <w:r w:rsidR="00966532" w:rsidRPr="00966532">
        <w:rPr>
          <w:noProof/>
        </w:rPr>
        <w:noBreakHyphen/>
        <w:t>4</w:t>
      </w:r>
      <w:r w:rsidR="005B1337" w:rsidRPr="00795774">
        <w:rPr>
          <w:szCs w:val="22"/>
          <w:highlight w:val="yellow"/>
        </w:rPr>
        <w:fldChar w:fldCharType="end"/>
      </w:r>
      <w:r w:rsidR="005B1337" w:rsidRPr="00795774">
        <w:rPr>
          <w:szCs w:val="22"/>
        </w:rPr>
        <w:t xml:space="preserve">. </w:t>
      </w:r>
      <w:r w:rsidRPr="00795774">
        <w:rPr>
          <w:szCs w:val="22"/>
        </w:rPr>
        <w:t>Overall, it</w:t>
      </w:r>
      <w:r>
        <w:rPr>
          <w:szCs w:val="22"/>
        </w:rPr>
        <w:t xml:space="preserve"> was recognised that </w:t>
      </w:r>
      <w:r w:rsidRPr="00486BC4">
        <w:rPr>
          <w:szCs w:val="22"/>
        </w:rPr>
        <w:t xml:space="preserve">there is a moderate </w:t>
      </w:r>
      <w:r>
        <w:rPr>
          <w:szCs w:val="22"/>
        </w:rPr>
        <w:t xml:space="preserve">to high </w:t>
      </w:r>
      <w:r w:rsidRPr="00486BC4">
        <w:rPr>
          <w:szCs w:val="22"/>
        </w:rPr>
        <w:t xml:space="preserve">degree of difficulty in developing </w:t>
      </w:r>
      <w:r>
        <w:rPr>
          <w:szCs w:val="22"/>
        </w:rPr>
        <w:t xml:space="preserve">an ASR </w:t>
      </w:r>
      <w:r w:rsidRPr="00486BC4">
        <w:rPr>
          <w:szCs w:val="22"/>
        </w:rPr>
        <w:t xml:space="preserve">option </w:t>
      </w:r>
      <w:r>
        <w:rPr>
          <w:szCs w:val="22"/>
        </w:rPr>
        <w:t>at Jimargil</w:t>
      </w:r>
      <w:r w:rsidRPr="00486BC4">
        <w:rPr>
          <w:szCs w:val="22"/>
        </w:rPr>
        <w:t>. In part</w:t>
      </w:r>
      <w:r>
        <w:rPr>
          <w:szCs w:val="22"/>
        </w:rPr>
        <w:t>,</w:t>
      </w:r>
      <w:r w:rsidRPr="00486BC4">
        <w:rPr>
          <w:szCs w:val="22"/>
        </w:rPr>
        <w:t xml:space="preserve"> this is</w:t>
      </w:r>
      <w:r w:rsidRPr="003B27A6">
        <w:rPr>
          <w:szCs w:val="22"/>
        </w:rPr>
        <w:t xml:space="preserve"> due to the data paucity and the pioneering nature of the project. </w:t>
      </w:r>
      <w:r w:rsidR="00777798">
        <w:rPr>
          <w:szCs w:val="22"/>
        </w:rPr>
        <w:t>T</w:t>
      </w:r>
      <w:r w:rsidRPr="003B27A6">
        <w:rPr>
          <w:szCs w:val="22"/>
        </w:rPr>
        <w:t xml:space="preserve">he hydrogeological complexity in the area </w:t>
      </w:r>
      <w:r w:rsidR="00777798">
        <w:rPr>
          <w:szCs w:val="22"/>
        </w:rPr>
        <w:t xml:space="preserve">which </w:t>
      </w:r>
      <w:r w:rsidRPr="003B27A6">
        <w:rPr>
          <w:szCs w:val="22"/>
        </w:rPr>
        <w:t>provide</w:t>
      </w:r>
      <w:r w:rsidR="00777798">
        <w:rPr>
          <w:szCs w:val="22"/>
        </w:rPr>
        <w:t>s</w:t>
      </w:r>
      <w:r w:rsidRPr="003B27A6">
        <w:rPr>
          <w:szCs w:val="22"/>
        </w:rPr>
        <w:t xml:space="preserve"> a diversity of potential </w:t>
      </w:r>
      <w:smartTag w:uri="urn:schemas-microsoft-com:office:smarttags" w:element="stockticker">
        <w:r w:rsidRPr="003B27A6">
          <w:rPr>
            <w:szCs w:val="22"/>
          </w:rPr>
          <w:t>MAR</w:t>
        </w:r>
      </w:smartTag>
      <w:r w:rsidRPr="003B27A6">
        <w:rPr>
          <w:szCs w:val="22"/>
        </w:rPr>
        <w:t xml:space="preserve"> alternatives also brings with it the challenges of understanding key processes. </w:t>
      </w:r>
    </w:p>
    <w:p w:rsidR="008F4F0D" w:rsidRDefault="008F4F0D" w:rsidP="00E04B4B">
      <w:pPr>
        <w:rPr>
          <w:szCs w:val="22"/>
        </w:rPr>
      </w:pPr>
    </w:p>
    <w:p w:rsidR="00300215" w:rsidRDefault="008F4F0D" w:rsidP="00E04B4B">
      <w:pPr>
        <w:rPr>
          <w:szCs w:val="22"/>
        </w:rPr>
      </w:pPr>
      <w:r>
        <w:rPr>
          <w:szCs w:val="22"/>
        </w:rPr>
        <w:t xml:space="preserve">On the basis of the assessments, it was </w:t>
      </w:r>
      <w:r w:rsidRPr="00EA296E">
        <w:rPr>
          <w:szCs w:val="22"/>
        </w:rPr>
        <w:t xml:space="preserve">recommended that the project proceed to Phase </w:t>
      </w:r>
      <w:r>
        <w:rPr>
          <w:szCs w:val="22"/>
        </w:rPr>
        <w:t xml:space="preserve">3. </w:t>
      </w:r>
      <w:r w:rsidRPr="003B27A6">
        <w:rPr>
          <w:szCs w:val="22"/>
        </w:rPr>
        <w:t xml:space="preserve">The </w:t>
      </w:r>
      <w:r>
        <w:rPr>
          <w:szCs w:val="22"/>
        </w:rPr>
        <w:t xml:space="preserve">Phase 2 </w:t>
      </w:r>
      <w:r w:rsidRPr="00AD2035">
        <w:rPr>
          <w:szCs w:val="22"/>
        </w:rPr>
        <w:t>assessments identified a number of issues that warranted further analysis, as anticipated, both in source water quality suitability, and in groundwater hydrogeochemistry. It was recognised that the key issues that required further investi</w:t>
      </w:r>
      <w:smartTag w:uri="urn:schemas-microsoft-com:office:smarttags" w:element="PersonName">
        <w:r w:rsidRPr="00AD2035">
          <w:rPr>
            <w:szCs w:val="22"/>
          </w:rPr>
          <w:t>ga</w:t>
        </w:r>
      </w:smartTag>
      <w:r w:rsidRPr="00AD2035">
        <w:rPr>
          <w:szCs w:val="22"/>
        </w:rPr>
        <w:t>tion were source water quality, variability in groundwater salinity and potential element exceed</w:t>
      </w:r>
      <w:r w:rsidR="00C43508" w:rsidRPr="00AD2035">
        <w:rPr>
          <w:szCs w:val="22"/>
        </w:rPr>
        <w:t>a</w:t>
      </w:r>
      <w:r w:rsidRPr="00AD2035">
        <w:rPr>
          <w:szCs w:val="22"/>
        </w:rPr>
        <w:t xml:space="preserve">nces, clay dispersion of aquifer clay material, acidification, and mobilisation of </w:t>
      </w:r>
      <w:r w:rsidR="00A206C9" w:rsidRPr="00AD2035">
        <w:rPr>
          <w:szCs w:val="22"/>
        </w:rPr>
        <w:t>r</w:t>
      </w:r>
      <w:r w:rsidRPr="00AD2035">
        <w:rPr>
          <w:szCs w:val="22"/>
        </w:rPr>
        <w:t>edox-sensitive trace species (Lawrie</w:t>
      </w:r>
      <w:r w:rsidR="008A5F7D" w:rsidRPr="00CF7613">
        <w:rPr>
          <w:rStyle w:val="StyleItalic"/>
        </w:rPr>
        <w:t xml:space="preserve"> et al</w:t>
      </w:r>
      <w:r w:rsidRPr="00AD2035">
        <w:rPr>
          <w:szCs w:val="22"/>
        </w:rPr>
        <w:t>., 2010a).</w:t>
      </w:r>
      <w:r>
        <w:rPr>
          <w:szCs w:val="22"/>
        </w:rPr>
        <w:t xml:space="preserve"> </w:t>
      </w:r>
    </w:p>
    <w:p w:rsidR="00300215" w:rsidRDefault="00C07D79" w:rsidP="00EF7E00">
      <w:pPr>
        <w:pStyle w:val="Heading3"/>
        <w:tabs>
          <w:tab w:val="left" w:pos="1080"/>
        </w:tabs>
        <w:spacing w:before="320"/>
        <w:ind w:left="1080" w:hanging="1080"/>
      </w:pPr>
      <w:bookmarkStart w:id="590" w:name="_Toc325700128"/>
      <w:bookmarkStart w:id="591" w:name="_Toc325700471"/>
      <w:bookmarkStart w:id="592" w:name="_Toc325975155"/>
      <w:bookmarkStart w:id="593" w:name="_Toc390690148"/>
      <w:r>
        <w:t xml:space="preserve">BHMAR </w:t>
      </w:r>
      <w:r w:rsidR="00300215">
        <w:t>Phase 3</w:t>
      </w:r>
      <w:r>
        <w:t>:</w:t>
      </w:r>
      <w:r w:rsidR="00300215">
        <w:t xml:space="preserve"> Pre-Commissioning Maximal and Residual Risk Assessments</w:t>
      </w:r>
      <w:bookmarkEnd w:id="590"/>
      <w:bookmarkEnd w:id="591"/>
      <w:r>
        <w:t xml:space="preserve"> for ASR at Jimargil</w:t>
      </w:r>
      <w:bookmarkEnd w:id="592"/>
      <w:bookmarkEnd w:id="593"/>
    </w:p>
    <w:p w:rsidR="00300215" w:rsidRPr="0070746C" w:rsidRDefault="00300215" w:rsidP="00300215">
      <w:pPr>
        <w:pStyle w:val="BodyText"/>
        <w:spacing w:after="0" w:line="240" w:lineRule="auto"/>
      </w:pPr>
      <w:r w:rsidRPr="0070746C">
        <w:t xml:space="preserve">In Phase 3 of the project, a pre-commissioning risk assessment was carried out for the Jimargil (EB-J-W) site, following the risk assessment process of the </w:t>
      </w:r>
      <w:r w:rsidRPr="0070746C">
        <w:rPr>
          <w:i/>
        </w:rPr>
        <w:t>Australian Guidelines for Water Recycling: Managed Aquifer Recharge</w:t>
      </w:r>
      <w:r w:rsidRPr="0070746C">
        <w:t xml:space="preserve"> (NRMMC–EPHC–NHMRC</w:t>
      </w:r>
      <w:r w:rsidR="0089737C">
        <w:t>,</w:t>
      </w:r>
      <w:r w:rsidRPr="0070746C">
        <w:t xml:space="preserve"> </w:t>
      </w:r>
      <w:r w:rsidR="0089737C">
        <w:t>2009</w:t>
      </w:r>
      <w:r w:rsidRPr="0070746C">
        <w:t xml:space="preserve">). The assessment also addresses the </w:t>
      </w:r>
      <w:r w:rsidRPr="0070746C">
        <w:rPr>
          <w:i/>
        </w:rPr>
        <w:t>Australian Guidelines for Water Recycling: Augmentation of Drinking Water Supplies</w:t>
      </w:r>
      <w:r w:rsidRPr="0070746C">
        <w:t xml:space="preserve"> (NRMMC–EPHC–NHMRC 2008; </w:t>
      </w:r>
      <w:r w:rsidRPr="0070746C">
        <w:rPr>
          <w:rFonts w:cs="Times New Roman"/>
          <w:szCs w:val="22"/>
        </w:rPr>
        <w:t>NHMRC-NRMMC, 2011</w:t>
      </w:r>
      <w:r w:rsidRPr="0070746C">
        <w:t>).</w:t>
      </w:r>
    </w:p>
    <w:p w:rsidR="00300215" w:rsidRPr="0070746C" w:rsidRDefault="00300215" w:rsidP="00300215"/>
    <w:p w:rsidR="00300215" w:rsidRPr="00935679" w:rsidRDefault="00300215" w:rsidP="00300215">
      <w:r w:rsidRPr="00935679">
        <w:t xml:space="preserve">Risks were assessed for twelve hazard types identified in the </w:t>
      </w:r>
      <w:smartTag w:uri="urn:schemas-microsoft-com:office:smarttags" w:element="stockticker">
        <w:r w:rsidRPr="00935679">
          <w:t>MAR</w:t>
        </w:r>
      </w:smartTag>
      <w:r w:rsidRPr="00935679">
        <w:t xml:space="preserve"> Gu</w:t>
      </w:r>
      <w:r w:rsidR="008C2768" w:rsidRPr="00935679">
        <w:t>idelines (NRMMC–EPHC–NHMRC 2009</w:t>
      </w:r>
      <w:r w:rsidRPr="00935679">
        <w:t>; Lawrie</w:t>
      </w:r>
      <w:r w:rsidR="008A5F7D" w:rsidRPr="00CF7613">
        <w:rPr>
          <w:rStyle w:val="StyleItalic"/>
        </w:rPr>
        <w:t xml:space="preserve"> et al</w:t>
      </w:r>
      <w:r w:rsidRPr="00935679">
        <w:t>., 2010a, b</w:t>
      </w:r>
      <w:r w:rsidR="00935679">
        <w:t>, 2012c, d</w:t>
      </w:r>
      <w:r w:rsidRPr="00935679">
        <w:t>; Page</w:t>
      </w:r>
      <w:r w:rsidR="008A5F7D" w:rsidRPr="00CF7613">
        <w:rPr>
          <w:rStyle w:val="StyleItalic"/>
        </w:rPr>
        <w:t xml:space="preserve"> et al</w:t>
      </w:r>
      <w:r w:rsidRPr="00CF7613">
        <w:rPr>
          <w:rStyle w:val="StyleItalic"/>
        </w:rPr>
        <w:t>.,</w:t>
      </w:r>
      <w:r w:rsidRPr="00935679">
        <w:t xml:space="preserve"> </w:t>
      </w:r>
      <w:r w:rsidR="003015AB" w:rsidRPr="00935679">
        <w:t xml:space="preserve">2010b, </w:t>
      </w:r>
      <w:r w:rsidRPr="00935679">
        <w:t xml:space="preserve">2012). Of these, several water quality hazards received increased attention as it became evident that these carried a higher level of risk. This included geochemical assessment, hydrogeological modelling and laboratory column clogging studies to assess source water treatment requirements. </w:t>
      </w:r>
    </w:p>
    <w:p w:rsidR="00300215" w:rsidRPr="00935679" w:rsidRDefault="00300215" w:rsidP="00300215"/>
    <w:p w:rsidR="00834708" w:rsidRPr="00795774" w:rsidRDefault="00834708" w:rsidP="00834708">
      <w:r w:rsidRPr="00935679">
        <w:t>For hazards 1 to 7 fo</w:t>
      </w:r>
      <w:r w:rsidR="00777798" w:rsidRPr="00935679">
        <w:t>r</w:t>
      </w:r>
      <w:r w:rsidRPr="00935679">
        <w:t xml:space="preserve"> the human health end</w:t>
      </w:r>
      <w:r w:rsidRPr="0070746C">
        <w:t xml:space="preserve"> point</w:t>
      </w:r>
      <w:r w:rsidR="00777798">
        <w:t>,</w:t>
      </w:r>
      <w:r w:rsidRPr="0070746C">
        <w:t xml:space="preserve"> the Australian Drinking Water Guideline </w:t>
      </w:r>
      <w:r w:rsidR="00537BDA">
        <w:t xml:space="preserve">(ADWG2011) </w:t>
      </w:r>
      <w:r w:rsidRPr="0070746C">
        <w:t xml:space="preserve">values were compared to the water quality data (untreated </w:t>
      </w:r>
      <w:r w:rsidRPr="00795774">
        <w:t>Darling River water</w:t>
      </w:r>
      <w:r w:rsidR="00777798">
        <w:t>;</w:t>
      </w:r>
      <w:r w:rsidR="00B03359">
        <w:t xml:space="preserve"> Appendix 6,</w:t>
      </w:r>
      <w:r w:rsidR="00777798">
        <w:t xml:space="preserve"> Somerville</w:t>
      </w:r>
      <w:r w:rsidR="008A5F7D" w:rsidRPr="00CF7613">
        <w:rPr>
          <w:rStyle w:val="StyleItalic"/>
        </w:rPr>
        <w:t xml:space="preserve"> et al</w:t>
      </w:r>
      <w:r w:rsidR="00777798" w:rsidRPr="00CF7613">
        <w:rPr>
          <w:rStyle w:val="StyleItalic"/>
        </w:rPr>
        <w:t>.,</w:t>
      </w:r>
      <w:r w:rsidR="00777798">
        <w:t xml:space="preserve"> 2012</w:t>
      </w:r>
      <w:r w:rsidRPr="00795774">
        <w:t>) (</w:t>
      </w:r>
      <w:r w:rsidRPr="00795774">
        <w:fldChar w:fldCharType="begin"/>
      </w:r>
      <w:r w:rsidRPr="00795774">
        <w:instrText xml:space="preserve"> REF _Ref325709720 \h  \* MERGEFORMAT </w:instrText>
      </w:r>
      <w:r w:rsidRPr="00795774">
        <w:fldChar w:fldCharType="separate"/>
      </w:r>
      <w:r w:rsidR="00966532" w:rsidRPr="00966532">
        <w:t xml:space="preserve">Table </w:t>
      </w:r>
      <w:r w:rsidR="00966532" w:rsidRPr="00966532">
        <w:rPr>
          <w:noProof/>
        </w:rPr>
        <w:t>8</w:t>
      </w:r>
      <w:r w:rsidR="00966532" w:rsidRPr="00966532">
        <w:rPr>
          <w:noProof/>
        </w:rPr>
        <w:noBreakHyphen/>
        <w:t>5</w:t>
      </w:r>
      <w:r w:rsidRPr="00795774">
        <w:fldChar w:fldCharType="end"/>
      </w:r>
      <w:r w:rsidRPr="00795774">
        <w:t>). For hazards 1 to 11 for the environmental end</w:t>
      </w:r>
      <w:r w:rsidR="00777798">
        <w:t xml:space="preserve"> </w:t>
      </w:r>
      <w:r w:rsidRPr="00795774">
        <w:t>point, the aquifer’s beneficial use was conservatively assumed to be for irrigation supplies and for ecosystem support of the s</w:t>
      </w:r>
      <w:r w:rsidR="00937821">
        <w:t>hallow</w:t>
      </w:r>
      <w:r w:rsidRPr="00795774">
        <w:t xml:space="preserve"> aquifer (</w:t>
      </w:r>
      <w:r w:rsidRPr="00795774">
        <w:fldChar w:fldCharType="begin"/>
      </w:r>
      <w:r w:rsidRPr="00795774">
        <w:instrText xml:space="preserve"> REF _Ref325709720 \h  \* MERGEFORMAT </w:instrText>
      </w:r>
      <w:r w:rsidRPr="00795774">
        <w:fldChar w:fldCharType="separate"/>
      </w:r>
      <w:r w:rsidR="00966532" w:rsidRPr="00966532">
        <w:t xml:space="preserve">Table </w:t>
      </w:r>
      <w:r w:rsidR="00966532" w:rsidRPr="00966532">
        <w:rPr>
          <w:noProof/>
        </w:rPr>
        <w:t>8</w:t>
      </w:r>
      <w:r w:rsidR="00966532" w:rsidRPr="00966532">
        <w:rPr>
          <w:noProof/>
        </w:rPr>
        <w:noBreakHyphen/>
        <w:t>5</w:t>
      </w:r>
      <w:r w:rsidRPr="00795774">
        <w:fldChar w:fldCharType="end"/>
      </w:r>
      <w:r w:rsidRPr="00795774">
        <w:t>). For each hazard where the 95</w:t>
      </w:r>
      <w:r w:rsidRPr="00795774">
        <w:rPr>
          <w:vertAlign w:val="superscript"/>
        </w:rPr>
        <w:t>th</w:t>
      </w:r>
      <w:r w:rsidRPr="00795774">
        <w:t xml:space="preserve"> percentile value exceeded the water quality guideline the risk was deemed high (coloured red) and where the 95</w:t>
      </w:r>
      <w:r w:rsidRPr="00937821">
        <w:rPr>
          <w:vertAlign w:val="superscript"/>
        </w:rPr>
        <w:t>th</w:t>
      </w:r>
      <w:r w:rsidRPr="00795774">
        <w:t xml:space="preserve"> percentile was below it was considered low (coloured green), and where the value was unknown it was labelled unknown (coloured orange). However, there is no difference between requirements for additional data where the maximal risk is unknown or high. For hazard 12, energy and greenhouse gas considerations the environmental endpoint is the biosphere (</w:t>
      </w:r>
      <w:r w:rsidRPr="00795774">
        <w:fldChar w:fldCharType="begin"/>
      </w:r>
      <w:r w:rsidRPr="00795774">
        <w:instrText xml:space="preserve"> REF _Ref325709720 \h  \* MERGEFORMAT </w:instrText>
      </w:r>
      <w:r w:rsidRPr="00795774">
        <w:fldChar w:fldCharType="separate"/>
      </w:r>
      <w:r w:rsidR="00966532" w:rsidRPr="00966532">
        <w:t xml:space="preserve">Table </w:t>
      </w:r>
      <w:r w:rsidR="00966532" w:rsidRPr="00966532">
        <w:rPr>
          <w:noProof/>
        </w:rPr>
        <w:t>8</w:t>
      </w:r>
      <w:r w:rsidR="00966532" w:rsidRPr="00966532">
        <w:rPr>
          <w:noProof/>
        </w:rPr>
        <w:noBreakHyphen/>
        <w:t>5</w:t>
      </w:r>
      <w:r w:rsidRPr="00795774">
        <w:fldChar w:fldCharType="end"/>
      </w:r>
      <w:r w:rsidRPr="00795774">
        <w:t>).</w:t>
      </w:r>
    </w:p>
    <w:p w:rsidR="00834708" w:rsidRDefault="00834708" w:rsidP="00834708">
      <w:pPr>
        <w:pStyle w:val="BodyText"/>
        <w:spacing w:after="0" w:line="240" w:lineRule="auto"/>
      </w:pPr>
      <w:r w:rsidRPr="00795774">
        <w:lastRenderedPageBreak/>
        <w:fldChar w:fldCharType="begin"/>
      </w:r>
      <w:r w:rsidRPr="00795774">
        <w:instrText xml:space="preserve"> REF _Ref325709740 \h  \* MERGEFORMAT </w:instrText>
      </w:r>
      <w:r w:rsidRPr="00795774">
        <w:fldChar w:fldCharType="separate"/>
      </w:r>
      <w:r w:rsidR="00966532" w:rsidRPr="00966532">
        <w:t xml:space="preserve">Table </w:t>
      </w:r>
      <w:r w:rsidR="00966532" w:rsidRPr="00966532">
        <w:rPr>
          <w:noProof/>
        </w:rPr>
        <w:t>8</w:t>
      </w:r>
      <w:r w:rsidR="00966532" w:rsidRPr="00966532">
        <w:rPr>
          <w:noProof/>
        </w:rPr>
        <w:noBreakHyphen/>
        <w:t>6</w:t>
      </w:r>
      <w:r w:rsidRPr="00795774">
        <w:fldChar w:fldCharType="end"/>
      </w:r>
      <w:r w:rsidRPr="00795774">
        <w:t xml:space="preserve"> summarises the results of the semi-quantitative residual risk assessment for the BHMAR system using the same approach as for the maximal risk assessment but with inclusion</w:t>
      </w:r>
      <w:r w:rsidRPr="0070746C">
        <w:t xml:space="preserve"> of all the barriers: source control; bank filtration or engineered pre-treatment (coagulation/flocculation and chlorination); aquifer treatment; engineered post-treatment (coagulation/flocculation, rapid sand filtration, UV disinfection, chlorination and powdered activated carbon dosing if required).</w:t>
      </w:r>
    </w:p>
    <w:p w:rsidR="00300215" w:rsidRDefault="00300215" w:rsidP="00300215"/>
    <w:p w:rsidR="00300215" w:rsidRPr="00723815" w:rsidRDefault="00300215" w:rsidP="00CE66AD">
      <w:pPr>
        <w:rPr>
          <w:rFonts w:cs="Angsana New"/>
          <w:szCs w:val="22"/>
          <w:lang w:eastAsia="zh-CN" w:bidi="th-TH"/>
        </w:rPr>
      </w:pPr>
      <w:r w:rsidRPr="00CA54E3">
        <w:rPr>
          <w:lang w:eastAsia="zh-CN" w:bidi="th-TH"/>
        </w:rPr>
        <w:t xml:space="preserve">Geochemical assessment has identified a small number of risks with respect to water quality guidelines and potential clogging of </w:t>
      </w:r>
      <w:r w:rsidRPr="00935679">
        <w:rPr>
          <w:lang w:eastAsia="zh-CN" w:bidi="th-TH"/>
        </w:rPr>
        <w:t>wells</w:t>
      </w:r>
      <w:r w:rsidR="00935679" w:rsidRPr="00935679">
        <w:rPr>
          <w:lang w:eastAsia="zh-CN" w:bidi="th-TH"/>
        </w:rPr>
        <w:t xml:space="preserve"> (Lawrie</w:t>
      </w:r>
      <w:r w:rsidR="008A5F7D" w:rsidRPr="00CF7613">
        <w:rPr>
          <w:rStyle w:val="StyleItalic"/>
        </w:rPr>
        <w:t xml:space="preserve"> et al</w:t>
      </w:r>
      <w:r w:rsidR="00935679" w:rsidRPr="00935679">
        <w:rPr>
          <w:lang w:eastAsia="zh-CN" w:bidi="th-TH"/>
        </w:rPr>
        <w:t>., 2010b, 2012c, d; Vanderzalm</w:t>
      </w:r>
      <w:r w:rsidR="008A5F7D" w:rsidRPr="00CF7613">
        <w:rPr>
          <w:rStyle w:val="StyleItalic"/>
        </w:rPr>
        <w:t xml:space="preserve"> et al</w:t>
      </w:r>
      <w:r w:rsidR="00935679" w:rsidRPr="00935679">
        <w:rPr>
          <w:lang w:eastAsia="zh-CN" w:bidi="th-TH"/>
        </w:rPr>
        <w:t>., 2012)</w:t>
      </w:r>
      <w:r w:rsidRPr="00935679">
        <w:rPr>
          <w:lang w:eastAsia="zh-CN" w:bidi="th-TH"/>
        </w:rPr>
        <w:t xml:space="preserve">. However, all of the issues identified to date can be readily dealt with by pre-treatment of source waters and standard post-recovery treatment processes. </w:t>
      </w:r>
      <w:r w:rsidR="00777798" w:rsidRPr="00935679">
        <w:rPr>
          <w:lang w:eastAsia="zh-CN" w:bidi="th-TH"/>
        </w:rPr>
        <w:t xml:space="preserve">This is discussed in more detail in </w:t>
      </w:r>
      <w:r w:rsidR="00777798" w:rsidRPr="00935679">
        <w:rPr>
          <w:rFonts w:cs="Arial"/>
          <w:szCs w:val="18"/>
        </w:rPr>
        <w:t>Lawrie</w:t>
      </w:r>
      <w:r w:rsidR="008A5F7D" w:rsidRPr="00CF7613">
        <w:rPr>
          <w:rStyle w:val="StyleItalic"/>
        </w:rPr>
        <w:t xml:space="preserve"> et al</w:t>
      </w:r>
      <w:r w:rsidR="00777798" w:rsidRPr="00935679">
        <w:rPr>
          <w:rFonts w:cs="Arial"/>
          <w:szCs w:val="18"/>
        </w:rPr>
        <w:t xml:space="preserve">. (2012c). </w:t>
      </w:r>
      <w:smartTag w:uri="urn:schemas-microsoft-com:office:smarttags" w:element="PersonName">
        <w:r w:rsidRPr="00935679">
          <w:rPr>
            <w:lang w:eastAsia="zh-CN" w:bidi="th-TH"/>
          </w:rPr>
          <w:t>Groundwater</w:t>
        </w:r>
      </w:smartTag>
      <w:r w:rsidRPr="00CA54E3">
        <w:rPr>
          <w:lang w:eastAsia="zh-CN" w:bidi="th-TH"/>
        </w:rPr>
        <w:t xml:space="preserve"> modelling </w:t>
      </w:r>
      <w:r w:rsidR="00777798">
        <w:rPr>
          <w:lang w:eastAsia="zh-CN" w:bidi="th-TH"/>
        </w:rPr>
        <w:t xml:space="preserve">(Apps </w:t>
      </w:r>
      <w:r w:rsidR="003F328C">
        <w:rPr>
          <w:lang w:eastAsia="zh-CN" w:bidi="th-TH"/>
        </w:rPr>
        <w:t>&amp;</w:t>
      </w:r>
      <w:r w:rsidR="00777798">
        <w:rPr>
          <w:lang w:eastAsia="zh-CN" w:bidi="th-TH"/>
        </w:rPr>
        <w:t xml:space="preserve"> Lawrie, 2012) </w:t>
      </w:r>
      <w:r w:rsidRPr="00CA54E3">
        <w:rPr>
          <w:lang w:eastAsia="zh-CN" w:bidi="th-TH"/>
        </w:rPr>
        <w:t xml:space="preserve">also suggests that </w:t>
      </w:r>
      <w:smartTag w:uri="urn:schemas-microsoft-com:office:smarttags" w:element="stockticker">
        <w:r w:rsidRPr="00CA54E3">
          <w:rPr>
            <w:lang w:eastAsia="zh-CN" w:bidi="th-TH"/>
          </w:rPr>
          <w:t>ASR</w:t>
        </w:r>
      </w:smartTag>
      <w:r w:rsidRPr="00CA54E3">
        <w:rPr>
          <w:lang w:eastAsia="zh-CN" w:bidi="th-TH"/>
        </w:rPr>
        <w:t xml:space="preserve"> at this site will produce a much higher quality water supply t</w:t>
      </w:r>
      <w:r>
        <w:rPr>
          <w:lang w:eastAsia="zh-CN" w:bidi="th-TH"/>
        </w:rPr>
        <w:t xml:space="preserve">han from groundwater extraction </w:t>
      </w:r>
      <w:r w:rsidRPr="00CA54E3">
        <w:rPr>
          <w:lang w:eastAsia="zh-CN" w:bidi="th-TH"/>
        </w:rPr>
        <w:t>only.</w:t>
      </w:r>
      <w:r w:rsidR="00C07D79">
        <w:rPr>
          <w:lang w:eastAsia="zh-CN" w:bidi="th-TH"/>
        </w:rPr>
        <w:t xml:space="preserve"> </w:t>
      </w:r>
      <w:r w:rsidR="00834708">
        <w:rPr>
          <w:lang w:eastAsia="zh-CN" w:bidi="th-TH"/>
        </w:rPr>
        <w:t>The</w:t>
      </w:r>
      <w:r w:rsidR="00C07D79">
        <w:rPr>
          <w:lang w:eastAsia="zh-CN" w:bidi="th-TH"/>
        </w:rPr>
        <w:t xml:space="preserve"> </w:t>
      </w:r>
      <w:r w:rsidR="00834708">
        <w:rPr>
          <w:lang w:eastAsia="zh-CN" w:bidi="th-TH"/>
        </w:rPr>
        <w:t>main points from the pr</w:t>
      </w:r>
      <w:r w:rsidR="00E57182">
        <w:rPr>
          <w:lang w:eastAsia="zh-CN" w:bidi="th-TH"/>
        </w:rPr>
        <w:t xml:space="preserve">e-commissioning risk assessments </w:t>
      </w:r>
      <w:r w:rsidR="00834708">
        <w:rPr>
          <w:lang w:eastAsia="zh-CN" w:bidi="th-TH"/>
        </w:rPr>
        <w:t>are summarised below:</w:t>
      </w:r>
    </w:p>
    <w:p w:rsidR="00300215" w:rsidRPr="00525C2A" w:rsidRDefault="00834708" w:rsidP="00834708">
      <w:pPr>
        <w:numPr>
          <w:ilvl w:val="0"/>
          <w:numId w:val="33"/>
        </w:numPr>
        <w:tabs>
          <w:tab w:val="clear" w:pos="720"/>
          <w:tab w:val="num" w:pos="540"/>
        </w:tabs>
        <w:spacing w:before="120"/>
        <w:ind w:left="540" w:hanging="540"/>
        <w:rPr>
          <w:lang w:eastAsia="zh-CN" w:bidi="th-TH"/>
        </w:rPr>
      </w:pPr>
      <w:r>
        <w:rPr>
          <w:lang w:eastAsia="zh-CN" w:bidi="th-TH"/>
        </w:rPr>
        <w:t>The</w:t>
      </w:r>
      <w:r w:rsidRPr="00834708">
        <w:rPr>
          <w:lang w:eastAsia="zh-CN" w:bidi="th-TH"/>
        </w:rPr>
        <w:t xml:space="preserve"> pre-commissioning </w:t>
      </w:r>
      <w:r w:rsidR="002248EF">
        <w:rPr>
          <w:lang w:eastAsia="zh-CN" w:bidi="th-TH"/>
        </w:rPr>
        <w:t>maximal</w:t>
      </w:r>
      <w:r w:rsidR="002248EF" w:rsidRPr="00834708">
        <w:rPr>
          <w:lang w:eastAsia="zh-CN" w:bidi="th-TH"/>
        </w:rPr>
        <w:t xml:space="preserve"> </w:t>
      </w:r>
      <w:r w:rsidRPr="00834708">
        <w:rPr>
          <w:lang w:eastAsia="zh-CN" w:bidi="th-TH"/>
        </w:rPr>
        <w:t xml:space="preserve">risk assessment has shown that the main risks to an ASR scheme at the Jimargil site are biological, physical and chemical clogging related to the mixing of oxygenated river source water with more reduced ambient </w:t>
      </w:r>
      <w:r w:rsidRPr="00795774">
        <w:rPr>
          <w:lang w:eastAsia="zh-CN" w:bidi="th-TH"/>
        </w:rPr>
        <w:t>groundwater (</w:t>
      </w:r>
      <w:r w:rsidR="005B1337" w:rsidRPr="00795774">
        <w:rPr>
          <w:highlight w:val="yellow"/>
          <w:lang w:eastAsia="zh-CN" w:bidi="th-TH"/>
        </w:rPr>
        <w:fldChar w:fldCharType="begin"/>
      </w:r>
      <w:r w:rsidR="005B1337" w:rsidRPr="00795774">
        <w:rPr>
          <w:lang w:eastAsia="zh-CN" w:bidi="th-TH"/>
        </w:rPr>
        <w:instrText xml:space="preserve"> REF _Ref325709720 \h </w:instrText>
      </w:r>
      <w:r w:rsidR="00795774" w:rsidRPr="00795774">
        <w:rPr>
          <w:highlight w:val="yellow"/>
          <w:lang w:eastAsia="zh-CN" w:bidi="th-TH"/>
        </w:rPr>
        <w:instrText xml:space="preserve"> \* MERGEFORMAT </w:instrText>
      </w:r>
      <w:r w:rsidR="005B1337" w:rsidRPr="00795774">
        <w:rPr>
          <w:highlight w:val="yellow"/>
          <w:lang w:eastAsia="zh-CN" w:bidi="th-TH"/>
        </w:rPr>
      </w:r>
      <w:r w:rsidR="005B1337" w:rsidRPr="00795774">
        <w:rPr>
          <w:highlight w:val="yellow"/>
          <w:lang w:eastAsia="zh-CN" w:bidi="th-TH"/>
        </w:rPr>
        <w:fldChar w:fldCharType="separate"/>
      </w:r>
      <w:r w:rsidR="00966532" w:rsidRPr="00966532">
        <w:t xml:space="preserve">Table </w:t>
      </w:r>
      <w:r w:rsidR="00966532" w:rsidRPr="00966532">
        <w:rPr>
          <w:noProof/>
        </w:rPr>
        <w:t>8</w:t>
      </w:r>
      <w:r w:rsidR="00966532" w:rsidRPr="00966532">
        <w:rPr>
          <w:noProof/>
        </w:rPr>
        <w:noBreakHyphen/>
        <w:t>5</w:t>
      </w:r>
      <w:r w:rsidR="005B1337" w:rsidRPr="00795774">
        <w:rPr>
          <w:highlight w:val="yellow"/>
          <w:lang w:eastAsia="zh-CN" w:bidi="th-TH"/>
        </w:rPr>
        <w:fldChar w:fldCharType="end"/>
      </w:r>
      <w:r w:rsidRPr="00795774">
        <w:rPr>
          <w:lang w:eastAsia="zh-CN" w:bidi="th-TH"/>
        </w:rPr>
        <w:t>). More</w:t>
      </w:r>
      <w:r>
        <w:rPr>
          <w:lang w:eastAsia="zh-CN" w:bidi="th-TH"/>
        </w:rPr>
        <w:t xml:space="preserve"> specifically, th</w:t>
      </w:r>
      <w:r w:rsidR="00300215">
        <w:rPr>
          <w:lang w:eastAsia="zh-CN" w:bidi="th-TH"/>
        </w:rPr>
        <w:t xml:space="preserve">e main water quality </w:t>
      </w:r>
      <w:r w:rsidR="00300215" w:rsidRPr="00F411ED">
        <w:rPr>
          <w:b/>
          <w:lang w:eastAsia="zh-CN" w:bidi="th-TH"/>
        </w:rPr>
        <w:t>maximal risks</w:t>
      </w:r>
      <w:r w:rsidR="00300215">
        <w:rPr>
          <w:lang w:eastAsia="zh-CN" w:bidi="th-TH"/>
        </w:rPr>
        <w:t xml:space="preserve"> to human health and environment are:</w:t>
      </w:r>
    </w:p>
    <w:p w:rsidR="00300215" w:rsidRDefault="00300215" w:rsidP="00300215">
      <w:pPr>
        <w:pStyle w:val="BodyText"/>
        <w:numPr>
          <w:ilvl w:val="0"/>
          <w:numId w:val="32"/>
        </w:numPr>
        <w:tabs>
          <w:tab w:val="clear" w:pos="720"/>
          <w:tab w:val="num" w:pos="900"/>
        </w:tabs>
        <w:spacing w:before="60" w:after="0" w:line="240" w:lineRule="auto"/>
        <w:ind w:left="896" w:hanging="357"/>
      </w:pPr>
      <w:r>
        <w:t xml:space="preserve">Pathogens (particularly </w:t>
      </w:r>
      <w:r w:rsidRPr="00D565B0">
        <w:rPr>
          <w:i/>
        </w:rPr>
        <w:t>Cryptosporidium</w:t>
      </w:r>
      <w:r>
        <w:t xml:space="preserve">, </w:t>
      </w:r>
      <w:r w:rsidRPr="00D565B0">
        <w:rPr>
          <w:i/>
        </w:rPr>
        <w:t>Giardia</w:t>
      </w:r>
      <w:r>
        <w:t xml:space="preserve"> and bacteria)</w:t>
      </w:r>
    </w:p>
    <w:p w:rsidR="00300215" w:rsidRDefault="00300215" w:rsidP="00300215">
      <w:pPr>
        <w:pStyle w:val="BodyText"/>
        <w:numPr>
          <w:ilvl w:val="0"/>
          <w:numId w:val="32"/>
        </w:numPr>
        <w:tabs>
          <w:tab w:val="clear" w:pos="720"/>
          <w:tab w:val="num" w:pos="900"/>
        </w:tabs>
        <w:spacing w:before="60" w:after="0" w:line="240" w:lineRule="auto"/>
        <w:ind w:left="896" w:hanging="357"/>
      </w:pPr>
      <w:r>
        <w:t>Inorganic chemicals (particularly arsenic and iron)</w:t>
      </w:r>
    </w:p>
    <w:p w:rsidR="00300215" w:rsidRDefault="00300215" w:rsidP="00300215">
      <w:pPr>
        <w:pStyle w:val="BodyText"/>
        <w:numPr>
          <w:ilvl w:val="0"/>
          <w:numId w:val="32"/>
        </w:numPr>
        <w:tabs>
          <w:tab w:val="clear" w:pos="720"/>
          <w:tab w:val="num" w:pos="900"/>
        </w:tabs>
        <w:spacing w:before="60" w:after="0" w:line="240" w:lineRule="auto"/>
        <w:ind w:left="896" w:hanging="357"/>
      </w:pPr>
      <w:r>
        <w:t>Salinity and sodicity</w:t>
      </w:r>
    </w:p>
    <w:p w:rsidR="00300215" w:rsidRDefault="00300215" w:rsidP="00300215">
      <w:pPr>
        <w:pStyle w:val="BodyText"/>
        <w:numPr>
          <w:ilvl w:val="0"/>
          <w:numId w:val="32"/>
        </w:numPr>
        <w:tabs>
          <w:tab w:val="clear" w:pos="720"/>
          <w:tab w:val="num" w:pos="900"/>
        </w:tabs>
        <w:spacing w:before="60" w:after="0" w:line="240" w:lineRule="auto"/>
        <w:ind w:left="896" w:hanging="357"/>
      </w:pPr>
      <w:r>
        <w:t>Nutrients (e.g. ammonia)</w:t>
      </w:r>
    </w:p>
    <w:p w:rsidR="00300215" w:rsidRDefault="00300215" w:rsidP="00300215">
      <w:pPr>
        <w:pStyle w:val="BodyText"/>
        <w:numPr>
          <w:ilvl w:val="0"/>
          <w:numId w:val="32"/>
        </w:numPr>
        <w:tabs>
          <w:tab w:val="clear" w:pos="720"/>
          <w:tab w:val="num" w:pos="900"/>
        </w:tabs>
        <w:spacing w:before="60" w:after="0" w:line="240" w:lineRule="auto"/>
        <w:ind w:left="896" w:hanging="357"/>
      </w:pPr>
      <w:r>
        <w:t>Organic chemicals (e.g. cyanobacterial toxins)</w:t>
      </w:r>
    </w:p>
    <w:p w:rsidR="00300215" w:rsidRDefault="00300215" w:rsidP="00300215">
      <w:pPr>
        <w:pStyle w:val="BodyText"/>
        <w:numPr>
          <w:ilvl w:val="0"/>
          <w:numId w:val="32"/>
        </w:numPr>
        <w:tabs>
          <w:tab w:val="clear" w:pos="720"/>
          <w:tab w:val="num" w:pos="900"/>
        </w:tabs>
        <w:spacing w:before="60" w:after="0" w:line="240" w:lineRule="auto"/>
        <w:ind w:left="896" w:hanging="357"/>
      </w:pPr>
      <w:r>
        <w:t>Turbidity and particulates (affecting disinfection and also potentially causing biological and physical clogging of the ASR well).</w:t>
      </w:r>
    </w:p>
    <w:p w:rsidR="00E57182" w:rsidRPr="00525C2A" w:rsidRDefault="00E57182" w:rsidP="00E57182">
      <w:pPr>
        <w:numPr>
          <w:ilvl w:val="0"/>
          <w:numId w:val="33"/>
        </w:numPr>
        <w:tabs>
          <w:tab w:val="clear" w:pos="720"/>
          <w:tab w:val="num" w:pos="540"/>
        </w:tabs>
        <w:spacing w:before="120"/>
        <w:ind w:left="540" w:hanging="540"/>
        <w:rPr>
          <w:lang w:eastAsia="zh-CN" w:bidi="th-TH"/>
        </w:rPr>
      </w:pPr>
      <w:r>
        <w:rPr>
          <w:lang w:eastAsia="zh-CN" w:bidi="th-TH"/>
        </w:rPr>
        <w:t xml:space="preserve">Overall, </w:t>
      </w:r>
      <w:r w:rsidRPr="00834708">
        <w:rPr>
          <w:lang w:eastAsia="zh-CN" w:bidi="th-TH"/>
        </w:rPr>
        <w:t xml:space="preserve">ASR at this site has a moderate to high technical risk due to the pioneering nature of the project, which is without precedent in </w:t>
      </w:r>
      <w:smartTag w:uri="urn:schemas-microsoft-com:office:smarttags" w:element="place">
        <w:smartTag w:uri="urn:schemas-microsoft-com:office:smarttags" w:element="country-region">
          <w:r w:rsidRPr="00834708">
            <w:rPr>
              <w:lang w:eastAsia="zh-CN" w:bidi="th-TH"/>
            </w:rPr>
            <w:t>Australia</w:t>
          </w:r>
        </w:smartTag>
      </w:smartTag>
      <w:r w:rsidRPr="00834708">
        <w:rPr>
          <w:lang w:eastAsia="zh-CN" w:bidi="th-TH"/>
        </w:rPr>
        <w:t xml:space="preserve">. </w:t>
      </w:r>
      <w:r>
        <w:rPr>
          <w:lang w:eastAsia="zh-CN" w:bidi="th-TH"/>
        </w:rPr>
        <w:t xml:space="preserve">However, </w:t>
      </w:r>
      <w:r w:rsidRPr="00E57182">
        <w:rPr>
          <w:lang w:eastAsia="zh-CN" w:bidi="th-TH"/>
        </w:rPr>
        <w:t xml:space="preserve">residual </w:t>
      </w:r>
      <w:r w:rsidRPr="00DA40F0">
        <w:rPr>
          <w:lang w:eastAsia="zh-CN" w:bidi="th-TH"/>
        </w:rPr>
        <w:t>risks (</w:t>
      </w:r>
      <w:r w:rsidR="00937821">
        <w:rPr>
          <w:lang w:eastAsia="zh-CN" w:bidi="th-TH"/>
        </w:rPr>
        <w:fldChar w:fldCharType="begin"/>
      </w:r>
      <w:r w:rsidR="00937821">
        <w:rPr>
          <w:lang w:eastAsia="zh-CN" w:bidi="th-TH"/>
        </w:rPr>
        <w:instrText xml:space="preserve"> REF _Ref355624436 \h  \* MERGEFORMAT </w:instrText>
      </w:r>
      <w:r w:rsidR="00937821">
        <w:rPr>
          <w:lang w:eastAsia="zh-CN" w:bidi="th-TH"/>
        </w:rPr>
      </w:r>
      <w:r w:rsidR="00937821">
        <w:rPr>
          <w:lang w:eastAsia="zh-CN" w:bidi="th-TH"/>
        </w:rPr>
        <w:fldChar w:fldCharType="separate"/>
      </w:r>
      <w:r w:rsidR="00966532" w:rsidRPr="00966532">
        <w:rPr>
          <w:lang w:eastAsia="zh-CN" w:bidi="th-TH"/>
        </w:rPr>
        <w:t>Table 9</w:t>
      </w:r>
      <w:r w:rsidR="00966532" w:rsidRPr="00966532">
        <w:rPr>
          <w:lang w:eastAsia="zh-CN" w:bidi="th-TH"/>
        </w:rPr>
        <w:noBreakHyphen/>
        <w:t>1</w:t>
      </w:r>
      <w:r w:rsidR="00937821">
        <w:rPr>
          <w:lang w:eastAsia="zh-CN" w:bidi="th-TH"/>
        </w:rPr>
        <w:fldChar w:fldCharType="end"/>
      </w:r>
      <w:r w:rsidRPr="00DA40F0">
        <w:rPr>
          <w:lang w:eastAsia="zh-CN" w:bidi="th-TH"/>
        </w:rPr>
        <w:t>)</w:t>
      </w:r>
      <w:r>
        <w:rPr>
          <w:lang w:eastAsia="zh-CN" w:bidi="th-TH"/>
        </w:rPr>
        <w:t xml:space="preserve"> </w:t>
      </w:r>
      <w:r w:rsidRPr="00525C2A">
        <w:rPr>
          <w:lang w:eastAsia="zh-CN" w:bidi="th-TH"/>
        </w:rPr>
        <w:t xml:space="preserve">are low for human health and the environment </w:t>
      </w:r>
      <w:r w:rsidRPr="00E57182">
        <w:rPr>
          <w:b/>
          <w:i/>
          <w:lang w:eastAsia="zh-CN" w:bidi="th-TH"/>
        </w:rPr>
        <w:t>if the supplementary treatment trains are included</w:t>
      </w:r>
      <w:r w:rsidRPr="00525C2A">
        <w:rPr>
          <w:lang w:eastAsia="zh-CN" w:bidi="th-TH"/>
        </w:rPr>
        <w:t>. Addition of the water pre-treatment (coagulation/flocculation and activated carbon filtration) prior to injection minimises the risks of well clogging. This treatment will also be effective in reducing the risks from pathogens and organic chemicals, and greenhouse gas emissions.</w:t>
      </w:r>
    </w:p>
    <w:p w:rsidR="00E57182" w:rsidRPr="00E57182" w:rsidRDefault="000641F5" w:rsidP="00E57182">
      <w:pPr>
        <w:numPr>
          <w:ilvl w:val="0"/>
          <w:numId w:val="33"/>
        </w:numPr>
        <w:tabs>
          <w:tab w:val="clear" w:pos="720"/>
          <w:tab w:val="num" w:pos="540"/>
          <w:tab w:val="num" w:pos="1800"/>
        </w:tabs>
        <w:spacing w:before="120"/>
        <w:ind w:left="540" w:hanging="540"/>
        <w:rPr>
          <w:lang w:eastAsia="zh-CN" w:bidi="th-TH"/>
        </w:rPr>
      </w:pPr>
      <w:r>
        <w:rPr>
          <w:lang w:eastAsia="zh-CN" w:bidi="th-TH"/>
        </w:rPr>
        <w:t>With i</w:t>
      </w:r>
      <w:r w:rsidR="00E57182" w:rsidRPr="00E57182">
        <w:rPr>
          <w:lang w:eastAsia="zh-CN" w:bidi="th-TH"/>
        </w:rPr>
        <w:t xml:space="preserve">njection of treated </w:t>
      </w:r>
      <w:smartTag w:uri="urn:schemas-microsoft-com:office:smarttags" w:element="place">
        <w:r w:rsidR="00E57182" w:rsidRPr="00E57182">
          <w:rPr>
            <w:lang w:eastAsia="zh-CN" w:bidi="th-TH"/>
          </w:rPr>
          <w:t>Darling River</w:t>
        </w:r>
      </w:smartTag>
      <w:r w:rsidR="00E57182" w:rsidRPr="00E57182">
        <w:rPr>
          <w:lang w:eastAsia="zh-CN" w:bidi="th-TH"/>
        </w:rPr>
        <w:t xml:space="preserve"> water </w:t>
      </w:r>
      <w:r>
        <w:rPr>
          <w:lang w:eastAsia="zh-CN" w:bidi="th-TH"/>
        </w:rPr>
        <w:t xml:space="preserve">it </w:t>
      </w:r>
      <w:r w:rsidR="00E57182" w:rsidRPr="00E57182">
        <w:rPr>
          <w:lang w:eastAsia="zh-CN" w:bidi="th-TH"/>
        </w:rPr>
        <w:t>is necessary to assess the impact on the quality of recovered water on subsurface processes, particularly redox reactions and the aquifer’s capacity to remove turbidity, pathogens and organic chemicals such as those produced by cyanobacteria. Aquifer tests by pumping should be undertaken on each prospective ASR well to determine the competence and confinement of the storage zone followed by commissioning trials for the preferred set of ASR wells to determine the water quality of recovered water prior to use of recovered water in drinking water supplies.</w:t>
      </w:r>
      <w:r w:rsidR="00465915">
        <w:rPr>
          <w:lang w:eastAsia="zh-CN" w:bidi="th-TH"/>
        </w:rPr>
        <w:t xml:space="preserve"> </w:t>
      </w:r>
    </w:p>
    <w:p w:rsidR="00E57182" w:rsidRPr="00E57182" w:rsidRDefault="00E57182" w:rsidP="00E57182">
      <w:pPr>
        <w:numPr>
          <w:ilvl w:val="0"/>
          <w:numId w:val="33"/>
        </w:numPr>
        <w:tabs>
          <w:tab w:val="clear" w:pos="720"/>
          <w:tab w:val="num" w:pos="540"/>
        </w:tabs>
        <w:spacing w:before="120"/>
        <w:ind w:left="540" w:hanging="540"/>
        <w:rPr>
          <w:lang w:eastAsia="zh-CN" w:bidi="th-TH"/>
        </w:rPr>
      </w:pPr>
      <w:r w:rsidRPr="00E57182">
        <w:rPr>
          <w:lang w:eastAsia="zh-CN" w:bidi="th-TH"/>
        </w:rPr>
        <w:t xml:space="preserve">It is recommended that monitoring and acquiring information to refine the risk assessment is undertaken during construction and testing of additional wells to characterise the groundwater system and design the layout of ASR wells. Establishing, testing and commissioning of ASR wells will allow evaluation of their combined operation on the groundwater system, and a calibrated groundwater model used to define operations so that pressures in the area of influence remain in an acceptable range. This would need to be verified by monitoring during operation. </w:t>
      </w:r>
    </w:p>
    <w:p w:rsidR="00A206C9" w:rsidRDefault="00E57182" w:rsidP="00860930">
      <w:pPr>
        <w:numPr>
          <w:ilvl w:val="0"/>
          <w:numId w:val="33"/>
        </w:numPr>
        <w:tabs>
          <w:tab w:val="clear" w:pos="720"/>
          <w:tab w:val="num" w:pos="540"/>
          <w:tab w:val="num" w:pos="1800"/>
        </w:tabs>
        <w:spacing w:before="120"/>
        <w:ind w:left="540" w:hanging="540"/>
        <w:rPr>
          <w:lang w:eastAsia="zh-CN" w:bidi="th-TH"/>
        </w:rPr>
      </w:pPr>
      <w:r w:rsidRPr="00E57182">
        <w:rPr>
          <w:lang w:eastAsia="zh-CN" w:bidi="th-TH"/>
        </w:rPr>
        <w:t xml:space="preserve">The treatment steps identified are expected to ensure drinking water quality requirements are met and verification monitoring will be required. Unless otherwise indicated by further geochemical assessment and modelling of native groundwater, provision should be made for iron removal in recovered water. Additionally, an evaluation of recovered water quality during commissioning will determine whether such treatment is required before this water is used in drinking water supplies. The identified treatment processes for source water, coagulation/flocculation and activated carbon filtration systems, will be required to reduce the risk of physical clogging of the injection wells. This could involve use of the existing treatment system at </w:t>
      </w:r>
      <w:r w:rsidR="00C217F0">
        <w:rPr>
          <w:lang w:eastAsia="zh-CN" w:bidi="th-TH"/>
        </w:rPr>
        <w:t>Menindee</w:t>
      </w:r>
      <w:r w:rsidRPr="00E57182">
        <w:rPr>
          <w:lang w:eastAsia="zh-CN" w:bidi="th-TH"/>
        </w:rPr>
        <w:t>, supplemented by activated carbon filtration.</w:t>
      </w:r>
    </w:p>
    <w:p w:rsidR="00E57182" w:rsidRDefault="00E57182" w:rsidP="00E57182">
      <w:pPr>
        <w:spacing w:before="120"/>
        <w:rPr>
          <w:lang w:eastAsia="zh-CN" w:bidi="th-TH"/>
        </w:rPr>
      </w:pPr>
      <w:r>
        <w:rPr>
          <w:lang w:eastAsia="zh-CN" w:bidi="th-TH"/>
        </w:rPr>
        <w:t>More detailed science findings and recommendations include:</w:t>
      </w:r>
    </w:p>
    <w:p w:rsidR="0070746C" w:rsidRDefault="0070746C" w:rsidP="0070746C">
      <w:pPr>
        <w:numPr>
          <w:ilvl w:val="0"/>
          <w:numId w:val="33"/>
        </w:numPr>
        <w:tabs>
          <w:tab w:val="clear" w:pos="720"/>
          <w:tab w:val="num" w:pos="540"/>
        </w:tabs>
        <w:spacing w:before="120"/>
        <w:ind w:left="540" w:hanging="540"/>
        <w:rPr>
          <w:lang w:eastAsia="zh-CN" w:bidi="th-TH"/>
        </w:rPr>
      </w:pPr>
      <w:r>
        <w:rPr>
          <w:lang w:eastAsia="zh-CN" w:bidi="th-TH"/>
        </w:rPr>
        <w:lastRenderedPageBreak/>
        <w:t xml:space="preserve">The laboratory clogging studies indicated that there was a high likelihood that the untreated </w:t>
      </w:r>
      <w:smartTag w:uri="urn:schemas-microsoft-com:office:smarttags" w:element="place">
        <w:r>
          <w:rPr>
            <w:lang w:eastAsia="zh-CN" w:bidi="th-TH"/>
          </w:rPr>
          <w:t>Darling River</w:t>
        </w:r>
      </w:smartTag>
      <w:r>
        <w:rPr>
          <w:lang w:eastAsia="zh-CN" w:bidi="th-TH"/>
        </w:rPr>
        <w:t xml:space="preserve"> water would reduce the hydraulic conductivity of the near-well zone close to ASR wells during injection. To maintain operations there would be a need to pre-treat the water to reduce suspended solids and labile organic carbon prior to injection.</w:t>
      </w:r>
    </w:p>
    <w:p w:rsidR="0070746C" w:rsidRDefault="0070746C" w:rsidP="0070746C">
      <w:pPr>
        <w:numPr>
          <w:ilvl w:val="0"/>
          <w:numId w:val="33"/>
        </w:numPr>
        <w:tabs>
          <w:tab w:val="clear" w:pos="720"/>
          <w:tab w:val="num" w:pos="540"/>
        </w:tabs>
        <w:spacing w:before="120"/>
        <w:ind w:left="540" w:hanging="540"/>
        <w:rPr>
          <w:lang w:eastAsia="zh-CN" w:bidi="th-TH"/>
        </w:rPr>
      </w:pPr>
      <w:r>
        <w:rPr>
          <w:lang w:eastAsia="zh-CN" w:bidi="th-TH"/>
        </w:rPr>
        <w:t xml:space="preserve">In drinking water supplies, acute risks from microbiological hazards may impact human health and so a quantitative microbial risk assessment (QMRA) for the index pathogens (rotavirus, </w:t>
      </w:r>
      <w:r w:rsidRPr="00834708">
        <w:rPr>
          <w:lang w:eastAsia="zh-CN" w:bidi="th-TH"/>
        </w:rPr>
        <w:t xml:space="preserve">Cryptosporidium </w:t>
      </w:r>
      <w:r>
        <w:rPr>
          <w:lang w:eastAsia="zh-CN" w:bidi="th-TH"/>
        </w:rPr>
        <w:t xml:space="preserve">and </w:t>
      </w:r>
      <w:r w:rsidRPr="00834708">
        <w:rPr>
          <w:lang w:eastAsia="zh-CN" w:bidi="th-TH"/>
        </w:rPr>
        <w:t>Campylobacter</w:t>
      </w:r>
      <w:r>
        <w:rPr>
          <w:lang w:eastAsia="zh-CN" w:bidi="th-TH"/>
        </w:rPr>
        <w:t>) was performed, neglecting aquifer treatment, for which there were no data. The QMRA indicated that the residual risks posed by the microbial hazards were currently acceptable with supplementary treatment via the existing water treatment plant. Residual risks from organic chemicals were assessed to be acceptable but further validation and verification monitoring is required to confirm this.</w:t>
      </w:r>
      <w:r w:rsidRPr="00BD4911">
        <w:rPr>
          <w:lang w:eastAsia="zh-CN" w:bidi="th-TH"/>
        </w:rPr>
        <w:t xml:space="preserve"> </w:t>
      </w:r>
      <w:r>
        <w:rPr>
          <w:lang w:eastAsia="zh-CN" w:bidi="th-TH"/>
        </w:rPr>
        <w:t>Risks from pathogens and organics in recovered water treated with the existing water treatment plant are lower than the current acceptable risks for the existing drinking water supply.</w:t>
      </w:r>
    </w:p>
    <w:p w:rsidR="00300215" w:rsidRDefault="00300215" w:rsidP="00300215">
      <w:pPr>
        <w:numPr>
          <w:ilvl w:val="0"/>
          <w:numId w:val="33"/>
        </w:numPr>
        <w:tabs>
          <w:tab w:val="clear" w:pos="720"/>
          <w:tab w:val="num" w:pos="540"/>
        </w:tabs>
        <w:spacing w:before="120"/>
        <w:ind w:left="540" w:hanging="540"/>
        <w:rPr>
          <w:lang w:eastAsia="zh-CN" w:bidi="th-TH"/>
        </w:rPr>
      </w:pPr>
      <w:r w:rsidRPr="009A3FA8">
        <w:rPr>
          <w:lang w:eastAsia="zh-CN" w:bidi="th-TH"/>
        </w:rPr>
        <w:t xml:space="preserve">Further assessment of water quality risks and treatment options are required as part of injection trials using an appropriately treated water source (equivalent to </w:t>
      </w:r>
      <w:r w:rsidR="00C217F0">
        <w:rPr>
          <w:lang w:eastAsia="zh-CN" w:bidi="th-TH"/>
        </w:rPr>
        <w:t xml:space="preserve">Menindee </w:t>
      </w:r>
      <w:r w:rsidRPr="009A3FA8">
        <w:rPr>
          <w:lang w:eastAsia="zh-CN" w:bidi="th-TH"/>
        </w:rPr>
        <w:t xml:space="preserve">town water treated with granular activated carbon). </w:t>
      </w:r>
      <w:r>
        <w:rPr>
          <w:lang w:eastAsia="zh-CN" w:bidi="th-TH"/>
        </w:rPr>
        <w:t>The aquifer contains concentrations of some metals and metalloids that suggest monitoring is warranted particularly during the early stages of recovery. There is low likelihood for drinking water guideline concentrations to be exceeded. However, a contingency plan is warranted to ensure that treatment for removal of any species in breach of guidelines is allowed for during tests to evaluate the potential to augment drinking water supplies using MAR. During commissioning tests the need for such treatment can be evaluated explicitly based on the observed quality of recovered water.</w:t>
      </w:r>
    </w:p>
    <w:p w:rsidR="00300215" w:rsidRDefault="00054EE0" w:rsidP="00300215">
      <w:pPr>
        <w:numPr>
          <w:ilvl w:val="0"/>
          <w:numId w:val="33"/>
        </w:numPr>
        <w:tabs>
          <w:tab w:val="clear" w:pos="720"/>
          <w:tab w:val="num" w:pos="540"/>
        </w:tabs>
        <w:spacing w:before="120"/>
        <w:ind w:left="540" w:hanging="540"/>
        <w:rPr>
          <w:rFonts w:cs="Angsana New"/>
          <w:szCs w:val="22"/>
          <w:lang w:eastAsia="zh-CN" w:bidi="th-TH"/>
        </w:rPr>
      </w:pPr>
      <w:r>
        <w:rPr>
          <w:rFonts w:cs="Angsana New"/>
          <w:szCs w:val="22"/>
          <w:lang w:eastAsia="zh-CN" w:bidi="th-TH"/>
        </w:rPr>
        <w:t>Limited g</w:t>
      </w:r>
      <w:r w:rsidR="00300215" w:rsidRPr="00020978">
        <w:rPr>
          <w:rFonts w:cs="Angsana New"/>
          <w:szCs w:val="22"/>
          <w:lang w:eastAsia="zh-CN" w:bidi="th-TH"/>
        </w:rPr>
        <w:t xml:space="preserve">roundwater pump tests and modelling have shown that there is minimal leakage </w:t>
      </w:r>
      <w:r w:rsidR="00300215">
        <w:rPr>
          <w:rFonts w:cs="Angsana New"/>
          <w:szCs w:val="22"/>
          <w:lang w:eastAsia="zh-CN" w:bidi="th-TH"/>
        </w:rPr>
        <w:t xml:space="preserve">during pumping </w:t>
      </w:r>
      <w:r w:rsidR="00300215" w:rsidRPr="00020978">
        <w:rPr>
          <w:rFonts w:cs="Angsana New"/>
          <w:szCs w:val="22"/>
          <w:lang w:eastAsia="zh-CN" w:bidi="th-TH"/>
        </w:rPr>
        <w:t xml:space="preserve">between the </w:t>
      </w:r>
      <w:r w:rsidR="00300215" w:rsidRPr="00525C2A">
        <w:rPr>
          <w:lang w:eastAsia="zh-CN" w:bidi="th-TH"/>
        </w:rPr>
        <w:t>target</w:t>
      </w:r>
      <w:r w:rsidR="00300215" w:rsidRPr="00020978">
        <w:rPr>
          <w:rFonts w:cs="Angsana New"/>
          <w:szCs w:val="22"/>
          <w:lang w:eastAsia="zh-CN" w:bidi="th-TH"/>
        </w:rPr>
        <w:t xml:space="preserve"> aquifer zone (at average depths of 40-55</w:t>
      </w:r>
      <w:r w:rsidR="00A72012">
        <w:rPr>
          <w:rFonts w:cs="Angsana New"/>
          <w:szCs w:val="22"/>
          <w:lang w:eastAsia="zh-CN" w:bidi="th-TH"/>
        </w:rPr>
        <w:t xml:space="preserve"> </w:t>
      </w:r>
      <w:r w:rsidR="00300215" w:rsidRPr="00020978">
        <w:rPr>
          <w:rFonts w:cs="Angsana New"/>
          <w:szCs w:val="22"/>
          <w:lang w:eastAsia="zh-CN" w:bidi="th-TH"/>
        </w:rPr>
        <w:t>m) and shallower aquifers</w:t>
      </w:r>
      <w:r w:rsidR="00300215">
        <w:rPr>
          <w:rFonts w:cs="Angsana New"/>
          <w:szCs w:val="22"/>
          <w:lang w:eastAsia="zh-CN" w:bidi="th-TH"/>
        </w:rPr>
        <w:t xml:space="preserve"> at these test sites</w:t>
      </w:r>
      <w:r w:rsidR="00300215" w:rsidRPr="00020978">
        <w:rPr>
          <w:rFonts w:cs="Angsana New"/>
          <w:szCs w:val="22"/>
          <w:lang w:eastAsia="zh-CN" w:bidi="th-TH"/>
        </w:rPr>
        <w:t xml:space="preserve">. </w:t>
      </w:r>
      <w:r w:rsidR="00300215">
        <w:t>However, injection pressures, flow rates and groundwater levels may vary as a result of MAR operations and as such will need to be monitored to verify the risks are acceptable.</w:t>
      </w:r>
    </w:p>
    <w:p w:rsidR="00300215" w:rsidRPr="00723815" w:rsidRDefault="00300215" w:rsidP="00300215">
      <w:pPr>
        <w:numPr>
          <w:ilvl w:val="0"/>
          <w:numId w:val="33"/>
        </w:numPr>
        <w:tabs>
          <w:tab w:val="clear" w:pos="720"/>
          <w:tab w:val="num" w:pos="540"/>
        </w:tabs>
        <w:spacing w:before="120"/>
        <w:ind w:left="540" w:hanging="540"/>
        <w:rPr>
          <w:rFonts w:cs="Angsana New"/>
          <w:szCs w:val="22"/>
          <w:lang w:eastAsia="zh-CN" w:bidi="th-TH"/>
        </w:rPr>
      </w:pPr>
      <w:r w:rsidRPr="009A3FA8">
        <w:rPr>
          <w:rFonts w:cs="Angsana New"/>
          <w:szCs w:val="22"/>
          <w:lang w:eastAsia="zh-CN" w:bidi="th-TH"/>
        </w:rPr>
        <w:t xml:space="preserve">Validation of the treatment barriers (including the aquifer) and verification that the risks are low will be a central component </w:t>
      </w:r>
      <w:r w:rsidRPr="00525C2A">
        <w:rPr>
          <w:lang w:eastAsia="zh-CN" w:bidi="th-TH"/>
        </w:rPr>
        <w:t>of</w:t>
      </w:r>
      <w:r w:rsidRPr="009A3FA8">
        <w:rPr>
          <w:rFonts w:cs="Angsana New"/>
          <w:szCs w:val="22"/>
          <w:lang w:eastAsia="zh-CN" w:bidi="th-TH"/>
        </w:rPr>
        <w:t xml:space="preserve"> commissioning trials and will form the basis of an operational residual risk assessment for the BHMAR scheme. All of the risks described in this report would need to be verified as low and a risk management plan will need to be developed prior to recovery of MAR water to the mains supply.</w:t>
      </w:r>
    </w:p>
    <w:p w:rsidR="00300215" w:rsidRPr="00020978" w:rsidRDefault="00300215" w:rsidP="00300215">
      <w:pPr>
        <w:numPr>
          <w:ilvl w:val="0"/>
          <w:numId w:val="33"/>
        </w:numPr>
        <w:tabs>
          <w:tab w:val="clear" w:pos="720"/>
          <w:tab w:val="num" w:pos="540"/>
        </w:tabs>
        <w:spacing w:before="120"/>
        <w:ind w:left="540" w:hanging="540"/>
        <w:rPr>
          <w:rFonts w:cs="Angsana New"/>
          <w:szCs w:val="22"/>
          <w:lang w:eastAsia="zh-CN" w:bidi="th-TH"/>
        </w:rPr>
      </w:pPr>
      <w:r w:rsidRPr="00020978">
        <w:rPr>
          <w:rFonts w:cs="Angsana New"/>
          <w:szCs w:val="22"/>
          <w:lang w:eastAsia="zh-CN" w:bidi="th-TH"/>
        </w:rPr>
        <w:t xml:space="preserve">To provide a preliminary assessment of the well clogging potential of different source waters for injection into the </w:t>
      </w:r>
      <w:r w:rsidR="00C217F0">
        <w:rPr>
          <w:rFonts w:cs="Angsana New"/>
          <w:szCs w:val="22"/>
          <w:lang w:eastAsia="zh-CN" w:bidi="th-TH"/>
        </w:rPr>
        <w:t>Calivil Formation</w:t>
      </w:r>
      <w:r w:rsidRPr="00020978">
        <w:rPr>
          <w:rFonts w:cs="Angsana New"/>
          <w:szCs w:val="22"/>
          <w:lang w:eastAsia="zh-CN" w:bidi="th-TH"/>
        </w:rPr>
        <w:t xml:space="preserve"> aquifer, laboratory column studies were performed using four types of </w:t>
      </w:r>
      <w:r w:rsidRPr="00525C2A">
        <w:rPr>
          <w:lang w:eastAsia="zh-CN" w:bidi="th-TH"/>
        </w:rPr>
        <w:t>water</w:t>
      </w:r>
      <w:r w:rsidRPr="00020978">
        <w:rPr>
          <w:rFonts w:cs="Angsana New"/>
          <w:szCs w:val="22"/>
          <w:lang w:eastAsia="zh-CN" w:bidi="th-TH"/>
        </w:rPr>
        <w:t xml:space="preserve">: (a) untreated Darling River water (b) bank filtration treated </w:t>
      </w:r>
      <w:smartTag w:uri="urn:schemas-microsoft-com:office:smarttags" w:element="place">
        <w:r w:rsidRPr="00020978">
          <w:rPr>
            <w:rFonts w:cs="Angsana New"/>
            <w:szCs w:val="22"/>
            <w:lang w:eastAsia="zh-CN" w:bidi="th-TH"/>
          </w:rPr>
          <w:t>Darling River</w:t>
        </w:r>
      </w:smartTag>
      <w:r w:rsidRPr="00020978">
        <w:rPr>
          <w:rFonts w:cs="Angsana New"/>
          <w:szCs w:val="22"/>
          <w:lang w:eastAsia="zh-CN" w:bidi="th-TH"/>
        </w:rPr>
        <w:t xml:space="preserve"> water (c) </w:t>
      </w:r>
      <w:r w:rsidR="00C217F0">
        <w:rPr>
          <w:rFonts w:cs="Angsana New"/>
          <w:szCs w:val="22"/>
          <w:lang w:eastAsia="zh-CN" w:bidi="th-TH"/>
        </w:rPr>
        <w:t xml:space="preserve">Menindee </w:t>
      </w:r>
      <w:r w:rsidRPr="00020978">
        <w:rPr>
          <w:rFonts w:cs="Angsana New"/>
          <w:szCs w:val="22"/>
          <w:lang w:eastAsia="zh-CN" w:bidi="th-TH"/>
        </w:rPr>
        <w:t xml:space="preserve">town water and (d) </w:t>
      </w:r>
      <w:r w:rsidR="00C217F0">
        <w:rPr>
          <w:rFonts w:cs="Angsana New"/>
          <w:szCs w:val="22"/>
          <w:lang w:eastAsia="zh-CN" w:bidi="th-TH"/>
        </w:rPr>
        <w:t xml:space="preserve">Menindee </w:t>
      </w:r>
      <w:r w:rsidRPr="00020978">
        <w:rPr>
          <w:rFonts w:cs="Angsana New"/>
          <w:szCs w:val="22"/>
          <w:lang w:eastAsia="zh-CN" w:bidi="th-TH"/>
        </w:rPr>
        <w:t xml:space="preserve">town water treated by granular activated carbon (GAC) filtration. Columns 16cm long were packed with representative </w:t>
      </w:r>
      <w:r w:rsidR="00C217F0">
        <w:rPr>
          <w:rFonts w:cs="Angsana New"/>
          <w:szCs w:val="22"/>
          <w:lang w:eastAsia="zh-CN" w:bidi="th-TH"/>
        </w:rPr>
        <w:t>Calivil Formation</w:t>
      </w:r>
      <w:r w:rsidR="00106292">
        <w:rPr>
          <w:rFonts w:cs="Angsana New"/>
          <w:szCs w:val="22"/>
          <w:lang w:eastAsia="zh-CN" w:bidi="th-TH"/>
        </w:rPr>
        <w:t xml:space="preserve"> </w:t>
      </w:r>
      <w:r w:rsidRPr="00020978">
        <w:rPr>
          <w:rFonts w:cs="Angsana New"/>
          <w:szCs w:val="22"/>
          <w:lang w:eastAsia="zh-CN" w:bidi="th-TH"/>
        </w:rPr>
        <w:t>aquifer material and tests were run in duplicate. Results of the laboratory 37-day clogging tests were:</w:t>
      </w:r>
    </w:p>
    <w:p w:rsidR="00300215" w:rsidRDefault="00300215" w:rsidP="00300215">
      <w:pPr>
        <w:numPr>
          <w:ilvl w:val="0"/>
          <w:numId w:val="19"/>
        </w:numPr>
        <w:tabs>
          <w:tab w:val="clear" w:pos="720"/>
          <w:tab w:val="num" w:pos="1080"/>
        </w:tabs>
        <w:ind w:left="1080"/>
        <w:rPr>
          <w:szCs w:val="22"/>
        </w:rPr>
      </w:pPr>
      <w:r>
        <w:rPr>
          <w:szCs w:val="22"/>
        </w:rPr>
        <w:t xml:space="preserve">As anticipated, the untreated </w:t>
      </w:r>
      <w:smartTag w:uri="urn:schemas-microsoft-com:office:smarttags" w:element="place">
        <w:r>
          <w:rPr>
            <w:szCs w:val="22"/>
          </w:rPr>
          <w:t>Darling River</w:t>
        </w:r>
      </w:smartTag>
      <w:r>
        <w:rPr>
          <w:szCs w:val="22"/>
        </w:rPr>
        <w:t xml:space="preserve"> water resulted in significant mean declines in hydraulic conductivity of 26-29%. However, similar results were obtained for bank filtration treated </w:t>
      </w:r>
      <w:smartTag w:uri="urn:schemas-microsoft-com:office:smarttags" w:element="place">
        <w:r>
          <w:rPr>
            <w:szCs w:val="22"/>
          </w:rPr>
          <w:t>Darling River</w:t>
        </w:r>
      </w:smartTag>
      <w:r>
        <w:rPr>
          <w:szCs w:val="22"/>
        </w:rPr>
        <w:t xml:space="preserve"> and </w:t>
      </w:r>
      <w:r w:rsidR="00C217F0">
        <w:rPr>
          <w:szCs w:val="22"/>
        </w:rPr>
        <w:t xml:space="preserve">Menindee </w:t>
      </w:r>
      <w:r>
        <w:rPr>
          <w:szCs w:val="22"/>
        </w:rPr>
        <w:t>town water even though these had turbidity about 100 times less than the untreated water.</w:t>
      </w:r>
    </w:p>
    <w:p w:rsidR="00300215" w:rsidRDefault="00300215" w:rsidP="00300215">
      <w:pPr>
        <w:numPr>
          <w:ilvl w:val="0"/>
          <w:numId w:val="19"/>
        </w:numPr>
        <w:tabs>
          <w:tab w:val="clear" w:pos="720"/>
          <w:tab w:val="num" w:pos="1080"/>
        </w:tabs>
        <w:ind w:left="1080"/>
        <w:rPr>
          <w:szCs w:val="22"/>
        </w:rPr>
      </w:pPr>
      <w:r>
        <w:rPr>
          <w:szCs w:val="22"/>
        </w:rPr>
        <w:t>By contrast, t</w:t>
      </w:r>
      <w:r w:rsidRPr="00B27730">
        <w:rPr>
          <w:szCs w:val="22"/>
        </w:rPr>
        <w:t xml:space="preserve">he GAC treated town water gave </w:t>
      </w:r>
      <w:r>
        <w:rPr>
          <w:szCs w:val="22"/>
        </w:rPr>
        <w:t xml:space="preserve">only </w:t>
      </w:r>
      <w:r w:rsidRPr="00B27730">
        <w:rPr>
          <w:szCs w:val="22"/>
        </w:rPr>
        <w:t xml:space="preserve">an 8% decline in hydraulic conductivity </w:t>
      </w:r>
      <w:r>
        <w:rPr>
          <w:szCs w:val="22"/>
        </w:rPr>
        <w:t>over the 16</w:t>
      </w:r>
      <w:r w:rsidR="00FE05F2">
        <w:rPr>
          <w:szCs w:val="22"/>
        </w:rPr>
        <w:t xml:space="preserve"> </w:t>
      </w:r>
      <w:r>
        <w:rPr>
          <w:szCs w:val="22"/>
        </w:rPr>
        <w:t>cm length of columns.</w:t>
      </w:r>
      <w:r w:rsidRPr="00B27730">
        <w:rPr>
          <w:szCs w:val="22"/>
        </w:rPr>
        <w:t xml:space="preserve"> </w:t>
      </w:r>
    </w:p>
    <w:p w:rsidR="00300215" w:rsidRPr="00B27730" w:rsidRDefault="00300215" w:rsidP="00300215">
      <w:pPr>
        <w:numPr>
          <w:ilvl w:val="0"/>
          <w:numId w:val="19"/>
        </w:numPr>
        <w:tabs>
          <w:tab w:val="clear" w:pos="720"/>
          <w:tab w:val="num" w:pos="1080"/>
        </w:tabs>
        <w:ind w:left="1080"/>
        <w:rPr>
          <w:szCs w:val="22"/>
        </w:rPr>
      </w:pPr>
      <w:r>
        <w:t xml:space="preserve">Nutrient concentrations (C, N and P) varied over a much smaller range than turbidity (less than one order of magnitude) with GAC treated town water having the lowest concentrations. </w:t>
      </w:r>
    </w:p>
    <w:p w:rsidR="00300215" w:rsidRPr="00054302" w:rsidRDefault="00300215" w:rsidP="00300215">
      <w:pPr>
        <w:numPr>
          <w:ilvl w:val="1"/>
          <w:numId w:val="19"/>
        </w:numPr>
        <w:tabs>
          <w:tab w:val="clear" w:pos="1260"/>
          <w:tab w:val="num" w:pos="1620"/>
        </w:tabs>
        <w:ind w:left="1620"/>
        <w:rPr>
          <w:szCs w:val="22"/>
        </w:rPr>
      </w:pPr>
      <w:r>
        <w:t xml:space="preserve">Evidence from polysaccharide concentrations and bacterial numbers in columns when they were dissected and analysed at the end of the experiment confirmed </w:t>
      </w:r>
      <w:r w:rsidRPr="00054302">
        <w:t>that biological growth was the dominant form of clogging.</w:t>
      </w:r>
    </w:p>
    <w:p w:rsidR="00300215" w:rsidRPr="00054302" w:rsidRDefault="00300215" w:rsidP="00300215">
      <w:pPr>
        <w:numPr>
          <w:ilvl w:val="1"/>
          <w:numId w:val="19"/>
        </w:numPr>
        <w:tabs>
          <w:tab w:val="clear" w:pos="1260"/>
          <w:tab w:val="num" w:pos="1620"/>
        </w:tabs>
        <w:ind w:left="1620"/>
        <w:rPr>
          <w:szCs w:val="22"/>
        </w:rPr>
      </w:pPr>
      <w:r w:rsidRPr="00054302">
        <w:t>Further chemical clogging through precipitation of minerals was found not to occur within the laboratory columns</w:t>
      </w:r>
    </w:p>
    <w:p w:rsidR="00300215" w:rsidRPr="00054302" w:rsidRDefault="00300215" w:rsidP="00300215">
      <w:pPr>
        <w:numPr>
          <w:ilvl w:val="1"/>
          <w:numId w:val="19"/>
        </w:numPr>
        <w:tabs>
          <w:tab w:val="clear" w:pos="1260"/>
          <w:tab w:val="num" w:pos="1620"/>
        </w:tabs>
        <w:ind w:left="1620"/>
        <w:rPr>
          <w:szCs w:val="22"/>
        </w:rPr>
      </w:pPr>
      <w:r w:rsidRPr="00054302">
        <w:t xml:space="preserve">Dispersion of </w:t>
      </w:r>
      <w:r>
        <w:t>mud</w:t>
      </w:r>
      <w:r w:rsidRPr="00054302">
        <w:t xml:space="preserve"> was also found to be negligible.</w:t>
      </w:r>
    </w:p>
    <w:p w:rsidR="00300215" w:rsidRPr="00D82D7E" w:rsidRDefault="00300215" w:rsidP="00300215">
      <w:pPr>
        <w:numPr>
          <w:ilvl w:val="0"/>
          <w:numId w:val="19"/>
        </w:numPr>
        <w:tabs>
          <w:tab w:val="clear" w:pos="720"/>
          <w:tab w:val="num" w:pos="1080"/>
        </w:tabs>
        <w:ind w:left="1080"/>
        <w:rPr>
          <w:szCs w:val="22"/>
        </w:rPr>
      </w:pPr>
      <w:r w:rsidRPr="00576A04">
        <w:t xml:space="preserve">In relating the column results to the field situation of a </w:t>
      </w:r>
      <w:smartTag w:uri="urn:schemas-microsoft-com:office:smarttags" w:element="stockticker">
        <w:r w:rsidRPr="00576A04">
          <w:t>MAR</w:t>
        </w:r>
      </w:smartTag>
      <w:r w:rsidRPr="00576A04">
        <w:t xml:space="preserve"> </w:t>
      </w:r>
      <w:r>
        <w:t>project</w:t>
      </w:r>
      <w:r w:rsidRPr="00576A04">
        <w:t xml:space="preserve">, care should be taken to account </w:t>
      </w:r>
      <w:r>
        <w:t xml:space="preserve">for </w:t>
      </w:r>
      <w:r w:rsidRPr="00576A04">
        <w:t xml:space="preserve">the differences between water quality available for </w:t>
      </w:r>
      <w:r>
        <w:t>injection</w:t>
      </w:r>
      <w:r w:rsidRPr="00576A04">
        <w:t xml:space="preserve"> and formation characteristics at </w:t>
      </w:r>
      <w:r>
        <w:t xml:space="preserve">each </w:t>
      </w:r>
      <w:smartTag w:uri="urn:schemas-microsoft-com:office:smarttags" w:element="stockticker">
        <w:r>
          <w:t>ASR</w:t>
        </w:r>
      </w:smartTag>
      <w:r w:rsidRPr="00576A04">
        <w:t xml:space="preserve"> site in relation to those used in the column study. </w:t>
      </w:r>
    </w:p>
    <w:p w:rsidR="00300215" w:rsidRPr="00054302" w:rsidRDefault="00300215" w:rsidP="00300215">
      <w:pPr>
        <w:numPr>
          <w:ilvl w:val="0"/>
          <w:numId w:val="19"/>
        </w:numPr>
        <w:tabs>
          <w:tab w:val="clear" w:pos="720"/>
          <w:tab w:val="num" w:pos="1080"/>
        </w:tabs>
        <w:ind w:left="1080"/>
      </w:pPr>
      <w:r w:rsidRPr="001D7D6D">
        <w:t xml:space="preserve">Overall, the results demonstrate that of the four water types tested only </w:t>
      </w:r>
      <w:r>
        <w:t xml:space="preserve">water quality equivalent to </w:t>
      </w:r>
      <w:r w:rsidR="00C217F0">
        <w:t xml:space="preserve">Menindee </w:t>
      </w:r>
      <w:r w:rsidRPr="001D7D6D">
        <w:t xml:space="preserve">town water treated by granular activated carbon filtration is likely to be viable for </w:t>
      </w:r>
      <w:r>
        <w:lastRenderedPageBreak/>
        <w:t>aquifer storage and recover (</w:t>
      </w:r>
      <w:smartTag w:uri="urn:schemas-microsoft-com:office:smarttags" w:element="stockticker">
        <w:r w:rsidRPr="001D7D6D">
          <w:t>ASR</w:t>
        </w:r>
      </w:smartTag>
      <w:r>
        <w:t>)</w:t>
      </w:r>
      <w:r w:rsidRPr="001D7D6D">
        <w:t xml:space="preserve"> over the longer term for </w:t>
      </w:r>
      <w:r w:rsidRPr="00054302">
        <w:t xml:space="preserve">an operational site. Use of the waters that resulted in significant clogging over 5 weeks is not advised. </w:t>
      </w:r>
    </w:p>
    <w:p w:rsidR="00300215" w:rsidRPr="00576A04" w:rsidRDefault="00300215" w:rsidP="00300215">
      <w:pPr>
        <w:numPr>
          <w:ilvl w:val="0"/>
          <w:numId w:val="19"/>
        </w:numPr>
        <w:tabs>
          <w:tab w:val="clear" w:pos="720"/>
          <w:tab w:val="num" w:pos="1080"/>
        </w:tabs>
        <w:ind w:left="1080"/>
        <w:rPr>
          <w:szCs w:val="22"/>
        </w:rPr>
      </w:pPr>
      <w:r>
        <w:t xml:space="preserve">Even using GAC-treated </w:t>
      </w:r>
      <w:r w:rsidR="00C217F0">
        <w:t xml:space="preserve">Menindee </w:t>
      </w:r>
      <w:r>
        <w:t xml:space="preserve">town water, there is still a slight risk of chronic clogging over the longer term. However, it is expected that this would be manageable by purging of the </w:t>
      </w:r>
      <w:smartTag w:uri="urn:schemas-microsoft-com:office:smarttags" w:element="stockticker">
        <w:r>
          <w:t>ASR</w:t>
        </w:r>
      </w:smartTag>
      <w:r>
        <w:t xml:space="preserve"> well to remove accumulated particulates and biofilm material from time to time. </w:t>
      </w:r>
    </w:p>
    <w:p w:rsidR="00300215" w:rsidRPr="00576A04" w:rsidRDefault="00300215" w:rsidP="00300215">
      <w:pPr>
        <w:numPr>
          <w:ilvl w:val="0"/>
          <w:numId w:val="19"/>
        </w:numPr>
        <w:tabs>
          <w:tab w:val="clear" w:pos="720"/>
          <w:tab w:val="num" w:pos="1080"/>
        </w:tabs>
        <w:ind w:left="1080"/>
        <w:rPr>
          <w:szCs w:val="22"/>
        </w:rPr>
      </w:pPr>
      <w:r>
        <w:t xml:space="preserve">Monitoring of water quality, notably nutrients and turbidity in injectant is also warranted as verification of treatment performance, and to allow mass balances to be calculated </w:t>
      </w:r>
    </w:p>
    <w:p w:rsidR="00300215" w:rsidRPr="00576A04" w:rsidRDefault="00300215" w:rsidP="00300215">
      <w:pPr>
        <w:numPr>
          <w:ilvl w:val="0"/>
          <w:numId w:val="19"/>
        </w:numPr>
        <w:tabs>
          <w:tab w:val="clear" w:pos="720"/>
          <w:tab w:val="num" w:pos="1080"/>
        </w:tabs>
        <w:ind w:left="1080"/>
        <w:rPr>
          <w:szCs w:val="22"/>
        </w:rPr>
      </w:pPr>
      <w:r>
        <w:t>It is possible that other cheaper methods of treatment could be substituted. One example could be the use of chlorination for managing near-well biological clogging. However, these alternative methods have risks that would need to be assessed by longer column trials, and in field trials using the GAC treated town water as a reference source for side-by-side evaluation, if costs suggest such measures warrant consideration.</w:t>
      </w:r>
    </w:p>
    <w:p w:rsidR="00300215" w:rsidRPr="00020978" w:rsidRDefault="00300215" w:rsidP="00300215">
      <w:pPr>
        <w:numPr>
          <w:ilvl w:val="0"/>
          <w:numId w:val="33"/>
        </w:numPr>
        <w:tabs>
          <w:tab w:val="clear" w:pos="720"/>
          <w:tab w:val="num" w:pos="540"/>
        </w:tabs>
        <w:spacing w:before="120"/>
        <w:ind w:left="540" w:hanging="540"/>
        <w:rPr>
          <w:rFonts w:cs="Angsana New"/>
          <w:szCs w:val="22"/>
          <w:lang w:eastAsia="zh-CN" w:bidi="th-TH"/>
        </w:rPr>
      </w:pPr>
      <w:r w:rsidRPr="00106292">
        <w:rPr>
          <w:rFonts w:cs="Angsana New"/>
          <w:szCs w:val="22"/>
          <w:lang w:eastAsia="zh-CN" w:bidi="th-TH"/>
        </w:rPr>
        <w:t xml:space="preserve">Geochemical modelling and analysis </w:t>
      </w:r>
      <w:r w:rsidR="00777798" w:rsidRPr="00106292">
        <w:rPr>
          <w:rFonts w:cs="Angsana New"/>
          <w:szCs w:val="22"/>
          <w:lang w:eastAsia="zh-CN" w:bidi="th-TH"/>
        </w:rPr>
        <w:t>(</w:t>
      </w:r>
      <w:r w:rsidR="00777798" w:rsidRPr="00106292">
        <w:rPr>
          <w:rFonts w:cs="Arial"/>
          <w:szCs w:val="18"/>
        </w:rPr>
        <w:t>Lawrie</w:t>
      </w:r>
      <w:r w:rsidR="008A5F7D" w:rsidRPr="00CF7613">
        <w:rPr>
          <w:rStyle w:val="StyleItalic"/>
        </w:rPr>
        <w:t xml:space="preserve"> et al</w:t>
      </w:r>
      <w:r w:rsidR="00777798" w:rsidRPr="00106292">
        <w:rPr>
          <w:rFonts w:cs="Arial"/>
          <w:szCs w:val="18"/>
        </w:rPr>
        <w:t xml:space="preserve">., 2012c; Apps </w:t>
      </w:r>
      <w:r w:rsidR="00106292">
        <w:rPr>
          <w:rFonts w:cs="Arial"/>
          <w:szCs w:val="18"/>
        </w:rPr>
        <w:t>&amp;</w:t>
      </w:r>
      <w:r w:rsidR="00777798" w:rsidRPr="00106292">
        <w:rPr>
          <w:rFonts w:cs="Arial"/>
          <w:szCs w:val="18"/>
        </w:rPr>
        <w:t xml:space="preserve"> Lawrie, 2012</w:t>
      </w:r>
      <w:r w:rsidR="00777798" w:rsidRPr="00106292">
        <w:rPr>
          <w:rFonts w:cs="Angsana New"/>
          <w:szCs w:val="22"/>
          <w:lang w:eastAsia="zh-CN" w:bidi="th-TH"/>
        </w:rPr>
        <w:t xml:space="preserve">) </w:t>
      </w:r>
      <w:r w:rsidRPr="00106292">
        <w:rPr>
          <w:rFonts w:cs="Angsana New"/>
          <w:szCs w:val="22"/>
          <w:lang w:eastAsia="zh-CN" w:bidi="th-TH"/>
        </w:rPr>
        <w:t>was used to predict the potential for clogging by mineral precipitation or any reactions that could prove detrimental to the quality of recovered water from a range of</w:t>
      </w:r>
      <w:r w:rsidRPr="00020978">
        <w:rPr>
          <w:rFonts w:cs="Angsana New"/>
          <w:szCs w:val="22"/>
          <w:lang w:eastAsia="zh-CN" w:bidi="th-TH"/>
        </w:rPr>
        <w:t xml:space="preserve"> potential </w:t>
      </w:r>
      <w:smartTag w:uri="urn:schemas-microsoft-com:office:smarttags" w:element="stockticker">
        <w:r w:rsidRPr="00020978">
          <w:rPr>
            <w:rFonts w:cs="Angsana New"/>
            <w:szCs w:val="22"/>
            <w:lang w:eastAsia="zh-CN" w:bidi="th-TH"/>
          </w:rPr>
          <w:t>MAR</w:t>
        </w:r>
      </w:smartTag>
      <w:r w:rsidRPr="00020978">
        <w:rPr>
          <w:rFonts w:cs="Angsana New"/>
          <w:szCs w:val="22"/>
          <w:lang w:eastAsia="zh-CN" w:bidi="th-TH"/>
        </w:rPr>
        <w:t xml:space="preserve"> activities. Analyses representing the chemistry of potential source waters, such as the </w:t>
      </w:r>
      <w:smartTag w:uri="urn:schemas-microsoft-com:office:smarttags" w:element="place">
        <w:r w:rsidRPr="00020978">
          <w:rPr>
            <w:rFonts w:cs="Angsana New"/>
            <w:szCs w:val="22"/>
            <w:lang w:eastAsia="zh-CN" w:bidi="th-TH"/>
          </w:rPr>
          <w:t>Darling River</w:t>
        </w:r>
      </w:smartTag>
      <w:r w:rsidRPr="00020978">
        <w:rPr>
          <w:rFonts w:cs="Angsana New"/>
          <w:szCs w:val="22"/>
          <w:lang w:eastAsia="zh-CN" w:bidi="th-TH"/>
        </w:rPr>
        <w:t xml:space="preserve">, bank filtration using the shallow </w:t>
      </w:r>
      <w:r w:rsidR="00C217F0">
        <w:rPr>
          <w:rFonts w:cs="Angsana New"/>
          <w:szCs w:val="22"/>
          <w:lang w:eastAsia="zh-CN" w:bidi="th-TH"/>
        </w:rPr>
        <w:t>Coonambidgal Formation</w:t>
      </w:r>
      <w:r w:rsidRPr="00020978">
        <w:rPr>
          <w:rFonts w:cs="Angsana New"/>
          <w:szCs w:val="22"/>
          <w:lang w:eastAsia="zh-CN" w:bidi="th-TH"/>
        </w:rPr>
        <w:t>/</w:t>
      </w:r>
      <w:r w:rsidR="00C217F0">
        <w:rPr>
          <w:rFonts w:cs="Angsana New"/>
          <w:szCs w:val="22"/>
          <w:lang w:eastAsia="zh-CN" w:bidi="th-TH"/>
        </w:rPr>
        <w:t>Menindee Formation</w:t>
      </w:r>
      <w:r>
        <w:rPr>
          <w:rFonts w:cs="Angsana New"/>
          <w:szCs w:val="22"/>
          <w:lang w:eastAsia="zh-CN" w:bidi="th-TH"/>
        </w:rPr>
        <w:t xml:space="preserve"> </w:t>
      </w:r>
      <w:r w:rsidRPr="00020978">
        <w:rPr>
          <w:rFonts w:cs="Angsana New"/>
          <w:szCs w:val="22"/>
          <w:lang w:eastAsia="zh-CN" w:bidi="th-TH"/>
        </w:rPr>
        <w:t xml:space="preserve">aquifers, or fresher parts of </w:t>
      </w:r>
      <w:r w:rsidR="00C217F0">
        <w:rPr>
          <w:rFonts w:cs="Angsana New"/>
          <w:szCs w:val="22"/>
          <w:lang w:eastAsia="zh-CN" w:bidi="th-TH"/>
        </w:rPr>
        <w:t>Calivil Formation</w:t>
      </w:r>
      <w:r w:rsidR="00834708">
        <w:rPr>
          <w:rFonts w:cs="Angsana New"/>
          <w:szCs w:val="22"/>
          <w:lang w:eastAsia="zh-CN" w:bidi="th-TH"/>
        </w:rPr>
        <w:t xml:space="preserve"> </w:t>
      </w:r>
      <w:r w:rsidRPr="00020978">
        <w:rPr>
          <w:rFonts w:cs="Angsana New"/>
          <w:szCs w:val="22"/>
          <w:lang w:eastAsia="zh-CN" w:bidi="th-TH"/>
        </w:rPr>
        <w:t>aquifer itself, were used in the study, which showed that:</w:t>
      </w:r>
    </w:p>
    <w:p w:rsidR="00300215" w:rsidRPr="00546E60" w:rsidRDefault="00300215" w:rsidP="00300215">
      <w:pPr>
        <w:numPr>
          <w:ilvl w:val="0"/>
          <w:numId w:val="20"/>
        </w:numPr>
        <w:tabs>
          <w:tab w:val="clear" w:pos="1080"/>
          <w:tab w:val="num" w:pos="360"/>
        </w:tabs>
        <w:ind w:left="1077" w:hanging="357"/>
        <w:rPr>
          <w:szCs w:val="22"/>
        </w:rPr>
      </w:pPr>
      <w:r>
        <w:rPr>
          <w:szCs w:val="22"/>
        </w:rPr>
        <w:t>The modelling has also shown that dissolved organic carbon in the source water can induce redox reactions that could lead to an increase in dissolved iron concentrations. Accumulation of organic carbon around the injection well can result in localised reduced conditions.</w:t>
      </w:r>
    </w:p>
    <w:p w:rsidR="00300215" w:rsidRPr="00E57182" w:rsidRDefault="00300215" w:rsidP="00300215">
      <w:pPr>
        <w:pStyle w:val="BodyText"/>
        <w:numPr>
          <w:ilvl w:val="0"/>
          <w:numId w:val="20"/>
        </w:numPr>
        <w:spacing w:before="120" w:after="60" w:line="240" w:lineRule="auto"/>
      </w:pPr>
      <w:r>
        <w:t xml:space="preserve">The geochemical assessment suggests that there is a residual risk </w:t>
      </w:r>
      <w:r w:rsidRPr="00442E8A">
        <w:t>of iron exceeding Australian drinking water aesthetic guidelines</w:t>
      </w:r>
      <w:r>
        <w:t xml:space="preserve"> unless further treatment such as aeration for iron removal is considered. Additional trace metals and metalloids may become elevated during MAR and some locally elevated concentrations in native groundwater suggest that the residual risk, as for iron, still needs to be verified during pilot trials. This monitoring together with geochemical modelling will allow more rigorous assessment of the potential for metal mobilisation from the aquifer and the methods to avoid this if necessary. It is envisaged that treatment for iron removal may also provide sufficient treatment for trace species that may exceed drinking water guideline </w:t>
      </w:r>
      <w:r w:rsidRPr="00E57182">
        <w:t>values.</w:t>
      </w:r>
    </w:p>
    <w:p w:rsidR="00300215" w:rsidRPr="00E57182" w:rsidRDefault="00300215" w:rsidP="00E57182">
      <w:pPr>
        <w:pStyle w:val="BodyText"/>
        <w:numPr>
          <w:ilvl w:val="0"/>
          <w:numId w:val="20"/>
        </w:numPr>
        <w:spacing w:before="120" w:after="60" w:line="240" w:lineRule="auto"/>
      </w:pPr>
      <w:r w:rsidRPr="00E57182">
        <w:t>Geochemical modelling did not predict significant iron precipitation and clogging due to the presence</w:t>
      </w:r>
      <w:r w:rsidRPr="00834708">
        <w:t xml:space="preserve"> of iron in the source water. Iron clogging can occur with the injection of oxygenated source water, due to reactions with aquifer minerals. The amount of ferrous iron in the storage zone which is available to be oxidised may be limited as the aquifer material already exhibits an oxidised appearance. Analysis</w:t>
      </w:r>
      <w:r w:rsidRPr="009A3FA8">
        <w:t xml:space="preserve"> has revealed considerable variability in the redox condition within the aquifer storage zone, as indicated by the Eh and pe values (pe ranging from -6 to 8; median 3). The initial simulations indicated that iron clogging was not likely at pe=2 adopted for the redox condition within the </w:t>
      </w:r>
      <w:r w:rsidR="00C217F0">
        <w:t>Calivil Formation</w:t>
      </w:r>
      <w:r w:rsidR="00106292">
        <w:t xml:space="preserve"> </w:t>
      </w:r>
      <w:r w:rsidRPr="009A3FA8">
        <w:t>aquifer. This is the redox condition over most of the aquifer, particularly in the more actively recharged areas with groundwater salinities &lt;1200 mg/l TDS. However, at the slightly higher pe value of 3, super-saturation with respect to Fe(OH)</w:t>
      </w:r>
      <w:r w:rsidRPr="00E57182">
        <w:rPr>
          <w:vertAlign w:val="subscript"/>
        </w:rPr>
        <w:t>3</w:t>
      </w:r>
      <w:r w:rsidRPr="009A3FA8">
        <w:t xml:space="preserve"> indicated that iron precipitation and iron clogging are likely to occur. Geochemical mapping suggests that the risk is largely in the brackish to more saline areas of the aquifer, hence the borefield has been designed to avoid these conditions where possible. This issue would be assessed during pilot tests and/or further laboratory tests. Fe clogging can usually be managed by well backflushing, or by chemical treatments including chemical deoxygenation (SMBS) or physical deoxygenation (vacuum degassing). Costs are expected to be small in comparison with the other treatments proposed to address physical and biological clogging. A reduction in oxygen could also help with reducing the rate of biological clogging and hence other treatment costs.</w:t>
      </w:r>
    </w:p>
    <w:p w:rsidR="00300215" w:rsidRDefault="00300215" w:rsidP="00300215">
      <w:pPr>
        <w:numPr>
          <w:ilvl w:val="0"/>
          <w:numId w:val="20"/>
        </w:numPr>
        <w:tabs>
          <w:tab w:val="clear" w:pos="1080"/>
          <w:tab w:val="num" w:pos="360"/>
        </w:tabs>
        <w:ind w:left="1077" w:hanging="357"/>
        <w:rPr>
          <w:szCs w:val="22"/>
        </w:rPr>
      </w:pPr>
      <w:r>
        <w:rPr>
          <w:szCs w:val="22"/>
        </w:rPr>
        <w:t xml:space="preserve">The pH of </w:t>
      </w:r>
      <w:r w:rsidR="00C217F0">
        <w:rPr>
          <w:szCs w:val="22"/>
        </w:rPr>
        <w:t>Calivil Formation</w:t>
      </w:r>
      <w:r w:rsidR="00106292">
        <w:rPr>
          <w:szCs w:val="22"/>
        </w:rPr>
        <w:t xml:space="preserve"> </w:t>
      </w:r>
      <w:r>
        <w:rPr>
          <w:szCs w:val="22"/>
        </w:rPr>
        <w:t xml:space="preserve">groundwater is typically neutral to slightly alkaline and is not an inherent hazard for infrastructure corrosion. However, reduced zones in the </w:t>
      </w:r>
      <w:r w:rsidR="00C217F0">
        <w:rPr>
          <w:szCs w:val="22"/>
        </w:rPr>
        <w:t>Calivil Formation</w:t>
      </w:r>
      <w:r w:rsidR="00106292">
        <w:rPr>
          <w:szCs w:val="22"/>
        </w:rPr>
        <w:t xml:space="preserve"> </w:t>
      </w:r>
      <w:r>
        <w:rPr>
          <w:szCs w:val="22"/>
        </w:rPr>
        <w:t xml:space="preserve">and </w:t>
      </w:r>
      <w:r w:rsidR="00C217F0">
        <w:rPr>
          <w:szCs w:val="22"/>
        </w:rPr>
        <w:t>Renmark Group</w:t>
      </w:r>
      <w:r w:rsidR="00106292">
        <w:rPr>
          <w:szCs w:val="22"/>
        </w:rPr>
        <w:t xml:space="preserve"> </w:t>
      </w:r>
      <w:r>
        <w:rPr>
          <w:szCs w:val="22"/>
        </w:rPr>
        <w:t xml:space="preserve">sediments can contain pyrite, which when oxidised can generate acidic groundwater conditions that facilitate the release of trace metals. In the Jimargil-East Bootingee area, the target </w:t>
      </w:r>
      <w:r w:rsidR="00C217F0">
        <w:rPr>
          <w:szCs w:val="22"/>
        </w:rPr>
        <w:t>Calivil Formation</w:t>
      </w:r>
      <w:r w:rsidR="00106292">
        <w:rPr>
          <w:szCs w:val="22"/>
        </w:rPr>
        <w:t xml:space="preserve"> </w:t>
      </w:r>
      <w:r>
        <w:rPr>
          <w:szCs w:val="22"/>
        </w:rPr>
        <w:t xml:space="preserve">aquifer zone is relatively oxidised with no indications of in situ sulfides, but the underlying Upper </w:t>
      </w:r>
      <w:r w:rsidR="00C217F0">
        <w:rPr>
          <w:szCs w:val="22"/>
        </w:rPr>
        <w:t>Renmark Group</w:t>
      </w:r>
      <w:r w:rsidR="00106292">
        <w:rPr>
          <w:szCs w:val="22"/>
        </w:rPr>
        <w:t xml:space="preserve"> </w:t>
      </w:r>
      <w:r>
        <w:rPr>
          <w:szCs w:val="22"/>
        </w:rPr>
        <w:t>tends to be reduced.</w:t>
      </w:r>
    </w:p>
    <w:p w:rsidR="00300215" w:rsidRPr="00282E71" w:rsidRDefault="00300215" w:rsidP="00300215">
      <w:pPr>
        <w:numPr>
          <w:ilvl w:val="0"/>
          <w:numId w:val="20"/>
        </w:numPr>
        <w:tabs>
          <w:tab w:val="clear" w:pos="1080"/>
          <w:tab w:val="num" w:pos="360"/>
        </w:tabs>
        <w:ind w:left="1077" w:hanging="357"/>
        <w:rPr>
          <w:szCs w:val="22"/>
        </w:rPr>
      </w:pPr>
      <w:r>
        <w:rPr>
          <w:szCs w:val="22"/>
        </w:rPr>
        <w:lastRenderedPageBreak/>
        <w:t xml:space="preserve">The </w:t>
      </w:r>
      <w:r w:rsidR="00C217F0">
        <w:rPr>
          <w:szCs w:val="22"/>
        </w:rPr>
        <w:t>Calivil Formation</w:t>
      </w:r>
      <w:r w:rsidR="00106292">
        <w:rPr>
          <w:szCs w:val="22"/>
        </w:rPr>
        <w:t xml:space="preserve"> </w:t>
      </w:r>
      <w:r>
        <w:rPr>
          <w:szCs w:val="22"/>
        </w:rPr>
        <w:t xml:space="preserve">groundwaters can have a very high sodium adsorption ratio and magnesium hazard, resulting in the potential risk of dispersion and clogging of any mud matrix within the aquifer. As noted above, such dispersion was observed to be negligible during the column testing. </w:t>
      </w:r>
    </w:p>
    <w:p w:rsidR="00300215" w:rsidRPr="00020978" w:rsidRDefault="00300215" w:rsidP="00300215">
      <w:pPr>
        <w:numPr>
          <w:ilvl w:val="0"/>
          <w:numId w:val="33"/>
        </w:numPr>
        <w:tabs>
          <w:tab w:val="clear" w:pos="720"/>
          <w:tab w:val="num" w:pos="540"/>
        </w:tabs>
        <w:spacing w:before="120"/>
        <w:ind w:left="540" w:hanging="540"/>
        <w:rPr>
          <w:rFonts w:cs="Angsana New"/>
          <w:szCs w:val="22"/>
          <w:lang w:eastAsia="zh-CN" w:bidi="th-TH"/>
        </w:rPr>
      </w:pPr>
      <w:r w:rsidRPr="00020978">
        <w:rPr>
          <w:rFonts w:cs="Angsana New"/>
          <w:szCs w:val="22"/>
          <w:lang w:eastAsia="zh-CN" w:bidi="th-TH"/>
        </w:rPr>
        <w:t xml:space="preserve">The risks in </w:t>
      </w:r>
      <w:r w:rsidRPr="00525C2A">
        <w:rPr>
          <w:lang w:eastAsia="zh-CN" w:bidi="th-TH"/>
        </w:rPr>
        <w:t>proceeding</w:t>
      </w:r>
      <w:r w:rsidRPr="00020978">
        <w:rPr>
          <w:rFonts w:cs="Angsana New"/>
          <w:szCs w:val="22"/>
          <w:lang w:eastAsia="zh-CN" w:bidi="th-TH"/>
        </w:rPr>
        <w:t xml:space="preserve"> with </w:t>
      </w:r>
      <w:r w:rsidR="00054EE0">
        <w:rPr>
          <w:rFonts w:cs="Angsana New"/>
          <w:szCs w:val="22"/>
          <w:lang w:eastAsia="zh-CN" w:bidi="th-TH"/>
        </w:rPr>
        <w:t>operationalising the Jimargil site</w:t>
      </w:r>
      <w:r w:rsidRPr="00020978">
        <w:rPr>
          <w:rFonts w:cs="Angsana New"/>
          <w:szCs w:val="22"/>
          <w:lang w:eastAsia="zh-CN" w:bidi="th-TH"/>
        </w:rPr>
        <w:t xml:space="preserve"> should be manageable to within acceptable limits by ensuring:</w:t>
      </w:r>
    </w:p>
    <w:p w:rsidR="00300215" w:rsidRPr="00576A04" w:rsidRDefault="00300215" w:rsidP="00300215">
      <w:pPr>
        <w:numPr>
          <w:ilvl w:val="0"/>
          <w:numId w:val="19"/>
        </w:numPr>
        <w:tabs>
          <w:tab w:val="clear" w:pos="720"/>
          <w:tab w:val="num" w:pos="1080"/>
        </w:tabs>
        <w:ind w:left="1080"/>
      </w:pPr>
      <w:r>
        <w:t>T</w:t>
      </w:r>
      <w:r w:rsidRPr="00576A04">
        <w:t xml:space="preserve">he quality of the </w:t>
      </w:r>
      <w:smartTag w:uri="urn:schemas-microsoft-com:office:smarttags" w:element="place">
        <w:r>
          <w:t>Darling River</w:t>
        </w:r>
      </w:smartTag>
      <w:r>
        <w:t xml:space="preserve"> </w:t>
      </w:r>
      <w:r w:rsidRPr="00576A04">
        <w:t>source water is improved by pre-treatment prior to injection. Pre-treatment should involve conventional coagulation/flocculation to achieve low particulate levels and granular activated carbon (biofiltration) to re</w:t>
      </w:r>
      <w:r>
        <w:t xml:space="preserve">move dissolved organic carbon. </w:t>
      </w:r>
      <w:r w:rsidRPr="00576A04">
        <w:t xml:space="preserve">Average values of water quality parameters for GAC treated town water used in the </w:t>
      </w:r>
      <w:r>
        <w:t xml:space="preserve">laboratory </w:t>
      </w:r>
      <w:r w:rsidRPr="00576A04">
        <w:t>experiment</w:t>
      </w:r>
      <w:r>
        <w:t>s</w:t>
      </w:r>
      <w:r w:rsidRPr="00576A04">
        <w:t xml:space="preserve"> provide an indicative target for injectant quality, assuming that </w:t>
      </w:r>
      <w:r>
        <w:t xml:space="preserve">the </w:t>
      </w:r>
      <w:r w:rsidRPr="00576A04">
        <w:t>column material is repre</w:t>
      </w:r>
      <w:r>
        <w:t xml:space="preserve">sentative of future </w:t>
      </w:r>
      <w:smartTag w:uri="urn:schemas-microsoft-com:office:smarttags" w:element="stockticker">
        <w:r>
          <w:t>ASR</w:t>
        </w:r>
      </w:smartTag>
      <w:r>
        <w:t xml:space="preserve"> wells, namely</w:t>
      </w:r>
      <w:r w:rsidRPr="00576A04">
        <w:t xml:space="preserve"> </w:t>
      </w:r>
      <w:r>
        <w:t>t</w:t>
      </w:r>
      <w:r w:rsidRPr="00576A04">
        <w:t xml:space="preserve">urbidity &lt; 0.6 NTU, </w:t>
      </w:r>
      <w:r>
        <w:t xml:space="preserve">membrane filtration index </w:t>
      </w:r>
      <w:smartTag w:uri="urn:schemas-microsoft-com:office:smarttags" w:element="stockticker">
        <w:r w:rsidRPr="00576A04">
          <w:t>MFI</w:t>
        </w:r>
      </w:smartTag>
      <w:r w:rsidRPr="00576A04">
        <w:t xml:space="preserve"> &lt; 2 s/L</w:t>
      </w:r>
      <w:r w:rsidRPr="00C82277">
        <w:rPr>
          <w:szCs w:val="22"/>
          <w:vertAlign w:val="superscript"/>
        </w:rPr>
        <w:t>2</w:t>
      </w:r>
      <w:r w:rsidRPr="00576A04">
        <w:t xml:space="preserve">, </w:t>
      </w:r>
      <w:r>
        <w:t xml:space="preserve">dissolved organic carbon </w:t>
      </w:r>
      <w:smartTag w:uri="urn:schemas-microsoft-com:office:smarttags" w:element="stockticker">
        <w:r w:rsidRPr="00576A04">
          <w:t>DOC</w:t>
        </w:r>
      </w:smartTag>
      <w:r w:rsidRPr="00576A04">
        <w:t>&lt; 5</w:t>
      </w:r>
      <w:r w:rsidR="000641F5">
        <w:t xml:space="preserve"> </w:t>
      </w:r>
      <w:r w:rsidRPr="00576A04">
        <w:t xml:space="preserve">mg/L, </w:t>
      </w:r>
      <w:r>
        <w:t xml:space="preserve">biodegradable dissolved organic carbon </w:t>
      </w:r>
      <w:r w:rsidRPr="00576A04">
        <w:t xml:space="preserve">BDOC &lt; 0.2 mg/L, </w:t>
      </w:r>
      <w:r>
        <w:t>t</w:t>
      </w:r>
      <w:r w:rsidRPr="00576A04">
        <w:t xml:space="preserve">otal </w:t>
      </w:r>
      <w:r>
        <w:t xml:space="preserve">nitrate </w:t>
      </w:r>
      <w:r w:rsidRPr="00576A04">
        <w:t>N &lt; 0.2 mg/</w:t>
      </w:r>
      <w:r>
        <w:t>L</w:t>
      </w:r>
      <w:r w:rsidRPr="00576A04">
        <w:t xml:space="preserve">, </w:t>
      </w:r>
      <w:r>
        <w:t>t</w:t>
      </w:r>
      <w:r w:rsidRPr="00576A04">
        <w:t xml:space="preserve">otal </w:t>
      </w:r>
      <w:r>
        <w:t xml:space="preserve">phosphorus </w:t>
      </w:r>
      <w:r w:rsidRPr="00576A04">
        <w:t>P &lt; 0.5</w:t>
      </w:r>
      <w:r w:rsidR="00A72012">
        <w:t xml:space="preserve"> </w:t>
      </w:r>
      <w:r w:rsidRPr="00576A04">
        <w:t xml:space="preserve">mg/L. Consideration should be given to </w:t>
      </w:r>
      <w:r>
        <w:t xml:space="preserve">source water </w:t>
      </w:r>
      <w:r w:rsidRPr="00576A04">
        <w:t>disinfection to allow residual disinfectant to keep the well face clean, recognising that this approach would require validation before adoption.</w:t>
      </w:r>
    </w:p>
    <w:p w:rsidR="00300215" w:rsidRDefault="00300215" w:rsidP="00300215">
      <w:pPr>
        <w:numPr>
          <w:ilvl w:val="0"/>
          <w:numId w:val="19"/>
        </w:numPr>
        <w:tabs>
          <w:tab w:val="clear" w:pos="720"/>
          <w:tab w:val="num" w:pos="1080"/>
        </w:tabs>
        <w:ind w:left="1080"/>
      </w:pPr>
      <w:r>
        <w:t>T</w:t>
      </w:r>
      <w:r w:rsidRPr="00576A04">
        <w:t>he turbidity, pH, conductivity, nutrients and oxygen status of the injectant as well as the injection rates and pressures should be carefully monitored during the trial to inform the operational performance and to enable fine-tuning in subsequent phases of project development.</w:t>
      </w:r>
    </w:p>
    <w:p w:rsidR="00300215" w:rsidRDefault="00300215" w:rsidP="00300215">
      <w:pPr>
        <w:numPr>
          <w:ilvl w:val="0"/>
          <w:numId w:val="19"/>
        </w:numPr>
        <w:tabs>
          <w:tab w:val="clear" w:pos="720"/>
          <w:tab w:val="num" w:pos="1080"/>
        </w:tabs>
        <w:ind w:left="1080"/>
      </w:pPr>
      <w:r>
        <w:rPr>
          <w:rFonts w:cs="Angsana New"/>
          <w:lang w:eastAsia="zh-CN" w:bidi="th-TH"/>
        </w:rPr>
        <w:t>A</w:t>
      </w:r>
      <w:r w:rsidRPr="00D82D7E">
        <w:rPr>
          <w:rFonts w:cs="Angsana New"/>
          <w:lang w:eastAsia="zh-CN" w:bidi="th-TH"/>
        </w:rPr>
        <w:t>dditional parameters should also be evaluated in the</w:t>
      </w:r>
      <w:r w:rsidRPr="00576A04">
        <w:t xml:space="preserve"> injectant and at observation wells directly influenced by breakthrough of recharge water. Parameters would include total and dissolved iron and manganese, electrical conductivity, pH, redox potential, dissolved oxygen, temperature, major ions, nitrogen species (nitrate, ammonium and total </w:t>
      </w:r>
      <w:r>
        <w:t>k</w:t>
      </w:r>
      <w:r w:rsidRPr="00576A04">
        <w:t xml:space="preserve">jeldahl </w:t>
      </w:r>
      <w:r>
        <w:t>n</w:t>
      </w:r>
      <w:r w:rsidRPr="00576A04">
        <w:t>itrogen), phosphorus (total and soluble reactive P) and dissolved organic carbon and biodegradable dissolved organic carbon.</w:t>
      </w:r>
    </w:p>
    <w:p w:rsidR="00300215" w:rsidRPr="00020978" w:rsidRDefault="00300215" w:rsidP="00300215">
      <w:pPr>
        <w:numPr>
          <w:ilvl w:val="0"/>
          <w:numId w:val="33"/>
        </w:numPr>
        <w:tabs>
          <w:tab w:val="clear" w:pos="720"/>
          <w:tab w:val="num" w:pos="540"/>
        </w:tabs>
        <w:spacing w:before="120"/>
        <w:ind w:left="540" w:hanging="540"/>
        <w:rPr>
          <w:rFonts w:cs="Angsana New"/>
          <w:szCs w:val="22"/>
          <w:lang w:eastAsia="zh-CN" w:bidi="th-TH"/>
        </w:rPr>
      </w:pPr>
      <w:r w:rsidRPr="00020978">
        <w:rPr>
          <w:rFonts w:cs="Angsana New"/>
          <w:szCs w:val="22"/>
          <w:lang w:eastAsia="zh-CN" w:bidi="th-TH"/>
        </w:rPr>
        <w:t xml:space="preserve">Two conceptual models of groundwater heads and salinity were produced with FEFLOW software assuming uniform aquifer and aquitard properties that corresponded with those determined from aquifer tests by </w:t>
      </w:r>
      <w:r w:rsidRPr="00525C2A">
        <w:rPr>
          <w:lang w:eastAsia="zh-CN" w:bidi="th-TH"/>
        </w:rPr>
        <w:t>pumping</w:t>
      </w:r>
      <w:r w:rsidRPr="00020978">
        <w:rPr>
          <w:rFonts w:cs="Angsana New"/>
          <w:szCs w:val="22"/>
          <w:lang w:eastAsia="zh-CN" w:bidi="th-TH"/>
        </w:rPr>
        <w:t xml:space="preserve"> at wells BHMAR33-5 and 80A-5</w:t>
      </w:r>
      <w:r>
        <w:rPr>
          <w:rFonts w:cs="Angsana New"/>
          <w:szCs w:val="22"/>
          <w:lang w:eastAsia="zh-CN" w:bidi="th-TH"/>
        </w:rPr>
        <w:t xml:space="preserve"> at the Jimargil site</w:t>
      </w:r>
      <w:r w:rsidRPr="00020978">
        <w:rPr>
          <w:rFonts w:cs="Angsana New"/>
          <w:szCs w:val="22"/>
          <w:lang w:eastAsia="zh-CN" w:bidi="th-TH"/>
        </w:rPr>
        <w:t xml:space="preserve">. At </w:t>
      </w:r>
      <w:r w:rsidR="000641F5">
        <w:rPr>
          <w:rFonts w:cs="Angsana New"/>
          <w:szCs w:val="22"/>
          <w:lang w:eastAsia="zh-CN" w:bidi="th-TH"/>
        </w:rPr>
        <w:t>borehole BHMAR</w:t>
      </w:r>
      <w:r w:rsidRPr="00020978">
        <w:rPr>
          <w:rFonts w:cs="Angsana New"/>
          <w:szCs w:val="22"/>
          <w:lang w:eastAsia="zh-CN" w:bidi="th-TH"/>
        </w:rPr>
        <w:t xml:space="preserve">33-5 the </w:t>
      </w:r>
      <w:r w:rsidR="00C217F0">
        <w:rPr>
          <w:rFonts w:cs="Angsana New"/>
          <w:szCs w:val="22"/>
          <w:lang w:eastAsia="zh-CN" w:bidi="th-TH"/>
        </w:rPr>
        <w:t>Calivil Formation</w:t>
      </w:r>
      <w:r w:rsidR="00106292">
        <w:rPr>
          <w:rFonts w:cs="Angsana New"/>
          <w:szCs w:val="22"/>
          <w:lang w:eastAsia="zh-CN" w:bidi="th-TH"/>
        </w:rPr>
        <w:t xml:space="preserve"> </w:t>
      </w:r>
      <w:r w:rsidRPr="00020978">
        <w:rPr>
          <w:rFonts w:cs="Angsana New"/>
          <w:szCs w:val="22"/>
          <w:lang w:eastAsia="zh-CN" w:bidi="th-TH"/>
        </w:rPr>
        <w:t xml:space="preserve">aquifer was semi-confined with the overlying unconfined aquifer being more brackish, whereas at </w:t>
      </w:r>
      <w:r w:rsidR="000641F5">
        <w:rPr>
          <w:rFonts w:cs="Angsana New"/>
          <w:szCs w:val="22"/>
          <w:lang w:eastAsia="zh-CN" w:bidi="th-TH"/>
        </w:rPr>
        <w:t>BHMAR</w:t>
      </w:r>
      <w:r w:rsidRPr="00020978">
        <w:rPr>
          <w:rFonts w:cs="Angsana New"/>
          <w:szCs w:val="22"/>
          <w:lang w:eastAsia="zh-CN" w:bidi="th-TH"/>
        </w:rPr>
        <w:t xml:space="preserve">80A-5 the </w:t>
      </w:r>
      <w:r w:rsidR="00C217F0">
        <w:rPr>
          <w:rFonts w:cs="Angsana New"/>
          <w:szCs w:val="22"/>
          <w:lang w:eastAsia="zh-CN" w:bidi="th-TH"/>
        </w:rPr>
        <w:t>Calivil Formation</w:t>
      </w:r>
      <w:r w:rsidR="00106292">
        <w:rPr>
          <w:rFonts w:cs="Angsana New"/>
          <w:szCs w:val="22"/>
          <w:lang w:eastAsia="zh-CN" w:bidi="th-TH"/>
        </w:rPr>
        <w:t xml:space="preserve"> </w:t>
      </w:r>
      <w:r w:rsidRPr="00020978">
        <w:rPr>
          <w:rFonts w:cs="Angsana New"/>
          <w:szCs w:val="22"/>
          <w:lang w:eastAsia="zh-CN" w:bidi="th-TH"/>
        </w:rPr>
        <w:t>aquifer behaved as fully confined. The scenarios considered were two years injection at 25</w:t>
      </w:r>
      <w:r w:rsidR="000641F5">
        <w:rPr>
          <w:rFonts w:cs="Angsana New"/>
          <w:szCs w:val="22"/>
          <w:lang w:eastAsia="zh-CN" w:bidi="th-TH"/>
        </w:rPr>
        <w:t xml:space="preserve"> </w:t>
      </w:r>
      <w:r w:rsidRPr="00020978">
        <w:rPr>
          <w:rFonts w:cs="Angsana New"/>
          <w:szCs w:val="22"/>
          <w:lang w:eastAsia="zh-CN" w:bidi="th-TH"/>
        </w:rPr>
        <w:t>L/s and at 50</w:t>
      </w:r>
      <w:r w:rsidR="000641F5">
        <w:rPr>
          <w:rFonts w:cs="Angsana New"/>
          <w:szCs w:val="22"/>
          <w:lang w:eastAsia="zh-CN" w:bidi="th-TH"/>
        </w:rPr>
        <w:t xml:space="preserve"> </w:t>
      </w:r>
      <w:r w:rsidRPr="00020978">
        <w:rPr>
          <w:rFonts w:cs="Angsana New"/>
          <w:szCs w:val="22"/>
          <w:lang w:eastAsia="zh-CN" w:bidi="th-TH"/>
        </w:rPr>
        <w:t xml:space="preserve">L/s followed by storage for a year then recovery for two years at the same rate as injection. The model determined head and salinity with respect to radius from the </w:t>
      </w:r>
      <w:smartTag w:uri="urn:schemas-microsoft-com:office:smarttags" w:element="stockticker">
        <w:r w:rsidRPr="00020978">
          <w:rPr>
            <w:rFonts w:cs="Angsana New"/>
            <w:szCs w:val="22"/>
            <w:lang w:eastAsia="zh-CN" w:bidi="th-TH"/>
          </w:rPr>
          <w:t>ASR</w:t>
        </w:r>
      </w:smartTag>
      <w:r w:rsidRPr="00020978">
        <w:rPr>
          <w:rFonts w:cs="Angsana New"/>
          <w:szCs w:val="22"/>
          <w:lang w:eastAsia="zh-CN" w:bidi="th-TH"/>
        </w:rPr>
        <w:t xml:space="preserve"> well in the </w:t>
      </w:r>
      <w:r w:rsidR="00C217F0">
        <w:rPr>
          <w:rFonts w:cs="Angsana New"/>
          <w:szCs w:val="22"/>
          <w:lang w:eastAsia="zh-CN" w:bidi="th-TH"/>
        </w:rPr>
        <w:t>Calivil Formation</w:t>
      </w:r>
      <w:r w:rsidR="00106292">
        <w:rPr>
          <w:rFonts w:cs="Angsana New"/>
          <w:szCs w:val="22"/>
          <w:lang w:eastAsia="zh-CN" w:bidi="th-TH"/>
        </w:rPr>
        <w:t xml:space="preserve"> </w:t>
      </w:r>
      <w:r w:rsidRPr="00020978">
        <w:rPr>
          <w:rFonts w:cs="Angsana New"/>
          <w:szCs w:val="22"/>
          <w:lang w:eastAsia="zh-CN" w:bidi="th-TH"/>
        </w:rPr>
        <w:t>aquifer (and the superficial aquifer for the semi-confined case) at the end of injection and at the end of recovery. The salinity of water recovered over the two years of recovery was also determined.</w:t>
      </w:r>
    </w:p>
    <w:p w:rsidR="00300215" w:rsidRDefault="00300215" w:rsidP="00300215">
      <w:pPr>
        <w:numPr>
          <w:ilvl w:val="0"/>
          <w:numId w:val="19"/>
        </w:numPr>
        <w:tabs>
          <w:tab w:val="clear" w:pos="720"/>
          <w:tab w:val="num" w:pos="1080"/>
        </w:tabs>
        <w:ind w:left="1080"/>
      </w:pPr>
      <w:r>
        <w:t xml:space="preserve">The results differed for each site due to aquifer and aquitard hydraulic characteristics. For the simulation based on </w:t>
      </w:r>
      <w:r w:rsidR="000641F5">
        <w:t>borehole BHMAR</w:t>
      </w:r>
      <w:r>
        <w:t>33-5, the heads in the overlying unconfined aquifer rose from 12 to 9.5</w:t>
      </w:r>
      <w:r w:rsidR="00A72012">
        <w:t xml:space="preserve"> </w:t>
      </w:r>
      <w:r>
        <w:t xml:space="preserve">m below ground surface at the injection well, and an artesian zone in the </w:t>
      </w:r>
      <w:r w:rsidR="00C217F0">
        <w:t>Calivil Formation</w:t>
      </w:r>
      <w:r w:rsidR="00106292">
        <w:t xml:space="preserve"> </w:t>
      </w:r>
      <w:r>
        <w:t>aquifer formed to a radius smaller than 50</w:t>
      </w:r>
      <w:r w:rsidR="000641F5">
        <w:t xml:space="preserve"> </w:t>
      </w:r>
      <w:r>
        <w:t>m with heads less than 10</w:t>
      </w:r>
      <w:r w:rsidR="00030542">
        <w:t xml:space="preserve"> </w:t>
      </w:r>
      <w:r>
        <w:t>m above ground. More than 90% of injected water volume could be recovered at a salinity of &lt;800</w:t>
      </w:r>
      <w:r w:rsidR="000641F5">
        <w:t xml:space="preserve"> </w:t>
      </w:r>
      <w:r w:rsidR="00971C9D">
        <w:t>µ</w:t>
      </w:r>
      <w:r>
        <w:t>S/cm (approx</w:t>
      </w:r>
      <w:r w:rsidR="00564741">
        <w:t>imate</w:t>
      </w:r>
      <w:r>
        <w:t xml:space="preserve"> drinking water aesthetic guideline), which compares favourably with native groundwater salinity of 1250</w:t>
      </w:r>
      <w:r w:rsidR="000641F5">
        <w:t xml:space="preserve"> </w:t>
      </w:r>
      <w:r w:rsidR="00971C9D">
        <w:t>µ</w:t>
      </w:r>
      <w:r>
        <w:t>S/cm. The radius of the fresh storage zone was 250-400</w:t>
      </w:r>
      <w:r w:rsidR="000641F5">
        <w:t xml:space="preserve"> </w:t>
      </w:r>
      <w:r>
        <w:t>m and the zone experiencing hydraulic effects had a radius of about 1500</w:t>
      </w:r>
      <w:r w:rsidR="000641F5">
        <w:t>-</w:t>
      </w:r>
      <w:r>
        <w:t>2000</w:t>
      </w:r>
      <w:r w:rsidR="000641F5">
        <w:t xml:space="preserve"> </w:t>
      </w:r>
      <w:r>
        <w:t>m.</w:t>
      </w:r>
    </w:p>
    <w:p w:rsidR="00300215" w:rsidRDefault="00300215" w:rsidP="00300215">
      <w:pPr>
        <w:numPr>
          <w:ilvl w:val="0"/>
          <w:numId w:val="19"/>
        </w:numPr>
        <w:tabs>
          <w:tab w:val="clear" w:pos="720"/>
          <w:tab w:val="num" w:pos="1080"/>
        </w:tabs>
        <w:ind w:left="1080"/>
      </w:pPr>
      <w:r>
        <w:t xml:space="preserve">For the simulation representing the </w:t>
      </w:r>
      <w:r w:rsidR="000641F5">
        <w:t>BHMAR</w:t>
      </w:r>
      <w:r>
        <w:t xml:space="preserve">80A-5 site, heads in the </w:t>
      </w:r>
      <w:r w:rsidR="00C217F0">
        <w:t>Calivil Formation</w:t>
      </w:r>
      <w:r w:rsidR="00106292">
        <w:t xml:space="preserve"> </w:t>
      </w:r>
      <w:r>
        <w:t>aquifer never rose above ground level, salinity of all water recovered was less than the salinity of native groundwater, 500 us/cm, and for most of the recovery period at concentrations similar to injectant (250</w:t>
      </w:r>
      <w:r w:rsidR="000641F5">
        <w:t xml:space="preserve"> </w:t>
      </w:r>
      <w:r w:rsidR="00971C9D">
        <w:t>µ</w:t>
      </w:r>
      <w:r>
        <w:t xml:space="preserve">S/cm). The radius of the freshened zone was similar to the </w:t>
      </w:r>
      <w:r w:rsidR="000641F5">
        <w:t>BHMARA</w:t>
      </w:r>
      <w:r>
        <w:t>33-5 simulations but head increases were smaller and extended over a larger spatial scale.</w:t>
      </w:r>
    </w:p>
    <w:p w:rsidR="00300215" w:rsidRDefault="00300215" w:rsidP="00300215">
      <w:pPr>
        <w:numPr>
          <w:ilvl w:val="0"/>
          <w:numId w:val="19"/>
        </w:numPr>
        <w:tabs>
          <w:tab w:val="clear" w:pos="720"/>
          <w:tab w:val="num" w:pos="1080"/>
        </w:tabs>
        <w:ind w:left="1080"/>
      </w:pPr>
      <w:r>
        <w:t xml:space="preserve">While these simulations are largely conceptual and do not reflect heterogeneity in properties of the aquifer or confining layer, they reveal the potential for high injection rates and high recovery efficiencies, in part because of the relatively fresh ambient groundwater. More rigorous three-dimensional modelling is required to enable design of a multi-well </w:t>
      </w:r>
      <w:smartTag w:uri="urn:schemas-microsoft-com:office:smarttags" w:element="stockticker">
        <w:r>
          <w:t>ASR</w:t>
        </w:r>
      </w:smartTag>
      <w:r>
        <w:t xml:space="preserve"> system, based on known heterogeneity and a clearer understanding of the nature of connection between the river and the </w:t>
      </w:r>
      <w:r w:rsidR="00C217F0">
        <w:t>Calivil Formation</w:t>
      </w:r>
      <w:r w:rsidR="00106292">
        <w:t xml:space="preserve"> </w:t>
      </w:r>
      <w:r>
        <w:t>aquifer and lateral and vertical flow rates in the vicinity of the target storage zone. Further drilling will be required to enable such design to be undertaken.</w:t>
      </w:r>
    </w:p>
    <w:p w:rsidR="00300215" w:rsidRDefault="00300215" w:rsidP="00300215">
      <w:pPr>
        <w:numPr>
          <w:ilvl w:val="0"/>
          <w:numId w:val="19"/>
        </w:numPr>
        <w:tabs>
          <w:tab w:val="clear" w:pos="720"/>
          <w:tab w:val="num" w:pos="1080"/>
        </w:tabs>
        <w:ind w:left="1080"/>
      </w:pPr>
      <w:r>
        <w:lastRenderedPageBreak/>
        <w:t>Importantly, the contrast in operational characteristics between the two sites suggests that network design and operation can capitalise on the heterogeneity of the storage zone to optimise performance according to system performance objectives (</w:t>
      </w:r>
      <w:r w:rsidR="00C43508">
        <w:t>e.g.</w:t>
      </w:r>
      <w:r>
        <w:t xml:space="preserve"> with respect to frequency and duration and volumes of recharge and recovery.</w:t>
      </w:r>
    </w:p>
    <w:p w:rsidR="00300215" w:rsidRDefault="00300215" w:rsidP="00300215">
      <w:pPr>
        <w:numPr>
          <w:ilvl w:val="0"/>
          <w:numId w:val="33"/>
        </w:numPr>
        <w:tabs>
          <w:tab w:val="clear" w:pos="720"/>
          <w:tab w:val="num" w:pos="540"/>
        </w:tabs>
        <w:spacing w:before="120"/>
        <w:ind w:left="540" w:hanging="540"/>
        <w:rPr>
          <w:rFonts w:cs="Angsana New"/>
          <w:szCs w:val="22"/>
          <w:lang w:eastAsia="zh-CN" w:bidi="th-TH"/>
        </w:rPr>
      </w:pPr>
      <w:r>
        <w:rPr>
          <w:rFonts w:cs="Angsana New"/>
          <w:szCs w:val="22"/>
          <w:lang w:eastAsia="zh-CN" w:bidi="th-TH"/>
        </w:rPr>
        <w:t xml:space="preserve">Quantitative temporal analysis of remote sensing data to examine the relationship between </w:t>
      </w:r>
      <w:r w:rsidRPr="00525C2A">
        <w:rPr>
          <w:lang w:eastAsia="zh-CN" w:bidi="th-TH"/>
        </w:rPr>
        <w:t>vegetation</w:t>
      </w:r>
      <w:r w:rsidRPr="00020978">
        <w:rPr>
          <w:rFonts w:cs="Angsana New"/>
          <w:szCs w:val="22"/>
          <w:lang w:eastAsia="zh-CN" w:bidi="th-TH"/>
        </w:rPr>
        <w:t xml:space="preserve"> health (including the adjacent </w:t>
      </w:r>
      <w:smartTag w:uri="urn:schemas-microsoft-com:office:smarttags" w:element="place">
        <w:smartTag w:uri="urn:schemas-microsoft-com:office:smarttags" w:element="PlaceName">
          <w:r w:rsidRPr="00020978">
            <w:rPr>
              <w:rFonts w:cs="Angsana New"/>
              <w:szCs w:val="22"/>
              <w:lang w:eastAsia="zh-CN" w:bidi="th-TH"/>
            </w:rPr>
            <w:t>Kinchega</w:t>
          </w:r>
        </w:smartTag>
        <w:r w:rsidRPr="00020978">
          <w:rPr>
            <w:rFonts w:cs="Angsana New"/>
            <w:szCs w:val="22"/>
            <w:lang w:eastAsia="zh-CN" w:bidi="th-TH"/>
          </w:rPr>
          <w:t xml:space="preserve"> </w:t>
        </w:r>
        <w:smartTag w:uri="urn:schemas-microsoft-com:office:smarttags" w:element="PlaceType">
          <w:r w:rsidRPr="00020978">
            <w:rPr>
              <w:rFonts w:cs="Angsana New"/>
              <w:szCs w:val="22"/>
              <w:lang w:eastAsia="zh-CN" w:bidi="th-TH"/>
            </w:rPr>
            <w:t>National Park</w:t>
          </w:r>
        </w:smartTag>
      </w:smartTag>
      <w:r w:rsidRPr="00020978">
        <w:rPr>
          <w:rFonts w:cs="Angsana New"/>
          <w:szCs w:val="22"/>
          <w:lang w:eastAsia="zh-CN" w:bidi="th-TH"/>
        </w:rPr>
        <w:t xml:space="preserve">) </w:t>
      </w:r>
      <w:r>
        <w:rPr>
          <w:rFonts w:cs="Angsana New"/>
          <w:szCs w:val="22"/>
          <w:lang w:eastAsia="zh-CN" w:bidi="th-TH"/>
        </w:rPr>
        <w:t>and rainfall, surface water and groundwater, has</w:t>
      </w:r>
      <w:r w:rsidRPr="00020978">
        <w:rPr>
          <w:rFonts w:cs="Angsana New"/>
          <w:szCs w:val="22"/>
          <w:lang w:eastAsia="zh-CN" w:bidi="th-TH"/>
        </w:rPr>
        <w:t xml:space="preserve"> shown that:</w:t>
      </w:r>
    </w:p>
    <w:p w:rsidR="00300215" w:rsidRDefault="00300215" w:rsidP="00300215">
      <w:pPr>
        <w:numPr>
          <w:ilvl w:val="0"/>
          <w:numId w:val="19"/>
        </w:numPr>
        <w:tabs>
          <w:tab w:val="clear" w:pos="720"/>
          <w:tab w:val="num" w:pos="1080"/>
        </w:tabs>
        <w:ind w:left="1080"/>
      </w:pPr>
      <w:r>
        <w:t>R</w:t>
      </w:r>
      <w:r w:rsidRPr="00A9155C">
        <w:t xml:space="preserve">iparian vegetation associated with the Tandou Creek element of the Talyawalka-Anabranch relict river tract, </w:t>
      </w:r>
      <w:r>
        <w:t>and</w:t>
      </w:r>
      <w:r w:rsidRPr="00A9155C">
        <w:t xml:space="preserve"> along the </w:t>
      </w:r>
      <w:smartTag w:uri="urn:schemas-microsoft-com:office:smarttags" w:element="place">
        <w:r w:rsidRPr="00A9155C">
          <w:t>Darling River</w:t>
        </w:r>
      </w:smartTag>
      <w:r>
        <w:t xml:space="preserve">, </w:t>
      </w:r>
      <w:r w:rsidRPr="00A9155C">
        <w:t xml:space="preserve">is highly reliant on </w:t>
      </w:r>
      <w:r w:rsidR="006626DD">
        <w:t>river recharge</w:t>
      </w:r>
      <w:r w:rsidRPr="00A9155C">
        <w:t xml:space="preserve"> for the maintenance of vegetation condition. This is demonstrated by the moderate to high degree of variation in condition </w:t>
      </w:r>
      <w:r>
        <w:t>throughout the drought in the past decade, with a decline in</w:t>
      </w:r>
      <w:r w:rsidRPr="00A9155C">
        <w:t xml:space="preserve"> condition </w:t>
      </w:r>
      <w:r>
        <w:t>observed by</w:t>
      </w:r>
      <w:r w:rsidRPr="00A9155C">
        <w:t xml:space="preserve"> the conclusion of the </w:t>
      </w:r>
      <w:r w:rsidR="007C45E4">
        <w:t>Millennium</w:t>
      </w:r>
      <w:r>
        <w:t xml:space="preserve"> </w:t>
      </w:r>
      <w:r w:rsidRPr="00A9155C">
        <w:t>drought</w:t>
      </w:r>
      <w:r>
        <w:t>.</w:t>
      </w:r>
    </w:p>
    <w:p w:rsidR="00300215" w:rsidRDefault="00300215" w:rsidP="00300215">
      <w:pPr>
        <w:numPr>
          <w:ilvl w:val="0"/>
          <w:numId w:val="19"/>
        </w:numPr>
        <w:tabs>
          <w:tab w:val="clear" w:pos="720"/>
          <w:tab w:val="num" w:pos="1080"/>
        </w:tabs>
        <w:ind w:left="1080"/>
      </w:pPr>
      <w:r w:rsidRPr="00A9155C">
        <w:t>The vegetation associated with the Talyawalka-Anabranch relict river tract</w:t>
      </w:r>
      <w:r>
        <w:t>,</w:t>
      </w:r>
      <w:r w:rsidRPr="00A9155C">
        <w:t xml:space="preserve"> </w:t>
      </w:r>
      <w:r>
        <w:t>and</w:t>
      </w:r>
      <w:r w:rsidRPr="00A9155C">
        <w:t xml:space="preserve"> floodplain vegetation </w:t>
      </w:r>
      <w:r>
        <w:t xml:space="preserve">away from the river, </w:t>
      </w:r>
      <w:r w:rsidRPr="00A9155C">
        <w:t xml:space="preserve">appears to have exploited </w:t>
      </w:r>
      <w:r w:rsidR="006626DD">
        <w:t xml:space="preserve">largely static </w:t>
      </w:r>
      <w:r w:rsidRPr="00A9155C">
        <w:t>groundwater resources during the drought. This is indicated by the lack of variability in condition over the course of the drought and the sustained condition between the beginning and end of the drought</w:t>
      </w:r>
      <w:r>
        <w:t>.</w:t>
      </w:r>
      <w:r w:rsidRPr="00A9155C">
        <w:t xml:space="preserve"> </w:t>
      </w:r>
      <w:r>
        <w:t>However, t</w:t>
      </w:r>
      <w:r w:rsidRPr="00A9155C">
        <w:t xml:space="preserve">he groundwater resource in question is contained within the shallow aquifer. This conclusion is based on a number of observations relating to depth to </w:t>
      </w:r>
      <w:r>
        <w:t>watertable</w:t>
      </w:r>
      <w:r w:rsidRPr="00A9155C">
        <w:t xml:space="preserve">, depth to </w:t>
      </w:r>
      <w:r>
        <w:t>mud</w:t>
      </w:r>
      <w:r w:rsidRPr="00A9155C">
        <w:t xml:space="preserve"> drape horizons, thickness of </w:t>
      </w:r>
      <w:r>
        <w:t>mud</w:t>
      </w:r>
      <w:r w:rsidRPr="00A9155C">
        <w:t xml:space="preserve"> drape horizons, depth to the top of the upper aquitard an</w:t>
      </w:r>
      <w:r>
        <w:t>d thickness of the aquitard.</w:t>
      </w:r>
    </w:p>
    <w:p w:rsidR="00300215" w:rsidRDefault="00300215" w:rsidP="00300215">
      <w:pPr>
        <w:numPr>
          <w:ilvl w:val="0"/>
          <w:numId w:val="19"/>
        </w:numPr>
        <w:tabs>
          <w:tab w:val="clear" w:pos="720"/>
          <w:tab w:val="num" w:pos="1080"/>
        </w:tabs>
        <w:ind w:left="1080"/>
      </w:pPr>
      <w:r>
        <w:t xml:space="preserve">Faults and holes in the upper aquitard </w:t>
      </w:r>
      <w:r w:rsidR="00870E0B">
        <w:t xml:space="preserve">with the greatest offset </w:t>
      </w:r>
      <w:r>
        <w:t>that might promote inter-aquifer leakage, are concentrated in the north of the</w:t>
      </w:r>
      <w:r w:rsidR="006626DD">
        <w:t xml:space="preserve"> Jimargil</w:t>
      </w:r>
      <w:r>
        <w:t xml:space="preserve"> proposed borefield, where riparian vegetation is reliant on </w:t>
      </w:r>
      <w:r w:rsidR="006626DD">
        <w:t>river recharge processes h</w:t>
      </w:r>
      <w:r>
        <w:t>ence, this vegetation</w:t>
      </w:r>
      <w:r w:rsidR="006626DD">
        <w:t xml:space="preserve"> may</w:t>
      </w:r>
      <w:r>
        <w:t xml:space="preserve"> be impacted by groundwater extraction.</w:t>
      </w:r>
    </w:p>
    <w:p w:rsidR="00300215" w:rsidRPr="00914618" w:rsidRDefault="00300215" w:rsidP="00300215">
      <w:pPr>
        <w:numPr>
          <w:ilvl w:val="0"/>
          <w:numId w:val="19"/>
        </w:numPr>
        <w:tabs>
          <w:tab w:val="clear" w:pos="720"/>
          <w:tab w:val="num" w:pos="1080"/>
        </w:tabs>
        <w:ind w:left="1080"/>
      </w:pPr>
      <w:r>
        <w:t xml:space="preserve">Overall, any </w:t>
      </w:r>
      <w:r w:rsidR="00F40CA2">
        <w:t xml:space="preserve">groundwater dependent </w:t>
      </w:r>
      <w:r w:rsidR="00F90070">
        <w:t>vegetation</w:t>
      </w:r>
      <w:r>
        <w:t xml:space="preserve"> in the proposed borefield site</w:t>
      </w:r>
      <w:r w:rsidRPr="001E3FBC">
        <w:t xml:space="preserve"> are highly unlikely to </w:t>
      </w:r>
      <w:r>
        <w:t xml:space="preserve">be sourcing </w:t>
      </w:r>
      <w:r w:rsidR="00C217F0">
        <w:t>Calivil Formation</w:t>
      </w:r>
      <w:r>
        <w:t xml:space="preserve"> groundwater, and are unlikely to be impacted by</w:t>
      </w:r>
      <w:r w:rsidRPr="001E3FBC">
        <w:t xml:space="preserve"> </w:t>
      </w:r>
      <w:r>
        <w:t xml:space="preserve">MAR and/or </w:t>
      </w:r>
      <w:r w:rsidRPr="001E3FBC">
        <w:t xml:space="preserve">groundwater </w:t>
      </w:r>
      <w:r>
        <w:t>extraction-only f</w:t>
      </w:r>
      <w:r w:rsidRPr="001E3FBC">
        <w:t xml:space="preserve">rom </w:t>
      </w:r>
      <w:r w:rsidRPr="00914618">
        <w:t xml:space="preserve">the </w:t>
      </w:r>
      <w:r w:rsidR="00C217F0">
        <w:t>Calivil Formation</w:t>
      </w:r>
      <w:r w:rsidR="00106292">
        <w:t xml:space="preserve"> </w:t>
      </w:r>
      <w:r w:rsidRPr="00914618">
        <w:t xml:space="preserve">aquifer. </w:t>
      </w:r>
    </w:p>
    <w:p w:rsidR="00300215" w:rsidRDefault="00300215" w:rsidP="00300215">
      <w:pPr>
        <w:numPr>
          <w:ilvl w:val="0"/>
          <w:numId w:val="20"/>
        </w:numPr>
        <w:tabs>
          <w:tab w:val="clear" w:pos="1080"/>
          <w:tab w:val="num" w:pos="360"/>
        </w:tabs>
        <w:ind w:left="1077" w:hanging="357"/>
        <w:rPr>
          <w:szCs w:val="22"/>
        </w:rPr>
      </w:pPr>
      <w:r w:rsidRPr="00914618">
        <w:rPr>
          <w:szCs w:val="22"/>
          <w:lang w:eastAsia="zh-CN" w:bidi="th-TH"/>
        </w:rPr>
        <w:t>Consequently,</w:t>
      </w:r>
      <w:r w:rsidR="0081610C">
        <w:rPr>
          <w:szCs w:val="22"/>
          <w:lang w:eastAsia="zh-CN" w:bidi="th-TH"/>
        </w:rPr>
        <w:t xml:space="preserve"> provided bore</w:t>
      </w:r>
      <w:r w:rsidR="006626DD">
        <w:rPr>
          <w:szCs w:val="22"/>
          <w:lang w:eastAsia="zh-CN" w:bidi="th-TH"/>
        </w:rPr>
        <w:t xml:space="preserve">holes are sighted </w:t>
      </w:r>
      <w:r w:rsidR="007C45E4">
        <w:rPr>
          <w:szCs w:val="22"/>
          <w:lang w:eastAsia="zh-CN" w:bidi="th-TH"/>
        </w:rPr>
        <w:t>appropriately</w:t>
      </w:r>
      <w:r w:rsidR="006626DD">
        <w:rPr>
          <w:szCs w:val="22"/>
          <w:lang w:eastAsia="zh-CN" w:bidi="th-TH"/>
        </w:rPr>
        <w:t>, the</w:t>
      </w:r>
      <w:r w:rsidRPr="00914618">
        <w:rPr>
          <w:szCs w:val="22"/>
          <w:lang w:eastAsia="zh-CN" w:bidi="th-TH"/>
        </w:rPr>
        <w:t xml:space="preserve"> development of an </w:t>
      </w:r>
      <w:smartTag w:uri="urn:schemas-microsoft-com:office:smarttags" w:element="stockticker">
        <w:r w:rsidRPr="00914618">
          <w:rPr>
            <w:szCs w:val="22"/>
            <w:lang w:eastAsia="zh-CN" w:bidi="th-TH"/>
          </w:rPr>
          <w:t>ASR</w:t>
        </w:r>
      </w:smartTag>
      <w:r w:rsidRPr="00914618">
        <w:rPr>
          <w:szCs w:val="22"/>
          <w:lang w:eastAsia="zh-CN" w:bidi="th-TH"/>
        </w:rPr>
        <w:t xml:space="preserve"> scheme at </w:t>
      </w:r>
      <w:r w:rsidR="00054EE0">
        <w:rPr>
          <w:szCs w:val="22"/>
          <w:lang w:eastAsia="zh-CN" w:bidi="th-TH"/>
        </w:rPr>
        <w:t>Jimargil</w:t>
      </w:r>
      <w:r w:rsidRPr="00914618">
        <w:rPr>
          <w:szCs w:val="22"/>
          <w:lang w:eastAsia="zh-CN" w:bidi="th-TH"/>
        </w:rPr>
        <w:t xml:space="preserve"> is unlikely to have any impact on vegetation health in the adjacent Kinchega National Park.</w:t>
      </w:r>
    </w:p>
    <w:p w:rsidR="00860930" w:rsidRDefault="00860930" w:rsidP="00777798">
      <w:pPr>
        <w:rPr>
          <w:szCs w:val="22"/>
          <w:lang w:eastAsia="zh-CN" w:bidi="th-TH"/>
        </w:rPr>
      </w:pPr>
    </w:p>
    <w:p w:rsidR="00106292" w:rsidRPr="00670511" w:rsidRDefault="00106292" w:rsidP="00777798">
      <w:pPr>
        <w:rPr>
          <w:rFonts w:cs="Arial"/>
          <w:szCs w:val="18"/>
        </w:rPr>
      </w:pPr>
      <w:r w:rsidRPr="00670511">
        <w:rPr>
          <w:szCs w:val="22"/>
          <w:lang w:eastAsia="zh-CN" w:bidi="th-TH"/>
        </w:rPr>
        <w:t xml:space="preserve">More specific details of the Jimargil site can be found in </w:t>
      </w:r>
      <w:r w:rsidRPr="00670511">
        <w:rPr>
          <w:rFonts w:cs="Arial"/>
          <w:szCs w:val="18"/>
        </w:rPr>
        <w:t>Lawrie</w:t>
      </w:r>
      <w:r w:rsidR="008A5F7D" w:rsidRPr="00CF7613">
        <w:rPr>
          <w:rStyle w:val="StyleItalic"/>
        </w:rPr>
        <w:t xml:space="preserve"> et al</w:t>
      </w:r>
      <w:r w:rsidR="00670511" w:rsidRPr="00670511">
        <w:rPr>
          <w:rFonts w:cs="Arial"/>
          <w:szCs w:val="18"/>
        </w:rPr>
        <w:t>. (2012</w:t>
      </w:r>
      <w:r w:rsidRPr="00670511">
        <w:rPr>
          <w:rFonts w:cs="Arial"/>
          <w:szCs w:val="18"/>
        </w:rPr>
        <w:t>c).</w:t>
      </w:r>
    </w:p>
    <w:p w:rsidR="00106292" w:rsidRPr="00670511" w:rsidRDefault="00106292" w:rsidP="00777798">
      <w:pPr>
        <w:rPr>
          <w:szCs w:val="22"/>
          <w:lang w:eastAsia="zh-CN" w:bidi="th-TH"/>
        </w:rPr>
      </w:pPr>
    </w:p>
    <w:p w:rsidR="00300215" w:rsidRPr="00106292" w:rsidRDefault="00300215" w:rsidP="00106292">
      <w:pPr>
        <w:rPr>
          <w:szCs w:val="22"/>
        </w:rPr>
      </w:pPr>
      <w:r w:rsidRPr="00670511">
        <w:rPr>
          <w:rFonts w:cs="Angsana New"/>
          <w:szCs w:val="22"/>
          <w:lang w:eastAsia="zh-CN" w:bidi="th-TH"/>
        </w:rPr>
        <w:t xml:space="preserve">An </w:t>
      </w:r>
      <w:smartTag w:uri="urn:schemas-microsoft-com:office:smarttags" w:element="stockticker">
        <w:r w:rsidRPr="00670511">
          <w:rPr>
            <w:rFonts w:cs="Angsana New"/>
            <w:szCs w:val="22"/>
            <w:lang w:eastAsia="zh-CN" w:bidi="th-TH"/>
          </w:rPr>
          <w:t>ASR</w:t>
        </w:r>
      </w:smartTag>
      <w:r w:rsidRPr="00670511">
        <w:rPr>
          <w:rFonts w:cs="Angsana New"/>
          <w:szCs w:val="22"/>
          <w:lang w:eastAsia="zh-CN" w:bidi="th-TH"/>
        </w:rPr>
        <w:t xml:space="preserve"> scheme developed at this site would have a relatively small surface footprint, although the borefield size would depend on the capacity and pumping rates required and obtained. A relatively large </w:t>
      </w:r>
      <w:r w:rsidRPr="00670511">
        <w:rPr>
          <w:lang w:eastAsia="zh-CN" w:bidi="th-TH"/>
        </w:rPr>
        <w:t>potential</w:t>
      </w:r>
      <w:r w:rsidRPr="00670511">
        <w:rPr>
          <w:rFonts w:cs="Angsana New"/>
          <w:szCs w:val="22"/>
          <w:lang w:eastAsia="zh-CN" w:bidi="th-TH"/>
        </w:rPr>
        <w:t xml:space="preserve"> borefield</w:t>
      </w:r>
      <w:r>
        <w:rPr>
          <w:rFonts w:cs="Angsana New"/>
          <w:szCs w:val="22"/>
          <w:lang w:eastAsia="zh-CN" w:bidi="th-TH"/>
        </w:rPr>
        <w:t xml:space="preserve"> area has been conservatively identified covering 38</w:t>
      </w:r>
      <w:r w:rsidR="006748C2">
        <w:rPr>
          <w:rFonts w:cs="Angsana New"/>
          <w:szCs w:val="22"/>
          <w:lang w:eastAsia="zh-CN" w:bidi="th-TH"/>
        </w:rPr>
        <w:t xml:space="preserve"> </w:t>
      </w:r>
      <w:r>
        <w:rPr>
          <w:rFonts w:cs="Angsana New"/>
          <w:szCs w:val="22"/>
          <w:lang w:eastAsia="zh-CN" w:bidi="th-TH"/>
        </w:rPr>
        <w:t>km</w:t>
      </w:r>
      <w:r w:rsidRPr="00165885">
        <w:rPr>
          <w:rFonts w:cs="Angsana New"/>
          <w:szCs w:val="22"/>
          <w:vertAlign w:val="superscript"/>
          <w:lang w:eastAsia="zh-CN" w:bidi="th-TH"/>
        </w:rPr>
        <w:t>2</w:t>
      </w:r>
      <w:r>
        <w:rPr>
          <w:rFonts w:cs="Angsana New"/>
          <w:szCs w:val="22"/>
          <w:lang w:eastAsia="zh-CN" w:bidi="th-TH"/>
        </w:rPr>
        <w:t>. However, it</w:t>
      </w:r>
      <w:r w:rsidRPr="00165885">
        <w:rPr>
          <w:rFonts w:cs="Angsana New"/>
          <w:szCs w:val="22"/>
          <w:lang w:eastAsia="zh-CN" w:bidi="th-TH"/>
        </w:rPr>
        <w:t xml:space="preserve"> is likely that a borefield</w:t>
      </w:r>
      <w:r>
        <w:rPr>
          <w:rFonts w:cs="Angsana New"/>
          <w:szCs w:val="22"/>
          <w:lang w:eastAsia="zh-CN" w:bidi="th-TH"/>
        </w:rPr>
        <w:t xml:space="preserve"> in these </w:t>
      </w:r>
      <w:r w:rsidR="00E57182">
        <w:rPr>
          <w:rFonts w:cs="Angsana New"/>
          <w:szCs w:val="22"/>
          <w:lang w:eastAsia="zh-CN" w:bidi="th-TH"/>
        </w:rPr>
        <w:t>two</w:t>
      </w:r>
      <w:r>
        <w:rPr>
          <w:rFonts w:cs="Angsana New"/>
          <w:szCs w:val="22"/>
          <w:lang w:eastAsia="zh-CN" w:bidi="th-TH"/>
        </w:rPr>
        <w:t xml:space="preserve"> scenarios, assuming </w:t>
      </w:r>
      <w:r w:rsidRPr="00165885">
        <w:rPr>
          <w:rFonts w:cs="Angsana New"/>
          <w:szCs w:val="22"/>
          <w:lang w:eastAsia="zh-CN" w:bidi="th-TH"/>
        </w:rPr>
        <w:t>a 400</w:t>
      </w:r>
      <w:r w:rsidR="00030542">
        <w:rPr>
          <w:rFonts w:cs="Angsana New"/>
          <w:szCs w:val="22"/>
          <w:lang w:eastAsia="zh-CN" w:bidi="th-TH"/>
        </w:rPr>
        <w:t xml:space="preserve"> </w:t>
      </w:r>
      <w:r w:rsidRPr="00165885">
        <w:rPr>
          <w:rFonts w:cs="Angsana New"/>
          <w:szCs w:val="22"/>
          <w:lang w:eastAsia="zh-CN" w:bidi="th-TH"/>
        </w:rPr>
        <w:t>m well separation, would cove</w:t>
      </w:r>
      <w:r>
        <w:rPr>
          <w:rFonts w:cs="Angsana New"/>
          <w:szCs w:val="22"/>
          <w:lang w:eastAsia="zh-CN" w:bidi="th-TH"/>
        </w:rPr>
        <w:t>r a smaller</w:t>
      </w:r>
      <w:r w:rsidRPr="00165885">
        <w:rPr>
          <w:rFonts w:cs="Angsana New"/>
          <w:szCs w:val="22"/>
          <w:lang w:eastAsia="zh-CN" w:bidi="th-TH"/>
        </w:rPr>
        <w:t xml:space="preserve"> area of approximately 20 to 30</w:t>
      </w:r>
      <w:r w:rsidR="00777798">
        <w:rPr>
          <w:rFonts w:cs="Angsana New"/>
          <w:szCs w:val="22"/>
          <w:lang w:eastAsia="zh-CN" w:bidi="th-TH"/>
        </w:rPr>
        <w:t xml:space="preserve"> </w:t>
      </w:r>
      <w:r w:rsidRPr="00165885">
        <w:rPr>
          <w:rFonts w:cs="Angsana New"/>
          <w:szCs w:val="22"/>
          <w:lang w:eastAsia="zh-CN" w:bidi="th-TH"/>
        </w:rPr>
        <w:t>km</w:t>
      </w:r>
      <w:r w:rsidRPr="00165885">
        <w:rPr>
          <w:rFonts w:cs="Angsana New"/>
          <w:szCs w:val="22"/>
          <w:vertAlign w:val="superscript"/>
          <w:lang w:eastAsia="zh-CN" w:bidi="th-TH"/>
        </w:rPr>
        <w:t>2</w:t>
      </w:r>
      <w:r>
        <w:rPr>
          <w:rFonts w:cs="Angsana New"/>
          <w:szCs w:val="22"/>
          <w:lang w:eastAsia="zh-CN" w:bidi="th-TH"/>
        </w:rPr>
        <w:t>, depending on pumping rates achieved.</w:t>
      </w:r>
      <w:r w:rsidRPr="00165885">
        <w:rPr>
          <w:rFonts w:cs="Angsana New"/>
          <w:szCs w:val="22"/>
          <w:lang w:eastAsia="zh-CN" w:bidi="th-TH"/>
        </w:rPr>
        <w:t xml:space="preserve"> </w:t>
      </w:r>
      <w:r>
        <w:rPr>
          <w:rFonts w:cs="Angsana New"/>
          <w:szCs w:val="22"/>
          <w:lang w:eastAsia="zh-CN" w:bidi="th-TH"/>
        </w:rPr>
        <w:t xml:space="preserve">The additional area also allows for minimisation of risk to infrastructure of localised flooding. </w:t>
      </w:r>
      <w:r w:rsidRPr="00165885">
        <w:rPr>
          <w:rFonts w:cs="Angsana New"/>
          <w:szCs w:val="22"/>
          <w:lang w:eastAsia="zh-CN" w:bidi="th-TH"/>
        </w:rPr>
        <w:t>The proposed site is on a mix of freehold and leasehold land.</w:t>
      </w:r>
      <w:r w:rsidR="00106292">
        <w:rPr>
          <w:rFonts w:cs="Angsana New"/>
          <w:szCs w:val="22"/>
          <w:lang w:eastAsia="zh-CN" w:bidi="th-TH"/>
        </w:rPr>
        <w:t xml:space="preserve"> </w:t>
      </w:r>
    </w:p>
    <w:p w:rsidR="00EE662D" w:rsidRDefault="00EE662D" w:rsidP="00300215">
      <w:pPr>
        <w:rPr>
          <w:szCs w:val="22"/>
        </w:rPr>
      </w:pPr>
    </w:p>
    <w:p w:rsidR="00EE662D" w:rsidRDefault="00300215" w:rsidP="00300215">
      <w:pPr>
        <w:rPr>
          <w:szCs w:val="22"/>
        </w:rPr>
      </w:pPr>
      <w:r w:rsidRPr="00723815">
        <w:rPr>
          <w:szCs w:val="22"/>
        </w:rPr>
        <w:t xml:space="preserve">Overall, the </w:t>
      </w:r>
      <w:r w:rsidR="00EE662D">
        <w:rPr>
          <w:szCs w:val="22"/>
        </w:rPr>
        <w:t>Jimargil</w:t>
      </w:r>
      <w:r w:rsidRPr="00723815">
        <w:rPr>
          <w:szCs w:val="22"/>
        </w:rPr>
        <w:t xml:space="preserve"> site within the GWR1 target represents a premium </w:t>
      </w:r>
      <w:smartTag w:uri="urn:schemas-microsoft-com:office:smarttags" w:element="stockticker">
        <w:r w:rsidRPr="00723815">
          <w:rPr>
            <w:szCs w:val="22"/>
          </w:rPr>
          <w:t>MAR</w:t>
        </w:r>
      </w:smartTag>
      <w:r w:rsidRPr="00723815">
        <w:rPr>
          <w:szCs w:val="22"/>
        </w:rPr>
        <w:t xml:space="preserve"> site, and the </w:t>
      </w:r>
      <w:r w:rsidR="00EE662D">
        <w:rPr>
          <w:szCs w:val="22"/>
        </w:rPr>
        <w:t xml:space="preserve">project </w:t>
      </w:r>
      <w:r w:rsidRPr="00723815">
        <w:rPr>
          <w:szCs w:val="22"/>
        </w:rPr>
        <w:t xml:space="preserve">team have a high degree of confidence that this can be developed into a strategic storage of water for future water supplies of potable quality sufficient to meet the needs of Broken Hill. </w:t>
      </w:r>
    </w:p>
    <w:p w:rsidR="00EE662D" w:rsidRDefault="00EE662D" w:rsidP="00300215">
      <w:pPr>
        <w:rPr>
          <w:szCs w:val="22"/>
        </w:rPr>
      </w:pPr>
    </w:p>
    <w:p w:rsidR="00300215" w:rsidRPr="00723815" w:rsidRDefault="00300215" w:rsidP="00300215">
      <w:r w:rsidRPr="00723815">
        <w:rPr>
          <w:szCs w:val="22"/>
        </w:rPr>
        <w:t xml:space="preserve">However, </w:t>
      </w:r>
      <w:r w:rsidRPr="00723815">
        <w:t xml:space="preserve">injection of treated </w:t>
      </w:r>
      <w:smartTag w:uri="urn:schemas-microsoft-com:office:smarttags" w:element="place">
        <w:r w:rsidRPr="00723815">
          <w:t>Darling River</w:t>
        </w:r>
      </w:smartTag>
      <w:r w:rsidRPr="00723815">
        <w:t xml:space="preserve"> water </w:t>
      </w:r>
      <w:r w:rsidR="00670511">
        <w:t>in a trial-</w:t>
      </w:r>
      <w:r w:rsidR="00E57182">
        <w:t xml:space="preserve">testing mode is required to </w:t>
      </w:r>
      <w:r w:rsidRPr="00723815">
        <w:t>assess the impact on the quality of recovered water of sub</w:t>
      </w:r>
      <w:r>
        <w:t>-</w:t>
      </w:r>
      <w:r w:rsidRPr="00723815">
        <w:t>surface processes, particularly redox reactions and the aquifer’s capacity to remove turbidity, pathogens and organic chemicals such as those produced by cyanobacteria.</w:t>
      </w:r>
    </w:p>
    <w:p w:rsidR="00300215" w:rsidRPr="00723815" w:rsidRDefault="00300215" w:rsidP="00300215"/>
    <w:p w:rsidR="00300215" w:rsidRPr="00723815" w:rsidRDefault="00300215" w:rsidP="00300215">
      <w:r w:rsidRPr="00723815">
        <w:t xml:space="preserve">Importantly for the operation of a potential </w:t>
      </w:r>
      <w:smartTag w:uri="urn:schemas-microsoft-com:office:smarttags" w:element="stockticker">
        <w:r w:rsidRPr="00723815">
          <w:t>ASR</w:t>
        </w:r>
      </w:smartTag>
      <w:r w:rsidRPr="00723815">
        <w:t xml:space="preserve"> scheme in the future, the most recent hydrology modelling and review of operating rules for the </w:t>
      </w:r>
      <w:smartTag w:uri="urn:schemas-microsoft-com:office:smarttags" w:element="stockticker">
        <w:r w:rsidRPr="00723815">
          <w:t>MLS</w:t>
        </w:r>
      </w:smartTag>
      <w:r w:rsidRPr="00723815">
        <w:t xml:space="preserve"> has concluded that there would be sufficient water savings to secure Broken Hill’s water supply (and enable an </w:t>
      </w:r>
      <w:smartTag w:uri="urn:schemas-microsoft-com:office:smarttags" w:element="stockticker">
        <w:r w:rsidRPr="00723815">
          <w:t>ASR</w:t>
        </w:r>
      </w:smartTag>
      <w:r w:rsidRPr="00723815">
        <w:t xml:space="preserve"> scheme to proceed), while fulfilling environmental filling requirements with minimal downstream impacts (Podger, 2010</w:t>
      </w:r>
      <w:r w:rsidR="00F40CA2">
        <w:t>;</w:t>
      </w:r>
      <w:r w:rsidR="00E57182">
        <w:t xml:space="preserve"> 2011</w:t>
      </w:r>
      <w:r w:rsidRPr="00723815">
        <w:t>).</w:t>
      </w:r>
    </w:p>
    <w:p w:rsidR="00300215" w:rsidRDefault="00300215" w:rsidP="00300215"/>
    <w:p w:rsidR="00300215" w:rsidRPr="00300215" w:rsidRDefault="00300215" w:rsidP="00300215"/>
    <w:p w:rsidR="00300215" w:rsidRDefault="00300215" w:rsidP="00300215"/>
    <w:p w:rsidR="00E0140B" w:rsidRDefault="00E0140B" w:rsidP="00E04B4B">
      <w:pPr>
        <w:rPr>
          <w:szCs w:val="22"/>
        </w:rPr>
      </w:pPr>
    </w:p>
    <w:p w:rsidR="00300215" w:rsidRDefault="00300215" w:rsidP="00E04B4B">
      <w:pPr>
        <w:rPr>
          <w:szCs w:val="22"/>
        </w:rPr>
        <w:sectPr w:rsidR="00300215" w:rsidSect="00C6706D">
          <w:pgSz w:w="11906" w:h="16838" w:code="9"/>
          <w:pgMar w:top="1134" w:right="1134" w:bottom="1134" w:left="1134" w:header="709" w:footer="709" w:gutter="0"/>
          <w:cols w:space="708"/>
          <w:docGrid w:linePitch="360"/>
        </w:sectPr>
      </w:pPr>
    </w:p>
    <w:p w:rsidR="00300215" w:rsidRDefault="00300215" w:rsidP="00300215">
      <w:pPr>
        <w:pStyle w:val="Caption"/>
      </w:pPr>
      <w:bookmarkStart w:id="594" w:name="_Ref325913499"/>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8</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4</w:t>
      </w:r>
      <w:r w:rsidR="00B96C96">
        <w:rPr>
          <w:b/>
        </w:rPr>
        <w:fldChar w:fldCharType="end"/>
      </w:r>
      <w:bookmarkEnd w:id="594"/>
      <w:r w:rsidRPr="00CD2825">
        <w:rPr>
          <w:b/>
        </w:rPr>
        <w:t>.</w:t>
      </w:r>
      <w:r>
        <w:t xml:space="preserve"> </w:t>
      </w:r>
      <w:r w:rsidRPr="004F6F8C">
        <w:rPr>
          <w:rFonts w:cs="Arial"/>
        </w:rPr>
        <w:t>Entry-level risk assessment</w:t>
      </w:r>
      <w:r>
        <w:rPr>
          <w:rFonts w:cs="Arial"/>
        </w:rPr>
        <w:t xml:space="preserve"> for the BHMAR ASR borefield site</w:t>
      </w:r>
      <w:r w:rsidRPr="00DF2021">
        <w:rPr>
          <w:rFonts w:cs="Arial"/>
        </w:rPr>
        <w:t xml:space="preserve"> </w:t>
      </w:r>
      <w:r>
        <w:rPr>
          <w:rFonts w:cs="Arial"/>
        </w:rPr>
        <w:t xml:space="preserve">at </w:t>
      </w:r>
      <w:r w:rsidR="008C2768">
        <w:rPr>
          <w:rFonts w:cs="Arial"/>
        </w:rPr>
        <w:t>Jimargil</w:t>
      </w:r>
      <w:r w:rsidR="003721DD">
        <w:rPr>
          <w:rFonts w:cs="Arial"/>
        </w:rPr>
        <w:t xml:space="preserve"> (EB-J-W)-</w:t>
      </w:r>
      <w:r>
        <w:rPr>
          <w:rFonts w:cs="Arial"/>
        </w:rPr>
        <w:t xml:space="preserve"> Part </w:t>
      </w:r>
      <w:r w:rsidRPr="004F6F8C">
        <w:rPr>
          <w:rFonts w:cs="Arial"/>
        </w:rPr>
        <w:t>2: degree of difficulty</w:t>
      </w:r>
      <w:r>
        <w:rPr>
          <w:rFonts w:cs="Arial"/>
        </w:rPr>
        <w:t xml:space="preserve">. </w:t>
      </w:r>
      <w:r w:rsidRPr="006F16BF">
        <w:rPr>
          <w:szCs w:val="20"/>
        </w:rPr>
        <w:t xml:space="preserve">Completed as per section 4.3 of the </w:t>
      </w:r>
      <w:smartTag w:uri="urn:schemas-microsoft-com:office:smarttags" w:element="stockticker">
        <w:r w:rsidRPr="006F16BF">
          <w:rPr>
            <w:szCs w:val="20"/>
          </w:rPr>
          <w:t>MAR</w:t>
        </w:r>
      </w:smartTag>
      <w:r w:rsidRPr="006F16BF">
        <w:rPr>
          <w:szCs w:val="20"/>
        </w:rPr>
        <w:t xml:space="preserve"> guidelines (</w:t>
      </w:r>
      <w:r w:rsidR="0089737C" w:rsidRPr="0070746C">
        <w:t>NRMMC–EPHC–NHMRC</w:t>
      </w:r>
      <w:r w:rsidR="0089737C">
        <w:t>,</w:t>
      </w:r>
      <w:r w:rsidR="0089737C" w:rsidRPr="0070746C">
        <w:t xml:space="preserve"> </w:t>
      </w:r>
      <w:r w:rsidR="0089737C">
        <w:t>2009</w:t>
      </w:r>
      <w:r w:rsidRPr="006F16BF">
        <w:rPr>
          <w:szCs w:val="20"/>
        </w:rPr>
        <w:t>).</w:t>
      </w:r>
      <w:r w:rsidRPr="00395AD1">
        <w:t xml:space="preserve"> </w:t>
      </w:r>
      <w:r w:rsidRPr="005706E3">
        <w:fldChar w:fldCharType="begin"/>
      </w:r>
      <w:r w:rsidRPr="005706E3">
        <w:instrText xml:space="preserve"> </w:instrText>
      </w:r>
      <w:r w:rsidRPr="007960BF">
        <w:rPr>
          <w:i w:val="0"/>
        </w:rPr>
        <w:instrText>TC "</w:instrText>
      </w:r>
      <w:bookmarkStart w:id="595" w:name="_Toc325975310"/>
      <w:bookmarkStart w:id="596" w:name="_Toc390690299"/>
      <w:r w:rsidRPr="007960BF">
        <w:rPr>
          <w:i w:val="0"/>
        </w:rPr>
        <w:instrText xml:space="preserve">Table </w:instrText>
      </w:r>
      <w:r w:rsidR="000D653B">
        <w:rPr>
          <w:i w:val="0"/>
        </w:rPr>
        <w:instrText>8-4</w:instrText>
      </w:r>
      <w:r w:rsidR="00860930">
        <w:rPr>
          <w:i w:val="0"/>
        </w:rPr>
        <w:instrText>.</w:instrText>
      </w:r>
      <w:r w:rsidRPr="007960BF">
        <w:rPr>
          <w:i w:val="0"/>
        </w:rPr>
        <w:instrText xml:space="preserve"> </w:instrText>
      </w:r>
      <w:r w:rsidRPr="007960BF">
        <w:rPr>
          <w:rFonts w:cs="Arial"/>
          <w:i w:val="0"/>
        </w:rPr>
        <w:instrText>Entry-level risk assessment for the BHMAR ASR borefield site at Jimargil</w:instrText>
      </w:r>
      <w:bookmarkEnd w:id="595"/>
      <w:r w:rsidR="000641F5">
        <w:rPr>
          <w:rFonts w:cs="Arial"/>
          <w:i w:val="0"/>
        </w:rPr>
        <w:instrText xml:space="preserve"> (EBJW)</w:instrText>
      </w:r>
      <w:bookmarkEnd w:id="596"/>
      <w:r w:rsidRPr="007960BF">
        <w:rPr>
          <w:i w:val="0"/>
        </w:rPr>
        <w:instrText>" \f B \l "4"</w:instrText>
      </w:r>
      <w:r w:rsidRPr="005706E3">
        <w:instrText xml:space="preserve"> </w:instrText>
      </w:r>
      <w:r w:rsidRPr="005706E3">
        <w:fldChar w:fldCharType="end"/>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7"/>
        <w:gridCol w:w="6916"/>
        <w:gridCol w:w="4053"/>
      </w:tblGrid>
      <w:tr w:rsidR="00300215" w:rsidRPr="006205C3" w:rsidTr="00834708">
        <w:tc>
          <w:tcPr>
            <w:tcW w:w="3817" w:type="dxa"/>
            <w:shd w:val="clear" w:color="auto" w:fill="C0C0C0"/>
          </w:tcPr>
          <w:p w:rsidR="00300215" w:rsidRPr="006205C3" w:rsidRDefault="00300215" w:rsidP="00834708">
            <w:pPr>
              <w:rPr>
                <w:rFonts w:cs="Arial"/>
                <w:b/>
                <w:szCs w:val="22"/>
              </w:rPr>
            </w:pPr>
            <w:r w:rsidRPr="006205C3">
              <w:rPr>
                <w:rFonts w:cs="Arial"/>
                <w:b/>
                <w:szCs w:val="22"/>
              </w:rPr>
              <w:t>Question</w:t>
            </w:r>
          </w:p>
        </w:tc>
        <w:tc>
          <w:tcPr>
            <w:tcW w:w="6916" w:type="dxa"/>
            <w:shd w:val="clear" w:color="auto" w:fill="C0C0C0"/>
          </w:tcPr>
          <w:p w:rsidR="00300215" w:rsidRPr="006205C3" w:rsidRDefault="00300215" w:rsidP="00834708">
            <w:pPr>
              <w:rPr>
                <w:rFonts w:cs="Arial"/>
                <w:b/>
                <w:szCs w:val="22"/>
              </w:rPr>
            </w:pPr>
            <w:r w:rsidRPr="006205C3">
              <w:rPr>
                <w:rFonts w:cs="Arial"/>
                <w:b/>
                <w:szCs w:val="22"/>
              </w:rPr>
              <w:t>BHMAR answers</w:t>
            </w:r>
            <w:r>
              <w:rPr>
                <w:rFonts w:cs="Arial"/>
                <w:b/>
                <w:szCs w:val="22"/>
              </w:rPr>
              <w:t xml:space="preserve"> (Phase 2) for </w:t>
            </w:r>
            <w:r w:rsidR="008C2768">
              <w:rPr>
                <w:rFonts w:cs="Arial"/>
                <w:b/>
                <w:szCs w:val="22"/>
              </w:rPr>
              <w:t>Jimargil</w:t>
            </w:r>
            <w:r>
              <w:rPr>
                <w:rFonts w:cs="Arial"/>
                <w:b/>
                <w:szCs w:val="22"/>
              </w:rPr>
              <w:t xml:space="preserve"> borefield site</w:t>
            </w:r>
          </w:p>
        </w:tc>
        <w:tc>
          <w:tcPr>
            <w:tcW w:w="4053" w:type="dxa"/>
            <w:shd w:val="clear" w:color="auto" w:fill="C0C0C0"/>
          </w:tcPr>
          <w:p w:rsidR="00300215" w:rsidRPr="006205C3" w:rsidRDefault="00300215" w:rsidP="00834708">
            <w:pPr>
              <w:rPr>
                <w:rFonts w:cs="Arial"/>
                <w:b/>
                <w:szCs w:val="22"/>
              </w:rPr>
            </w:pPr>
            <w:r w:rsidRPr="006205C3">
              <w:rPr>
                <w:rFonts w:cs="Arial"/>
                <w:b/>
                <w:szCs w:val="22"/>
              </w:rPr>
              <w:t>Investigations required</w:t>
            </w:r>
            <w:r>
              <w:rPr>
                <w:rFonts w:cs="Arial"/>
                <w:b/>
                <w:szCs w:val="22"/>
              </w:rPr>
              <w:t xml:space="preserve"> (Phase 3)</w:t>
            </w:r>
          </w:p>
        </w:tc>
      </w:tr>
      <w:tr w:rsidR="00300215" w:rsidRPr="006205C3" w:rsidTr="00834708">
        <w:tc>
          <w:tcPr>
            <w:tcW w:w="14786" w:type="dxa"/>
            <w:gridSpan w:val="3"/>
            <w:shd w:val="clear" w:color="auto" w:fill="E6E6E6"/>
          </w:tcPr>
          <w:p w:rsidR="00300215" w:rsidRPr="00F20EE2" w:rsidRDefault="00300215" w:rsidP="00834708">
            <w:pPr>
              <w:rPr>
                <w:rFonts w:cs="Arial"/>
                <w:sz w:val="20"/>
                <w:szCs w:val="20"/>
              </w:rPr>
            </w:pPr>
            <w:r w:rsidRPr="00F20EE2">
              <w:rPr>
                <w:rFonts w:cs="Arial"/>
                <w:b/>
                <w:sz w:val="20"/>
                <w:szCs w:val="20"/>
              </w:rPr>
              <w:t>1. Source water quality with respect to groundwater environmental values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Does source water quality meet the requirements for the environmental values of ambient groundwater?</w:t>
            </w:r>
          </w:p>
        </w:tc>
        <w:tc>
          <w:tcPr>
            <w:tcW w:w="6916" w:type="dxa"/>
          </w:tcPr>
          <w:p w:rsidR="00300215" w:rsidRPr="00D371D0" w:rsidRDefault="00300215" w:rsidP="00834708">
            <w:pPr>
              <w:rPr>
                <w:rFonts w:cs="Arial"/>
                <w:sz w:val="18"/>
                <w:szCs w:val="18"/>
              </w:rPr>
            </w:pPr>
            <w:r w:rsidRPr="00D371D0">
              <w:rPr>
                <w:rFonts w:cs="Arial"/>
                <w:sz w:val="18"/>
                <w:szCs w:val="18"/>
              </w:rPr>
              <w:t xml:space="preserve">Yes. </w:t>
            </w:r>
            <w:smartTag w:uri="urn:schemas-microsoft-com:office:smarttags" w:element="place">
              <w:r w:rsidRPr="00D371D0">
                <w:rPr>
                  <w:rFonts w:cs="Arial"/>
                  <w:sz w:val="18"/>
                  <w:szCs w:val="18"/>
                </w:rPr>
                <w:t>Darling River</w:t>
              </w:r>
            </w:smartTag>
            <w:r w:rsidRPr="00D371D0">
              <w:rPr>
                <w:rFonts w:cs="Arial"/>
                <w:sz w:val="18"/>
                <w:szCs w:val="18"/>
              </w:rPr>
              <w:t xml:space="preserve"> source water quality is higher than most groundwater. Water quality requirements are met for the most common use of groundwater, livestock supply. Water quality requirements for the less common uses such as irrigation and drinking water are generally met, although iron, aluminium, pH, turbidity and phosphorus concentrations exceed irrigation and drinking water aesthetics on occasions. The concentrations of most of these constituents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3" w:type="dxa"/>
          </w:tcPr>
          <w:p w:rsidR="00300215" w:rsidRPr="00D371D0" w:rsidRDefault="00300215" w:rsidP="00834708">
            <w:pPr>
              <w:rPr>
                <w:rFonts w:cs="Arial"/>
                <w:sz w:val="18"/>
                <w:szCs w:val="18"/>
              </w:rPr>
            </w:pPr>
            <w:r w:rsidRPr="00D371D0">
              <w:rPr>
                <w:rFonts w:cs="Arial"/>
                <w:sz w:val="18"/>
                <w:szCs w:val="18"/>
              </w:rPr>
              <w:t>Particular potential contaminants (such as pesticides and microbiology) need to be specifically evaluated.</w:t>
            </w:r>
          </w:p>
        </w:tc>
      </w:tr>
      <w:tr w:rsidR="00300215" w:rsidRPr="006205C3" w:rsidTr="00834708">
        <w:tc>
          <w:tcPr>
            <w:tcW w:w="14786" w:type="dxa"/>
            <w:gridSpan w:val="3"/>
            <w:shd w:val="clear" w:color="auto" w:fill="E6E6E6"/>
          </w:tcPr>
          <w:p w:rsidR="00300215" w:rsidRPr="00F20EE2" w:rsidRDefault="00300215" w:rsidP="00834708">
            <w:pPr>
              <w:rPr>
                <w:rFonts w:cs="Arial"/>
                <w:sz w:val="20"/>
                <w:szCs w:val="20"/>
              </w:rPr>
            </w:pPr>
            <w:r w:rsidRPr="00F20EE2">
              <w:rPr>
                <w:rFonts w:cs="Arial"/>
                <w:b/>
                <w:sz w:val="20"/>
                <w:szCs w:val="20"/>
              </w:rPr>
              <w:t>2. Source water quality with respect to recovered water end use environmental values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Does source water quality meet the requirements for the environmental values of intended end uses of water on recovery?</w:t>
            </w:r>
          </w:p>
        </w:tc>
        <w:tc>
          <w:tcPr>
            <w:tcW w:w="6916" w:type="dxa"/>
          </w:tcPr>
          <w:p w:rsidR="00300215" w:rsidRPr="00D371D0" w:rsidRDefault="00300215" w:rsidP="00834708">
            <w:pPr>
              <w:rPr>
                <w:rFonts w:cs="Arial"/>
                <w:sz w:val="18"/>
                <w:szCs w:val="18"/>
              </w:rPr>
            </w:pPr>
            <w:r w:rsidRPr="00D371D0">
              <w:rPr>
                <w:rFonts w:cs="Arial"/>
                <w:sz w:val="18"/>
                <w:szCs w:val="18"/>
              </w:rPr>
              <w:t xml:space="preserve">No (health requirements); no (aesthetic requirements). Based on the historical data, source waters meet the health requirements of drinking water supplies for the </w:t>
            </w:r>
            <w:smartTag w:uri="urn:schemas-microsoft-com:office:smarttags" w:element="place">
              <w:smartTag w:uri="urn:schemas-microsoft-com:office:smarttags" w:element="PlaceType">
                <w:r w:rsidRPr="00D371D0">
                  <w:rPr>
                    <w:rFonts w:cs="Arial"/>
                    <w:sz w:val="18"/>
                    <w:szCs w:val="18"/>
                  </w:rPr>
                  <w:t>township</w:t>
                </w:r>
              </w:smartTag>
              <w:r w:rsidRPr="00D371D0">
                <w:rPr>
                  <w:rFonts w:cs="Arial"/>
                  <w:sz w:val="18"/>
                  <w:szCs w:val="18"/>
                </w:rPr>
                <w:t xml:space="preserve"> of </w:t>
              </w:r>
              <w:smartTag w:uri="urn:schemas-microsoft-com:office:smarttags" w:element="PlaceName">
                <w:r w:rsidRPr="00D371D0">
                  <w:rPr>
                    <w:rFonts w:cs="Arial"/>
                    <w:sz w:val="18"/>
                    <w:szCs w:val="18"/>
                  </w:rPr>
                  <w:t>Broken</w:t>
                </w:r>
              </w:smartTag>
            </w:smartTag>
            <w:r w:rsidRPr="00D371D0">
              <w:rPr>
                <w:rFonts w:cs="Arial"/>
                <w:sz w:val="18"/>
                <w:szCs w:val="18"/>
              </w:rPr>
              <w:t xml:space="preserve"> Hill. The aesthetic requirements of drinking water if iron, aluminium, pH and turbidity levels are not met but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3" w:type="dxa"/>
          </w:tcPr>
          <w:p w:rsidR="00300215" w:rsidRPr="00D371D0" w:rsidRDefault="00300215" w:rsidP="00834708">
            <w:pPr>
              <w:rPr>
                <w:rFonts w:cs="Arial"/>
                <w:sz w:val="18"/>
                <w:szCs w:val="18"/>
              </w:rPr>
            </w:pPr>
            <w:r w:rsidRPr="00D371D0">
              <w:rPr>
                <w:rFonts w:cs="Arial"/>
                <w:sz w:val="18"/>
                <w:szCs w:val="18"/>
              </w:rPr>
              <w:t>Geochemical assessment of reactions with ambient groundwater and aquifer material is required, and may indicate a need for post-recovery treatment.</w:t>
            </w:r>
          </w:p>
        </w:tc>
      </w:tr>
      <w:tr w:rsidR="00300215" w:rsidRPr="006205C3" w:rsidTr="00834708">
        <w:tc>
          <w:tcPr>
            <w:tcW w:w="14786" w:type="dxa"/>
            <w:gridSpan w:val="3"/>
            <w:shd w:val="clear" w:color="auto" w:fill="E6E6E6"/>
          </w:tcPr>
          <w:p w:rsidR="00300215" w:rsidRPr="00F20EE2" w:rsidRDefault="00300215" w:rsidP="00834708">
            <w:pPr>
              <w:rPr>
                <w:rFonts w:cs="Arial"/>
                <w:sz w:val="20"/>
                <w:szCs w:val="20"/>
              </w:rPr>
            </w:pPr>
            <w:r w:rsidRPr="00F20EE2">
              <w:rPr>
                <w:rFonts w:cs="Arial"/>
                <w:b/>
                <w:sz w:val="20"/>
                <w:szCs w:val="20"/>
              </w:rPr>
              <w:t>3. Source water quality with respect to clogging</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a) Is source water of low quality, for example: either total suspended solids, total organic carbon or total nitrogen &gt;10 mg/L,</w:t>
            </w:r>
          </w:p>
          <w:p w:rsidR="00300215" w:rsidRPr="00D371D0" w:rsidRDefault="00300215" w:rsidP="00834708">
            <w:pPr>
              <w:rPr>
                <w:rFonts w:cs="Arial"/>
                <w:sz w:val="18"/>
                <w:szCs w:val="18"/>
              </w:rPr>
            </w:pPr>
            <w:r w:rsidRPr="00D371D0">
              <w:rPr>
                <w:rFonts w:cs="Arial"/>
                <w:sz w:val="18"/>
                <w:szCs w:val="18"/>
              </w:rPr>
              <w:t>b) And is soil or aquifer free of macropores?</w:t>
            </w:r>
          </w:p>
        </w:tc>
        <w:tc>
          <w:tcPr>
            <w:tcW w:w="6916" w:type="dxa"/>
          </w:tcPr>
          <w:p w:rsidR="00300215" w:rsidRPr="00D371D0" w:rsidRDefault="00300215" w:rsidP="00834708">
            <w:pPr>
              <w:autoSpaceDE w:val="0"/>
              <w:autoSpaceDN w:val="0"/>
              <w:adjustRightInd w:val="0"/>
              <w:rPr>
                <w:rFonts w:cs="Arial"/>
                <w:sz w:val="18"/>
                <w:szCs w:val="18"/>
              </w:rPr>
            </w:pPr>
            <w:r w:rsidRPr="00D371D0">
              <w:rPr>
                <w:rFonts w:cs="Arial"/>
                <w:sz w:val="18"/>
                <w:szCs w:val="18"/>
              </w:rPr>
              <w:t xml:space="preserve">a) Yes. Based on the existing historical data from surface water monitoring sites over the last 30 years, source waters do not meet the total organic carbon or turbidity requirements cited as defining “low quality to avoid aquifer clogging”. </w:t>
            </w:r>
          </w:p>
          <w:p w:rsidR="00300215" w:rsidRPr="00D371D0" w:rsidRDefault="00300215" w:rsidP="00834708">
            <w:pPr>
              <w:rPr>
                <w:rFonts w:cs="Arial"/>
                <w:sz w:val="18"/>
                <w:szCs w:val="18"/>
              </w:rPr>
            </w:pPr>
            <w:r w:rsidRPr="00D371D0">
              <w:rPr>
                <w:rFonts w:cs="Arial"/>
                <w:sz w:val="18"/>
                <w:szCs w:val="18"/>
              </w:rPr>
              <w:t xml:space="preserve">b) Partially. Soils have variable characteristics across the project area; however, the sites identified as potential </w:t>
            </w:r>
            <w:smartTag w:uri="urn:schemas-microsoft-com:office:smarttags" w:element="stockticker">
              <w:r w:rsidRPr="00D371D0">
                <w:rPr>
                  <w:rFonts w:cs="Arial"/>
                  <w:sz w:val="18"/>
                  <w:szCs w:val="18"/>
                </w:rPr>
                <w:t>MAR</w:t>
              </w:r>
            </w:smartTag>
            <w:r w:rsidRPr="00D371D0">
              <w:rPr>
                <w:rFonts w:cs="Arial"/>
                <w:sz w:val="18"/>
                <w:szCs w:val="18"/>
              </w:rPr>
              <w:t xml:space="preserve"> targets and infiltration sites have been selected for their highly permeable and porous soils and aquifers. Macropore development is likely to be variable: cracking </w:t>
            </w:r>
            <w:r>
              <w:rPr>
                <w:rFonts w:cs="Arial"/>
                <w:sz w:val="18"/>
                <w:szCs w:val="18"/>
              </w:rPr>
              <w:t>mud</w:t>
            </w:r>
            <w:r w:rsidRPr="00D371D0">
              <w:rPr>
                <w:rFonts w:cs="Arial"/>
                <w:sz w:val="18"/>
                <w:szCs w:val="18"/>
              </w:rPr>
              <w:t>s with macropore soil development can occur in floodplain areas, but target aquifers are unconsolidated sediments with limited macropore structures.</w:t>
            </w:r>
          </w:p>
        </w:tc>
        <w:tc>
          <w:tcPr>
            <w:tcW w:w="4053" w:type="dxa"/>
          </w:tcPr>
          <w:p w:rsidR="00300215" w:rsidRPr="00D371D0" w:rsidRDefault="00300215" w:rsidP="00834708">
            <w:pPr>
              <w:autoSpaceDE w:val="0"/>
              <w:autoSpaceDN w:val="0"/>
              <w:adjustRightInd w:val="0"/>
              <w:rPr>
                <w:rFonts w:cs="Arial"/>
                <w:sz w:val="18"/>
                <w:szCs w:val="18"/>
              </w:rPr>
            </w:pPr>
            <w:r w:rsidRPr="00D371D0">
              <w:rPr>
                <w:rFonts w:cs="Arial"/>
                <w:sz w:val="18"/>
                <w:szCs w:val="18"/>
              </w:rPr>
              <w:t>a) High risk of clogging of infiltration or injection facilities. Pre-treatment options for source water will need to be assessed.</w:t>
            </w:r>
          </w:p>
          <w:p w:rsidR="00300215" w:rsidRPr="00D371D0" w:rsidRDefault="00300215" w:rsidP="00834708">
            <w:pPr>
              <w:rPr>
                <w:rFonts w:cs="Arial"/>
                <w:sz w:val="18"/>
                <w:szCs w:val="18"/>
              </w:rPr>
            </w:pPr>
            <w:r w:rsidRPr="00D371D0">
              <w:rPr>
                <w:rFonts w:cs="Arial"/>
                <w:sz w:val="18"/>
                <w:szCs w:val="18"/>
              </w:rPr>
              <w:t>b) Although soils and aquifers identified as potential targets are less likely to experience clogging than fine-grained material, clogging is still likely given the low surface water quality. Pre-treatment options for source water will still need to be assessed.</w:t>
            </w:r>
          </w:p>
        </w:tc>
      </w:tr>
      <w:tr w:rsidR="00300215" w:rsidRPr="006205C3" w:rsidTr="00834708">
        <w:tc>
          <w:tcPr>
            <w:tcW w:w="14786" w:type="dxa"/>
            <w:gridSpan w:val="3"/>
            <w:shd w:val="clear" w:color="auto" w:fill="E6E6E6"/>
          </w:tcPr>
          <w:p w:rsidR="00300215" w:rsidRPr="00F20EE2" w:rsidRDefault="00300215" w:rsidP="00834708">
            <w:pPr>
              <w:rPr>
                <w:rFonts w:cs="Arial"/>
                <w:b/>
                <w:sz w:val="20"/>
                <w:szCs w:val="20"/>
              </w:rPr>
            </w:pPr>
            <w:r w:rsidRPr="00F20EE2">
              <w:rPr>
                <w:rFonts w:cs="Arial"/>
                <w:b/>
                <w:sz w:val="20"/>
                <w:szCs w:val="20"/>
              </w:rPr>
              <w:t xml:space="preserve">4. </w:t>
            </w:r>
            <w:smartTag w:uri="urn:schemas-microsoft-com:office:smarttags" w:element="PersonName">
              <w:r w:rsidRPr="00F20EE2">
                <w:rPr>
                  <w:rFonts w:cs="Arial"/>
                  <w:b/>
                  <w:sz w:val="20"/>
                  <w:szCs w:val="20"/>
                </w:rPr>
                <w:t>Groundwater</w:t>
              </w:r>
            </w:smartTag>
            <w:r w:rsidRPr="00F20EE2">
              <w:rPr>
                <w:rFonts w:cs="Arial"/>
                <w:b/>
                <w:sz w:val="20"/>
                <w:szCs w:val="20"/>
              </w:rPr>
              <w:t xml:space="preserve"> quality with respect to recovered water end use environmental values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 xml:space="preserve">Does ambient groundwater meet the water quality requirements for the environmental values of intended end uses of water on recovery? </w:t>
            </w:r>
          </w:p>
        </w:tc>
        <w:tc>
          <w:tcPr>
            <w:tcW w:w="6916" w:type="dxa"/>
          </w:tcPr>
          <w:p w:rsidR="00300215" w:rsidRPr="00D371D0" w:rsidRDefault="00300215" w:rsidP="00834708">
            <w:pPr>
              <w:rPr>
                <w:rFonts w:cs="Arial"/>
                <w:sz w:val="18"/>
                <w:szCs w:val="18"/>
              </w:rPr>
            </w:pPr>
            <w:r w:rsidRPr="00D371D0">
              <w:rPr>
                <w:rFonts w:cs="Arial"/>
                <w:sz w:val="18"/>
                <w:szCs w:val="18"/>
              </w:rPr>
              <w:t xml:space="preserve">Not likely - </w:t>
            </w:r>
            <w:smartTag w:uri="urn:schemas-microsoft-com:office:smarttags" w:element="PersonName">
              <w:r w:rsidRPr="00D371D0">
                <w:rPr>
                  <w:rFonts w:cs="Arial"/>
                  <w:sz w:val="18"/>
                  <w:szCs w:val="18"/>
                </w:rPr>
                <w:t>Groundwater</w:t>
              </w:r>
            </w:smartTag>
            <w:r w:rsidRPr="00D371D0">
              <w:rPr>
                <w:rFonts w:cs="Arial"/>
                <w:sz w:val="18"/>
                <w:szCs w:val="18"/>
              </w:rPr>
              <w:t xml:space="preserve"> sampling from the </w:t>
            </w:r>
            <w:r w:rsidR="00C217F0">
              <w:rPr>
                <w:rFonts w:cs="Arial"/>
                <w:sz w:val="18"/>
                <w:szCs w:val="18"/>
              </w:rPr>
              <w:t>Calivil Formation</w:t>
            </w:r>
            <w:r w:rsidR="00106292">
              <w:rPr>
                <w:rFonts w:cs="Arial"/>
                <w:sz w:val="18"/>
                <w:szCs w:val="18"/>
              </w:rPr>
              <w:t xml:space="preserve"> </w:t>
            </w:r>
            <w:r w:rsidRPr="00D371D0">
              <w:rPr>
                <w:rFonts w:cs="Arial"/>
                <w:sz w:val="18"/>
                <w:szCs w:val="18"/>
              </w:rPr>
              <w:t>aquifer in the target area indicate variations in salinity from potable to saline. Fresher zones can have ADWG</w:t>
            </w:r>
            <w:r w:rsidR="00B81A6B">
              <w:rPr>
                <w:rFonts w:cs="Arial"/>
                <w:sz w:val="18"/>
                <w:szCs w:val="18"/>
              </w:rPr>
              <w:t>2011</w:t>
            </w:r>
            <w:r w:rsidRPr="00D371D0">
              <w:rPr>
                <w:rFonts w:cs="Arial"/>
                <w:sz w:val="18"/>
                <w:szCs w:val="18"/>
              </w:rPr>
              <w:t xml:space="preserve"> exceedances for iron and manganese that would require treatment</w:t>
            </w:r>
            <w:r w:rsidR="00D039C6">
              <w:rPr>
                <w:rFonts w:cs="Arial"/>
                <w:sz w:val="18"/>
                <w:szCs w:val="18"/>
              </w:rPr>
              <w:t>.</w:t>
            </w:r>
          </w:p>
        </w:tc>
        <w:tc>
          <w:tcPr>
            <w:tcW w:w="4053" w:type="dxa"/>
          </w:tcPr>
          <w:p w:rsidR="00300215" w:rsidRPr="00D371D0" w:rsidRDefault="00300215" w:rsidP="00834708">
            <w:pPr>
              <w:rPr>
                <w:rFonts w:cs="Arial"/>
                <w:sz w:val="18"/>
                <w:szCs w:val="18"/>
              </w:rPr>
            </w:pPr>
            <w:r w:rsidRPr="00D371D0">
              <w:rPr>
                <w:rFonts w:cs="Arial"/>
                <w:sz w:val="18"/>
                <w:szCs w:val="18"/>
              </w:rPr>
              <w:t xml:space="preserve">Contrasts in </w:t>
            </w:r>
            <w:r w:rsidR="00C217F0">
              <w:rPr>
                <w:rFonts w:cs="Arial"/>
                <w:sz w:val="18"/>
                <w:szCs w:val="18"/>
              </w:rPr>
              <w:t>Calivil Formation</w:t>
            </w:r>
            <w:r w:rsidR="00106292">
              <w:rPr>
                <w:rFonts w:cs="Arial"/>
                <w:sz w:val="18"/>
                <w:szCs w:val="18"/>
              </w:rPr>
              <w:t xml:space="preserve"> </w:t>
            </w:r>
            <w:r w:rsidRPr="00D371D0">
              <w:rPr>
                <w:rFonts w:cs="Arial"/>
                <w:sz w:val="18"/>
                <w:szCs w:val="18"/>
              </w:rPr>
              <w:t>groundwater salinity would need to be incorporated into evaluation of recovery efficiencies.</w:t>
            </w:r>
          </w:p>
        </w:tc>
      </w:tr>
      <w:tr w:rsidR="00300215" w:rsidRPr="006205C3" w:rsidTr="00834708">
        <w:tc>
          <w:tcPr>
            <w:tcW w:w="14786" w:type="dxa"/>
            <w:gridSpan w:val="3"/>
            <w:shd w:val="clear" w:color="auto" w:fill="E6E6E6"/>
          </w:tcPr>
          <w:p w:rsidR="00300215" w:rsidRPr="006205C3" w:rsidRDefault="00300215" w:rsidP="00834708">
            <w:pPr>
              <w:rPr>
                <w:rFonts w:cs="Arial"/>
                <w:sz w:val="20"/>
                <w:szCs w:val="20"/>
              </w:rPr>
            </w:pPr>
            <w:r>
              <w:rPr>
                <w:rFonts w:cs="Arial"/>
                <w:b/>
                <w:sz w:val="20"/>
                <w:szCs w:val="20"/>
              </w:rPr>
              <w:t xml:space="preserve">5. </w:t>
            </w:r>
            <w:smartTag w:uri="urn:schemas-microsoft-com:office:smarttags" w:element="PersonName">
              <w:r w:rsidRPr="006205C3">
                <w:rPr>
                  <w:rFonts w:cs="Arial"/>
                  <w:b/>
                  <w:sz w:val="20"/>
                  <w:szCs w:val="20"/>
                </w:rPr>
                <w:t>Groundwater</w:t>
              </w:r>
            </w:smartTag>
            <w:r w:rsidRPr="006205C3">
              <w:rPr>
                <w:rFonts w:cs="Arial"/>
                <w:b/>
                <w:sz w:val="20"/>
                <w:szCs w:val="20"/>
              </w:rPr>
              <w:t xml:space="preserve"> and drinking water quality</w:t>
            </w:r>
          </w:p>
        </w:tc>
      </w:tr>
      <w:tr w:rsidR="00300215" w:rsidRPr="00D371D0" w:rsidTr="00834708">
        <w:tc>
          <w:tcPr>
            <w:tcW w:w="3817" w:type="dxa"/>
          </w:tcPr>
          <w:p w:rsidR="00300215" w:rsidRPr="00D371D0" w:rsidRDefault="00300215" w:rsidP="00834708">
            <w:pPr>
              <w:rPr>
                <w:rFonts w:cs="Arial"/>
                <w:sz w:val="18"/>
                <w:szCs w:val="18"/>
              </w:rPr>
            </w:pPr>
            <w:r w:rsidRPr="00D371D0">
              <w:rPr>
                <w:rFonts w:cs="Arial"/>
                <w:sz w:val="18"/>
                <w:szCs w:val="18"/>
              </w:rPr>
              <w:t xml:space="preserve">Is either (a) drinking water supply, or (b) protection of aquatic ecosystems with high conservation or ecological values, an environmental value of the target aquifer? </w:t>
            </w:r>
          </w:p>
        </w:tc>
        <w:tc>
          <w:tcPr>
            <w:tcW w:w="6916" w:type="dxa"/>
          </w:tcPr>
          <w:p w:rsidR="00300215" w:rsidRPr="00D371D0" w:rsidRDefault="00300215" w:rsidP="00834708">
            <w:pPr>
              <w:rPr>
                <w:rFonts w:cs="Arial"/>
                <w:sz w:val="18"/>
                <w:szCs w:val="18"/>
              </w:rPr>
            </w:pPr>
            <w:r w:rsidRPr="00D371D0">
              <w:rPr>
                <w:rFonts w:cs="Arial"/>
                <w:sz w:val="18"/>
                <w:szCs w:val="18"/>
              </w:rPr>
              <w:t xml:space="preserve">a) Possibly – Fresher zones have been identified within the </w:t>
            </w:r>
            <w:r w:rsidR="00C217F0">
              <w:rPr>
                <w:rFonts w:cs="Arial"/>
                <w:sz w:val="18"/>
                <w:szCs w:val="18"/>
              </w:rPr>
              <w:t>Calivil Formation</w:t>
            </w:r>
            <w:r w:rsidR="00106292">
              <w:rPr>
                <w:rFonts w:cs="Arial"/>
                <w:sz w:val="18"/>
                <w:szCs w:val="18"/>
              </w:rPr>
              <w:t xml:space="preserve"> </w:t>
            </w:r>
            <w:r w:rsidRPr="00D371D0">
              <w:rPr>
                <w:rFonts w:cs="Arial"/>
                <w:sz w:val="18"/>
                <w:szCs w:val="18"/>
              </w:rPr>
              <w:t>with salinities less than the ADWG</w:t>
            </w:r>
            <w:r w:rsidR="00B81A6B">
              <w:rPr>
                <w:rFonts w:cs="Arial"/>
                <w:sz w:val="18"/>
                <w:szCs w:val="18"/>
              </w:rPr>
              <w:t>2011</w:t>
            </w:r>
            <w:r w:rsidRPr="00D371D0">
              <w:rPr>
                <w:rFonts w:cs="Arial"/>
                <w:sz w:val="18"/>
                <w:szCs w:val="18"/>
              </w:rPr>
              <w:t xml:space="preserve"> guideline. </w:t>
            </w:r>
          </w:p>
          <w:p w:rsidR="00300215" w:rsidRPr="00D371D0" w:rsidRDefault="00300215" w:rsidP="00834708">
            <w:pPr>
              <w:rPr>
                <w:rFonts w:cs="Arial"/>
                <w:sz w:val="18"/>
                <w:szCs w:val="18"/>
              </w:rPr>
            </w:pPr>
            <w:r w:rsidRPr="00D371D0">
              <w:rPr>
                <w:rFonts w:cs="Arial"/>
                <w:sz w:val="18"/>
                <w:szCs w:val="18"/>
              </w:rPr>
              <w:t xml:space="preserve">b) Not Likely - Initial studies show that GDEs are primarily accessing the shallow unconfined aquifer rather than the deeper semi-confined to leaky-confined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aquifer. </w:t>
            </w:r>
            <w:r w:rsidR="000641F5">
              <w:rPr>
                <w:rFonts w:cs="Arial"/>
                <w:sz w:val="18"/>
                <w:szCs w:val="18"/>
              </w:rPr>
              <w:t xml:space="preserve">Long-term aquifer tests required to assess potential for </w:t>
            </w:r>
            <w:r w:rsidRPr="00D371D0">
              <w:rPr>
                <w:rFonts w:cs="Arial"/>
                <w:sz w:val="18"/>
                <w:szCs w:val="18"/>
              </w:rPr>
              <w:t xml:space="preserve">downward leakage from the shallow aquifer during </w:t>
            </w:r>
            <w:r w:rsidR="000641F5">
              <w:rPr>
                <w:rFonts w:cs="Arial"/>
                <w:sz w:val="18"/>
                <w:szCs w:val="18"/>
              </w:rPr>
              <w:t xml:space="preserve">extraction in the target </w:t>
            </w:r>
            <w:r w:rsidR="00C217F0">
              <w:rPr>
                <w:rFonts w:cs="Arial"/>
                <w:sz w:val="18"/>
                <w:szCs w:val="18"/>
              </w:rPr>
              <w:t>Calivil Formation</w:t>
            </w:r>
            <w:r w:rsidRPr="00D371D0">
              <w:rPr>
                <w:rFonts w:cs="Arial"/>
                <w:sz w:val="18"/>
                <w:szCs w:val="18"/>
              </w:rPr>
              <w:t xml:space="preserve"> </w:t>
            </w:r>
            <w:r w:rsidR="000641F5">
              <w:rPr>
                <w:rFonts w:cs="Arial"/>
                <w:sz w:val="18"/>
                <w:szCs w:val="18"/>
              </w:rPr>
              <w:t>aquifer</w:t>
            </w:r>
            <w:r w:rsidRPr="00D371D0">
              <w:rPr>
                <w:rFonts w:cs="Arial"/>
                <w:sz w:val="18"/>
                <w:szCs w:val="18"/>
              </w:rPr>
              <w:t>.</w:t>
            </w:r>
          </w:p>
        </w:tc>
        <w:tc>
          <w:tcPr>
            <w:tcW w:w="4053" w:type="dxa"/>
          </w:tcPr>
          <w:p w:rsidR="00300215" w:rsidRPr="00D371D0" w:rsidRDefault="00300215" w:rsidP="00834708">
            <w:pPr>
              <w:rPr>
                <w:rFonts w:cs="Arial"/>
                <w:sz w:val="18"/>
                <w:szCs w:val="18"/>
              </w:rPr>
            </w:pPr>
            <w:r w:rsidRPr="00D371D0">
              <w:rPr>
                <w:rFonts w:cs="Arial"/>
                <w:sz w:val="18"/>
                <w:szCs w:val="18"/>
              </w:rPr>
              <w:t xml:space="preserve">More detailed assessment of groundwater quality within the fresher zones in the </w:t>
            </w:r>
            <w:r w:rsidR="00C217F0">
              <w:rPr>
                <w:rFonts w:cs="Arial"/>
                <w:sz w:val="18"/>
                <w:szCs w:val="18"/>
              </w:rPr>
              <w:t>Calivil Formation</w:t>
            </w:r>
            <w:r w:rsidRPr="00D371D0">
              <w:rPr>
                <w:rFonts w:cs="Arial"/>
                <w:sz w:val="18"/>
                <w:szCs w:val="18"/>
              </w:rPr>
              <w:t>, including evaluation against ADWG</w:t>
            </w:r>
            <w:r w:rsidR="00B81A6B">
              <w:rPr>
                <w:rFonts w:cs="Arial"/>
                <w:sz w:val="18"/>
                <w:szCs w:val="18"/>
              </w:rPr>
              <w:t>2011</w:t>
            </w:r>
            <w:r w:rsidRPr="00D371D0">
              <w:rPr>
                <w:rFonts w:cs="Arial"/>
                <w:sz w:val="18"/>
                <w:szCs w:val="18"/>
              </w:rPr>
              <w:t xml:space="preserve"> thresholds</w:t>
            </w:r>
          </w:p>
          <w:p w:rsidR="00300215" w:rsidRPr="00D371D0" w:rsidRDefault="00300215" w:rsidP="00834708">
            <w:pPr>
              <w:rPr>
                <w:rFonts w:cs="Arial"/>
                <w:sz w:val="18"/>
                <w:szCs w:val="18"/>
              </w:rPr>
            </w:pPr>
          </w:p>
          <w:p w:rsidR="00300215" w:rsidRPr="00D371D0" w:rsidRDefault="00300215" w:rsidP="00834708">
            <w:pPr>
              <w:rPr>
                <w:rFonts w:cs="Arial"/>
                <w:sz w:val="18"/>
                <w:szCs w:val="18"/>
              </w:rPr>
            </w:pPr>
            <w:r w:rsidRPr="00D371D0">
              <w:rPr>
                <w:rFonts w:cs="Arial"/>
                <w:sz w:val="18"/>
                <w:szCs w:val="18"/>
              </w:rPr>
              <w:t>Detailed evaluation of GDEs within proposed borefield sites.</w:t>
            </w:r>
            <w:r w:rsidR="000641F5">
              <w:rPr>
                <w:rFonts w:cs="Arial"/>
                <w:sz w:val="18"/>
                <w:szCs w:val="18"/>
              </w:rPr>
              <w:t xml:space="preserve"> Also long-term aquifer tests to evaluate hydraulic connectivity between aquifers.</w:t>
            </w:r>
          </w:p>
        </w:tc>
      </w:tr>
      <w:tr w:rsidR="00300215" w:rsidRPr="006205C3" w:rsidTr="00834708">
        <w:tc>
          <w:tcPr>
            <w:tcW w:w="14786" w:type="dxa"/>
            <w:gridSpan w:val="3"/>
            <w:shd w:val="clear" w:color="auto" w:fill="E6E6E6"/>
          </w:tcPr>
          <w:p w:rsidR="00300215" w:rsidRPr="006205C3" w:rsidRDefault="00300215" w:rsidP="00834708">
            <w:pPr>
              <w:rPr>
                <w:rFonts w:cs="Arial"/>
                <w:sz w:val="20"/>
                <w:szCs w:val="20"/>
              </w:rPr>
            </w:pPr>
            <w:r>
              <w:rPr>
                <w:rFonts w:cs="Arial"/>
                <w:b/>
                <w:sz w:val="20"/>
                <w:szCs w:val="20"/>
              </w:rPr>
              <w:t xml:space="preserve">6. </w:t>
            </w:r>
            <w:smartTag w:uri="urn:schemas-microsoft-com:office:smarttags" w:element="PersonName">
              <w:r w:rsidRPr="006205C3">
                <w:rPr>
                  <w:rFonts w:cs="Arial"/>
                  <w:b/>
                  <w:sz w:val="20"/>
                  <w:szCs w:val="20"/>
                </w:rPr>
                <w:t>Groundwater</w:t>
              </w:r>
            </w:smartTag>
            <w:r w:rsidRPr="006205C3">
              <w:rPr>
                <w:rFonts w:cs="Arial"/>
                <w:b/>
                <w:sz w:val="20"/>
                <w:szCs w:val="20"/>
              </w:rPr>
              <w:t xml:space="preserve"> salinity and recovery efficiency</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Does the salinity of native groundwater exceed:</w:t>
            </w:r>
          </w:p>
          <w:p w:rsidR="00300215" w:rsidRPr="00D371D0" w:rsidRDefault="00300215" w:rsidP="00834708">
            <w:pPr>
              <w:rPr>
                <w:rFonts w:cs="Arial"/>
                <w:sz w:val="18"/>
                <w:szCs w:val="18"/>
              </w:rPr>
            </w:pPr>
            <w:r w:rsidRPr="00D371D0">
              <w:rPr>
                <w:rFonts w:cs="Arial"/>
                <w:sz w:val="18"/>
                <w:szCs w:val="18"/>
              </w:rPr>
              <w:t xml:space="preserve">(a) 10000 mg/L, or </w:t>
            </w:r>
          </w:p>
          <w:p w:rsidR="00300215" w:rsidRPr="00D371D0" w:rsidRDefault="00300215" w:rsidP="00834708">
            <w:pPr>
              <w:rPr>
                <w:rFonts w:cs="Arial"/>
                <w:sz w:val="18"/>
                <w:szCs w:val="18"/>
              </w:rPr>
            </w:pPr>
            <w:r w:rsidRPr="00D371D0">
              <w:rPr>
                <w:rFonts w:cs="Arial"/>
                <w:sz w:val="18"/>
                <w:szCs w:val="18"/>
              </w:rPr>
              <w:t>(b) the salinity criterion for uses of recovered water?</w:t>
            </w:r>
          </w:p>
        </w:tc>
        <w:tc>
          <w:tcPr>
            <w:tcW w:w="6916" w:type="dxa"/>
          </w:tcPr>
          <w:p w:rsidR="00300215" w:rsidRPr="00D371D0" w:rsidRDefault="00300215" w:rsidP="00834708">
            <w:pPr>
              <w:rPr>
                <w:rFonts w:cs="Arial"/>
                <w:sz w:val="18"/>
                <w:szCs w:val="18"/>
              </w:rPr>
            </w:pPr>
            <w:r w:rsidRPr="00D371D0">
              <w:rPr>
                <w:rFonts w:cs="Arial"/>
                <w:sz w:val="18"/>
                <w:szCs w:val="18"/>
              </w:rPr>
              <w:t xml:space="preserve">a) No –salinities exceeding 10,000 mg/L have only been measured in the deeper </w:t>
            </w:r>
            <w:r w:rsidR="00C217F0">
              <w:rPr>
                <w:rFonts w:cs="Arial"/>
                <w:sz w:val="18"/>
                <w:szCs w:val="18"/>
              </w:rPr>
              <w:t>Renmark Group</w:t>
            </w:r>
            <w:r w:rsidRPr="00D371D0">
              <w:rPr>
                <w:rFonts w:cs="Arial"/>
                <w:sz w:val="18"/>
                <w:szCs w:val="18"/>
              </w:rPr>
              <w:t xml:space="preserve"> aquifers in the target area.</w:t>
            </w:r>
          </w:p>
          <w:p w:rsidR="00300215" w:rsidRPr="00D371D0" w:rsidRDefault="00300215" w:rsidP="00834708">
            <w:pPr>
              <w:rPr>
                <w:rFonts w:cs="Arial"/>
                <w:sz w:val="18"/>
                <w:szCs w:val="18"/>
              </w:rPr>
            </w:pPr>
            <w:r w:rsidRPr="00D371D0">
              <w:rPr>
                <w:rFonts w:cs="Arial"/>
                <w:sz w:val="18"/>
                <w:szCs w:val="18"/>
              </w:rPr>
              <w:t xml:space="preserve">b) Yes - Salinity of </w:t>
            </w:r>
            <w:r w:rsidR="00C217F0">
              <w:rPr>
                <w:rFonts w:cs="Arial"/>
                <w:sz w:val="18"/>
                <w:szCs w:val="18"/>
              </w:rPr>
              <w:t>Calivil Formation</w:t>
            </w:r>
            <w:r w:rsidR="00106292">
              <w:rPr>
                <w:rFonts w:cs="Arial"/>
                <w:sz w:val="18"/>
                <w:szCs w:val="18"/>
              </w:rPr>
              <w:t xml:space="preserve"> </w:t>
            </w:r>
            <w:r w:rsidRPr="00D371D0">
              <w:rPr>
                <w:rFonts w:cs="Arial"/>
                <w:sz w:val="18"/>
                <w:szCs w:val="18"/>
              </w:rPr>
              <w:t>groundwater is variable and can exceed ADWG</w:t>
            </w:r>
            <w:r w:rsidR="00B81A6B">
              <w:rPr>
                <w:rFonts w:cs="Arial"/>
                <w:sz w:val="18"/>
                <w:szCs w:val="18"/>
              </w:rPr>
              <w:t>2011</w:t>
            </w:r>
            <w:r w:rsidRPr="00D371D0">
              <w:rPr>
                <w:rFonts w:cs="Arial"/>
                <w:sz w:val="18"/>
                <w:szCs w:val="18"/>
              </w:rPr>
              <w:t xml:space="preserve"> guidelines. The proposed borefield has been designed based on an upper predicted ambient </w:t>
            </w:r>
            <w:r w:rsidRPr="00D371D0">
              <w:rPr>
                <w:rFonts w:cs="Arial"/>
                <w:sz w:val="18"/>
                <w:szCs w:val="18"/>
              </w:rPr>
              <w:lastRenderedPageBreak/>
              <w:t xml:space="preserve">salinity of 3000 mg/l TDS. </w:t>
            </w:r>
          </w:p>
        </w:tc>
        <w:tc>
          <w:tcPr>
            <w:tcW w:w="4053" w:type="dxa"/>
          </w:tcPr>
          <w:p w:rsidR="00300215" w:rsidRPr="00D371D0" w:rsidRDefault="00300215" w:rsidP="00834708">
            <w:pPr>
              <w:rPr>
                <w:rFonts w:cs="Arial"/>
                <w:sz w:val="18"/>
                <w:szCs w:val="18"/>
              </w:rPr>
            </w:pPr>
            <w:r w:rsidRPr="00D371D0">
              <w:rPr>
                <w:rFonts w:cs="Arial"/>
                <w:sz w:val="18"/>
                <w:szCs w:val="18"/>
              </w:rPr>
              <w:lastRenderedPageBreak/>
              <w:t xml:space="preserve">Recovery efficiency evaluation required, particular to address potential upcoming from more saline basal part of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aquifer observed at some sites (e.g. </w:t>
            </w:r>
            <w:r w:rsidR="00C217F0">
              <w:rPr>
                <w:rFonts w:cs="Arial"/>
                <w:sz w:val="18"/>
                <w:szCs w:val="18"/>
              </w:rPr>
              <w:t xml:space="preserve">Menindee </w:t>
            </w:r>
            <w:r w:rsidRPr="00D371D0">
              <w:rPr>
                <w:rFonts w:cs="Arial"/>
                <w:sz w:val="18"/>
                <w:szCs w:val="18"/>
              </w:rPr>
              <w:t>Common site)</w:t>
            </w:r>
          </w:p>
        </w:tc>
      </w:tr>
      <w:tr w:rsidR="00300215" w:rsidRPr="006205C3" w:rsidTr="00834708">
        <w:tc>
          <w:tcPr>
            <w:tcW w:w="3817" w:type="dxa"/>
            <w:shd w:val="clear" w:color="auto" w:fill="C0C0C0"/>
          </w:tcPr>
          <w:p w:rsidR="00300215" w:rsidRPr="006205C3" w:rsidRDefault="00300215" w:rsidP="00834708">
            <w:pPr>
              <w:rPr>
                <w:rFonts w:cs="Arial"/>
                <w:b/>
                <w:szCs w:val="22"/>
              </w:rPr>
            </w:pPr>
            <w:r w:rsidRPr="006205C3">
              <w:rPr>
                <w:rFonts w:cs="Arial"/>
                <w:b/>
                <w:szCs w:val="22"/>
              </w:rPr>
              <w:lastRenderedPageBreak/>
              <w:t>Question</w:t>
            </w:r>
          </w:p>
        </w:tc>
        <w:tc>
          <w:tcPr>
            <w:tcW w:w="6916" w:type="dxa"/>
            <w:shd w:val="clear" w:color="auto" w:fill="C0C0C0"/>
          </w:tcPr>
          <w:p w:rsidR="00300215" w:rsidRPr="006205C3" w:rsidRDefault="00300215" w:rsidP="00834708">
            <w:pPr>
              <w:rPr>
                <w:rFonts w:cs="Arial"/>
                <w:b/>
                <w:szCs w:val="22"/>
              </w:rPr>
            </w:pPr>
            <w:r w:rsidRPr="006205C3">
              <w:rPr>
                <w:rFonts w:cs="Arial"/>
                <w:b/>
                <w:szCs w:val="22"/>
              </w:rPr>
              <w:t>BHMAR answers</w:t>
            </w:r>
            <w:r>
              <w:rPr>
                <w:rFonts w:cs="Arial"/>
                <w:b/>
                <w:szCs w:val="22"/>
              </w:rPr>
              <w:t xml:space="preserve"> (Phase 2) for </w:t>
            </w:r>
            <w:r w:rsidR="008C2768">
              <w:rPr>
                <w:rFonts w:cs="Arial"/>
                <w:b/>
                <w:szCs w:val="22"/>
              </w:rPr>
              <w:t>Jimargil</w:t>
            </w:r>
            <w:r>
              <w:rPr>
                <w:rFonts w:cs="Arial"/>
                <w:b/>
                <w:szCs w:val="22"/>
              </w:rPr>
              <w:t xml:space="preserve"> borefield site</w:t>
            </w:r>
          </w:p>
        </w:tc>
        <w:tc>
          <w:tcPr>
            <w:tcW w:w="4053" w:type="dxa"/>
            <w:shd w:val="clear" w:color="auto" w:fill="C0C0C0"/>
          </w:tcPr>
          <w:p w:rsidR="00300215" w:rsidRPr="006205C3" w:rsidRDefault="00300215" w:rsidP="00834708">
            <w:pPr>
              <w:rPr>
                <w:rFonts w:cs="Arial"/>
                <w:b/>
                <w:szCs w:val="22"/>
              </w:rPr>
            </w:pPr>
            <w:r w:rsidRPr="006205C3">
              <w:rPr>
                <w:rFonts w:cs="Arial"/>
                <w:b/>
                <w:szCs w:val="22"/>
              </w:rPr>
              <w:t>Investigations required</w:t>
            </w:r>
            <w:r>
              <w:rPr>
                <w:rFonts w:cs="Arial"/>
                <w:b/>
                <w:szCs w:val="22"/>
              </w:rPr>
              <w:t xml:space="preserve"> (Phase 3)</w:t>
            </w:r>
          </w:p>
        </w:tc>
      </w:tr>
      <w:tr w:rsidR="00300215" w:rsidRPr="006205C3" w:rsidTr="00834708">
        <w:tc>
          <w:tcPr>
            <w:tcW w:w="14786" w:type="dxa"/>
            <w:gridSpan w:val="3"/>
            <w:shd w:val="clear" w:color="auto" w:fill="E6E6E6"/>
          </w:tcPr>
          <w:p w:rsidR="00300215" w:rsidRPr="006205C3" w:rsidRDefault="00300215" w:rsidP="00834708">
            <w:pPr>
              <w:rPr>
                <w:rFonts w:cs="Arial"/>
                <w:sz w:val="20"/>
                <w:szCs w:val="20"/>
              </w:rPr>
            </w:pPr>
            <w:r>
              <w:rPr>
                <w:rFonts w:cs="Arial"/>
                <w:b/>
                <w:sz w:val="20"/>
                <w:szCs w:val="20"/>
              </w:rPr>
              <w:t xml:space="preserve">7. </w:t>
            </w:r>
            <w:r w:rsidRPr="006205C3">
              <w:rPr>
                <w:rFonts w:cs="Arial"/>
                <w:b/>
                <w:sz w:val="20"/>
                <w:szCs w:val="20"/>
              </w:rPr>
              <w:t>Reactions between source water and aquifer</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Is redox status, pH, temperature, nutrient status and ionic strength of source water and groundwater similar?</w:t>
            </w:r>
          </w:p>
        </w:tc>
        <w:tc>
          <w:tcPr>
            <w:tcW w:w="6916" w:type="dxa"/>
          </w:tcPr>
          <w:p w:rsidR="00300215" w:rsidRPr="00D371D0" w:rsidRDefault="00300215" w:rsidP="00834708">
            <w:pPr>
              <w:rPr>
                <w:rFonts w:cs="Arial"/>
                <w:sz w:val="18"/>
                <w:szCs w:val="18"/>
              </w:rPr>
            </w:pPr>
            <w:r w:rsidRPr="00D371D0">
              <w:rPr>
                <w:rFonts w:cs="Arial"/>
                <w:sz w:val="18"/>
                <w:szCs w:val="18"/>
              </w:rPr>
              <w:t xml:space="preserve">No –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groundwater tends to be more reduced and saline, has less nitrate (but more ammonia) than </w:t>
            </w:r>
            <w:smartTag w:uri="urn:schemas-microsoft-com:office:smarttags" w:element="place">
              <w:r w:rsidRPr="00D371D0">
                <w:rPr>
                  <w:rFonts w:cs="Arial"/>
                  <w:sz w:val="18"/>
                  <w:szCs w:val="18"/>
                </w:rPr>
                <w:t>Darling River</w:t>
              </w:r>
            </w:smartTag>
            <w:r w:rsidRPr="00D371D0">
              <w:rPr>
                <w:rFonts w:cs="Arial"/>
                <w:sz w:val="18"/>
                <w:szCs w:val="18"/>
              </w:rPr>
              <w:t xml:space="preserve"> source water. </w:t>
            </w:r>
          </w:p>
        </w:tc>
        <w:tc>
          <w:tcPr>
            <w:tcW w:w="4053" w:type="dxa"/>
          </w:tcPr>
          <w:p w:rsidR="00300215" w:rsidRPr="00D371D0" w:rsidRDefault="00300215" w:rsidP="00834708">
            <w:pPr>
              <w:rPr>
                <w:rFonts w:cs="Arial"/>
                <w:sz w:val="18"/>
                <w:szCs w:val="18"/>
              </w:rPr>
            </w:pPr>
            <w:r w:rsidRPr="00D371D0">
              <w:rPr>
                <w:rFonts w:cs="Arial"/>
                <w:sz w:val="18"/>
                <w:szCs w:val="18"/>
              </w:rPr>
              <w:t>High risk of adverse reactions between source water and aquifer, with geochemical modelling required. Potential for iron clogging in particular needs to be assessed given contrasts in redox between source water and groundwater, and variability in latter. Assessment appears to show reduced risk associated with areas more actively recharged.</w:t>
            </w:r>
          </w:p>
        </w:tc>
      </w:tr>
      <w:tr w:rsidR="00300215" w:rsidRPr="006205C3" w:rsidTr="00834708">
        <w:tc>
          <w:tcPr>
            <w:tcW w:w="14786" w:type="dxa"/>
            <w:gridSpan w:val="3"/>
            <w:shd w:val="clear" w:color="auto" w:fill="E6E6E6"/>
          </w:tcPr>
          <w:p w:rsidR="00300215" w:rsidRPr="006205C3" w:rsidRDefault="00300215" w:rsidP="00834708">
            <w:pPr>
              <w:rPr>
                <w:rFonts w:cs="Arial"/>
                <w:sz w:val="20"/>
                <w:szCs w:val="20"/>
              </w:rPr>
            </w:pPr>
            <w:r>
              <w:rPr>
                <w:rFonts w:cs="Arial"/>
                <w:b/>
                <w:sz w:val="20"/>
                <w:szCs w:val="20"/>
              </w:rPr>
              <w:t xml:space="preserve">8. </w:t>
            </w:r>
            <w:r w:rsidRPr="006205C3">
              <w:rPr>
                <w:rFonts w:cs="Arial"/>
                <w:b/>
                <w:sz w:val="20"/>
                <w:szCs w:val="20"/>
              </w:rPr>
              <w:t>Proximity of nearest existing groundwater users, connected ecosystems and property boundaries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 xml:space="preserve">Are there (a) other groundwater users, (b) groundwater–connected ecosystems or (c) a property boundary near (within 100–1000 m) the proposed MAR site? </w:t>
            </w:r>
          </w:p>
        </w:tc>
        <w:tc>
          <w:tcPr>
            <w:tcW w:w="6916" w:type="dxa"/>
          </w:tcPr>
          <w:p w:rsidR="00300215" w:rsidRPr="00D371D0" w:rsidRDefault="00300215" w:rsidP="00834708">
            <w:pPr>
              <w:rPr>
                <w:rFonts w:cs="Arial"/>
                <w:sz w:val="18"/>
                <w:szCs w:val="18"/>
              </w:rPr>
            </w:pPr>
            <w:r w:rsidRPr="00D371D0">
              <w:rPr>
                <w:rFonts w:cs="Arial"/>
                <w:sz w:val="18"/>
                <w:szCs w:val="18"/>
              </w:rPr>
              <w:t xml:space="preserve">(a) Yes –.A number of licensed bores are located within target area, although limited to stock and domestic use. </w:t>
            </w:r>
          </w:p>
          <w:p w:rsidR="00300215" w:rsidRPr="00D371D0" w:rsidRDefault="00300215" w:rsidP="00834708">
            <w:pPr>
              <w:rPr>
                <w:rFonts w:cs="Arial"/>
                <w:sz w:val="18"/>
                <w:szCs w:val="18"/>
              </w:rPr>
            </w:pPr>
            <w:r w:rsidRPr="00D371D0">
              <w:rPr>
                <w:rFonts w:cs="Arial"/>
                <w:sz w:val="18"/>
                <w:szCs w:val="18"/>
              </w:rPr>
              <w:t xml:space="preserve">(b) Not Likely –initial evaluation suggests that any groundwater dependency would relate to the shallow unconfined </w:t>
            </w:r>
            <w:r w:rsidR="00C217F0">
              <w:rPr>
                <w:rFonts w:cs="Arial"/>
                <w:sz w:val="18"/>
                <w:szCs w:val="18"/>
              </w:rPr>
              <w:t>Coonambidgal Formation</w:t>
            </w:r>
            <w:r w:rsidRPr="00D371D0">
              <w:rPr>
                <w:rFonts w:cs="Arial"/>
                <w:sz w:val="18"/>
                <w:szCs w:val="18"/>
              </w:rPr>
              <w:t xml:space="preserve"> and </w:t>
            </w:r>
            <w:r w:rsidR="00C217F0">
              <w:rPr>
                <w:rFonts w:cs="Arial"/>
                <w:sz w:val="18"/>
                <w:szCs w:val="18"/>
              </w:rPr>
              <w:t>Menindee Formation</w:t>
            </w:r>
            <w:r w:rsidRPr="00D371D0">
              <w:rPr>
                <w:rFonts w:cs="Arial"/>
                <w:sz w:val="18"/>
                <w:szCs w:val="18"/>
              </w:rPr>
              <w:t xml:space="preserve"> aquifers rather than the deeper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target. There may be localised impacts associated with inter-aquifer leakage near holes in the upper confining aquitard, in thinner </w:t>
            </w:r>
            <w:r>
              <w:rPr>
                <w:rFonts w:cs="Arial"/>
                <w:sz w:val="18"/>
                <w:szCs w:val="18"/>
              </w:rPr>
              <w:t>mud</w:t>
            </w:r>
            <w:r w:rsidRPr="00D371D0">
              <w:rPr>
                <w:rFonts w:cs="Arial"/>
                <w:sz w:val="18"/>
                <w:szCs w:val="18"/>
              </w:rPr>
              <w:t xml:space="preserve"> immediately below the river, and through faults.</w:t>
            </w:r>
          </w:p>
          <w:p w:rsidR="00300215" w:rsidRPr="00D371D0" w:rsidRDefault="00300215" w:rsidP="00834708">
            <w:pPr>
              <w:rPr>
                <w:rFonts w:cs="Arial"/>
                <w:sz w:val="18"/>
                <w:szCs w:val="18"/>
              </w:rPr>
            </w:pPr>
            <w:r w:rsidRPr="00D371D0">
              <w:rPr>
                <w:rFonts w:cs="Arial"/>
                <w:sz w:val="18"/>
                <w:szCs w:val="18"/>
              </w:rPr>
              <w:t>(c) Yes - Target area covers 38 km</w:t>
            </w:r>
            <w:r w:rsidRPr="00165885">
              <w:rPr>
                <w:rFonts w:cs="Arial"/>
                <w:sz w:val="18"/>
                <w:szCs w:val="18"/>
                <w:vertAlign w:val="superscript"/>
              </w:rPr>
              <w:t>2</w:t>
            </w:r>
            <w:r w:rsidRPr="00D371D0">
              <w:rPr>
                <w:rFonts w:cs="Arial"/>
                <w:sz w:val="18"/>
                <w:szCs w:val="18"/>
              </w:rPr>
              <w:t xml:space="preserve"> across property boundaries.</w:t>
            </w:r>
          </w:p>
        </w:tc>
        <w:tc>
          <w:tcPr>
            <w:tcW w:w="4053" w:type="dxa"/>
          </w:tcPr>
          <w:p w:rsidR="00300215" w:rsidRPr="00D371D0" w:rsidRDefault="00300215" w:rsidP="00834708">
            <w:pPr>
              <w:rPr>
                <w:rFonts w:cs="Arial"/>
                <w:sz w:val="18"/>
                <w:szCs w:val="18"/>
              </w:rPr>
            </w:pPr>
            <w:r w:rsidRPr="00D371D0">
              <w:rPr>
                <w:rFonts w:cs="Arial"/>
                <w:sz w:val="18"/>
                <w:szCs w:val="18"/>
              </w:rPr>
              <w:t xml:space="preserve">Identified high risk of potential impacts on neighbouring properties, moderated by low-level current groundwater use in target area. Note, however that MAR would improve groundwater quality in the </w:t>
            </w:r>
            <w:r w:rsidR="00C217F0">
              <w:rPr>
                <w:rFonts w:cs="Arial"/>
                <w:sz w:val="18"/>
                <w:szCs w:val="18"/>
              </w:rPr>
              <w:t>Calivil Formation</w:t>
            </w:r>
            <w:r w:rsidR="00106292">
              <w:rPr>
                <w:rFonts w:cs="Arial"/>
                <w:sz w:val="18"/>
                <w:szCs w:val="18"/>
              </w:rPr>
              <w:t xml:space="preserve"> </w:t>
            </w:r>
            <w:r w:rsidRPr="00D371D0">
              <w:rPr>
                <w:rFonts w:cs="Arial"/>
                <w:sz w:val="18"/>
                <w:szCs w:val="18"/>
              </w:rPr>
              <w:t>aquifer over time.</w:t>
            </w:r>
          </w:p>
          <w:p w:rsidR="00300215" w:rsidRPr="00D371D0" w:rsidRDefault="00300215" w:rsidP="00834708">
            <w:pPr>
              <w:rPr>
                <w:rFonts w:cs="Arial"/>
                <w:sz w:val="18"/>
                <w:szCs w:val="18"/>
              </w:rPr>
            </w:pPr>
          </w:p>
          <w:p w:rsidR="00300215" w:rsidRPr="00D371D0" w:rsidRDefault="00300215" w:rsidP="00834708">
            <w:pPr>
              <w:rPr>
                <w:rFonts w:cs="Arial"/>
                <w:sz w:val="18"/>
                <w:szCs w:val="18"/>
              </w:rPr>
            </w:pPr>
            <w:r w:rsidRPr="00D371D0">
              <w:rPr>
                <w:rFonts w:cs="Arial"/>
                <w:sz w:val="18"/>
                <w:szCs w:val="18"/>
              </w:rPr>
              <w:t>Assessment of attenuation zone required.</w:t>
            </w:r>
          </w:p>
        </w:tc>
      </w:tr>
      <w:tr w:rsidR="00300215" w:rsidRPr="006205C3" w:rsidTr="00834708">
        <w:tc>
          <w:tcPr>
            <w:tcW w:w="14786" w:type="dxa"/>
            <w:gridSpan w:val="3"/>
            <w:shd w:val="clear" w:color="auto" w:fill="E6E6E6"/>
          </w:tcPr>
          <w:p w:rsidR="00300215" w:rsidRPr="006205C3" w:rsidRDefault="00300215" w:rsidP="00834708">
            <w:pPr>
              <w:rPr>
                <w:rFonts w:cs="Arial"/>
                <w:sz w:val="20"/>
                <w:szCs w:val="20"/>
              </w:rPr>
            </w:pPr>
            <w:r>
              <w:rPr>
                <w:rFonts w:cs="Arial"/>
                <w:b/>
                <w:sz w:val="20"/>
                <w:szCs w:val="20"/>
              </w:rPr>
              <w:t xml:space="preserve">9. </w:t>
            </w:r>
            <w:r w:rsidRPr="006205C3">
              <w:rPr>
                <w:rFonts w:cs="Arial"/>
                <w:b/>
                <w:sz w:val="20"/>
                <w:szCs w:val="20"/>
              </w:rPr>
              <w:t>Aquifer capacity and groundwater levels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Is the aquifer confined and not artesian? Or is it unconfined, with a watertable deeper than 4 m in rural areas or 8 m in urban areas?</w:t>
            </w:r>
          </w:p>
        </w:tc>
        <w:tc>
          <w:tcPr>
            <w:tcW w:w="6916" w:type="dxa"/>
          </w:tcPr>
          <w:p w:rsidR="00300215" w:rsidRPr="00D371D0" w:rsidRDefault="00300215" w:rsidP="00834708">
            <w:pPr>
              <w:rPr>
                <w:rFonts w:cs="Arial"/>
                <w:sz w:val="18"/>
                <w:szCs w:val="18"/>
              </w:rPr>
            </w:pPr>
            <w:r w:rsidRPr="00D371D0">
              <w:rPr>
                <w:rFonts w:cs="Arial"/>
                <w:sz w:val="18"/>
                <w:szCs w:val="18"/>
              </w:rPr>
              <w:t xml:space="preserve">Yes – </w:t>
            </w:r>
            <w:r w:rsidR="00C217F0">
              <w:rPr>
                <w:rFonts w:cs="Arial"/>
                <w:sz w:val="18"/>
                <w:szCs w:val="18"/>
              </w:rPr>
              <w:t>Calivil Formation</w:t>
            </w:r>
            <w:r w:rsidR="00106292">
              <w:rPr>
                <w:rFonts w:cs="Arial"/>
                <w:sz w:val="18"/>
                <w:szCs w:val="18"/>
              </w:rPr>
              <w:t xml:space="preserve"> </w:t>
            </w:r>
            <w:r w:rsidRPr="00D371D0">
              <w:rPr>
                <w:rFonts w:cs="Arial"/>
                <w:sz w:val="18"/>
                <w:szCs w:val="18"/>
              </w:rPr>
              <w:t>target aquifer is semi-confined to leaky- confined. There is a minor (0-1</w:t>
            </w:r>
            <w:r w:rsidR="00A72012">
              <w:rPr>
                <w:rFonts w:cs="Arial"/>
                <w:sz w:val="18"/>
                <w:szCs w:val="18"/>
              </w:rPr>
              <w:t xml:space="preserve"> </w:t>
            </w:r>
            <w:r w:rsidRPr="00D371D0">
              <w:rPr>
                <w:rFonts w:cs="Arial"/>
                <w:sz w:val="18"/>
                <w:szCs w:val="18"/>
              </w:rPr>
              <w:t xml:space="preserve">m) positive head difference between the unconfined aquifer and the </w:t>
            </w:r>
            <w:r w:rsidR="00C217F0">
              <w:rPr>
                <w:rFonts w:cs="Arial"/>
                <w:sz w:val="18"/>
                <w:szCs w:val="18"/>
              </w:rPr>
              <w:t>Calivil Formation</w:t>
            </w:r>
            <w:r w:rsidRPr="00D371D0">
              <w:rPr>
                <w:rFonts w:cs="Arial"/>
                <w:sz w:val="18"/>
                <w:szCs w:val="18"/>
              </w:rPr>
              <w:t xml:space="preserve">, indicating downward hydraulic gradients. The </w:t>
            </w:r>
            <w:r w:rsidR="000641F5">
              <w:rPr>
                <w:rFonts w:cs="Arial"/>
                <w:sz w:val="18"/>
                <w:szCs w:val="18"/>
              </w:rPr>
              <w:t xml:space="preserve">hydraulic head in the Calivil Formation aquifer is </w:t>
            </w:r>
            <w:r w:rsidRPr="00D371D0">
              <w:rPr>
                <w:rFonts w:cs="Arial"/>
                <w:sz w:val="18"/>
                <w:szCs w:val="18"/>
              </w:rPr>
              <w:t>&gt;10</w:t>
            </w:r>
            <w:r w:rsidR="00030542">
              <w:rPr>
                <w:rFonts w:cs="Arial"/>
                <w:sz w:val="18"/>
                <w:szCs w:val="18"/>
              </w:rPr>
              <w:t xml:space="preserve"> </w:t>
            </w:r>
            <w:r w:rsidRPr="00D371D0">
              <w:rPr>
                <w:rFonts w:cs="Arial"/>
                <w:sz w:val="18"/>
                <w:szCs w:val="18"/>
              </w:rPr>
              <w:t>m below ground surface. Water level responses in recent 2010/11 floods ranged up to 1.4</w:t>
            </w:r>
            <w:r w:rsidR="00A72012">
              <w:rPr>
                <w:rFonts w:cs="Arial"/>
                <w:sz w:val="18"/>
                <w:szCs w:val="18"/>
              </w:rPr>
              <w:t xml:space="preserve"> </w:t>
            </w:r>
            <w:r w:rsidRPr="00D371D0">
              <w:rPr>
                <w:rFonts w:cs="Arial"/>
                <w:sz w:val="18"/>
                <w:szCs w:val="18"/>
              </w:rPr>
              <w:t>m</w:t>
            </w:r>
            <w:r w:rsidR="00D039C6">
              <w:rPr>
                <w:rFonts w:cs="Arial"/>
                <w:sz w:val="18"/>
                <w:szCs w:val="18"/>
              </w:rPr>
              <w:t>.</w:t>
            </w:r>
          </w:p>
        </w:tc>
        <w:tc>
          <w:tcPr>
            <w:tcW w:w="4053" w:type="dxa"/>
          </w:tcPr>
          <w:p w:rsidR="00300215" w:rsidRPr="00D371D0" w:rsidRDefault="00300215" w:rsidP="00834708">
            <w:pPr>
              <w:rPr>
                <w:rFonts w:cs="Arial"/>
                <w:sz w:val="18"/>
                <w:szCs w:val="18"/>
              </w:rPr>
            </w:pPr>
            <w:r w:rsidRPr="00D371D0">
              <w:rPr>
                <w:rFonts w:cs="Arial"/>
                <w:sz w:val="18"/>
                <w:szCs w:val="18"/>
              </w:rPr>
              <w:t xml:space="preserve">Low risk of waterlogging or excessive groundwater mounding. </w:t>
            </w:r>
          </w:p>
        </w:tc>
      </w:tr>
      <w:tr w:rsidR="00300215" w:rsidRPr="006205C3" w:rsidTr="00834708">
        <w:tc>
          <w:tcPr>
            <w:tcW w:w="14786" w:type="dxa"/>
            <w:gridSpan w:val="3"/>
            <w:shd w:val="clear" w:color="auto" w:fill="E6E6E6"/>
          </w:tcPr>
          <w:p w:rsidR="00300215" w:rsidRPr="006205C3" w:rsidRDefault="00300215" w:rsidP="00834708">
            <w:pPr>
              <w:rPr>
                <w:rFonts w:cs="Arial"/>
                <w:sz w:val="20"/>
                <w:szCs w:val="20"/>
              </w:rPr>
            </w:pPr>
            <w:r w:rsidRPr="006205C3">
              <w:rPr>
                <w:rFonts w:cs="Arial"/>
                <w:b/>
                <w:sz w:val="20"/>
                <w:szCs w:val="20"/>
              </w:rPr>
              <w:t>10</w:t>
            </w:r>
            <w:r>
              <w:rPr>
                <w:rFonts w:cs="Arial"/>
                <w:b/>
                <w:sz w:val="20"/>
                <w:szCs w:val="20"/>
              </w:rPr>
              <w:t xml:space="preserve">. </w:t>
            </w:r>
            <w:r w:rsidRPr="006205C3">
              <w:rPr>
                <w:rFonts w:cs="Arial"/>
                <w:b/>
                <w:sz w:val="20"/>
                <w:szCs w:val="20"/>
              </w:rPr>
              <w:t>Protection of water quality in unconfined aquifers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 xml:space="preserve">Is the aquifer unconfined, with an intended use of recovered water being drinking water supplies? </w:t>
            </w:r>
          </w:p>
        </w:tc>
        <w:tc>
          <w:tcPr>
            <w:tcW w:w="6916" w:type="dxa"/>
          </w:tcPr>
          <w:p w:rsidR="00300215" w:rsidRPr="00D371D0" w:rsidRDefault="00300215" w:rsidP="00834708">
            <w:pPr>
              <w:rPr>
                <w:rFonts w:cs="Arial"/>
                <w:sz w:val="18"/>
                <w:szCs w:val="18"/>
              </w:rPr>
            </w:pPr>
            <w:r w:rsidRPr="00D371D0">
              <w:rPr>
                <w:rFonts w:cs="Arial"/>
                <w:sz w:val="18"/>
                <w:szCs w:val="18"/>
              </w:rPr>
              <w:t>No – target aquifer is semi-confined to confined, with relatively thick (5-10</w:t>
            </w:r>
            <w:r w:rsidR="00030542">
              <w:rPr>
                <w:rFonts w:cs="Arial"/>
                <w:sz w:val="18"/>
                <w:szCs w:val="18"/>
              </w:rPr>
              <w:t xml:space="preserve"> </w:t>
            </w:r>
            <w:r w:rsidRPr="00D371D0">
              <w:rPr>
                <w:rFonts w:cs="Arial"/>
                <w:sz w:val="18"/>
                <w:szCs w:val="18"/>
              </w:rPr>
              <w:t>m) confining aquitard over most of the proposed borefield. There is however an almost instantaneous increase in groundwater responses to flooding in 2010/11 in bores within 200</w:t>
            </w:r>
            <w:r w:rsidR="00030542">
              <w:rPr>
                <w:rFonts w:cs="Arial"/>
                <w:sz w:val="18"/>
                <w:szCs w:val="18"/>
              </w:rPr>
              <w:t xml:space="preserve"> </w:t>
            </w:r>
            <w:r w:rsidRPr="00D371D0">
              <w:rPr>
                <w:rFonts w:cs="Arial"/>
                <w:sz w:val="18"/>
                <w:szCs w:val="18"/>
              </w:rPr>
              <w:t xml:space="preserve">m of the Darling River, with responses thereafter indicating continued recharge through inter-aquifer leakage. Recovered water will be used for raw water for drinking water supply. </w:t>
            </w:r>
          </w:p>
        </w:tc>
        <w:tc>
          <w:tcPr>
            <w:tcW w:w="4053" w:type="dxa"/>
          </w:tcPr>
          <w:p w:rsidR="00300215" w:rsidRPr="00D371D0" w:rsidRDefault="00300215" w:rsidP="00834708">
            <w:pPr>
              <w:rPr>
                <w:rFonts w:cs="Arial"/>
                <w:sz w:val="18"/>
                <w:szCs w:val="18"/>
              </w:rPr>
            </w:pPr>
            <w:r w:rsidRPr="00D371D0">
              <w:rPr>
                <w:rFonts w:cs="Arial"/>
                <w:sz w:val="18"/>
                <w:szCs w:val="18"/>
              </w:rPr>
              <w:t xml:space="preserve">Low to moderate risk of groundwater contamination from land and waste management, as indicated by evidence of leaky overlying aquitard. Land use is mostly low-density pastoral use, with national park on the west side of the </w:t>
            </w:r>
            <w:smartTag w:uri="urn:schemas-microsoft-com:office:smarttags" w:element="place">
              <w:r w:rsidRPr="00D371D0">
                <w:rPr>
                  <w:rFonts w:cs="Arial"/>
                  <w:sz w:val="18"/>
                  <w:szCs w:val="18"/>
                </w:rPr>
                <w:t>Darling River</w:t>
              </w:r>
            </w:smartTag>
            <w:r w:rsidRPr="00D371D0">
              <w:rPr>
                <w:rFonts w:cs="Arial"/>
                <w:sz w:val="18"/>
                <w:szCs w:val="18"/>
              </w:rPr>
              <w:t>. Assessment of degree of aquitard leakage required, and potential contamination sources need to be assessed.</w:t>
            </w:r>
          </w:p>
        </w:tc>
      </w:tr>
      <w:tr w:rsidR="00300215" w:rsidRPr="006205C3" w:rsidTr="00834708">
        <w:tc>
          <w:tcPr>
            <w:tcW w:w="14786" w:type="dxa"/>
            <w:gridSpan w:val="3"/>
            <w:shd w:val="clear" w:color="auto" w:fill="E6E6E6"/>
          </w:tcPr>
          <w:p w:rsidR="00300215" w:rsidRPr="00F20EE2" w:rsidRDefault="00300215" w:rsidP="00834708">
            <w:pPr>
              <w:rPr>
                <w:rFonts w:cs="Arial"/>
                <w:b/>
                <w:sz w:val="20"/>
                <w:szCs w:val="20"/>
              </w:rPr>
            </w:pPr>
            <w:r w:rsidRPr="00F20EE2">
              <w:rPr>
                <w:rFonts w:cs="Arial"/>
                <w:b/>
                <w:sz w:val="20"/>
                <w:szCs w:val="20"/>
              </w:rPr>
              <w:t>11. Fractured rock, karstic or reactive aquifers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Is the aquifer composed of fractured rock or karstic media, or known to contain reactive minerals?</w:t>
            </w:r>
          </w:p>
        </w:tc>
        <w:tc>
          <w:tcPr>
            <w:tcW w:w="6916" w:type="dxa"/>
          </w:tcPr>
          <w:p w:rsidR="00300215" w:rsidRPr="00D371D0" w:rsidRDefault="00300215" w:rsidP="00834708">
            <w:pPr>
              <w:rPr>
                <w:rFonts w:cs="Arial"/>
                <w:sz w:val="18"/>
                <w:szCs w:val="18"/>
              </w:rPr>
            </w:pPr>
            <w:r w:rsidRPr="00D371D0">
              <w:rPr>
                <w:rFonts w:cs="Arial"/>
                <w:sz w:val="18"/>
                <w:szCs w:val="18"/>
              </w:rPr>
              <w:t>Yes –.Potential for Fe(</w:t>
            </w:r>
            <w:smartTag w:uri="urn:schemas-microsoft-com:office:smarttags" w:element="stockticker">
              <w:r w:rsidRPr="00D371D0">
                <w:rPr>
                  <w:rFonts w:cs="Arial"/>
                  <w:sz w:val="18"/>
                  <w:szCs w:val="18"/>
                </w:rPr>
                <w:t>III</w:t>
              </w:r>
            </w:smartTag>
            <w:r w:rsidRPr="00D371D0">
              <w:rPr>
                <w:rFonts w:cs="Arial"/>
                <w:sz w:val="18"/>
                <w:szCs w:val="18"/>
              </w:rPr>
              <w:t>) dissolution with injection of source water with elevated organic carbon levels,</w:t>
            </w:r>
          </w:p>
        </w:tc>
        <w:tc>
          <w:tcPr>
            <w:tcW w:w="4053" w:type="dxa"/>
          </w:tcPr>
          <w:p w:rsidR="00300215" w:rsidRPr="00D371D0" w:rsidRDefault="00300215" w:rsidP="00834708">
            <w:pPr>
              <w:rPr>
                <w:rFonts w:cs="Arial"/>
                <w:sz w:val="18"/>
                <w:szCs w:val="18"/>
              </w:rPr>
            </w:pPr>
            <w:r w:rsidRPr="00D371D0">
              <w:rPr>
                <w:rFonts w:cs="Arial"/>
                <w:sz w:val="18"/>
                <w:szCs w:val="18"/>
              </w:rPr>
              <w:t>Geochemical modelling required to assess risk of adverse reactions between source water and groundwater, such as iron (and trace metal) mobilisation.</w:t>
            </w:r>
          </w:p>
        </w:tc>
      </w:tr>
      <w:tr w:rsidR="00300215" w:rsidRPr="006205C3" w:rsidTr="00834708">
        <w:tc>
          <w:tcPr>
            <w:tcW w:w="14786" w:type="dxa"/>
            <w:gridSpan w:val="3"/>
            <w:shd w:val="clear" w:color="auto" w:fill="E6E6E6"/>
          </w:tcPr>
          <w:p w:rsidR="00300215" w:rsidRPr="00F20EE2" w:rsidRDefault="00300215" w:rsidP="00834708">
            <w:pPr>
              <w:rPr>
                <w:rFonts w:cs="Arial"/>
                <w:b/>
                <w:sz w:val="20"/>
                <w:szCs w:val="20"/>
              </w:rPr>
            </w:pPr>
            <w:r w:rsidRPr="00F20EE2">
              <w:rPr>
                <w:rFonts w:cs="Arial"/>
                <w:b/>
                <w:sz w:val="20"/>
                <w:szCs w:val="20"/>
              </w:rPr>
              <w:t>12. Similarity to successful projects</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 xml:space="preserve">Has another project in the same aquifer with similar source water been operating successfully for at least 12 months? </w:t>
            </w:r>
          </w:p>
        </w:tc>
        <w:tc>
          <w:tcPr>
            <w:tcW w:w="6916" w:type="dxa"/>
          </w:tcPr>
          <w:p w:rsidR="00300215" w:rsidRPr="00D371D0" w:rsidRDefault="00300215" w:rsidP="00834708">
            <w:pPr>
              <w:rPr>
                <w:rFonts w:cs="Arial"/>
                <w:sz w:val="18"/>
                <w:szCs w:val="18"/>
              </w:rPr>
            </w:pPr>
            <w:r w:rsidRPr="00D371D0">
              <w:rPr>
                <w:rFonts w:cs="Arial"/>
                <w:sz w:val="18"/>
                <w:szCs w:val="18"/>
              </w:rPr>
              <w:t xml:space="preserve">No. To our knowledge there is no </w:t>
            </w:r>
            <w:smartTag w:uri="urn:schemas-microsoft-com:office:smarttags" w:element="stockticker">
              <w:r w:rsidRPr="00D371D0">
                <w:rPr>
                  <w:rFonts w:cs="Arial"/>
                  <w:sz w:val="18"/>
                  <w:szCs w:val="18"/>
                </w:rPr>
                <w:t>MAR</w:t>
              </w:r>
            </w:smartTag>
            <w:r w:rsidRPr="00D371D0">
              <w:rPr>
                <w:rFonts w:cs="Arial"/>
                <w:sz w:val="18"/>
                <w:szCs w:val="18"/>
              </w:rPr>
              <w:t xml:space="preserve"> project operating or planned in the same aquifers. However, mineral sand mining operations (e.g. Gingko) immediately south of the project area conduct large-scale groundwater recycling as part of mining in the Loxton-Parilla aquifer.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 xml:space="preserve">, the closest comparable </w:t>
            </w:r>
            <w:smartTag w:uri="urn:schemas-microsoft-com:office:smarttags" w:element="stockticker">
              <w:r w:rsidRPr="00D371D0">
                <w:rPr>
                  <w:rFonts w:cs="Arial"/>
                  <w:sz w:val="18"/>
                  <w:szCs w:val="18"/>
                </w:rPr>
                <w:t>MAR</w:t>
              </w:r>
            </w:smartTag>
            <w:r w:rsidRPr="00D371D0">
              <w:rPr>
                <w:rFonts w:cs="Arial"/>
                <w:sz w:val="18"/>
                <w:szCs w:val="18"/>
              </w:rPr>
              <w:t xml:space="preserve"> scheme using (less turbid) river source water is the Burdekin scheme. The Burdekin scheme has been in operation since the 1960s. </w:t>
            </w:r>
            <w:r w:rsidRPr="00D371D0">
              <w:rPr>
                <w:rFonts w:cs="Arial"/>
                <w:sz w:val="18"/>
                <w:szCs w:val="18"/>
              </w:rPr>
              <w:lastRenderedPageBreak/>
              <w:t xml:space="preserve">Overall, there are limited precedents for this type of operation anywhere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3" w:type="dxa"/>
          </w:tcPr>
          <w:p w:rsidR="00300215" w:rsidRPr="00D371D0" w:rsidRDefault="00300215" w:rsidP="00834708">
            <w:pPr>
              <w:rPr>
                <w:rFonts w:cs="Arial"/>
                <w:sz w:val="18"/>
                <w:szCs w:val="18"/>
              </w:rPr>
            </w:pPr>
            <w:r w:rsidRPr="00D371D0">
              <w:rPr>
                <w:rFonts w:cs="Arial"/>
                <w:sz w:val="18"/>
                <w:szCs w:val="18"/>
              </w:rPr>
              <w:lastRenderedPageBreak/>
              <w:t xml:space="preserve">All uncertainties need to be addressed in BHMAR investigations, particularly with respect to clogging potential and interactions with groundwater. There is a considerable level of risk inherent in the uncertainty of the likely success of this project. </w:t>
            </w:r>
            <w:r w:rsidRPr="00D371D0">
              <w:rPr>
                <w:rFonts w:cs="Arial"/>
                <w:sz w:val="18"/>
                <w:szCs w:val="18"/>
              </w:rPr>
              <w:lastRenderedPageBreak/>
              <w:t>Addressing all information gaps extensively in the next phase of the project work plan will be critical to reducing this risk.</w:t>
            </w:r>
          </w:p>
        </w:tc>
      </w:tr>
      <w:tr w:rsidR="00300215" w:rsidRPr="006205C3" w:rsidTr="00834708">
        <w:tc>
          <w:tcPr>
            <w:tcW w:w="3817" w:type="dxa"/>
            <w:shd w:val="clear" w:color="auto" w:fill="C0C0C0"/>
          </w:tcPr>
          <w:p w:rsidR="00300215" w:rsidRPr="006205C3" w:rsidRDefault="00300215" w:rsidP="00834708">
            <w:pPr>
              <w:rPr>
                <w:rFonts w:cs="Arial"/>
                <w:b/>
                <w:szCs w:val="22"/>
              </w:rPr>
            </w:pPr>
            <w:r w:rsidRPr="006205C3">
              <w:rPr>
                <w:rFonts w:cs="Arial"/>
                <w:b/>
                <w:szCs w:val="22"/>
              </w:rPr>
              <w:lastRenderedPageBreak/>
              <w:t>Question</w:t>
            </w:r>
          </w:p>
        </w:tc>
        <w:tc>
          <w:tcPr>
            <w:tcW w:w="6916" w:type="dxa"/>
            <w:shd w:val="clear" w:color="auto" w:fill="C0C0C0"/>
          </w:tcPr>
          <w:p w:rsidR="00300215" w:rsidRPr="006205C3" w:rsidRDefault="00300215" w:rsidP="00834708">
            <w:pPr>
              <w:rPr>
                <w:rFonts w:cs="Arial"/>
                <w:b/>
                <w:szCs w:val="22"/>
              </w:rPr>
            </w:pPr>
            <w:r w:rsidRPr="006205C3">
              <w:rPr>
                <w:rFonts w:cs="Arial"/>
                <w:b/>
                <w:szCs w:val="22"/>
              </w:rPr>
              <w:t>BHMAR answers</w:t>
            </w:r>
            <w:r>
              <w:rPr>
                <w:rFonts w:cs="Arial"/>
                <w:b/>
                <w:szCs w:val="22"/>
              </w:rPr>
              <w:t xml:space="preserve"> (Phase 2) for </w:t>
            </w:r>
            <w:r w:rsidR="008C2768">
              <w:rPr>
                <w:rFonts w:cs="Arial"/>
                <w:b/>
                <w:szCs w:val="22"/>
              </w:rPr>
              <w:t>Jimargil</w:t>
            </w:r>
            <w:r>
              <w:rPr>
                <w:rFonts w:cs="Arial"/>
                <w:b/>
                <w:szCs w:val="22"/>
              </w:rPr>
              <w:t xml:space="preserve"> borefield site</w:t>
            </w:r>
          </w:p>
        </w:tc>
        <w:tc>
          <w:tcPr>
            <w:tcW w:w="4053" w:type="dxa"/>
            <w:shd w:val="clear" w:color="auto" w:fill="C0C0C0"/>
          </w:tcPr>
          <w:p w:rsidR="00300215" w:rsidRPr="006205C3" w:rsidRDefault="00300215" w:rsidP="00834708">
            <w:pPr>
              <w:rPr>
                <w:rFonts w:cs="Arial"/>
                <w:b/>
                <w:szCs w:val="22"/>
              </w:rPr>
            </w:pPr>
            <w:r w:rsidRPr="006205C3">
              <w:rPr>
                <w:rFonts w:cs="Arial"/>
                <w:b/>
                <w:szCs w:val="22"/>
              </w:rPr>
              <w:t>Investigations required</w:t>
            </w:r>
            <w:r>
              <w:rPr>
                <w:rFonts w:cs="Arial"/>
                <w:b/>
                <w:szCs w:val="22"/>
              </w:rPr>
              <w:t xml:space="preserve"> (Phase 3)</w:t>
            </w:r>
          </w:p>
        </w:tc>
      </w:tr>
      <w:tr w:rsidR="00300215" w:rsidRPr="006205C3" w:rsidTr="00834708">
        <w:tc>
          <w:tcPr>
            <w:tcW w:w="14786" w:type="dxa"/>
            <w:gridSpan w:val="3"/>
            <w:shd w:val="clear" w:color="auto" w:fill="E6E6E6"/>
          </w:tcPr>
          <w:p w:rsidR="00300215" w:rsidRPr="00F20EE2" w:rsidRDefault="00300215" w:rsidP="00834708">
            <w:pPr>
              <w:rPr>
                <w:rFonts w:cs="Arial"/>
                <w:sz w:val="20"/>
                <w:szCs w:val="20"/>
              </w:rPr>
            </w:pPr>
            <w:r w:rsidRPr="00F20EE2">
              <w:rPr>
                <w:rFonts w:cs="Arial"/>
                <w:b/>
                <w:sz w:val="20"/>
                <w:szCs w:val="20"/>
              </w:rPr>
              <w:t>13. Management capability</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 xml:space="preserve">Does the proponent have experience with operating </w:t>
            </w:r>
            <w:smartTag w:uri="urn:schemas-microsoft-com:office:smarttags" w:element="stockticker">
              <w:r w:rsidRPr="00D371D0">
                <w:rPr>
                  <w:rFonts w:cs="Arial"/>
                  <w:sz w:val="18"/>
                  <w:szCs w:val="18"/>
                </w:rPr>
                <w:t>MAR</w:t>
              </w:r>
            </w:smartTag>
            <w:r w:rsidRPr="00D371D0">
              <w:rPr>
                <w:rFonts w:cs="Arial"/>
                <w:sz w:val="18"/>
                <w:szCs w:val="18"/>
              </w:rPr>
              <w:t xml:space="preserve"> sites with the same or higher degree of difficulty, or with water treatment or water supply operations involving a structured approach to water quality risk management? </w:t>
            </w:r>
          </w:p>
        </w:tc>
        <w:tc>
          <w:tcPr>
            <w:tcW w:w="6916" w:type="dxa"/>
          </w:tcPr>
          <w:p w:rsidR="00300215" w:rsidRPr="00D371D0" w:rsidRDefault="00300215" w:rsidP="00834708">
            <w:pPr>
              <w:rPr>
                <w:rFonts w:cs="Arial"/>
                <w:sz w:val="18"/>
                <w:szCs w:val="18"/>
              </w:rPr>
            </w:pPr>
            <w:r w:rsidRPr="00D371D0">
              <w:rPr>
                <w:rFonts w:cs="Arial"/>
                <w:sz w:val="18"/>
                <w:szCs w:val="18"/>
              </w:rPr>
              <w:t xml:space="preserve">No, although the expertise of the Steering Committee for this project represents the state of the art of designing and operating managed aquifer recharge sites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3" w:type="dxa"/>
          </w:tcPr>
          <w:p w:rsidR="00300215" w:rsidRPr="00D371D0" w:rsidRDefault="00300215" w:rsidP="00834708">
            <w:pPr>
              <w:rPr>
                <w:rFonts w:cs="Arial"/>
                <w:sz w:val="18"/>
                <w:szCs w:val="18"/>
              </w:rPr>
            </w:pPr>
            <w:r w:rsidRPr="00D371D0">
              <w:rPr>
                <w:rFonts w:cs="Arial"/>
                <w:sz w:val="18"/>
                <w:szCs w:val="18"/>
              </w:rPr>
              <w:t>Although the proponent has no experience in operating similar sites, highly credentialed hydrogeological, hydrochemical and engineering experts are available within the private and public sectors, and should be called upon to provide advice to each phase of the project work plan.</w:t>
            </w:r>
          </w:p>
        </w:tc>
      </w:tr>
      <w:tr w:rsidR="00300215" w:rsidRPr="006205C3" w:rsidTr="00834708">
        <w:tc>
          <w:tcPr>
            <w:tcW w:w="14786" w:type="dxa"/>
            <w:gridSpan w:val="3"/>
            <w:shd w:val="clear" w:color="auto" w:fill="E6E6E6"/>
          </w:tcPr>
          <w:p w:rsidR="00300215" w:rsidRPr="00F20EE2" w:rsidRDefault="00300215" w:rsidP="00834708">
            <w:pPr>
              <w:rPr>
                <w:rFonts w:cs="Arial"/>
                <w:sz w:val="20"/>
                <w:szCs w:val="20"/>
              </w:rPr>
            </w:pPr>
            <w:r w:rsidRPr="00F20EE2">
              <w:rPr>
                <w:rFonts w:cs="Arial"/>
                <w:b/>
                <w:sz w:val="20"/>
                <w:szCs w:val="20"/>
              </w:rPr>
              <w:t xml:space="preserve">14. Planning and related requirements </w:t>
            </w:r>
          </w:p>
        </w:tc>
      </w:tr>
      <w:tr w:rsidR="00300215" w:rsidRPr="006205C3" w:rsidTr="00834708">
        <w:tc>
          <w:tcPr>
            <w:tcW w:w="3817" w:type="dxa"/>
          </w:tcPr>
          <w:p w:rsidR="00300215" w:rsidRPr="00D371D0" w:rsidRDefault="00300215" w:rsidP="00834708">
            <w:pPr>
              <w:rPr>
                <w:rFonts w:cs="Arial"/>
                <w:sz w:val="18"/>
                <w:szCs w:val="18"/>
              </w:rPr>
            </w:pPr>
            <w:r w:rsidRPr="00D371D0">
              <w:rPr>
                <w:rFonts w:cs="Arial"/>
                <w:sz w:val="18"/>
                <w:szCs w:val="18"/>
              </w:rPr>
              <w:t xml:space="preserve">a) Does the project require development approval? And is it in a built up area; on public, flood-prone or steep land; close to a property boundary; contain open water storages or engineering structures; </w:t>
            </w:r>
          </w:p>
          <w:p w:rsidR="00300215" w:rsidRPr="00D371D0" w:rsidRDefault="00300215" w:rsidP="00834708">
            <w:pPr>
              <w:rPr>
                <w:rFonts w:cs="Arial"/>
                <w:sz w:val="18"/>
                <w:szCs w:val="18"/>
              </w:rPr>
            </w:pPr>
          </w:p>
          <w:p w:rsidR="00300215" w:rsidRPr="00D371D0" w:rsidRDefault="00300215" w:rsidP="00834708">
            <w:pPr>
              <w:rPr>
                <w:rFonts w:cs="Arial"/>
                <w:sz w:val="18"/>
                <w:szCs w:val="18"/>
              </w:rPr>
            </w:pPr>
            <w:r w:rsidRPr="00D371D0">
              <w:rPr>
                <w:rFonts w:cs="Arial"/>
                <w:sz w:val="18"/>
                <w:szCs w:val="18"/>
              </w:rPr>
              <w:t>b) Is it likely to cause public health, safety or nuisance issues, or adverse environmental impacts?</w:t>
            </w:r>
            <w:r>
              <w:rPr>
                <w:rFonts w:cs="Arial"/>
                <w:sz w:val="18"/>
                <w:szCs w:val="18"/>
              </w:rPr>
              <w:t xml:space="preserve"> </w:t>
            </w:r>
          </w:p>
        </w:tc>
        <w:tc>
          <w:tcPr>
            <w:tcW w:w="6916" w:type="dxa"/>
          </w:tcPr>
          <w:p w:rsidR="00300215" w:rsidRPr="00D371D0" w:rsidRDefault="00300215" w:rsidP="00834708">
            <w:pPr>
              <w:autoSpaceDE w:val="0"/>
              <w:autoSpaceDN w:val="0"/>
              <w:adjustRightInd w:val="0"/>
              <w:rPr>
                <w:rFonts w:cs="Arial"/>
                <w:sz w:val="18"/>
                <w:szCs w:val="18"/>
              </w:rPr>
            </w:pPr>
            <w:r w:rsidRPr="00D371D0">
              <w:rPr>
                <w:rFonts w:cs="Arial"/>
                <w:sz w:val="18"/>
                <w:szCs w:val="18"/>
              </w:rPr>
              <w:t>a) Yes. The proposed project is on flood-prone land, possibly within or proximal to water storages or engineering structures. Planning approval is likely to be necessary. Land and water ownership issues are also likely to be encountered in implementing the project. It is likely that a development approval process will require that each potential issue is assessed and managed. This may require additional information and steps in design. For this project to proceed, there clearly needs to be inter-governmental and interagency agreement, with water entitlements and water sharing agreements one part of a complex set of issues to be resolved as part of any planning and development process. Identification of culturally sensitive sites will be required.</w:t>
            </w:r>
          </w:p>
          <w:p w:rsidR="00300215" w:rsidRPr="00D371D0" w:rsidRDefault="00300215" w:rsidP="00834708">
            <w:pPr>
              <w:rPr>
                <w:rFonts w:cs="Arial"/>
                <w:sz w:val="18"/>
                <w:szCs w:val="18"/>
              </w:rPr>
            </w:pPr>
          </w:p>
          <w:p w:rsidR="00300215" w:rsidRPr="00D371D0" w:rsidRDefault="00300215" w:rsidP="00834708">
            <w:pPr>
              <w:rPr>
                <w:rFonts w:cs="Arial"/>
                <w:sz w:val="18"/>
                <w:szCs w:val="18"/>
              </w:rPr>
            </w:pPr>
            <w:r w:rsidRPr="00D371D0">
              <w:rPr>
                <w:rFonts w:cs="Arial"/>
                <w:sz w:val="18"/>
                <w:szCs w:val="18"/>
              </w:rPr>
              <w:t>b) No. The project is not expected to cause public health or safety issues. However, depending on the depth and nature of the aquifer selected, and the means of purposeful recharge, assessments of potential impacts on ecosystems will need to be carried out, particularly if infiltration of surface waters to shallow aquifers are part of the operation.</w:t>
            </w:r>
          </w:p>
        </w:tc>
        <w:tc>
          <w:tcPr>
            <w:tcW w:w="4053" w:type="dxa"/>
          </w:tcPr>
          <w:p w:rsidR="00300215" w:rsidRPr="00D371D0" w:rsidRDefault="00300215" w:rsidP="00834708">
            <w:pPr>
              <w:rPr>
                <w:rFonts w:cs="Arial"/>
                <w:sz w:val="18"/>
                <w:szCs w:val="18"/>
              </w:rPr>
            </w:pPr>
            <w:r w:rsidRPr="00D371D0">
              <w:rPr>
                <w:rFonts w:cs="Arial"/>
                <w:sz w:val="18"/>
                <w:szCs w:val="18"/>
              </w:rPr>
              <w:t>It is anticipated that considerable effort and additional information may be required to address all potential issues requiring developmental approval or resolution of ownership rights. However, the general area is one where there is already large-scale water supply infrastructure on the surface, and this may serve to mitigate some of the risks dealing with planning requirements. Depending on the aquifer and site chosen, the answer to many of the more specific questions will differ significantly. There is moderate risk in the uncertainty relating to the potential impacts of the operation on ecosystems. This will be evaluated in the next phase of the project work plan through detailed modelling of groundwater-surface water interactions.</w:t>
            </w:r>
          </w:p>
        </w:tc>
      </w:tr>
    </w:tbl>
    <w:p w:rsidR="00300215" w:rsidRDefault="00300215" w:rsidP="00300215"/>
    <w:p w:rsidR="00300215" w:rsidRDefault="00300215" w:rsidP="00300215">
      <w:pPr>
        <w:rPr>
          <w:szCs w:val="22"/>
        </w:rPr>
      </w:pPr>
    </w:p>
    <w:p w:rsidR="00300215" w:rsidRDefault="00300215" w:rsidP="00300215">
      <w:pPr>
        <w:rPr>
          <w:szCs w:val="22"/>
        </w:rPr>
      </w:pPr>
    </w:p>
    <w:p w:rsidR="00300215" w:rsidRDefault="00300215" w:rsidP="00E04B4B">
      <w:pPr>
        <w:rPr>
          <w:szCs w:val="22"/>
        </w:rPr>
      </w:pPr>
    </w:p>
    <w:p w:rsidR="00300215" w:rsidRDefault="00300215" w:rsidP="00E04B4B">
      <w:pPr>
        <w:rPr>
          <w:szCs w:val="22"/>
        </w:rPr>
      </w:pPr>
    </w:p>
    <w:p w:rsidR="00300215" w:rsidRDefault="00300215" w:rsidP="00E04B4B">
      <w:pPr>
        <w:rPr>
          <w:szCs w:val="22"/>
        </w:rPr>
        <w:sectPr w:rsidR="00300215" w:rsidSect="00C6706D">
          <w:pgSz w:w="16838" w:h="11906" w:orient="landscape" w:code="9"/>
          <w:pgMar w:top="1134" w:right="1134" w:bottom="1134" w:left="1134" w:header="709" w:footer="709" w:gutter="0"/>
          <w:cols w:space="708"/>
          <w:docGrid w:linePitch="360"/>
        </w:sectPr>
      </w:pPr>
    </w:p>
    <w:p w:rsidR="00035877" w:rsidRPr="00165885" w:rsidRDefault="00CD2825" w:rsidP="00FE37F2">
      <w:pPr>
        <w:pStyle w:val="Caption"/>
      </w:pPr>
      <w:bookmarkStart w:id="597" w:name="_Ref325709720"/>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8</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5</w:t>
      </w:r>
      <w:r w:rsidR="00B96C96">
        <w:rPr>
          <w:b/>
        </w:rPr>
        <w:fldChar w:fldCharType="end"/>
      </w:r>
      <w:bookmarkEnd w:id="597"/>
      <w:r w:rsidRPr="00CD2825">
        <w:rPr>
          <w:b/>
        </w:rPr>
        <w:t>.</w:t>
      </w:r>
      <w:r>
        <w:t xml:space="preserve"> </w:t>
      </w:r>
      <w:r w:rsidR="00035877" w:rsidRPr="00165885">
        <w:t>Maximal risk assessment summary</w:t>
      </w:r>
      <w:r w:rsidR="001A311F">
        <w:t xml:space="preserve"> for Jimargil site</w:t>
      </w:r>
      <w:r w:rsidR="00035877" w:rsidRPr="00165885">
        <w:t xml:space="preserve">. </w:t>
      </w:r>
      <w:r w:rsidR="007640C5">
        <w:t>For each hazard where the 95</w:t>
      </w:r>
      <w:r w:rsidR="007640C5" w:rsidRPr="00BA1350">
        <w:rPr>
          <w:vertAlign w:val="superscript"/>
        </w:rPr>
        <w:t>th</w:t>
      </w:r>
      <w:r w:rsidR="007640C5">
        <w:t xml:space="preserve"> percentile value exceeded the water quality guideline the risk was deemed high (coloured red) and where the 95th percentile was below it was considered low (coloured green), and where the value was unknown it was labelled unknown (coloured orange). </w:t>
      </w:r>
      <w:r w:rsidR="002E2984" w:rsidRPr="007960BF">
        <w:rPr>
          <w:i w:val="0"/>
        </w:rPr>
        <w:fldChar w:fldCharType="begin"/>
      </w:r>
      <w:r w:rsidR="002E2984" w:rsidRPr="007960BF">
        <w:rPr>
          <w:i w:val="0"/>
        </w:rPr>
        <w:instrText xml:space="preserve"> TC "</w:instrText>
      </w:r>
      <w:bookmarkStart w:id="598" w:name="_Toc325975311"/>
      <w:bookmarkStart w:id="599" w:name="_Toc390690300"/>
      <w:r w:rsidR="000D653B">
        <w:rPr>
          <w:i w:val="0"/>
        </w:rPr>
        <w:instrText>Table 8-5</w:instrText>
      </w:r>
      <w:r w:rsidR="00860930">
        <w:rPr>
          <w:i w:val="0"/>
        </w:rPr>
        <w:instrText>.</w:instrText>
      </w:r>
      <w:r w:rsidR="002E2984" w:rsidRPr="007960BF">
        <w:rPr>
          <w:i w:val="0"/>
        </w:rPr>
        <w:instrText xml:space="preserve"> </w:instrText>
      </w:r>
      <w:r w:rsidR="00DD5B97" w:rsidRPr="007960BF">
        <w:rPr>
          <w:i w:val="0"/>
        </w:rPr>
        <w:instrText>Maximal risk assessment summary</w:instrText>
      </w:r>
      <w:bookmarkEnd w:id="598"/>
      <w:r w:rsidR="001A311F">
        <w:rPr>
          <w:i w:val="0"/>
        </w:rPr>
        <w:instrText xml:space="preserve"> for Jimargil site</w:instrText>
      </w:r>
      <w:r w:rsidR="003721DD">
        <w:rPr>
          <w:i w:val="0"/>
        </w:rPr>
        <w:instrText>.</w:instrText>
      </w:r>
      <w:bookmarkEnd w:id="599"/>
      <w:r w:rsidR="002E2984" w:rsidRPr="007960BF">
        <w:rPr>
          <w:i w:val="0"/>
        </w:rPr>
        <w:instrText xml:space="preserve">" \f B \l "4" </w:instrText>
      </w:r>
      <w:r w:rsidR="002E2984" w:rsidRPr="007960BF">
        <w:rPr>
          <w:i w:val="0"/>
        </w:rPr>
        <w:fldChar w:fldCharType="end"/>
      </w:r>
    </w:p>
    <w:tbl>
      <w:tblPr>
        <w:tblW w:w="9180" w:type="dxa"/>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8"/>
        <w:gridCol w:w="1876"/>
        <w:gridCol w:w="1876"/>
      </w:tblGrid>
      <w:tr w:rsidR="00035877" w:rsidRPr="003B3C54" w:rsidTr="000641F5">
        <w:trPr>
          <w:cantSplit/>
          <w:trHeight w:val="342"/>
          <w:jc w:val="center"/>
        </w:trPr>
        <w:tc>
          <w:tcPr>
            <w:tcW w:w="5428" w:type="dxa"/>
            <w:vMerge w:val="restart"/>
            <w:shd w:val="clear" w:color="auto" w:fill="B3B3B3"/>
            <w:vAlign w:val="center"/>
          </w:tcPr>
          <w:p w:rsidR="00035877" w:rsidRPr="003B3C54" w:rsidRDefault="00035877" w:rsidP="00700573">
            <w:pPr>
              <w:spacing w:before="60" w:after="60"/>
              <w:rPr>
                <w:sz w:val="20"/>
                <w:szCs w:val="20"/>
              </w:rPr>
            </w:pPr>
            <w:r w:rsidRPr="003B3C54">
              <w:br w:type="page"/>
            </w:r>
            <w:r w:rsidRPr="003B3C54">
              <w:br w:type="page"/>
            </w:r>
            <w:r w:rsidRPr="003B3C54">
              <w:rPr>
                <w:b/>
                <w:sz w:val="20"/>
                <w:szCs w:val="20"/>
              </w:rPr>
              <w:t xml:space="preserve">MAR Hazards </w:t>
            </w:r>
          </w:p>
        </w:tc>
        <w:tc>
          <w:tcPr>
            <w:tcW w:w="3752" w:type="dxa"/>
            <w:gridSpan w:val="2"/>
            <w:shd w:val="clear" w:color="auto" w:fill="B3B3B3"/>
            <w:vAlign w:val="center"/>
          </w:tcPr>
          <w:p w:rsidR="00035877" w:rsidRPr="003B3C54" w:rsidRDefault="00035877" w:rsidP="00700573">
            <w:pPr>
              <w:spacing w:before="60" w:after="60"/>
              <w:jc w:val="center"/>
              <w:rPr>
                <w:b/>
                <w:sz w:val="20"/>
                <w:szCs w:val="20"/>
              </w:rPr>
            </w:pPr>
            <w:r w:rsidRPr="003B3C54">
              <w:rPr>
                <w:b/>
                <w:sz w:val="20"/>
                <w:szCs w:val="20"/>
              </w:rPr>
              <w:t>End points</w:t>
            </w:r>
          </w:p>
        </w:tc>
      </w:tr>
      <w:tr w:rsidR="00035877" w:rsidRPr="003B3C54" w:rsidTr="000641F5">
        <w:trPr>
          <w:cantSplit/>
          <w:trHeight w:val="352"/>
          <w:jc w:val="center"/>
        </w:trPr>
        <w:tc>
          <w:tcPr>
            <w:tcW w:w="5428" w:type="dxa"/>
            <w:vMerge/>
            <w:shd w:val="clear" w:color="auto" w:fill="B3B3B3"/>
            <w:vAlign w:val="center"/>
          </w:tcPr>
          <w:p w:rsidR="00035877" w:rsidRPr="003B3C54" w:rsidRDefault="00035877" w:rsidP="00700573">
            <w:pPr>
              <w:spacing w:before="60" w:after="60"/>
              <w:rPr>
                <w:sz w:val="20"/>
                <w:szCs w:val="20"/>
              </w:rPr>
            </w:pPr>
          </w:p>
        </w:tc>
        <w:tc>
          <w:tcPr>
            <w:tcW w:w="1876" w:type="dxa"/>
            <w:shd w:val="clear" w:color="auto" w:fill="B3B3B3"/>
            <w:vAlign w:val="center"/>
          </w:tcPr>
          <w:p w:rsidR="00035877" w:rsidRPr="003B3C54" w:rsidRDefault="00035877" w:rsidP="00700573">
            <w:pPr>
              <w:spacing w:before="60" w:after="60"/>
              <w:jc w:val="center"/>
              <w:rPr>
                <w:b/>
                <w:sz w:val="20"/>
                <w:szCs w:val="20"/>
              </w:rPr>
            </w:pPr>
            <w:r w:rsidRPr="003B3C54">
              <w:rPr>
                <w:b/>
                <w:sz w:val="20"/>
                <w:szCs w:val="20"/>
              </w:rPr>
              <w:t>Human</w:t>
            </w:r>
          </w:p>
        </w:tc>
        <w:tc>
          <w:tcPr>
            <w:tcW w:w="1876" w:type="dxa"/>
            <w:shd w:val="clear" w:color="auto" w:fill="B3B3B3"/>
            <w:vAlign w:val="center"/>
          </w:tcPr>
          <w:p w:rsidR="00035877" w:rsidRPr="003B3C54" w:rsidRDefault="00035877" w:rsidP="00700573">
            <w:pPr>
              <w:spacing w:before="60" w:after="60"/>
              <w:jc w:val="center"/>
              <w:rPr>
                <w:b/>
                <w:sz w:val="20"/>
                <w:szCs w:val="20"/>
              </w:rPr>
            </w:pPr>
            <w:r w:rsidRPr="003B3C54">
              <w:rPr>
                <w:b/>
                <w:sz w:val="20"/>
                <w:szCs w:val="20"/>
              </w:rPr>
              <w:t>Environmental</w:t>
            </w:r>
          </w:p>
        </w:tc>
      </w:tr>
      <w:tr w:rsidR="00035877" w:rsidRPr="003B3C54" w:rsidTr="000641F5">
        <w:trPr>
          <w:jc w:val="center"/>
        </w:trPr>
        <w:tc>
          <w:tcPr>
            <w:tcW w:w="5428" w:type="dxa"/>
          </w:tcPr>
          <w:p w:rsidR="00035877" w:rsidRPr="003B3C54" w:rsidRDefault="00035877" w:rsidP="00700573">
            <w:pPr>
              <w:spacing w:before="60" w:after="60"/>
              <w:rPr>
                <w:sz w:val="20"/>
                <w:szCs w:val="20"/>
              </w:rPr>
            </w:pPr>
            <w:r w:rsidRPr="003B3C54">
              <w:rPr>
                <w:sz w:val="20"/>
                <w:szCs w:val="20"/>
              </w:rPr>
              <w:t>1. Pathogens</w:t>
            </w:r>
          </w:p>
        </w:tc>
        <w:tc>
          <w:tcPr>
            <w:tcW w:w="1876" w:type="dxa"/>
            <w:shd w:val="clear" w:color="auto" w:fill="FF0000"/>
          </w:tcPr>
          <w:p w:rsidR="00035877" w:rsidRPr="003B3C54" w:rsidRDefault="00035877" w:rsidP="00700573">
            <w:pPr>
              <w:spacing w:before="60" w:after="60"/>
              <w:jc w:val="center"/>
              <w:rPr>
                <w:b/>
                <w:color w:val="FFFFFF"/>
                <w:sz w:val="20"/>
                <w:szCs w:val="20"/>
              </w:rPr>
            </w:pPr>
            <w:r w:rsidRPr="003B3C54">
              <w:rPr>
                <w:b/>
                <w:color w:val="FFFFFF"/>
                <w:sz w:val="20"/>
                <w:szCs w:val="20"/>
              </w:rPr>
              <w:t>High</w:t>
            </w:r>
          </w:p>
        </w:tc>
        <w:tc>
          <w:tcPr>
            <w:tcW w:w="1876" w:type="dxa"/>
            <w:shd w:val="clear" w:color="auto" w:fill="99FF33"/>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428" w:type="dxa"/>
            <w:vAlign w:val="center"/>
          </w:tcPr>
          <w:p w:rsidR="00035877" w:rsidRPr="003B3C54" w:rsidRDefault="00035877" w:rsidP="00700573">
            <w:pPr>
              <w:spacing w:before="60" w:after="60"/>
              <w:rPr>
                <w:sz w:val="20"/>
                <w:szCs w:val="20"/>
              </w:rPr>
            </w:pPr>
            <w:r w:rsidRPr="003B3C54">
              <w:rPr>
                <w:sz w:val="20"/>
                <w:szCs w:val="20"/>
              </w:rPr>
              <w:t>2. Inorganic chemicals</w:t>
            </w:r>
          </w:p>
        </w:tc>
        <w:tc>
          <w:tcPr>
            <w:tcW w:w="1876" w:type="dxa"/>
            <w:shd w:val="clear" w:color="auto" w:fill="FF0000"/>
            <w:vAlign w:val="center"/>
          </w:tcPr>
          <w:p w:rsidR="00035877" w:rsidRPr="003B3C54" w:rsidRDefault="00035877" w:rsidP="00700573">
            <w:pPr>
              <w:spacing w:before="60" w:after="60"/>
              <w:jc w:val="center"/>
              <w:rPr>
                <w:color w:val="FFFFFF"/>
                <w:sz w:val="20"/>
                <w:szCs w:val="20"/>
              </w:rPr>
            </w:pPr>
            <w:r w:rsidRPr="003B3C54">
              <w:rPr>
                <w:b/>
                <w:color w:val="FFFFFF"/>
                <w:sz w:val="20"/>
                <w:szCs w:val="20"/>
              </w:rPr>
              <w:t>High</w:t>
            </w:r>
          </w:p>
        </w:tc>
        <w:tc>
          <w:tcPr>
            <w:tcW w:w="1876" w:type="dxa"/>
            <w:shd w:val="clear" w:color="auto" w:fill="FF9900"/>
            <w:vAlign w:val="center"/>
          </w:tcPr>
          <w:p w:rsidR="00035877" w:rsidRPr="003B3C54" w:rsidRDefault="00035877" w:rsidP="00700573">
            <w:pPr>
              <w:spacing w:before="60" w:after="60"/>
              <w:jc w:val="center"/>
              <w:rPr>
                <w:sz w:val="20"/>
                <w:szCs w:val="20"/>
              </w:rPr>
            </w:pPr>
            <w:r w:rsidRPr="003B3C54">
              <w:rPr>
                <w:b/>
                <w:sz w:val="20"/>
                <w:szCs w:val="20"/>
              </w:rPr>
              <w:t>Unknown</w:t>
            </w:r>
          </w:p>
        </w:tc>
      </w:tr>
      <w:tr w:rsidR="00035877" w:rsidRPr="003B3C54" w:rsidTr="000641F5">
        <w:trPr>
          <w:jc w:val="center"/>
        </w:trPr>
        <w:tc>
          <w:tcPr>
            <w:tcW w:w="5428" w:type="dxa"/>
          </w:tcPr>
          <w:p w:rsidR="00035877" w:rsidRPr="003B3C54" w:rsidRDefault="00035877" w:rsidP="00700573">
            <w:pPr>
              <w:spacing w:before="60" w:after="60"/>
              <w:rPr>
                <w:sz w:val="20"/>
                <w:szCs w:val="20"/>
              </w:rPr>
            </w:pPr>
            <w:r w:rsidRPr="003B3C54">
              <w:rPr>
                <w:sz w:val="20"/>
                <w:szCs w:val="20"/>
              </w:rPr>
              <w:t>3. Salinity and sodicity</w:t>
            </w:r>
          </w:p>
        </w:tc>
        <w:tc>
          <w:tcPr>
            <w:tcW w:w="1876" w:type="dxa"/>
            <w:shd w:val="clear" w:color="auto" w:fill="FF0000"/>
          </w:tcPr>
          <w:p w:rsidR="00035877" w:rsidRPr="003B3C54" w:rsidRDefault="00035877" w:rsidP="00700573">
            <w:pPr>
              <w:spacing w:before="60" w:after="60"/>
              <w:jc w:val="center"/>
              <w:rPr>
                <w:b/>
                <w:color w:val="FFFFFF"/>
                <w:sz w:val="20"/>
                <w:szCs w:val="20"/>
              </w:rPr>
            </w:pPr>
            <w:r w:rsidRPr="003B3C54">
              <w:rPr>
                <w:b/>
                <w:color w:val="FFFFFF"/>
                <w:sz w:val="20"/>
                <w:szCs w:val="20"/>
              </w:rPr>
              <w:t>High</w:t>
            </w:r>
          </w:p>
        </w:tc>
        <w:tc>
          <w:tcPr>
            <w:tcW w:w="1876" w:type="dxa"/>
            <w:shd w:val="clear" w:color="auto" w:fill="FF9900"/>
          </w:tcPr>
          <w:p w:rsidR="00035877" w:rsidRPr="003B3C54" w:rsidRDefault="00035877" w:rsidP="00700573">
            <w:pPr>
              <w:spacing w:before="60" w:after="60"/>
              <w:jc w:val="center"/>
              <w:rPr>
                <w:b/>
                <w:sz w:val="20"/>
                <w:szCs w:val="20"/>
                <w:highlight w:val="red"/>
              </w:rPr>
            </w:pPr>
            <w:r w:rsidRPr="003B3C54">
              <w:rPr>
                <w:b/>
                <w:sz w:val="20"/>
                <w:szCs w:val="20"/>
              </w:rPr>
              <w:t>Unknown</w:t>
            </w:r>
          </w:p>
        </w:tc>
      </w:tr>
      <w:tr w:rsidR="00035877" w:rsidRPr="003B3C54" w:rsidTr="000641F5">
        <w:trPr>
          <w:cantSplit/>
          <w:jc w:val="center"/>
        </w:trPr>
        <w:tc>
          <w:tcPr>
            <w:tcW w:w="5428" w:type="dxa"/>
            <w:vAlign w:val="center"/>
          </w:tcPr>
          <w:p w:rsidR="00035877" w:rsidRPr="003B3C54" w:rsidRDefault="00035877" w:rsidP="00700573">
            <w:pPr>
              <w:spacing w:before="60" w:after="60"/>
              <w:rPr>
                <w:sz w:val="20"/>
                <w:szCs w:val="20"/>
              </w:rPr>
            </w:pPr>
            <w:r w:rsidRPr="003B3C54">
              <w:rPr>
                <w:sz w:val="20"/>
                <w:szCs w:val="20"/>
              </w:rPr>
              <w:t>4. Nutrients: nitrogen, phosphorous and organic carbon</w:t>
            </w:r>
          </w:p>
        </w:tc>
        <w:tc>
          <w:tcPr>
            <w:tcW w:w="1876" w:type="dxa"/>
            <w:shd w:val="clear" w:color="auto" w:fill="FF9900"/>
            <w:vAlign w:val="center"/>
          </w:tcPr>
          <w:p w:rsidR="00035877" w:rsidRPr="003B3C54" w:rsidRDefault="00035877" w:rsidP="00700573">
            <w:pPr>
              <w:spacing w:before="60" w:after="60"/>
              <w:jc w:val="center"/>
              <w:rPr>
                <w:sz w:val="20"/>
                <w:szCs w:val="20"/>
              </w:rPr>
            </w:pPr>
            <w:r w:rsidRPr="003B3C54">
              <w:rPr>
                <w:b/>
                <w:sz w:val="20"/>
                <w:szCs w:val="20"/>
              </w:rPr>
              <w:t>Unknown</w:t>
            </w:r>
          </w:p>
        </w:tc>
        <w:tc>
          <w:tcPr>
            <w:tcW w:w="1876" w:type="dxa"/>
            <w:shd w:val="clear" w:color="auto" w:fill="FF9900"/>
            <w:vAlign w:val="center"/>
          </w:tcPr>
          <w:p w:rsidR="00035877" w:rsidRPr="003B3C54" w:rsidRDefault="00035877" w:rsidP="00700573">
            <w:pPr>
              <w:spacing w:before="60" w:after="60"/>
              <w:jc w:val="center"/>
              <w:rPr>
                <w:sz w:val="20"/>
                <w:szCs w:val="20"/>
              </w:rPr>
            </w:pPr>
            <w:r w:rsidRPr="003B3C54">
              <w:rPr>
                <w:b/>
                <w:sz w:val="20"/>
                <w:szCs w:val="20"/>
              </w:rPr>
              <w:t>Unknown</w:t>
            </w:r>
          </w:p>
        </w:tc>
      </w:tr>
      <w:tr w:rsidR="00035877" w:rsidRPr="003B3C54" w:rsidTr="000641F5">
        <w:trPr>
          <w:cantSplit/>
          <w:jc w:val="center"/>
        </w:trPr>
        <w:tc>
          <w:tcPr>
            <w:tcW w:w="5428" w:type="dxa"/>
            <w:vAlign w:val="center"/>
          </w:tcPr>
          <w:p w:rsidR="00035877" w:rsidRPr="003B3C54" w:rsidRDefault="00035877" w:rsidP="00700573">
            <w:pPr>
              <w:spacing w:before="60" w:after="60"/>
              <w:rPr>
                <w:sz w:val="20"/>
                <w:szCs w:val="20"/>
              </w:rPr>
            </w:pPr>
            <w:r w:rsidRPr="003B3C54">
              <w:rPr>
                <w:sz w:val="20"/>
                <w:szCs w:val="20"/>
              </w:rPr>
              <w:t>5. Organic chemicals</w:t>
            </w:r>
          </w:p>
        </w:tc>
        <w:tc>
          <w:tcPr>
            <w:tcW w:w="1876" w:type="dxa"/>
            <w:shd w:val="clear" w:color="auto" w:fill="FF9900"/>
            <w:vAlign w:val="center"/>
          </w:tcPr>
          <w:p w:rsidR="00035877" w:rsidRPr="003B3C54" w:rsidRDefault="00035877" w:rsidP="00700573">
            <w:pPr>
              <w:spacing w:before="60" w:after="60"/>
              <w:jc w:val="center"/>
              <w:rPr>
                <w:sz w:val="20"/>
                <w:szCs w:val="20"/>
              </w:rPr>
            </w:pPr>
            <w:r w:rsidRPr="003B3C54">
              <w:rPr>
                <w:b/>
                <w:sz w:val="20"/>
                <w:szCs w:val="20"/>
              </w:rPr>
              <w:t>Unknown</w:t>
            </w:r>
          </w:p>
        </w:tc>
        <w:tc>
          <w:tcPr>
            <w:tcW w:w="1876" w:type="dxa"/>
            <w:shd w:val="clear" w:color="auto" w:fill="FF9900"/>
            <w:vAlign w:val="center"/>
          </w:tcPr>
          <w:p w:rsidR="00035877" w:rsidRPr="003B3C54" w:rsidRDefault="00035877" w:rsidP="00700573">
            <w:pPr>
              <w:spacing w:before="60" w:after="60"/>
              <w:jc w:val="center"/>
              <w:rPr>
                <w:sz w:val="20"/>
                <w:szCs w:val="20"/>
              </w:rPr>
            </w:pPr>
            <w:r w:rsidRPr="003B3C54">
              <w:rPr>
                <w:b/>
                <w:sz w:val="20"/>
                <w:szCs w:val="20"/>
              </w:rPr>
              <w:t>Unknown</w:t>
            </w:r>
          </w:p>
        </w:tc>
      </w:tr>
      <w:tr w:rsidR="00035877" w:rsidRPr="003B3C54" w:rsidTr="000641F5">
        <w:trPr>
          <w:cantSplit/>
          <w:jc w:val="center"/>
        </w:trPr>
        <w:tc>
          <w:tcPr>
            <w:tcW w:w="5428" w:type="dxa"/>
            <w:vAlign w:val="center"/>
          </w:tcPr>
          <w:p w:rsidR="00035877" w:rsidRPr="003B3C54" w:rsidRDefault="00035877" w:rsidP="00700573">
            <w:pPr>
              <w:spacing w:before="60" w:after="60"/>
              <w:rPr>
                <w:sz w:val="20"/>
                <w:szCs w:val="20"/>
              </w:rPr>
            </w:pPr>
            <w:r w:rsidRPr="003B3C54">
              <w:rPr>
                <w:sz w:val="20"/>
                <w:szCs w:val="20"/>
              </w:rPr>
              <w:t>6. Turbidity and particulates</w:t>
            </w:r>
          </w:p>
        </w:tc>
        <w:tc>
          <w:tcPr>
            <w:tcW w:w="1876" w:type="dxa"/>
            <w:shd w:val="clear" w:color="auto" w:fill="FF0000"/>
            <w:vAlign w:val="center"/>
          </w:tcPr>
          <w:p w:rsidR="00035877" w:rsidRPr="003B3C54" w:rsidRDefault="00035877" w:rsidP="00700573">
            <w:pPr>
              <w:spacing w:before="60" w:after="60"/>
              <w:jc w:val="center"/>
              <w:rPr>
                <w:color w:val="FFFFFF"/>
                <w:sz w:val="20"/>
                <w:szCs w:val="20"/>
              </w:rPr>
            </w:pPr>
            <w:r w:rsidRPr="003B3C54">
              <w:rPr>
                <w:b/>
                <w:color w:val="FFFFFF"/>
                <w:sz w:val="20"/>
                <w:szCs w:val="20"/>
              </w:rPr>
              <w:t>High</w:t>
            </w:r>
          </w:p>
        </w:tc>
        <w:tc>
          <w:tcPr>
            <w:tcW w:w="1876" w:type="dxa"/>
            <w:shd w:val="clear" w:color="auto" w:fill="FF9900"/>
            <w:vAlign w:val="center"/>
          </w:tcPr>
          <w:p w:rsidR="00035877" w:rsidRPr="003B3C54" w:rsidRDefault="00035877" w:rsidP="00700573">
            <w:pPr>
              <w:spacing w:before="60" w:after="60"/>
              <w:jc w:val="center"/>
              <w:rPr>
                <w:sz w:val="20"/>
                <w:szCs w:val="20"/>
              </w:rPr>
            </w:pPr>
            <w:r w:rsidRPr="003B3C54">
              <w:rPr>
                <w:b/>
                <w:sz w:val="20"/>
                <w:szCs w:val="20"/>
              </w:rPr>
              <w:t>Unknown</w:t>
            </w:r>
          </w:p>
        </w:tc>
      </w:tr>
      <w:tr w:rsidR="00035877" w:rsidRPr="003B3C54" w:rsidTr="000641F5">
        <w:trPr>
          <w:jc w:val="center"/>
        </w:trPr>
        <w:tc>
          <w:tcPr>
            <w:tcW w:w="5428" w:type="dxa"/>
          </w:tcPr>
          <w:p w:rsidR="00035877" w:rsidRPr="003B3C54" w:rsidRDefault="00035877" w:rsidP="00700573">
            <w:pPr>
              <w:spacing w:before="60" w:after="60"/>
              <w:rPr>
                <w:sz w:val="20"/>
                <w:szCs w:val="20"/>
              </w:rPr>
            </w:pPr>
            <w:r w:rsidRPr="003B3C54">
              <w:rPr>
                <w:sz w:val="20"/>
                <w:szCs w:val="20"/>
              </w:rPr>
              <w:t>7. Radionuclides</w:t>
            </w:r>
          </w:p>
        </w:tc>
        <w:tc>
          <w:tcPr>
            <w:tcW w:w="1876" w:type="dxa"/>
            <w:shd w:val="clear" w:color="auto" w:fill="99FF33"/>
          </w:tcPr>
          <w:p w:rsidR="00035877" w:rsidRPr="003B3C54" w:rsidRDefault="00035877" w:rsidP="00700573">
            <w:pPr>
              <w:spacing w:before="60" w:after="60"/>
              <w:jc w:val="center"/>
              <w:rPr>
                <w:sz w:val="20"/>
                <w:szCs w:val="20"/>
              </w:rPr>
            </w:pPr>
            <w:r w:rsidRPr="003B3C54">
              <w:rPr>
                <w:b/>
                <w:sz w:val="20"/>
                <w:szCs w:val="20"/>
              </w:rPr>
              <w:t>Low</w:t>
            </w:r>
          </w:p>
        </w:tc>
        <w:tc>
          <w:tcPr>
            <w:tcW w:w="1876" w:type="dxa"/>
            <w:shd w:val="clear" w:color="auto" w:fill="99FF33"/>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jc w:val="center"/>
        </w:trPr>
        <w:tc>
          <w:tcPr>
            <w:tcW w:w="5428" w:type="dxa"/>
          </w:tcPr>
          <w:p w:rsidR="00035877" w:rsidRPr="003B3C54" w:rsidRDefault="00035877" w:rsidP="00700573">
            <w:pPr>
              <w:spacing w:before="60" w:after="60"/>
              <w:rPr>
                <w:sz w:val="20"/>
                <w:szCs w:val="20"/>
              </w:rPr>
            </w:pPr>
            <w:r w:rsidRPr="003B3C54">
              <w:rPr>
                <w:sz w:val="20"/>
                <w:szCs w:val="20"/>
              </w:rPr>
              <w:t>8. Pressure, flow rates, volumes and groundwater levels</w:t>
            </w:r>
          </w:p>
        </w:tc>
        <w:tc>
          <w:tcPr>
            <w:tcW w:w="1876" w:type="dxa"/>
          </w:tcPr>
          <w:p w:rsidR="00035877" w:rsidRPr="003B3C54" w:rsidRDefault="00035877" w:rsidP="00700573">
            <w:pPr>
              <w:spacing w:before="60" w:after="60"/>
              <w:jc w:val="center"/>
              <w:rPr>
                <w:sz w:val="20"/>
                <w:szCs w:val="20"/>
              </w:rPr>
            </w:pPr>
          </w:p>
        </w:tc>
        <w:tc>
          <w:tcPr>
            <w:tcW w:w="1876" w:type="dxa"/>
            <w:shd w:val="clear" w:color="auto" w:fill="FF9900"/>
          </w:tcPr>
          <w:p w:rsidR="00035877" w:rsidRPr="003B3C54" w:rsidRDefault="00035877" w:rsidP="00700573">
            <w:pPr>
              <w:spacing w:before="60" w:after="60"/>
              <w:jc w:val="center"/>
              <w:rPr>
                <w:sz w:val="20"/>
                <w:szCs w:val="20"/>
              </w:rPr>
            </w:pPr>
            <w:r w:rsidRPr="003B3C54">
              <w:rPr>
                <w:b/>
                <w:sz w:val="20"/>
                <w:szCs w:val="20"/>
              </w:rPr>
              <w:t>Unknown</w:t>
            </w:r>
          </w:p>
        </w:tc>
      </w:tr>
      <w:tr w:rsidR="00035877" w:rsidRPr="003B3C54" w:rsidTr="000641F5">
        <w:trPr>
          <w:cantSplit/>
          <w:jc w:val="center"/>
        </w:trPr>
        <w:tc>
          <w:tcPr>
            <w:tcW w:w="5428" w:type="dxa"/>
            <w:vAlign w:val="center"/>
          </w:tcPr>
          <w:p w:rsidR="00035877" w:rsidRPr="003B3C54" w:rsidRDefault="00035877" w:rsidP="00700573">
            <w:pPr>
              <w:spacing w:before="60" w:after="60"/>
              <w:rPr>
                <w:sz w:val="20"/>
                <w:szCs w:val="20"/>
              </w:rPr>
            </w:pPr>
            <w:r w:rsidRPr="003B3C54">
              <w:rPr>
                <w:sz w:val="20"/>
                <w:szCs w:val="20"/>
              </w:rPr>
              <w:t>9. Contaminant migration in fractured rock and karstic aquifers</w:t>
            </w:r>
          </w:p>
        </w:tc>
        <w:tc>
          <w:tcPr>
            <w:tcW w:w="1876" w:type="dxa"/>
            <w:vAlign w:val="center"/>
          </w:tcPr>
          <w:p w:rsidR="00035877" w:rsidRPr="003B3C54" w:rsidRDefault="00035877" w:rsidP="00700573">
            <w:pPr>
              <w:spacing w:before="60" w:after="60"/>
              <w:jc w:val="center"/>
              <w:rPr>
                <w:sz w:val="20"/>
                <w:szCs w:val="20"/>
              </w:rPr>
            </w:pP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428" w:type="dxa"/>
            <w:vAlign w:val="center"/>
          </w:tcPr>
          <w:p w:rsidR="00035877" w:rsidRPr="003B3C54" w:rsidRDefault="00035877" w:rsidP="00700573">
            <w:pPr>
              <w:spacing w:before="60" w:after="60"/>
              <w:rPr>
                <w:sz w:val="20"/>
                <w:szCs w:val="20"/>
              </w:rPr>
            </w:pPr>
            <w:r w:rsidRPr="003B3C54">
              <w:rPr>
                <w:sz w:val="20"/>
                <w:szCs w:val="20"/>
              </w:rPr>
              <w:t xml:space="preserve">10. Aquifer dissolution and stability of well and aquitard </w:t>
            </w:r>
          </w:p>
        </w:tc>
        <w:tc>
          <w:tcPr>
            <w:tcW w:w="1876" w:type="dxa"/>
            <w:vAlign w:val="center"/>
          </w:tcPr>
          <w:p w:rsidR="00035877" w:rsidRPr="003B3C54" w:rsidRDefault="00035877" w:rsidP="00700573">
            <w:pPr>
              <w:spacing w:before="60" w:after="60"/>
              <w:jc w:val="center"/>
              <w:rPr>
                <w:sz w:val="20"/>
                <w:szCs w:val="20"/>
              </w:rPr>
            </w:pP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jc w:val="center"/>
        </w:trPr>
        <w:tc>
          <w:tcPr>
            <w:tcW w:w="5428" w:type="dxa"/>
          </w:tcPr>
          <w:p w:rsidR="00035877" w:rsidRPr="003B3C54" w:rsidRDefault="00035877" w:rsidP="00700573">
            <w:pPr>
              <w:spacing w:before="60" w:after="60"/>
              <w:rPr>
                <w:sz w:val="20"/>
                <w:szCs w:val="20"/>
              </w:rPr>
            </w:pPr>
            <w:r w:rsidRPr="003B3C54">
              <w:rPr>
                <w:sz w:val="20"/>
                <w:szCs w:val="20"/>
              </w:rPr>
              <w:t>11. Aquifer and groundwater-dependent ecosystems</w:t>
            </w:r>
          </w:p>
        </w:tc>
        <w:tc>
          <w:tcPr>
            <w:tcW w:w="1876" w:type="dxa"/>
          </w:tcPr>
          <w:p w:rsidR="00035877" w:rsidRPr="003B3C54" w:rsidRDefault="00035877" w:rsidP="00700573">
            <w:pPr>
              <w:spacing w:before="60" w:after="60"/>
              <w:jc w:val="center"/>
              <w:rPr>
                <w:sz w:val="20"/>
                <w:szCs w:val="20"/>
              </w:rPr>
            </w:pPr>
          </w:p>
        </w:tc>
        <w:tc>
          <w:tcPr>
            <w:tcW w:w="1876" w:type="dxa"/>
            <w:shd w:val="clear" w:color="auto" w:fill="FF9900"/>
          </w:tcPr>
          <w:p w:rsidR="00035877" w:rsidRPr="003B3C54" w:rsidRDefault="00035877" w:rsidP="00700573">
            <w:pPr>
              <w:spacing w:before="60" w:after="60"/>
              <w:jc w:val="center"/>
              <w:rPr>
                <w:sz w:val="20"/>
                <w:szCs w:val="20"/>
              </w:rPr>
            </w:pPr>
            <w:r w:rsidRPr="003B3C54">
              <w:rPr>
                <w:b/>
                <w:sz w:val="20"/>
                <w:szCs w:val="20"/>
              </w:rPr>
              <w:t>Unknown</w:t>
            </w:r>
          </w:p>
        </w:tc>
      </w:tr>
      <w:tr w:rsidR="00035877" w:rsidRPr="003B3C54" w:rsidTr="000641F5">
        <w:trPr>
          <w:cantSplit/>
          <w:jc w:val="center"/>
        </w:trPr>
        <w:tc>
          <w:tcPr>
            <w:tcW w:w="5428" w:type="dxa"/>
            <w:vAlign w:val="center"/>
          </w:tcPr>
          <w:p w:rsidR="00035877" w:rsidRPr="003B3C54" w:rsidRDefault="00035877" w:rsidP="00700573">
            <w:pPr>
              <w:spacing w:before="60" w:after="60"/>
              <w:rPr>
                <w:sz w:val="20"/>
                <w:szCs w:val="20"/>
              </w:rPr>
            </w:pPr>
            <w:r w:rsidRPr="003B3C54">
              <w:rPr>
                <w:sz w:val="20"/>
                <w:szCs w:val="20"/>
              </w:rPr>
              <w:t>12. Energy and greenhouse gas considerations</w:t>
            </w:r>
          </w:p>
        </w:tc>
        <w:tc>
          <w:tcPr>
            <w:tcW w:w="1876" w:type="dxa"/>
            <w:vAlign w:val="center"/>
          </w:tcPr>
          <w:p w:rsidR="00035877" w:rsidRPr="003B3C54" w:rsidRDefault="00035877" w:rsidP="00700573">
            <w:pPr>
              <w:spacing w:before="60" w:after="60"/>
              <w:jc w:val="center"/>
              <w:rPr>
                <w:sz w:val="20"/>
                <w:szCs w:val="20"/>
              </w:rPr>
            </w:pPr>
          </w:p>
        </w:tc>
        <w:tc>
          <w:tcPr>
            <w:tcW w:w="1876" w:type="dxa"/>
            <w:shd w:val="clear" w:color="auto" w:fill="FF9900"/>
            <w:vAlign w:val="center"/>
          </w:tcPr>
          <w:p w:rsidR="00035877" w:rsidRPr="003B3C54" w:rsidRDefault="00035877" w:rsidP="00700573">
            <w:pPr>
              <w:spacing w:before="60" w:after="60"/>
              <w:jc w:val="center"/>
              <w:rPr>
                <w:sz w:val="20"/>
                <w:szCs w:val="20"/>
              </w:rPr>
            </w:pPr>
            <w:r w:rsidRPr="003B3C54">
              <w:rPr>
                <w:b/>
                <w:sz w:val="20"/>
                <w:szCs w:val="20"/>
              </w:rPr>
              <w:t>Unknown</w:t>
            </w:r>
          </w:p>
        </w:tc>
      </w:tr>
    </w:tbl>
    <w:p w:rsidR="00035877" w:rsidRDefault="00035877" w:rsidP="00035877">
      <w:pPr>
        <w:pStyle w:val="BodyText"/>
        <w:spacing w:after="0" w:line="240" w:lineRule="auto"/>
      </w:pPr>
    </w:p>
    <w:p w:rsidR="00035877" w:rsidRDefault="00CD2825" w:rsidP="00FE37F2">
      <w:pPr>
        <w:pStyle w:val="Caption"/>
      </w:pPr>
      <w:bookmarkStart w:id="600" w:name="_Ref325709740"/>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8</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6</w:t>
      </w:r>
      <w:r w:rsidR="00B96C96">
        <w:rPr>
          <w:b/>
        </w:rPr>
        <w:fldChar w:fldCharType="end"/>
      </w:r>
      <w:bookmarkEnd w:id="600"/>
      <w:r w:rsidRPr="00CD2825">
        <w:rPr>
          <w:b/>
        </w:rPr>
        <w:t>.</w:t>
      </w:r>
      <w:r>
        <w:t xml:space="preserve"> </w:t>
      </w:r>
      <w:r w:rsidR="00035877">
        <w:rPr>
          <w:rFonts w:cs="Arial"/>
        </w:rPr>
        <w:t>Residual risk assessment summary.</w:t>
      </w:r>
      <w:r w:rsidR="007640C5">
        <w:rPr>
          <w:rFonts w:cs="Arial"/>
        </w:rPr>
        <w:t xml:space="preserve"> </w:t>
      </w:r>
      <w:r w:rsidR="007640C5">
        <w:t>The residual risk is considered low but the assessment depends on validation of preventive measures for hazards where maximal risk is not low (Table 17).</w:t>
      </w:r>
      <w:r w:rsidR="00035877">
        <w:rPr>
          <w:rFonts w:cs="Arial"/>
        </w:rPr>
        <w:t xml:space="preserve"> </w:t>
      </w:r>
      <w:r w:rsidR="00395AD1" w:rsidRPr="007960BF">
        <w:rPr>
          <w:i w:val="0"/>
        </w:rPr>
        <w:fldChar w:fldCharType="begin"/>
      </w:r>
      <w:r w:rsidR="00395AD1" w:rsidRPr="007960BF">
        <w:rPr>
          <w:i w:val="0"/>
        </w:rPr>
        <w:instrText xml:space="preserve"> TC "</w:instrText>
      </w:r>
      <w:bookmarkStart w:id="601" w:name="_Toc325975312"/>
      <w:bookmarkStart w:id="602" w:name="_Toc390690301"/>
      <w:r w:rsidR="00395AD1" w:rsidRPr="007960BF">
        <w:rPr>
          <w:i w:val="0"/>
        </w:rPr>
        <w:instrText xml:space="preserve">Table </w:instrText>
      </w:r>
      <w:r w:rsidR="000D653B">
        <w:rPr>
          <w:i w:val="0"/>
        </w:rPr>
        <w:instrText>8-6</w:instrText>
      </w:r>
      <w:r w:rsidR="00860930">
        <w:rPr>
          <w:i w:val="0"/>
        </w:rPr>
        <w:instrText>.</w:instrText>
      </w:r>
      <w:r w:rsidR="00395AD1" w:rsidRPr="007960BF">
        <w:rPr>
          <w:i w:val="0"/>
        </w:rPr>
        <w:instrText xml:space="preserve"> </w:instrText>
      </w:r>
      <w:r w:rsidR="00DD5B97" w:rsidRPr="007960BF">
        <w:rPr>
          <w:rFonts w:cs="Arial"/>
          <w:i w:val="0"/>
        </w:rPr>
        <w:instrText>Residual risk assessment summary</w:instrText>
      </w:r>
      <w:bookmarkEnd w:id="601"/>
      <w:r w:rsidR="003721DD">
        <w:rPr>
          <w:i w:val="0"/>
        </w:rPr>
        <w:instrText>.</w:instrText>
      </w:r>
      <w:bookmarkEnd w:id="602"/>
      <w:r w:rsidR="00395AD1" w:rsidRPr="007960BF">
        <w:rPr>
          <w:i w:val="0"/>
        </w:rPr>
        <w:instrText xml:space="preserve">" \f B \l "4" </w:instrText>
      </w:r>
      <w:r w:rsidR="00395AD1" w:rsidRPr="007960BF">
        <w:rPr>
          <w:i w:val="0"/>
        </w:rPr>
        <w:fldChar w:fldCharType="end"/>
      </w:r>
    </w:p>
    <w:tbl>
      <w:tblPr>
        <w:tblW w:w="936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08"/>
        <w:gridCol w:w="1876"/>
        <w:gridCol w:w="1876"/>
      </w:tblGrid>
      <w:tr w:rsidR="00035877" w:rsidRPr="003B3C54" w:rsidTr="000641F5">
        <w:trPr>
          <w:cantSplit/>
          <w:trHeight w:val="342"/>
          <w:jc w:val="center"/>
        </w:trPr>
        <w:tc>
          <w:tcPr>
            <w:tcW w:w="5608" w:type="dxa"/>
            <w:vMerge w:val="restart"/>
            <w:shd w:val="clear" w:color="auto" w:fill="C0C0C0"/>
            <w:vAlign w:val="center"/>
          </w:tcPr>
          <w:p w:rsidR="00035877" w:rsidRPr="003B3C54" w:rsidRDefault="00035877" w:rsidP="00700573">
            <w:pPr>
              <w:spacing w:before="60" w:after="60"/>
              <w:rPr>
                <w:sz w:val="20"/>
                <w:szCs w:val="20"/>
              </w:rPr>
            </w:pPr>
            <w:smartTag w:uri="urn:schemas-microsoft-com:office:smarttags" w:element="stockticker">
              <w:r w:rsidRPr="003B3C54">
                <w:rPr>
                  <w:b/>
                  <w:sz w:val="20"/>
                  <w:szCs w:val="20"/>
                </w:rPr>
                <w:t>MAR</w:t>
              </w:r>
            </w:smartTag>
            <w:r w:rsidRPr="003B3C54">
              <w:rPr>
                <w:b/>
                <w:sz w:val="20"/>
                <w:szCs w:val="20"/>
              </w:rPr>
              <w:t xml:space="preserve"> Hazards</w:t>
            </w:r>
          </w:p>
        </w:tc>
        <w:tc>
          <w:tcPr>
            <w:tcW w:w="3752" w:type="dxa"/>
            <w:gridSpan w:val="2"/>
            <w:tcBorders>
              <w:bottom w:val="single" w:sz="4" w:space="0" w:color="auto"/>
            </w:tcBorders>
            <w:shd w:val="clear" w:color="auto" w:fill="C0C0C0"/>
            <w:vAlign w:val="center"/>
          </w:tcPr>
          <w:p w:rsidR="00035877" w:rsidRPr="003B3C54" w:rsidRDefault="00035877" w:rsidP="00700573">
            <w:pPr>
              <w:spacing w:before="60" w:after="60"/>
              <w:jc w:val="center"/>
              <w:rPr>
                <w:b/>
                <w:sz w:val="20"/>
                <w:szCs w:val="20"/>
              </w:rPr>
            </w:pPr>
            <w:r w:rsidRPr="003B3C54">
              <w:rPr>
                <w:b/>
                <w:sz w:val="20"/>
                <w:szCs w:val="20"/>
              </w:rPr>
              <w:t>End Points</w:t>
            </w:r>
          </w:p>
        </w:tc>
      </w:tr>
      <w:tr w:rsidR="00035877" w:rsidRPr="003B3C54" w:rsidTr="000641F5">
        <w:trPr>
          <w:cantSplit/>
          <w:trHeight w:val="352"/>
          <w:jc w:val="center"/>
        </w:trPr>
        <w:tc>
          <w:tcPr>
            <w:tcW w:w="5608" w:type="dxa"/>
            <w:vMerge/>
            <w:shd w:val="clear" w:color="auto" w:fill="C0C0C0"/>
            <w:vAlign w:val="center"/>
          </w:tcPr>
          <w:p w:rsidR="00035877" w:rsidRPr="003B3C54" w:rsidRDefault="00035877" w:rsidP="00700573">
            <w:pPr>
              <w:spacing w:before="60" w:after="60"/>
              <w:rPr>
                <w:sz w:val="20"/>
                <w:szCs w:val="20"/>
              </w:rPr>
            </w:pPr>
          </w:p>
        </w:tc>
        <w:tc>
          <w:tcPr>
            <w:tcW w:w="1876" w:type="dxa"/>
            <w:tcBorders>
              <w:bottom w:val="single" w:sz="4" w:space="0" w:color="auto"/>
            </w:tcBorders>
            <w:shd w:val="clear" w:color="auto" w:fill="C0C0C0"/>
            <w:vAlign w:val="center"/>
          </w:tcPr>
          <w:p w:rsidR="00035877" w:rsidRPr="003B3C54" w:rsidRDefault="00035877" w:rsidP="00700573">
            <w:pPr>
              <w:spacing w:before="60" w:after="60"/>
              <w:jc w:val="center"/>
              <w:rPr>
                <w:b/>
                <w:sz w:val="20"/>
                <w:szCs w:val="20"/>
              </w:rPr>
            </w:pPr>
            <w:r w:rsidRPr="003B3C54">
              <w:rPr>
                <w:b/>
                <w:sz w:val="20"/>
                <w:szCs w:val="20"/>
              </w:rPr>
              <w:t>Human</w:t>
            </w:r>
          </w:p>
        </w:tc>
        <w:tc>
          <w:tcPr>
            <w:tcW w:w="1876" w:type="dxa"/>
            <w:tcBorders>
              <w:bottom w:val="single" w:sz="4" w:space="0" w:color="auto"/>
            </w:tcBorders>
            <w:shd w:val="clear" w:color="auto" w:fill="C0C0C0"/>
            <w:vAlign w:val="center"/>
          </w:tcPr>
          <w:p w:rsidR="00035877" w:rsidRPr="003B3C54" w:rsidRDefault="00035877" w:rsidP="00700573">
            <w:pPr>
              <w:spacing w:before="60" w:after="60"/>
              <w:jc w:val="center"/>
              <w:rPr>
                <w:b/>
                <w:sz w:val="20"/>
                <w:szCs w:val="20"/>
              </w:rPr>
            </w:pPr>
            <w:r w:rsidRPr="003B3C54">
              <w:rPr>
                <w:b/>
                <w:sz w:val="20"/>
                <w:szCs w:val="20"/>
              </w:rPr>
              <w:t>Environmental</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1. Pathogens</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2. Inorganic chemicals</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b/>
                <w:sz w:val="20"/>
                <w:szCs w:val="20"/>
              </w:rPr>
            </w:pPr>
            <w:r w:rsidRPr="003B3C54">
              <w:rPr>
                <w:b/>
                <w:sz w:val="20"/>
                <w:szCs w:val="20"/>
              </w:rPr>
              <w:t>Low</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3. Salinity and sodicity</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4. Nutrients: nitrogen, phosphorous and organic carbon</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5. Organic chemicals</w:t>
            </w:r>
          </w:p>
        </w:tc>
        <w:tc>
          <w:tcPr>
            <w:tcW w:w="1876" w:type="dxa"/>
            <w:shd w:val="clear" w:color="auto" w:fill="99FF33"/>
            <w:vAlign w:val="center"/>
          </w:tcPr>
          <w:p w:rsidR="00035877" w:rsidRPr="003B3C54" w:rsidRDefault="00035877" w:rsidP="00700573">
            <w:pPr>
              <w:spacing w:before="60" w:after="60"/>
              <w:jc w:val="center"/>
              <w:rPr>
                <w:b/>
                <w:sz w:val="20"/>
                <w:szCs w:val="20"/>
              </w:rPr>
            </w:pPr>
            <w:r w:rsidRPr="003B3C54">
              <w:rPr>
                <w:b/>
                <w:sz w:val="20"/>
                <w:szCs w:val="20"/>
              </w:rPr>
              <w:t>Low</w:t>
            </w: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6. Turbidity and particulates</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7. Radionuclides</w:t>
            </w: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8. Pressure, flow rates, volumes and groundwater levels</w:t>
            </w:r>
          </w:p>
        </w:tc>
        <w:tc>
          <w:tcPr>
            <w:tcW w:w="1876" w:type="dxa"/>
            <w:vAlign w:val="center"/>
          </w:tcPr>
          <w:p w:rsidR="00035877" w:rsidRPr="003B3C54" w:rsidRDefault="00035877" w:rsidP="00700573">
            <w:pPr>
              <w:spacing w:before="60" w:after="60"/>
              <w:jc w:val="center"/>
              <w:rPr>
                <w:sz w:val="20"/>
                <w:szCs w:val="20"/>
              </w:rPr>
            </w:pP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9. Contaminant migration in fractured rock and karstic aquifers</w:t>
            </w:r>
          </w:p>
        </w:tc>
        <w:tc>
          <w:tcPr>
            <w:tcW w:w="1876" w:type="dxa"/>
            <w:vAlign w:val="center"/>
          </w:tcPr>
          <w:p w:rsidR="00035877" w:rsidRPr="003B3C54" w:rsidRDefault="00035877" w:rsidP="00700573">
            <w:pPr>
              <w:spacing w:before="60" w:after="60"/>
              <w:jc w:val="center"/>
              <w:rPr>
                <w:sz w:val="20"/>
                <w:szCs w:val="20"/>
              </w:rPr>
            </w:pP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 xml:space="preserve">10. Aquifer dissolution and stability of well and aquitard </w:t>
            </w:r>
          </w:p>
        </w:tc>
        <w:tc>
          <w:tcPr>
            <w:tcW w:w="1876" w:type="dxa"/>
            <w:vAlign w:val="center"/>
          </w:tcPr>
          <w:p w:rsidR="00035877" w:rsidRPr="003B3C54" w:rsidRDefault="00035877" w:rsidP="00700573">
            <w:pPr>
              <w:spacing w:before="60" w:after="60"/>
              <w:jc w:val="center"/>
              <w:rPr>
                <w:sz w:val="20"/>
                <w:szCs w:val="20"/>
              </w:rPr>
            </w:pPr>
          </w:p>
        </w:tc>
        <w:tc>
          <w:tcPr>
            <w:tcW w:w="1876" w:type="dxa"/>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11. Aquifer and groundwater-dependent ecosystems</w:t>
            </w:r>
          </w:p>
        </w:tc>
        <w:tc>
          <w:tcPr>
            <w:tcW w:w="1876" w:type="dxa"/>
            <w:tcBorders>
              <w:bottom w:val="single" w:sz="4" w:space="0" w:color="auto"/>
            </w:tcBorders>
            <w:vAlign w:val="center"/>
          </w:tcPr>
          <w:p w:rsidR="00035877" w:rsidRPr="003B3C54" w:rsidRDefault="00035877" w:rsidP="00700573">
            <w:pPr>
              <w:spacing w:before="60" w:after="60"/>
              <w:jc w:val="center"/>
              <w:rPr>
                <w:sz w:val="20"/>
                <w:szCs w:val="20"/>
              </w:rPr>
            </w:pPr>
          </w:p>
        </w:tc>
        <w:tc>
          <w:tcPr>
            <w:tcW w:w="1876" w:type="dxa"/>
            <w:tcBorders>
              <w:bottom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r w:rsidR="00035877" w:rsidRPr="003B3C54" w:rsidTr="000641F5">
        <w:trPr>
          <w:cantSplit/>
          <w:jc w:val="center"/>
        </w:trPr>
        <w:tc>
          <w:tcPr>
            <w:tcW w:w="5608" w:type="dxa"/>
            <w:vAlign w:val="center"/>
          </w:tcPr>
          <w:p w:rsidR="00035877" w:rsidRPr="003B3C54" w:rsidRDefault="00035877" w:rsidP="00700573">
            <w:pPr>
              <w:spacing w:before="60" w:after="60"/>
              <w:rPr>
                <w:sz w:val="20"/>
                <w:szCs w:val="20"/>
              </w:rPr>
            </w:pPr>
            <w:r w:rsidRPr="003B3C54">
              <w:rPr>
                <w:sz w:val="20"/>
                <w:szCs w:val="20"/>
              </w:rPr>
              <w:t>12. Energy and greenhouse gas considerations</w:t>
            </w:r>
          </w:p>
        </w:tc>
        <w:tc>
          <w:tcPr>
            <w:tcW w:w="1876" w:type="dxa"/>
            <w:tcBorders>
              <w:right w:val="single" w:sz="4" w:space="0" w:color="auto"/>
            </w:tcBorders>
            <w:vAlign w:val="center"/>
          </w:tcPr>
          <w:p w:rsidR="00035877" w:rsidRPr="003B3C54" w:rsidRDefault="00035877" w:rsidP="00700573">
            <w:pPr>
              <w:spacing w:before="60" w:after="60"/>
              <w:jc w:val="center"/>
              <w:rPr>
                <w:sz w:val="20"/>
                <w:szCs w:val="20"/>
              </w:rPr>
            </w:pPr>
          </w:p>
        </w:tc>
        <w:tc>
          <w:tcPr>
            <w:tcW w:w="1876" w:type="dxa"/>
            <w:tcBorders>
              <w:left w:val="single" w:sz="4" w:space="0" w:color="auto"/>
              <w:right w:val="single" w:sz="4" w:space="0" w:color="auto"/>
            </w:tcBorders>
            <w:shd w:val="clear" w:color="auto" w:fill="99FF33"/>
            <w:vAlign w:val="center"/>
          </w:tcPr>
          <w:p w:rsidR="00035877" w:rsidRPr="003B3C54" w:rsidRDefault="00035877" w:rsidP="00700573">
            <w:pPr>
              <w:spacing w:before="60" w:after="60"/>
              <w:jc w:val="center"/>
              <w:rPr>
                <w:sz w:val="20"/>
                <w:szCs w:val="20"/>
              </w:rPr>
            </w:pPr>
            <w:r w:rsidRPr="003B3C54">
              <w:rPr>
                <w:b/>
                <w:sz w:val="20"/>
                <w:szCs w:val="20"/>
              </w:rPr>
              <w:t>Low</w:t>
            </w:r>
          </w:p>
        </w:tc>
      </w:tr>
    </w:tbl>
    <w:p w:rsidR="00035877" w:rsidRDefault="00035877" w:rsidP="00035877"/>
    <w:p w:rsidR="002B69F0" w:rsidRDefault="002B69F0" w:rsidP="00035877"/>
    <w:p w:rsidR="002B69F0" w:rsidRDefault="002B69F0" w:rsidP="00035877"/>
    <w:p w:rsidR="002B69F0" w:rsidRDefault="002B69F0" w:rsidP="00035877"/>
    <w:p w:rsidR="00E0140B" w:rsidRPr="00021090" w:rsidRDefault="00300215" w:rsidP="00021090">
      <w:pPr>
        <w:pStyle w:val="Heading2"/>
        <w:tabs>
          <w:tab w:val="left" w:pos="720"/>
        </w:tabs>
        <w:spacing w:before="320"/>
      </w:pPr>
      <w:bookmarkStart w:id="603" w:name="_Toc325975156"/>
      <w:bookmarkStart w:id="604" w:name="_Toc390690149"/>
      <w:r w:rsidRPr="00EF7E00">
        <w:lastRenderedPageBreak/>
        <w:t>Option</w:t>
      </w:r>
      <w:r w:rsidRPr="00021090">
        <w:t xml:space="preserve"> 2: </w:t>
      </w:r>
      <w:r w:rsidR="00DA40F0" w:rsidRPr="00021090">
        <w:t>MAR</w:t>
      </w:r>
      <w:r w:rsidRPr="00021090">
        <w:t xml:space="preserve"> </w:t>
      </w:r>
      <w:r w:rsidR="00DA40F0" w:rsidRPr="00021090">
        <w:t>I</w:t>
      </w:r>
      <w:r w:rsidRPr="00021090">
        <w:t xml:space="preserve">nvolving </w:t>
      </w:r>
      <w:r w:rsidR="00DA40F0" w:rsidRPr="00021090">
        <w:t>Bank F</w:t>
      </w:r>
      <w:r w:rsidRPr="00021090">
        <w:t xml:space="preserve">iltration and </w:t>
      </w:r>
      <w:r w:rsidR="00DA40F0" w:rsidRPr="00021090">
        <w:t>A</w:t>
      </w:r>
      <w:r w:rsidRPr="00021090">
        <w:t xml:space="preserve">quifer </w:t>
      </w:r>
      <w:r w:rsidR="00DA40F0" w:rsidRPr="00021090">
        <w:t>Storage and R</w:t>
      </w:r>
      <w:r w:rsidRPr="00021090">
        <w:t>ecovery</w:t>
      </w:r>
      <w:bookmarkEnd w:id="603"/>
      <w:bookmarkEnd w:id="604"/>
    </w:p>
    <w:p w:rsidR="00797CD8" w:rsidRDefault="00E57182" w:rsidP="00797CD8">
      <w:pPr>
        <w:autoSpaceDE w:val="0"/>
        <w:autoSpaceDN w:val="0"/>
        <w:adjustRightInd w:val="0"/>
        <w:rPr>
          <w:szCs w:val="22"/>
        </w:rPr>
      </w:pPr>
      <w:r>
        <w:rPr>
          <w:szCs w:val="22"/>
        </w:rPr>
        <w:t>MAR involving b</w:t>
      </w:r>
      <w:r w:rsidR="00797CD8">
        <w:rPr>
          <w:szCs w:val="22"/>
        </w:rPr>
        <w:t xml:space="preserve">ank filtration makes use of hydraulic connections between the river and the shallow alluvial aquifer. Pumping from near-river shallow bores can induce river leakage with the adsorptive capacity of the aquifer providing the potential for removal of impurities (such as suspended solids, nutrients or pathogens). Assessment is required of the option of using shallow pumping bores in the </w:t>
      </w:r>
      <w:r w:rsidR="00C217F0">
        <w:rPr>
          <w:szCs w:val="22"/>
        </w:rPr>
        <w:t>Coonambidgal Formation</w:t>
      </w:r>
      <w:r w:rsidR="00797CD8">
        <w:rPr>
          <w:szCs w:val="22"/>
        </w:rPr>
        <w:t xml:space="preserve"> or </w:t>
      </w:r>
      <w:r w:rsidR="00C217F0">
        <w:rPr>
          <w:szCs w:val="22"/>
        </w:rPr>
        <w:t>Menindee Formation</w:t>
      </w:r>
      <w:r w:rsidR="00797CD8">
        <w:rPr>
          <w:szCs w:val="22"/>
        </w:rPr>
        <w:t xml:space="preserve"> aquifers, particularly during high flows in the Darling, to provide additional source water.</w:t>
      </w:r>
      <w:r w:rsidR="009874F4">
        <w:rPr>
          <w:szCs w:val="22"/>
        </w:rPr>
        <w:t xml:space="preserve"> Bank filtration is discussed in more </w:t>
      </w:r>
      <w:r w:rsidR="009874F4" w:rsidRPr="00670511">
        <w:rPr>
          <w:szCs w:val="22"/>
        </w:rPr>
        <w:t xml:space="preserve">detail in </w:t>
      </w:r>
      <w:r w:rsidR="009874F4" w:rsidRPr="00670511">
        <w:rPr>
          <w:rFonts w:cs="Arial"/>
          <w:szCs w:val="18"/>
        </w:rPr>
        <w:t>Lawrie</w:t>
      </w:r>
      <w:r w:rsidR="008A5F7D" w:rsidRPr="00CF7613">
        <w:rPr>
          <w:rStyle w:val="StyleItalic"/>
        </w:rPr>
        <w:t xml:space="preserve"> et al</w:t>
      </w:r>
      <w:r w:rsidR="00670511" w:rsidRPr="00670511">
        <w:rPr>
          <w:rFonts w:cs="Arial"/>
          <w:szCs w:val="18"/>
        </w:rPr>
        <w:t xml:space="preserve">. (2012b, </w:t>
      </w:r>
      <w:r w:rsidR="009874F4" w:rsidRPr="00670511">
        <w:rPr>
          <w:rFonts w:cs="Arial"/>
          <w:szCs w:val="18"/>
        </w:rPr>
        <w:t>c).</w:t>
      </w:r>
    </w:p>
    <w:p w:rsidR="00797CD8" w:rsidRDefault="00797CD8" w:rsidP="00EE662D">
      <w:pPr>
        <w:spacing w:before="60"/>
        <w:rPr>
          <w:szCs w:val="22"/>
        </w:rPr>
      </w:pPr>
    </w:p>
    <w:p w:rsidR="00797CD8" w:rsidRDefault="00EE662D" w:rsidP="00EE662D">
      <w:pPr>
        <w:spacing w:before="60"/>
        <w:rPr>
          <w:szCs w:val="22"/>
        </w:rPr>
      </w:pPr>
      <w:r w:rsidRPr="00EE662D">
        <w:rPr>
          <w:szCs w:val="22"/>
        </w:rPr>
        <w:t xml:space="preserve">A scheme utilising bank filtration to enhance natural recharge provides </w:t>
      </w:r>
      <w:r w:rsidR="00797CD8">
        <w:rPr>
          <w:szCs w:val="22"/>
        </w:rPr>
        <w:t xml:space="preserve">a possible alternative </w:t>
      </w:r>
      <w:r w:rsidRPr="00EE662D">
        <w:rPr>
          <w:szCs w:val="22"/>
        </w:rPr>
        <w:t xml:space="preserve">MAR option at the Jimargil site. </w:t>
      </w:r>
      <w:r w:rsidR="00797CD8">
        <w:rPr>
          <w:szCs w:val="22"/>
        </w:rPr>
        <w:t xml:space="preserve">In this option, a network of bores would be installed near the river within high yielding </w:t>
      </w:r>
      <w:r w:rsidR="00C217F0">
        <w:rPr>
          <w:szCs w:val="22"/>
        </w:rPr>
        <w:t>Coonambidgal Formation</w:t>
      </w:r>
      <w:r w:rsidR="00797CD8">
        <w:rPr>
          <w:szCs w:val="22"/>
        </w:rPr>
        <w:t xml:space="preserve"> or </w:t>
      </w:r>
      <w:r w:rsidR="00C217F0">
        <w:rPr>
          <w:szCs w:val="22"/>
        </w:rPr>
        <w:t>Menindee Formation</w:t>
      </w:r>
      <w:r w:rsidR="00797CD8">
        <w:rPr>
          <w:szCs w:val="22"/>
        </w:rPr>
        <w:t xml:space="preserve"> unconfined aquifers where there is a good connection to the </w:t>
      </w:r>
      <w:smartTag w:uri="urn:schemas-microsoft-com:office:smarttags" w:element="place">
        <w:r w:rsidR="00797CD8">
          <w:rPr>
            <w:szCs w:val="22"/>
          </w:rPr>
          <w:t>Darling River</w:t>
        </w:r>
      </w:smartTag>
      <w:r w:rsidR="00797CD8">
        <w:rPr>
          <w:szCs w:val="22"/>
        </w:rPr>
        <w:t xml:space="preserve">. Water from the shallow unconfined aquifer would be extracted using a network of shallow bores during high flow events, with the water re-injected locally into the </w:t>
      </w:r>
      <w:r w:rsidR="00C217F0">
        <w:rPr>
          <w:szCs w:val="22"/>
        </w:rPr>
        <w:t>Calivil Formation</w:t>
      </w:r>
      <w:r w:rsidR="00797CD8">
        <w:rPr>
          <w:szCs w:val="22"/>
        </w:rPr>
        <w:t xml:space="preserve"> aquifer. In this scenario, bank filtration provides natural treatment of river water, and pumping during high flow events should encourage additional leakage from the river. </w:t>
      </w:r>
    </w:p>
    <w:p w:rsidR="00797CD8" w:rsidRDefault="00797CD8" w:rsidP="00EE662D">
      <w:pPr>
        <w:spacing w:before="60"/>
        <w:rPr>
          <w:szCs w:val="22"/>
        </w:rPr>
      </w:pPr>
    </w:p>
    <w:p w:rsidR="00300215" w:rsidRPr="00797CD8" w:rsidRDefault="00EE662D" w:rsidP="00797CD8">
      <w:pPr>
        <w:spacing w:before="60"/>
        <w:rPr>
          <w:szCs w:val="22"/>
        </w:rPr>
      </w:pPr>
      <w:r w:rsidRPr="00EE662D">
        <w:rPr>
          <w:szCs w:val="22"/>
        </w:rPr>
        <w:t xml:space="preserve">The costs of this option are likely to be intermediate between groundwater extraction and ASR. Maximal and pre-commissioning risk assessments and numerical groundwater modelling are required to assess scheme viability and recovery efficiencies and potential negative environmental impacts. </w:t>
      </w:r>
      <w:r w:rsidR="000641F5" w:rsidRPr="0051643C">
        <w:rPr>
          <w:szCs w:val="22"/>
        </w:rPr>
        <w:t>Finding suitable locations for siting shallow bores is a major issue, considering the Coonambidgal and Menindee Formation aquifers are relatively low-yielding compared to the target Calivil Formation aquifer. Also, the presence of a mud veneer and precipitates on the river bed and banks acts as an impediment to bank filtration during low-flow conditions. This would restrict such operations to high-flow river conditions, estimated to occur about 17% of the time</w:t>
      </w:r>
      <w:r w:rsidR="000641F5">
        <w:rPr>
          <w:szCs w:val="22"/>
        </w:rPr>
        <w:t xml:space="preserve">. </w:t>
      </w:r>
      <w:r w:rsidRPr="00EE662D">
        <w:rPr>
          <w:szCs w:val="22"/>
        </w:rPr>
        <w:t>Site access during flooding would be an additional issue with this option.</w:t>
      </w:r>
    </w:p>
    <w:p w:rsidR="00300215" w:rsidRPr="00021090" w:rsidRDefault="00300215" w:rsidP="00021090">
      <w:pPr>
        <w:pStyle w:val="Heading2"/>
        <w:tabs>
          <w:tab w:val="left" w:pos="720"/>
        </w:tabs>
        <w:spacing w:before="320"/>
      </w:pPr>
      <w:bookmarkStart w:id="605" w:name="_Toc325975157"/>
      <w:bookmarkStart w:id="606" w:name="_Toc390690150"/>
      <w:r w:rsidRPr="00021090">
        <w:t xml:space="preserve">Option 3: </w:t>
      </w:r>
      <w:r w:rsidR="00DA40F0">
        <w:t>G</w:t>
      </w:r>
      <w:r w:rsidRPr="008235E1">
        <w:t>roundwater</w:t>
      </w:r>
      <w:r w:rsidR="00DA40F0" w:rsidRPr="00021090">
        <w:t xml:space="preserve"> R</w:t>
      </w:r>
      <w:r w:rsidRPr="00021090">
        <w:t xml:space="preserve">esource </w:t>
      </w:r>
      <w:r w:rsidR="00DA40F0" w:rsidRPr="00021090">
        <w:t>E</w:t>
      </w:r>
      <w:r w:rsidRPr="00EF7E00">
        <w:t>xtraction</w:t>
      </w:r>
      <w:r w:rsidRPr="00021090">
        <w:t>-only</w:t>
      </w:r>
      <w:bookmarkEnd w:id="605"/>
      <w:bookmarkEnd w:id="606"/>
    </w:p>
    <w:p w:rsidR="00EE662D" w:rsidRPr="00EE662D" w:rsidRDefault="00EE662D" w:rsidP="00EE662D">
      <w:pPr>
        <w:spacing w:before="60"/>
        <w:rPr>
          <w:szCs w:val="22"/>
        </w:rPr>
      </w:pPr>
      <w:smartTag w:uri="urn:schemas-microsoft-com:office:smarttags" w:element="PersonName">
        <w:r w:rsidRPr="00EE662D">
          <w:rPr>
            <w:szCs w:val="22"/>
          </w:rPr>
          <w:t>Groundwater</w:t>
        </w:r>
      </w:smartTag>
      <w:r w:rsidRPr="00EE662D">
        <w:rPr>
          <w:szCs w:val="22"/>
        </w:rPr>
        <w:t xml:space="preserve"> extraction would deliver a measure of drought security, and may have lower capital and initial treatment costs than ASR. However, numerical groundwater </w:t>
      </w:r>
      <w:r w:rsidR="00D82AD2">
        <w:rPr>
          <w:szCs w:val="22"/>
        </w:rPr>
        <w:t xml:space="preserve">flow </w:t>
      </w:r>
      <w:r w:rsidRPr="00EE662D">
        <w:rPr>
          <w:szCs w:val="22"/>
        </w:rPr>
        <w:t xml:space="preserve">modelling is required to determine the duration and rates of supply possible from this site, and to assess potential environmental impacts from prolonged extraction during drought conditions. Borefield design and operation would need to be optimised in order to delay the onset of salinity ingress and up-coning, with groundwater </w:t>
      </w:r>
      <w:r w:rsidR="00F40CA2">
        <w:rPr>
          <w:szCs w:val="22"/>
        </w:rPr>
        <w:t xml:space="preserve">flow and solute transport </w:t>
      </w:r>
      <w:r w:rsidRPr="00EE662D">
        <w:rPr>
          <w:szCs w:val="22"/>
        </w:rPr>
        <w:t>modelling required to predict salinisation and exceedances of metals and metalloids with respect to ADWG</w:t>
      </w:r>
      <w:r w:rsidR="00B81A6B">
        <w:rPr>
          <w:szCs w:val="22"/>
        </w:rPr>
        <w:t>2011</w:t>
      </w:r>
      <w:r w:rsidRPr="00EE662D">
        <w:rPr>
          <w:szCs w:val="22"/>
        </w:rPr>
        <w:t xml:space="preserve"> thresholds.</w:t>
      </w:r>
    </w:p>
    <w:p w:rsidR="00300215" w:rsidRDefault="00300215" w:rsidP="00300215"/>
    <w:p w:rsidR="002C21A6" w:rsidRPr="002C21A6" w:rsidRDefault="002C21A6" w:rsidP="002C21A6">
      <w:pPr>
        <w:spacing w:before="60"/>
        <w:rPr>
          <w:szCs w:val="22"/>
        </w:rPr>
      </w:pPr>
      <w:r w:rsidRPr="002C21A6">
        <w:rPr>
          <w:szCs w:val="22"/>
        </w:rPr>
        <w:t xml:space="preserve">The conclusion that recharge to the </w:t>
      </w:r>
      <w:r w:rsidR="00C217F0">
        <w:rPr>
          <w:szCs w:val="22"/>
        </w:rPr>
        <w:t>Calivil Formation</w:t>
      </w:r>
      <w:r w:rsidR="00106292">
        <w:rPr>
          <w:szCs w:val="22"/>
        </w:rPr>
        <w:t xml:space="preserve"> </w:t>
      </w:r>
      <w:r w:rsidRPr="002C21A6">
        <w:rPr>
          <w:szCs w:val="22"/>
        </w:rPr>
        <w:t xml:space="preserve">target aquifer is mainly due to river leakage associated with high flow events (such as major flooding) of the Darling River is important, as by inference, during drought conditions with low river flow the recharge to </w:t>
      </w:r>
      <w:r w:rsidRPr="00106292">
        <w:rPr>
          <w:szCs w:val="22"/>
        </w:rPr>
        <w:t>the aquifer will be negligible</w:t>
      </w:r>
      <w:r w:rsidR="009874F4" w:rsidRPr="00106292">
        <w:rPr>
          <w:szCs w:val="22"/>
        </w:rPr>
        <w:t xml:space="preserve"> (</w:t>
      </w:r>
      <w:r w:rsidR="009874F4" w:rsidRPr="00106292">
        <w:rPr>
          <w:rFonts w:cs="Arial"/>
          <w:szCs w:val="18"/>
        </w:rPr>
        <w:t>Lawrie</w:t>
      </w:r>
      <w:r w:rsidR="008A5F7D" w:rsidRPr="00CF7613">
        <w:rPr>
          <w:rStyle w:val="StyleItalic"/>
        </w:rPr>
        <w:t xml:space="preserve"> et al</w:t>
      </w:r>
      <w:r w:rsidR="009874F4" w:rsidRPr="00106292">
        <w:rPr>
          <w:rFonts w:cs="Arial"/>
          <w:szCs w:val="18"/>
        </w:rPr>
        <w:t>., 2012b</w:t>
      </w:r>
      <w:r w:rsidR="009874F4" w:rsidRPr="00106292">
        <w:rPr>
          <w:szCs w:val="22"/>
        </w:rPr>
        <w:t>)</w:t>
      </w:r>
      <w:r w:rsidRPr="00106292">
        <w:rPr>
          <w:szCs w:val="22"/>
        </w:rPr>
        <w:t>. Hence, there would be limited opportunity for natural replenishment</w:t>
      </w:r>
      <w:r w:rsidRPr="002C21A6">
        <w:rPr>
          <w:szCs w:val="22"/>
        </w:rPr>
        <w:t xml:space="preserve"> whilst the aquifer is being actively pumped as a drought supply. Excessive drawdown during this time can have negative impacts including the potential for:</w:t>
      </w:r>
    </w:p>
    <w:p w:rsidR="002C21A6" w:rsidRPr="006D77C0" w:rsidRDefault="002C21A6" w:rsidP="002C21A6">
      <w:pPr>
        <w:numPr>
          <w:ilvl w:val="0"/>
          <w:numId w:val="33"/>
        </w:numPr>
        <w:spacing w:before="60"/>
        <w:rPr>
          <w:szCs w:val="22"/>
        </w:rPr>
      </w:pPr>
      <w:r w:rsidRPr="006D77C0">
        <w:rPr>
          <w:szCs w:val="22"/>
        </w:rPr>
        <w:t>Migration of brackish to saline groundwater into the fresh zones of the aquifer that are being pumped. This would result in the quality of the Broken Hill source water declining over time. Ingress of groundwater from more saline or reduced zones can also have more specific water quality issues, such as mobilised metals.</w:t>
      </w:r>
    </w:p>
    <w:p w:rsidR="002C21A6" w:rsidRPr="006D77C0" w:rsidRDefault="002C21A6" w:rsidP="002C21A6">
      <w:pPr>
        <w:numPr>
          <w:ilvl w:val="0"/>
          <w:numId w:val="33"/>
        </w:numPr>
        <w:spacing w:before="60"/>
        <w:rPr>
          <w:szCs w:val="22"/>
        </w:rPr>
      </w:pPr>
      <w:r w:rsidRPr="006D77C0">
        <w:rPr>
          <w:szCs w:val="22"/>
        </w:rPr>
        <w:t>Induced leakage from the overlying shallow watertable aquifer, particularly in areas where the intervening Blanchetown Clay is thin (or absent) or relatively sandy. Decline in the watertable may place additional stress on vegetation that access shallow groundwater, particularly during prolonged periods of drought.</w:t>
      </w:r>
    </w:p>
    <w:p w:rsidR="002C21A6" w:rsidRPr="006D77C0" w:rsidRDefault="002C21A6" w:rsidP="002C21A6">
      <w:pPr>
        <w:numPr>
          <w:ilvl w:val="0"/>
          <w:numId w:val="33"/>
        </w:numPr>
        <w:spacing w:before="60"/>
        <w:rPr>
          <w:szCs w:val="22"/>
        </w:rPr>
      </w:pPr>
      <w:r w:rsidRPr="006D77C0">
        <w:rPr>
          <w:szCs w:val="22"/>
        </w:rPr>
        <w:t>Reducing the access to the groundwater resource by existing entitlement holders (such as surrounding stock and domestic bores going dry or saline).</w:t>
      </w:r>
    </w:p>
    <w:p w:rsidR="002C21A6" w:rsidRPr="006D77C0" w:rsidRDefault="002C21A6" w:rsidP="002C21A6">
      <w:pPr>
        <w:numPr>
          <w:ilvl w:val="0"/>
          <w:numId w:val="33"/>
        </w:numPr>
        <w:spacing w:before="60"/>
        <w:rPr>
          <w:szCs w:val="22"/>
        </w:rPr>
      </w:pPr>
      <w:r w:rsidRPr="006D77C0">
        <w:rPr>
          <w:szCs w:val="22"/>
        </w:rPr>
        <w:lastRenderedPageBreak/>
        <w:t>Land subsidence due to dewatering causing compaction of the sediment, particular beds of clay or silt.</w:t>
      </w:r>
    </w:p>
    <w:p w:rsidR="00300215" w:rsidRDefault="002C21A6" w:rsidP="00DA329F">
      <w:pPr>
        <w:numPr>
          <w:ilvl w:val="0"/>
          <w:numId w:val="33"/>
        </w:numPr>
        <w:spacing w:before="60"/>
        <w:rPr>
          <w:szCs w:val="22"/>
        </w:rPr>
      </w:pPr>
      <w:r w:rsidRPr="006D77C0">
        <w:rPr>
          <w:szCs w:val="22"/>
        </w:rPr>
        <w:t>Enhanced river leakage having an impact on stream flow. This is not considered a major management issue as the current Broken Hill supply during these dry times is direct pumping of surface water.</w:t>
      </w:r>
    </w:p>
    <w:p w:rsidR="009874F4" w:rsidRPr="00DA329F" w:rsidRDefault="009874F4" w:rsidP="009874F4">
      <w:pPr>
        <w:spacing w:before="60"/>
        <w:rPr>
          <w:szCs w:val="22"/>
        </w:rPr>
      </w:pPr>
      <w:r>
        <w:rPr>
          <w:szCs w:val="22"/>
        </w:rPr>
        <w:t>Potential impa</w:t>
      </w:r>
      <w:r w:rsidR="00670511">
        <w:rPr>
          <w:szCs w:val="22"/>
        </w:rPr>
        <w:t>cts of groundwater extraction are</w:t>
      </w:r>
      <w:r>
        <w:rPr>
          <w:szCs w:val="22"/>
        </w:rPr>
        <w:t xml:space="preserve"> discussed in </w:t>
      </w:r>
      <w:r w:rsidRPr="00670511">
        <w:rPr>
          <w:szCs w:val="22"/>
        </w:rPr>
        <w:t xml:space="preserve">more detail in </w:t>
      </w:r>
      <w:r w:rsidR="00870E0B" w:rsidRPr="00670511">
        <w:rPr>
          <w:szCs w:val="22"/>
        </w:rPr>
        <w:t>Lawrie</w:t>
      </w:r>
      <w:r w:rsidR="008A5F7D" w:rsidRPr="00CF7613">
        <w:rPr>
          <w:rStyle w:val="StyleItalic"/>
        </w:rPr>
        <w:t xml:space="preserve"> et al</w:t>
      </w:r>
      <w:r w:rsidR="000F7A6F" w:rsidRPr="00670511">
        <w:rPr>
          <w:szCs w:val="22"/>
        </w:rPr>
        <w:t xml:space="preserve">. </w:t>
      </w:r>
      <w:r w:rsidR="00870E0B" w:rsidRPr="00670511">
        <w:rPr>
          <w:szCs w:val="22"/>
        </w:rPr>
        <w:t>(2012b, c</w:t>
      </w:r>
      <w:r w:rsidR="00670511" w:rsidRPr="00670511">
        <w:rPr>
          <w:szCs w:val="22"/>
        </w:rPr>
        <w:t>, d</w:t>
      </w:r>
      <w:r w:rsidR="00870E0B" w:rsidRPr="00670511">
        <w:rPr>
          <w:szCs w:val="22"/>
        </w:rPr>
        <w:t>)</w:t>
      </w:r>
      <w:r w:rsidRPr="00670511">
        <w:rPr>
          <w:szCs w:val="22"/>
        </w:rPr>
        <w:t>.</w:t>
      </w:r>
      <w:r>
        <w:rPr>
          <w:szCs w:val="22"/>
        </w:rPr>
        <w:t xml:space="preserve"> </w:t>
      </w:r>
    </w:p>
    <w:p w:rsidR="002C21A6" w:rsidRPr="00021090" w:rsidRDefault="002C21A6" w:rsidP="00021090">
      <w:pPr>
        <w:pStyle w:val="Heading2"/>
        <w:tabs>
          <w:tab w:val="left" w:pos="720"/>
        </w:tabs>
        <w:spacing w:before="320"/>
      </w:pPr>
      <w:bookmarkStart w:id="607" w:name="_Toc325700129"/>
      <w:bookmarkStart w:id="608" w:name="_Toc325700472"/>
      <w:bookmarkStart w:id="609" w:name="_Toc325975158"/>
      <w:bookmarkStart w:id="610" w:name="_Toc390690151"/>
      <w:r w:rsidRPr="00021090">
        <w:t xml:space="preserve">Flood Risks and Other Issues </w:t>
      </w:r>
      <w:r w:rsidRPr="00EF7E00">
        <w:t>Associated</w:t>
      </w:r>
      <w:r w:rsidRPr="00021090">
        <w:t xml:space="preserve"> with Establishing a </w:t>
      </w:r>
      <w:r w:rsidRPr="008235E1">
        <w:t>Pipeline</w:t>
      </w:r>
      <w:r w:rsidRPr="00021090">
        <w:t xml:space="preserve"> from Jimargil to </w:t>
      </w:r>
      <w:r w:rsidR="00C217F0" w:rsidRPr="00021090">
        <w:t xml:space="preserve">Menindee </w:t>
      </w:r>
      <w:r w:rsidRPr="00021090">
        <w:t>Water Treatment Plant</w:t>
      </w:r>
      <w:bookmarkEnd w:id="607"/>
      <w:bookmarkEnd w:id="608"/>
      <w:bookmarkEnd w:id="609"/>
      <w:bookmarkEnd w:id="610"/>
    </w:p>
    <w:p w:rsidR="000F7A6F" w:rsidRDefault="002C21A6" w:rsidP="002C21A6">
      <w:r>
        <w:t xml:space="preserve">There are a number of potential pipeline routes between a nominal site for a pumping facility located above maximum flood level at East Bootingee and the existing Country Water treatment plant/pumping facility at the eastern margin of </w:t>
      </w:r>
      <w:r w:rsidR="007D1583">
        <w:t>Menindee township</w:t>
      </w:r>
      <w:r>
        <w:t xml:space="preserve">. These routes range from about 14 to 18 km in </w:t>
      </w:r>
      <w:r w:rsidRPr="00795774">
        <w:t>length (</w:t>
      </w:r>
      <w:r w:rsidRPr="00795774">
        <w:fldChar w:fldCharType="begin"/>
      </w:r>
      <w:r w:rsidRPr="00795774">
        <w:instrText xml:space="preserve"> REF _Ref325708745 \h </w:instrText>
      </w:r>
      <w:r w:rsidR="00795774" w:rsidRPr="00795774">
        <w:instrText xml:space="preserve"> \* MERGEFORMAT </w:instrText>
      </w:r>
      <w:r w:rsidRPr="00795774">
        <w:fldChar w:fldCharType="separate"/>
      </w:r>
      <w:r w:rsidR="00966532" w:rsidRPr="00966532">
        <w:t xml:space="preserve">Figure </w:t>
      </w:r>
      <w:r w:rsidR="00966532" w:rsidRPr="00966532">
        <w:rPr>
          <w:noProof/>
        </w:rPr>
        <w:t>8</w:t>
      </w:r>
      <w:r w:rsidR="00966532" w:rsidRPr="00966532">
        <w:rPr>
          <w:noProof/>
        </w:rPr>
        <w:noBreakHyphen/>
        <w:t>15</w:t>
      </w:r>
      <w:r w:rsidRPr="00795774">
        <w:fldChar w:fldCharType="end"/>
      </w:r>
      <w:r w:rsidRPr="00795774">
        <w:t>)</w:t>
      </w:r>
      <w:r>
        <w:t xml:space="preserve"> and pose a variety of potential issues with respect to channel crossings, flood risk, and roads and infrastructure crossings, as discussed below. The </w:t>
      </w:r>
      <w:smartTag w:uri="urn:schemas-microsoft-com:office:smarttags" w:element="place">
        <w:r>
          <w:t>Darling River</w:t>
        </w:r>
      </w:smartTag>
      <w:r>
        <w:t xml:space="preserve"> must be crossed and all the routes assume that the railway bridge, conveniently located just downstream from the water treatment plant, provides the most convenient and cheapest option. Alternatively, the pipeline could utilise the road bridge and then follow </w:t>
      </w:r>
      <w:r w:rsidRPr="00E823BA">
        <w:t xml:space="preserve">a floodplain route south of </w:t>
      </w:r>
      <w:r w:rsidR="00C217F0">
        <w:t xml:space="preserve">Menindee </w:t>
      </w:r>
      <w:r w:rsidRPr="00E823BA">
        <w:t>across the railway li</w:t>
      </w:r>
      <w:r w:rsidR="00E57182">
        <w:t xml:space="preserve">ne to the </w:t>
      </w:r>
      <w:r w:rsidR="00C92364">
        <w:t>w</w:t>
      </w:r>
      <w:r w:rsidR="00E57182">
        <w:t xml:space="preserve">ater treatment plant. </w:t>
      </w:r>
    </w:p>
    <w:p w:rsidR="000F7A6F" w:rsidRDefault="000F7A6F" w:rsidP="002C21A6"/>
    <w:p w:rsidR="002C21A6" w:rsidRPr="00795774" w:rsidRDefault="002C21A6" w:rsidP="002C21A6">
      <w:r>
        <w:t>All routes must also cross Talyawalka Creek and Charlie Stones Creek. The latter is a relatively narrow but deeply incised flood channel connected to both the Darling and Talyawalka main channels by relatively low sills and floods commonly. There are no bridges across Charlie Stones Creek.</w:t>
      </w:r>
      <w:r w:rsidR="000F7A6F">
        <w:t xml:space="preserve"> The</w:t>
      </w:r>
      <w:r>
        <w:t xml:space="preserve"> </w:t>
      </w:r>
      <w:smartTag w:uri="urn:schemas-microsoft-com:office:smarttags" w:element="place">
        <w:r>
          <w:t>Darling River</w:t>
        </w:r>
      </w:smartTag>
      <w:r>
        <w:t xml:space="preserve">, Talyawalka </w:t>
      </w:r>
      <w:r w:rsidR="000F7A6F">
        <w:t xml:space="preserve">Creek and Charlie Stones Creek </w:t>
      </w:r>
      <w:r>
        <w:t xml:space="preserve">will </w:t>
      </w:r>
      <w:r w:rsidR="000F7A6F">
        <w:t xml:space="preserve">all </w:t>
      </w:r>
      <w:r>
        <w:t xml:space="preserve">contain flows whenever the Darling system is at moderate to high channel flood levels. This will require the pipeline to bridge these channels at a level higher than the maximum flood level. The highest flood levels in the </w:t>
      </w:r>
      <w:r w:rsidRPr="00795774">
        <w:t>Darling system can inundate the whole flood plain and within the valley only the aeolian sand landforms (</w:t>
      </w:r>
      <w:r w:rsidRPr="00795774">
        <w:fldChar w:fldCharType="begin"/>
      </w:r>
      <w:r w:rsidRPr="00795774">
        <w:instrText xml:space="preserve"> REF _Ref325708745 \h </w:instrText>
      </w:r>
      <w:r w:rsidR="00795774" w:rsidRPr="00795774">
        <w:instrText xml:space="preserve"> \* MERGEFORMAT </w:instrText>
      </w:r>
      <w:r w:rsidRPr="00795774">
        <w:fldChar w:fldCharType="separate"/>
      </w:r>
      <w:r w:rsidR="00966532" w:rsidRPr="00966532">
        <w:t xml:space="preserve">Figure </w:t>
      </w:r>
      <w:r w:rsidR="00966532" w:rsidRPr="00966532">
        <w:rPr>
          <w:noProof/>
        </w:rPr>
        <w:t>8</w:t>
      </w:r>
      <w:r w:rsidR="00966532" w:rsidRPr="00966532">
        <w:rPr>
          <w:noProof/>
        </w:rPr>
        <w:noBreakHyphen/>
        <w:t>15</w:t>
      </w:r>
      <w:r w:rsidRPr="00795774">
        <w:fldChar w:fldCharType="end"/>
      </w:r>
      <w:r w:rsidRPr="00795774">
        <w:t xml:space="preserve">) are always above maximum flood level. The chosen routes are designed to maximise the distance above flood level but all routes cross sections of the </w:t>
      </w:r>
      <w:r w:rsidRPr="00670511">
        <w:t xml:space="preserve">flood plain with an inherent flood risk. </w:t>
      </w:r>
      <w:r w:rsidR="009874F4" w:rsidRPr="00670511">
        <w:t>Potential flood inundation mapping (Lawrie</w:t>
      </w:r>
      <w:r w:rsidR="008A5F7D" w:rsidRPr="00CF7613">
        <w:rPr>
          <w:rStyle w:val="StyleItalic"/>
        </w:rPr>
        <w:t xml:space="preserve"> et al</w:t>
      </w:r>
      <w:r w:rsidR="009874F4" w:rsidRPr="00CF7613">
        <w:rPr>
          <w:rStyle w:val="StyleItalic"/>
        </w:rPr>
        <w:t>.,</w:t>
      </w:r>
      <w:r w:rsidR="009874F4" w:rsidRPr="00670511">
        <w:t xml:space="preserve"> 2012</w:t>
      </w:r>
      <w:r w:rsidR="00670511" w:rsidRPr="00670511">
        <w:t xml:space="preserve">a, </w:t>
      </w:r>
      <w:r w:rsidR="00870E0B" w:rsidRPr="00670511">
        <w:t>b, c</w:t>
      </w:r>
      <w:r w:rsidR="009874F4" w:rsidRPr="00670511">
        <w:t>) was also used in the analysis pipeline route suitability.</w:t>
      </w:r>
      <w:r w:rsidR="009874F4">
        <w:t xml:space="preserve"> </w:t>
      </w:r>
    </w:p>
    <w:p w:rsidR="002C21A6" w:rsidRPr="00795774" w:rsidRDefault="002C21A6" w:rsidP="002C21A6"/>
    <w:p w:rsidR="002C21A6" w:rsidRDefault="009874F4" w:rsidP="002C21A6">
      <w:r w:rsidRPr="00670511">
        <w:t xml:space="preserve">The advantages and disadvantages of these routes are discussed in </w:t>
      </w:r>
      <w:r w:rsidRPr="00670511">
        <w:rPr>
          <w:rFonts w:cs="Arial"/>
          <w:szCs w:val="18"/>
        </w:rPr>
        <w:t>Lawrie</w:t>
      </w:r>
      <w:r w:rsidR="008A5F7D" w:rsidRPr="00CF7613">
        <w:rPr>
          <w:rStyle w:val="StyleItalic"/>
        </w:rPr>
        <w:t xml:space="preserve"> et al</w:t>
      </w:r>
      <w:r w:rsidRPr="00670511">
        <w:rPr>
          <w:rFonts w:cs="Arial"/>
          <w:szCs w:val="18"/>
        </w:rPr>
        <w:t>. (2012c).</w:t>
      </w:r>
      <w:r>
        <w:rPr>
          <w:rFonts w:cs="Arial"/>
          <w:szCs w:val="18"/>
        </w:rPr>
        <w:t xml:space="preserve"> </w:t>
      </w:r>
      <w:r w:rsidR="002C21A6" w:rsidRPr="00795774">
        <w:fldChar w:fldCharType="begin"/>
      </w:r>
      <w:r w:rsidR="002C21A6" w:rsidRPr="00795774">
        <w:instrText xml:space="preserve"> REF _Ref325708745 \h </w:instrText>
      </w:r>
      <w:r w:rsidR="00795774" w:rsidRPr="00795774">
        <w:instrText xml:space="preserve"> \* MERGEFORMAT </w:instrText>
      </w:r>
      <w:r w:rsidR="002C21A6" w:rsidRPr="00795774">
        <w:fldChar w:fldCharType="separate"/>
      </w:r>
      <w:r w:rsidR="00966532" w:rsidRPr="00966532">
        <w:t xml:space="preserve">Figure </w:t>
      </w:r>
      <w:r w:rsidR="00966532" w:rsidRPr="00966532">
        <w:rPr>
          <w:noProof/>
        </w:rPr>
        <w:t>8</w:t>
      </w:r>
      <w:r w:rsidR="00966532" w:rsidRPr="00966532">
        <w:rPr>
          <w:noProof/>
        </w:rPr>
        <w:noBreakHyphen/>
        <w:t>15</w:t>
      </w:r>
      <w:r w:rsidR="002C21A6" w:rsidRPr="00795774">
        <w:fldChar w:fldCharType="end"/>
      </w:r>
      <w:r w:rsidR="002C21A6" w:rsidRPr="00795774">
        <w:t xml:space="preserve"> also sho</w:t>
      </w:r>
      <w:r w:rsidR="002C21A6" w:rsidRPr="00E823BA">
        <w:t>ws</w:t>
      </w:r>
      <w:r w:rsidR="002C21A6">
        <w:t xml:space="preserve"> the possible pipeline routes superimposed on </w:t>
      </w:r>
      <w:r w:rsidR="000F7A6F">
        <w:t xml:space="preserve">water depths at </w:t>
      </w:r>
      <w:r w:rsidR="002C21A6">
        <w:t>the highest known flood level (~8 m at Weir 32 in 1976). At the highest known flood level, flood risk extends to considerable lengths of the pipeline routes.</w:t>
      </w:r>
    </w:p>
    <w:p w:rsidR="002C21A6" w:rsidRPr="00021090" w:rsidRDefault="002C21A6" w:rsidP="00021090">
      <w:pPr>
        <w:pStyle w:val="Heading2"/>
        <w:tabs>
          <w:tab w:val="left" w:pos="720"/>
        </w:tabs>
        <w:spacing w:before="320"/>
      </w:pPr>
      <w:bookmarkStart w:id="611" w:name="_Toc325700130"/>
      <w:bookmarkStart w:id="612" w:name="_Toc325700473"/>
      <w:bookmarkStart w:id="613" w:name="_Toc325975159"/>
      <w:bookmarkStart w:id="614" w:name="_Toc390690152"/>
      <w:r w:rsidRPr="00EF7E00">
        <w:t>Potential</w:t>
      </w:r>
      <w:r w:rsidRPr="00021090">
        <w:t xml:space="preserve"> Cultural and Heritage Issues Associated with Future </w:t>
      </w:r>
      <w:r w:rsidRPr="008235E1">
        <w:t>Borefield</w:t>
      </w:r>
      <w:r w:rsidRPr="00021090">
        <w:t xml:space="preserve"> Development and Pipeline Routes</w:t>
      </w:r>
      <w:bookmarkEnd w:id="611"/>
      <w:bookmarkEnd w:id="612"/>
      <w:bookmarkEnd w:id="613"/>
      <w:bookmarkEnd w:id="614"/>
    </w:p>
    <w:p w:rsidR="002C21A6" w:rsidRDefault="002C21A6" w:rsidP="002C21A6">
      <w:r>
        <w:t>The Darling valley landscape is rich in cultural heritage materials especially adjacent to lakes, channels and billabongs. Sites can vary from large high-value, complex, multi-person and long-duration camp sites to lower-value small sites representing transitory occupation. The former sites are typically restricted to zones directly adjacent to water sources and can include burials, hearths, middens, flaked artefact scatters and grindstones in various combinations. The smaller scattered sites typically consist of hearths and/or scattered flaked- or ground-stone artefacts. These sites are rarely preserved on floodplain surfaces, due to disturbance or burial by flood processes, but are common in aeolian terrain especially where exposed by deflation.</w:t>
      </w:r>
    </w:p>
    <w:p w:rsidR="002C21A6" w:rsidRDefault="002C21A6" w:rsidP="002C21A6"/>
    <w:p w:rsidR="002C21A6" w:rsidRDefault="002C21A6" w:rsidP="002C21A6">
      <w:r>
        <w:t xml:space="preserve">The proposed </w:t>
      </w:r>
      <w:r w:rsidRPr="00525C2A">
        <w:t xml:space="preserve">bore field is an irregular shape extending over about 12 km from the southern part of Appin Station to the southern boundary of GWR1 on Wanda Station. Most of the bore field occurs on floodplain and aeolian landform elements east of the Darling River tract but the northern part extends across the Talyawalka scroll plain and the western boundary extends across the </w:t>
      </w:r>
      <w:smartTag w:uri="urn:schemas-microsoft-com:office:smarttags" w:element="place">
        <w:r w:rsidRPr="00525C2A">
          <w:t>Darling River</w:t>
        </w:r>
      </w:smartTag>
      <w:r w:rsidRPr="00525C2A">
        <w:t xml:space="preserve"> and Talyawalka-anabranch scroll plains. </w:t>
      </w:r>
    </w:p>
    <w:p w:rsidR="002C21A6" w:rsidRDefault="002C21A6" w:rsidP="002C21A6"/>
    <w:p w:rsidR="002C21A6" w:rsidRDefault="002C21A6" w:rsidP="002C21A6">
      <w:r>
        <w:t xml:space="preserve">Potential </w:t>
      </w:r>
      <w:r w:rsidRPr="00525C2A">
        <w:t xml:space="preserve">bores </w:t>
      </w:r>
      <w:r>
        <w:t>sited in the north of the bore</w:t>
      </w:r>
      <w:r w:rsidRPr="00525C2A">
        <w:t>field area are located on upper floodplain or at the upper floodplain/lower floodplain boundary. These bores are unlikely t</w:t>
      </w:r>
      <w:r>
        <w:t xml:space="preserve">o have heritage issues but may </w:t>
      </w:r>
      <w:r w:rsidRPr="00525C2A">
        <w:t xml:space="preserve">be subject to flooding at the highest level. Five bores are located on an area of longitudinal dunefield just west of the Darling River in the vicinity of </w:t>
      </w:r>
      <w:smartTag w:uri="urn:schemas-microsoft-com:office:smarttags" w:element="place">
        <w:r w:rsidRPr="00525C2A">
          <w:t>East Bootingee</w:t>
        </w:r>
      </w:smartTag>
      <w:r>
        <w:t xml:space="preserve"> homestead. </w:t>
      </w:r>
      <w:r w:rsidRPr="00525C2A">
        <w:t xml:space="preserve">These bores have a high probability of cultural </w:t>
      </w:r>
      <w:r w:rsidRPr="00525C2A">
        <w:lastRenderedPageBreak/>
        <w:t>heritage issues but will not be flooded, thou</w:t>
      </w:r>
      <w:r>
        <w:t>gh access to them will be flood-</w:t>
      </w:r>
      <w:r w:rsidRPr="00525C2A">
        <w:t>affected. In the southern part of the borefield</w:t>
      </w:r>
      <w:r>
        <w:t>,</w:t>
      </w:r>
      <w:r w:rsidRPr="00525C2A">
        <w:t xml:space="preserve"> a group of more closely spaced bores are located on upper and lower floodplain elements which are characterised by patches of hummocky dunes. There is a low potential for cultural heritage issues except for one bore located close to the River and any bores on hummocky dunes. These bores may be impacted by high</w:t>
      </w:r>
      <w:r>
        <w:t>est</w:t>
      </w:r>
      <w:r w:rsidRPr="00525C2A">
        <w:t>-level floods.</w:t>
      </w:r>
    </w:p>
    <w:p w:rsidR="002C21A6" w:rsidRDefault="002C21A6" w:rsidP="002C21A6"/>
    <w:p w:rsidR="00AC6A5E" w:rsidRDefault="002C21A6" w:rsidP="002C21A6">
      <w:r>
        <w:t xml:space="preserve">The pipeline routes are mostly far enough away from the </w:t>
      </w:r>
      <w:r w:rsidRPr="00795774">
        <w:t>active channels to avoid the high-value complex cultural heritage sites. Possible exceptions are where route-section A (</w:t>
      </w:r>
      <w:r w:rsidRPr="00795774">
        <w:fldChar w:fldCharType="begin"/>
      </w:r>
      <w:r w:rsidRPr="00795774">
        <w:instrText xml:space="preserve"> REF _Ref325708745 \h </w:instrText>
      </w:r>
      <w:r w:rsidR="00795774" w:rsidRPr="00795774">
        <w:instrText xml:space="preserve"> \* MERGEFORMAT </w:instrText>
      </w:r>
      <w:r w:rsidRPr="00795774">
        <w:fldChar w:fldCharType="separate"/>
      </w:r>
      <w:r w:rsidR="00966532" w:rsidRPr="00966532">
        <w:t xml:space="preserve">Figure </w:t>
      </w:r>
      <w:r w:rsidR="00966532" w:rsidRPr="00966532">
        <w:rPr>
          <w:noProof/>
        </w:rPr>
        <w:t>8</w:t>
      </w:r>
      <w:r w:rsidR="00966532" w:rsidRPr="00966532">
        <w:rPr>
          <w:noProof/>
        </w:rPr>
        <w:noBreakHyphen/>
        <w:t>15</w:t>
      </w:r>
      <w:r w:rsidRPr="00795774">
        <w:fldChar w:fldCharType="end"/>
      </w:r>
      <w:r w:rsidRPr="00795774">
        <w:t>) lies just E of the Darling River and where route sections cross the Darling River, Charlie Stones Creek (1 and 3 in</w:t>
      </w:r>
      <w:r w:rsidR="00A6797D" w:rsidRPr="00795774">
        <w:t xml:space="preserve"> </w:t>
      </w:r>
      <w:r w:rsidRPr="00795774">
        <w:fldChar w:fldCharType="begin"/>
      </w:r>
      <w:r w:rsidRPr="00795774">
        <w:instrText xml:space="preserve"> REF _Ref325708745 \h </w:instrText>
      </w:r>
      <w:r w:rsidR="00795774" w:rsidRPr="00795774">
        <w:instrText xml:space="preserve"> \* MERGEFORMAT </w:instrText>
      </w:r>
      <w:r w:rsidRPr="00795774">
        <w:fldChar w:fldCharType="separate"/>
      </w:r>
      <w:r w:rsidR="00966532" w:rsidRPr="00966532">
        <w:t xml:space="preserve">Figure </w:t>
      </w:r>
      <w:r w:rsidR="00966532" w:rsidRPr="00966532">
        <w:rPr>
          <w:noProof/>
        </w:rPr>
        <w:t>8</w:t>
      </w:r>
      <w:r w:rsidR="00966532" w:rsidRPr="00966532">
        <w:rPr>
          <w:noProof/>
        </w:rPr>
        <w:noBreakHyphen/>
        <w:t>15</w:t>
      </w:r>
      <w:r w:rsidRPr="00795774">
        <w:fldChar w:fldCharType="end"/>
      </w:r>
      <w:r w:rsidRPr="00795774">
        <w:t xml:space="preserve">) or the Talyawalka Creek (1 and 5 in </w:t>
      </w:r>
      <w:r w:rsidRPr="00795774">
        <w:fldChar w:fldCharType="begin"/>
      </w:r>
      <w:r w:rsidRPr="00795774">
        <w:instrText xml:space="preserve"> REF _Ref325642490 \h </w:instrText>
      </w:r>
      <w:r w:rsidR="00795774" w:rsidRPr="00795774">
        <w:instrText xml:space="preserve"> \* MERGEFORMAT </w:instrText>
      </w:r>
      <w:r w:rsidRPr="00795774">
        <w:fldChar w:fldCharType="separate"/>
      </w:r>
      <w:r w:rsidR="00966532" w:rsidRPr="00966532">
        <w:t xml:space="preserve">Figure </w:t>
      </w:r>
      <w:r w:rsidR="00966532" w:rsidRPr="00966532">
        <w:rPr>
          <w:noProof/>
        </w:rPr>
        <w:t>1</w:t>
      </w:r>
      <w:r w:rsidR="00966532" w:rsidRPr="00966532">
        <w:rPr>
          <w:noProof/>
        </w:rPr>
        <w:noBreakHyphen/>
        <w:t>1</w:t>
      </w:r>
      <w:r w:rsidRPr="00795774">
        <w:fldChar w:fldCharType="end"/>
      </w:r>
      <w:r w:rsidRPr="00795774">
        <w:t>). Elsewhere, especially on aeolian terrain the pipeline route(s) will require careful cultural heritage surveying prior to any activities, as is necessary for any other proposed</w:t>
      </w:r>
      <w:r>
        <w:t xml:space="preserve"> infrastructure construction project. Ground disturbance in the pipeline corridor during construction is likely to be the main threat to cultural heritage sites. Some minor route modification, pipeline pylon relocation or salvage archaeology may be required to deal with individual threatened sites.</w:t>
      </w:r>
      <w:r w:rsidR="00870E0B">
        <w:t xml:space="preserve"> </w:t>
      </w:r>
      <w:r w:rsidR="00670511">
        <w:t>C</w:t>
      </w:r>
      <w:r w:rsidR="00AC6A5E">
        <w:t xml:space="preserve">ultural heritage issues </w:t>
      </w:r>
      <w:r w:rsidR="00670511">
        <w:t>are</w:t>
      </w:r>
      <w:r w:rsidR="00AC6A5E">
        <w:t xml:space="preserve"> </w:t>
      </w:r>
      <w:r w:rsidR="00670511">
        <w:t xml:space="preserve">discussed in greater depth </w:t>
      </w:r>
      <w:r w:rsidR="00AC6A5E">
        <w:t xml:space="preserve">in </w:t>
      </w:r>
      <w:r w:rsidR="00B03359">
        <w:t>Appendix 15 (</w:t>
      </w:r>
      <w:r w:rsidR="00670511">
        <w:t>Magee</w:t>
      </w:r>
      <w:r w:rsidR="008A5F7D" w:rsidRPr="00CF7613">
        <w:rPr>
          <w:rStyle w:val="StyleItalic"/>
        </w:rPr>
        <w:t xml:space="preserve"> et al</w:t>
      </w:r>
      <w:r w:rsidR="00670511">
        <w:t>.</w:t>
      </w:r>
      <w:r w:rsidR="00B03359">
        <w:t>,</w:t>
      </w:r>
      <w:r w:rsidR="00670511">
        <w:t xml:space="preserve"> 2012</w:t>
      </w:r>
      <w:r w:rsidR="00670511" w:rsidRPr="00670511">
        <w:t xml:space="preserve">), and </w:t>
      </w:r>
      <w:r w:rsidR="00AC6A5E" w:rsidRPr="00670511">
        <w:rPr>
          <w:rFonts w:cs="Arial"/>
          <w:szCs w:val="18"/>
        </w:rPr>
        <w:t>Lawrie</w:t>
      </w:r>
      <w:r w:rsidR="008A5F7D" w:rsidRPr="00CF7613">
        <w:rPr>
          <w:rStyle w:val="StyleItalic"/>
        </w:rPr>
        <w:t xml:space="preserve"> et al</w:t>
      </w:r>
      <w:r w:rsidR="00AC6A5E" w:rsidRPr="00670511">
        <w:rPr>
          <w:rFonts w:cs="Arial"/>
          <w:szCs w:val="18"/>
        </w:rPr>
        <w:t>. (2012</w:t>
      </w:r>
      <w:r w:rsidR="00A75725" w:rsidRPr="00670511">
        <w:rPr>
          <w:rFonts w:cs="Arial"/>
          <w:szCs w:val="18"/>
        </w:rPr>
        <w:t xml:space="preserve">c, </w:t>
      </w:r>
      <w:r w:rsidR="00AC6A5E" w:rsidRPr="00670511">
        <w:rPr>
          <w:rFonts w:cs="Arial"/>
          <w:szCs w:val="18"/>
        </w:rPr>
        <w:t>d).</w:t>
      </w:r>
    </w:p>
    <w:p w:rsidR="00EE662D" w:rsidRPr="00021090" w:rsidRDefault="00795774" w:rsidP="00021090">
      <w:pPr>
        <w:pStyle w:val="Heading2"/>
        <w:tabs>
          <w:tab w:val="left" w:pos="720"/>
        </w:tabs>
        <w:spacing w:before="320"/>
      </w:pPr>
      <w:bookmarkStart w:id="615" w:name="_Toc325975160"/>
      <w:bookmarkStart w:id="616" w:name="_Toc390690153"/>
      <w:r w:rsidRPr="00021090">
        <w:t>Securing Broken H</w:t>
      </w:r>
      <w:r w:rsidR="002C21A6" w:rsidRPr="00021090">
        <w:t xml:space="preserve">ill’s </w:t>
      </w:r>
      <w:r w:rsidRPr="00021090">
        <w:t>Water Su</w:t>
      </w:r>
      <w:r w:rsidR="002C21A6" w:rsidRPr="00021090">
        <w:t xml:space="preserve">pply: </w:t>
      </w:r>
      <w:r w:rsidRPr="00021090">
        <w:t>Summary of O</w:t>
      </w:r>
      <w:r w:rsidR="002C21A6" w:rsidRPr="00021090">
        <w:t>ptions</w:t>
      </w:r>
      <w:bookmarkEnd w:id="615"/>
      <w:bookmarkEnd w:id="616"/>
    </w:p>
    <w:p w:rsidR="00EE662D" w:rsidRPr="00EE662D" w:rsidRDefault="00EE662D" w:rsidP="00EE662D">
      <w:r w:rsidRPr="00EE662D">
        <w:t xml:space="preserve">Overall, the conjunctive management of surface and groundwater involving MAR options at the Jimargil site would provide the greatest drought security for Broken Hill. MAR options are far superior to existing surface storage options, with security of supply of a known quantity of high and consistent water quality from underground storage. High recovery efficiencies will be obtained by injecting fresh surface water into areas of the </w:t>
      </w:r>
      <w:r w:rsidR="00C217F0">
        <w:t>Calivil Formation</w:t>
      </w:r>
      <w:r w:rsidRPr="00EE662D">
        <w:t xml:space="preserve"> containing low salinity groundwater. The ASR option would provide a significant buffer against future climate variability and change, deliver significant water savings, improve source water quality over time, have minimal environmental impact, preserve some local water amenities for community use, and enable key elements of the engineered </w:t>
      </w:r>
      <w:smartTag w:uri="urn:schemas-microsoft-com:office:smarttags" w:element="stockticker">
        <w:r w:rsidRPr="00EE662D">
          <w:t>MLS</w:t>
        </w:r>
      </w:smartTag>
      <w:r w:rsidRPr="00EE662D">
        <w:t xml:space="preserve"> to be returned to a more natural condition.</w:t>
      </w:r>
    </w:p>
    <w:p w:rsidR="00EE662D" w:rsidRDefault="00EE662D" w:rsidP="00EE662D"/>
    <w:p w:rsidR="00EE662D" w:rsidRPr="00EE662D" w:rsidRDefault="00EE662D" w:rsidP="00EE662D">
      <w:r w:rsidRPr="00EE662D">
        <w:t xml:space="preserve">Back-up sites which rely on utilisation of the </w:t>
      </w:r>
      <w:r w:rsidR="00C217F0">
        <w:t>Calivil Formation</w:t>
      </w:r>
      <w:r w:rsidRPr="00EE662D">
        <w:t xml:space="preserve"> aquifer have also been identified beneath </w:t>
      </w:r>
      <w:smartTag w:uri="urn:schemas-microsoft-com:office:smarttags" w:element="place">
        <w:smartTag w:uri="urn:schemas-microsoft-com:office:smarttags" w:element="PlaceType">
          <w:r w:rsidR="00C217F0">
            <w:t>Lake</w:t>
          </w:r>
        </w:smartTag>
        <w:r w:rsidR="00C217F0">
          <w:t xml:space="preserve"> </w:t>
        </w:r>
        <w:smartTag w:uri="urn:schemas-microsoft-com:office:smarttags" w:element="PlaceName">
          <w:r w:rsidR="00C217F0">
            <w:t>Menindee</w:t>
          </w:r>
        </w:smartTag>
      </w:smartTag>
      <w:r w:rsidRPr="00EE662D">
        <w:t xml:space="preserve"> (infiltration basin, ASR or groundwater extraction), at Larloona Station (groundwater extraction) and at Kinchega National Park (ASR).</w:t>
      </w:r>
    </w:p>
    <w:p w:rsidR="00EE662D" w:rsidRDefault="00EE662D" w:rsidP="00EE662D"/>
    <w:p w:rsidR="003B3C54" w:rsidRPr="00EE662D" w:rsidRDefault="003B3C54" w:rsidP="003B3C54">
      <w:r w:rsidRPr="00EE662D">
        <w:t xml:space="preserve">A shift to a reliance on groundwater-related options during drought would provide significant water quality benefits for the </w:t>
      </w:r>
      <w:smartTag w:uri="urn:schemas-microsoft-com:office:smarttags" w:element="place">
        <w:r w:rsidRPr="00EE662D">
          <w:t>Darling River</w:t>
        </w:r>
      </w:smartTag>
      <w:r w:rsidRPr="00EE662D">
        <w:t xml:space="preserve"> system</w:t>
      </w:r>
      <w:r>
        <w:t xml:space="preserve"> and water supplies for Broken Hill and Menindee during drought periods, while enabling</w:t>
      </w:r>
      <w:r w:rsidRPr="00EE662D">
        <w:t xml:space="preserve"> changes to the MLS that would provide </w:t>
      </w:r>
      <w:r>
        <w:t>substantial water savings</w:t>
      </w:r>
      <w:r w:rsidRPr="00EE662D">
        <w:t>. Th</w:t>
      </w:r>
      <w:r>
        <w:t xml:space="preserve">is would have significant </w:t>
      </w:r>
      <w:r w:rsidRPr="00EE662D">
        <w:t xml:space="preserve">downstream benefits </w:t>
      </w:r>
      <w:r>
        <w:t xml:space="preserve">in dry years </w:t>
      </w:r>
      <w:r w:rsidRPr="00EE662D">
        <w:t>includ</w:t>
      </w:r>
      <w:r>
        <w:t xml:space="preserve">ing </w:t>
      </w:r>
      <w:r w:rsidRPr="00EE662D">
        <w:t xml:space="preserve">increased flows in the lower reaches of the Darling and Murray Rivers, </w:t>
      </w:r>
      <w:r>
        <w:t xml:space="preserve">reduced </w:t>
      </w:r>
      <w:r w:rsidRPr="00EE662D">
        <w:t>South Australian water restrictions, and improved allocations in the Lower Darling and Victoria (Podger, 2011).</w:t>
      </w:r>
    </w:p>
    <w:p w:rsidR="00EE662D" w:rsidRPr="00EE662D" w:rsidRDefault="00EE662D" w:rsidP="00EE662D"/>
    <w:p w:rsidR="003D4A0F" w:rsidRDefault="003D4A0F" w:rsidP="00035877"/>
    <w:p w:rsidR="00035877" w:rsidRPr="00533011" w:rsidRDefault="00035877" w:rsidP="003764CE">
      <w:pPr>
        <w:spacing w:after="60"/>
      </w:pPr>
      <w:r>
        <w:br w:type="page"/>
      </w:r>
      <w:r w:rsidR="00706A3B">
        <w:rPr>
          <w:noProof/>
        </w:rPr>
        <w:lastRenderedPageBreak/>
        <w:drawing>
          <wp:inline distT="0" distB="0" distL="0" distR="0" wp14:anchorId="0D969B3E" wp14:editId="65CE614E">
            <wp:extent cx="5795010" cy="7570470"/>
            <wp:effectExtent l="19050" t="1905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5010" cy="7570470"/>
                    </a:xfrm>
                    <a:prstGeom prst="rect">
                      <a:avLst/>
                    </a:prstGeom>
                    <a:noFill/>
                    <a:ln w="6350" cmpd="sng">
                      <a:solidFill>
                        <a:srgbClr val="000000"/>
                      </a:solidFill>
                      <a:miter lim="800000"/>
                      <a:headEnd/>
                      <a:tailEnd/>
                    </a:ln>
                    <a:effectLst/>
                  </pic:spPr>
                </pic:pic>
              </a:graphicData>
            </a:graphic>
          </wp:inline>
        </w:drawing>
      </w:r>
    </w:p>
    <w:p w:rsidR="00035877" w:rsidRPr="00E862A3" w:rsidRDefault="001741E7" w:rsidP="00FE37F2">
      <w:pPr>
        <w:pStyle w:val="Caption"/>
        <w:rPr>
          <w:szCs w:val="22"/>
        </w:rPr>
      </w:pPr>
      <w:bookmarkStart w:id="617" w:name="_Ref325708745"/>
      <w:r w:rsidRPr="000F7173">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8</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15</w:t>
      </w:r>
      <w:r w:rsidR="00A23C59">
        <w:rPr>
          <w:b/>
        </w:rPr>
        <w:fldChar w:fldCharType="end"/>
      </w:r>
      <w:bookmarkEnd w:id="617"/>
      <w:r w:rsidRPr="000F7173">
        <w:rPr>
          <w:b/>
        </w:rPr>
        <w:t xml:space="preserve">. </w:t>
      </w:r>
      <w:r w:rsidR="000F7A6F" w:rsidRPr="000F7173">
        <w:rPr>
          <w:szCs w:val="20"/>
        </w:rPr>
        <w:t>P</w:t>
      </w:r>
      <w:r w:rsidR="00035877" w:rsidRPr="000F7173">
        <w:rPr>
          <w:szCs w:val="20"/>
        </w:rPr>
        <w:t xml:space="preserve">otential borefields at </w:t>
      </w:r>
      <w:r w:rsidR="000F7A6F" w:rsidRPr="000F7173">
        <w:rPr>
          <w:szCs w:val="20"/>
        </w:rPr>
        <w:t xml:space="preserve">the </w:t>
      </w:r>
      <w:r w:rsidR="008C2768" w:rsidRPr="000F7173">
        <w:rPr>
          <w:szCs w:val="20"/>
        </w:rPr>
        <w:t>Jimargil</w:t>
      </w:r>
      <w:r w:rsidR="00035877" w:rsidRPr="000F7173">
        <w:rPr>
          <w:szCs w:val="20"/>
        </w:rPr>
        <w:t xml:space="preserve"> (EB-J-W)</w:t>
      </w:r>
      <w:r w:rsidR="000F7A6F" w:rsidRPr="000F7173">
        <w:rPr>
          <w:szCs w:val="20"/>
        </w:rPr>
        <w:t xml:space="preserve"> site</w:t>
      </w:r>
      <w:r w:rsidR="00035877" w:rsidRPr="000F7173">
        <w:rPr>
          <w:szCs w:val="20"/>
        </w:rPr>
        <w:t xml:space="preserve">, showing locations of potential ASR or </w:t>
      </w:r>
      <w:r w:rsidR="00035877" w:rsidRPr="000F7173">
        <w:rPr>
          <w:i w:val="0"/>
          <w:szCs w:val="20"/>
        </w:rPr>
        <w:t>groundw</w:t>
      </w:r>
      <w:r w:rsidR="001E1E35" w:rsidRPr="000F7173">
        <w:rPr>
          <w:i w:val="0"/>
          <w:szCs w:val="20"/>
        </w:rPr>
        <w:t>ater</w:t>
      </w:r>
      <w:r w:rsidR="00035877" w:rsidRPr="000F7173">
        <w:rPr>
          <w:szCs w:val="20"/>
        </w:rPr>
        <w:t xml:space="preserve"> extraction-only bores relative to predicted </w:t>
      </w:r>
      <w:r w:rsidR="000F7A6F" w:rsidRPr="000F7173">
        <w:rPr>
          <w:szCs w:val="20"/>
        </w:rPr>
        <w:t>water depth at maximum recorded flood levels</w:t>
      </w:r>
      <w:r w:rsidR="00035877" w:rsidRPr="000F7173">
        <w:rPr>
          <w:szCs w:val="20"/>
        </w:rPr>
        <w:t>.</w:t>
      </w:r>
      <w:r w:rsidR="00BE08AB" w:rsidRPr="000F7173">
        <w:rPr>
          <w:bCs w:val="0"/>
          <w:i w:val="0"/>
        </w:rPr>
        <w:t xml:space="preserve"> </w:t>
      </w:r>
      <w:r w:rsidR="00BE08AB" w:rsidRPr="000F7173">
        <w:rPr>
          <w:bCs w:val="0"/>
          <w:i w:val="0"/>
        </w:rPr>
        <w:fldChar w:fldCharType="begin"/>
      </w:r>
      <w:r w:rsidR="00BE08AB" w:rsidRPr="000F7173">
        <w:rPr>
          <w:bCs w:val="0"/>
          <w:i w:val="0"/>
        </w:rPr>
        <w:instrText xml:space="preserve"> TC "</w:instrText>
      </w:r>
      <w:bookmarkStart w:id="618" w:name="_Toc325975249"/>
      <w:bookmarkStart w:id="619" w:name="_Toc390690268"/>
      <w:r w:rsidR="00DD5B97" w:rsidRPr="000F7173">
        <w:rPr>
          <w:bCs w:val="0"/>
          <w:i w:val="0"/>
        </w:rPr>
        <w:instrText xml:space="preserve">Figure </w:instrText>
      </w:r>
      <w:r w:rsidR="000D653B">
        <w:rPr>
          <w:bCs w:val="0"/>
          <w:i w:val="0"/>
        </w:rPr>
        <w:instrText>8-1</w:instrText>
      </w:r>
      <w:r w:rsidR="00153AFF" w:rsidRPr="000F7173">
        <w:rPr>
          <w:bCs w:val="0"/>
          <w:i w:val="0"/>
        </w:rPr>
        <w:instrText>5</w:instrText>
      </w:r>
      <w:r w:rsidR="00DE0DFA" w:rsidRPr="000F7173">
        <w:rPr>
          <w:bCs w:val="0"/>
          <w:i w:val="0"/>
        </w:rPr>
        <w:instrText>.</w:instrText>
      </w:r>
      <w:r w:rsidR="00BE08AB" w:rsidRPr="000F7173">
        <w:rPr>
          <w:bCs w:val="0"/>
          <w:i w:val="0"/>
        </w:rPr>
        <w:instrText xml:space="preserve"> </w:instrText>
      </w:r>
      <w:r w:rsidR="000F7A6F" w:rsidRPr="000F7173">
        <w:rPr>
          <w:i w:val="0"/>
          <w:szCs w:val="20"/>
        </w:rPr>
        <w:instrText>Potential borefields at the Jimargil (EB-J-W) site, showing locations of potential ASR or groundwater extraction-only bores relative to predicted water depth at maximum recorded flood level</w:instrText>
      </w:r>
      <w:bookmarkEnd w:id="618"/>
      <w:r w:rsidR="000F7A6F" w:rsidRPr="000F7173">
        <w:rPr>
          <w:i w:val="0"/>
          <w:szCs w:val="20"/>
        </w:rPr>
        <w:instrText>s.</w:instrText>
      </w:r>
      <w:bookmarkEnd w:id="619"/>
      <w:r w:rsidR="00BE08AB" w:rsidRPr="000F7173">
        <w:rPr>
          <w:bCs w:val="0"/>
          <w:i w:val="0"/>
        </w:rPr>
        <w:instrText xml:space="preserve">" \f A \l “4” </w:instrText>
      </w:r>
      <w:r w:rsidR="00BE08AB" w:rsidRPr="000F7173">
        <w:rPr>
          <w:bCs w:val="0"/>
          <w:i w:val="0"/>
        </w:rPr>
        <w:fldChar w:fldCharType="end"/>
      </w:r>
    </w:p>
    <w:p w:rsidR="00035877" w:rsidRDefault="00035877" w:rsidP="00035877">
      <w:pPr>
        <w:rPr>
          <w:b/>
        </w:rPr>
      </w:pPr>
    </w:p>
    <w:p w:rsidR="00E9008C" w:rsidRPr="00470E90" w:rsidRDefault="00E9008C" w:rsidP="00E9008C"/>
    <w:p w:rsidR="00035877" w:rsidRDefault="00F32C95" w:rsidP="00DD022A">
      <w:pPr>
        <w:pStyle w:val="Heading1"/>
        <w:tabs>
          <w:tab w:val="clear" w:pos="360"/>
          <w:tab w:val="num" w:pos="720"/>
        </w:tabs>
        <w:ind w:left="720" w:hanging="720"/>
      </w:pPr>
      <w:r>
        <w:br w:type="page"/>
      </w:r>
      <w:bookmarkStart w:id="620" w:name="_Toc325700132"/>
      <w:bookmarkStart w:id="621" w:name="_Toc325700475"/>
      <w:bookmarkStart w:id="622" w:name="_Toc325975161"/>
      <w:bookmarkStart w:id="623" w:name="_Toc390690154"/>
      <w:r w:rsidR="00E9008C">
        <w:lastRenderedPageBreak/>
        <w:t>Alternative Sites and Options to Secure Broken Hill’s Water Supply</w:t>
      </w:r>
      <w:bookmarkEnd w:id="620"/>
      <w:bookmarkEnd w:id="621"/>
      <w:bookmarkEnd w:id="622"/>
      <w:bookmarkEnd w:id="623"/>
    </w:p>
    <w:p w:rsidR="008A4901" w:rsidRPr="00670511" w:rsidRDefault="008A4901" w:rsidP="008A4901">
      <w:pPr>
        <w:tabs>
          <w:tab w:val="num" w:pos="482"/>
        </w:tabs>
        <w:rPr>
          <w:szCs w:val="22"/>
        </w:rPr>
      </w:pPr>
      <w:r>
        <w:rPr>
          <w:szCs w:val="22"/>
        </w:rPr>
        <w:t xml:space="preserve">In Phase 1 of the BHMAR project, attention was focussed primarily on </w:t>
      </w:r>
      <w:r w:rsidR="00191C71">
        <w:rPr>
          <w:szCs w:val="22"/>
        </w:rPr>
        <w:t xml:space="preserve">assessing MAR and groundwater </w:t>
      </w:r>
      <w:r w:rsidR="00191C71" w:rsidRPr="00670511">
        <w:rPr>
          <w:szCs w:val="22"/>
        </w:rPr>
        <w:t xml:space="preserve">extraction </w:t>
      </w:r>
      <w:r w:rsidRPr="00670511">
        <w:rPr>
          <w:szCs w:val="22"/>
        </w:rPr>
        <w:t xml:space="preserve">options within the </w:t>
      </w:r>
      <w:r w:rsidR="00191C71" w:rsidRPr="00670511">
        <w:rPr>
          <w:szCs w:val="22"/>
        </w:rPr>
        <w:t xml:space="preserve">Darling Floodplain, as well as </w:t>
      </w:r>
      <w:r w:rsidRPr="00670511">
        <w:rPr>
          <w:szCs w:val="22"/>
        </w:rPr>
        <w:t>alluvial fan systems</w:t>
      </w:r>
      <w:r w:rsidR="00191C71" w:rsidRPr="00670511">
        <w:rPr>
          <w:szCs w:val="22"/>
        </w:rPr>
        <w:t xml:space="preserve"> at Mundi</w:t>
      </w:r>
      <w:r w:rsidR="007C45E4">
        <w:rPr>
          <w:szCs w:val="22"/>
        </w:rPr>
        <w:t>-</w:t>
      </w:r>
      <w:r w:rsidR="00191C71" w:rsidRPr="00670511">
        <w:rPr>
          <w:szCs w:val="22"/>
        </w:rPr>
        <w:t>Mundi west of Broken Hill</w:t>
      </w:r>
      <w:r w:rsidRPr="00670511">
        <w:rPr>
          <w:szCs w:val="22"/>
        </w:rPr>
        <w:t xml:space="preserve">, </w:t>
      </w:r>
      <w:r w:rsidR="00191C71" w:rsidRPr="00670511">
        <w:rPr>
          <w:szCs w:val="22"/>
        </w:rPr>
        <w:t xml:space="preserve">fluvial systems at </w:t>
      </w:r>
      <w:smartTag w:uri="urn:schemas-microsoft-com:office:smarttags" w:element="place">
        <w:smartTag w:uri="urn:schemas-microsoft-com:office:smarttags" w:element="PlaceName">
          <w:r w:rsidR="00191C71" w:rsidRPr="00670511">
            <w:rPr>
              <w:szCs w:val="22"/>
            </w:rPr>
            <w:t>Stephens</w:t>
          </w:r>
        </w:smartTag>
        <w:r w:rsidR="00191C71" w:rsidRPr="00670511">
          <w:rPr>
            <w:szCs w:val="22"/>
          </w:rPr>
          <w:t xml:space="preserve"> </w:t>
        </w:r>
        <w:smartTag w:uri="urn:schemas-microsoft-com:office:smarttags" w:element="PlaceName">
          <w:r w:rsidR="00191C71" w:rsidRPr="00670511">
            <w:rPr>
              <w:szCs w:val="22"/>
            </w:rPr>
            <w:t>Creek</w:t>
          </w:r>
        </w:smartTag>
      </w:smartTag>
      <w:r w:rsidR="00191C71" w:rsidRPr="00670511">
        <w:rPr>
          <w:szCs w:val="22"/>
        </w:rPr>
        <w:t xml:space="preserve">, </w:t>
      </w:r>
      <w:r w:rsidRPr="00670511">
        <w:rPr>
          <w:szCs w:val="22"/>
        </w:rPr>
        <w:t>and capture of groundwater seepage from existing reservoirs</w:t>
      </w:r>
      <w:r w:rsidR="00191C71" w:rsidRPr="00670511">
        <w:rPr>
          <w:szCs w:val="22"/>
        </w:rPr>
        <w:t xml:space="preserve"> near Broken Hill (</w:t>
      </w:r>
      <w:r w:rsidR="009D7B6E" w:rsidRPr="00670511">
        <w:rPr>
          <w:szCs w:val="22"/>
        </w:rPr>
        <w:t>Lawrie</w:t>
      </w:r>
      <w:r w:rsidR="008A5F7D" w:rsidRPr="00CF7613">
        <w:rPr>
          <w:rStyle w:val="StyleItalic"/>
        </w:rPr>
        <w:t xml:space="preserve"> et al</w:t>
      </w:r>
      <w:r w:rsidR="00001EDC" w:rsidRPr="00670511">
        <w:rPr>
          <w:szCs w:val="22"/>
        </w:rPr>
        <w:t>., 2009</w:t>
      </w:r>
      <w:r w:rsidR="00670511" w:rsidRPr="00670511">
        <w:rPr>
          <w:szCs w:val="22"/>
        </w:rPr>
        <w:t>a</w:t>
      </w:r>
      <w:r w:rsidR="00191C71" w:rsidRPr="00670511">
        <w:rPr>
          <w:szCs w:val="22"/>
        </w:rPr>
        <w:t>)</w:t>
      </w:r>
      <w:r w:rsidRPr="00670511">
        <w:rPr>
          <w:szCs w:val="22"/>
        </w:rPr>
        <w:t>.</w:t>
      </w:r>
      <w:r w:rsidR="00191C71" w:rsidRPr="00670511">
        <w:rPr>
          <w:szCs w:val="22"/>
        </w:rPr>
        <w:t xml:space="preserve"> Only the options identified in the Darling Floodplain were assessed positively (</w:t>
      </w:r>
      <w:r w:rsidR="009D7B6E" w:rsidRPr="00670511">
        <w:rPr>
          <w:szCs w:val="22"/>
        </w:rPr>
        <w:t>Lawrie</w:t>
      </w:r>
      <w:r w:rsidR="008A5F7D" w:rsidRPr="00CF7613">
        <w:rPr>
          <w:rStyle w:val="StyleItalic"/>
        </w:rPr>
        <w:t xml:space="preserve"> et al</w:t>
      </w:r>
      <w:r w:rsidR="009D7B6E" w:rsidRPr="00CF7613">
        <w:rPr>
          <w:rStyle w:val="StyleItalic"/>
        </w:rPr>
        <w:t>.,</w:t>
      </w:r>
      <w:r w:rsidR="009D7B6E" w:rsidRPr="00670511">
        <w:rPr>
          <w:szCs w:val="22"/>
        </w:rPr>
        <w:t xml:space="preserve"> 2009</w:t>
      </w:r>
      <w:r w:rsidR="00670511" w:rsidRPr="00670511">
        <w:rPr>
          <w:szCs w:val="22"/>
        </w:rPr>
        <w:t>a</w:t>
      </w:r>
      <w:r w:rsidR="00191C71" w:rsidRPr="00670511">
        <w:rPr>
          <w:szCs w:val="22"/>
        </w:rPr>
        <w:t>).</w:t>
      </w:r>
    </w:p>
    <w:p w:rsidR="008A4901" w:rsidRPr="00670511" w:rsidRDefault="008A4901" w:rsidP="008A4901">
      <w:pPr>
        <w:tabs>
          <w:tab w:val="num" w:pos="482"/>
        </w:tabs>
        <w:rPr>
          <w:szCs w:val="22"/>
        </w:rPr>
      </w:pPr>
    </w:p>
    <w:p w:rsidR="008A4901" w:rsidRPr="00B666A8" w:rsidRDefault="008A4901" w:rsidP="008A4901">
      <w:pPr>
        <w:tabs>
          <w:tab w:val="num" w:pos="482"/>
        </w:tabs>
        <w:rPr>
          <w:szCs w:val="22"/>
        </w:rPr>
      </w:pPr>
      <w:r w:rsidRPr="00670511">
        <w:rPr>
          <w:szCs w:val="22"/>
        </w:rPr>
        <w:t xml:space="preserve">In Phase 2 of the project, investigations </w:t>
      </w:r>
      <w:r w:rsidR="00191C71" w:rsidRPr="00670511">
        <w:rPr>
          <w:szCs w:val="22"/>
        </w:rPr>
        <w:t xml:space="preserve">to secure Broken Hill’s water supply </w:t>
      </w:r>
      <w:r w:rsidRPr="00670511">
        <w:rPr>
          <w:szCs w:val="22"/>
        </w:rPr>
        <w:t>focussed on assessing a</w:t>
      </w:r>
      <w:r w:rsidR="00E9008C" w:rsidRPr="00670511">
        <w:rPr>
          <w:szCs w:val="22"/>
        </w:rPr>
        <w:t xml:space="preserve"> number of </w:t>
      </w:r>
      <w:r w:rsidR="00E04B4B" w:rsidRPr="00670511">
        <w:rPr>
          <w:szCs w:val="22"/>
        </w:rPr>
        <w:t xml:space="preserve">groundwater-related </w:t>
      </w:r>
      <w:r w:rsidR="00E9008C" w:rsidRPr="00670511">
        <w:rPr>
          <w:szCs w:val="22"/>
        </w:rPr>
        <w:t xml:space="preserve">options </w:t>
      </w:r>
      <w:r w:rsidRPr="00670511">
        <w:rPr>
          <w:szCs w:val="22"/>
        </w:rPr>
        <w:t xml:space="preserve">and sites </w:t>
      </w:r>
      <w:r w:rsidR="00E9008C" w:rsidRPr="00670511">
        <w:rPr>
          <w:szCs w:val="22"/>
        </w:rPr>
        <w:t>within a 20-40</w:t>
      </w:r>
      <w:r w:rsidR="006748C2">
        <w:rPr>
          <w:szCs w:val="22"/>
        </w:rPr>
        <w:t xml:space="preserve"> </w:t>
      </w:r>
      <w:r w:rsidR="00E9008C" w:rsidRPr="00670511">
        <w:rPr>
          <w:szCs w:val="22"/>
        </w:rPr>
        <w:t xml:space="preserve">km radius of </w:t>
      </w:r>
      <w:r w:rsidR="00C217F0">
        <w:rPr>
          <w:szCs w:val="22"/>
        </w:rPr>
        <w:t xml:space="preserve">Menindee </w:t>
      </w:r>
      <w:r w:rsidR="00E9008C" w:rsidRPr="00670511">
        <w:rPr>
          <w:szCs w:val="22"/>
        </w:rPr>
        <w:t>(</w:t>
      </w:r>
      <w:r w:rsidR="009D7B6E" w:rsidRPr="00670511">
        <w:rPr>
          <w:szCs w:val="22"/>
        </w:rPr>
        <w:t>Lawrie</w:t>
      </w:r>
      <w:r w:rsidR="008A5F7D" w:rsidRPr="00CF7613">
        <w:rPr>
          <w:rStyle w:val="StyleItalic"/>
        </w:rPr>
        <w:t xml:space="preserve"> et al</w:t>
      </w:r>
      <w:r w:rsidR="009D7B6E" w:rsidRPr="00670511">
        <w:rPr>
          <w:szCs w:val="22"/>
        </w:rPr>
        <w:t>., 2010a</w:t>
      </w:r>
      <w:r w:rsidR="00E9008C" w:rsidRPr="00670511">
        <w:rPr>
          <w:szCs w:val="22"/>
        </w:rPr>
        <w:t xml:space="preserve">, 2011). </w:t>
      </w:r>
      <w:r w:rsidR="00E04B4B" w:rsidRPr="00670511">
        <w:rPr>
          <w:szCs w:val="22"/>
        </w:rPr>
        <w:t>This</w:t>
      </w:r>
      <w:r w:rsidRPr="00670511">
        <w:rPr>
          <w:szCs w:val="22"/>
        </w:rPr>
        <w:t xml:space="preserve"> </w:t>
      </w:r>
      <w:r w:rsidR="00E04B4B" w:rsidRPr="00670511">
        <w:rPr>
          <w:szCs w:val="22"/>
        </w:rPr>
        <w:t xml:space="preserve">included assessments of </w:t>
      </w:r>
      <w:r w:rsidRPr="00670511">
        <w:rPr>
          <w:szCs w:val="22"/>
        </w:rPr>
        <w:t xml:space="preserve">groundwater </w:t>
      </w:r>
      <w:r w:rsidR="00E04B4B" w:rsidRPr="00670511">
        <w:rPr>
          <w:szCs w:val="22"/>
        </w:rPr>
        <w:t>extraction and MAR options utilising shallow unconfined aquifers (</w:t>
      </w:r>
      <w:r w:rsidR="00C217F0">
        <w:rPr>
          <w:szCs w:val="22"/>
        </w:rPr>
        <w:t>Coonambidgal Formation</w:t>
      </w:r>
      <w:r w:rsidR="00E04B4B" w:rsidRPr="00670511">
        <w:rPr>
          <w:szCs w:val="22"/>
        </w:rPr>
        <w:t xml:space="preserve"> and </w:t>
      </w:r>
      <w:r w:rsidR="00C217F0">
        <w:rPr>
          <w:szCs w:val="22"/>
        </w:rPr>
        <w:t>Menindee Formation</w:t>
      </w:r>
      <w:r w:rsidR="00832DFE" w:rsidRPr="00670511">
        <w:rPr>
          <w:szCs w:val="22"/>
        </w:rPr>
        <w:t>,</w:t>
      </w:r>
      <w:r w:rsidR="00E04B4B" w:rsidRPr="00670511">
        <w:rPr>
          <w:szCs w:val="22"/>
        </w:rPr>
        <w:t xml:space="preserve"> and </w:t>
      </w:r>
      <w:r w:rsidR="00B32F4D">
        <w:rPr>
          <w:szCs w:val="22"/>
        </w:rPr>
        <w:t>Willotia bed</w:t>
      </w:r>
      <w:r w:rsidR="00CB7EA6">
        <w:rPr>
          <w:szCs w:val="22"/>
        </w:rPr>
        <w:t>s</w:t>
      </w:r>
      <w:r w:rsidR="00E04B4B" w:rsidRPr="00670511">
        <w:rPr>
          <w:szCs w:val="22"/>
        </w:rPr>
        <w:t xml:space="preserve">), </w:t>
      </w:r>
      <w:r w:rsidRPr="00670511">
        <w:rPr>
          <w:szCs w:val="22"/>
        </w:rPr>
        <w:t>semi-confined Pliocene aquifers (</w:t>
      </w:r>
      <w:r w:rsidR="00C217F0">
        <w:rPr>
          <w:szCs w:val="22"/>
        </w:rPr>
        <w:t>Calivil Formation</w:t>
      </w:r>
      <w:r w:rsidRPr="00670511">
        <w:rPr>
          <w:szCs w:val="22"/>
        </w:rPr>
        <w:t xml:space="preserve"> and Loxton-Parilla Sands),</w:t>
      </w:r>
      <w:r>
        <w:rPr>
          <w:szCs w:val="22"/>
        </w:rPr>
        <w:t xml:space="preserve"> </w:t>
      </w:r>
      <w:r w:rsidR="00191C71">
        <w:rPr>
          <w:szCs w:val="22"/>
        </w:rPr>
        <w:t xml:space="preserve">and </w:t>
      </w:r>
      <w:r>
        <w:rPr>
          <w:szCs w:val="22"/>
        </w:rPr>
        <w:t xml:space="preserve">confined Upper and Middle </w:t>
      </w:r>
      <w:r w:rsidR="00C217F0">
        <w:rPr>
          <w:szCs w:val="22"/>
        </w:rPr>
        <w:t>Renmark Group</w:t>
      </w:r>
      <w:r>
        <w:rPr>
          <w:szCs w:val="22"/>
        </w:rPr>
        <w:t xml:space="preserve"> aquifers</w:t>
      </w:r>
      <w:r w:rsidR="00191C71">
        <w:rPr>
          <w:szCs w:val="22"/>
        </w:rPr>
        <w:t>.</w:t>
      </w:r>
      <w:r>
        <w:rPr>
          <w:szCs w:val="22"/>
        </w:rPr>
        <w:t xml:space="preserve"> </w:t>
      </w:r>
    </w:p>
    <w:p w:rsidR="00E04B4B" w:rsidRDefault="00E04B4B" w:rsidP="00035877">
      <w:pPr>
        <w:rPr>
          <w:szCs w:val="22"/>
        </w:rPr>
      </w:pPr>
    </w:p>
    <w:p w:rsidR="00035877" w:rsidRDefault="00E04B4B" w:rsidP="00035877">
      <w:pPr>
        <w:rPr>
          <w:szCs w:val="22"/>
        </w:rPr>
      </w:pPr>
      <w:r w:rsidRPr="00106292">
        <w:rPr>
          <w:szCs w:val="22"/>
        </w:rPr>
        <w:t>MAR r</w:t>
      </w:r>
      <w:r w:rsidR="00E9008C" w:rsidRPr="00106292">
        <w:rPr>
          <w:szCs w:val="22"/>
        </w:rPr>
        <w:t xml:space="preserve">isk assessments carried out on a number of sites </w:t>
      </w:r>
      <w:r w:rsidRPr="00106292">
        <w:rPr>
          <w:szCs w:val="22"/>
        </w:rPr>
        <w:t>within 40</w:t>
      </w:r>
      <w:r w:rsidR="006748C2">
        <w:rPr>
          <w:szCs w:val="22"/>
        </w:rPr>
        <w:t xml:space="preserve"> </w:t>
      </w:r>
      <w:r w:rsidRPr="00106292">
        <w:rPr>
          <w:szCs w:val="22"/>
        </w:rPr>
        <w:t xml:space="preserve">km of </w:t>
      </w:r>
      <w:r w:rsidR="00C217F0">
        <w:rPr>
          <w:szCs w:val="22"/>
        </w:rPr>
        <w:t xml:space="preserve">Menindee </w:t>
      </w:r>
      <w:r w:rsidR="00E9008C" w:rsidRPr="00106292">
        <w:rPr>
          <w:szCs w:val="22"/>
        </w:rPr>
        <w:t xml:space="preserve">were unfavourable, due to a combination of scientific and technical </w:t>
      </w:r>
      <w:r w:rsidR="00191C71" w:rsidRPr="00106292">
        <w:rPr>
          <w:szCs w:val="22"/>
        </w:rPr>
        <w:t xml:space="preserve">and </w:t>
      </w:r>
      <w:r w:rsidR="00E9008C" w:rsidRPr="00106292">
        <w:rPr>
          <w:szCs w:val="22"/>
        </w:rPr>
        <w:t>reasons (Lawrie</w:t>
      </w:r>
      <w:r w:rsidR="008A5F7D" w:rsidRPr="00CF7613">
        <w:rPr>
          <w:rStyle w:val="StyleItalic"/>
        </w:rPr>
        <w:t xml:space="preserve"> et al</w:t>
      </w:r>
      <w:r w:rsidR="00E9008C" w:rsidRPr="00CF7613">
        <w:rPr>
          <w:rStyle w:val="StyleItalic"/>
        </w:rPr>
        <w:t>.,</w:t>
      </w:r>
      <w:r w:rsidR="00E9008C" w:rsidRPr="00106292">
        <w:rPr>
          <w:szCs w:val="22"/>
        </w:rPr>
        <w:t xml:space="preserve"> 2012c</w:t>
      </w:r>
      <w:r w:rsidR="00106292" w:rsidRPr="00106292">
        <w:rPr>
          <w:szCs w:val="22"/>
        </w:rPr>
        <w:t>, d</w:t>
      </w:r>
      <w:r w:rsidR="00E9008C" w:rsidRPr="00106292">
        <w:rPr>
          <w:szCs w:val="22"/>
        </w:rPr>
        <w:t xml:space="preserve">). The sites ruled out include </w:t>
      </w:r>
      <w:r w:rsidR="00C217F0">
        <w:rPr>
          <w:szCs w:val="22"/>
        </w:rPr>
        <w:t xml:space="preserve">Menindee </w:t>
      </w:r>
      <w:r w:rsidR="00E9008C" w:rsidRPr="00106292">
        <w:rPr>
          <w:szCs w:val="22"/>
        </w:rPr>
        <w:t xml:space="preserve">Common, Appin Station, South and Central </w:t>
      </w:r>
      <w:r w:rsidR="00C217F0">
        <w:rPr>
          <w:szCs w:val="22"/>
        </w:rPr>
        <w:t>Lake Menindee</w:t>
      </w:r>
      <w:r w:rsidR="00E9008C" w:rsidRPr="00106292">
        <w:rPr>
          <w:szCs w:val="22"/>
        </w:rPr>
        <w:t>,</w:t>
      </w:r>
      <w:r w:rsidRPr="00106292">
        <w:rPr>
          <w:szCs w:val="22"/>
        </w:rPr>
        <w:t xml:space="preserve"> </w:t>
      </w:r>
      <w:smartTag w:uri="urn:schemas-microsoft-com:office:smarttags" w:element="PlaceType">
        <w:r w:rsidRPr="00106292">
          <w:rPr>
            <w:szCs w:val="22"/>
          </w:rPr>
          <w:t>Lake</w:t>
        </w:r>
      </w:smartTag>
      <w:r w:rsidRPr="00106292">
        <w:rPr>
          <w:szCs w:val="22"/>
        </w:rPr>
        <w:t xml:space="preserve"> </w:t>
      </w:r>
      <w:smartTag w:uri="urn:schemas-microsoft-com:office:smarttags" w:element="PlaceName">
        <w:r w:rsidRPr="00106292">
          <w:rPr>
            <w:szCs w:val="22"/>
          </w:rPr>
          <w:t>Wetherell</w:t>
        </w:r>
      </w:smartTag>
      <w:r w:rsidRPr="00106292">
        <w:rPr>
          <w:szCs w:val="22"/>
        </w:rPr>
        <w:t xml:space="preserve"> and </w:t>
      </w:r>
      <w:smartTag w:uri="urn:schemas-microsoft-com:office:smarttags" w:element="place">
        <w:r w:rsidRPr="00106292">
          <w:rPr>
            <w:szCs w:val="22"/>
          </w:rPr>
          <w:t>Eastern Larloona</w:t>
        </w:r>
      </w:smartTag>
      <w:r w:rsidRPr="00106292">
        <w:rPr>
          <w:szCs w:val="22"/>
        </w:rPr>
        <w:t>.</w:t>
      </w:r>
      <w:r w:rsidR="00E9008C">
        <w:rPr>
          <w:szCs w:val="22"/>
        </w:rPr>
        <w:t xml:space="preserve"> Three sites were however assessed favourably, although these were ranked lower than the J</w:t>
      </w:r>
      <w:r w:rsidR="00191C71">
        <w:rPr>
          <w:szCs w:val="22"/>
        </w:rPr>
        <w:t xml:space="preserve">imargil site for scientific, </w:t>
      </w:r>
      <w:r w:rsidR="00E9008C">
        <w:rPr>
          <w:szCs w:val="22"/>
        </w:rPr>
        <w:t xml:space="preserve">technical </w:t>
      </w:r>
      <w:r w:rsidR="00191C71">
        <w:rPr>
          <w:szCs w:val="22"/>
        </w:rPr>
        <w:t xml:space="preserve">and logistic </w:t>
      </w:r>
      <w:r w:rsidR="00E9008C">
        <w:rPr>
          <w:szCs w:val="22"/>
        </w:rPr>
        <w:t>reasons. As the Jimargil site was prioritised at an early stage in investigations, some of these potential alternative target sites have undergone li</w:t>
      </w:r>
      <w:r w:rsidR="00191C71">
        <w:rPr>
          <w:szCs w:val="22"/>
        </w:rPr>
        <w:t xml:space="preserve">mited scientific investigation. MAR assessments at these sites have only progressed to Stage 2 </w:t>
      </w:r>
      <w:r w:rsidR="00E9008C">
        <w:rPr>
          <w:szCs w:val="22"/>
        </w:rPr>
        <w:t>entry-leve</w:t>
      </w:r>
      <w:r w:rsidR="00191C71">
        <w:rPr>
          <w:szCs w:val="22"/>
        </w:rPr>
        <w:t>l</w:t>
      </w:r>
      <w:r w:rsidR="00E9008C">
        <w:rPr>
          <w:szCs w:val="22"/>
        </w:rPr>
        <w:t xml:space="preserve"> degree of difficulty assessments. The </w:t>
      </w:r>
      <w:r w:rsidR="00191C71">
        <w:rPr>
          <w:szCs w:val="22"/>
        </w:rPr>
        <w:t xml:space="preserve">three </w:t>
      </w:r>
      <w:r w:rsidR="00E9008C">
        <w:rPr>
          <w:szCs w:val="22"/>
        </w:rPr>
        <w:t xml:space="preserve">sites </w:t>
      </w:r>
      <w:r w:rsidR="00191C71">
        <w:rPr>
          <w:szCs w:val="22"/>
        </w:rPr>
        <w:t>should only be considered as alternatives to the Jimargil site</w:t>
      </w:r>
      <w:r w:rsidR="00E9008C">
        <w:rPr>
          <w:szCs w:val="22"/>
        </w:rPr>
        <w:t xml:space="preserve"> should problems arise with operationalising the </w:t>
      </w:r>
      <w:r w:rsidR="00191C71">
        <w:rPr>
          <w:szCs w:val="22"/>
        </w:rPr>
        <w:t>latter</w:t>
      </w:r>
      <w:r w:rsidR="00E9008C">
        <w:rPr>
          <w:szCs w:val="22"/>
        </w:rPr>
        <w:t xml:space="preserve">. </w:t>
      </w:r>
      <w:r w:rsidR="00191C71">
        <w:rPr>
          <w:szCs w:val="22"/>
        </w:rPr>
        <w:t>However, all three sites</w:t>
      </w:r>
      <w:r w:rsidR="00E9008C">
        <w:rPr>
          <w:szCs w:val="22"/>
        </w:rPr>
        <w:t xml:space="preserve"> may also be considered as </w:t>
      </w:r>
      <w:r w:rsidR="00403AB0">
        <w:rPr>
          <w:szCs w:val="22"/>
        </w:rPr>
        <w:t xml:space="preserve">potential </w:t>
      </w:r>
      <w:r w:rsidR="00E9008C">
        <w:rPr>
          <w:szCs w:val="22"/>
        </w:rPr>
        <w:t xml:space="preserve">options to provide enhanced drought security for </w:t>
      </w:r>
      <w:r w:rsidR="00C217F0">
        <w:rPr>
          <w:szCs w:val="22"/>
        </w:rPr>
        <w:t xml:space="preserve">Menindee </w:t>
      </w:r>
      <w:r w:rsidR="00E9008C">
        <w:rPr>
          <w:szCs w:val="22"/>
        </w:rPr>
        <w:t xml:space="preserve">and local industries (e.g. agriculture and mining). </w:t>
      </w:r>
    </w:p>
    <w:p w:rsidR="00001EDC" w:rsidRPr="00021090" w:rsidRDefault="00001EDC" w:rsidP="00021090">
      <w:pPr>
        <w:pStyle w:val="Heading2"/>
        <w:tabs>
          <w:tab w:val="left" w:pos="720"/>
        </w:tabs>
        <w:spacing w:before="320"/>
      </w:pPr>
      <w:bookmarkStart w:id="624" w:name="_Toc325700133"/>
      <w:bookmarkStart w:id="625" w:name="_Toc325700476"/>
      <w:bookmarkStart w:id="626" w:name="_Toc325975162"/>
      <w:bookmarkStart w:id="627" w:name="_Toc390690155"/>
      <w:r w:rsidRPr="00021090">
        <w:t xml:space="preserve">Priority Site 2: Northern </w:t>
      </w:r>
      <w:smartTag w:uri="urn:schemas-microsoft-com:office:smarttags" w:element="place">
        <w:smartTag w:uri="urn:schemas-microsoft-com:office:smarttags" w:element="PlaceType">
          <w:r w:rsidR="00C217F0" w:rsidRPr="00021090">
            <w:t>Lake</w:t>
          </w:r>
        </w:smartTag>
        <w:r w:rsidR="00C217F0" w:rsidRPr="00021090">
          <w:t xml:space="preserve"> </w:t>
        </w:r>
        <w:smartTag w:uri="urn:schemas-microsoft-com:office:smarttags" w:element="PlaceName">
          <w:r w:rsidR="00C217F0" w:rsidRPr="00021090">
            <w:t>Menindee</w:t>
          </w:r>
        </w:smartTag>
      </w:smartTag>
      <w:bookmarkEnd w:id="624"/>
      <w:bookmarkEnd w:id="625"/>
      <w:bookmarkEnd w:id="626"/>
      <w:bookmarkEnd w:id="627"/>
      <w:r w:rsidRPr="00021090">
        <w:t xml:space="preserve"> </w:t>
      </w:r>
    </w:p>
    <w:p w:rsidR="00001EDC" w:rsidRPr="00795774" w:rsidRDefault="00001EDC" w:rsidP="00001EDC">
      <w:pPr>
        <w:rPr>
          <w:szCs w:val="22"/>
        </w:rPr>
      </w:pPr>
      <w:r w:rsidRPr="00106292">
        <w:rPr>
          <w:szCs w:val="22"/>
        </w:rPr>
        <w:t xml:space="preserve">The proposed borefield site is located within the GWR2 groundwater </w:t>
      </w:r>
      <w:r w:rsidRPr="00106292">
        <w:t>target (</w:t>
      </w:r>
      <w:r w:rsidR="000B4790" w:rsidRPr="00106292">
        <w:fldChar w:fldCharType="begin"/>
      </w:r>
      <w:r w:rsidR="000B4790" w:rsidRPr="00106292">
        <w:instrText xml:space="preserve"> REF _Ref325912820 \h  \* MERGEFORMAT </w:instrText>
      </w:r>
      <w:r w:rsidR="000B4790" w:rsidRPr="00106292">
        <w:fldChar w:fldCharType="separate"/>
      </w:r>
      <w:r w:rsidR="00966532" w:rsidRPr="00966532">
        <w:t xml:space="preserve">Figure </w:t>
      </w:r>
      <w:r w:rsidR="00966532" w:rsidRPr="00966532">
        <w:rPr>
          <w:noProof/>
        </w:rPr>
        <w:t>9</w:t>
      </w:r>
      <w:r w:rsidR="00966532" w:rsidRPr="00966532">
        <w:rPr>
          <w:noProof/>
        </w:rPr>
        <w:noBreakHyphen/>
        <w:t>1</w:t>
      </w:r>
      <w:r w:rsidR="000B4790" w:rsidRPr="00106292">
        <w:fldChar w:fldCharType="end"/>
      </w:r>
      <w:r w:rsidRPr="00106292">
        <w:t xml:space="preserve">; </w:t>
      </w:r>
      <w:r w:rsidR="000B4790" w:rsidRPr="00106292">
        <w:fldChar w:fldCharType="begin"/>
      </w:r>
      <w:r w:rsidR="000B4790" w:rsidRPr="00106292">
        <w:instrText xml:space="preserve"> REF _Ref325708782 \h  \* MERGEFORMAT </w:instrText>
      </w:r>
      <w:r w:rsidR="000B4790" w:rsidRPr="00106292">
        <w:fldChar w:fldCharType="separate"/>
      </w:r>
      <w:r w:rsidR="00966532" w:rsidRPr="00966532">
        <w:t xml:space="preserve">Figure </w:t>
      </w:r>
      <w:r w:rsidR="00966532" w:rsidRPr="00966532">
        <w:rPr>
          <w:noProof/>
        </w:rPr>
        <w:t>9</w:t>
      </w:r>
      <w:r w:rsidR="00966532" w:rsidRPr="00966532">
        <w:rPr>
          <w:noProof/>
        </w:rPr>
        <w:noBreakHyphen/>
        <w:t>2</w:t>
      </w:r>
      <w:r w:rsidR="000B4790" w:rsidRPr="00106292">
        <w:fldChar w:fldCharType="end"/>
      </w:r>
      <w:r w:rsidRPr="00106292">
        <w:t xml:space="preserve">). </w:t>
      </w:r>
      <w:r w:rsidR="00F2681D" w:rsidRPr="00106292">
        <w:t xml:space="preserve">A detailed assessment of this site is provided in </w:t>
      </w:r>
      <w:r w:rsidR="00F2681D" w:rsidRPr="00106292">
        <w:rPr>
          <w:szCs w:val="22"/>
        </w:rPr>
        <w:t>Lawrie</w:t>
      </w:r>
      <w:r w:rsidR="008A5F7D" w:rsidRPr="00CF7613">
        <w:rPr>
          <w:rStyle w:val="StyleItalic"/>
        </w:rPr>
        <w:t xml:space="preserve"> et al</w:t>
      </w:r>
      <w:r w:rsidR="00F2681D" w:rsidRPr="00106292">
        <w:rPr>
          <w:szCs w:val="22"/>
        </w:rPr>
        <w:t xml:space="preserve">. (2012c) and </w:t>
      </w:r>
      <w:r w:rsidR="00B61281" w:rsidRPr="00106292">
        <w:rPr>
          <w:szCs w:val="22"/>
        </w:rPr>
        <w:t>ancillary</w:t>
      </w:r>
      <w:r w:rsidR="00F2681D" w:rsidRPr="00106292">
        <w:rPr>
          <w:szCs w:val="22"/>
        </w:rPr>
        <w:t xml:space="preserve"> data is contained in </w:t>
      </w:r>
      <w:r w:rsidR="00B03359">
        <w:rPr>
          <w:szCs w:val="22"/>
        </w:rPr>
        <w:t>Appendix 6 (</w:t>
      </w:r>
      <w:r w:rsidR="00F2681D" w:rsidRPr="00106292">
        <w:rPr>
          <w:szCs w:val="22"/>
        </w:rPr>
        <w:t>Somerville</w:t>
      </w:r>
      <w:r w:rsidR="008A5F7D" w:rsidRPr="00CF7613">
        <w:rPr>
          <w:rStyle w:val="StyleItalic"/>
        </w:rPr>
        <w:t xml:space="preserve"> et al</w:t>
      </w:r>
      <w:r w:rsidR="00F2681D" w:rsidRPr="00106292">
        <w:rPr>
          <w:szCs w:val="22"/>
        </w:rPr>
        <w:t>.</w:t>
      </w:r>
      <w:r w:rsidR="00B03359">
        <w:rPr>
          <w:szCs w:val="22"/>
        </w:rPr>
        <w:t>,</w:t>
      </w:r>
      <w:r w:rsidR="00F2681D" w:rsidRPr="00106292">
        <w:rPr>
          <w:szCs w:val="22"/>
        </w:rPr>
        <w:t xml:space="preserve"> 2012) and </w:t>
      </w:r>
      <w:r w:rsidR="00B03359">
        <w:rPr>
          <w:szCs w:val="22"/>
        </w:rPr>
        <w:t>the BHMAR Project GIS (Gow</w:t>
      </w:r>
      <w:r w:rsidR="008A5F7D" w:rsidRPr="00CF7613">
        <w:rPr>
          <w:rStyle w:val="StyleItalic"/>
        </w:rPr>
        <w:t xml:space="preserve"> et al</w:t>
      </w:r>
      <w:r w:rsidR="00B03359">
        <w:rPr>
          <w:szCs w:val="22"/>
        </w:rPr>
        <w:t>., 2012a)</w:t>
      </w:r>
      <w:r w:rsidR="00F2681D" w:rsidRPr="00106292">
        <w:rPr>
          <w:szCs w:val="22"/>
        </w:rPr>
        <w:t xml:space="preserve">. </w:t>
      </w:r>
      <w:r w:rsidRPr="00106292">
        <w:t xml:space="preserve">The proposed borefield lies at the northern end of </w:t>
      </w:r>
      <w:smartTag w:uri="urn:schemas-microsoft-com:office:smarttags" w:element="place">
        <w:smartTag w:uri="urn:schemas-microsoft-com:office:smarttags" w:element="PlaceType">
          <w:r w:rsidR="00C217F0">
            <w:t>Lake</w:t>
          </w:r>
        </w:smartTag>
        <w:r w:rsidR="00C217F0">
          <w:t xml:space="preserve"> </w:t>
        </w:r>
        <w:smartTag w:uri="urn:schemas-microsoft-com:office:smarttags" w:element="PlaceName">
          <w:r w:rsidR="00C217F0">
            <w:t>Menindee</w:t>
          </w:r>
        </w:smartTag>
      </w:smartTag>
      <w:r w:rsidRPr="00106292">
        <w:t>, and extends under the lake bed (Figure F). The</w:t>
      </w:r>
      <w:r w:rsidRPr="00106292">
        <w:rPr>
          <w:szCs w:val="22"/>
        </w:rPr>
        <w:t xml:space="preserve"> site is 15</w:t>
      </w:r>
      <w:r w:rsidR="00AC6A5E" w:rsidRPr="00106292">
        <w:rPr>
          <w:szCs w:val="22"/>
        </w:rPr>
        <w:t xml:space="preserve"> </w:t>
      </w:r>
      <w:r w:rsidRPr="00106292">
        <w:rPr>
          <w:szCs w:val="22"/>
        </w:rPr>
        <w:t xml:space="preserve">km north of </w:t>
      </w:r>
      <w:r w:rsidR="00C217F0">
        <w:rPr>
          <w:szCs w:val="22"/>
        </w:rPr>
        <w:t xml:space="preserve">Menindee </w:t>
      </w:r>
      <w:r w:rsidRPr="00106292">
        <w:rPr>
          <w:szCs w:val="22"/>
        </w:rPr>
        <w:t>pumping station, but is only 4</w:t>
      </w:r>
      <w:r w:rsidR="00F2681D" w:rsidRPr="00106292">
        <w:rPr>
          <w:szCs w:val="22"/>
        </w:rPr>
        <w:t xml:space="preserve"> </w:t>
      </w:r>
      <w:r w:rsidRPr="00106292">
        <w:rPr>
          <w:szCs w:val="22"/>
        </w:rPr>
        <w:t xml:space="preserve">km from the existing water supply pipeline to Broken Hill. The target aquifer is the </w:t>
      </w:r>
      <w:r w:rsidR="00C217F0">
        <w:rPr>
          <w:szCs w:val="22"/>
        </w:rPr>
        <w:t>Calivil Formation</w:t>
      </w:r>
      <w:r w:rsidRPr="00106292">
        <w:rPr>
          <w:szCs w:val="22"/>
        </w:rPr>
        <w:t>. At this location the aquifer varies from unconfined (where it is in direct hydraulic connection with the</w:t>
      </w:r>
      <w:r w:rsidRPr="00795774">
        <w:rPr>
          <w:szCs w:val="22"/>
        </w:rPr>
        <w:t xml:space="preserve"> overlying unconfined </w:t>
      </w:r>
      <w:r w:rsidR="00C217F0">
        <w:rPr>
          <w:szCs w:val="22"/>
        </w:rPr>
        <w:t>Menindee Formation</w:t>
      </w:r>
      <w:r w:rsidRPr="00795774">
        <w:rPr>
          <w:szCs w:val="22"/>
        </w:rPr>
        <w:t xml:space="preserve"> aquifer), to semi-confined, (where it is overlain by the Blanchetown Clay aquitard). The aquifer is quite heterogeneous at this site, with medium sands comprising only 25</w:t>
      </w:r>
      <w:r w:rsidR="00AC6A5E">
        <w:rPr>
          <w:szCs w:val="22"/>
        </w:rPr>
        <w:t xml:space="preserve"> </w:t>
      </w:r>
      <w:r w:rsidRPr="00795774">
        <w:rPr>
          <w:szCs w:val="22"/>
        </w:rPr>
        <w:t xml:space="preserve">% of the formation, with moderate transmissivities. The aquifer quality improves to the south beneath the lake bed. At this site, the aquifer contains an estimated </w:t>
      </w:r>
      <w:r w:rsidR="00D82AD2">
        <w:rPr>
          <w:szCs w:val="22"/>
        </w:rPr>
        <w:t>30</w:t>
      </w:r>
      <w:r w:rsidRPr="00795774">
        <w:rPr>
          <w:szCs w:val="22"/>
        </w:rPr>
        <w:t>-</w:t>
      </w:r>
      <w:r w:rsidR="00D82AD2">
        <w:rPr>
          <w:szCs w:val="22"/>
        </w:rPr>
        <w:t>70</w:t>
      </w:r>
      <w:r w:rsidRPr="00795774">
        <w:rPr>
          <w:szCs w:val="22"/>
        </w:rPr>
        <w:t xml:space="preserve"> GL </w:t>
      </w:r>
      <w:r w:rsidR="000B4790" w:rsidRPr="00795774">
        <w:rPr>
          <w:szCs w:val="22"/>
        </w:rPr>
        <w:t>o</w:t>
      </w:r>
      <w:r w:rsidRPr="00795774">
        <w:rPr>
          <w:szCs w:val="22"/>
        </w:rPr>
        <w:t>f good to acceptable quality (&lt;1200</w:t>
      </w:r>
      <w:r w:rsidR="00AC6A5E">
        <w:rPr>
          <w:szCs w:val="22"/>
        </w:rPr>
        <w:t xml:space="preserve"> </w:t>
      </w:r>
      <w:r w:rsidRPr="00795774">
        <w:rPr>
          <w:szCs w:val="22"/>
        </w:rPr>
        <w:t xml:space="preserve">mg/l TDS) </w:t>
      </w:r>
      <w:r w:rsidRPr="00DE0DFA">
        <w:rPr>
          <w:szCs w:val="22"/>
        </w:rPr>
        <w:t>groundwater (</w:t>
      </w:r>
      <w:r w:rsidR="00DE0DFA" w:rsidRPr="00DE0DFA">
        <w:rPr>
          <w:szCs w:val="22"/>
        </w:rPr>
        <w:fldChar w:fldCharType="begin"/>
      </w:r>
      <w:r w:rsidR="00DE0DFA" w:rsidRPr="00DE0DFA">
        <w:rPr>
          <w:szCs w:val="22"/>
        </w:rPr>
        <w:instrText xml:space="preserve"> REF _Ref327367247 \h  \* MERGEFORMAT </w:instrText>
      </w:r>
      <w:r w:rsidR="00DE0DFA" w:rsidRPr="00DE0DFA">
        <w:rPr>
          <w:szCs w:val="22"/>
        </w:rPr>
      </w:r>
      <w:r w:rsidR="00DE0DFA" w:rsidRPr="00DE0DFA">
        <w:rPr>
          <w:szCs w:val="22"/>
        </w:rPr>
        <w:fldChar w:fldCharType="separate"/>
      </w:r>
      <w:r w:rsidR="00966532" w:rsidRPr="00966532">
        <w:rPr>
          <w:szCs w:val="22"/>
        </w:rPr>
        <w:t>Figure 9</w:t>
      </w:r>
      <w:r w:rsidR="00966532" w:rsidRPr="00966532">
        <w:rPr>
          <w:szCs w:val="22"/>
        </w:rPr>
        <w:noBreakHyphen/>
        <w:t>3</w:t>
      </w:r>
      <w:r w:rsidR="00DE0DFA" w:rsidRPr="00DE0DFA">
        <w:rPr>
          <w:szCs w:val="22"/>
        </w:rPr>
        <w:fldChar w:fldCharType="end"/>
      </w:r>
      <w:r w:rsidR="00DE0DFA" w:rsidRPr="00DE0DFA">
        <w:rPr>
          <w:szCs w:val="22"/>
        </w:rPr>
        <w:t>;</w:t>
      </w:r>
      <w:r w:rsidR="000641F5">
        <w:rPr>
          <w:szCs w:val="22"/>
        </w:rPr>
        <w:fldChar w:fldCharType="begin"/>
      </w:r>
      <w:r w:rsidR="000641F5">
        <w:rPr>
          <w:szCs w:val="22"/>
        </w:rPr>
        <w:instrText xml:space="preserve"> REF _Ref355624436 \h  \* MERGEFORMAT </w:instrText>
      </w:r>
      <w:r w:rsidR="000641F5">
        <w:rPr>
          <w:szCs w:val="22"/>
        </w:rPr>
      </w:r>
      <w:r w:rsidR="000641F5">
        <w:rPr>
          <w:szCs w:val="22"/>
        </w:rPr>
        <w:fldChar w:fldCharType="separate"/>
      </w:r>
      <w:r w:rsidR="00966532" w:rsidRPr="00966532">
        <w:rPr>
          <w:szCs w:val="22"/>
        </w:rPr>
        <w:t>Table 9</w:t>
      </w:r>
      <w:r w:rsidR="00966532" w:rsidRPr="00966532">
        <w:rPr>
          <w:szCs w:val="22"/>
        </w:rPr>
        <w:noBreakHyphen/>
        <w:t>1</w:t>
      </w:r>
      <w:r w:rsidR="000641F5">
        <w:rPr>
          <w:szCs w:val="22"/>
        </w:rPr>
        <w:fldChar w:fldCharType="end"/>
      </w:r>
      <w:r w:rsidR="005430CB" w:rsidRPr="00DE0DFA">
        <w:rPr>
          <w:szCs w:val="22"/>
        </w:rPr>
        <w:t xml:space="preserve">), </w:t>
      </w:r>
      <w:bookmarkStart w:id="628" w:name="OLE_LINK15"/>
      <w:bookmarkStart w:id="629" w:name="OLE_LINK16"/>
      <w:r w:rsidR="005430CB" w:rsidRPr="00DE0DFA">
        <w:rPr>
          <w:szCs w:val="22"/>
        </w:rPr>
        <w:t>with</w:t>
      </w:r>
      <w:r w:rsidR="005430CB">
        <w:rPr>
          <w:szCs w:val="22"/>
        </w:rPr>
        <w:t xml:space="preserve"> the important caveat noted earlier about the uncertainties in resolving more resistive features.</w:t>
      </w:r>
      <w:bookmarkEnd w:id="628"/>
      <w:bookmarkEnd w:id="629"/>
      <w:r w:rsidR="005430CB">
        <w:rPr>
          <w:szCs w:val="22"/>
        </w:rPr>
        <w:t xml:space="preserve"> </w:t>
      </w:r>
      <w:smartTag w:uri="urn:schemas-microsoft-com:office:smarttags" w:element="PersonName">
        <w:r w:rsidR="0092075C">
          <w:rPr>
            <w:szCs w:val="22"/>
          </w:rPr>
          <w:t>Groundwater</w:t>
        </w:r>
      </w:smartTag>
      <w:r w:rsidR="0092075C">
        <w:rPr>
          <w:szCs w:val="22"/>
        </w:rPr>
        <w:t xml:space="preserve"> sampling in the </w:t>
      </w:r>
      <w:r w:rsidR="00C217F0">
        <w:rPr>
          <w:szCs w:val="22"/>
        </w:rPr>
        <w:t>Calivil Formation</w:t>
      </w:r>
      <w:r w:rsidR="00106292">
        <w:rPr>
          <w:szCs w:val="22"/>
        </w:rPr>
        <w:t xml:space="preserve"> </w:t>
      </w:r>
      <w:r w:rsidR="0092075C">
        <w:rPr>
          <w:szCs w:val="22"/>
        </w:rPr>
        <w:t xml:space="preserve">is limited to one bore, which recorded no exceedances against ADWG2011 </w:t>
      </w:r>
      <w:r w:rsidR="00403AB0">
        <w:rPr>
          <w:szCs w:val="22"/>
        </w:rPr>
        <w:t xml:space="preserve">water quality </w:t>
      </w:r>
      <w:r w:rsidR="0092075C">
        <w:rPr>
          <w:szCs w:val="22"/>
        </w:rPr>
        <w:t xml:space="preserve">thresholds. If the overlying </w:t>
      </w:r>
      <w:r w:rsidR="00C217F0">
        <w:rPr>
          <w:szCs w:val="22"/>
        </w:rPr>
        <w:t>Menindee Formation</w:t>
      </w:r>
      <w:r w:rsidR="0092075C">
        <w:rPr>
          <w:szCs w:val="22"/>
        </w:rPr>
        <w:t xml:space="preserve"> is included as it can be hydraulically connected, then sampling indicated </w:t>
      </w:r>
      <w:r w:rsidR="00403AB0">
        <w:rPr>
          <w:szCs w:val="22"/>
        </w:rPr>
        <w:t xml:space="preserve">water quality </w:t>
      </w:r>
      <w:r w:rsidR="0092075C">
        <w:rPr>
          <w:szCs w:val="22"/>
        </w:rPr>
        <w:t xml:space="preserve">exceedances relating to </w:t>
      </w:r>
      <w:r w:rsidRPr="00795774">
        <w:rPr>
          <w:szCs w:val="22"/>
        </w:rPr>
        <w:t xml:space="preserve">manganese, </w:t>
      </w:r>
      <w:r w:rsidRPr="0092075C">
        <w:rPr>
          <w:szCs w:val="22"/>
        </w:rPr>
        <w:t>iron,</w:t>
      </w:r>
      <w:r w:rsidR="0092075C" w:rsidRPr="0092075C">
        <w:rPr>
          <w:szCs w:val="22"/>
        </w:rPr>
        <w:t xml:space="preserve"> and</w:t>
      </w:r>
      <w:r w:rsidRPr="00795774">
        <w:rPr>
          <w:szCs w:val="22"/>
        </w:rPr>
        <w:t xml:space="preserve"> </w:t>
      </w:r>
      <w:r w:rsidR="0092075C">
        <w:rPr>
          <w:szCs w:val="22"/>
        </w:rPr>
        <w:t xml:space="preserve">ammonia </w:t>
      </w:r>
      <w:r w:rsidRPr="00795774">
        <w:rPr>
          <w:szCs w:val="22"/>
        </w:rPr>
        <w:t>(</w:t>
      </w:r>
      <w:r w:rsidR="005B1337" w:rsidRPr="00795774">
        <w:rPr>
          <w:szCs w:val="22"/>
          <w:highlight w:val="yellow"/>
        </w:rPr>
        <w:fldChar w:fldCharType="begin"/>
      </w:r>
      <w:r w:rsidR="005B1337" w:rsidRPr="00795774">
        <w:rPr>
          <w:szCs w:val="22"/>
        </w:rPr>
        <w:instrText xml:space="preserve"> REF _Ref325913743 \h </w:instrText>
      </w:r>
      <w:r w:rsidR="005B1337" w:rsidRPr="00795774">
        <w:rPr>
          <w:szCs w:val="22"/>
          <w:highlight w:val="yellow"/>
        </w:rPr>
        <w:instrText xml:space="preserve"> \* MERGEFORMAT </w:instrText>
      </w:r>
      <w:r w:rsidR="005B1337" w:rsidRPr="00795774">
        <w:rPr>
          <w:szCs w:val="22"/>
          <w:highlight w:val="yellow"/>
        </w:rPr>
      </w:r>
      <w:r w:rsidR="005B1337" w:rsidRPr="00795774">
        <w:rPr>
          <w:szCs w:val="22"/>
          <w:highlight w:val="yellow"/>
        </w:rPr>
        <w:fldChar w:fldCharType="separate"/>
      </w:r>
      <w:r w:rsidR="00966532" w:rsidRPr="00966532">
        <w:rPr>
          <w:bCs/>
        </w:rPr>
        <w:t xml:space="preserve">Table </w:t>
      </w:r>
      <w:r w:rsidR="00966532" w:rsidRPr="00966532">
        <w:rPr>
          <w:bCs/>
          <w:noProof/>
        </w:rPr>
        <w:t>9</w:t>
      </w:r>
      <w:r w:rsidR="00966532" w:rsidRPr="00966532">
        <w:rPr>
          <w:bCs/>
          <w:noProof/>
        </w:rPr>
        <w:noBreakHyphen/>
        <w:t>2</w:t>
      </w:r>
      <w:r w:rsidR="005B1337" w:rsidRPr="00795774">
        <w:rPr>
          <w:szCs w:val="22"/>
          <w:highlight w:val="yellow"/>
        </w:rPr>
        <w:fldChar w:fldCharType="end"/>
      </w:r>
      <w:r w:rsidRPr="00795774">
        <w:rPr>
          <w:szCs w:val="22"/>
        </w:rPr>
        <w:t xml:space="preserve">). </w:t>
      </w:r>
    </w:p>
    <w:p w:rsidR="00001EDC" w:rsidRDefault="00001EDC" w:rsidP="00001EDC">
      <w:pPr>
        <w:rPr>
          <w:szCs w:val="22"/>
        </w:rPr>
      </w:pPr>
    </w:p>
    <w:p w:rsidR="00001EDC" w:rsidRDefault="00001EDC" w:rsidP="00001EDC">
      <w:pPr>
        <w:tabs>
          <w:tab w:val="num" w:pos="720"/>
        </w:tabs>
        <w:rPr>
          <w:szCs w:val="22"/>
        </w:rPr>
      </w:pPr>
      <w:r>
        <w:rPr>
          <w:szCs w:val="22"/>
        </w:rPr>
        <w:t xml:space="preserve">The </w:t>
      </w:r>
      <w:r w:rsidR="00C217F0">
        <w:rPr>
          <w:szCs w:val="22"/>
        </w:rPr>
        <w:t>Calivil Formation</w:t>
      </w:r>
      <w:r>
        <w:rPr>
          <w:szCs w:val="22"/>
        </w:rPr>
        <w:t xml:space="preserve"> aquifer is recharged when </w:t>
      </w:r>
      <w:smartTag w:uri="urn:schemas-microsoft-com:office:smarttags" w:element="place">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smartTag>
      <w:r>
        <w:rPr>
          <w:szCs w:val="22"/>
        </w:rPr>
        <w:t xml:space="preserve"> is filled, with a fresh water leakage ‘plume’ evident in the AEM data (Figure F), and validated by drilling and monitoring. The leakage point is at the northern end of the lake, but the regional groundwater gradient results in lateral movement of the fresh groundwater plume beneath the lake. A groundwater response of 4</w:t>
      </w:r>
      <w:r w:rsidR="00AC6A5E">
        <w:rPr>
          <w:szCs w:val="22"/>
        </w:rPr>
        <w:t xml:space="preserve"> </w:t>
      </w:r>
      <w:r>
        <w:rPr>
          <w:szCs w:val="22"/>
        </w:rPr>
        <w:t xml:space="preserve">m was recorded from the 20010/11 lake filling, and age dating shows this fresh groundwater plume is ‘modern’ water. The recharge pathway is directly through the overlying </w:t>
      </w:r>
      <w:r w:rsidR="00C217F0">
        <w:rPr>
          <w:szCs w:val="22"/>
        </w:rPr>
        <w:t>Menindee Formation</w:t>
      </w:r>
      <w:r>
        <w:rPr>
          <w:szCs w:val="22"/>
        </w:rPr>
        <w:t xml:space="preserve"> aquifer which has high transmissivities where it forms a palaeochannel that is exposed on the lake floor. This palaeochannel has incised through and removed the confining upper (Blanchetown Clay) aquitard at this point. A prominent fault is evident in the AEM data at the northern end of the lake (Figure F), and this may also provide a leakage point to the underlying aquifers.</w:t>
      </w:r>
    </w:p>
    <w:p w:rsidR="00001EDC" w:rsidRDefault="00001EDC" w:rsidP="00001EDC">
      <w:pPr>
        <w:rPr>
          <w:szCs w:val="22"/>
        </w:rPr>
      </w:pPr>
    </w:p>
    <w:p w:rsidR="00001EDC" w:rsidRDefault="00923CB6" w:rsidP="00D35ACA">
      <w:pPr>
        <w:rPr>
          <w:szCs w:val="22"/>
        </w:rPr>
      </w:pPr>
      <w:r>
        <w:rPr>
          <w:szCs w:val="22"/>
        </w:rPr>
        <w:lastRenderedPageBreak/>
        <w:t>There is only one site with monitoring bores in the target area</w:t>
      </w:r>
      <w:r w:rsidR="00001EDC" w:rsidRPr="00795774">
        <w:rPr>
          <w:szCs w:val="22"/>
        </w:rPr>
        <w:t xml:space="preserve">, although other bores were drilled on the lake floor further south. An entry-level, degree of difficulty assessment for MAR options has been carried out for the site </w:t>
      </w:r>
      <w:r w:rsidR="00001EDC" w:rsidRPr="00795774">
        <w:t>(</w:t>
      </w:r>
      <w:r w:rsidR="00001EDC" w:rsidRPr="00795774">
        <w:fldChar w:fldCharType="begin"/>
      </w:r>
      <w:r w:rsidR="00001EDC" w:rsidRPr="00795774">
        <w:instrText xml:space="preserve"> REF _Ref325709754 \h </w:instrText>
      </w:r>
      <w:r w:rsidR="00795774" w:rsidRPr="00795774">
        <w:instrText xml:space="preserve"> \* MERGEFORMAT </w:instrText>
      </w:r>
      <w:r w:rsidR="00001EDC" w:rsidRPr="00795774">
        <w:fldChar w:fldCharType="separate"/>
      </w:r>
      <w:r w:rsidR="00966532" w:rsidRPr="00966532">
        <w:t xml:space="preserve">Table </w:t>
      </w:r>
      <w:r w:rsidR="00966532" w:rsidRPr="00966532">
        <w:rPr>
          <w:noProof/>
        </w:rPr>
        <w:t>9</w:t>
      </w:r>
      <w:r w:rsidR="00966532" w:rsidRPr="00966532">
        <w:rPr>
          <w:noProof/>
        </w:rPr>
        <w:noBreakHyphen/>
        <w:t>3</w:t>
      </w:r>
      <w:r w:rsidR="00001EDC" w:rsidRPr="00795774">
        <w:fldChar w:fldCharType="end"/>
      </w:r>
      <w:r w:rsidR="00001EDC" w:rsidRPr="00795774">
        <w:t>),</w:t>
      </w:r>
      <w:r w:rsidR="00001EDC" w:rsidRPr="00795774">
        <w:rPr>
          <w:szCs w:val="22"/>
        </w:rPr>
        <w:t xml:space="preserve"> with a number</w:t>
      </w:r>
      <w:r w:rsidR="00001EDC">
        <w:rPr>
          <w:szCs w:val="22"/>
        </w:rPr>
        <w:t xml:space="preserve"> of issues raised as concerns regarding further investigation. </w:t>
      </w:r>
    </w:p>
    <w:p w:rsidR="003B3C54" w:rsidRPr="002C67D3" w:rsidRDefault="003B3C54" w:rsidP="00D35ACA">
      <w:pPr>
        <w:rPr>
          <w:szCs w:val="22"/>
        </w:rPr>
      </w:pPr>
    </w:p>
    <w:p w:rsidR="00001EDC" w:rsidRPr="008C2768" w:rsidRDefault="00706A3B" w:rsidP="003764CE">
      <w:pPr>
        <w:tabs>
          <w:tab w:val="num" w:pos="2517"/>
        </w:tabs>
        <w:spacing w:before="240" w:after="60"/>
        <w:jc w:val="center"/>
        <w:rPr>
          <w:sz w:val="21"/>
          <w:szCs w:val="21"/>
        </w:rPr>
      </w:pPr>
      <w:r>
        <w:rPr>
          <w:noProof/>
          <w:sz w:val="21"/>
          <w:szCs w:val="21"/>
        </w:rPr>
        <w:drawing>
          <wp:inline distT="0" distB="0" distL="0" distR="0" wp14:anchorId="3977C7A0" wp14:editId="43321A3E">
            <wp:extent cx="6060440" cy="7719060"/>
            <wp:effectExtent l="19050" t="19050" r="0" b="0"/>
            <wp:docPr id="102" name="Picture 102" descr="Fig0J_56_20kmZone_WQ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ig0J_56_20kmZone_WQ_all"/>
                    <pic:cNvPicPr>
                      <a:picLocks noChangeAspect="1" noChangeArrowheads="1"/>
                    </pic:cNvPicPr>
                  </pic:nvPicPr>
                  <pic:blipFill>
                    <a:blip r:embed="rId32" cstate="print">
                      <a:extLst>
                        <a:ext uri="{28A0092B-C50C-407E-A947-70E740481C1C}">
                          <a14:useLocalDpi xmlns:a14="http://schemas.microsoft.com/office/drawing/2010/main" val="0"/>
                        </a:ext>
                      </a:extLst>
                    </a:blip>
                    <a:srcRect l="8972" t="6784" r="9415" b="19878"/>
                    <a:stretch>
                      <a:fillRect/>
                    </a:stretch>
                  </pic:blipFill>
                  <pic:spPr bwMode="auto">
                    <a:xfrm>
                      <a:off x="0" y="0"/>
                      <a:ext cx="6060440" cy="7719060"/>
                    </a:xfrm>
                    <a:prstGeom prst="rect">
                      <a:avLst/>
                    </a:prstGeom>
                    <a:noFill/>
                    <a:ln w="12700" cmpd="sng">
                      <a:solidFill>
                        <a:srgbClr val="000000"/>
                      </a:solidFill>
                      <a:miter lim="800000"/>
                      <a:headEnd/>
                      <a:tailEnd/>
                    </a:ln>
                    <a:effectLst/>
                  </pic:spPr>
                </pic:pic>
              </a:graphicData>
            </a:graphic>
          </wp:inline>
        </w:drawing>
      </w:r>
    </w:p>
    <w:p w:rsidR="00001EDC" w:rsidRPr="007960BF" w:rsidRDefault="000B4790" w:rsidP="00001EDC">
      <w:pPr>
        <w:pStyle w:val="Caption"/>
        <w:rPr>
          <w:i w:val="0"/>
        </w:rPr>
      </w:pPr>
      <w:bookmarkStart w:id="630" w:name="_Ref32591282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9</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1</w:t>
      </w:r>
      <w:r w:rsidR="00A23C59">
        <w:rPr>
          <w:b/>
        </w:rPr>
        <w:fldChar w:fldCharType="end"/>
      </w:r>
      <w:bookmarkEnd w:id="630"/>
      <w:r>
        <w:rPr>
          <w:b/>
        </w:rPr>
        <w:t xml:space="preserve">. </w:t>
      </w:r>
      <w:r w:rsidR="000641F5" w:rsidRPr="000641F5">
        <w:t>Predicted</w:t>
      </w:r>
      <w:r w:rsidR="00001EDC">
        <w:t xml:space="preserve"> groundwater salinity derived from drilling data integrated with the 43.5-51.5</w:t>
      </w:r>
      <w:r w:rsidR="00A72012">
        <w:t xml:space="preserve"> </w:t>
      </w:r>
      <w:r w:rsidR="00001EDC">
        <w:t>m conductivity depth slice. The location of the priority Jimargil site (EB-J-W) and the other back-up sites within 20</w:t>
      </w:r>
      <w:r w:rsidR="006748C2">
        <w:t xml:space="preserve"> </w:t>
      </w:r>
      <w:r w:rsidR="00001EDC">
        <w:t xml:space="preserve">km of </w:t>
      </w:r>
      <w:r w:rsidR="00C217F0">
        <w:t xml:space="preserve">Menindee </w:t>
      </w:r>
      <w:r w:rsidR="00001EDC">
        <w:t xml:space="preserve">is shown. </w:t>
      </w:r>
      <w:r w:rsidR="00001EDC" w:rsidRPr="007960BF">
        <w:rPr>
          <w:bCs w:val="0"/>
          <w:i w:val="0"/>
        </w:rPr>
        <w:fldChar w:fldCharType="begin"/>
      </w:r>
      <w:r w:rsidR="00001EDC" w:rsidRPr="007960BF">
        <w:rPr>
          <w:bCs w:val="0"/>
          <w:i w:val="0"/>
        </w:rPr>
        <w:instrText xml:space="preserve"> TC "</w:instrText>
      </w:r>
      <w:bookmarkStart w:id="631" w:name="_Toc325975250"/>
      <w:bookmarkStart w:id="632" w:name="_Toc390690269"/>
      <w:r w:rsidR="00001EDC" w:rsidRPr="007960BF">
        <w:rPr>
          <w:bCs w:val="0"/>
          <w:i w:val="0"/>
        </w:rPr>
        <w:instrText xml:space="preserve">Figure </w:instrText>
      </w:r>
      <w:r w:rsidR="000D653B">
        <w:rPr>
          <w:bCs w:val="0"/>
          <w:i w:val="0"/>
        </w:rPr>
        <w:instrText>9-1</w:instrText>
      </w:r>
      <w:r w:rsidR="00001EDC" w:rsidRPr="007960BF">
        <w:rPr>
          <w:bCs w:val="0"/>
          <w:i w:val="0"/>
        </w:rPr>
        <w:instrText xml:space="preserve">. </w:instrText>
      </w:r>
      <w:r w:rsidR="000641F5">
        <w:rPr>
          <w:i w:val="0"/>
        </w:rPr>
        <w:instrText>Predicted</w:instrText>
      </w:r>
      <w:r w:rsidR="00001EDC" w:rsidRPr="007960BF">
        <w:rPr>
          <w:i w:val="0"/>
        </w:rPr>
        <w:instrText xml:space="preserve"> groundwater salinity </w:instrText>
      </w:r>
      <w:r w:rsidR="00836633">
        <w:rPr>
          <w:i w:val="0"/>
        </w:rPr>
        <w:instrText>for the 43.5-51m depth slice within 20km of Menindee</w:instrText>
      </w:r>
      <w:r w:rsidR="00001EDC" w:rsidRPr="007960BF">
        <w:rPr>
          <w:i w:val="0"/>
        </w:rPr>
        <w:instrText>.</w:instrText>
      </w:r>
      <w:bookmarkEnd w:id="631"/>
      <w:bookmarkEnd w:id="632"/>
      <w:r w:rsidR="00001EDC" w:rsidRPr="007960BF">
        <w:rPr>
          <w:bCs w:val="0"/>
          <w:i w:val="0"/>
        </w:rPr>
        <w:instrText xml:space="preserve">" \f A \l “4” </w:instrText>
      </w:r>
      <w:r w:rsidR="00001EDC" w:rsidRPr="007960BF">
        <w:rPr>
          <w:bCs w:val="0"/>
          <w:i w:val="0"/>
        </w:rPr>
        <w:fldChar w:fldCharType="end"/>
      </w:r>
    </w:p>
    <w:p w:rsidR="00001EDC" w:rsidRDefault="00001EDC" w:rsidP="00001EDC">
      <w:pPr>
        <w:tabs>
          <w:tab w:val="num" w:pos="720"/>
        </w:tabs>
        <w:rPr>
          <w:szCs w:val="22"/>
        </w:rPr>
      </w:pPr>
      <w:r w:rsidRPr="00DC6C9A">
        <w:rPr>
          <w:szCs w:val="22"/>
        </w:rPr>
        <w:lastRenderedPageBreak/>
        <w:t xml:space="preserve">Overall, this site is assessed as having a relatively high scientific and technical risk, but </w:t>
      </w:r>
      <w:r>
        <w:rPr>
          <w:szCs w:val="22"/>
        </w:rPr>
        <w:t>is close</w:t>
      </w:r>
      <w:r w:rsidRPr="00DC6C9A">
        <w:rPr>
          <w:szCs w:val="22"/>
        </w:rPr>
        <w:t xml:space="preserve"> to existing infrastructure, and </w:t>
      </w:r>
      <w:r>
        <w:rPr>
          <w:szCs w:val="22"/>
        </w:rPr>
        <w:t>is actively</w:t>
      </w:r>
      <w:r w:rsidRPr="00DC6C9A">
        <w:rPr>
          <w:szCs w:val="22"/>
        </w:rPr>
        <w:t xml:space="preserve"> recharged during lake-filling events. Vegetation assessments at this site have demonstrated that lake-fringing vegetation communities access groundwater when the lake is empty</w:t>
      </w:r>
      <w:r w:rsidR="005655A5">
        <w:rPr>
          <w:szCs w:val="22"/>
        </w:rPr>
        <w:t xml:space="preserve"> (</w:t>
      </w:r>
      <w:r w:rsidR="005655A5" w:rsidRPr="005655A5">
        <w:rPr>
          <w:szCs w:val="22"/>
        </w:rPr>
        <w:fldChar w:fldCharType="begin"/>
      </w:r>
      <w:r w:rsidR="005655A5" w:rsidRPr="005655A5">
        <w:rPr>
          <w:szCs w:val="22"/>
        </w:rPr>
        <w:instrText xml:space="preserve"> REF _Ref327367247 \h  \* MERGEFORMAT </w:instrText>
      </w:r>
      <w:r w:rsidR="005655A5" w:rsidRPr="005655A5">
        <w:rPr>
          <w:szCs w:val="22"/>
        </w:rPr>
      </w:r>
      <w:r w:rsidR="005655A5" w:rsidRPr="005655A5">
        <w:rPr>
          <w:szCs w:val="22"/>
        </w:rPr>
        <w:fldChar w:fldCharType="separate"/>
      </w:r>
      <w:r w:rsidR="00966532" w:rsidRPr="00966532">
        <w:t xml:space="preserve">Figure </w:t>
      </w:r>
      <w:r w:rsidR="00966532" w:rsidRPr="00966532">
        <w:rPr>
          <w:noProof/>
        </w:rPr>
        <w:t>9</w:t>
      </w:r>
      <w:r w:rsidR="00966532" w:rsidRPr="00966532">
        <w:rPr>
          <w:noProof/>
        </w:rPr>
        <w:noBreakHyphen/>
        <w:t>3</w:t>
      </w:r>
      <w:r w:rsidR="005655A5" w:rsidRPr="005655A5">
        <w:rPr>
          <w:szCs w:val="22"/>
        </w:rPr>
        <w:fldChar w:fldCharType="end"/>
      </w:r>
      <w:r w:rsidR="005655A5" w:rsidRPr="005655A5">
        <w:rPr>
          <w:szCs w:val="22"/>
        </w:rPr>
        <w:t>)</w:t>
      </w:r>
      <w:r w:rsidRPr="00DC6C9A">
        <w:rPr>
          <w:szCs w:val="22"/>
        </w:rPr>
        <w:t>. The high level of connectivity betw</w:t>
      </w:r>
      <w:r>
        <w:rPr>
          <w:szCs w:val="22"/>
        </w:rPr>
        <w:t xml:space="preserve">een the </w:t>
      </w:r>
      <w:r w:rsidR="00C217F0">
        <w:rPr>
          <w:szCs w:val="22"/>
        </w:rPr>
        <w:t>Menindee Formation</w:t>
      </w:r>
      <w:r>
        <w:rPr>
          <w:szCs w:val="22"/>
        </w:rPr>
        <w:t xml:space="preserve"> and </w:t>
      </w:r>
      <w:r w:rsidR="00C217F0">
        <w:rPr>
          <w:szCs w:val="22"/>
        </w:rPr>
        <w:t>Calivil Formation</w:t>
      </w:r>
      <w:r w:rsidRPr="00DC6C9A">
        <w:rPr>
          <w:szCs w:val="22"/>
        </w:rPr>
        <w:t xml:space="preserve"> at the northern end of the lake suggests that the vegetation in this area </w:t>
      </w:r>
      <w:r w:rsidR="005655A5">
        <w:rPr>
          <w:szCs w:val="22"/>
        </w:rPr>
        <w:t>is likely to</w:t>
      </w:r>
      <w:r w:rsidRPr="00DC6C9A">
        <w:rPr>
          <w:szCs w:val="22"/>
        </w:rPr>
        <w:t xml:space="preserve"> be impacted by </w:t>
      </w:r>
      <w:r>
        <w:rPr>
          <w:szCs w:val="22"/>
        </w:rPr>
        <w:t>watertable</w:t>
      </w:r>
      <w:r w:rsidRPr="00DC6C9A">
        <w:rPr>
          <w:szCs w:val="22"/>
        </w:rPr>
        <w:t xml:space="preserve"> fluctuations associated with any MAR </w:t>
      </w:r>
      <w:r w:rsidR="005655A5">
        <w:rPr>
          <w:szCs w:val="22"/>
        </w:rPr>
        <w:t xml:space="preserve">or groundwater extraction </w:t>
      </w:r>
      <w:r w:rsidRPr="00DC6C9A">
        <w:rPr>
          <w:szCs w:val="22"/>
        </w:rPr>
        <w:t>operations.</w:t>
      </w:r>
      <w:r w:rsidR="005655A5">
        <w:rPr>
          <w:szCs w:val="22"/>
        </w:rPr>
        <w:t xml:space="preserve"> </w:t>
      </w:r>
    </w:p>
    <w:p w:rsidR="00001EDC" w:rsidRDefault="00001EDC" w:rsidP="005655A5">
      <w:pPr>
        <w:pStyle w:val="Heading3"/>
        <w:tabs>
          <w:tab w:val="clear" w:pos="907"/>
          <w:tab w:val="left" w:pos="1080"/>
        </w:tabs>
        <w:spacing w:before="320"/>
        <w:ind w:left="1080" w:hanging="1080"/>
      </w:pPr>
      <w:bookmarkStart w:id="633" w:name="_Toc325700134"/>
      <w:bookmarkStart w:id="634" w:name="_Toc325700477"/>
      <w:bookmarkStart w:id="635" w:name="_Toc325975163"/>
      <w:bookmarkStart w:id="636" w:name="_Toc390690156"/>
      <w:r>
        <w:t xml:space="preserve">Option 2A: Managed Aquifer Recharge Involving </w:t>
      </w:r>
      <w:smartTag w:uri="urn:schemas-microsoft-com:office:smarttags" w:element="place">
        <w:smartTag w:uri="urn:schemas-microsoft-com:office:smarttags" w:element="PlaceName">
          <w:r>
            <w:t>Infiltration</w:t>
          </w:r>
        </w:smartTag>
        <w:r>
          <w:t xml:space="preserve"> </w:t>
        </w:r>
        <w:smartTag w:uri="urn:schemas-microsoft-com:office:smarttags" w:element="PlaceType">
          <w:r>
            <w:t>Basins</w:t>
          </w:r>
        </w:smartTag>
      </w:smartTag>
      <w:r>
        <w:t xml:space="preserve"> or Wicks</w:t>
      </w:r>
      <w:bookmarkEnd w:id="633"/>
      <w:bookmarkEnd w:id="634"/>
      <w:bookmarkEnd w:id="635"/>
      <w:bookmarkEnd w:id="636"/>
    </w:p>
    <w:p w:rsidR="00001EDC" w:rsidRDefault="00001EDC" w:rsidP="00001EDC">
      <w:pPr>
        <w:tabs>
          <w:tab w:val="num" w:pos="720"/>
        </w:tabs>
        <w:rPr>
          <w:szCs w:val="22"/>
        </w:rPr>
      </w:pPr>
      <w:r>
        <w:rPr>
          <w:szCs w:val="22"/>
        </w:rPr>
        <w:t xml:space="preserve">This option would rely on enhancing recharge to the </w:t>
      </w:r>
      <w:r w:rsidR="00C217F0">
        <w:rPr>
          <w:szCs w:val="22"/>
        </w:rPr>
        <w:t>Calivil Formation</w:t>
      </w:r>
      <w:r>
        <w:rPr>
          <w:szCs w:val="22"/>
        </w:rPr>
        <w:t xml:space="preserve"> aquifer by excavating pits or ‘wicks’ on the lake floor. Options and issues are summarised below.</w:t>
      </w:r>
    </w:p>
    <w:p w:rsidR="00001EDC" w:rsidRDefault="00001EDC" w:rsidP="00001EDC">
      <w:pPr>
        <w:numPr>
          <w:ilvl w:val="1"/>
          <w:numId w:val="34"/>
        </w:numPr>
        <w:tabs>
          <w:tab w:val="clear" w:pos="2517"/>
          <w:tab w:val="num" w:pos="720"/>
        </w:tabs>
        <w:spacing w:before="60"/>
        <w:ind w:left="720"/>
        <w:rPr>
          <w:szCs w:val="22"/>
        </w:rPr>
      </w:pPr>
      <w:r>
        <w:rPr>
          <w:szCs w:val="22"/>
        </w:rPr>
        <w:t xml:space="preserve">Open pits in the lake floor, nominally of ‘swimming-pool’ dimensions would be aimed at removing the lake-floor mud infiltration barrier. Such pits could be up to 6 m in depth and would have a ramped edge to enable accumulated mud to be cleaned from the pit bottom by mechanical scraping in between lake inundation events. Such pits are relatively simple and inexpensive to construct and maintain, and could significantly enhance natural recharge. </w:t>
      </w:r>
    </w:p>
    <w:p w:rsidR="00001EDC" w:rsidRDefault="00001EDC" w:rsidP="00001EDC">
      <w:pPr>
        <w:numPr>
          <w:ilvl w:val="1"/>
          <w:numId w:val="34"/>
        </w:numPr>
        <w:tabs>
          <w:tab w:val="clear" w:pos="2517"/>
          <w:tab w:val="num" w:pos="720"/>
        </w:tabs>
        <w:spacing w:before="60"/>
        <w:ind w:left="720"/>
        <w:rPr>
          <w:szCs w:val="22"/>
        </w:rPr>
      </w:pPr>
      <w:r>
        <w:rPr>
          <w:szCs w:val="22"/>
        </w:rPr>
        <w:t xml:space="preserve">Deeper wells or ‘wicks’ which would consist of large diameter wells filled with coarse sediment, which extend through upper infiltration barriers and are probably feasible to depths of 10-12 m only. Multiple wicks would be required to provide significant leakage enhancement and their construction and maintenance is likely to be more difficult and expensive than for pits. </w:t>
      </w:r>
    </w:p>
    <w:p w:rsidR="00001EDC" w:rsidRDefault="00001EDC" w:rsidP="00001EDC">
      <w:pPr>
        <w:tabs>
          <w:tab w:val="num" w:pos="720"/>
        </w:tabs>
        <w:rPr>
          <w:szCs w:val="22"/>
        </w:rPr>
      </w:pPr>
    </w:p>
    <w:p w:rsidR="00001EDC" w:rsidRDefault="00001EDC" w:rsidP="00001EDC">
      <w:pPr>
        <w:tabs>
          <w:tab w:val="num" w:pos="720"/>
        </w:tabs>
        <w:rPr>
          <w:szCs w:val="22"/>
        </w:rPr>
      </w:pPr>
      <w:r>
        <w:rPr>
          <w:szCs w:val="22"/>
        </w:rPr>
        <w:t xml:space="preserve">Both of </w:t>
      </w:r>
      <w:r w:rsidRPr="00670511">
        <w:rPr>
          <w:szCs w:val="22"/>
        </w:rPr>
        <w:t xml:space="preserve">these enhanced passage recharge options assume that natural leakage is currently resulting in natural filtering of suspended fine sediment and organics prior to the water reaching the </w:t>
      </w:r>
      <w:r w:rsidR="00C217F0">
        <w:rPr>
          <w:szCs w:val="22"/>
        </w:rPr>
        <w:t>Calivil Formation</w:t>
      </w:r>
      <w:r w:rsidR="00106292" w:rsidRPr="00670511">
        <w:rPr>
          <w:szCs w:val="22"/>
        </w:rPr>
        <w:t xml:space="preserve"> </w:t>
      </w:r>
      <w:r w:rsidRPr="00670511">
        <w:rPr>
          <w:szCs w:val="22"/>
        </w:rPr>
        <w:t>aquifer</w:t>
      </w:r>
      <w:r w:rsidR="00AC6A5E" w:rsidRPr="00670511">
        <w:rPr>
          <w:szCs w:val="22"/>
        </w:rPr>
        <w:t xml:space="preserve"> (Lawrie</w:t>
      </w:r>
      <w:r w:rsidR="008A5F7D" w:rsidRPr="00CF7613">
        <w:rPr>
          <w:rStyle w:val="StyleItalic"/>
        </w:rPr>
        <w:t xml:space="preserve"> et al</w:t>
      </w:r>
      <w:r w:rsidR="00AC6A5E" w:rsidRPr="00670511">
        <w:rPr>
          <w:szCs w:val="22"/>
        </w:rPr>
        <w:t>., 2012b</w:t>
      </w:r>
      <w:r w:rsidR="00670511" w:rsidRPr="00670511">
        <w:rPr>
          <w:szCs w:val="22"/>
        </w:rPr>
        <w:t>, c</w:t>
      </w:r>
      <w:r w:rsidR="00AC6A5E" w:rsidRPr="00670511">
        <w:rPr>
          <w:szCs w:val="22"/>
        </w:rPr>
        <w:t>)</w:t>
      </w:r>
      <w:r w:rsidRPr="00670511">
        <w:rPr>
          <w:szCs w:val="22"/>
        </w:rPr>
        <w:t>. Investigation would be required to demonstrate that this process would also occur in enhanced passive recharge systems before they could proceed.</w:t>
      </w:r>
      <w:r>
        <w:rPr>
          <w:szCs w:val="22"/>
        </w:rPr>
        <w:t xml:space="preserve"> </w:t>
      </w:r>
    </w:p>
    <w:p w:rsidR="00001EDC" w:rsidRDefault="00001EDC" w:rsidP="00001EDC">
      <w:pPr>
        <w:tabs>
          <w:tab w:val="num" w:pos="720"/>
        </w:tabs>
        <w:rPr>
          <w:szCs w:val="22"/>
        </w:rPr>
      </w:pPr>
    </w:p>
    <w:p w:rsidR="00001EDC" w:rsidRDefault="00001EDC" w:rsidP="00001EDC">
      <w:pPr>
        <w:tabs>
          <w:tab w:val="num" w:pos="720"/>
        </w:tabs>
        <w:rPr>
          <w:szCs w:val="22"/>
        </w:rPr>
      </w:pPr>
      <w:r>
        <w:rPr>
          <w:szCs w:val="22"/>
        </w:rPr>
        <w:t>Recovery of water would be through a borefield network when the lake was empty. The bore infrastructure would have to be developed on the lake floor, and design work would have to ensure the bores and associated pipelines would not pose navigation hazards.</w:t>
      </w:r>
    </w:p>
    <w:p w:rsidR="000641F5" w:rsidRDefault="000641F5" w:rsidP="00001EDC">
      <w:pPr>
        <w:tabs>
          <w:tab w:val="num" w:pos="720"/>
        </w:tabs>
        <w:rPr>
          <w:szCs w:val="22"/>
        </w:rPr>
      </w:pPr>
    </w:p>
    <w:p w:rsidR="000641F5" w:rsidRPr="009E3CEE" w:rsidRDefault="000641F5" w:rsidP="000641F5">
      <w:pPr>
        <w:tabs>
          <w:tab w:val="num" w:pos="720"/>
        </w:tabs>
        <w:rPr>
          <w:szCs w:val="22"/>
        </w:rPr>
      </w:pPr>
      <w:r w:rsidRPr="009E3CEE">
        <w:rPr>
          <w:szCs w:val="22"/>
        </w:rPr>
        <w:t xml:space="preserve">Rather than on the lake floor, infiltration basins or wicks could be constructed in close proximity to </w:t>
      </w:r>
      <w:smartTag w:uri="urn:schemas-microsoft-com:office:smarttags" w:element="place">
        <w:smartTag w:uri="urn:schemas-microsoft-com:office:smarttags" w:element="PlaceType">
          <w:r w:rsidRPr="009E3CEE">
            <w:rPr>
              <w:szCs w:val="22"/>
            </w:rPr>
            <w:t>Lake</w:t>
          </w:r>
        </w:smartTag>
        <w:r w:rsidRPr="009E3CEE">
          <w:rPr>
            <w:szCs w:val="22"/>
          </w:rPr>
          <w:t xml:space="preserve"> </w:t>
        </w:r>
        <w:smartTag w:uri="urn:schemas-microsoft-com:office:smarttags" w:element="PlaceName">
          <w:r w:rsidRPr="009E3CEE">
            <w:rPr>
              <w:szCs w:val="22"/>
            </w:rPr>
            <w:t>Menindee</w:t>
          </w:r>
        </w:smartTag>
      </w:smartTag>
      <w:r w:rsidRPr="009E3CEE">
        <w:rPr>
          <w:szCs w:val="22"/>
        </w:rPr>
        <w:t>, in the target area but in locations where the Blanchetown Clay and similar shallow aquitards are missing. Although this would require lake water, when available, to be pumped to these sites, this option would presumably have lower maintenance require</w:t>
      </w:r>
      <w:r>
        <w:rPr>
          <w:szCs w:val="22"/>
        </w:rPr>
        <w:t xml:space="preserve">ments due to mud accumulation. </w:t>
      </w:r>
      <w:r w:rsidRPr="009E3CEE">
        <w:rPr>
          <w:szCs w:val="22"/>
        </w:rPr>
        <w:t>Bores could also be constructed outside of the lake perimeter, obviating the logistical issues of having such i</w:t>
      </w:r>
      <w:r>
        <w:rPr>
          <w:szCs w:val="22"/>
        </w:rPr>
        <w:t xml:space="preserve">nfrastructure within the lake. </w:t>
      </w:r>
      <w:r w:rsidRPr="009E3CEE">
        <w:rPr>
          <w:szCs w:val="22"/>
        </w:rPr>
        <w:t>There would also be additional benefit in locating the extraction bores between the lake and the infiltration basins, so that pumping could also induce recharge when the lake stored water.</w:t>
      </w:r>
    </w:p>
    <w:p w:rsidR="000641F5" w:rsidRDefault="000641F5" w:rsidP="00001EDC">
      <w:pPr>
        <w:tabs>
          <w:tab w:val="num" w:pos="720"/>
        </w:tabs>
        <w:rPr>
          <w:szCs w:val="22"/>
        </w:rPr>
      </w:pPr>
    </w:p>
    <w:p w:rsidR="00001EDC" w:rsidRDefault="00001EDC" w:rsidP="005655A5">
      <w:pPr>
        <w:pStyle w:val="Heading3"/>
        <w:tabs>
          <w:tab w:val="clear" w:pos="907"/>
          <w:tab w:val="left" w:pos="1080"/>
        </w:tabs>
        <w:spacing w:before="320"/>
        <w:ind w:left="1080" w:hanging="1080"/>
      </w:pPr>
      <w:bookmarkStart w:id="637" w:name="_Toc325700135"/>
      <w:bookmarkStart w:id="638" w:name="_Toc325700478"/>
      <w:bookmarkStart w:id="639" w:name="_Toc325975164"/>
      <w:bookmarkStart w:id="640" w:name="_Toc390690157"/>
      <w:r>
        <w:t>Optio</w:t>
      </w:r>
      <w:r w:rsidR="006C237B">
        <w:t>n 2B: Managed Aquifer Recharge I</w:t>
      </w:r>
      <w:r>
        <w:t xml:space="preserve">nvolving Aquifer Storage </w:t>
      </w:r>
      <w:r w:rsidR="000641F5">
        <w:t xml:space="preserve">(Transport) </w:t>
      </w:r>
      <w:r>
        <w:t>and Recovery</w:t>
      </w:r>
      <w:bookmarkEnd w:id="637"/>
      <w:bookmarkEnd w:id="638"/>
      <w:bookmarkEnd w:id="639"/>
      <w:bookmarkEnd w:id="640"/>
    </w:p>
    <w:p w:rsidR="00001EDC" w:rsidRPr="00FE37F2" w:rsidRDefault="00001EDC" w:rsidP="00001EDC">
      <w:pPr>
        <w:tabs>
          <w:tab w:val="num" w:pos="720"/>
        </w:tabs>
      </w:pPr>
      <w:r>
        <w:rPr>
          <w:szCs w:val="22"/>
        </w:rPr>
        <w:t xml:space="preserve">This option would rely on enhancing recharge to the </w:t>
      </w:r>
      <w:r w:rsidR="00C217F0">
        <w:rPr>
          <w:szCs w:val="22"/>
        </w:rPr>
        <w:t>Calivil Formation</w:t>
      </w:r>
      <w:r>
        <w:rPr>
          <w:szCs w:val="22"/>
        </w:rPr>
        <w:t xml:space="preserve"> aquifer by injection of treated source water utilising bores at the northern end of the target outside the lake. </w:t>
      </w:r>
      <w:smartTag w:uri="urn:schemas-microsoft-com:office:smarttags" w:element="PersonName">
        <w:r>
          <w:rPr>
            <w:szCs w:val="22"/>
          </w:rPr>
          <w:t>Groundwater</w:t>
        </w:r>
      </w:smartTag>
      <w:r>
        <w:rPr>
          <w:szCs w:val="22"/>
        </w:rPr>
        <w:t xml:space="preserve"> modelling would have to be undertaken to assess the viability of this option. Recovery of water would be through </w:t>
      </w:r>
      <w:r w:rsidR="000641F5">
        <w:rPr>
          <w:szCs w:val="22"/>
        </w:rPr>
        <w:t xml:space="preserve">the </w:t>
      </w:r>
      <w:r>
        <w:rPr>
          <w:szCs w:val="22"/>
        </w:rPr>
        <w:t xml:space="preserve">borefield network when the lake was empty. As with the option above, bore infrastructure would have to be developed on the lake </w:t>
      </w:r>
      <w:r w:rsidRPr="00670511">
        <w:rPr>
          <w:szCs w:val="22"/>
        </w:rPr>
        <w:t xml:space="preserve">floor, and design work would have to ensure the bores and associated pipelines would not pose navigation hazards. </w:t>
      </w:r>
      <w:r w:rsidRPr="00670511">
        <w:rPr>
          <w:rFonts w:cs="Arial"/>
        </w:rPr>
        <w:t xml:space="preserve">An entry-level risk assessment for the BHMAR ASR site at </w:t>
      </w:r>
      <w:smartTag w:uri="urn:schemas-microsoft-com:office:smarttags" w:element="place">
        <w:smartTag w:uri="urn:schemas-microsoft-com:office:smarttags" w:element="PlaceType">
          <w:r w:rsidR="00C217F0">
            <w:rPr>
              <w:rFonts w:cs="Arial"/>
            </w:rPr>
            <w:t>Lake</w:t>
          </w:r>
        </w:smartTag>
        <w:r w:rsidR="00C217F0">
          <w:rPr>
            <w:rFonts w:cs="Arial"/>
          </w:rPr>
          <w:t xml:space="preserve"> </w:t>
        </w:r>
        <w:smartTag w:uri="urn:schemas-microsoft-com:office:smarttags" w:element="PlaceName">
          <w:r w:rsidR="00C217F0">
            <w:rPr>
              <w:rFonts w:cs="Arial"/>
            </w:rPr>
            <w:t>Menindee</w:t>
          </w:r>
        </w:smartTag>
      </w:smartTag>
      <w:r w:rsidRPr="00670511">
        <w:rPr>
          <w:rFonts w:cs="Arial"/>
        </w:rPr>
        <w:t xml:space="preserve"> is shown in </w:t>
      </w:r>
      <w:r w:rsidRPr="00670511">
        <w:rPr>
          <w:rFonts w:cs="Arial"/>
        </w:rPr>
        <w:fldChar w:fldCharType="begin"/>
      </w:r>
      <w:r w:rsidRPr="00670511">
        <w:rPr>
          <w:rFonts w:cs="Arial"/>
        </w:rPr>
        <w:instrText xml:space="preserve"> REF _Ref325709754 \h </w:instrText>
      </w:r>
      <w:r w:rsidR="00795774" w:rsidRPr="00670511">
        <w:rPr>
          <w:rFonts w:cs="Arial"/>
        </w:rPr>
        <w:instrText xml:space="preserve"> \* MERGEFORMAT </w:instrText>
      </w:r>
      <w:r w:rsidRPr="00670511">
        <w:rPr>
          <w:rFonts w:cs="Arial"/>
        </w:rPr>
      </w:r>
      <w:r w:rsidRPr="00670511">
        <w:rPr>
          <w:rFonts w:cs="Arial"/>
        </w:rPr>
        <w:fldChar w:fldCharType="separate"/>
      </w:r>
      <w:r w:rsidR="00966532" w:rsidRPr="00966532">
        <w:t xml:space="preserve">Table </w:t>
      </w:r>
      <w:r w:rsidR="00966532" w:rsidRPr="00966532">
        <w:rPr>
          <w:noProof/>
        </w:rPr>
        <w:t>9</w:t>
      </w:r>
      <w:r w:rsidR="00966532" w:rsidRPr="00966532">
        <w:rPr>
          <w:noProof/>
        </w:rPr>
        <w:noBreakHyphen/>
        <w:t>3</w:t>
      </w:r>
      <w:r w:rsidRPr="00670511">
        <w:rPr>
          <w:rFonts w:cs="Arial"/>
        </w:rPr>
        <w:fldChar w:fldCharType="end"/>
      </w:r>
      <w:r w:rsidR="00F2681D" w:rsidRPr="00670511">
        <w:rPr>
          <w:rFonts w:cs="Arial"/>
        </w:rPr>
        <w:t xml:space="preserve"> and discussed in more detail in Lawrie</w:t>
      </w:r>
      <w:r w:rsidR="008A5F7D" w:rsidRPr="00CF7613">
        <w:rPr>
          <w:rStyle w:val="StyleItalic"/>
        </w:rPr>
        <w:t xml:space="preserve"> et al</w:t>
      </w:r>
      <w:r w:rsidR="00F2681D" w:rsidRPr="00670511">
        <w:rPr>
          <w:rFonts w:cs="Arial"/>
        </w:rPr>
        <w:t>. (2012c)</w:t>
      </w:r>
      <w:r w:rsidRPr="00670511">
        <w:t>.</w:t>
      </w:r>
    </w:p>
    <w:p w:rsidR="00001EDC" w:rsidRDefault="00001EDC" w:rsidP="00001EDC">
      <w:pPr>
        <w:pStyle w:val="Heading3"/>
        <w:tabs>
          <w:tab w:val="left" w:pos="1080"/>
        </w:tabs>
        <w:spacing w:before="320"/>
        <w:ind w:left="1080" w:hanging="1080"/>
      </w:pPr>
      <w:bookmarkStart w:id="641" w:name="_Toc325700136"/>
      <w:bookmarkStart w:id="642" w:name="_Toc325700479"/>
      <w:bookmarkStart w:id="643" w:name="_Toc325975165"/>
      <w:bookmarkStart w:id="644" w:name="_Toc390690158"/>
      <w:r>
        <w:t xml:space="preserve">Option 2C: </w:t>
      </w:r>
      <w:smartTag w:uri="urn:schemas-microsoft-com:office:smarttags" w:element="PersonName">
        <w:r>
          <w:t>Groundwater</w:t>
        </w:r>
      </w:smartTag>
      <w:r>
        <w:t xml:space="preserve"> Extraction</w:t>
      </w:r>
      <w:bookmarkEnd w:id="641"/>
      <w:bookmarkEnd w:id="642"/>
      <w:bookmarkEnd w:id="643"/>
      <w:bookmarkEnd w:id="644"/>
    </w:p>
    <w:p w:rsidR="00001EDC" w:rsidRDefault="00001EDC" w:rsidP="00F2681D">
      <w:pPr>
        <w:tabs>
          <w:tab w:val="num" w:pos="720"/>
        </w:tabs>
        <w:rPr>
          <w:szCs w:val="22"/>
        </w:rPr>
      </w:pPr>
      <w:r>
        <w:t xml:space="preserve">At this site, the aquifer </w:t>
      </w:r>
      <w:r w:rsidRPr="00795774">
        <w:t xml:space="preserve">contains an estimated </w:t>
      </w:r>
      <w:r w:rsidR="00D82AD2">
        <w:t>30</w:t>
      </w:r>
      <w:r w:rsidRPr="00795774">
        <w:t>-</w:t>
      </w:r>
      <w:r w:rsidR="00D82AD2">
        <w:t>70</w:t>
      </w:r>
      <w:r w:rsidRPr="00795774">
        <w:t xml:space="preserve"> GL of good to acceptable quality (&lt;1200</w:t>
      </w:r>
      <w:r w:rsidR="00F2681D">
        <w:t xml:space="preserve"> </w:t>
      </w:r>
      <w:r w:rsidRPr="00795774">
        <w:t xml:space="preserve">mg/l TDS) </w:t>
      </w:r>
      <w:r w:rsidRPr="000F7173">
        <w:rPr>
          <w:szCs w:val="22"/>
        </w:rPr>
        <w:t>groundwater (</w:t>
      </w:r>
      <w:r w:rsidR="000F7173" w:rsidRPr="000F7173">
        <w:rPr>
          <w:szCs w:val="22"/>
        </w:rPr>
        <w:fldChar w:fldCharType="begin"/>
      </w:r>
      <w:r w:rsidR="000F7173" w:rsidRPr="000F7173">
        <w:rPr>
          <w:szCs w:val="22"/>
        </w:rPr>
        <w:instrText xml:space="preserve"> REF _Ref325708782 \h </w:instrText>
      </w:r>
      <w:r w:rsidR="000F7173">
        <w:rPr>
          <w:szCs w:val="22"/>
        </w:rPr>
        <w:instrText xml:space="preserve"> \* MERGEFORMAT </w:instrText>
      </w:r>
      <w:r w:rsidR="000F7173" w:rsidRPr="000F7173">
        <w:rPr>
          <w:szCs w:val="22"/>
        </w:rPr>
      </w:r>
      <w:r w:rsidR="000F7173" w:rsidRPr="000F7173">
        <w:rPr>
          <w:szCs w:val="22"/>
        </w:rPr>
        <w:fldChar w:fldCharType="separate"/>
      </w:r>
      <w:r w:rsidR="00966532" w:rsidRPr="00966532">
        <w:rPr>
          <w:szCs w:val="22"/>
        </w:rPr>
        <w:t>Figure 9</w:t>
      </w:r>
      <w:r w:rsidR="00966532" w:rsidRPr="00966532">
        <w:rPr>
          <w:szCs w:val="22"/>
        </w:rPr>
        <w:noBreakHyphen/>
        <w:t>2</w:t>
      </w:r>
      <w:r w:rsidR="000F7173" w:rsidRPr="000F7173">
        <w:rPr>
          <w:szCs w:val="22"/>
        </w:rPr>
        <w:fldChar w:fldCharType="end"/>
      </w:r>
      <w:r w:rsidR="000641F5">
        <w:rPr>
          <w:szCs w:val="22"/>
        </w:rPr>
        <w:t xml:space="preserve">, </w:t>
      </w:r>
      <w:r w:rsidR="000F7173" w:rsidRPr="000F7173">
        <w:rPr>
          <w:szCs w:val="22"/>
        </w:rPr>
        <w:fldChar w:fldCharType="begin"/>
      </w:r>
      <w:r w:rsidR="000F7173" w:rsidRPr="000F7173">
        <w:rPr>
          <w:szCs w:val="22"/>
        </w:rPr>
        <w:instrText xml:space="preserve"> REF _Ref355624436 \h </w:instrText>
      </w:r>
      <w:r w:rsidR="000F7173">
        <w:rPr>
          <w:szCs w:val="22"/>
        </w:rPr>
        <w:instrText xml:space="preserve"> \* MERGEFORMAT </w:instrText>
      </w:r>
      <w:r w:rsidR="000F7173" w:rsidRPr="000F7173">
        <w:rPr>
          <w:szCs w:val="22"/>
        </w:rPr>
      </w:r>
      <w:r w:rsidR="000F7173" w:rsidRPr="000F7173">
        <w:rPr>
          <w:szCs w:val="22"/>
        </w:rPr>
        <w:fldChar w:fldCharType="separate"/>
      </w:r>
      <w:r w:rsidR="00966532" w:rsidRPr="00966532">
        <w:rPr>
          <w:szCs w:val="22"/>
        </w:rPr>
        <w:t>Table 9</w:t>
      </w:r>
      <w:r w:rsidR="00966532" w:rsidRPr="00966532">
        <w:rPr>
          <w:szCs w:val="22"/>
        </w:rPr>
        <w:noBreakHyphen/>
        <w:t>1</w:t>
      </w:r>
      <w:r w:rsidR="000F7173" w:rsidRPr="000F7173">
        <w:rPr>
          <w:szCs w:val="22"/>
        </w:rPr>
        <w:fldChar w:fldCharType="end"/>
      </w:r>
      <w:r w:rsidRPr="00BB32D8">
        <w:rPr>
          <w:szCs w:val="22"/>
        </w:rPr>
        <w:t>)</w:t>
      </w:r>
      <w:r w:rsidR="00D82AD2">
        <w:rPr>
          <w:szCs w:val="22"/>
        </w:rPr>
        <w:t xml:space="preserve">, however this does not equate to the groundwater volume available for extraction. </w:t>
      </w:r>
      <w:r w:rsidR="00D82AD2">
        <w:t xml:space="preserve">The long-term viability of this option is dependent upon continuation of existing leakage from </w:t>
      </w:r>
      <w:smartTag w:uri="urn:schemas-microsoft-com:office:smarttags" w:element="place">
        <w:smartTag w:uri="urn:schemas-microsoft-com:office:smarttags" w:element="PlaceType">
          <w:r w:rsidR="00D82AD2">
            <w:lastRenderedPageBreak/>
            <w:t>Lake</w:t>
          </w:r>
        </w:smartTag>
        <w:r w:rsidR="00D82AD2">
          <w:t xml:space="preserve"> </w:t>
        </w:r>
        <w:smartTag w:uri="urn:schemas-microsoft-com:office:smarttags" w:element="PlaceName">
          <w:r w:rsidR="00D82AD2">
            <w:t>Menindee</w:t>
          </w:r>
        </w:smartTag>
      </w:smartTag>
      <w:r w:rsidR="00D82AD2">
        <w:t xml:space="preserve"> when the lake is filled</w:t>
      </w:r>
      <w:r w:rsidR="00B95B20">
        <w:t>.</w:t>
      </w:r>
      <w:r w:rsidRPr="00670511">
        <w:rPr>
          <w:szCs w:val="22"/>
        </w:rPr>
        <w:t xml:space="preserve"> </w:t>
      </w:r>
      <w:smartTag w:uri="urn:schemas-microsoft-com:office:smarttags" w:element="PersonName">
        <w:r w:rsidRPr="00670511">
          <w:rPr>
            <w:szCs w:val="22"/>
          </w:rPr>
          <w:t>Groundwater</w:t>
        </w:r>
      </w:smartTag>
      <w:r w:rsidRPr="00670511">
        <w:rPr>
          <w:szCs w:val="22"/>
        </w:rPr>
        <w:t xml:space="preserve"> extraction at this site has a number of potential negative consequences due to the connection to the overlying </w:t>
      </w:r>
      <w:r w:rsidR="00C217F0">
        <w:rPr>
          <w:szCs w:val="22"/>
        </w:rPr>
        <w:t>Menindee Formation</w:t>
      </w:r>
      <w:r w:rsidRPr="00670511">
        <w:rPr>
          <w:szCs w:val="22"/>
        </w:rPr>
        <w:t xml:space="preserve">, and the unconfined nature of the </w:t>
      </w:r>
      <w:r w:rsidR="00C217F0">
        <w:rPr>
          <w:szCs w:val="22"/>
        </w:rPr>
        <w:t>Calivil Formation</w:t>
      </w:r>
      <w:r w:rsidRPr="00670511">
        <w:rPr>
          <w:szCs w:val="22"/>
        </w:rPr>
        <w:t xml:space="preserve"> aquifer at this location. </w:t>
      </w:r>
      <w:r w:rsidR="00F2681D" w:rsidRPr="00670511">
        <w:rPr>
          <w:szCs w:val="22"/>
        </w:rPr>
        <w:t>These are discussed in some detail in Lawrie</w:t>
      </w:r>
      <w:r w:rsidR="008A5F7D" w:rsidRPr="00CF7613">
        <w:rPr>
          <w:rStyle w:val="StyleItalic"/>
        </w:rPr>
        <w:t xml:space="preserve"> et al</w:t>
      </w:r>
      <w:r w:rsidR="00F2681D" w:rsidRPr="00670511">
        <w:rPr>
          <w:szCs w:val="22"/>
        </w:rPr>
        <w:t xml:space="preserve">. (2012c). </w:t>
      </w:r>
      <w:r w:rsidRPr="00670511">
        <w:rPr>
          <w:szCs w:val="22"/>
        </w:rPr>
        <w:t>There is a</w:t>
      </w:r>
      <w:r>
        <w:rPr>
          <w:szCs w:val="22"/>
        </w:rPr>
        <w:t xml:space="preserve"> particular risk to lake-fringing vegetation which is dependent upon the shallow aquifer, while there is also the potential for subsidence with over-extraction, and ingress of saline groundwater. </w:t>
      </w:r>
      <w:r w:rsidR="00B95B20" w:rsidRPr="00BB32D8">
        <w:rPr>
          <w:szCs w:val="22"/>
        </w:rPr>
        <w:t>Processing</w:t>
      </w:r>
      <w:r w:rsidR="00B95B20" w:rsidRPr="00795774">
        <w:rPr>
          <w:szCs w:val="22"/>
        </w:rPr>
        <w:t xml:space="preserve"> of extracted water would be </w:t>
      </w:r>
      <w:r w:rsidR="00B95B20" w:rsidRPr="00670511">
        <w:rPr>
          <w:szCs w:val="22"/>
        </w:rPr>
        <w:t>required to potentially treat for chloride, sodium, manganese, iron</w:t>
      </w:r>
      <w:r w:rsidR="00B95B20" w:rsidRPr="00670511">
        <w:rPr>
          <w:szCs w:val="22"/>
          <w:vertAlign w:val="subscript"/>
        </w:rPr>
        <w:t xml:space="preserve">, </w:t>
      </w:r>
      <w:r w:rsidR="00B95B20" w:rsidRPr="00670511">
        <w:rPr>
          <w:szCs w:val="22"/>
        </w:rPr>
        <w:t>ammonia, fluoride and sulfate</w:t>
      </w:r>
      <w:r w:rsidR="000641F5">
        <w:rPr>
          <w:szCs w:val="22"/>
        </w:rPr>
        <w:t>.</w:t>
      </w:r>
    </w:p>
    <w:p w:rsidR="00001EDC" w:rsidRDefault="00001EDC" w:rsidP="00001EDC">
      <w:pPr>
        <w:tabs>
          <w:tab w:val="num" w:pos="720"/>
        </w:tabs>
        <w:rPr>
          <w:szCs w:val="22"/>
        </w:rPr>
      </w:pPr>
    </w:p>
    <w:p w:rsidR="000641F5" w:rsidRDefault="00001EDC" w:rsidP="000641F5">
      <w:pPr>
        <w:tabs>
          <w:tab w:val="num" w:pos="720"/>
        </w:tabs>
        <w:rPr>
          <w:szCs w:val="22"/>
        </w:rPr>
      </w:pPr>
      <w:r>
        <w:rPr>
          <w:szCs w:val="22"/>
        </w:rPr>
        <w:t xml:space="preserve">As with the option above, bore infrastructure </w:t>
      </w:r>
      <w:r w:rsidR="000641F5">
        <w:rPr>
          <w:szCs w:val="22"/>
        </w:rPr>
        <w:t>may</w:t>
      </w:r>
      <w:r>
        <w:rPr>
          <w:szCs w:val="22"/>
        </w:rPr>
        <w:t xml:space="preserve"> have to be developed on the lake floor, and design work would have to ensure the bores and associated pipelines would not pose navigation hazards.</w:t>
      </w:r>
      <w:r w:rsidR="000641F5" w:rsidRPr="000641F5">
        <w:t xml:space="preserve"> </w:t>
      </w:r>
      <w:r w:rsidR="000641F5">
        <w:t>Options with infrastructure outside the perimeter of the lake would have less of these logistical issues, with significant advantages in terms of maintenance and monitoring.</w:t>
      </w:r>
    </w:p>
    <w:p w:rsidR="00035877" w:rsidRDefault="00670511" w:rsidP="003764CE">
      <w:pPr>
        <w:tabs>
          <w:tab w:val="num" w:pos="720"/>
        </w:tabs>
        <w:spacing w:after="60"/>
      </w:pPr>
      <w:r>
        <w:rPr>
          <w:szCs w:val="22"/>
        </w:rPr>
        <w:br w:type="page"/>
      </w:r>
      <w:r w:rsidR="00706A3B">
        <w:rPr>
          <w:noProof/>
        </w:rPr>
        <w:lastRenderedPageBreak/>
        <w:drawing>
          <wp:inline distT="0" distB="0" distL="0" distR="0" wp14:anchorId="7425A38C" wp14:editId="630028B2">
            <wp:extent cx="5943600" cy="7230110"/>
            <wp:effectExtent l="19050" t="19050" r="0" b="8890"/>
            <wp:docPr id="103" name="Picture 103" descr="Fig57_Menindee_WQ_sha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ig57_Menindee_WQ_shallow"/>
                    <pic:cNvPicPr>
                      <a:picLocks noChangeAspect="1" noChangeArrowheads="1"/>
                    </pic:cNvPicPr>
                  </pic:nvPicPr>
                  <pic:blipFill>
                    <a:blip r:embed="rId140" cstate="print">
                      <a:extLst>
                        <a:ext uri="{28A0092B-C50C-407E-A947-70E740481C1C}">
                          <a14:useLocalDpi xmlns:a14="http://schemas.microsoft.com/office/drawing/2010/main" val="0"/>
                        </a:ext>
                      </a:extLst>
                    </a:blip>
                    <a:srcRect l="8972" t="7004" r="9415" b="22742"/>
                    <a:stretch>
                      <a:fillRect/>
                    </a:stretch>
                  </pic:blipFill>
                  <pic:spPr bwMode="auto">
                    <a:xfrm>
                      <a:off x="0" y="0"/>
                      <a:ext cx="5943600" cy="7230110"/>
                    </a:xfrm>
                    <a:prstGeom prst="rect">
                      <a:avLst/>
                    </a:prstGeom>
                    <a:noFill/>
                    <a:ln w="12700" cmpd="sng">
                      <a:solidFill>
                        <a:srgbClr val="000000"/>
                      </a:solidFill>
                      <a:miter lim="800000"/>
                      <a:headEnd/>
                      <a:tailEnd/>
                    </a:ln>
                    <a:effectLst/>
                  </pic:spPr>
                </pic:pic>
              </a:graphicData>
            </a:graphic>
          </wp:inline>
        </w:drawing>
      </w:r>
    </w:p>
    <w:p w:rsidR="00927BA1" w:rsidRPr="00CB7EA6" w:rsidRDefault="001741E7" w:rsidP="00D35ACA">
      <w:pPr>
        <w:pStyle w:val="Caption"/>
        <w:rPr>
          <w:bCs w:val="0"/>
          <w:i w:val="0"/>
        </w:rPr>
      </w:pPr>
      <w:bookmarkStart w:id="645" w:name="_Ref325708782"/>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9</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645"/>
      <w:r>
        <w:rPr>
          <w:b/>
        </w:rPr>
        <w:t xml:space="preserve">. </w:t>
      </w:r>
      <w:r w:rsidR="000641F5">
        <w:t xml:space="preserve">Predicted </w:t>
      </w:r>
      <w:r w:rsidR="00C43508">
        <w:t>groundwater</w:t>
      </w:r>
      <w:r w:rsidR="00FE37F2">
        <w:t xml:space="preserve"> </w:t>
      </w:r>
      <w:r w:rsidR="000641F5">
        <w:t>salinity</w:t>
      </w:r>
      <w:r w:rsidR="00FE37F2">
        <w:t xml:space="preserve"> at </w:t>
      </w:r>
      <w:r w:rsidR="00C217F0">
        <w:t>Lake Menindee</w:t>
      </w:r>
      <w:r w:rsidR="00676F9E">
        <w:t xml:space="preserve"> backup site</w:t>
      </w:r>
      <w:r w:rsidR="00FE37F2">
        <w:t xml:space="preserve">, within the </w:t>
      </w:r>
      <w:r w:rsidR="00C217F0">
        <w:t>Calivil Formation</w:t>
      </w:r>
      <w:r w:rsidR="009E2332">
        <w:t xml:space="preserve"> at depth of 22.0-26.1</w:t>
      </w:r>
      <w:r w:rsidR="00A72012">
        <w:t xml:space="preserve"> </w:t>
      </w:r>
      <w:r w:rsidR="00FE37F2">
        <w:t>m.</w:t>
      </w:r>
      <w:r w:rsidR="00BE08AB" w:rsidRPr="00BE08AB">
        <w:t xml:space="preserve"> </w:t>
      </w:r>
      <w:r w:rsidR="00BE08AB" w:rsidRPr="00CB7EA6">
        <w:rPr>
          <w:i w:val="0"/>
        </w:rPr>
        <w:fldChar w:fldCharType="begin"/>
      </w:r>
      <w:r w:rsidR="00BE08AB" w:rsidRPr="00CB7EA6">
        <w:rPr>
          <w:i w:val="0"/>
        </w:rPr>
        <w:instrText xml:space="preserve"> TC "</w:instrText>
      </w:r>
      <w:bookmarkStart w:id="646" w:name="_Toc325975251"/>
      <w:bookmarkStart w:id="647" w:name="_Toc390690270"/>
      <w:r w:rsidR="00BE08AB" w:rsidRPr="00CB7EA6">
        <w:rPr>
          <w:i w:val="0"/>
        </w:rPr>
        <w:instrText>Figure</w:instrText>
      </w:r>
      <w:r w:rsidR="000D653B">
        <w:rPr>
          <w:i w:val="0"/>
        </w:rPr>
        <w:instrText xml:space="preserve"> 9-2</w:instrText>
      </w:r>
      <w:r w:rsidR="00DE0DFA" w:rsidRPr="00CB7EA6">
        <w:rPr>
          <w:i w:val="0"/>
        </w:rPr>
        <w:instrText>.</w:instrText>
      </w:r>
      <w:r w:rsidR="00BE08AB" w:rsidRPr="00CB7EA6">
        <w:rPr>
          <w:i w:val="0"/>
        </w:rPr>
        <w:instrText xml:space="preserve"> </w:instrText>
      </w:r>
      <w:r w:rsidR="000641F5">
        <w:rPr>
          <w:i w:val="0"/>
        </w:rPr>
        <w:instrText>Predicte</w:instrText>
      </w:r>
      <w:r w:rsidR="000641F5" w:rsidRPr="00CB7EA6">
        <w:rPr>
          <w:i w:val="0"/>
        </w:rPr>
        <w:instrText xml:space="preserve">d </w:instrText>
      </w:r>
      <w:r w:rsidR="00DD5B97" w:rsidRPr="00CB7EA6">
        <w:rPr>
          <w:i w:val="0"/>
        </w:rPr>
        <w:instrText xml:space="preserve">groundwater </w:instrText>
      </w:r>
      <w:r w:rsidR="000641F5">
        <w:rPr>
          <w:i w:val="0"/>
        </w:rPr>
        <w:instrText>salinity</w:instrText>
      </w:r>
      <w:r w:rsidR="00DD5B97" w:rsidRPr="00CB7EA6">
        <w:rPr>
          <w:i w:val="0"/>
        </w:rPr>
        <w:instrText xml:space="preserve"> </w:instrText>
      </w:r>
      <w:r w:rsidR="009848CD">
        <w:rPr>
          <w:i w:val="0"/>
        </w:rPr>
        <w:instrText xml:space="preserve">for the 22-26.1m depth slice </w:instrText>
      </w:r>
      <w:r w:rsidR="00DD5B97" w:rsidRPr="00CB7EA6">
        <w:rPr>
          <w:i w:val="0"/>
        </w:rPr>
        <w:instrText xml:space="preserve">at </w:instrText>
      </w:r>
      <w:smartTag w:uri="urn:schemas-microsoft-com:office:smarttags" w:element="place">
        <w:smartTag w:uri="urn:schemas-microsoft-com:office:smarttags" w:element="PlaceType">
          <w:r w:rsidR="00C217F0" w:rsidRPr="00CB7EA6">
            <w:rPr>
              <w:i w:val="0"/>
            </w:rPr>
            <w:instrText>Lake</w:instrText>
          </w:r>
        </w:smartTag>
        <w:r w:rsidR="00C217F0" w:rsidRPr="00CB7EA6">
          <w:rPr>
            <w:i w:val="0"/>
          </w:rPr>
          <w:instrText xml:space="preserve"> </w:instrText>
        </w:r>
        <w:smartTag w:uri="urn:schemas-microsoft-com:office:smarttags" w:element="PlaceName">
          <w:r w:rsidR="00C217F0" w:rsidRPr="00CB7EA6">
            <w:rPr>
              <w:i w:val="0"/>
            </w:rPr>
            <w:instrText>Menindee</w:instrText>
          </w:r>
        </w:smartTag>
      </w:smartTag>
      <w:bookmarkEnd w:id="646"/>
      <w:r w:rsidR="003721DD" w:rsidRPr="00CB7EA6">
        <w:rPr>
          <w:i w:val="0"/>
        </w:rPr>
        <w:instrText>.</w:instrText>
      </w:r>
      <w:bookmarkEnd w:id="647"/>
      <w:r w:rsidR="00BE08AB" w:rsidRPr="00CB7EA6">
        <w:rPr>
          <w:i w:val="0"/>
        </w:rPr>
        <w:instrText xml:space="preserve">" \f A \l “4” </w:instrText>
      </w:r>
      <w:r w:rsidR="00BE08AB" w:rsidRPr="00CB7EA6">
        <w:rPr>
          <w:i w:val="0"/>
        </w:rPr>
        <w:fldChar w:fldCharType="end"/>
      </w:r>
    </w:p>
    <w:p w:rsidR="00795774" w:rsidRDefault="00795774" w:rsidP="00927BA1"/>
    <w:p w:rsidR="00927BA1" w:rsidRDefault="00706A3B" w:rsidP="003764CE">
      <w:pPr>
        <w:spacing w:before="240" w:after="60"/>
        <w:jc w:val="center"/>
      </w:pPr>
      <w:bookmarkStart w:id="648" w:name="_Ref325709821"/>
      <w:r>
        <w:rPr>
          <w:noProof/>
        </w:rPr>
        <w:lastRenderedPageBreak/>
        <w:drawing>
          <wp:inline distT="0" distB="0" distL="0" distR="0" wp14:anchorId="182611A7" wp14:editId="077FF71B">
            <wp:extent cx="5986145" cy="6496685"/>
            <wp:effectExtent l="19050" t="19050" r="0" b="0"/>
            <wp:docPr id="104" name="Picture 104" descr="LM_veg_dom_water_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LM_veg_dom_water_source"/>
                    <pic:cNvPicPr>
                      <a:picLocks noChangeAspect="1" noChangeArrowheads="1"/>
                    </pic:cNvPicPr>
                  </pic:nvPicPr>
                  <pic:blipFill>
                    <a:blip r:embed="rId141" cstate="print">
                      <a:extLst>
                        <a:ext uri="{28A0092B-C50C-407E-A947-70E740481C1C}">
                          <a14:useLocalDpi xmlns:a14="http://schemas.microsoft.com/office/drawing/2010/main" val="0"/>
                        </a:ext>
                      </a:extLst>
                    </a:blip>
                    <a:srcRect l="8687" t="6805" r="6798" b="28259"/>
                    <a:stretch>
                      <a:fillRect/>
                    </a:stretch>
                  </pic:blipFill>
                  <pic:spPr bwMode="auto">
                    <a:xfrm>
                      <a:off x="0" y="0"/>
                      <a:ext cx="5986145" cy="6496685"/>
                    </a:xfrm>
                    <a:prstGeom prst="rect">
                      <a:avLst/>
                    </a:prstGeom>
                    <a:noFill/>
                    <a:ln w="12700" cmpd="sng">
                      <a:solidFill>
                        <a:srgbClr val="000000"/>
                      </a:solidFill>
                      <a:miter lim="800000"/>
                      <a:headEnd/>
                      <a:tailEnd/>
                    </a:ln>
                    <a:effectLst/>
                  </pic:spPr>
                </pic:pic>
              </a:graphicData>
            </a:graphic>
          </wp:inline>
        </w:drawing>
      </w:r>
    </w:p>
    <w:p w:rsidR="00870E0B" w:rsidRDefault="00DF066A" w:rsidP="00DF066A">
      <w:pPr>
        <w:pStyle w:val="Caption"/>
        <w:rPr>
          <w:bCs w:val="0"/>
          <w:i w:val="0"/>
        </w:rPr>
      </w:pPr>
      <w:bookmarkStart w:id="649" w:name="_Ref327367247"/>
      <w:bookmarkStart w:id="650" w:name="_Ref325913647"/>
      <w:r w:rsidRPr="00DF066A">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9</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649"/>
      <w:r w:rsidR="00471A4A">
        <w:rPr>
          <w:b/>
        </w:rPr>
        <w:t xml:space="preserve">. </w:t>
      </w:r>
      <w:r w:rsidR="00471A4A">
        <w:t xml:space="preserve">Mapped </w:t>
      </w:r>
      <w:r w:rsidR="00676F9E">
        <w:t xml:space="preserve">dominant water source for vegetation at </w:t>
      </w:r>
      <w:smartTag w:uri="urn:schemas-microsoft-com:office:smarttags" w:element="place">
        <w:smartTag w:uri="urn:schemas-microsoft-com:office:smarttags" w:element="PlaceType">
          <w:r w:rsidR="00C217F0">
            <w:t>Lake</w:t>
          </w:r>
        </w:smartTag>
        <w:r w:rsidR="00C217F0">
          <w:t xml:space="preserve"> </w:t>
        </w:r>
        <w:smartTag w:uri="urn:schemas-microsoft-com:office:smarttags" w:element="PlaceName">
          <w:r w:rsidR="00C217F0">
            <w:t>Menindee</w:t>
          </w:r>
        </w:smartTag>
      </w:smartTag>
      <w:r w:rsidR="00676F9E">
        <w:t xml:space="preserve"> back up site.</w:t>
      </w:r>
      <w:r w:rsidR="00870E0B">
        <w:t xml:space="preserve"> </w:t>
      </w:r>
      <w:r w:rsidR="00870E0B" w:rsidRPr="00870E0B">
        <w:rPr>
          <w:bCs w:val="0"/>
          <w:i w:val="0"/>
        </w:rPr>
        <w:fldChar w:fldCharType="begin"/>
      </w:r>
      <w:r w:rsidR="00870E0B" w:rsidRPr="00870E0B">
        <w:rPr>
          <w:bCs w:val="0"/>
          <w:i w:val="0"/>
        </w:rPr>
        <w:instrText xml:space="preserve"> TC "</w:instrText>
      </w:r>
      <w:bookmarkStart w:id="651" w:name="_Toc390690271"/>
      <w:r w:rsidR="00870E0B" w:rsidRPr="00870E0B">
        <w:rPr>
          <w:bCs w:val="0"/>
          <w:i w:val="0"/>
        </w:rPr>
        <w:instrText xml:space="preserve">Figure </w:instrText>
      </w:r>
      <w:r w:rsidR="000D653B">
        <w:rPr>
          <w:bCs w:val="0"/>
          <w:i w:val="0"/>
        </w:rPr>
        <w:instrText>9-3</w:instrText>
      </w:r>
      <w:r w:rsidR="00DE0DFA">
        <w:rPr>
          <w:bCs w:val="0"/>
          <w:i w:val="0"/>
        </w:rPr>
        <w:instrText>.</w:instrText>
      </w:r>
      <w:r w:rsidR="00870E0B" w:rsidRPr="00870E0B">
        <w:rPr>
          <w:bCs w:val="0"/>
          <w:i w:val="0"/>
        </w:rPr>
        <w:instrText xml:space="preserve"> </w:instrText>
      </w:r>
      <w:r w:rsidR="00870E0B" w:rsidRPr="00870E0B">
        <w:rPr>
          <w:i w:val="0"/>
        </w:rPr>
        <w:instrText xml:space="preserve">Mapped dominant water source for vegetation at </w:instrText>
      </w:r>
      <w:smartTag w:uri="urn:schemas-microsoft-com:office:smarttags" w:element="place">
        <w:smartTag w:uri="urn:schemas-microsoft-com:office:smarttags" w:element="PlaceType">
          <w:r w:rsidR="00C217F0">
            <w:rPr>
              <w:i w:val="0"/>
            </w:rPr>
            <w:instrText>Lake</w:instrText>
          </w:r>
        </w:smartTag>
        <w:r w:rsidR="00C217F0">
          <w:rPr>
            <w:i w:val="0"/>
          </w:rPr>
          <w:instrText xml:space="preserve"> </w:instrText>
        </w:r>
        <w:smartTag w:uri="urn:schemas-microsoft-com:office:smarttags" w:element="PlaceName">
          <w:r w:rsidR="00C217F0">
            <w:rPr>
              <w:i w:val="0"/>
            </w:rPr>
            <w:instrText>Menindee</w:instrText>
          </w:r>
        </w:smartTag>
      </w:smartTag>
      <w:r w:rsidR="00870E0B" w:rsidRPr="00870E0B">
        <w:rPr>
          <w:i w:val="0"/>
        </w:rPr>
        <w:instrText xml:space="preserve"> back up site</w:instrText>
      </w:r>
      <w:r w:rsidR="003721DD">
        <w:rPr>
          <w:bCs w:val="0"/>
          <w:i w:val="0"/>
        </w:rPr>
        <w:instrText>.</w:instrText>
      </w:r>
      <w:bookmarkEnd w:id="651"/>
      <w:r w:rsidR="00870E0B" w:rsidRPr="00870E0B">
        <w:rPr>
          <w:bCs w:val="0"/>
          <w:i w:val="0"/>
        </w:rPr>
        <w:instrText xml:space="preserve">" \f A \l “4” </w:instrText>
      </w:r>
      <w:r w:rsidR="00870E0B" w:rsidRPr="00870E0B">
        <w:rPr>
          <w:bCs w:val="0"/>
          <w:i w:val="0"/>
        </w:rPr>
        <w:fldChar w:fldCharType="end"/>
      </w:r>
    </w:p>
    <w:p w:rsidR="00927BA1" w:rsidRPr="007960BF" w:rsidRDefault="00927BA1" w:rsidP="00927BA1">
      <w:pPr>
        <w:pStyle w:val="Caption"/>
        <w:rPr>
          <w:i w:val="0"/>
          <w:szCs w:val="22"/>
        </w:rPr>
      </w:pPr>
      <w:bookmarkStart w:id="652" w:name="_Ref327368929"/>
      <w:bookmarkStart w:id="653" w:name="_Ref327390865"/>
      <w:bookmarkStart w:id="654" w:name="_Ref355624436"/>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648"/>
      <w:bookmarkEnd w:id="650"/>
      <w:bookmarkEnd w:id="652"/>
      <w:bookmarkEnd w:id="653"/>
      <w:bookmarkEnd w:id="654"/>
      <w:r w:rsidRPr="00CD2825">
        <w:rPr>
          <w:b/>
        </w:rPr>
        <w:t>.</w:t>
      </w:r>
      <w:r>
        <w:t xml:space="preserve"> </w:t>
      </w:r>
      <w:r w:rsidRPr="00E823BA">
        <w:rPr>
          <w:szCs w:val="22"/>
        </w:rPr>
        <w:t xml:space="preserve">Indicative groundwater volume estimates for the </w:t>
      </w:r>
      <w:smartTag w:uri="urn:schemas-microsoft-com:office:smarttags" w:element="place">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smartTag>
      <w:r w:rsidRPr="00E823BA">
        <w:rPr>
          <w:szCs w:val="22"/>
        </w:rPr>
        <w:t xml:space="preserve"> potential borefield in the GWR2 target.</w:t>
      </w:r>
      <w:r w:rsidRPr="00DD5B97">
        <w:t xml:space="preserve"> </w:t>
      </w:r>
      <w:r w:rsidRPr="007960BF">
        <w:rPr>
          <w:i w:val="0"/>
        </w:rPr>
        <w:fldChar w:fldCharType="begin"/>
      </w:r>
      <w:r w:rsidRPr="007960BF">
        <w:rPr>
          <w:i w:val="0"/>
        </w:rPr>
        <w:instrText xml:space="preserve"> TC "</w:instrText>
      </w:r>
      <w:bookmarkStart w:id="655" w:name="_Toc325975313"/>
      <w:bookmarkStart w:id="656" w:name="_Toc390690302"/>
      <w:r w:rsidR="005B1337" w:rsidRPr="007960BF">
        <w:rPr>
          <w:i w:val="0"/>
        </w:rPr>
        <w:instrText xml:space="preserve">Table </w:instrText>
      </w:r>
      <w:r w:rsidR="00746AA7">
        <w:rPr>
          <w:i w:val="0"/>
        </w:rPr>
        <w:instrText>9-1</w:instrText>
      </w:r>
      <w:r w:rsidR="00DE0DFA">
        <w:rPr>
          <w:i w:val="0"/>
        </w:rPr>
        <w:instrText>.</w:instrText>
      </w:r>
      <w:r w:rsidRPr="007960BF">
        <w:rPr>
          <w:i w:val="0"/>
        </w:rPr>
        <w:instrText xml:space="preserve"> </w:instrText>
      </w:r>
      <w:r w:rsidRPr="007960BF">
        <w:rPr>
          <w:i w:val="0"/>
          <w:szCs w:val="22"/>
        </w:rPr>
        <w:instrText xml:space="preserve">Indicative groundwater volume estimates for the </w:instrText>
      </w:r>
      <w:smartTag w:uri="urn:schemas-microsoft-com:office:smarttags" w:element="place">
        <w:smartTag w:uri="urn:schemas-microsoft-com:office:smarttags" w:element="PlaceType">
          <w:r w:rsidR="00C217F0">
            <w:rPr>
              <w:i w:val="0"/>
              <w:szCs w:val="22"/>
            </w:rPr>
            <w:instrText>Lake</w:instrText>
          </w:r>
        </w:smartTag>
        <w:r w:rsidR="00C217F0">
          <w:rPr>
            <w:i w:val="0"/>
            <w:szCs w:val="22"/>
          </w:rPr>
          <w:instrText xml:space="preserve"> </w:instrText>
        </w:r>
        <w:smartTag w:uri="urn:schemas-microsoft-com:office:smarttags" w:element="PlaceName">
          <w:r w:rsidR="00C217F0">
            <w:rPr>
              <w:i w:val="0"/>
              <w:szCs w:val="22"/>
            </w:rPr>
            <w:instrText>Menindee</w:instrText>
          </w:r>
        </w:smartTag>
      </w:smartTag>
      <w:r w:rsidRPr="007960BF">
        <w:rPr>
          <w:i w:val="0"/>
          <w:szCs w:val="22"/>
        </w:rPr>
        <w:instrText xml:space="preserve"> potential borefield in the GWR2 target</w:instrText>
      </w:r>
      <w:bookmarkEnd w:id="655"/>
      <w:r w:rsidR="003721DD">
        <w:rPr>
          <w:i w:val="0"/>
        </w:rPr>
        <w:instrText>.</w:instrText>
      </w:r>
      <w:bookmarkEnd w:id="656"/>
      <w:r w:rsidRPr="007960BF">
        <w:rPr>
          <w:i w:val="0"/>
        </w:rPr>
        <w:instrText xml:space="preserve">" \f B \l "4" </w:instrText>
      </w:r>
      <w:r w:rsidRPr="007960BF">
        <w:rPr>
          <w:i w:val="0"/>
        </w:rPr>
        <w:fldChar w:fldCharType="end"/>
      </w:r>
    </w:p>
    <w:tbl>
      <w:tblPr>
        <w:tblW w:w="0" w:type="auto"/>
        <w:jc w:val="center"/>
        <w:tblInd w:w="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3"/>
        <w:gridCol w:w="1719"/>
        <w:gridCol w:w="1860"/>
        <w:gridCol w:w="1639"/>
        <w:gridCol w:w="1933"/>
      </w:tblGrid>
      <w:tr w:rsidR="00294276" w:rsidRPr="000641F5" w:rsidTr="000641F5">
        <w:trPr>
          <w:trHeight w:val="884"/>
          <w:jc w:val="center"/>
        </w:trPr>
        <w:tc>
          <w:tcPr>
            <w:tcW w:w="2003" w:type="dxa"/>
            <w:tcBorders>
              <w:top w:val="single" w:sz="4" w:space="0" w:color="auto"/>
              <w:left w:val="single" w:sz="4" w:space="0" w:color="auto"/>
              <w:bottom w:val="single" w:sz="4" w:space="0" w:color="auto"/>
              <w:right w:val="single" w:sz="4" w:space="0" w:color="auto"/>
            </w:tcBorders>
            <w:shd w:val="clear" w:color="auto" w:fill="8C8C8C"/>
            <w:vAlign w:val="center"/>
          </w:tcPr>
          <w:p w:rsidR="00294276" w:rsidRPr="000641F5" w:rsidRDefault="00294276" w:rsidP="00294276">
            <w:pPr>
              <w:rPr>
                <w:b/>
                <w:bCs/>
                <w:color w:val="000000"/>
                <w:sz w:val="18"/>
                <w:szCs w:val="18"/>
              </w:rPr>
            </w:pPr>
            <w:r w:rsidRPr="000641F5">
              <w:rPr>
                <w:b/>
                <w:bCs/>
                <w:color w:val="000000"/>
                <w:sz w:val="18"/>
                <w:szCs w:val="18"/>
              </w:rPr>
              <w:t>Borefield Target</w:t>
            </w:r>
          </w:p>
        </w:tc>
        <w:tc>
          <w:tcPr>
            <w:tcW w:w="1719" w:type="dxa"/>
            <w:tcBorders>
              <w:top w:val="single" w:sz="4" w:space="0" w:color="auto"/>
              <w:left w:val="single" w:sz="4" w:space="0" w:color="auto"/>
              <w:bottom w:val="single" w:sz="4" w:space="0" w:color="auto"/>
              <w:right w:val="single" w:sz="4" w:space="0" w:color="auto"/>
            </w:tcBorders>
            <w:shd w:val="clear" w:color="auto" w:fill="8C8C8C"/>
            <w:vAlign w:val="center"/>
          </w:tcPr>
          <w:p w:rsidR="00294276" w:rsidRPr="000641F5" w:rsidRDefault="000641F5" w:rsidP="000641F5">
            <w:pPr>
              <w:jc w:val="center"/>
              <w:rPr>
                <w:b/>
                <w:bCs/>
                <w:color w:val="000000"/>
                <w:sz w:val="18"/>
                <w:szCs w:val="18"/>
              </w:rPr>
            </w:pPr>
            <w:r w:rsidRPr="000641F5">
              <w:rPr>
                <w:b/>
                <w:bCs/>
                <w:color w:val="000000"/>
                <w:sz w:val="18"/>
                <w:szCs w:val="18"/>
              </w:rPr>
              <w:t xml:space="preserve">Predicted </w:t>
            </w:r>
            <w:r w:rsidR="00294276" w:rsidRPr="000641F5">
              <w:rPr>
                <w:b/>
                <w:bCs/>
                <w:color w:val="000000"/>
                <w:sz w:val="18"/>
                <w:szCs w:val="18"/>
              </w:rPr>
              <w:t>Water Quality Class</w:t>
            </w:r>
          </w:p>
        </w:tc>
        <w:tc>
          <w:tcPr>
            <w:tcW w:w="1860" w:type="dxa"/>
            <w:tcBorders>
              <w:top w:val="single" w:sz="4" w:space="0" w:color="auto"/>
              <w:left w:val="single" w:sz="4" w:space="0" w:color="auto"/>
              <w:bottom w:val="single" w:sz="4" w:space="0" w:color="auto"/>
              <w:right w:val="single" w:sz="4" w:space="0" w:color="auto"/>
            </w:tcBorders>
            <w:shd w:val="clear" w:color="auto" w:fill="8C8C8C"/>
            <w:vAlign w:val="center"/>
          </w:tcPr>
          <w:p w:rsidR="00F830A9" w:rsidRDefault="00294276" w:rsidP="000641F5">
            <w:pPr>
              <w:jc w:val="center"/>
              <w:rPr>
                <w:b/>
                <w:bCs/>
                <w:color w:val="000000"/>
                <w:sz w:val="18"/>
                <w:szCs w:val="18"/>
              </w:rPr>
            </w:pPr>
            <w:r w:rsidRPr="000641F5">
              <w:rPr>
                <w:b/>
                <w:bCs/>
                <w:color w:val="000000"/>
                <w:sz w:val="18"/>
                <w:szCs w:val="18"/>
              </w:rPr>
              <w:t xml:space="preserve">Lower Quartile Groundwater Volume </w:t>
            </w:r>
          </w:p>
          <w:p w:rsidR="00F830A9" w:rsidRDefault="00F830A9" w:rsidP="000641F5">
            <w:pPr>
              <w:jc w:val="center"/>
              <w:rPr>
                <w:b/>
                <w:bCs/>
                <w:color w:val="000000"/>
                <w:sz w:val="18"/>
                <w:szCs w:val="18"/>
              </w:rPr>
            </w:pPr>
          </w:p>
          <w:p w:rsidR="00294276" w:rsidRPr="000641F5" w:rsidRDefault="00294276" w:rsidP="000641F5">
            <w:pPr>
              <w:jc w:val="center"/>
              <w:rPr>
                <w:b/>
                <w:bCs/>
                <w:color w:val="000000"/>
                <w:sz w:val="18"/>
                <w:szCs w:val="18"/>
              </w:rPr>
            </w:pPr>
            <w:r w:rsidRPr="000641F5">
              <w:rPr>
                <w:b/>
                <w:bCs/>
                <w:color w:val="000000"/>
                <w:sz w:val="18"/>
                <w:szCs w:val="18"/>
              </w:rPr>
              <w:t>(GL)</w:t>
            </w:r>
          </w:p>
        </w:tc>
        <w:tc>
          <w:tcPr>
            <w:tcW w:w="1639" w:type="dxa"/>
            <w:tcBorders>
              <w:top w:val="single" w:sz="4" w:space="0" w:color="auto"/>
              <w:left w:val="single" w:sz="4" w:space="0" w:color="auto"/>
              <w:bottom w:val="single" w:sz="4" w:space="0" w:color="auto"/>
              <w:right w:val="single" w:sz="4" w:space="0" w:color="auto"/>
            </w:tcBorders>
            <w:shd w:val="clear" w:color="auto" w:fill="8C8C8C"/>
            <w:vAlign w:val="center"/>
          </w:tcPr>
          <w:p w:rsidR="00F830A9" w:rsidRDefault="00294276" w:rsidP="000641F5">
            <w:pPr>
              <w:jc w:val="center"/>
              <w:rPr>
                <w:b/>
                <w:bCs/>
                <w:color w:val="000000"/>
                <w:sz w:val="18"/>
                <w:szCs w:val="18"/>
              </w:rPr>
            </w:pPr>
            <w:r w:rsidRPr="000641F5">
              <w:rPr>
                <w:b/>
                <w:bCs/>
                <w:color w:val="000000"/>
                <w:sz w:val="18"/>
                <w:szCs w:val="18"/>
              </w:rPr>
              <w:t xml:space="preserve">Median Groundwater Volume </w:t>
            </w:r>
          </w:p>
          <w:p w:rsidR="00294276" w:rsidRPr="000641F5" w:rsidRDefault="00294276" w:rsidP="000641F5">
            <w:pPr>
              <w:jc w:val="center"/>
              <w:rPr>
                <w:b/>
                <w:bCs/>
                <w:color w:val="000000"/>
                <w:sz w:val="18"/>
                <w:szCs w:val="18"/>
              </w:rPr>
            </w:pPr>
            <w:r w:rsidRPr="000641F5">
              <w:rPr>
                <w:b/>
                <w:bCs/>
                <w:color w:val="000000"/>
                <w:sz w:val="18"/>
                <w:szCs w:val="18"/>
              </w:rPr>
              <w:t>(</w:t>
            </w:r>
            <w:r w:rsidR="007C45E4" w:rsidRPr="000641F5">
              <w:rPr>
                <w:b/>
                <w:bCs/>
                <w:color w:val="000000"/>
                <w:sz w:val="18"/>
                <w:szCs w:val="18"/>
              </w:rPr>
              <w:t>G</w:t>
            </w:r>
            <w:r w:rsidR="007C45E4">
              <w:rPr>
                <w:b/>
                <w:bCs/>
                <w:color w:val="000000"/>
                <w:sz w:val="18"/>
                <w:szCs w:val="18"/>
              </w:rPr>
              <w:t>L</w:t>
            </w:r>
            <w:r w:rsidRPr="000641F5">
              <w:rPr>
                <w:b/>
                <w:bCs/>
                <w:color w:val="000000"/>
                <w:sz w:val="18"/>
                <w:szCs w:val="18"/>
              </w:rPr>
              <w:t>)</w:t>
            </w:r>
          </w:p>
        </w:tc>
        <w:tc>
          <w:tcPr>
            <w:tcW w:w="1933" w:type="dxa"/>
            <w:tcBorders>
              <w:top w:val="single" w:sz="4" w:space="0" w:color="auto"/>
              <w:left w:val="single" w:sz="4" w:space="0" w:color="auto"/>
              <w:bottom w:val="single" w:sz="4" w:space="0" w:color="auto"/>
              <w:right w:val="single" w:sz="4" w:space="0" w:color="auto"/>
            </w:tcBorders>
            <w:shd w:val="clear" w:color="auto" w:fill="8C8C8C"/>
            <w:vAlign w:val="center"/>
          </w:tcPr>
          <w:p w:rsidR="00F830A9" w:rsidRDefault="00294276" w:rsidP="000641F5">
            <w:pPr>
              <w:jc w:val="center"/>
              <w:rPr>
                <w:b/>
                <w:bCs/>
                <w:color w:val="000000"/>
                <w:sz w:val="18"/>
                <w:szCs w:val="18"/>
              </w:rPr>
            </w:pPr>
            <w:r w:rsidRPr="000641F5">
              <w:rPr>
                <w:b/>
                <w:bCs/>
                <w:color w:val="000000"/>
                <w:sz w:val="18"/>
                <w:szCs w:val="18"/>
              </w:rPr>
              <w:t xml:space="preserve">Upper Quartile Groundwater Volume </w:t>
            </w:r>
          </w:p>
          <w:p w:rsidR="00F830A9" w:rsidRDefault="00F830A9" w:rsidP="000641F5">
            <w:pPr>
              <w:jc w:val="center"/>
              <w:rPr>
                <w:b/>
                <w:bCs/>
                <w:color w:val="000000"/>
                <w:sz w:val="18"/>
                <w:szCs w:val="18"/>
              </w:rPr>
            </w:pPr>
          </w:p>
          <w:p w:rsidR="00294276" w:rsidRPr="000641F5" w:rsidRDefault="00294276" w:rsidP="000641F5">
            <w:pPr>
              <w:jc w:val="center"/>
              <w:rPr>
                <w:b/>
                <w:bCs/>
                <w:color w:val="000000"/>
                <w:sz w:val="18"/>
                <w:szCs w:val="18"/>
              </w:rPr>
            </w:pPr>
            <w:r w:rsidRPr="000641F5">
              <w:rPr>
                <w:b/>
                <w:bCs/>
                <w:color w:val="000000"/>
                <w:sz w:val="18"/>
                <w:szCs w:val="18"/>
              </w:rPr>
              <w:t>(GL)</w:t>
            </w:r>
          </w:p>
        </w:tc>
      </w:tr>
      <w:tr w:rsidR="00294276" w:rsidRPr="000641F5" w:rsidTr="000641F5">
        <w:trPr>
          <w:trHeight w:val="338"/>
          <w:jc w:val="center"/>
        </w:trPr>
        <w:tc>
          <w:tcPr>
            <w:tcW w:w="2003"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rPr>
                <w:sz w:val="18"/>
                <w:szCs w:val="18"/>
              </w:rPr>
            </w:pPr>
            <w:r w:rsidRPr="000641F5">
              <w:rPr>
                <w:sz w:val="18"/>
                <w:szCs w:val="18"/>
              </w:rPr>
              <w:t>GWR2 - LM</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rPr>
                <w:sz w:val="18"/>
                <w:szCs w:val="18"/>
              </w:rPr>
            </w:pPr>
            <w:r w:rsidRPr="000641F5">
              <w:rPr>
                <w:sz w:val="18"/>
                <w:szCs w:val="18"/>
              </w:rPr>
              <w:t xml:space="preserve"> &lt;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40</w:t>
            </w:r>
          </w:p>
        </w:tc>
      </w:tr>
      <w:tr w:rsidR="00294276" w:rsidRPr="000641F5" w:rsidTr="000641F5">
        <w:trPr>
          <w:trHeight w:val="376"/>
          <w:jc w:val="center"/>
        </w:trPr>
        <w:tc>
          <w:tcPr>
            <w:tcW w:w="2003"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rPr>
                <w:sz w:val="18"/>
                <w:szCs w:val="18"/>
              </w:rPr>
            </w:pPr>
            <w:r w:rsidRPr="000641F5">
              <w:rPr>
                <w:sz w:val="18"/>
                <w:szCs w:val="18"/>
              </w:rPr>
              <w:t>GWR2 - LM</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rPr>
                <w:sz w:val="18"/>
                <w:szCs w:val="18"/>
              </w:rPr>
            </w:pPr>
            <w:r w:rsidRPr="000641F5">
              <w:rPr>
                <w:sz w:val="18"/>
                <w:szCs w:val="18"/>
              </w:rPr>
              <w:t xml:space="preserve"> 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30</w:t>
            </w:r>
          </w:p>
        </w:tc>
      </w:tr>
      <w:tr w:rsidR="00294276" w:rsidRPr="000641F5" w:rsidTr="000641F5">
        <w:trPr>
          <w:trHeight w:val="343"/>
          <w:jc w:val="center"/>
        </w:trPr>
        <w:tc>
          <w:tcPr>
            <w:tcW w:w="2003"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rPr>
                <w:sz w:val="18"/>
                <w:szCs w:val="18"/>
              </w:rPr>
            </w:pPr>
            <w:r w:rsidRPr="000641F5">
              <w:rPr>
                <w:sz w:val="18"/>
                <w:szCs w:val="18"/>
              </w:rPr>
              <w:t>GWR2 - LM</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rPr>
                <w:sz w:val="18"/>
                <w:szCs w:val="18"/>
              </w:rPr>
            </w:pPr>
            <w:r w:rsidRPr="000641F5">
              <w:rPr>
                <w:sz w:val="18"/>
                <w:szCs w:val="18"/>
              </w:rPr>
              <w:t xml:space="preserve"> 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10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294276" w:rsidRPr="000641F5" w:rsidRDefault="00294276" w:rsidP="00294276">
            <w:pPr>
              <w:jc w:val="center"/>
              <w:rPr>
                <w:sz w:val="18"/>
                <w:szCs w:val="18"/>
              </w:rPr>
            </w:pPr>
            <w:r w:rsidRPr="000641F5">
              <w:rPr>
                <w:sz w:val="18"/>
                <w:szCs w:val="18"/>
              </w:rPr>
              <w:t>10</w:t>
            </w:r>
          </w:p>
        </w:tc>
      </w:tr>
      <w:tr w:rsidR="00294276" w:rsidRPr="000641F5" w:rsidTr="000641F5">
        <w:trPr>
          <w:trHeight w:val="519"/>
          <w:jc w:val="center"/>
        </w:trPr>
        <w:tc>
          <w:tcPr>
            <w:tcW w:w="2003" w:type="dxa"/>
            <w:tcBorders>
              <w:top w:val="single" w:sz="4" w:space="0" w:color="auto"/>
              <w:left w:val="single" w:sz="4" w:space="0" w:color="auto"/>
              <w:bottom w:val="single" w:sz="4" w:space="0" w:color="auto"/>
              <w:right w:val="single" w:sz="4" w:space="0" w:color="auto"/>
            </w:tcBorders>
            <w:shd w:val="clear" w:color="auto" w:fill="E0E0E0"/>
            <w:vAlign w:val="center"/>
          </w:tcPr>
          <w:p w:rsidR="00294276" w:rsidRPr="000641F5" w:rsidRDefault="00294276" w:rsidP="00294276">
            <w:pPr>
              <w:rPr>
                <w:b/>
                <w:bCs/>
                <w:sz w:val="18"/>
                <w:szCs w:val="18"/>
              </w:rPr>
            </w:pPr>
            <w:smartTag w:uri="urn:schemas-microsoft-com:office:smarttags" w:element="place">
              <w:smartTag w:uri="urn:schemas-microsoft-com:office:smarttags" w:element="PlaceType">
                <w:r w:rsidRPr="000641F5">
                  <w:rPr>
                    <w:b/>
                    <w:bCs/>
                    <w:sz w:val="18"/>
                    <w:szCs w:val="18"/>
                  </w:rPr>
                  <w:t>Lake</w:t>
                </w:r>
              </w:smartTag>
              <w:r w:rsidRPr="000641F5">
                <w:rPr>
                  <w:b/>
                  <w:bCs/>
                  <w:sz w:val="18"/>
                  <w:szCs w:val="18"/>
                </w:rPr>
                <w:t xml:space="preserve"> </w:t>
              </w:r>
              <w:smartTag w:uri="urn:schemas-microsoft-com:office:smarttags" w:element="PlaceName">
                <w:r w:rsidRPr="000641F5">
                  <w:rPr>
                    <w:b/>
                    <w:bCs/>
                    <w:sz w:val="18"/>
                    <w:szCs w:val="18"/>
                  </w:rPr>
                  <w:t>Menindee</w:t>
                </w:r>
              </w:smartTag>
            </w:smartTag>
            <w:r w:rsidRPr="000641F5">
              <w:rPr>
                <w:b/>
                <w:bCs/>
                <w:sz w:val="18"/>
                <w:szCs w:val="18"/>
              </w:rPr>
              <w:t xml:space="preserve"> </w:t>
            </w:r>
            <w:r w:rsidR="007C45E4" w:rsidRPr="000641F5">
              <w:rPr>
                <w:b/>
                <w:bCs/>
                <w:sz w:val="18"/>
                <w:szCs w:val="18"/>
              </w:rPr>
              <w:t>Borefield</w:t>
            </w:r>
            <w:r w:rsidRPr="000641F5">
              <w:rPr>
                <w:b/>
                <w:bCs/>
                <w:sz w:val="18"/>
                <w:szCs w:val="18"/>
              </w:rPr>
              <w:t xml:space="preserve"> (Total)</w:t>
            </w:r>
          </w:p>
        </w:tc>
        <w:tc>
          <w:tcPr>
            <w:tcW w:w="1719" w:type="dxa"/>
            <w:tcBorders>
              <w:top w:val="single" w:sz="4" w:space="0" w:color="auto"/>
              <w:left w:val="single" w:sz="4" w:space="0" w:color="auto"/>
              <w:bottom w:val="single" w:sz="4" w:space="0" w:color="auto"/>
              <w:right w:val="single" w:sz="4" w:space="0" w:color="auto"/>
            </w:tcBorders>
            <w:shd w:val="clear" w:color="auto" w:fill="E0E0E0"/>
            <w:vAlign w:val="center"/>
          </w:tcPr>
          <w:p w:rsidR="00294276" w:rsidRPr="000641F5" w:rsidRDefault="00294276" w:rsidP="00294276">
            <w:pPr>
              <w:jc w:val="center"/>
              <w:rPr>
                <w:b/>
                <w:bCs/>
                <w:sz w:val="18"/>
                <w:szCs w:val="18"/>
              </w:rPr>
            </w:pPr>
            <w:r w:rsidRPr="000641F5">
              <w:rPr>
                <w:b/>
                <w:bCs/>
                <w:sz w:val="18"/>
                <w:szCs w:val="18"/>
              </w:rPr>
              <w:t>&lt; 3</w:t>
            </w:r>
            <w:r w:rsidR="00F830A9">
              <w:rPr>
                <w:b/>
                <w:bCs/>
                <w:sz w:val="18"/>
                <w:szCs w:val="18"/>
              </w:rPr>
              <w:t>,</w:t>
            </w:r>
            <w:r w:rsidRPr="000641F5">
              <w:rPr>
                <w:b/>
                <w:bCs/>
                <w:sz w:val="18"/>
                <w:szCs w:val="18"/>
              </w:rPr>
              <w:t>000 mg/L</w:t>
            </w:r>
          </w:p>
        </w:tc>
        <w:tc>
          <w:tcPr>
            <w:tcW w:w="1860" w:type="dxa"/>
            <w:tcBorders>
              <w:top w:val="single" w:sz="4" w:space="0" w:color="auto"/>
              <w:left w:val="single" w:sz="4" w:space="0" w:color="auto"/>
              <w:bottom w:val="single" w:sz="4" w:space="0" w:color="auto"/>
              <w:right w:val="single" w:sz="4" w:space="0" w:color="auto"/>
            </w:tcBorders>
            <w:shd w:val="clear" w:color="auto" w:fill="E0E0E0"/>
            <w:vAlign w:val="center"/>
          </w:tcPr>
          <w:p w:rsidR="00294276" w:rsidRPr="000641F5" w:rsidRDefault="00294276" w:rsidP="00294276">
            <w:pPr>
              <w:jc w:val="center"/>
              <w:rPr>
                <w:b/>
                <w:bCs/>
                <w:sz w:val="18"/>
                <w:szCs w:val="18"/>
              </w:rPr>
            </w:pPr>
            <w:r w:rsidRPr="000641F5">
              <w:rPr>
                <w:b/>
                <w:bCs/>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E0E0E0"/>
            <w:vAlign w:val="center"/>
          </w:tcPr>
          <w:p w:rsidR="00294276" w:rsidRPr="000641F5" w:rsidRDefault="00294276" w:rsidP="00294276">
            <w:pPr>
              <w:jc w:val="center"/>
              <w:rPr>
                <w:b/>
                <w:bCs/>
                <w:sz w:val="18"/>
                <w:szCs w:val="18"/>
              </w:rPr>
            </w:pPr>
            <w:r w:rsidRPr="000641F5">
              <w:rPr>
                <w:b/>
                <w:bCs/>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E0E0E0"/>
            <w:vAlign w:val="center"/>
          </w:tcPr>
          <w:p w:rsidR="00294276" w:rsidRPr="000641F5" w:rsidRDefault="00294276" w:rsidP="00294276">
            <w:pPr>
              <w:jc w:val="center"/>
              <w:rPr>
                <w:b/>
                <w:bCs/>
                <w:sz w:val="18"/>
                <w:szCs w:val="18"/>
              </w:rPr>
            </w:pPr>
            <w:r w:rsidRPr="000641F5">
              <w:rPr>
                <w:b/>
                <w:bCs/>
                <w:sz w:val="18"/>
                <w:szCs w:val="18"/>
              </w:rPr>
              <w:t>80</w:t>
            </w:r>
          </w:p>
        </w:tc>
      </w:tr>
    </w:tbl>
    <w:p w:rsidR="003B3C54" w:rsidRPr="007F343E" w:rsidRDefault="003B3C54" w:rsidP="003B3C54">
      <w:pPr>
        <w:spacing w:before="120" w:after="120"/>
        <w:rPr>
          <w:sz w:val="20"/>
          <w:szCs w:val="20"/>
        </w:rPr>
      </w:pPr>
      <w:r w:rsidRPr="007F343E">
        <w:rPr>
          <w:sz w:val="20"/>
          <w:szCs w:val="20"/>
        </w:rPr>
        <w:t xml:space="preserve">Notes: </w:t>
      </w:r>
      <w:r>
        <w:rPr>
          <w:sz w:val="20"/>
          <w:szCs w:val="20"/>
        </w:rPr>
        <w:t xml:space="preserve">These groundwater volumes are indicative estimates only. </w:t>
      </w:r>
      <w:r w:rsidRPr="007F343E">
        <w:rPr>
          <w:sz w:val="20"/>
          <w:szCs w:val="20"/>
        </w:rPr>
        <w:t>Groundwater storage volumes do not equate to extractable</w:t>
      </w:r>
      <w:r>
        <w:rPr>
          <w:sz w:val="20"/>
          <w:szCs w:val="20"/>
        </w:rPr>
        <w:t xml:space="preserve"> groundwater volumes, which would</w:t>
      </w:r>
      <w:r w:rsidRPr="007F343E">
        <w:rPr>
          <w:sz w:val="20"/>
          <w:szCs w:val="20"/>
        </w:rPr>
        <w:t xml:space="preserve"> be smaller </w:t>
      </w:r>
      <w:r w:rsidR="00E33C41">
        <w:rPr>
          <w:sz w:val="20"/>
          <w:szCs w:val="20"/>
        </w:rPr>
        <w:t>than</w:t>
      </w:r>
      <w:r w:rsidRPr="007F343E">
        <w:rPr>
          <w:sz w:val="20"/>
          <w:szCs w:val="20"/>
        </w:rPr>
        <w:t xml:space="preserve"> these estimates</w:t>
      </w:r>
      <w:r>
        <w:rPr>
          <w:sz w:val="20"/>
          <w:szCs w:val="20"/>
        </w:rPr>
        <w:t>.</w:t>
      </w:r>
    </w:p>
    <w:p w:rsidR="00F12C87" w:rsidRPr="00F12C87" w:rsidRDefault="005B1337" w:rsidP="00F12C87">
      <w:pPr>
        <w:pStyle w:val="Caption"/>
        <w:spacing w:after="120"/>
        <w:rPr>
          <w:i w:val="0"/>
        </w:rPr>
      </w:pPr>
      <w:bookmarkStart w:id="657" w:name="_Ref325913743"/>
      <w:r w:rsidRPr="005B1337">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2</w:t>
      </w:r>
      <w:r w:rsidR="00B96C96">
        <w:rPr>
          <w:b/>
        </w:rPr>
        <w:fldChar w:fldCharType="end"/>
      </w:r>
      <w:bookmarkEnd w:id="657"/>
      <w:r w:rsidRPr="005B1337">
        <w:rPr>
          <w:b/>
        </w:rPr>
        <w:t>.</w:t>
      </w:r>
      <w:r>
        <w:t xml:space="preserve"> </w:t>
      </w:r>
      <w:r w:rsidR="008C2768" w:rsidRPr="005B1337">
        <w:t>Characteristics</w:t>
      </w:r>
      <w:r w:rsidR="008C2768" w:rsidRPr="008C2768">
        <w:t xml:space="preserve"> of </w:t>
      </w:r>
      <w:smartTag w:uri="urn:schemas-microsoft-com:office:smarttags" w:element="place">
        <w:smartTag w:uri="urn:schemas-microsoft-com:office:smarttags" w:element="PlaceType">
          <w:r w:rsidR="00C217F0">
            <w:t>Lake</w:t>
          </w:r>
        </w:smartTag>
        <w:r w:rsidR="00C217F0">
          <w:t xml:space="preserve"> </w:t>
        </w:r>
        <w:smartTag w:uri="urn:schemas-microsoft-com:office:smarttags" w:element="PlaceName">
          <w:r w:rsidR="00C217F0">
            <w:t>Menindee</w:t>
          </w:r>
        </w:smartTag>
      </w:smartTag>
      <w:r w:rsidR="008C2768" w:rsidRPr="008C2768">
        <w:t xml:space="preserve"> target aquifers</w:t>
      </w:r>
      <w:r w:rsidR="008C2768">
        <w:t>.</w:t>
      </w:r>
      <w:r w:rsidRPr="005B1337">
        <w:t xml:space="preserve"> </w:t>
      </w:r>
      <w:r w:rsidRPr="007960BF">
        <w:fldChar w:fldCharType="begin"/>
      </w:r>
      <w:r w:rsidRPr="007960BF">
        <w:instrText xml:space="preserve"> TC "</w:instrText>
      </w:r>
      <w:bookmarkStart w:id="658" w:name="_Toc325975314"/>
      <w:bookmarkStart w:id="659" w:name="_Toc390690303"/>
      <w:r w:rsidRPr="007960BF">
        <w:instrText xml:space="preserve">Table </w:instrText>
      </w:r>
      <w:r w:rsidR="00DE0DFA">
        <w:instrText>9</w:instrText>
      </w:r>
      <w:r w:rsidR="000D653B">
        <w:instrText>-2</w:instrText>
      </w:r>
      <w:r w:rsidR="00DE0DFA">
        <w:instrText>.</w:instrText>
      </w:r>
      <w:r w:rsidRPr="007960BF">
        <w:instrText xml:space="preserve"> Characteristics of </w:instrText>
      </w:r>
      <w:smartTag w:uri="urn:schemas-microsoft-com:office:smarttags" w:element="place">
        <w:smartTag w:uri="urn:schemas-microsoft-com:office:smarttags" w:element="PlaceType">
          <w:r w:rsidR="00C217F0">
            <w:instrText>Lake</w:instrText>
          </w:r>
        </w:smartTag>
        <w:r w:rsidR="00C217F0">
          <w:instrText xml:space="preserve"> </w:instrText>
        </w:r>
        <w:smartTag w:uri="urn:schemas-microsoft-com:office:smarttags" w:element="PlaceName">
          <w:r w:rsidR="00C217F0">
            <w:instrText>Menindee</w:instrText>
          </w:r>
        </w:smartTag>
      </w:smartTag>
      <w:r w:rsidRPr="007960BF">
        <w:instrText xml:space="preserve"> target aquifers</w:instrText>
      </w:r>
      <w:bookmarkEnd w:id="658"/>
      <w:r w:rsidR="003721DD">
        <w:instrText>.</w:instrText>
      </w:r>
      <w:bookmarkEnd w:id="659"/>
      <w:r w:rsidRPr="007960BF">
        <w:instrText xml:space="preserve">" \f B \l "4" </w:instrText>
      </w:r>
      <w:r w:rsidRPr="007960BF">
        <w:fldChar w:fldCharType="end"/>
      </w:r>
    </w:p>
    <w:tbl>
      <w:tblPr>
        <w:tblW w:w="936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3420"/>
        <w:gridCol w:w="4140"/>
      </w:tblGrid>
      <w:tr w:rsidR="00F12C87" w:rsidRPr="000641F5" w:rsidTr="003B3C54">
        <w:trPr>
          <w:jc w:val="center"/>
        </w:trPr>
        <w:tc>
          <w:tcPr>
            <w:tcW w:w="1800" w:type="dxa"/>
            <w:tcBorders>
              <w:top w:val="nil"/>
              <w:left w:val="nil"/>
              <w:bottom w:val="single" w:sz="4" w:space="0" w:color="auto"/>
            </w:tcBorders>
            <w:shd w:val="clear" w:color="auto" w:fill="auto"/>
            <w:vAlign w:val="center"/>
          </w:tcPr>
          <w:p w:rsidR="00F12C87" w:rsidRPr="000641F5" w:rsidRDefault="00F12C87" w:rsidP="000641F5">
            <w:pPr>
              <w:jc w:val="center"/>
              <w:rPr>
                <w:sz w:val="20"/>
                <w:szCs w:val="20"/>
              </w:rPr>
            </w:pPr>
          </w:p>
        </w:tc>
        <w:tc>
          <w:tcPr>
            <w:tcW w:w="3420" w:type="dxa"/>
            <w:shd w:val="clear" w:color="auto" w:fill="A6A6A6"/>
          </w:tcPr>
          <w:p w:rsidR="00F12C87" w:rsidRPr="000641F5" w:rsidRDefault="00F12C87" w:rsidP="00F47372">
            <w:pPr>
              <w:jc w:val="center"/>
              <w:rPr>
                <w:b/>
                <w:sz w:val="20"/>
                <w:szCs w:val="20"/>
              </w:rPr>
            </w:pPr>
            <w:r w:rsidRPr="000641F5">
              <w:rPr>
                <w:b/>
                <w:sz w:val="20"/>
                <w:szCs w:val="20"/>
              </w:rPr>
              <w:t>Description</w:t>
            </w:r>
          </w:p>
        </w:tc>
        <w:tc>
          <w:tcPr>
            <w:tcW w:w="4140" w:type="dxa"/>
            <w:shd w:val="clear" w:color="auto" w:fill="A6A6A6"/>
          </w:tcPr>
          <w:p w:rsidR="00F12C87" w:rsidRPr="000641F5" w:rsidRDefault="00F12C87" w:rsidP="00F47372">
            <w:pPr>
              <w:jc w:val="center"/>
              <w:rPr>
                <w:b/>
                <w:sz w:val="20"/>
                <w:szCs w:val="20"/>
              </w:rPr>
            </w:pPr>
            <w:r w:rsidRPr="000641F5">
              <w:rPr>
                <w:b/>
                <w:sz w:val="20"/>
                <w:szCs w:val="20"/>
              </w:rPr>
              <w:t>Comments</w:t>
            </w:r>
          </w:p>
        </w:tc>
      </w:tr>
      <w:tr w:rsidR="00F12C87" w:rsidRPr="000641F5" w:rsidTr="003B3C54">
        <w:trPr>
          <w:jc w:val="center"/>
        </w:trPr>
        <w:tc>
          <w:tcPr>
            <w:tcW w:w="1800" w:type="dxa"/>
            <w:shd w:val="clear" w:color="auto" w:fill="A6A6A6"/>
            <w:vAlign w:val="center"/>
          </w:tcPr>
          <w:p w:rsidR="00F12C87" w:rsidRPr="000641F5" w:rsidRDefault="00F12C87" w:rsidP="000641F5">
            <w:pPr>
              <w:jc w:val="center"/>
              <w:rPr>
                <w:sz w:val="18"/>
                <w:szCs w:val="18"/>
              </w:rPr>
            </w:pPr>
            <w:r w:rsidRPr="000641F5">
              <w:rPr>
                <w:b/>
                <w:sz w:val="18"/>
                <w:szCs w:val="18"/>
              </w:rPr>
              <w:t>Host formation</w:t>
            </w:r>
          </w:p>
        </w:tc>
        <w:tc>
          <w:tcPr>
            <w:tcW w:w="3420" w:type="dxa"/>
            <w:shd w:val="clear" w:color="auto" w:fill="auto"/>
            <w:vAlign w:val="center"/>
          </w:tcPr>
          <w:p w:rsidR="00F12C87" w:rsidRPr="000641F5" w:rsidRDefault="00C217F0" w:rsidP="003712E7">
            <w:pPr>
              <w:rPr>
                <w:sz w:val="18"/>
                <w:szCs w:val="18"/>
              </w:rPr>
            </w:pPr>
            <w:r w:rsidRPr="000641F5">
              <w:rPr>
                <w:sz w:val="18"/>
                <w:szCs w:val="18"/>
              </w:rPr>
              <w:t>Calivil Formation</w:t>
            </w:r>
          </w:p>
        </w:tc>
        <w:tc>
          <w:tcPr>
            <w:tcW w:w="4140" w:type="dxa"/>
            <w:shd w:val="clear" w:color="auto" w:fill="auto"/>
            <w:vAlign w:val="center"/>
          </w:tcPr>
          <w:p w:rsidR="00F12C87" w:rsidRPr="000641F5" w:rsidRDefault="00F12C87" w:rsidP="003712E7">
            <w:pPr>
              <w:rPr>
                <w:sz w:val="18"/>
                <w:szCs w:val="18"/>
              </w:rPr>
            </w:pPr>
          </w:p>
        </w:tc>
      </w:tr>
      <w:tr w:rsidR="00F12C87" w:rsidRPr="000641F5" w:rsidTr="003B3C54">
        <w:trPr>
          <w:jc w:val="center"/>
        </w:trPr>
        <w:tc>
          <w:tcPr>
            <w:tcW w:w="1800" w:type="dxa"/>
            <w:shd w:val="clear" w:color="auto" w:fill="A6A6A6"/>
            <w:vAlign w:val="center"/>
          </w:tcPr>
          <w:p w:rsidR="00F12C87" w:rsidRPr="000641F5" w:rsidRDefault="00F12C87" w:rsidP="000641F5">
            <w:pPr>
              <w:jc w:val="center"/>
              <w:rPr>
                <w:sz w:val="18"/>
                <w:szCs w:val="18"/>
              </w:rPr>
            </w:pPr>
            <w:r w:rsidRPr="000641F5">
              <w:rPr>
                <w:b/>
                <w:sz w:val="18"/>
                <w:szCs w:val="18"/>
              </w:rPr>
              <w:t>Aquifer type</w:t>
            </w:r>
          </w:p>
        </w:tc>
        <w:tc>
          <w:tcPr>
            <w:tcW w:w="3420" w:type="dxa"/>
            <w:shd w:val="clear" w:color="auto" w:fill="auto"/>
            <w:vAlign w:val="center"/>
          </w:tcPr>
          <w:p w:rsidR="00F12C87" w:rsidRPr="000641F5" w:rsidRDefault="00F12C87" w:rsidP="003712E7">
            <w:pPr>
              <w:rPr>
                <w:sz w:val="18"/>
                <w:szCs w:val="18"/>
              </w:rPr>
            </w:pPr>
            <w:r w:rsidRPr="000641F5">
              <w:rPr>
                <w:sz w:val="18"/>
                <w:szCs w:val="18"/>
              </w:rPr>
              <w:t xml:space="preserve">Unconfined to confined </w:t>
            </w:r>
          </w:p>
        </w:tc>
        <w:tc>
          <w:tcPr>
            <w:tcW w:w="4140" w:type="dxa"/>
            <w:shd w:val="clear" w:color="auto" w:fill="auto"/>
            <w:vAlign w:val="center"/>
          </w:tcPr>
          <w:p w:rsidR="00F12C87" w:rsidRPr="000641F5" w:rsidRDefault="00C217F0" w:rsidP="003712E7">
            <w:pPr>
              <w:rPr>
                <w:sz w:val="18"/>
                <w:szCs w:val="18"/>
              </w:rPr>
            </w:pPr>
            <w:r w:rsidRPr="000641F5">
              <w:rPr>
                <w:sz w:val="18"/>
                <w:szCs w:val="18"/>
              </w:rPr>
              <w:t>Calivil Formation</w:t>
            </w:r>
            <w:r w:rsidR="00106292" w:rsidRPr="000641F5">
              <w:rPr>
                <w:sz w:val="18"/>
                <w:szCs w:val="18"/>
              </w:rPr>
              <w:t xml:space="preserve"> </w:t>
            </w:r>
            <w:r w:rsidR="00F12C87" w:rsidRPr="000641F5">
              <w:rPr>
                <w:sz w:val="18"/>
                <w:szCs w:val="18"/>
              </w:rPr>
              <w:t xml:space="preserve">becomes confined by Blanchetown Clay underneath </w:t>
            </w:r>
            <w:smartTag w:uri="urn:schemas-microsoft-com:office:smarttags" w:element="place">
              <w:smartTag w:uri="urn:schemas-microsoft-com:office:smarttags" w:element="PlaceType">
                <w:r w:rsidRPr="000641F5">
                  <w:rPr>
                    <w:sz w:val="18"/>
                    <w:szCs w:val="18"/>
                  </w:rPr>
                  <w:t>Lake</w:t>
                </w:r>
              </w:smartTag>
              <w:r w:rsidRPr="000641F5">
                <w:rPr>
                  <w:sz w:val="18"/>
                  <w:szCs w:val="18"/>
                </w:rPr>
                <w:t xml:space="preserve"> </w:t>
              </w:r>
              <w:smartTag w:uri="urn:schemas-microsoft-com:office:smarttags" w:element="PlaceName">
                <w:r w:rsidRPr="000641F5">
                  <w:rPr>
                    <w:sz w:val="18"/>
                    <w:szCs w:val="18"/>
                  </w:rPr>
                  <w:t>Menindee</w:t>
                </w:r>
              </w:smartTag>
            </w:smartTag>
            <w:r w:rsidR="00F12C87" w:rsidRPr="000641F5">
              <w:rPr>
                <w:sz w:val="18"/>
                <w:szCs w:val="18"/>
              </w:rPr>
              <w:t>.</w:t>
            </w:r>
          </w:p>
        </w:tc>
      </w:tr>
      <w:tr w:rsidR="00F12C87" w:rsidRPr="000641F5" w:rsidTr="003B3C54">
        <w:trPr>
          <w:jc w:val="center"/>
        </w:trPr>
        <w:tc>
          <w:tcPr>
            <w:tcW w:w="1800" w:type="dxa"/>
            <w:shd w:val="clear" w:color="auto" w:fill="A6A6A6"/>
            <w:vAlign w:val="center"/>
          </w:tcPr>
          <w:p w:rsidR="00F12C87" w:rsidRPr="000641F5" w:rsidRDefault="00F12C87" w:rsidP="000641F5">
            <w:pPr>
              <w:jc w:val="center"/>
              <w:rPr>
                <w:b/>
                <w:sz w:val="18"/>
                <w:szCs w:val="18"/>
              </w:rPr>
            </w:pPr>
            <w:r w:rsidRPr="000641F5">
              <w:rPr>
                <w:b/>
                <w:sz w:val="18"/>
                <w:szCs w:val="18"/>
              </w:rPr>
              <w:t xml:space="preserve">Depth to top of aquifer </w:t>
            </w:r>
            <w:r w:rsidR="00B36C73" w:rsidRPr="000641F5">
              <w:rPr>
                <w:b/>
                <w:sz w:val="18"/>
                <w:szCs w:val="18"/>
              </w:rPr>
              <w:t xml:space="preserve">from land surface </w:t>
            </w:r>
            <w:r w:rsidRPr="000641F5">
              <w:rPr>
                <w:b/>
                <w:sz w:val="18"/>
                <w:szCs w:val="18"/>
              </w:rPr>
              <w:t>(m)</w:t>
            </w:r>
          </w:p>
        </w:tc>
        <w:tc>
          <w:tcPr>
            <w:tcW w:w="3420" w:type="dxa"/>
            <w:shd w:val="clear" w:color="auto" w:fill="auto"/>
            <w:vAlign w:val="center"/>
          </w:tcPr>
          <w:p w:rsidR="00F12C87" w:rsidRPr="000641F5" w:rsidRDefault="00F12C87" w:rsidP="003712E7">
            <w:pPr>
              <w:rPr>
                <w:sz w:val="18"/>
                <w:szCs w:val="18"/>
              </w:rPr>
            </w:pPr>
            <w:r w:rsidRPr="000641F5">
              <w:rPr>
                <w:sz w:val="18"/>
                <w:szCs w:val="18"/>
              </w:rPr>
              <w:t>Range: 11-32 m</w:t>
            </w:r>
          </w:p>
          <w:p w:rsidR="00F12C87" w:rsidRPr="000641F5" w:rsidRDefault="00F12C87" w:rsidP="003712E7">
            <w:pPr>
              <w:rPr>
                <w:sz w:val="18"/>
                <w:szCs w:val="18"/>
              </w:rPr>
            </w:pPr>
            <w:r w:rsidRPr="000641F5">
              <w:rPr>
                <w:sz w:val="18"/>
                <w:szCs w:val="18"/>
              </w:rPr>
              <w:t>Mean: 16 m</w:t>
            </w:r>
          </w:p>
        </w:tc>
        <w:tc>
          <w:tcPr>
            <w:tcW w:w="4140" w:type="dxa"/>
            <w:shd w:val="clear" w:color="auto" w:fill="auto"/>
            <w:vAlign w:val="center"/>
          </w:tcPr>
          <w:p w:rsidR="00F12C87" w:rsidRPr="000641F5" w:rsidRDefault="00F12C87" w:rsidP="003712E7">
            <w:pPr>
              <w:rPr>
                <w:sz w:val="18"/>
                <w:szCs w:val="18"/>
              </w:rPr>
            </w:pPr>
            <w:r w:rsidRPr="000641F5">
              <w:rPr>
                <w:sz w:val="18"/>
                <w:szCs w:val="18"/>
              </w:rPr>
              <w:t>Based on depth to base of Blanchetown Clay surface interpreted from AEM sections over borefield target area.</w:t>
            </w:r>
          </w:p>
        </w:tc>
      </w:tr>
      <w:tr w:rsidR="00F12C87" w:rsidRPr="000641F5" w:rsidTr="003B3C54">
        <w:trPr>
          <w:jc w:val="center"/>
        </w:trPr>
        <w:tc>
          <w:tcPr>
            <w:tcW w:w="1800" w:type="dxa"/>
            <w:shd w:val="clear" w:color="auto" w:fill="A6A6A6"/>
            <w:vAlign w:val="center"/>
          </w:tcPr>
          <w:p w:rsidR="00F12C87" w:rsidRPr="000641F5" w:rsidRDefault="00F12C87" w:rsidP="000641F5">
            <w:pPr>
              <w:jc w:val="center"/>
              <w:rPr>
                <w:b/>
                <w:sz w:val="18"/>
                <w:szCs w:val="18"/>
              </w:rPr>
            </w:pPr>
            <w:r w:rsidRPr="000641F5">
              <w:rPr>
                <w:b/>
                <w:sz w:val="18"/>
                <w:szCs w:val="18"/>
              </w:rPr>
              <w:t>Aquifer thickness (m)</w:t>
            </w:r>
          </w:p>
        </w:tc>
        <w:tc>
          <w:tcPr>
            <w:tcW w:w="3420" w:type="dxa"/>
            <w:shd w:val="clear" w:color="auto" w:fill="auto"/>
            <w:vAlign w:val="center"/>
          </w:tcPr>
          <w:p w:rsidR="00F12C87" w:rsidRPr="000641F5" w:rsidRDefault="00F12C87" w:rsidP="003712E7">
            <w:pPr>
              <w:rPr>
                <w:sz w:val="18"/>
                <w:szCs w:val="18"/>
              </w:rPr>
            </w:pPr>
            <w:r w:rsidRPr="000641F5">
              <w:rPr>
                <w:sz w:val="18"/>
                <w:szCs w:val="18"/>
              </w:rPr>
              <w:t>4-5</w:t>
            </w:r>
            <w:r w:rsidR="00A72012">
              <w:rPr>
                <w:sz w:val="18"/>
                <w:szCs w:val="18"/>
              </w:rPr>
              <w:t xml:space="preserve"> </w:t>
            </w:r>
            <w:r w:rsidRPr="000641F5">
              <w:rPr>
                <w:sz w:val="18"/>
                <w:szCs w:val="18"/>
              </w:rPr>
              <w:t xml:space="preserve">m, increasing beneath </w:t>
            </w:r>
            <w:r w:rsidR="00C217F0" w:rsidRPr="000641F5">
              <w:rPr>
                <w:sz w:val="18"/>
                <w:szCs w:val="18"/>
              </w:rPr>
              <w:t>Lake Menindee</w:t>
            </w:r>
            <w:r w:rsidRPr="000641F5">
              <w:rPr>
                <w:sz w:val="18"/>
                <w:szCs w:val="18"/>
              </w:rPr>
              <w:t xml:space="preserve"> (to over 20</w:t>
            </w:r>
            <w:r w:rsidR="00030542">
              <w:rPr>
                <w:sz w:val="18"/>
                <w:szCs w:val="18"/>
              </w:rPr>
              <w:t xml:space="preserve"> </w:t>
            </w:r>
            <w:r w:rsidRPr="000641F5">
              <w:rPr>
                <w:sz w:val="18"/>
                <w:szCs w:val="18"/>
              </w:rPr>
              <w:t>m)</w:t>
            </w:r>
          </w:p>
        </w:tc>
        <w:tc>
          <w:tcPr>
            <w:tcW w:w="4140" w:type="dxa"/>
            <w:shd w:val="clear" w:color="auto" w:fill="auto"/>
            <w:vAlign w:val="center"/>
          </w:tcPr>
          <w:p w:rsidR="00F12C87" w:rsidRPr="000641F5" w:rsidRDefault="00F12C87" w:rsidP="003712E7">
            <w:pPr>
              <w:rPr>
                <w:sz w:val="18"/>
                <w:szCs w:val="18"/>
              </w:rPr>
            </w:pPr>
            <w:r w:rsidRPr="000641F5">
              <w:rPr>
                <w:sz w:val="18"/>
                <w:szCs w:val="18"/>
              </w:rPr>
              <w:t xml:space="preserve">Based on sonic core logging for </w:t>
            </w:r>
            <w:r w:rsidR="00C217F0" w:rsidRPr="000641F5">
              <w:rPr>
                <w:sz w:val="18"/>
                <w:szCs w:val="18"/>
              </w:rPr>
              <w:t>Calivil Formation</w:t>
            </w:r>
            <w:r w:rsidR="00106292" w:rsidRPr="000641F5">
              <w:rPr>
                <w:sz w:val="18"/>
                <w:szCs w:val="18"/>
              </w:rPr>
              <w:t xml:space="preserve"> </w:t>
            </w:r>
            <w:r w:rsidR="00B36C73" w:rsidRPr="000641F5">
              <w:rPr>
                <w:sz w:val="18"/>
                <w:szCs w:val="18"/>
              </w:rPr>
              <w:t>interval</w:t>
            </w:r>
            <w:r w:rsidRPr="000641F5">
              <w:rPr>
                <w:sz w:val="18"/>
                <w:szCs w:val="18"/>
              </w:rPr>
              <w:t xml:space="preserve"> in BHMAR23-1 and AEM profiles.</w:t>
            </w:r>
          </w:p>
        </w:tc>
      </w:tr>
      <w:tr w:rsidR="00F12C87" w:rsidRPr="000641F5" w:rsidTr="003B3C54">
        <w:trPr>
          <w:jc w:val="center"/>
        </w:trPr>
        <w:tc>
          <w:tcPr>
            <w:tcW w:w="1800" w:type="dxa"/>
            <w:shd w:val="clear" w:color="auto" w:fill="A6A6A6"/>
            <w:vAlign w:val="center"/>
          </w:tcPr>
          <w:p w:rsidR="00F12C87" w:rsidRPr="000641F5" w:rsidRDefault="00F12C87" w:rsidP="000641F5">
            <w:pPr>
              <w:jc w:val="center"/>
              <w:rPr>
                <w:b/>
                <w:sz w:val="18"/>
                <w:szCs w:val="18"/>
              </w:rPr>
            </w:pPr>
            <w:r w:rsidRPr="000641F5">
              <w:rPr>
                <w:b/>
                <w:sz w:val="18"/>
                <w:szCs w:val="18"/>
              </w:rPr>
              <w:t>Lithologies</w:t>
            </w:r>
          </w:p>
        </w:tc>
        <w:tc>
          <w:tcPr>
            <w:tcW w:w="3420" w:type="dxa"/>
            <w:shd w:val="clear" w:color="auto" w:fill="auto"/>
            <w:vAlign w:val="center"/>
          </w:tcPr>
          <w:p w:rsidR="00F12C87" w:rsidRPr="000641F5" w:rsidRDefault="00F12C87" w:rsidP="003712E7">
            <w:pPr>
              <w:rPr>
                <w:sz w:val="18"/>
                <w:szCs w:val="18"/>
              </w:rPr>
            </w:pPr>
            <w:r w:rsidRPr="000641F5">
              <w:rPr>
                <w:sz w:val="18"/>
                <w:szCs w:val="18"/>
              </w:rPr>
              <w:t>Coarse to very coarse sand (0%)</w:t>
            </w:r>
          </w:p>
          <w:p w:rsidR="00F12C87" w:rsidRPr="000641F5" w:rsidRDefault="00F12C87" w:rsidP="003712E7">
            <w:pPr>
              <w:rPr>
                <w:sz w:val="18"/>
                <w:szCs w:val="18"/>
              </w:rPr>
            </w:pPr>
            <w:r w:rsidRPr="000641F5">
              <w:rPr>
                <w:sz w:val="18"/>
                <w:szCs w:val="18"/>
              </w:rPr>
              <w:t>Medium sand (88%)</w:t>
            </w:r>
          </w:p>
          <w:p w:rsidR="00F12C87" w:rsidRPr="000641F5" w:rsidRDefault="00F12C87" w:rsidP="003712E7">
            <w:pPr>
              <w:rPr>
                <w:sz w:val="18"/>
                <w:szCs w:val="18"/>
              </w:rPr>
            </w:pPr>
            <w:r w:rsidRPr="000641F5">
              <w:rPr>
                <w:sz w:val="18"/>
                <w:szCs w:val="18"/>
              </w:rPr>
              <w:t>Fine sand (0%)</w:t>
            </w:r>
          </w:p>
          <w:p w:rsidR="00F12C87" w:rsidRPr="000641F5" w:rsidRDefault="00F12C87" w:rsidP="003712E7">
            <w:pPr>
              <w:rPr>
                <w:sz w:val="18"/>
                <w:szCs w:val="18"/>
              </w:rPr>
            </w:pPr>
            <w:r w:rsidRPr="000641F5">
              <w:rPr>
                <w:sz w:val="18"/>
                <w:szCs w:val="18"/>
              </w:rPr>
              <w:t>Muddy sand (0%)</w:t>
            </w:r>
          </w:p>
          <w:p w:rsidR="00F12C87" w:rsidRPr="000641F5" w:rsidRDefault="00F12C87" w:rsidP="003712E7">
            <w:pPr>
              <w:rPr>
                <w:sz w:val="18"/>
                <w:szCs w:val="18"/>
              </w:rPr>
            </w:pPr>
            <w:r w:rsidRPr="000641F5">
              <w:rPr>
                <w:sz w:val="18"/>
                <w:szCs w:val="18"/>
              </w:rPr>
              <w:t>Mud (12%)</w:t>
            </w:r>
          </w:p>
        </w:tc>
        <w:tc>
          <w:tcPr>
            <w:tcW w:w="4140" w:type="dxa"/>
            <w:shd w:val="clear" w:color="auto" w:fill="auto"/>
            <w:vAlign w:val="center"/>
          </w:tcPr>
          <w:p w:rsidR="00F12C87" w:rsidRPr="000641F5" w:rsidRDefault="00F12C87" w:rsidP="003712E7">
            <w:pPr>
              <w:rPr>
                <w:sz w:val="18"/>
                <w:szCs w:val="18"/>
              </w:rPr>
            </w:pPr>
            <w:r w:rsidRPr="000641F5">
              <w:rPr>
                <w:sz w:val="18"/>
                <w:szCs w:val="18"/>
              </w:rPr>
              <w:t xml:space="preserve">Based on sonic core logging for </w:t>
            </w:r>
            <w:r w:rsidR="00C217F0" w:rsidRPr="000641F5">
              <w:rPr>
                <w:sz w:val="18"/>
                <w:szCs w:val="18"/>
              </w:rPr>
              <w:t>Calivil Formation</w:t>
            </w:r>
            <w:r w:rsidR="00106292" w:rsidRPr="000641F5">
              <w:rPr>
                <w:sz w:val="18"/>
                <w:szCs w:val="18"/>
              </w:rPr>
              <w:t xml:space="preserve"> </w:t>
            </w:r>
            <w:r w:rsidRPr="000641F5">
              <w:rPr>
                <w:sz w:val="18"/>
                <w:szCs w:val="18"/>
              </w:rPr>
              <w:t>section in BHMAR23-1.</w:t>
            </w:r>
          </w:p>
        </w:tc>
      </w:tr>
      <w:tr w:rsidR="005F54FF" w:rsidRPr="000641F5" w:rsidTr="003B3C54">
        <w:trPr>
          <w:jc w:val="center"/>
        </w:trPr>
        <w:tc>
          <w:tcPr>
            <w:tcW w:w="1800" w:type="dxa"/>
            <w:shd w:val="clear" w:color="auto" w:fill="A6A6A6"/>
            <w:vAlign w:val="center"/>
          </w:tcPr>
          <w:p w:rsidR="005F54FF" w:rsidRPr="000641F5" w:rsidRDefault="005F54FF" w:rsidP="000641F5">
            <w:pPr>
              <w:jc w:val="center"/>
              <w:rPr>
                <w:b/>
                <w:sz w:val="18"/>
                <w:szCs w:val="18"/>
              </w:rPr>
            </w:pPr>
            <w:r w:rsidRPr="000641F5">
              <w:rPr>
                <w:b/>
                <w:sz w:val="18"/>
                <w:szCs w:val="18"/>
              </w:rPr>
              <w:t>Porosity and storage coefficients</w:t>
            </w:r>
          </w:p>
        </w:tc>
        <w:tc>
          <w:tcPr>
            <w:tcW w:w="3420" w:type="dxa"/>
            <w:shd w:val="clear" w:color="auto" w:fill="auto"/>
          </w:tcPr>
          <w:p w:rsidR="005F54FF" w:rsidRPr="000641F5" w:rsidRDefault="005F54FF" w:rsidP="005F54FF">
            <w:pPr>
              <w:pStyle w:val="TableTextLeft"/>
              <w:rPr>
                <w:sz w:val="18"/>
                <w:szCs w:val="18"/>
              </w:rPr>
            </w:pPr>
            <w:r w:rsidRPr="000641F5">
              <w:rPr>
                <w:sz w:val="18"/>
                <w:szCs w:val="18"/>
              </w:rPr>
              <w:t xml:space="preserve">NMR </w:t>
            </w:r>
            <w:r w:rsidR="000641F5">
              <w:rPr>
                <w:sz w:val="18"/>
                <w:szCs w:val="18"/>
              </w:rPr>
              <w:t>mobile</w:t>
            </w:r>
            <w:r w:rsidR="000641F5" w:rsidRPr="000641F5">
              <w:rPr>
                <w:sz w:val="18"/>
                <w:szCs w:val="18"/>
              </w:rPr>
              <w:t xml:space="preserve"> </w:t>
            </w:r>
            <w:r w:rsidR="000641F5">
              <w:rPr>
                <w:sz w:val="18"/>
                <w:szCs w:val="18"/>
              </w:rPr>
              <w:t>w</w:t>
            </w:r>
            <w:r w:rsidRPr="000641F5">
              <w:rPr>
                <w:sz w:val="18"/>
                <w:szCs w:val="18"/>
              </w:rPr>
              <w:t>ater</w:t>
            </w:r>
          </w:p>
          <w:p w:rsidR="005F54FF" w:rsidRPr="000641F5" w:rsidRDefault="005F54FF" w:rsidP="005F54FF">
            <w:pPr>
              <w:pStyle w:val="TableTextLeft"/>
              <w:rPr>
                <w:sz w:val="18"/>
                <w:szCs w:val="18"/>
              </w:rPr>
            </w:pPr>
            <w:r w:rsidRPr="000641F5">
              <w:rPr>
                <w:sz w:val="18"/>
                <w:szCs w:val="18"/>
              </w:rPr>
              <w:t>P</w:t>
            </w:r>
            <w:r w:rsidRPr="000641F5">
              <w:rPr>
                <w:sz w:val="18"/>
                <w:szCs w:val="18"/>
                <w:vertAlign w:val="subscript"/>
              </w:rPr>
              <w:t>25</w:t>
            </w:r>
            <w:r w:rsidRPr="000641F5">
              <w:rPr>
                <w:sz w:val="18"/>
                <w:szCs w:val="18"/>
              </w:rPr>
              <w:t>: 0.01 Mean: 0.06 P</w:t>
            </w:r>
            <w:r w:rsidRPr="000641F5">
              <w:rPr>
                <w:sz w:val="18"/>
                <w:szCs w:val="18"/>
                <w:vertAlign w:val="subscript"/>
              </w:rPr>
              <w:t>75</w:t>
            </w:r>
            <w:r w:rsidRPr="000641F5">
              <w:rPr>
                <w:sz w:val="18"/>
                <w:szCs w:val="18"/>
              </w:rPr>
              <w:t>: 0.08</w:t>
            </w:r>
          </w:p>
          <w:p w:rsidR="005F54FF" w:rsidRPr="000641F5" w:rsidRDefault="005F54FF" w:rsidP="005F54FF">
            <w:pPr>
              <w:pStyle w:val="TableTextLeft"/>
              <w:rPr>
                <w:sz w:val="18"/>
                <w:szCs w:val="18"/>
              </w:rPr>
            </w:pPr>
            <w:r w:rsidRPr="000641F5">
              <w:rPr>
                <w:sz w:val="18"/>
                <w:szCs w:val="18"/>
              </w:rPr>
              <w:t>If Menindee Formation included:</w:t>
            </w:r>
          </w:p>
          <w:p w:rsidR="005F54FF" w:rsidRPr="000641F5" w:rsidRDefault="005F54FF" w:rsidP="003712E7">
            <w:pPr>
              <w:rPr>
                <w:sz w:val="18"/>
                <w:szCs w:val="18"/>
              </w:rPr>
            </w:pPr>
            <w:r w:rsidRPr="000641F5">
              <w:rPr>
                <w:sz w:val="18"/>
                <w:szCs w:val="18"/>
              </w:rPr>
              <w:t>P</w:t>
            </w:r>
            <w:r w:rsidRPr="000641F5">
              <w:rPr>
                <w:sz w:val="18"/>
                <w:szCs w:val="18"/>
                <w:vertAlign w:val="subscript"/>
              </w:rPr>
              <w:t>25</w:t>
            </w:r>
            <w:r w:rsidRPr="000641F5">
              <w:rPr>
                <w:sz w:val="18"/>
                <w:szCs w:val="18"/>
              </w:rPr>
              <w:t>: 0.10 Mean: 0.16 P</w:t>
            </w:r>
            <w:r w:rsidRPr="000641F5">
              <w:rPr>
                <w:sz w:val="18"/>
                <w:szCs w:val="18"/>
                <w:vertAlign w:val="subscript"/>
              </w:rPr>
              <w:t>75</w:t>
            </w:r>
            <w:r w:rsidRPr="000641F5">
              <w:rPr>
                <w:sz w:val="18"/>
                <w:szCs w:val="18"/>
              </w:rPr>
              <w:t>: 0.21</w:t>
            </w:r>
          </w:p>
        </w:tc>
        <w:tc>
          <w:tcPr>
            <w:tcW w:w="4140" w:type="dxa"/>
            <w:shd w:val="clear" w:color="auto" w:fill="auto"/>
          </w:tcPr>
          <w:p w:rsidR="005F54FF" w:rsidRPr="000641F5" w:rsidRDefault="005F54FF" w:rsidP="003712E7">
            <w:pPr>
              <w:rPr>
                <w:sz w:val="18"/>
                <w:szCs w:val="18"/>
              </w:rPr>
            </w:pPr>
            <w:r w:rsidRPr="000641F5">
              <w:rPr>
                <w:sz w:val="18"/>
                <w:szCs w:val="18"/>
              </w:rPr>
              <w:t>25</w:t>
            </w:r>
            <w:r w:rsidRPr="000641F5">
              <w:rPr>
                <w:sz w:val="18"/>
                <w:szCs w:val="18"/>
                <w:vertAlign w:val="superscript"/>
              </w:rPr>
              <w:t>th</w:t>
            </w:r>
            <w:r w:rsidRPr="000641F5">
              <w:rPr>
                <w:sz w:val="18"/>
                <w:szCs w:val="18"/>
              </w:rPr>
              <w:t xml:space="preserve"> percentile, mean and 75</w:t>
            </w:r>
            <w:r w:rsidRPr="000641F5">
              <w:rPr>
                <w:sz w:val="18"/>
                <w:szCs w:val="18"/>
                <w:vertAlign w:val="superscript"/>
              </w:rPr>
              <w:t>th</w:t>
            </w:r>
            <w:r w:rsidRPr="000641F5">
              <w:rPr>
                <w:sz w:val="18"/>
                <w:szCs w:val="18"/>
              </w:rPr>
              <w:t xml:space="preserve"> percentile of the NMR </w:t>
            </w:r>
            <w:r w:rsidR="000641F5">
              <w:rPr>
                <w:sz w:val="18"/>
                <w:szCs w:val="18"/>
              </w:rPr>
              <w:t>mobile w</w:t>
            </w:r>
            <w:r w:rsidRPr="000641F5">
              <w:rPr>
                <w:sz w:val="18"/>
                <w:szCs w:val="18"/>
              </w:rPr>
              <w:t xml:space="preserve">ater for the saturated Calivil Formation interval in NMR logged BHMAR23-1. NMR </w:t>
            </w:r>
            <w:r w:rsidR="000641F5">
              <w:rPr>
                <w:sz w:val="18"/>
                <w:szCs w:val="18"/>
              </w:rPr>
              <w:t>mobile</w:t>
            </w:r>
            <w:r w:rsidRPr="000641F5">
              <w:rPr>
                <w:sz w:val="18"/>
                <w:szCs w:val="18"/>
              </w:rPr>
              <w:t xml:space="preserve"> </w:t>
            </w:r>
            <w:r w:rsidR="000641F5">
              <w:rPr>
                <w:sz w:val="18"/>
                <w:szCs w:val="18"/>
              </w:rPr>
              <w:t>w</w:t>
            </w:r>
            <w:r w:rsidRPr="000641F5">
              <w:rPr>
                <w:sz w:val="18"/>
                <w:szCs w:val="18"/>
              </w:rPr>
              <w:t>ater used as a surrogate for effective porosity. No aquifer pump tests to estimate storage coefficients.</w:t>
            </w:r>
          </w:p>
        </w:tc>
      </w:tr>
      <w:tr w:rsidR="005F54FF" w:rsidRPr="000641F5" w:rsidTr="003B3C54">
        <w:trPr>
          <w:jc w:val="center"/>
        </w:trPr>
        <w:tc>
          <w:tcPr>
            <w:tcW w:w="1800" w:type="dxa"/>
            <w:shd w:val="clear" w:color="auto" w:fill="A6A6A6"/>
            <w:vAlign w:val="center"/>
          </w:tcPr>
          <w:p w:rsidR="005F54FF" w:rsidRPr="000641F5" w:rsidRDefault="005F54FF" w:rsidP="000641F5">
            <w:pPr>
              <w:jc w:val="center"/>
              <w:rPr>
                <w:b/>
                <w:sz w:val="18"/>
                <w:szCs w:val="18"/>
              </w:rPr>
            </w:pPr>
            <w:r w:rsidRPr="000641F5">
              <w:rPr>
                <w:b/>
                <w:sz w:val="18"/>
                <w:szCs w:val="18"/>
              </w:rPr>
              <w:t>Hydraulic conductivity (K, m/d) and transmissivity (T, m</w:t>
            </w:r>
            <w:r w:rsidRPr="000641F5">
              <w:rPr>
                <w:b/>
                <w:sz w:val="18"/>
                <w:szCs w:val="18"/>
                <w:vertAlign w:val="superscript"/>
              </w:rPr>
              <w:t>2</w:t>
            </w:r>
            <w:r w:rsidRPr="000641F5">
              <w:rPr>
                <w:b/>
                <w:sz w:val="18"/>
                <w:szCs w:val="18"/>
              </w:rPr>
              <w:t>/d)</w:t>
            </w:r>
          </w:p>
        </w:tc>
        <w:tc>
          <w:tcPr>
            <w:tcW w:w="3420" w:type="dxa"/>
            <w:shd w:val="clear" w:color="auto" w:fill="auto"/>
            <w:vAlign w:val="center"/>
          </w:tcPr>
          <w:p w:rsidR="005F54FF" w:rsidRPr="000641F5" w:rsidRDefault="005F54FF" w:rsidP="003712E7">
            <w:pPr>
              <w:rPr>
                <w:sz w:val="18"/>
                <w:szCs w:val="18"/>
              </w:rPr>
            </w:pPr>
            <w:r w:rsidRPr="000641F5">
              <w:rPr>
                <w:sz w:val="18"/>
                <w:szCs w:val="18"/>
              </w:rPr>
              <w:t xml:space="preserve">Slug Tests: </w:t>
            </w:r>
          </w:p>
          <w:p w:rsidR="005F54FF" w:rsidRPr="000641F5" w:rsidRDefault="005F54FF" w:rsidP="003712E7">
            <w:pPr>
              <w:rPr>
                <w:sz w:val="18"/>
                <w:szCs w:val="18"/>
              </w:rPr>
            </w:pPr>
            <w:r w:rsidRPr="000641F5">
              <w:rPr>
                <w:sz w:val="18"/>
                <w:szCs w:val="18"/>
              </w:rPr>
              <w:t>K: 0.6 m/d</w:t>
            </w:r>
          </w:p>
          <w:p w:rsidR="005F54FF" w:rsidRPr="000641F5" w:rsidRDefault="005F54FF" w:rsidP="003712E7">
            <w:pPr>
              <w:rPr>
                <w:sz w:val="18"/>
                <w:szCs w:val="18"/>
              </w:rPr>
            </w:pPr>
            <w:r w:rsidRPr="000641F5">
              <w:rPr>
                <w:sz w:val="18"/>
                <w:szCs w:val="18"/>
              </w:rPr>
              <w:t>T: 11 m</w:t>
            </w:r>
            <w:r w:rsidRPr="000641F5">
              <w:rPr>
                <w:sz w:val="18"/>
                <w:szCs w:val="18"/>
                <w:vertAlign w:val="superscript"/>
              </w:rPr>
              <w:t>2</w:t>
            </w:r>
            <w:r w:rsidRPr="000641F5">
              <w:rPr>
                <w:sz w:val="18"/>
                <w:szCs w:val="18"/>
              </w:rPr>
              <w:t>/d</w:t>
            </w:r>
          </w:p>
          <w:p w:rsidR="005F54FF" w:rsidRPr="000641F5" w:rsidRDefault="005F54FF" w:rsidP="003712E7">
            <w:pPr>
              <w:rPr>
                <w:sz w:val="18"/>
                <w:szCs w:val="18"/>
              </w:rPr>
            </w:pPr>
          </w:p>
          <w:p w:rsidR="005F54FF" w:rsidRPr="000641F5" w:rsidRDefault="005F54FF" w:rsidP="003712E7">
            <w:pPr>
              <w:rPr>
                <w:sz w:val="18"/>
                <w:szCs w:val="18"/>
              </w:rPr>
            </w:pPr>
            <w:r w:rsidRPr="000641F5">
              <w:rPr>
                <w:sz w:val="18"/>
                <w:szCs w:val="18"/>
              </w:rPr>
              <w:t xml:space="preserve">Nuclear Magnetic Resonance (NMR) Logs: </w:t>
            </w:r>
          </w:p>
          <w:p w:rsidR="005F54FF" w:rsidRPr="000641F5" w:rsidRDefault="005F54FF" w:rsidP="003712E7">
            <w:pPr>
              <w:rPr>
                <w:sz w:val="18"/>
                <w:szCs w:val="18"/>
              </w:rPr>
            </w:pPr>
            <w:r w:rsidRPr="000641F5">
              <w:rPr>
                <w:sz w:val="18"/>
                <w:szCs w:val="18"/>
              </w:rPr>
              <w:t>K Mean: 0.2 m/d</w:t>
            </w:r>
          </w:p>
          <w:p w:rsidR="005F54FF" w:rsidRPr="000641F5" w:rsidRDefault="005F54FF" w:rsidP="003712E7">
            <w:pPr>
              <w:rPr>
                <w:sz w:val="18"/>
                <w:szCs w:val="18"/>
              </w:rPr>
            </w:pPr>
            <w:r w:rsidRPr="000641F5">
              <w:rPr>
                <w:sz w:val="18"/>
                <w:szCs w:val="18"/>
              </w:rPr>
              <w:t>Total T: 0.9 m</w:t>
            </w:r>
            <w:r w:rsidRPr="000641F5">
              <w:rPr>
                <w:sz w:val="18"/>
                <w:szCs w:val="18"/>
                <w:vertAlign w:val="superscript"/>
              </w:rPr>
              <w:t>2</w:t>
            </w:r>
            <w:r w:rsidRPr="000641F5">
              <w:rPr>
                <w:sz w:val="18"/>
                <w:szCs w:val="18"/>
              </w:rPr>
              <w:t>/d</w:t>
            </w:r>
          </w:p>
        </w:tc>
        <w:tc>
          <w:tcPr>
            <w:tcW w:w="4140" w:type="dxa"/>
            <w:shd w:val="clear" w:color="auto" w:fill="auto"/>
            <w:vAlign w:val="center"/>
          </w:tcPr>
          <w:p w:rsidR="005F54FF" w:rsidRPr="000641F5" w:rsidRDefault="005F54FF" w:rsidP="003712E7">
            <w:pPr>
              <w:rPr>
                <w:sz w:val="18"/>
                <w:szCs w:val="18"/>
              </w:rPr>
            </w:pPr>
            <w:r w:rsidRPr="000641F5">
              <w:rPr>
                <w:sz w:val="18"/>
                <w:szCs w:val="18"/>
              </w:rPr>
              <w:t>Slug test results for BHMAR23-2. If overlying Menindee Formation included then K = 0.6-32 m/d and T = 11-343 m</w:t>
            </w:r>
            <w:r w:rsidRPr="000641F5">
              <w:rPr>
                <w:sz w:val="18"/>
                <w:szCs w:val="18"/>
                <w:vertAlign w:val="superscript"/>
              </w:rPr>
              <w:t>2</w:t>
            </w:r>
            <w:r w:rsidRPr="000641F5">
              <w:rPr>
                <w:sz w:val="18"/>
                <w:szCs w:val="18"/>
              </w:rPr>
              <w:t>/d.</w:t>
            </w:r>
          </w:p>
          <w:p w:rsidR="005F54FF" w:rsidRPr="000641F5" w:rsidRDefault="005F54FF" w:rsidP="003712E7">
            <w:pPr>
              <w:rPr>
                <w:sz w:val="18"/>
                <w:szCs w:val="18"/>
              </w:rPr>
            </w:pPr>
          </w:p>
          <w:p w:rsidR="005F54FF" w:rsidRPr="000641F5" w:rsidRDefault="005F54FF" w:rsidP="003712E7">
            <w:pPr>
              <w:rPr>
                <w:sz w:val="18"/>
                <w:szCs w:val="18"/>
              </w:rPr>
            </w:pPr>
            <w:r w:rsidRPr="000641F5">
              <w:rPr>
                <w:sz w:val="18"/>
                <w:szCs w:val="18"/>
              </w:rPr>
              <w:t>Average K and total T for NMR logged Calivil Formation interval in BHMAR23-1. If Menindee Formation included then K = 0.2-1.6 m/d and T = 0.9-26 m</w:t>
            </w:r>
            <w:r w:rsidRPr="000641F5">
              <w:rPr>
                <w:sz w:val="18"/>
                <w:szCs w:val="18"/>
                <w:vertAlign w:val="superscript"/>
              </w:rPr>
              <w:t>2</w:t>
            </w:r>
            <w:r w:rsidRPr="000641F5">
              <w:rPr>
                <w:sz w:val="18"/>
                <w:szCs w:val="18"/>
              </w:rPr>
              <w:t>/d.</w:t>
            </w:r>
          </w:p>
        </w:tc>
      </w:tr>
      <w:tr w:rsidR="005F54FF" w:rsidRPr="000641F5" w:rsidTr="003B3C54">
        <w:trPr>
          <w:jc w:val="center"/>
        </w:trPr>
        <w:tc>
          <w:tcPr>
            <w:tcW w:w="1800" w:type="dxa"/>
            <w:shd w:val="clear" w:color="auto" w:fill="A6A6A6"/>
            <w:vAlign w:val="center"/>
          </w:tcPr>
          <w:p w:rsidR="005F54FF" w:rsidRPr="000641F5" w:rsidRDefault="005F54FF" w:rsidP="000641F5">
            <w:pPr>
              <w:jc w:val="center"/>
              <w:rPr>
                <w:b/>
                <w:sz w:val="18"/>
                <w:szCs w:val="18"/>
              </w:rPr>
            </w:pPr>
            <w:r w:rsidRPr="000641F5">
              <w:rPr>
                <w:b/>
                <w:sz w:val="18"/>
                <w:szCs w:val="18"/>
              </w:rPr>
              <w:t>Elevation of groundwater level (m AHD)</w:t>
            </w:r>
          </w:p>
        </w:tc>
        <w:tc>
          <w:tcPr>
            <w:tcW w:w="3420" w:type="dxa"/>
            <w:shd w:val="clear" w:color="auto" w:fill="auto"/>
            <w:vAlign w:val="center"/>
          </w:tcPr>
          <w:p w:rsidR="005F54FF" w:rsidRPr="000641F5" w:rsidRDefault="005F54FF" w:rsidP="003712E7">
            <w:pPr>
              <w:rPr>
                <w:sz w:val="18"/>
                <w:szCs w:val="18"/>
              </w:rPr>
            </w:pPr>
            <w:r w:rsidRPr="000641F5">
              <w:rPr>
                <w:sz w:val="18"/>
                <w:szCs w:val="18"/>
              </w:rPr>
              <w:t>Range: 52.1-55.6 m AHD</w:t>
            </w:r>
          </w:p>
          <w:p w:rsidR="005F54FF" w:rsidRPr="000641F5" w:rsidRDefault="005F54FF" w:rsidP="003712E7">
            <w:pPr>
              <w:rPr>
                <w:sz w:val="18"/>
                <w:szCs w:val="18"/>
              </w:rPr>
            </w:pPr>
            <w:r w:rsidRPr="000641F5">
              <w:rPr>
                <w:sz w:val="18"/>
                <w:szCs w:val="18"/>
              </w:rPr>
              <w:t>Mean: 54.6 m AHD</w:t>
            </w:r>
          </w:p>
        </w:tc>
        <w:tc>
          <w:tcPr>
            <w:tcW w:w="4140" w:type="dxa"/>
            <w:shd w:val="clear" w:color="auto" w:fill="auto"/>
            <w:vAlign w:val="center"/>
          </w:tcPr>
          <w:p w:rsidR="005F54FF" w:rsidRPr="000641F5" w:rsidRDefault="005F54FF" w:rsidP="003712E7">
            <w:pPr>
              <w:rPr>
                <w:sz w:val="18"/>
                <w:szCs w:val="18"/>
              </w:rPr>
            </w:pPr>
            <w:r w:rsidRPr="000641F5">
              <w:rPr>
                <w:sz w:val="18"/>
                <w:szCs w:val="18"/>
              </w:rPr>
              <w:t>Based on the Calivil Formation aquifer potentiometric surface over borefield area for December 2011 interpreted from regional monitoring data</w:t>
            </w:r>
          </w:p>
        </w:tc>
      </w:tr>
      <w:tr w:rsidR="005F54FF" w:rsidRPr="000641F5" w:rsidTr="003B3C54">
        <w:trPr>
          <w:jc w:val="center"/>
        </w:trPr>
        <w:tc>
          <w:tcPr>
            <w:tcW w:w="1800" w:type="dxa"/>
            <w:shd w:val="clear" w:color="auto" w:fill="A6A6A6"/>
            <w:vAlign w:val="center"/>
          </w:tcPr>
          <w:p w:rsidR="005F54FF" w:rsidRPr="000641F5" w:rsidRDefault="005F54FF" w:rsidP="000641F5">
            <w:pPr>
              <w:jc w:val="center"/>
              <w:rPr>
                <w:b/>
                <w:sz w:val="18"/>
                <w:szCs w:val="18"/>
              </w:rPr>
            </w:pPr>
            <w:r w:rsidRPr="000641F5">
              <w:rPr>
                <w:b/>
                <w:sz w:val="18"/>
                <w:szCs w:val="18"/>
              </w:rPr>
              <w:t>Depth to groundwater level from ground surface (m)</w:t>
            </w:r>
          </w:p>
        </w:tc>
        <w:tc>
          <w:tcPr>
            <w:tcW w:w="3420" w:type="dxa"/>
            <w:shd w:val="clear" w:color="auto" w:fill="auto"/>
            <w:vAlign w:val="center"/>
          </w:tcPr>
          <w:p w:rsidR="005F54FF" w:rsidRPr="000641F5" w:rsidRDefault="005F54FF" w:rsidP="003712E7">
            <w:pPr>
              <w:rPr>
                <w:sz w:val="18"/>
                <w:szCs w:val="18"/>
              </w:rPr>
            </w:pPr>
            <w:r w:rsidRPr="000641F5">
              <w:rPr>
                <w:sz w:val="18"/>
                <w:szCs w:val="18"/>
              </w:rPr>
              <w:t xml:space="preserve">Range: &lt;2 – 19 m </w:t>
            </w:r>
          </w:p>
          <w:p w:rsidR="005F54FF" w:rsidRPr="000641F5" w:rsidRDefault="005F54FF" w:rsidP="003712E7">
            <w:pPr>
              <w:rPr>
                <w:sz w:val="18"/>
                <w:szCs w:val="18"/>
              </w:rPr>
            </w:pPr>
            <w:r w:rsidRPr="000641F5">
              <w:rPr>
                <w:sz w:val="18"/>
                <w:szCs w:val="18"/>
              </w:rPr>
              <w:t>Mean: 3</w:t>
            </w:r>
            <w:r w:rsidR="00A72012">
              <w:rPr>
                <w:sz w:val="18"/>
                <w:szCs w:val="18"/>
              </w:rPr>
              <w:t xml:space="preserve"> </w:t>
            </w:r>
            <w:r w:rsidRPr="000641F5">
              <w:rPr>
                <w:sz w:val="18"/>
                <w:szCs w:val="18"/>
              </w:rPr>
              <w:t>m</w:t>
            </w:r>
          </w:p>
        </w:tc>
        <w:tc>
          <w:tcPr>
            <w:tcW w:w="4140" w:type="dxa"/>
            <w:shd w:val="clear" w:color="auto" w:fill="auto"/>
            <w:vAlign w:val="center"/>
          </w:tcPr>
          <w:p w:rsidR="005F54FF" w:rsidRPr="000641F5" w:rsidRDefault="005F54FF" w:rsidP="003712E7">
            <w:pPr>
              <w:rPr>
                <w:sz w:val="18"/>
                <w:szCs w:val="18"/>
              </w:rPr>
            </w:pPr>
            <w:r w:rsidRPr="000641F5">
              <w:rPr>
                <w:sz w:val="18"/>
                <w:szCs w:val="18"/>
              </w:rPr>
              <w:t>Based on difference grid between ground surface and the interpreted Calivil Formation potentiometric surface over target area.</w:t>
            </w:r>
          </w:p>
        </w:tc>
      </w:tr>
      <w:tr w:rsidR="005F54FF" w:rsidRPr="000641F5" w:rsidTr="003B3C54">
        <w:trPr>
          <w:jc w:val="center"/>
        </w:trPr>
        <w:tc>
          <w:tcPr>
            <w:tcW w:w="1800" w:type="dxa"/>
            <w:shd w:val="clear" w:color="auto" w:fill="A6A6A6"/>
            <w:vAlign w:val="center"/>
          </w:tcPr>
          <w:p w:rsidR="005F54FF" w:rsidRPr="000641F5" w:rsidRDefault="005F54FF" w:rsidP="000641F5">
            <w:pPr>
              <w:jc w:val="center"/>
              <w:rPr>
                <w:b/>
                <w:sz w:val="18"/>
                <w:szCs w:val="18"/>
              </w:rPr>
            </w:pPr>
            <w:r w:rsidRPr="000641F5">
              <w:rPr>
                <w:b/>
                <w:sz w:val="18"/>
                <w:szCs w:val="18"/>
              </w:rPr>
              <w:t>Groundwater salinity (TDS, mg/L</w:t>
            </w:r>
          </w:p>
          <w:p w:rsidR="005F54FF" w:rsidRPr="000641F5" w:rsidRDefault="005F54FF" w:rsidP="000641F5">
            <w:pPr>
              <w:jc w:val="center"/>
              <w:rPr>
                <w:sz w:val="18"/>
                <w:szCs w:val="18"/>
              </w:rPr>
            </w:pPr>
          </w:p>
        </w:tc>
        <w:tc>
          <w:tcPr>
            <w:tcW w:w="3420" w:type="dxa"/>
            <w:shd w:val="clear" w:color="auto" w:fill="auto"/>
            <w:vAlign w:val="center"/>
          </w:tcPr>
          <w:p w:rsidR="005F54FF" w:rsidRPr="000641F5" w:rsidRDefault="005F54FF" w:rsidP="003712E7">
            <w:pPr>
              <w:rPr>
                <w:sz w:val="18"/>
                <w:szCs w:val="18"/>
              </w:rPr>
            </w:pPr>
            <w:r w:rsidRPr="000641F5">
              <w:rPr>
                <w:sz w:val="18"/>
                <w:szCs w:val="18"/>
              </w:rPr>
              <w:t>&lt;3000 mg/L</w:t>
            </w:r>
          </w:p>
          <w:p w:rsidR="005F54FF" w:rsidRPr="000641F5" w:rsidRDefault="005F54FF" w:rsidP="003712E7">
            <w:pPr>
              <w:rPr>
                <w:sz w:val="18"/>
                <w:szCs w:val="18"/>
              </w:rPr>
            </w:pPr>
            <w:r w:rsidRPr="000641F5">
              <w:rPr>
                <w:sz w:val="18"/>
                <w:szCs w:val="18"/>
              </w:rPr>
              <w:t>If Menindee Formation included:</w:t>
            </w:r>
          </w:p>
          <w:p w:rsidR="005F54FF" w:rsidRPr="000641F5" w:rsidRDefault="005F54FF" w:rsidP="003712E7">
            <w:pPr>
              <w:rPr>
                <w:sz w:val="18"/>
                <w:szCs w:val="18"/>
              </w:rPr>
            </w:pPr>
            <w:r w:rsidRPr="000641F5">
              <w:rPr>
                <w:sz w:val="18"/>
                <w:szCs w:val="18"/>
              </w:rPr>
              <w:t>Range: 277-327 mg/L Mean: 290 mg/L</w:t>
            </w:r>
          </w:p>
        </w:tc>
        <w:tc>
          <w:tcPr>
            <w:tcW w:w="4140" w:type="dxa"/>
            <w:shd w:val="clear" w:color="auto" w:fill="auto"/>
            <w:vAlign w:val="center"/>
          </w:tcPr>
          <w:p w:rsidR="005F54FF" w:rsidRPr="000641F5" w:rsidRDefault="005F54FF" w:rsidP="003712E7">
            <w:pPr>
              <w:rPr>
                <w:sz w:val="18"/>
                <w:szCs w:val="18"/>
              </w:rPr>
            </w:pPr>
            <w:r w:rsidRPr="000641F5">
              <w:rPr>
                <w:sz w:val="18"/>
                <w:szCs w:val="18"/>
              </w:rPr>
              <w:t>Total dissolved solids (TDS) range and average of groundwater sampling from BHMAR23-2, 23-3 and 23-4.</w:t>
            </w:r>
          </w:p>
        </w:tc>
      </w:tr>
      <w:tr w:rsidR="005F54FF" w:rsidRPr="000641F5" w:rsidTr="003B3C54">
        <w:trPr>
          <w:jc w:val="center"/>
        </w:trPr>
        <w:tc>
          <w:tcPr>
            <w:tcW w:w="1800" w:type="dxa"/>
            <w:shd w:val="clear" w:color="auto" w:fill="A6A6A6"/>
            <w:vAlign w:val="center"/>
          </w:tcPr>
          <w:p w:rsidR="005F54FF" w:rsidRPr="000641F5" w:rsidRDefault="005F54FF" w:rsidP="000641F5">
            <w:pPr>
              <w:jc w:val="center"/>
              <w:rPr>
                <w:b/>
                <w:sz w:val="18"/>
                <w:szCs w:val="18"/>
              </w:rPr>
            </w:pPr>
            <w:r w:rsidRPr="000641F5">
              <w:rPr>
                <w:b/>
                <w:sz w:val="18"/>
                <w:szCs w:val="18"/>
              </w:rPr>
              <w:t>ADWG2011 water quality exceedances</w:t>
            </w:r>
          </w:p>
        </w:tc>
        <w:tc>
          <w:tcPr>
            <w:tcW w:w="3420" w:type="dxa"/>
            <w:shd w:val="clear" w:color="auto" w:fill="auto"/>
            <w:vAlign w:val="center"/>
          </w:tcPr>
          <w:p w:rsidR="005F54FF" w:rsidRPr="000641F5" w:rsidRDefault="005F54FF" w:rsidP="003712E7">
            <w:pPr>
              <w:rPr>
                <w:sz w:val="18"/>
                <w:szCs w:val="18"/>
              </w:rPr>
            </w:pPr>
            <w:r w:rsidRPr="000641F5">
              <w:rPr>
                <w:sz w:val="18"/>
                <w:szCs w:val="18"/>
              </w:rPr>
              <w:t>If Menindee Formation is included:</w:t>
            </w:r>
          </w:p>
          <w:p w:rsidR="005F54FF" w:rsidRPr="000641F5" w:rsidRDefault="005F54FF" w:rsidP="003712E7">
            <w:pPr>
              <w:rPr>
                <w:sz w:val="18"/>
                <w:szCs w:val="18"/>
                <w:lang w:val="it-IT"/>
              </w:rPr>
            </w:pPr>
            <w:r w:rsidRPr="000641F5">
              <w:rPr>
                <w:sz w:val="18"/>
                <w:szCs w:val="18"/>
                <w:lang w:val="it-IT"/>
              </w:rPr>
              <w:t>Iron Fe &gt;0.3 mg/L (2/4)</w:t>
            </w:r>
          </w:p>
          <w:p w:rsidR="005F54FF" w:rsidRPr="000641F5" w:rsidRDefault="005F54FF" w:rsidP="003712E7">
            <w:pPr>
              <w:rPr>
                <w:sz w:val="18"/>
                <w:szCs w:val="18"/>
                <w:lang w:val="it-IT"/>
              </w:rPr>
            </w:pPr>
            <w:r w:rsidRPr="000641F5">
              <w:rPr>
                <w:sz w:val="18"/>
                <w:szCs w:val="18"/>
                <w:lang w:val="it-IT"/>
              </w:rPr>
              <w:t>Manganese Mn &gt;0.1 mg/L (2/4)</w:t>
            </w:r>
          </w:p>
          <w:p w:rsidR="005F54FF" w:rsidRPr="000641F5" w:rsidRDefault="005F54FF" w:rsidP="003712E7">
            <w:pPr>
              <w:rPr>
                <w:sz w:val="18"/>
                <w:szCs w:val="18"/>
                <w:lang w:val="it-IT"/>
              </w:rPr>
            </w:pPr>
            <w:r w:rsidRPr="000641F5">
              <w:rPr>
                <w:sz w:val="18"/>
                <w:szCs w:val="18"/>
                <w:lang w:val="it-IT"/>
              </w:rPr>
              <w:t>Ammonia NH</w:t>
            </w:r>
            <w:r w:rsidRPr="000641F5">
              <w:rPr>
                <w:sz w:val="18"/>
                <w:szCs w:val="18"/>
                <w:vertAlign w:val="subscript"/>
                <w:lang w:val="it-IT"/>
              </w:rPr>
              <w:t xml:space="preserve">3 </w:t>
            </w:r>
            <w:r w:rsidRPr="000641F5">
              <w:rPr>
                <w:sz w:val="18"/>
                <w:szCs w:val="18"/>
                <w:lang w:val="it-IT"/>
              </w:rPr>
              <w:t>&gt;0.39 mg/L-N (3/4)</w:t>
            </w:r>
          </w:p>
        </w:tc>
        <w:tc>
          <w:tcPr>
            <w:tcW w:w="4140" w:type="dxa"/>
            <w:shd w:val="clear" w:color="auto" w:fill="auto"/>
            <w:vAlign w:val="center"/>
          </w:tcPr>
          <w:p w:rsidR="005F54FF" w:rsidRPr="000641F5" w:rsidRDefault="005F54FF" w:rsidP="003712E7">
            <w:pPr>
              <w:rPr>
                <w:sz w:val="18"/>
                <w:szCs w:val="18"/>
              </w:rPr>
            </w:pPr>
            <w:r w:rsidRPr="000641F5">
              <w:rPr>
                <w:sz w:val="18"/>
                <w:szCs w:val="18"/>
              </w:rPr>
              <w:t xml:space="preserve">Australian Drinking Water Guidelines (ADWG2011) </w:t>
            </w:r>
            <w:r w:rsidR="007C45E4" w:rsidRPr="000641F5">
              <w:rPr>
                <w:sz w:val="18"/>
                <w:szCs w:val="18"/>
              </w:rPr>
              <w:t>exceedances</w:t>
            </w:r>
            <w:r w:rsidRPr="000641F5">
              <w:rPr>
                <w:sz w:val="18"/>
                <w:szCs w:val="18"/>
              </w:rPr>
              <w:t xml:space="preserve"> for 4 groundwater samples from BHMAR23-2, 23-3 and 23-4. No exceedances for Calivil Formation sample (BHMAR23-2).</w:t>
            </w:r>
          </w:p>
        </w:tc>
      </w:tr>
    </w:tbl>
    <w:p w:rsidR="00035877" w:rsidRPr="005F54FF" w:rsidRDefault="005F54FF" w:rsidP="00035877">
      <w:pPr>
        <w:rPr>
          <w:i/>
          <w:sz w:val="18"/>
          <w:szCs w:val="18"/>
        </w:rPr>
      </w:pPr>
      <w:r w:rsidRPr="005F54FF">
        <w:rPr>
          <w:sz w:val="18"/>
          <w:szCs w:val="18"/>
        </w:rPr>
        <w:t xml:space="preserve">Note: The NMR data in this table were collected in 2011 using the Javelin tool with an inter-echo spacing of 2.5 ms. Subsequent laboratory and field tests have demonstrated that this setting underestimates the </w:t>
      </w:r>
      <w:r w:rsidR="000641F5">
        <w:rPr>
          <w:sz w:val="18"/>
          <w:szCs w:val="18"/>
        </w:rPr>
        <w:t>mobile</w:t>
      </w:r>
      <w:r w:rsidRPr="005F54FF">
        <w:rPr>
          <w:sz w:val="18"/>
          <w:szCs w:val="18"/>
        </w:rPr>
        <w:t xml:space="preserve"> and total water content, and derived porosities, and should only be used on a semi-quantitative comparative basis. The NMR data may also be unreliable in zones where there is significant iron-(hematite) coating of quartz grains</w:t>
      </w:r>
      <w:r w:rsidR="003B14B6">
        <w:rPr>
          <w:sz w:val="18"/>
          <w:szCs w:val="18"/>
        </w:rPr>
        <w:t>.</w:t>
      </w:r>
    </w:p>
    <w:p w:rsidR="00035877" w:rsidRDefault="00035877" w:rsidP="00035877">
      <w:pPr>
        <w:rPr>
          <w:szCs w:val="22"/>
        </w:rPr>
        <w:sectPr w:rsidR="00035877" w:rsidSect="00C6706D">
          <w:pgSz w:w="11906" w:h="16838" w:code="9"/>
          <w:pgMar w:top="1134" w:right="1134" w:bottom="1134" w:left="1134" w:header="709" w:footer="709" w:gutter="0"/>
          <w:cols w:space="708"/>
          <w:docGrid w:linePitch="360"/>
        </w:sectPr>
      </w:pPr>
    </w:p>
    <w:p w:rsidR="00035877" w:rsidRDefault="00CD2825" w:rsidP="00FE37F2">
      <w:pPr>
        <w:pStyle w:val="Caption"/>
      </w:pPr>
      <w:bookmarkStart w:id="660" w:name="_Ref325709754"/>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3</w:t>
      </w:r>
      <w:r w:rsidR="00B96C96">
        <w:rPr>
          <w:b/>
        </w:rPr>
        <w:fldChar w:fldCharType="end"/>
      </w:r>
      <w:bookmarkEnd w:id="660"/>
      <w:r w:rsidRPr="00CD2825">
        <w:rPr>
          <w:b/>
        </w:rPr>
        <w:t>.</w:t>
      </w:r>
      <w:r>
        <w:t xml:space="preserve"> </w:t>
      </w:r>
      <w:r w:rsidR="00035877" w:rsidRPr="004F6F8C">
        <w:rPr>
          <w:rFonts w:cs="Arial"/>
        </w:rPr>
        <w:t>Entry-level risk assessment</w:t>
      </w:r>
      <w:r w:rsidR="00035877">
        <w:rPr>
          <w:rFonts w:cs="Arial"/>
        </w:rPr>
        <w:t xml:space="preserve"> for the BHMAR ASR site</w:t>
      </w:r>
      <w:r w:rsidR="00035877" w:rsidRPr="00DF2021">
        <w:rPr>
          <w:rFonts w:cs="Arial"/>
        </w:rPr>
        <w:t xml:space="preserve"> </w:t>
      </w:r>
      <w:r w:rsidR="00035877">
        <w:rPr>
          <w:rFonts w:cs="Arial"/>
        </w:rPr>
        <w:t xml:space="preserve">at </w:t>
      </w:r>
      <w:smartTag w:uri="urn:schemas-microsoft-com:office:smarttags" w:element="place">
        <w:smartTag w:uri="urn:schemas-microsoft-com:office:smarttags" w:element="PlaceType">
          <w:r w:rsidR="00C217F0">
            <w:rPr>
              <w:rFonts w:cs="Arial"/>
            </w:rPr>
            <w:t>Lake</w:t>
          </w:r>
        </w:smartTag>
        <w:r w:rsidR="00C217F0">
          <w:rPr>
            <w:rFonts w:cs="Arial"/>
          </w:rPr>
          <w:t xml:space="preserve"> </w:t>
        </w:r>
        <w:smartTag w:uri="urn:schemas-microsoft-com:office:smarttags" w:element="PlaceName">
          <w:r w:rsidR="00C217F0">
            <w:rPr>
              <w:rFonts w:cs="Arial"/>
            </w:rPr>
            <w:t>Menindee</w:t>
          </w:r>
        </w:smartTag>
      </w:smartTag>
      <w:r w:rsidR="00035877">
        <w:rPr>
          <w:rFonts w:cs="Arial"/>
        </w:rPr>
        <w:t xml:space="preserve">— Part </w:t>
      </w:r>
      <w:r w:rsidR="00035877" w:rsidRPr="004F6F8C">
        <w:rPr>
          <w:rFonts w:cs="Arial"/>
        </w:rPr>
        <w:t>2: degree of difficulty</w:t>
      </w:r>
      <w:r w:rsidR="00035877">
        <w:rPr>
          <w:rFonts w:cs="Arial"/>
        </w:rPr>
        <w:t xml:space="preserve"> (up-</w:t>
      </w:r>
      <w:r w:rsidR="00035877" w:rsidRPr="00670511">
        <w:rPr>
          <w:rFonts w:cs="Arial"/>
        </w:rPr>
        <w:t xml:space="preserve">dated from </w:t>
      </w:r>
      <w:r w:rsidR="009D7B6E" w:rsidRPr="00670511">
        <w:rPr>
          <w:rFonts w:cs="Arial"/>
        </w:rPr>
        <w:t>Lawrie</w:t>
      </w:r>
      <w:r w:rsidR="008A5F7D" w:rsidRPr="008A5F7D">
        <w:rPr>
          <w:rFonts w:cs="Arial"/>
        </w:rPr>
        <w:t xml:space="preserve"> et al</w:t>
      </w:r>
      <w:r w:rsidR="009D7B6E" w:rsidRPr="00670511">
        <w:rPr>
          <w:rFonts w:cs="Arial"/>
        </w:rPr>
        <w:t>., 2010a</w:t>
      </w:r>
      <w:r w:rsidR="00035877" w:rsidRPr="00670511">
        <w:rPr>
          <w:rFonts w:cs="Arial"/>
        </w:rPr>
        <w:t xml:space="preserve">, 2011). </w:t>
      </w:r>
      <w:r w:rsidR="00035877" w:rsidRPr="00670511">
        <w:rPr>
          <w:szCs w:val="20"/>
        </w:rPr>
        <w:t>Completed</w:t>
      </w:r>
      <w:r w:rsidR="00035877" w:rsidRPr="006F16BF">
        <w:rPr>
          <w:szCs w:val="20"/>
        </w:rPr>
        <w:t xml:space="preserve"> as per section 4.3 of the </w:t>
      </w:r>
      <w:smartTag w:uri="urn:schemas-microsoft-com:office:smarttags" w:element="stockticker">
        <w:r w:rsidR="00035877" w:rsidRPr="006F16BF">
          <w:rPr>
            <w:szCs w:val="20"/>
          </w:rPr>
          <w:t>MAR</w:t>
        </w:r>
      </w:smartTag>
      <w:r w:rsidR="00035877" w:rsidRPr="006F16BF">
        <w:rPr>
          <w:szCs w:val="20"/>
        </w:rPr>
        <w:t xml:space="preserve"> guidelines (</w:t>
      </w:r>
      <w:r w:rsidR="0089737C" w:rsidRPr="0070746C">
        <w:t>NRMMC–EPHC–NHMRC</w:t>
      </w:r>
      <w:r w:rsidR="0089737C">
        <w:t>,</w:t>
      </w:r>
      <w:r w:rsidR="0089737C" w:rsidRPr="0070746C">
        <w:t xml:space="preserve"> </w:t>
      </w:r>
      <w:r w:rsidR="0089737C">
        <w:t>2009</w:t>
      </w:r>
      <w:r w:rsidR="00035877" w:rsidRPr="006F16BF">
        <w:rPr>
          <w:szCs w:val="20"/>
        </w:rPr>
        <w:t>).</w:t>
      </w:r>
      <w:r w:rsidR="00DD5B97">
        <w:rPr>
          <w:szCs w:val="20"/>
        </w:rPr>
        <w:t xml:space="preserve"> </w:t>
      </w:r>
      <w:r w:rsidR="00DD5B97" w:rsidRPr="007960BF">
        <w:rPr>
          <w:i w:val="0"/>
        </w:rPr>
        <w:fldChar w:fldCharType="begin"/>
      </w:r>
      <w:r w:rsidR="00DD5B97" w:rsidRPr="007960BF">
        <w:rPr>
          <w:i w:val="0"/>
        </w:rPr>
        <w:instrText xml:space="preserve"> TC "</w:instrText>
      </w:r>
      <w:bookmarkStart w:id="661" w:name="_Toc325975315"/>
      <w:bookmarkStart w:id="662" w:name="_Toc390690304"/>
      <w:r w:rsidR="005B1337" w:rsidRPr="007960BF">
        <w:rPr>
          <w:i w:val="0"/>
        </w:rPr>
        <w:instrText xml:space="preserve">Table </w:instrText>
      </w:r>
      <w:r w:rsidR="000D653B">
        <w:rPr>
          <w:i w:val="0"/>
        </w:rPr>
        <w:instrText>9-3</w:instrText>
      </w:r>
      <w:r w:rsidR="00DE0DFA">
        <w:rPr>
          <w:i w:val="0"/>
        </w:rPr>
        <w:instrText>.</w:instrText>
      </w:r>
      <w:r w:rsidR="00DD5B97" w:rsidRPr="007960BF">
        <w:rPr>
          <w:i w:val="0"/>
        </w:rPr>
        <w:instrText xml:space="preserve"> </w:instrText>
      </w:r>
      <w:r w:rsidR="00DD5B97" w:rsidRPr="007960BF">
        <w:rPr>
          <w:rFonts w:cs="Arial"/>
          <w:i w:val="0"/>
        </w:rPr>
        <w:instrText xml:space="preserve">Entry-level risk assessment for the BHMAR ASR site at </w:instrText>
      </w:r>
      <w:smartTag w:uri="urn:schemas-microsoft-com:office:smarttags" w:element="place">
        <w:smartTag w:uri="urn:schemas-microsoft-com:office:smarttags" w:element="PlaceType">
          <w:r w:rsidR="00C217F0">
            <w:rPr>
              <w:rFonts w:cs="Arial"/>
              <w:i w:val="0"/>
            </w:rPr>
            <w:instrText>Lake</w:instrText>
          </w:r>
        </w:smartTag>
        <w:r w:rsidR="00C217F0">
          <w:rPr>
            <w:rFonts w:cs="Arial"/>
            <w:i w:val="0"/>
          </w:rPr>
          <w:instrText xml:space="preserve"> </w:instrText>
        </w:r>
        <w:smartTag w:uri="urn:schemas-microsoft-com:office:smarttags" w:element="PlaceName">
          <w:r w:rsidR="00C217F0">
            <w:rPr>
              <w:rFonts w:cs="Arial"/>
              <w:i w:val="0"/>
            </w:rPr>
            <w:instrText>Menindee</w:instrText>
          </w:r>
        </w:smartTag>
      </w:smartTag>
      <w:bookmarkEnd w:id="661"/>
      <w:r w:rsidR="003721DD">
        <w:rPr>
          <w:i w:val="0"/>
        </w:rPr>
        <w:instrText>.</w:instrText>
      </w:r>
      <w:bookmarkEnd w:id="662"/>
      <w:r w:rsidR="00DD5B97" w:rsidRPr="007960BF">
        <w:rPr>
          <w:i w:val="0"/>
        </w:rPr>
        <w:instrText xml:space="preserve">" \f B \l "4" </w:instrText>
      </w:r>
      <w:r w:rsidR="00DD5B97" w:rsidRPr="007960BF">
        <w:rPr>
          <w:i w:val="0"/>
        </w:rPr>
        <w:fldChar w:fldCharType="end"/>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8"/>
        <w:gridCol w:w="6915"/>
        <w:gridCol w:w="4053"/>
      </w:tblGrid>
      <w:tr w:rsidR="00035877" w:rsidRPr="006205C3" w:rsidTr="00370829">
        <w:tc>
          <w:tcPr>
            <w:tcW w:w="3818" w:type="dxa"/>
            <w:shd w:val="clear" w:color="auto" w:fill="C0C0C0"/>
          </w:tcPr>
          <w:p w:rsidR="00035877" w:rsidRPr="006205C3" w:rsidRDefault="00035877" w:rsidP="00370829">
            <w:pPr>
              <w:rPr>
                <w:rFonts w:cs="Arial"/>
                <w:b/>
                <w:szCs w:val="22"/>
              </w:rPr>
            </w:pPr>
            <w:r w:rsidRPr="006205C3">
              <w:rPr>
                <w:rFonts w:cs="Arial"/>
                <w:b/>
                <w:szCs w:val="22"/>
              </w:rPr>
              <w:t>Question</w:t>
            </w:r>
          </w:p>
        </w:tc>
        <w:tc>
          <w:tcPr>
            <w:tcW w:w="6915"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w:t>
            </w:r>
            <w:smartTag w:uri="urn:schemas-microsoft-com:office:smarttags" w:element="place">
              <w:smartTag w:uri="urn:schemas-microsoft-com:office:smarttags" w:element="PlaceType">
                <w:r w:rsidR="00C217F0">
                  <w:rPr>
                    <w:rFonts w:cs="Arial"/>
                    <w:b/>
                    <w:szCs w:val="22"/>
                  </w:rPr>
                  <w:t>Lake</w:t>
                </w:r>
              </w:smartTag>
              <w:r w:rsidR="00C217F0">
                <w:rPr>
                  <w:rFonts w:cs="Arial"/>
                  <w:b/>
                  <w:szCs w:val="22"/>
                </w:rPr>
                <w:t xml:space="preserve"> </w:t>
              </w:r>
              <w:smartTag w:uri="urn:schemas-microsoft-com:office:smarttags" w:element="PlaceName">
                <w:r w:rsidR="00C217F0">
                  <w:rPr>
                    <w:rFonts w:cs="Arial"/>
                    <w:b/>
                    <w:szCs w:val="22"/>
                  </w:rPr>
                  <w:t>Menindee</w:t>
                </w:r>
              </w:smartTag>
            </w:smartTag>
            <w:r>
              <w:rPr>
                <w:rFonts w:cs="Arial"/>
                <w:b/>
                <w:szCs w:val="22"/>
              </w:rPr>
              <w:t xml:space="preserve"> ASR site</w:t>
            </w:r>
          </w:p>
        </w:tc>
        <w:tc>
          <w:tcPr>
            <w:tcW w:w="4053"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6205C3" w:rsidTr="00370829">
        <w:tc>
          <w:tcPr>
            <w:tcW w:w="14786" w:type="dxa"/>
            <w:gridSpan w:val="3"/>
            <w:shd w:val="clear" w:color="auto" w:fill="E6E6E6"/>
          </w:tcPr>
          <w:p w:rsidR="00035877" w:rsidRPr="00B93BF4" w:rsidRDefault="00035877" w:rsidP="00370829">
            <w:pPr>
              <w:rPr>
                <w:b/>
                <w:sz w:val="20"/>
                <w:szCs w:val="20"/>
              </w:rPr>
            </w:pPr>
            <w:r w:rsidRPr="00B93BF4">
              <w:rPr>
                <w:b/>
                <w:sz w:val="20"/>
                <w:szCs w:val="20"/>
              </w:rPr>
              <w:t>1. Source water quality with respect to groundwater environmental values</w:t>
            </w:r>
          </w:p>
        </w:tc>
      </w:tr>
      <w:tr w:rsidR="00035877" w:rsidRPr="006205C3" w:rsidTr="00370829">
        <w:tc>
          <w:tcPr>
            <w:tcW w:w="3818" w:type="dxa"/>
          </w:tcPr>
          <w:p w:rsidR="00035877" w:rsidRDefault="00035877" w:rsidP="00370829">
            <w:pPr>
              <w:rPr>
                <w:rFonts w:cs="Arial"/>
                <w:sz w:val="18"/>
                <w:szCs w:val="18"/>
              </w:rPr>
            </w:pPr>
            <w:r w:rsidRPr="00D371D0">
              <w:rPr>
                <w:rFonts w:cs="Arial"/>
                <w:sz w:val="18"/>
                <w:szCs w:val="18"/>
              </w:rPr>
              <w:t>Does source water quality meet the requirements for the environmental values of ambient groundwater?</w:t>
            </w:r>
          </w:p>
          <w:p w:rsidR="00035877" w:rsidRPr="00B93BF4" w:rsidRDefault="00035877" w:rsidP="00370829">
            <w:pPr>
              <w:rPr>
                <w:rFonts w:cs="Arial"/>
                <w:sz w:val="18"/>
                <w:szCs w:val="18"/>
              </w:rPr>
            </w:pPr>
          </w:p>
          <w:p w:rsidR="00035877" w:rsidRDefault="00035877" w:rsidP="00370829">
            <w:pPr>
              <w:rPr>
                <w:rFonts w:cs="Arial"/>
                <w:sz w:val="18"/>
                <w:szCs w:val="18"/>
              </w:rPr>
            </w:pPr>
          </w:p>
          <w:p w:rsidR="00035877" w:rsidRPr="00B93BF4" w:rsidRDefault="00035877" w:rsidP="00370829">
            <w:pPr>
              <w:jc w:val="center"/>
              <w:rPr>
                <w:rFonts w:cs="Arial"/>
                <w:sz w:val="18"/>
                <w:szCs w:val="18"/>
              </w:rPr>
            </w:pPr>
          </w:p>
        </w:tc>
        <w:tc>
          <w:tcPr>
            <w:tcW w:w="6915" w:type="dxa"/>
          </w:tcPr>
          <w:p w:rsidR="00035877" w:rsidRPr="00D371D0" w:rsidRDefault="00035877" w:rsidP="00370829">
            <w:pPr>
              <w:rPr>
                <w:rFonts w:cs="Arial"/>
                <w:sz w:val="18"/>
                <w:szCs w:val="18"/>
              </w:rPr>
            </w:pPr>
            <w:r w:rsidRPr="00D371D0">
              <w:rPr>
                <w:rFonts w:cs="Arial"/>
                <w:sz w:val="18"/>
                <w:szCs w:val="18"/>
              </w:rPr>
              <w:t xml:space="preserve">Yes. </w:t>
            </w:r>
            <w:smartTag w:uri="urn:schemas-microsoft-com:office:smarttags" w:element="place">
              <w:r w:rsidRPr="00D371D0">
                <w:rPr>
                  <w:rFonts w:cs="Arial"/>
                  <w:sz w:val="18"/>
                  <w:szCs w:val="18"/>
                </w:rPr>
                <w:t>Darling River</w:t>
              </w:r>
            </w:smartTag>
            <w:r w:rsidRPr="00D371D0">
              <w:rPr>
                <w:rFonts w:cs="Arial"/>
                <w:sz w:val="18"/>
                <w:szCs w:val="18"/>
              </w:rPr>
              <w:t xml:space="preserve"> source water quality stored in the MLS is higher than most groundwater. Water quality requirements are met for the most common use of groundwater, livestock supply. Water quality requirements for the less common uses such as irrigation and drinking water are generally met, although iron, aluminium, pH, turbidity and phosphorus concentrations exceed irrigation and drinking water aesthetics on occasions. The concentrations of most of these constituents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3" w:type="dxa"/>
          </w:tcPr>
          <w:p w:rsidR="00035877" w:rsidRPr="00D371D0" w:rsidRDefault="00035877" w:rsidP="00370829">
            <w:pPr>
              <w:rPr>
                <w:rFonts w:cs="Arial"/>
                <w:sz w:val="18"/>
                <w:szCs w:val="18"/>
              </w:rPr>
            </w:pPr>
            <w:r w:rsidRPr="00D371D0">
              <w:rPr>
                <w:rFonts w:cs="Arial"/>
                <w:sz w:val="18"/>
                <w:szCs w:val="18"/>
              </w:rPr>
              <w:t xml:space="preserve">Particular potential contaminants (such as pesticides and microbiology) need to be specifically evaluated, although significant recharge occurs in response to lake filling. </w:t>
            </w:r>
          </w:p>
        </w:tc>
      </w:tr>
      <w:tr w:rsidR="00035877" w:rsidRPr="006205C3" w:rsidTr="00370829">
        <w:tc>
          <w:tcPr>
            <w:tcW w:w="14786" w:type="dxa"/>
            <w:gridSpan w:val="3"/>
            <w:shd w:val="clear" w:color="auto" w:fill="E6E6E6"/>
          </w:tcPr>
          <w:p w:rsidR="00035877" w:rsidRPr="00B93BF4" w:rsidRDefault="00035877" w:rsidP="00370829">
            <w:pPr>
              <w:rPr>
                <w:b/>
                <w:sz w:val="20"/>
                <w:szCs w:val="20"/>
              </w:rPr>
            </w:pPr>
            <w:r w:rsidRPr="00B93BF4">
              <w:rPr>
                <w:b/>
                <w:sz w:val="20"/>
                <w:szCs w:val="20"/>
              </w:rPr>
              <w:t>2. Source water quality with respect to recovered water end use environmental values</w:t>
            </w:r>
          </w:p>
        </w:tc>
      </w:tr>
      <w:tr w:rsidR="00035877" w:rsidRPr="006205C3" w:rsidTr="00370829">
        <w:tc>
          <w:tcPr>
            <w:tcW w:w="3818" w:type="dxa"/>
          </w:tcPr>
          <w:p w:rsidR="00035877" w:rsidRPr="00D371D0" w:rsidRDefault="00035877" w:rsidP="00370829">
            <w:pPr>
              <w:rPr>
                <w:rFonts w:cs="Arial"/>
                <w:sz w:val="18"/>
                <w:szCs w:val="18"/>
              </w:rPr>
            </w:pPr>
            <w:r w:rsidRPr="00D371D0">
              <w:rPr>
                <w:rFonts w:cs="Arial"/>
                <w:sz w:val="18"/>
                <w:szCs w:val="18"/>
              </w:rPr>
              <w:t>Does source water quality meet the requirements for the environmental values of intended end uses of water on recovery?</w:t>
            </w:r>
          </w:p>
        </w:tc>
        <w:tc>
          <w:tcPr>
            <w:tcW w:w="6915" w:type="dxa"/>
          </w:tcPr>
          <w:p w:rsidR="00035877" w:rsidRPr="00D371D0" w:rsidRDefault="00035877" w:rsidP="00370829">
            <w:pPr>
              <w:rPr>
                <w:rFonts w:cs="Arial"/>
                <w:sz w:val="18"/>
                <w:szCs w:val="18"/>
              </w:rPr>
            </w:pPr>
            <w:r w:rsidRPr="00D371D0">
              <w:rPr>
                <w:rFonts w:cs="Arial"/>
                <w:sz w:val="18"/>
                <w:szCs w:val="18"/>
              </w:rPr>
              <w:t xml:space="preserve">No (health requirements); no (aesthetic requirements). Based on the historical data, source waters meet the health requirements of drinking water supplies for the </w:t>
            </w:r>
            <w:smartTag w:uri="urn:schemas-microsoft-com:office:smarttags" w:element="place">
              <w:smartTag w:uri="urn:schemas-microsoft-com:office:smarttags" w:element="PlaceType">
                <w:r w:rsidRPr="00D371D0">
                  <w:rPr>
                    <w:rFonts w:cs="Arial"/>
                    <w:sz w:val="18"/>
                    <w:szCs w:val="18"/>
                  </w:rPr>
                  <w:t>township</w:t>
                </w:r>
              </w:smartTag>
              <w:r w:rsidRPr="00D371D0">
                <w:rPr>
                  <w:rFonts w:cs="Arial"/>
                  <w:sz w:val="18"/>
                  <w:szCs w:val="18"/>
                </w:rPr>
                <w:t xml:space="preserve"> of </w:t>
              </w:r>
              <w:smartTag w:uri="urn:schemas-microsoft-com:office:smarttags" w:element="PlaceName">
                <w:r w:rsidRPr="00D371D0">
                  <w:rPr>
                    <w:rFonts w:cs="Arial"/>
                    <w:sz w:val="18"/>
                    <w:szCs w:val="18"/>
                  </w:rPr>
                  <w:t>Broken</w:t>
                </w:r>
              </w:smartTag>
            </w:smartTag>
            <w:r w:rsidRPr="00D371D0">
              <w:rPr>
                <w:rFonts w:cs="Arial"/>
                <w:sz w:val="18"/>
                <w:szCs w:val="18"/>
              </w:rPr>
              <w:t xml:space="preserve"> Hill. The aesthetic requirements of drinking water if iron, aluminium, pH and turbidity levels are not met but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3" w:type="dxa"/>
          </w:tcPr>
          <w:p w:rsidR="00035877" w:rsidRPr="00D371D0" w:rsidRDefault="00035877" w:rsidP="00370829">
            <w:pPr>
              <w:rPr>
                <w:rFonts w:cs="Arial"/>
                <w:sz w:val="18"/>
                <w:szCs w:val="18"/>
              </w:rPr>
            </w:pPr>
            <w:r w:rsidRPr="00D371D0">
              <w:rPr>
                <w:rFonts w:cs="Arial"/>
                <w:sz w:val="18"/>
                <w:szCs w:val="18"/>
              </w:rPr>
              <w:t>Further monitoring and assessment of geochemical assessment of reactions with ambient groundwater and aquifer material is required, although substantial recharge is observed under lake fill conditions. There may be a need for post-recovery treatment.</w:t>
            </w:r>
          </w:p>
        </w:tc>
      </w:tr>
      <w:tr w:rsidR="00035877" w:rsidRPr="006205C3" w:rsidTr="00370829">
        <w:tc>
          <w:tcPr>
            <w:tcW w:w="14786" w:type="dxa"/>
            <w:gridSpan w:val="3"/>
            <w:shd w:val="clear" w:color="auto" w:fill="E6E6E6"/>
          </w:tcPr>
          <w:p w:rsidR="00035877" w:rsidRPr="00B93BF4" w:rsidRDefault="00035877" w:rsidP="00370829">
            <w:pPr>
              <w:rPr>
                <w:b/>
                <w:sz w:val="20"/>
                <w:szCs w:val="20"/>
              </w:rPr>
            </w:pPr>
            <w:r w:rsidRPr="00B93BF4">
              <w:rPr>
                <w:b/>
                <w:sz w:val="20"/>
                <w:szCs w:val="20"/>
              </w:rPr>
              <w:t>3. Source water quality with respect to clogging</w:t>
            </w:r>
          </w:p>
        </w:tc>
      </w:tr>
      <w:tr w:rsidR="00035877" w:rsidRPr="006205C3" w:rsidTr="00370829">
        <w:tc>
          <w:tcPr>
            <w:tcW w:w="3818" w:type="dxa"/>
          </w:tcPr>
          <w:p w:rsidR="00035877" w:rsidRPr="00D371D0" w:rsidRDefault="00035877" w:rsidP="00370829">
            <w:pPr>
              <w:rPr>
                <w:rFonts w:cs="Arial"/>
                <w:sz w:val="18"/>
                <w:szCs w:val="18"/>
              </w:rPr>
            </w:pPr>
            <w:r w:rsidRPr="00D371D0">
              <w:rPr>
                <w:rFonts w:cs="Arial"/>
                <w:sz w:val="18"/>
                <w:szCs w:val="18"/>
              </w:rPr>
              <w:t>a) Is source water of low quality, for example: either total suspended solids, total organic carbon or total nitrogen &gt;10 mg/L,</w:t>
            </w:r>
          </w:p>
          <w:p w:rsidR="00035877" w:rsidRPr="00D371D0" w:rsidRDefault="00035877" w:rsidP="00370829">
            <w:pPr>
              <w:rPr>
                <w:rFonts w:cs="Arial"/>
                <w:sz w:val="18"/>
                <w:szCs w:val="18"/>
              </w:rPr>
            </w:pPr>
            <w:r w:rsidRPr="00D371D0">
              <w:rPr>
                <w:rFonts w:cs="Arial"/>
                <w:sz w:val="18"/>
                <w:szCs w:val="18"/>
              </w:rPr>
              <w:t>b) And is soil or aquifer free of macropores?</w:t>
            </w:r>
          </w:p>
        </w:tc>
        <w:tc>
          <w:tcPr>
            <w:tcW w:w="6915"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 xml:space="preserve">a) Yes. Based on the existing historical data from surface water monitoring sites over the last 30 years, source waters do not meet the total organic carbon or turbidity requirements cited as defining “low quality to avoid aquifer clogging”. </w:t>
            </w:r>
          </w:p>
          <w:p w:rsidR="00035877" w:rsidRPr="00D371D0" w:rsidRDefault="00035877" w:rsidP="00370829">
            <w:pPr>
              <w:rPr>
                <w:rFonts w:cs="Arial"/>
                <w:sz w:val="18"/>
                <w:szCs w:val="18"/>
              </w:rPr>
            </w:pPr>
            <w:r w:rsidRPr="00D371D0">
              <w:rPr>
                <w:rFonts w:cs="Arial"/>
                <w:sz w:val="18"/>
                <w:szCs w:val="18"/>
              </w:rPr>
              <w:t xml:space="preserve">b) Partially. Soils have variable characteristics across the project area; however, the sites identified as potential </w:t>
            </w:r>
            <w:smartTag w:uri="urn:schemas-microsoft-com:office:smarttags" w:element="stockticker">
              <w:r w:rsidRPr="00D371D0">
                <w:rPr>
                  <w:rFonts w:cs="Arial"/>
                  <w:sz w:val="18"/>
                  <w:szCs w:val="18"/>
                </w:rPr>
                <w:t>MAR</w:t>
              </w:r>
            </w:smartTag>
            <w:r w:rsidRPr="00D371D0">
              <w:rPr>
                <w:rFonts w:cs="Arial"/>
                <w:sz w:val="18"/>
                <w:szCs w:val="18"/>
              </w:rPr>
              <w:t xml:space="preserve"> targets and infiltration sites have been selected for their highly permeable and porous soils and aquifers. Macropore development is likely to be variable: cracking </w:t>
            </w:r>
            <w:r w:rsidR="001E3931">
              <w:rPr>
                <w:rFonts w:cs="Arial"/>
                <w:sz w:val="18"/>
                <w:szCs w:val="18"/>
              </w:rPr>
              <w:t>mud</w:t>
            </w:r>
            <w:r w:rsidRPr="00D371D0">
              <w:rPr>
                <w:rFonts w:cs="Arial"/>
                <w:sz w:val="18"/>
                <w:szCs w:val="18"/>
              </w:rPr>
              <w:t>s with macropore soil development can occur in floodplain areas, but target aquifers are unconsolidated sediments with limited macropore structures.</w:t>
            </w:r>
          </w:p>
        </w:tc>
        <w:tc>
          <w:tcPr>
            <w:tcW w:w="4053"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a) Low to moderate risk of clogging associated with infiltration, with significant recharge recently observed (~5</w:t>
            </w:r>
            <w:r w:rsidR="00A72012">
              <w:rPr>
                <w:rFonts w:cs="Arial"/>
                <w:sz w:val="18"/>
                <w:szCs w:val="18"/>
              </w:rPr>
              <w:t xml:space="preserve"> </w:t>
            </w:r>
            <w:r w:rsidRPr="00D371D0">
              <w:rPr>
                <w:rFonts w:cs="Arial"/>
                <w:sz w:val="18"/>
                <w:szCs w:val="18"/>
              </w:rPr>
              <w:t xml:space="preserve">m) to occur naturally through leakage from the lake when filled. Risk may increase if additional infiltration basins installed. </w:t>
            </w:r>
          </w:p>
          <w:p w:rsidR="00035877" w:rsidRPr="00D371D0" w:rsidRDefault="00035877" w:rsidP="00370829">
            <w:pPr>
              <w:rPr>
                <w:rFonts w:cs="Arial"/>
                <w:sz w:val="18"/>
                <w:szCs w:val="18"/>
              </w:rPr>
            </w:pPr>
            <w:r w:rsidRPr="00D371D0">
              <w:rPr>
                <w:rFonts w:cs="Arial"/>
                <w:sz w:val="18"/>
                <w:szCs w:val="18"/>
              </w:rPr>
              <w:t>b) Clogging may occur if ASR area increased. An expansion of the MAR storage area to the SW would likely see an improvement in aquifer transmissivity, but aquifer clogging possible with variable aquifer conditions.</w:t>
            </w:r>
          </w:p>
        </w:tc>
      </w:tr>
      <w:tr w:rsidR="00035877" w:rsidRPr="006205C3" w:rsidTr="00370829">
        <w:tc>
          <w:tcPr>
            <w:tcW w:w="14786" w:type="dxa"/>
            <w:gridSpan w:val="3"/>
            <w:shd w:val="clear" w:color="auto" w:fill="E6E6E6"/>
          </w:tcPr>
          <w:p w:rsidR="00035877" w:rsidRPr="00B93BF4" w:rsidRDefault="00035877" w:rsidP="00370829">
            <w:pPr>
              <w:rPr>
                <w:b/>
                <w:sz w:val="20"/>
                <w:szCs w:val="20"/>
              </w:rPr>
            </w:pPr>
            <w:r w:rsidRPr="00B93BF4">
              <w:rPr>
                <w:b/>
                <w:sz w:val="20"/>
                <w:szCs w:val="20"/>
              </w:rPr>
              <w:t xml:space="preserve">4. </w:t>
            </w:r>
            <w:smartTag w:uri="urn:schemas-microsoft-com:office:smarttags" w:element="PersonName">
              <w:r w:rsidRPr="00B93BF4">
                <w:rPr>
                  <w:b/>
                  <w:sz w:val="20"/>
                  <w:szCs w:val="20"/>
                </w:rPr>
                <w:t>Groundwater</w:t>
              </w:r>
            </w:smartTag>
            <w:r w:rsidRPr="00B93BF4">
              <w:rPr>
                <w:b/>
                <w:sz w:val="20"/>
                <w:szCs w:val="20"/>
              </w:rPr>
              <w:t xml:space="preserve"> quality with respect to recovered water end use environmental values</w:t>
            </w:r>
          </w:p>
        </w:tc>
      </w:tr>
      <w:tr w:rsidR="00035877" w:rsidRPr="006205C3" w:rsidTr="00370829">
        <w:tc>
          <w:tcPr>
            <w:tcW w:w="3818" w:type="dxa"/>
          </w:tcPr>
          <w:p w:rsidR="00035877" w:rsidRPr="00D371D0" w:rsidRDefault="00035877" w:rsidP="00370829">
            <w:pPr>
              <w:rPr>
                <w:rFonts w:cs="Arial"/>
                <w:sz w:val="18"/>
                <w:szCs w:val="18"/>
              </w:rPr>
            </w:pPr>
            <w:r w:rsidRPr="00D371D0">
              <w:rPr>
                <w:rFonts w:cs="Arial"/>
                <w:sz w:val="18"/>
                <w:szCs w:val="18"/>
              </w:rPr>
              <w:t xml:space="preserve">Does ambient groundwater meet the water quality requirements for the environmental values of intended end uses of water on recovery? </w:t>
            </w:r>
          </w:p>
        </w:tc>
        <w:tc>
          <w:tcPr>
            <w:tcW w:w="6915" w:type="dxa"/>
          </w:tcPr>
          <w:p w:rsidR="00035877" w:rsidRPr="00D371D0" w:rsidRDefault="00035877" w:rsidP="00370829">
            <w:pPr>
              <w:rPr>
                <w:rFonts w:cs="Arial"/>
                <w:sz w:val="18"/>
                <w:szCs w:val="18"/>
              </w:rPr>
            </w:pPr>
            <w:r w:rsidRPr="00D371D0">
              <w:rPr>
                <w:rFonts w:cs="Arial"/>
                <w:sz w:val="18"/>
                <w:szCs w:val="18"/>
              </w:rPr>
              <w:t xml:space="preserve">Not likely </w:t>
            </w:r>
            <w:r w:rsidR="000641F5">
              <w:rPr>
                <w:rFonts w:cs="Arial"/>
                <w:sz w:val="18"/>
                <w:szCs w:val="18"/>
              </w:rPr>
              <w:t>–</w:t>
            </w:r>
            <w:r w:rsidRPr="00D371D0">
              <w:rPr>
                <w:rFonts w:cs="Arial"/>
                <w:sz w:val="18"/>
                <w:szCs w:val="18"/>
              </w:rPr>
              <w:t xml:space="preserve"> </w:t>
            </w:r>
            <w:r w:rsidR="000641F5">
              <w:rPr>
                <w:rFonts w:cs="Arial"/>
                <w:sz w:val="18"/>
                <w:szCs w:val="18"/>
              </w:rPr>
              <w:t>AEM survey and limited g</w:t>
            </w:r>
            <w:r w:rsidRPr="00D371D0">
              <w:rPr>
                <w:rFonts w:cs="Arial"/>
                <w:sz w:val="18"/>
                <w:szCs w:val="18"/>
              </w:rPr>
              <w:t xml:space="preserve">roundwater sampling from the </w:t>
            </w:r>
            <w:r w:rsidR="00C217F0">
              <w:rPr>
                <w:rFonts w:cs="Arial"/>
                <w:sz w:val="18"/>
                <w:szCs w:val="18"/>
              </w:rPr>
              <w:t>Calivil Formation</w:t>
            </w:r>
            <w:r w:rsidR="00106292">
              <w:rPr>
                <w:rFonts w:cs="Arial"/>
                <w:sz w:val="18"/>
                <w:szCs w:val="18"/>
              </w:rPr>
              <w:t xml:space="preserve"> </w:t>
            </w:r>
            <w:r w:rsidRPr="00D371D0">
              <w:rPr>
                <w:rFonts w:cs="Arial"/>
                <w:sz w:val="18"/>
                <w:szCs w:val="18"/>
              </w:rPr>
              <w:t>aquifer in the target area indicate variations in salinity from potable to saline. Fresher zones can have ADWG</w:t>
            </w:r>
            <w:r w:rsidR="00B81A6B">
              <w:rPr>
                <w:rFonts w:cs="Arial"/>
                <w:sz w:val="18"/>
                <w:szCs w:val="18"/>
              </w:rPr>
              <w:t>2011</w:t>
            </w:r>
            <w:r w:rsidRPr="00D371D0">
              <w:rPr>
                <w:rFonts w:cs="Arial"/>
                <w:sz w:val="18"/>
                <w:szCs w:val="18"/>
              </w:rPr>
              <w:t xml:space="preserve"> exceedances for iron and manganese that would require treatment.</w:t>
            </w:r>
          </w:p>
        </w:tc>
        <w:tc>
          <w:tcPr>
            <w:tcW w:w="4053" w:type="dxa"/>
          </w:tcPr>
          <w:p w:rsidR="00035877" w:rsidRPr="00D371D0" w:rsidRDefault="00035877" w:rsidP="00370829">
            <w:pPr>
              <w:rPr>
                <w:rFonts w:cs="Arial"/>
                <w:sz w:val="18"/>
                <w:szCs w:val="18"/>
              </w:rPr>
            </w:pPr>
            <w:r w:rsidRPr="00D371D0">
              <w:rPr>
                <w:rFonts w:cs="Arial"/>
                <w:sz w:val="18"/>
                <w:szCs w:val="18"/>
              </w:rPr>
              <w:t xml:space="preserve">Contrasts in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groundwater salinity would need to be incorporated into evaluation of recovery </w:t>
            </w:r>
            <w:r w:rsidR="007C45E4" w:rsidRPr="00D371D0">
              <w:rPr>
                <w:rFonts w:cs="Arial"/>
                <w:sz w:val="18"/>
                <w:szCs w:val="18"/>
              </w:rPr>
              <w:t>efficiencies.</w:t>
            </w:r>
            <w:r w:rsidR="007C45E4">
              <w:rPr>
                <w:rFonts w:cs="Arial"/>
                <w:sz w:val="18"/>
                <w:szCs w:val="18"/>
              </w:rPr>
              <w:t xml:space="preserve"> Further</w:t>
            </w:r>
            <w:r w:rsidR="000641F5">
              <w:rPr>
                <w:rFonts w:cs="Arial"/>
                <w:sz w:val="18"/>
                <w:szCs w:val="18"/>
              </w:rPr>
              <w:t xml:space="preserve"> drilling, water quality sampling and monitoring would be required.</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5. </w:t>
            </w:r>
            <w:smartTag w:uri="urn:schemas-microsoft-com:office:smarttags" w:element="PersonName">
              <w:r w:rsidRPr="006205C3">
                <w:rPr>
                  <w:rFonts w:cs="Arial"/>
                  <w:b/>
                  <w:sz w:val="20"/>
                  <w:szCs w:val="20"/>
                </w:rPr>
                <w:t>Groundwater</w:t>
              </w:r>
            </w:smartTag>
            <w:r w:rsidRPr="006205C3">
              <w:rPr>
                <w:rFonts w:cs="Arial"/>
                <w:b/>
                <w:sz w:val="20"/>
                <w:szCs w:val="20"/>
              </w:rPr>
              <w:t xml:space="preserve"> and drinking water quality</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 xml:space="preserve">Is either (a) drinking water supply, or (b) protection of aquatic ecosystems with high conservation or ecological values, an environmental value of the target aquifer? </w:t>
            </w:r>
          </w:p>
        </w:tc>
        <w:tc>
          <w:tcPr>
            <w:tcW w:w="6915" w:type="dxa"/>
          </w:tcPr>
          <w:p w:rsidR="00035877" w:rsidRPr="00D371D0" w:rsidRDefault="00035877" w:rsidP="00370829">
            <w:pPr>
              <w:rPr>
                <w:rFonts w:cs="Arial"/>
                <w:sz w:val="18"/>
                <w:szCs w:val="18"/>
              </w:rPr>
            </w:pPr>
            <w:r w:rsidRPr="00D371D0">
              <w:rPr>
                <w:rFonts w:cs="Arial"/>
                <w:sz w:val="18"/>
                <w:szCs w:val="18"/>
              </w:rPr>
              <w:t xml:space="preserve">(a) Possibly – Fresher zones have been identified within the </w:t>
            </w:r>
            <w:r w:rsidR="00C217F0">
              <w:rPr>
                <w:rFonts w:cs="Arial"/>
                <w:sz w:val="18"/>
                <w:szCs w:val="18"/>
              </w:rPr>
              <w:t>Calivil Formation</w:t>
            </w:r>
            <w:r w:rsidR="00106292">
              <w:rPr>
                <w:rFonts w:cs="Arial"/>
                <w:sz w:val="18"/>
                <w:szCs w:val="18"/>
              </w:rPr>
              <w:t xml:space="preserve"> </w:t>
            </w:r>
            <w:r w:rsidRPr="00D371D0">
              <w:rPr>
                <w:rFonts w:cs="Arial"/>
                <w:sz w:val="18"/>
                <w:szCs w:val="18"/>
              </w:rPr>
              <w:t>with salinities less than the ADWG</w:t>
            </w:r>
            <w:r w:rsidR="00B81A6B">
              <w:rPr>
                <w:rFonts w:cs="Arial"/>
                <w:sz w:val="18"/>
                <w:szCs w:val="18"/>
              </w:rPr>
              <w:t>2011</w:t>
            </w:r>
            <w:r w:rsidRPr="00D371D0">
              <w:rPr>
                <w:rFonts w:cs="Arial"/>
                <w:sz w:val="18"/>
                <w:szCs w:val="18"/>
              </w:rPr>
              <w:t xml:space="preserve"> guidelines. </w:t>
            </w:r>
          </w:p>
          <w:p w:rsidR="00035877" w:rsidRPr="00D371D0" w:rsidRDefault="00035877" w:rsidP="00370829">
            <w:pPr>
              <w:rPr>
                <w:rFonts w:cs="Arial"/>
                <w:sz w:val="18"/>
                <w:szCs w:val="18"/>
              </w:rPr>
            </w:pPr>
            <w:r w:rsidRPr="00D371D0">
              <w:rPr>
                <w:rFonts w:cs="Arial"/>
                <w:sz w:val="18"/>
                <w:szCs w:val="18"/>
              </w:rPr>
              <w:t xml:space="preserve">(b) Possibly – The </w:t>
            </w:r>
            <w:r w:rsidR="00C217F0">
              <w:rPr>
                <w:rFonts w:cs="Arial"/>
                <w:sz w:val="18"/>
                <w:szCs w:val="18"/>
              </w:rPr>
              <w:t>Calivil Formation</w:t>
            </w:r>
            <w:r w:rsidR="00106292">
              <w:rPr>
                <w:rFonts w:cs="Arial"/>
                <w:sz w:val="18"/>
                <w:szCs w:val="18"/>
              </w:rPr>
              <w:t xml:space="preserve"> </w:t>
            </w:r>
            <w:r w:rsidRPr="00D371D0">
              <w:rPr>
                <w:rFonts w:cs="Arial"/>
                <w:sz w:val="18"/>
                <w:szCs w:val="18"/>
              </w:rPr>
              <w:t>aquifer beneath the lake is connected to the overlying unconfined aquifer. A narrow fringe of groundwater dependent vegetation would be accessing the shallow unconfined aquifer. Over time the water quality would be improved. Risks lie mainly in water level fluctuations (although these already occur in response to lake filling). A 5</w:t>
            </w:r>
            <w:r w:rsidR="00A72012">
              <w:rPr>
                <w:rFonts w:cs="Arial"/>
                <w:sz w:val="18"/>
                <w:szCs w:val="18"/>
              </w:rPr>
              <w:t xml:space="preserve"> </w:t>
            </w:r>
            <w:r w:rsidRPr="00D371D0">
              <w:rPr>
                <w:rFonts w:cs="Arial"/>
                <w:sz w:val="18"/>
                <w:szCs w:val="18"/>
              </w:rPr>
              <w:t xml:space="preserve">m response in the </w:t>
            </w:r>
            <w:r w:rsidR="00E823BA">
              <w:rPr>
                <w:rFonts w:cs="Arial"/>
                <w:sz w:val="18"/>
                <w:szCs w:val="18"/>
              </w:rPr>
              <w:t>watertable</w:t>
            </w:r>
            <w:r w:rsidRPr="00D371D0">
              <w:rPr>
                <w:rFonts w:cs="Arial"/>
                <w:sz w:val="18"/>
                <w:szCs w:val="18"/>
              </w:rPr>
              <w:t xml:space="preserve"> was observed for site 23-1 during the 2010-11 floods, due to leakage from the surcharged </w:t>
            </w:r>
            <w:r w:rsidR="00C217F0">
              <w:rPr>
                <w:rFonts w:cs="Arial"/>
                <w:sz w:val="18"/>
                <w:szCs w:val="18"/>
              </w:rPr>
              <w:t>Lake Menindee</w:t>
            </w:r>
            <w:r w:rsidRPr="00D371D0">
              <w:rPr>
                <w:rFonts w:cs="Arial"/>
                <w:sz w:val="18"/>
                <w:szCs w:val="18"/>
              </w:rPr>
              <w:t>.</w:t>
            </w:r>
          </w:p>
        </w:tc>
        <w:tc>
          <w:tcPr>
            <w:tcW w:w="4053" w:type="dxa"/>
          </w:tcPr>
          <w:p w:rsidR="00035877" w:rsidRPr="00D371D0" w:rsidRDefault="00035877" w:rsidP="00370829">
            <w:pPr>
              <w:rPr>
                <w:rFonts w:cs="Arial"/>
                <w:sz w:val="18"/>
                <w:szCs w:val="18"/>
              </w:rPr>
            </w:pPr>
            <w:r w:rsidRPr="00D371D0">
              <w:rPr>
                <w:rFonts w:cs="Arial"/>
                <w:sz w:val="18"/>
                <w:szCs w:val="18"/>
              </w:rPr>
              <w:t xml:space="preserve">(a) More detailed assessment of groundwater quality within the fresher zones in the </w:t>
            </w:r>
            <w:r w:rsidR="00C217F0">
              <w:rPr>
                <w:rFonts w:cs="Arial"/>
                <w:sz w:val="18"/>
                <w:szCs w:val="18"/>
              </w:rPr>
              <w:t>Calivil Formation</w:t>
            </w:r>
            <w:r w:rsidRPr="00D371D0">
              <w:rPr>
                <w:rFonts w:cs="Arial"/>
                <w:sz w:val="18"/>
                <w:szCs w:val="18"/>
              </w:rPr>
              <w:t>, including evaluation against ADWG</w:t>
            </w:r>
            <w:r w:rsidR="00B81A6B">
              <w:rPr>
                <w:rFonts w:cs="Arial"/>
                <w:sz w:val="18"/>
                <w:szCs w:val="18"/>
              </w:rPr>
              <w:t>2011</w:t>
            </w:r>
            <w:r w:rsidRPr="00D371D0">
              <w:rPr>
                <w:rFonts w:cs="Arial"/>
                <w:sz w:val="18"/>
                <w:szCs w:val="18"/>
              </w:rPr>
              <w:t xml:space="preserve"> thresholds</w:t>
            </w:r>
          </w:p>
          <w:p w:rsidR="00035877" w:rsidRPr="00D371D0" w:rsidRDefault="00035877" w:rsidP="00370829">
            <w:pPr>
              <w:rPr>
                <w:rFonts w:cs="Arial"/>
                <w:sz w:val="18"/>
                <w:szCs w:val="18"/>
              </w:rPr>
            </w:pPr>
          </w:p>
          <w:p w:rsidR="00035877" w:rsidRPr="00D371D0" w:rsidRDefault="00035877" w:rsidP="00370829">
            <w:pPr>
              <w:rPr>
                <w:rFonts w:cs="Arial"/>
                <w:sz w:val="18"/>
                <w:szCs w:val="18"/>
              </w:rPr>
            </w:pPr>
            <w:r w:rsidRPr="00D371D0">
              <w:rPr>
                <w:rFonts w:cs="Arial"/>
                <w:sz w:val="18"/>
                <w:szCs w:val="18"/>
              </w:rPr>
              <w:t>(b) Detailed evaluation of GDEs within proposed borefield site.</w:t>
            </w:r>
          </w:p>
        </w:tc>
      </w:tr>
    </w:tbl>
    <w:p w:rsidR="00035877" w:rsidRDefault="00035877" w:rsidP="00035877">
      <w:r>
        <w:br w:type="page"/>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8"/>
        <w:gridCol w:w="6915"/>
        <w:gridCol w:w="4053"/>
      </w:tblGrid>
      <w:tr w:rsidR="00035877" w:rsidRPr="006205C3" w:rsidTr="00370829">
        <w:tc>
          <w:tcPr>
            <w:tcW w:w="3818" w:type="dxa"/>
            <w:shd w:val="clear" w:color="auto" w:fill="C0C0C0"/>
          </w:tcPr>
          <w:p w:rsidR="00035877" w:rsidRPr="006205C3" w:rsidRDefault="00035877" w:rsidP="00370829">
            <w:pPr>
              <w:rPr>
                <w:rFonts w:cs="Arial"/>
                <w:b/>
                <w:szCs w:val="22"/>
              </w:rPr>
            </w:pPr>
            <w:r w:rsidRPr="006205C3">
              <w:rPr>
                <w:rFonts w:cs="Arial"/>
                <w:b/>
                <w:szCs w:val="22"/>
              </w:rPr>
              <w:lastRenderedPageBreak/>
              <w:t>Question</w:t>
            </w:r>
          </w:p>
        </w:tc>
        <w:tc>
          <w:tcPr>
            <w:tcW w:w="6915"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w:t>
            </w:r>
            <w:smartTag w:uri="urn:schemas-microsoft-com:office:smarttags" w:element="place">
              <w:smartTag w:uri="urn:schemas-microsoft-com:office:smarttags" w:element="PlaceType">
                <w:r w:rsidR="00C217F0">
                  <w:rPr>
                    <w:rFonts w:cs="Arial"/>
                    <w:b/>
                    <w:szCs w:val="22"/>
                  </w:rPr>
                  <w:t>Lake</w:t>
                </w:r>
              </w:smartTag>
              <w:r w:rsidR="00C217F0">
                <w:rPr>
                  <w:rFonts w:cs="Arial"/>
                  <w:b/>
                  <w:szCs w:val="22"/>
                </w:rPr>
                <w:t xml:space="preserve"> </w:t>
              </w:r>
              <w:smartTag w:uri="urn:schemas-microsoft-com:office:smarttags" w:element="PlaceName">
                <w:r w:rsidR="00C217F0">
                  <w:rPr>
                    <w:rFonts w:cs="Arial"/>
                    <w:b/>
                    <w:szCs w:val="22"/>
                  </w:rPr>
                  <w:t>Menindee</w:t>
                </w:r>
              </w:smartTag>
            </w:smartTag>
            <w:r>
              <w:rPr>
                <w:rFonts w:cs="Arial"/>
                <w:b/>
                <w:szCs w:val="22"/>
              </w:rPr>
              <w:t xml:space="preserve"> ASR site</w:t>
            </w:r>
          </w:p>
        </w:tc>
        <w:tc>
          <w:tcPr>
            <w:tcW w:w="4053"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90025B" w:rsidTr="00370829">
        <w:tc>
          <w:tcPr>
            <w:tcW w:w="14786" w:type="dxa"/>
            <w:gridSpan w:val="3"/>
            <w:shd w:val="clear" w:color="auto" w:fill="E6E6E6"/>
          </w:tcPr>
          <w:p w:rsidR="00035877" w:rsidRPr="0090025B" w:rsidRDefault="00035877" w:rsidP="00370829">
            <w:pPr>
              <w:rPr>
                <w:sz w:val="20"/>
                <w:szCs w:val="20"/>
              </w:rPr>
            </w:pPr>
            <w:r w:rsidRPr="0090025B">
              <w:rPr>
                <w:b/>
                <w:sz w:val="20"/>
                <w:szCs w:val="20"/>
              </w:rPr>
              <w:t xml:space="preserve">6. </w:t>
            </w:r>
            <w:smartTag w:uri="urn:schemas-microsoft-com:office:smarttags" w:element="PersonName">
              <w:r w:rsidRPr="0090025B">
                <w:rPr>
                  <w:b/>
                  <w:sz w:val="20"/>
                  <w:szCs w:val="20"/>
                </w:rPr>
                <w:t>Groundwater</w:t>
              </w:r>
            </w:smartTag>
            <w:r w:rsidRPr="0090025B">
              <w:rPr>
                <w:b/>
                <w:sz w:val="20"/>
                <w:szCs w:val="20"/>
              </w:rPr>
              <w:t xml:space="preserve"> salinity and recovery efficiency</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Does the salinity of native groundwater exceed:</w:t>
            </w:r>
          </w:p>
          <w:p w:rsidR="00035877" w:rsidRPr="00D371D0" w:rsidRDefault="00035877" w:rsidP="00370829">
            <w:pPr>
              <w:rPr>
                <w:rFonts w:cs="Arial"/>
                <w:sz w:val="18"/>
                <w:szCs w:val="18"/>
              </w:rPr>
            </w:pPr>
            <w:r w:rsidRPr="00D371D0">
              <w:rPr>
                <w:rFonts w:cs="Arial"/>
                <w:sz w:val="18"/>
                <w:szCs w:val="18"/>
              </w:rPr>
              <w:t xml:space="preserve">(a) 10000 mg/L, or </w:t>
            </w:r>
          </w:p>
          <w:p w:rsidR="00035877" w:rsidRPr="00D371D0" w:rsidRDefault="00035877" w:rsidP="00370829">
            <w:pPr>
              <w:rPr>
                <w:rFonts w:cs="Arial"/>
                <w:sz w:val="18"/>
                <w:szCs w:val="18"/>
              </w:rPr>
            </w:pPr>
            <w:r w:rsidRPr="00D371D0">
              <w:rPr>
                <w:rFonts w:cs="Arial"/>
                <w:sz w:val="18"/>
                <w:szCs w:val="18"/>
              </w:rPr>
              <w:t>(b) the salinity criterion for uses of recovered water?</w:t>
            </w:r>
          </w:p>
        </w:tc>
        <w:tc>
          <w:tcPr>
            <w:tcW w:w="6915" w:type="dxa"/>
          </w:tcPr>
          <w:p w:rsidR="00035877" w:rsidRPr="00D371D0" w:rsidRDefault="00035877" w:rsidP="00370829">
            <w:pPr>
              <w:rPr>
                <w:rFonts w:cs="Arial"/>
                <w:sz w:val="18"/>
                <w:szCs w:val="18"/>
              </w:rPr>
            </w:pPr>
            <w:r w:rsidRPr="00D371D0">
              <w:rPr>
                <w:rFonts w:cs="Arial"/>
                <w:sz w:val="18"/>
                <w:szCs w:val="18"/>
              </w:rPr>
              <w:t xml:space="preserve">a) No –salinities are generally &lt;1000 mg/l TDS, with values exceeding 1200 mg/l largely in marginal areas of the borefield and values of 10,000 mg/L only been measured in the deeper </w:t>
            </w:r>
            <w:r w:rsidR="00C217F0">
              <w:rPr>
                <w:rFonts w:cs="Arial"/>
                <w:sz w:val="18"/>
                <w:szCs w:val="18"/>
              </w:rPr>
              <w:t>Renmark Group</w:t>
            </w:r>
            <w:r w:rsidRPr="00D371D0">
              <w:rPr>
                <w:rFonts w:cs="Arial"/>
                <w:sz w:val="18"/>
                <w:szCs w:val="18"/>
              </w:rPr>
              <w:t xml:space="preserve"> aquifers in the target area.</w:t>
            </w:r>
          </w:p>
          <w:p w:rsidR="00035877" w:rsidRPr="00D371D0" w:rsidRDefault="00035877" w:rsidP="00370829">
            <w:pPr>
              <w:rPr>
                <w:rFonts w:cs="Arial"/>
                <w:sz w:val="18"/>
                <w:szCs w:val="18"/>
              </w:rPr>
            </w:pPr>
            <w:r w:rsidRPr="00D371D0">
              <w:rPr>
                <w:rFonts w:cs="Arial"/>
                <w:sz w:val="18"/>
                <w:szCs w:val="18"/>
              </w:rPr>
              <w:t xml:space="preserve">b) Yes - Salinity of </w:t>
            </w:r>
            <w:r w:rsidR="00C217F0">
              <w:rPr>
                <w:rFonts w:cs="Arial"/>
                <w:sz w:val="18"/>
                <w:szCs w:val="18"/>
              </w:rPr>
              <w:t>Calivil Formation</w:t>
            </w:r>
            <w:r w:rsidR="00106292">
              <w:rPr>
                <w:rFonts w:cs="Arial"/>
                <w:sz w:val="18"/>
                <w:szCs w:val="18"/>
              </w:rPr>
              <w:t xml:space="preserve"> </w:t>
            </w:r>
            <w:r w:rsidRPr="00D371D0">
              <w:rPr>
                <w:rFonts w:cs="Arial"/>
                <w:sz w:val="18"/>
                <w:szCs w:val="18"/>
              </w:rPr>
              <w:t>groundwater is variable and can exceed ADWG</w:t>
            </w:r>
            <w:r w:rsidR="00B81A6B">
              <w:rPr>
                <w:rFonts w:cs="Arial"/>
                <w:sz w:val="18"/>
                <w:szCs w:val="18"/>
              </w:rPr>
              <w:t>2011</w:t>
            </w:r>
            <w:r w:rsidRPr="00D371D0">
              <w:rPr>
                <w:rFonts w:cs="Arial"/>
                <w:sz w:val="18"/>
                <w:szCs w:val="18"/>
              </w:rPr>
              <w:t xml:space="preserve"> guidelines. </w:t>
            </w:r>
          </w:p>
        </w:tc>
        <w:tc>
          <w:tcPr>
            <w:tcW w:w="4053" w:type="dxa"/>
          </w:tcPr>
          <w:p w:rsidR="00035877" w:rsidRPr="00D371D0" w:rsidRDefault="00035877" w:rsidP="00370829">
            <w:pPr>
              <w:rPr>
                <w:rFonts w:cs="Arial"/>
                <w:sz w:val="18"/>
                <w:szCs w:val="18"/>
              </w:rPr>
            </w:pPr>
            <w:r w:rsidRPr="00D371D0">
              <w:rPr>
                <w:rFonts w:cs="Arial"/>
                <w:sz w:val="18"/>
                <w:szCs w:val="18"/>
              </w:rPr>
              <w:t xml:space="preserve">Recovery efficiency evaluation required, particular to address potential upcoming from more saline basal part of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aquifer. </w:t>
            </w:r>
          </w:p>
        </w:tc>
      </w:tr>
      <w:tr w:rsidR="00035877" w:rsidRPr="0090025B" w:rsidTr="00370829">
        <w:tc>
          <w:tcPr>
            <w:tcW w:w="14786" w:type="dxa"/>
            <w:gridSpan w:val="3"/>
            <w:shd w:val="clear" w:color="auto" w:fill="E6E6E6"/>
          </w:tcPr>
          <w:p w:rsidR="00035877" w:rsidRPr="0090025B" w:rsidRDefault="00035877" w:rsidP="00370829">
            <w:pPr>
              <w:rPr>
                <w:sz w:val="20"/>
                <w:szCs w:val="20"/>
              </w:rPr>
            </w:pPr>
            <w:r w:rsidRPr="0090025B">
              <w:rPr>
                <w:b/>
                <w:sz w:val="20"/>
                <w:szCs w:val="20"/>
              </w:rPr>
              <w:t>7. Reactions between source water and aquifer</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Is redox status, pH, temperature, nutrient status and ionic strength of source water and groundwater similar?</w:t>
            </w:r>
          </w:p>
        </w:tc>
        <w:tc>
          <w:tcPr>
            <w:tcW w:w="6915" w:type="dxa"/>
          </w:tcPr>
          <w:p w:rsidR="00035877" w:rsidRPr="00D371D0" w:rsidRDefault="00035877" w:rsidP="00370829">
            <w:pPr>
              <w:rPr>
                <w:rFonts w:cs="Arial"/>
                <w:sz w:val="18"/>
                <w:szCs w:val="18"/>
              </w:rPr>
            </w:pPr>
            <w:r w:rsidRPr="00D371D0">
              <w:rPr>
                <w:rFonts w:cs="Arial"/>
                <w:sz w:val="18"/>
                <w:szCs w:val="18"/>
              </w:rPr>
              <w:t xml:space="preserve">No –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groundwater tends to be more reduced and saline, has less nitrate (but more ammonia) than </w:t>
            </w:r>
            <w:smartTag w:uri="urn:schemas-microsoft-com:office:smarttags" w:element="place">
              <w:r w:rsidRPr="00D371D0">
                <w:rPr>
                  <w:rFonts w:cs="Arial"/>
                  <w:sz w:val="18"/>
                  <w:szCs w:val="18"/>
                </w:rPr>
                <w:t>Darling River</w:t>
              </w:r>
            </w:smartTag>
            <w:r w:rsidRPr="00D371D0">
              <w:rPr>
                <w:rFonts w:cs="Arial"/>
                <w:sz w:val="18"/>
                <w:szCs w:val="18"/>
              </w:rPr>
              <w:t xml:space="preserve"> source water. </w:t>
            </w:r>
          </w:p>
        </w:tc>
        <w:tc>
          <w:tcPr>
            <w:tcW w:w="4053" w:type="dxa"/>
          </w:tcPr>
          <w:p w:rsidR="00035877" w:rsidRPr="00D371D0" w:rsidRDefault="00035877" w:rsidP="00370829">
            <w:pPr>
              <w:rPr>
                <w:rFonts w:cs="Arial"/>
                <w:sz w:val="18"/>
                <w:szCs w:val="18"/>
              </w:rPr>
            </w:pPr>
            <w:r w:rsidRPr="00D371D0">
              <w:rPr>
                <w:rFonts w:cs="Arial"/>
                <w:sz w:val="18"/>
                <w:szCs w:val="18"/>
              </w:rPr>
              <w:t>High risk of adverse reactions between source water and aquifer and geochemical modelling required. Potential for iron clogging in particular needs to be assessed given contrasts in redox between source water and groundwater, and variability in latter.</w:t>
            </w:r>
          </w:p>
        </w:tc>
      </w:tr>
      <w:tr w:rsidR="00035877" w:rsidRPr="0090025B" w:rsidTr="00370829">
        <w:tc>
          <w:tcPr>
            <w:tcW w:w="14786" w:type="dxa"/>
            <w:gridSpan w:val="3"/>
            <w:shd w:val="clear" w:color="auto" w:fill="E6E6E6"/>
          </w:tcPr>
          <w:p w:rsidR="00035877" w:rsidRPr="0090025B" w:rsidRDefault="00035877" w:rsidP="00370829">
            <w:pPr>
              <w:rPr>
                <w:sz w:val="20"/>
                <w:szCs w:val="20"/>
              </w:rPr>
            </w:pPr>
            <w:r w:rsidRPr="0090025B">
              <w:rPr>
                <w:b/>
                <w:sz w:val="20"/>
                <w:szCs w:val="20"/>
              </w:rPr>
              <w:t>8. Proximity of nearest existing groundwater users, connected ecosystems and property boundaries</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 xml:space="preserve">Are there (a) other groundwater users, (b) groundwater–connected ecosystems or (c) a property boundary near (within 100–1000 m) the proposed MAR site? </w:t>
            </w:r>
          </w:p>
        </w:tc>
        <w:tc>
          <w:tcPr>
            <w:tcW w:w="6915" w:type="dxa"/>
          </w:tcPr>
          <w:p w:rsidR="00035877" w:rsidRPr="00D371D0" w:rsidRDefault="00035877" w:rsidP="00370829">
            <w:pPr>
              <w:rPr>
                <w:rFonts w:cs="Arial"/>
                <w:sz w:val="18"/>
                <w:szCs w:val="18"/>
              </w:rPr>
            </w:pPr>
            <w:r w:rsidRPr="00D371D0">
              <w:rPr>
                <w:rFonts w:cs="Arial"/>
                <w:sz w:val="18"/>
                <w:szCs w:val="18"/>
              </w:rPr>
              <w:t xml:space="preserve">(a) No–.of the only licensed bores in the borefield area is the GA monitoring bore,. </w:t>
            </w:r>
          </w:p>
          <w:p w:rsidR="00035877" w:rsidRPr="00D371D0" w:rsidRDefault="00035877" w:rsidP="00370829">
            <w:pPr>
              <w:rPr>
                <w:rFonts w:cs="Arial"/>
                <w:sz w:val="18"/>
                <w:szCs w:val="18"/>
              </w:rPr>
            </w:pPr>
            <w:r w:rsidRPr="00D371D0">
              <w:rPr>
                <w:rFonts w:cs="Arial"/>
                <w:sz w:val="18"/>
                <w:szCs w:val="18"/>
              </w:rPr>
              <w:t>(b) Yes – Connect</w:t>
            </w:r>
            <w:r w:rsidR="0006793E">
              <w:rPr>
                <w:rFonts w:cs="Arial"/>
                <w:sz w:val="18"/>
                <w:szCs w:val="18"/>
              </w:rPr>
              <w:t>io</w:t>
            </w:r>
            <w:r w:rsidRPr="00D371D0">
              <w:rPr>
                <w:rFonts w:cs="Arial"/>
                <w:sz w:val="18"/>
                <w:szCs w:val="18"/>
              </w:rPr>
              <w:t xml:space="preserve">n between upper unconfined </w:t>
            </w:r>
            <w:r w:rsidR="00C217F0">
              <w:rPr>
                <w:rFonts w:cs="Arial"/>
                <w:sz w:val="18"/>
                <w:szCs w:val="18"/>
              </w:rPr>
              <w:t>Menindee Formation</w:t>
            </w:r>
            <w:r w:rsidRPr="00D371D0">
              <w:rPr>
                <w:rFonts w:cs="Arial"/>
                <w:sz w:val="18"/>
                <w:szCs w:val="18"/>
              </w:rPr>
              <w:t xml:space="preserve"> aquifer and the </w:t>
            </w:r>
            <w:r w:rsidR="00C217F0">
              <w:rPr>
                <w:rFonts w:cs="Arial"/>
                <w:sz w:val="18"/>
                <w:szCs w:val="18"/>
              </w:rPr>
              <w:t>Calivil Formation</w:t>
            </w:r>
            <w:r w:rsidRPr="00D371D0">
              <w:rPr>
                <w:rFonts w:cs="Arial"/>
                <w:sz w:val="18"/>
                <w:szCs w:val="18"/>
              </w:rPr>
              <w:t xml:space="preserve"> aquifer at this location. Initial GDE assessments suggest possible impacts on narrow fringing vegetation which utilises shallow aquifer in times of drought. </w:t>
            </w:r>
          </w:p>
          <w:p w:rsidR="00035877" w:rsidRPr="00D371D0" w:rsidRDefault="00035877" w:rsidP="00370829">
            <w:pPr>
              <w:rPr>
                <w:rFonts w:cs="Arial"/>
                <w:sz w:val="18"/>
                <w:szCs w:val="18"/>
              </w:rPr>
            </w:pPr>
            <w:r w:rsidRPr="00D371D0">
              <w:rPr>
                <w:rFonts w:cs="Arial"/>
                <w:sz w:val="18"/>
                <w:szCs w:val="18"/>
              </w:rPr>
              <w:t>(c) Yes - Target area covers ~33 km</w:t>
            </w:r>
            <w:r w:rsidRPr="00CF7613">
              <w:rPr>
                <w:rFonts w:cs="Arial"/>
                <w:sz w:val="18"/>
                <w:szCs w:val="18"/>
                <w:vertAlign w:val="superscript"/>
              </w:rPr>
              <w:t>2</w:t>
            </w:r>
            <w:r w:rsidRPr="00D371D0">
              <w:rPr>
                <w:rFonts w:cs="Arial"/>
                <w:sz w:val="18"/>
                <w:szCs w:val="18"/>
              </w:rPr>
              <w:t xml:space="preserve">, with a national park management boundary across the </w:t>
            </w:r>
            <w:smartTag w:uri="urn:schemas-microsoft-com:office:smarttags" w:element="place">
              <w:smartTag w:uri="urn:schemas-microsoft-com:office:smarttags" w:element="PlaceType">
                <w:r w:rsidRPr="00D371D0">
                  <w:rPr>
                    <w:rFonts w:cs="Arial"/>
                    <w:sz w:val="18"/>
                    <w:szCs w:val="18"/>
                  </w:rPr>
                  <w:t>Lake</w:t>
                </w:r>
              </w:smartTag>
              <w:r w:rsidRPr="00D371D0">
                <w:rPr>
                  <w:rFonts w:cs="Arial"/>
                  <w:sz w:val="18"/>
                  <w:szCs w:val="18"/>
                </w:rPr>
                <w:t xml:space="preserve"> </w:t>
              </w:r>
              <w:smartTag w:uri="urn:schemas-microsoft-com:office:smarttags" w:element="PlaceName">
                <w:r w:rsidRPr="00D371D0">
                  <w:rPr>
                    <w:rFonts w:cs="Arial"/>
                    <w:sz w:val="18"/>
                    <w:szCs w:val="18"/>
                  </w:rPr>
                  <w:t>Floor</w:t>
                </w:r>
              </w:smartTag>
            </w:smartTag>
            <w:r w:rsidRPr="00D371D0">
              <w:rPr>
                <w:rFonts w:cs="Arial"/>
                <w:sz w:val="18"/>
                <w:szCs w:val="18"/>
              </w:rPr>
              <w:t>, and complex water supply operating rules involving the NSW State Government and the Murray Darling Basin Authority.</w:t>
            </w:r>
          </w:p>
        </w:tc>
        <w:tc>
          <w:tcPr>
            <w:tcW w:w="4053" w:type="dxa"/>
          </w:tcPr>
          <w:p w:rsidR="00035877" w:rsidRPr="00D371D0" w:rsidRDefault="00035877" w:rsidP="00370829">
            <w:pPr>
              <w:rPr>
                <w:rFonts w:cs="Arial"/>
                <w:sz w:val="18"/>
                <w:szCs w:val="18"/>
              </w:rPr>
            </w:pPr>
            <w:r w:rsidRPr="00D371D0">
              <w:rPr>
                <w:rFonts w:cs="Arial"/>
                <w:sz w:val="18"/>
                <w:szCs w:val="18"/>
              </w:rPr>
              <w:t xml:space="preserve">Identified high risk of potential impacts on neighbouring properties, moderated by no current groundwater use in target area. Note, that MAR would improve groundwater quality in the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aquifer over time. Modelling of </w:t>
            </w:r>
            <w:r w:rsidR="00E823BA">
              <w:rPr>
                <w:rFonts w:cs="Arial"/>
                <w:sz w:val="18"/>
                <w:szCs w:val="18"/>
              </w:rPr>
              <w:t>watertable</w:t>
            </w:r>
            <w:r w:rsidRPr="00D371D0">
              <w:rPr>
                <w:rFonts w:cs="Arial"/>
                <w:sz w:val="18"/>
                <w:szCs w:val="18"/>
              </w:rPr>
              <w:t xml:space="preserve"> fluctuations required to assess zones of potential influence.</w:t>
            </w:r>
          </w:p>
        </w:tc>
      </w:tr>
      <w:tr w:rsidR="00035877" w:rsidRPr="0090025B" w:rsidTr="00370829">
        <w:tc>
          <w:tcPr>
            <w:tcW w:w="14786" w:type="dxa"/>
            <w:gridSpan w:val="3"/>
            <w:shd w:val="clear" w:color="auto" w:fill="E6E6E6"/>
          </w:tcPr>
          <w:p w:rsidR="00035877" w:rsidRPr="0090025B" w:rsidRDefault="00035877" w:rsidP="00370829">
            <w:pPr>
              <w:rPr>
                <w:sz w:val="20"/>
                <w:szCs w:val="20"/>
              </w:rPr>
            </w:pPr>
            <w:r w:rsidRPr="0090025B">
              <w:rPr>
                <w:b/>
                <w:sz w:val="20"/>
                <w:szCs w:val="20"/>
              </w:rPr>
              <w:t>9. Aquifer capacity and groundwater levels</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Is the aquifer confined and not artesian? Or is it unconfined, with a watertable deeper than 4 m in rural areas or 8 m in urban areas?</w:t>
            </w:r>
          </w:p>
        </w:tc>
        <w:tc>
          <w:tcPr>
            <w:tcW w:w="6915" w:type="dxa"/>
          </w:tcPr>
          <w:p w:rsidR="00035877" w:rsidRPr="00D371D0" w:rsidRDefault="00035877" w:rsidP="00370829">
            <w:pPr>
              <w:rPr>
                <w:rFonts w:cs="Arial"/>
                <w:sz w:val="18"/>
                <w:szCs w:val="18"/>
              </w:rPr>
            </w:pPr>
            <w:r w:rsidRPr="00D371D0">
              <w:rPr>
                <w:rFonts w:cs="Arial"/>
                <w:sz w:val="18"/>
                <w:szCs w:val="18"/>
              </w:rPr>
              <w:t xml:space="preserve">Yes – </w:t>
            </w:r>
            <w:r w:rsidR="00C217F0">
              <w:rPr>
                <w:rFonts w:cs="Arial"/>
                <w:sz w:val="18"/>
                <w:szCs w:val="18"/>
              </w:rPr>
              <w:t>Calivil Formation</w:t>
            </w:r>
            <w:r w:rsidR="00106292">
              <w:rPr>
                <w:rFonts w:cs="Arial"/>
                <w:sz w:val="18"/>
                <w:szCs w:val="18"/>
              </w:rPr>
              <w:t xml:space="preserve"> </w:t>
            </w:r>
            <w:r w:rsidRPr="00D371D0">
              <w:rPr>
                <w:rFonts w:cs="Arial"/>
                <w:sz w:val="18"/>
                <w:szCs w:val="18"/>
              </w:rPr>
              <w:t xml:space="preserve">target aquifer is leaky- confined with connection to the overlying unconfined </w:t>
            </w:r>
            <w:r w:rsidR="00C217F0">
              <w:rPr>
                <w:rFonts w:cs="Arial"/>
                <w:sz w:val="18"/>
                <w:szCs w:val="18"/>
              </w:rPr>
              <w:t>Menindee Formation</w:t>
            </w:r>
            <w:r w:rsidRPr="00D371D0">
              <w:rPr>
                <w:rFonts w:cs="Arial"/>
                <w:sz w:val="18"/>
                <w:szCs w:val="18"/>
              </w:rPr>
              <w:t xml:space="preserve"> aquifer at the northern end of the proposed borefield. The groundwater in the </w:t>
            </w:r>
            <w:r w:rsidR="00C217F0">
              <w:rPr>
                <w:rFonts w:cs="Arial"/>
                <w:sz w:val="18"/>
                <w:szCs w:val="18"/>
              </w:rPr>
              <w:t>Menindee Formation</w:t>
            </w:r>
            <w:r w:rsidRPr="00D371D0">
              <w:rPr>
                <w:rFonts w:cs="Arial"/>
                <w:sz w:val="18"/>
                <w:szCs w:val="18"/>
              </w:rPr>
              <w:t xml:space="preserve"> rose 4</w:t>
            </w:r>
            <w:r w:rsidR="00A1060D">
              <w:rPr>
                <w:rFonts w:cs="Arial"/>
                <w:sz w:val="18"/>
                <w:szCs w:val="18"/>
              </w:rPr>
              <w:t xml:space="preserve"> </w:t>
            </w:r>
            <w:r w:rsidRPr="00D371D0">
              <w:rPr>
                <w:rFonts w:cs="Arial"/>
                <w:sz w:val="18"/>
                <w:szCs w:val="18"/>
              </w:rPr>
              <w:t xml:space="preserve">m in response to lake filling in 2010/11. the aquifer becomes more confined to the south. </w:t>
            </w:r>
          </w:p>
        </w:tc>
        <w:tc>
          <w:tcPr>
            <w:tcW w:w="4053" w:type="dxa"/>
          </w:tcPr>
          <w:p w:rsidR="00035877" w:rsidRPr="00D371D0" w:rsidRDefault="00035877" w:rsidP="00370829">
            <w:pPr>
              <w:rPr>
                <w:rFonts w:cs="Arial"/>
                <w:sz w:val="18"/>
                <w:szCs w:val="18"/>
              </w:rPr>
            </w:pPr>
            <w:r w:rsidRPr="00D371D0">
              <w:rPr>
                <w:rFonts w:cs="Arial"/>
                <w:sz w:val="18"/>
                <w:szCs w:val="18"/>
              </w:rPr>
              <w:t xml:space="preserve">There is an existing groundwater mound at this site associated with the MLS and </w:t>
            </w:r>
            <w:smartTag w:uri="urn:schemas-microsoft-com:office:smarttags" w:element="place">
              <w:r w:rsidRPr="00D371D0">
                <w:rPr>
                  <w:rFonts w:cs="Arial"/>
                  <w:sz w:val="18"/>
                  <w:szCs w:val="18"/>
                </w:rPr>
                <w:t>Darling River</w:t>
              </w:r>
            </w:smartTag>
            <w:r w:rsidRPr="00D371D0">
              <w:rPr>
                <w:rFonts w:cs="Arial"/>
                <w:sz w:val="18"/>
                <w:szCs w:val="18"/>
              </w:rPr>
              <w:t xml:space="preserve"> leakage.</w:t>
            </w:r>
            <w:r w:rsidR="00E823BA">
              <w:rPr>
                <w:rFonts w:cs="Arial"/>
                <w:sz w:val="18"/>
                <w:szCs w:val="18"/>
              </w:rPr>
              <w:t xml:space="preserve"> </w:t>
            </w:r>
          </w:p>
        </w:tc>
      </w:tr>
      <w:tr w:rsidR="00035877" w:rsidRPr="0090025B" w:rsidTr="00370829">
        <w:tc>
          <w:tcPr>
            <w:tcW w:w="14786" w:type="dxa"/>
            <w:gridSpan w:val="3"/>
            <w:shd w:val="clear" w:color="auto" w:fill="E6E6E6"/>
          </w:tcPr>
          <w:p w:rsidR="00035877" w:rsidRPr="0090025B" w:rsidRDefault="00035877" w:rsidP="00370829">
            <w:pPr>
              <w:rPr>
                <w:sz w:val="20"/>
                <w:szCs w:val="20"/>
              </w:rPr>
            </w:pPr>
            <w:r w:rsidRPr="0090025B">
              <w:rPr>
                <w:b/>
                <w:sz w:val="20"/>
                <w:szCs w:val="20"/>
              </w:rPr>
              <w:t>10. Protection of water quality in unconfined aquifers</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 xml:space="preserve">Is the aquifer unconfined, with an intended use of recovered water being drinking water supplies? </w:t>
            </w:r>
          </w:p>
        </w:tc>
        <w:tc>
          <w:tcPr>
            <w:tcW w:w="6915" w:type="dxa"/>
          </w:tcPr>
          <w:p w:rsidR="00035877" w:rsidRPr="00D371D0" w:rsidRDefault="00035877" w:rsidP="00370829">
            <w:pPr>
              <w:rPr>
                <w:rFonts w:cs="Arial"/>
                <w:sz w:val="18"/>
                <w:szCs w:val="18"/>
              </w:rPr>
            </w:pPr>
            <w:r w:rsidRPr="00D371D0">
              <w:rPr>
                <w:rFonts w:cs="Arial"/>
                <w:sz w:val="18"/>
                <w:szCs w:val="18"/>
              </w:rPr>
              <w:t xml:space="preserve">No – target aquifer is (leaky) confined within the area designated for borefield recovery, how an area of natural recharge shows connection to the overlying unconfined </w:t>
            </w:r>
            <w:r w:rsidR="00C217F0">
              <w:rPr>
                <w:rFonts w:cs="Arial"/>
                <w:sz w:val="18"/>
                <w:szCs w:val="18"/>
              </w:rPr>
              <w:t>Menindee Formation</w:t>
            </w:r>
            <w:r w:rsidRPr="00D371D0">
              <w:rPr>
                <w:rFonts w:cs="Arial"/>
                <w:sz w:val="18"/>
                <w:szCs w:val="18"/>
              </w:rPr>
              <w:t xml:space="preserve"> aquifer. Recovered water could be used for drinking water supply (or for agricultural purposes). </w:t>
            </w:r>
          </w:p>
        </w:tc>
        <w:tc>
          <w:tcPr>
            <w:tcW w:w="4053" w:type="dxa"/>
          </w:tcPr>
          <w:p w:rsidR="00035877" w:rsidRPr="00D371D0" w:rsidRDefault="00035877" w:rsidP="00370829">
            <w:pPr>
              <w:rPr>
                <w:rFonts w:cs="Arial"/>
                <w:sz w:val="18"/>
                <w:szCs w:val="18"/>
              </w:rPr>
            </w:pPr>
            <w:r w:rsidRPr="00D371D0">
              <w:rPr>
                <w:rFonts w:cs="Arial"/>
                <w:sz w:val="18"/>
                <w:szCs w:val="18"/>
              </w:rPr>
              <w:t xml:space="preserve">There is a small area of national park fringing the lake. Increased infiltration would improve the quality of water over time, however modelling would have to examine the potential for water-logging of GDEs if watertables rise. </w:t>
            </w:r>
          </w:p>
        </w:tc>
      </w:tr>
      <w:tr w:rsidR="00035877" w:rsidRPr="0090025B" w:rsidTr="00370829">
        <w:tc>
          <w:tcPr>
            <w:tcW w:w="14786" w:type="dxa"/>
            <w:gridSpan w:val="3"/>
            <w:shd w:val="clear" w:color="auto" w:fill="E6E6E6"/>
          </w:tcPr>
          <w:p w:rsidR="00035877" w:rsidRPr="0090025B" w:rsidRDefault="00035877" w:rsidP="00370829">
            <w:pPr>
              <w:rPr>
                <w:b/>
                <w:sz w:val="20"/>
                <w:szCs w:val="20"/>
              </w:rPr>
            </w:pPr>
            <w:r w:rsidRPr="0090025B">
              <w:rPr>
                <w:b/>
                <w:sz w:val="20"/>
                <w:szCs w:val="20"/>
              </w:rPr>
              <w:t>11. Fractured rock, karstic or reactive aquifers</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Is the aquifer composed of fractured rock or karstic media, or known to contain reactive minerals?</w:t>
            </w:r>
          </w:p>
        </w:tc>
        <w:tc>
          <w:tcPr>
            <w:tcW w:w="6915" w:type="dxa"/>
          </w:tcPr>
          <w:p w:rsidR="00035877" w:rsidRPr="00D371D0" w:rsidRDefault="00035877" w:rsidP="00370829">
            <w:pPr>
              <w:rPr>
                <w:rFonts w:cs="Arial"/>
                <w:sz w:val="18"/>
                <w:szCs w:val="18"/>
              </w:rPr>
            </w:pPr>
            <w:r w:rsidRPr="00D371D0">
              <w:rPr>
                <w:rFonts w:cs="Arial"/>
                <w:sz w:val="18"/>
                <w:szCs w:val="18"/>
              </w:rPr>
              <w:t>Yes –. Potential for Fe(</w:t>
            </w:r>
            <w:smartTag w:uri="urn:schemas-microsoft-com:office:smarttags" w:element="stockticker">
              <w:r w:rsidRPr="00D371D0">
                <w:rPr>
                  <w:rFonts w:cs="Arial"/>
                  <w:sz w:val="18"/>
                  <w:szCs w:val="18"/>
                </w:rPr>
                <w:t>III</w:t>
              </w:r>
            </w:smartTag>
            <w:r w:rsidRPr="00D371D0">
              <w:rPr>
                <w:rFonts w:cs="Arial"/>
                <w:sz w:val="18"/>
                <w:szCs w:val="18"/>
              </w:rPr>
              <w:t>) dissolution with injection of source water with elevated organic carbon levels. There are also mapped faults/fractures in the unconsolidated alluvial materials in the vicinity.</w:t>
            </w:r>
          </w:p>
        </w:tc>
        <w:tc>
          <w:tcPr>
            <w:tcW w:w="4053" w:type="dxa"/>
          </w:tcPr>
          <w:p w:rsidR="00035877" w:rsidRPr="00D371D0" w:rsidRDefault="00035877" w:rsidP="00370829">
            <w:pPr>
              <w:rPr>
                <w:rFonts w:cs="Arial"/>
                <w:sz w:val="18"/>
                <w:szCs w:val="18"/>
              </w:rPr>
            </w:pPr>
            <w:r w:rsidRPr="00D371D0">
              <w:rPr>
                <w:rFonts w:cs="Arial"/>
                <w:sz w:val="18"/>
                <w:szCs w:val="18"/>
              </w:rPr>
              <w:t>Geochemical modelling required to assess risk of adverse reactions between source water and groundwater, such as iron (and trace metal) mobilisation. Ground investigations required to map local fracture systems in more detail.</w:t>
            </w:r>
          </w:p>
        </w:tc>
      </w:tr>
    </w:tbl>
    <w:p w:rsidR="00035877" w:rsidRDefault="00035877" w:rsidP="00035877">
      <w:r>
        <w:br w:type="page"/>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8"/>
        <w:gridCol w:w="6915"/>
        <w:gridCol w:w="4053"/>
      </w:tblGrid>
      <w:tr w:rsidR="00035877" w:rsidRPr="006205C3" w:rsidTr="00370829">
        <w:tc>
          <w:tcPr>
            <w:tcW w:w="3818" w:type="dxa"/>
            <w:shd w:val="clear" w:color="auto" w:fill="C0C0C0"/>
          </w:tcPr>
          <w:p w:rsidR="00035877" w:rsidRPr="006205C3" w:rsidRDefault="00035877" w:rsidP="00370829">
            <w:pPr>
              <w:rPr>
                <w:rFonts w:cs="Arial"/>
                <w:b/>
                <w:szCs w:val="22"/>
              </w:rPr>
            </w:pPr>
            <w:r w:rsidRPr="006205C3">
              <w:rPr>
                <w:rFonts w:cs="Arial"/>
                <w:b/>
                <w:szCs w:val="22"/>
              </w:rPr>
              <w:lastRenderedPageBreak/>
              <w:t>Question</w:t>
            </w:r>
          </w:p>
        </w:tc>
        <w:tc>
          <w:tcPr>
            <w:tcW w:w="6915"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w:t>
            </w:r>
            <w:smartTag w:uri="urn:schemas-microsoft-com:office:smarttags" w:element="place">
              <w:smartTag w:uri="urn:schemas-microsoft-com:office:smarttags" w:element="PlaceType">
                <w:r w:rsidR="00C217F0">
                  <w:rPr>
                    <w:rFonts w:cs="Arial"/>
                    <w:b/>
                    <w:szCs w:val="22"/>
                  </w:rPr>
                  <w:t>Lake</w:t>
                </w:r>
              </w:smartTag>
              <w:r w:rsidR="00C217F0">
                <w:rPr>
                  <w:rFonts w:cs="Arial"/>
                  <w:b/>
                  <w:szCs w:val="22"/>
                </w:rPr>
                <w:t xml:space="preserve"> </w:t>
              </w:r>
              <w:smartTag w:uri="urn:schemas-microsoft-com:office:smarttags" w:element="PlaceName">
                <w:r w:rsidR="00C217F0">
                  <w:rPr>
                    <w:rFonts w:cs="Arial"/>
                    <w:b/>
                    <w:szCs w:val="22"/>
                  </w:rPr>
                  <w:t>Menindee</w:t>
                </w:r>
              </w:smartTag>
            </w:smartTag>
            <w:r>
              <w:rPr>
                <w:rFonts w:cs="Arial"/>
                <w:b/>
                <w:szCs w:val="22"/>
              </w:rPr>
              <w:t xml:space="preserve"> ASR site</w:t>
            </w:r>
          </w:p>
        </w:tc>
        <w:tc>
          <w:tcPr>
            <w:tcW w:w="4053"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90025B" w:rsidTr="00370829">
        <w:tc>
          <w:tcPr>
            <w:tcW w:w="14786" w:type="dxa"/>
            <w:gridSpan w:val="3"/>
            <w:shd w:val="clear" w:color="auto" w:fill="E6E6E6"/>
          </w:tcPr>
          <w:p w:rsidR="00035877" w:rsidRPr="0090025B" w:rsidRDefault="00035877" w:rsidP="00370829">
            <w:pPr>
              <w:rPr>
                <w:b/>
                <w:sz w:val="20"/>
                <w:szCs w:val="20"/>
              </w:rPr>
            </w:pPr>
            <w:r w:rsidRPr="0090025B">
              <w:rPr>
                <w:b/>
                <w:sz w:val="20"/>
                <w:szCs w:val="20"/>
              </w:rPr>
              <w:t>12. Similarity to successful projects</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 xml:space="preserve">Has another project in the same aquifer with similar source water been operating successfully for at least 12 months? </w:t>
            </w:r>
          </w:p>
        </w:tc>
        <w:tc>
          <w:tcPr>
            <w:tcW w:w="6915" w:type="dxa"/>
          </w:tcPr>
          <w:p w:rsidR="00035877" w:rsidRPr="00D371D0" w:rsidRDefault="00035877" w:rsidP="00370829">
            <w:pPr>
              <w:rPr>
                <w:rFonts w:cs="Arial"/>
                <w:sz w:val="18"/>
                <w:szCs w:val="18"/>
              </w:rPr>
            </w:pPr>
            <w:r w:rsidRPr="00D371D0">
              <w:rPr>
                <w:rFonts w:cs="Arial"/>
                <w:sz w:val="18"/>
                <w:szCs w:val="18"/>
              </w:rPr>
              <w:t xml:space="preserve">No. To our knowledge there is no </w:t>
            </w:r>
            <w:smartTag w:uri="urn:schemas-microsoft-com:office:smarttags" w:element="stockticker">
              <w:r w:rsidRPr="00D371D0">
                <w:rPr>
                  <w:rFonts w:cs="Arial"/>
                  <w:sz w:val="18"/>
                  <w:szCs w:val="18"/>
                </w:rPr>
                <w:t>MAR</w:t>
              </w:r>
            </w:smartTag>
            <w:r w:rsidRPr="00D371D0">
              <w:rPr>
                <w:rFonts w:cs="Arial"/>
                <w:sz w:val="18"/>
                <w:szCs w:val="18"/>
              </w:rPr>
              <w:t xml:space="preserve"> project operating or planned in the same aquifers. However, mineral sand mining operations (e.g. Gingko) immediately south of the project area conduct large-scale groundwater recycling as part of mining in the Loxton-Parilla aquifer.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 xml:space="preserve">, the closest comparable </w:t>
            </w:r>
            <w:smartTag w:uri="urn:schemas-microsoft-com:office:smarttags" w:element="stockticker">
              <w:r w:rsidRPr="00D371D0">
                <w:rPr>
                  <w:rFonts w:cs="Arial"/>
                  <w:sz w:val="18"/>
                  <w:szCs w:val="18"/>
                </w:rPr>
                <w:t>MAR</w:t>
              </w:r>
            </w:smartTag>
            <w:r w:rsidRPr="00D371D0">
              <w:rPr>
                <w:rFonts w:cs="Arial"/>
                <w:sz w:val="18"/>
                <w:szCs w:val="18"/>
              </w:rPr>
              <w:t xml:space="preserve"> scheme using (less turbid) river source water is the Burdekin scheme. The Burdekin scheme has been in operation since the 1960s. Overall, there are limited precedents for this type of operation anywhere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3" w:type="dxa"/>
          </w:tcPr>
          <w:p w:rsidR="00035877" w:rsidRPr="00D371D0" w:rsidRDefault="00035877" w:rsidP="00370829">
            <w:pPr>
              <w:rPr>
                <w:rFonts w:cs="Arial"/>
                <w:sz w:val="18"/>
                <w:szCs w:val="18"/>
              </w:rPr>
            </w:pPr>
            <w:r w:rsidRPr="00D371D0">
              <w:rPr>
                <w:rFonts w:cs="Arial"/>
                <w:sz w:val="18"/>
                <w:szCs w:val="18"/>
              </w:rPr>
              <w:t>All uncertainties need to be addressed in BHMAR investigations, particularly with respect to clogging potential and interactions with groundwater. There is a considerable level of risk inherent in the uncertainty of the likely success of this project. Addressing all information gaps will be critical to reducing this risk if this site is selected for further assessment.</w:t>
            </w:r>
          </w:p>
        </w:tc>
      </w:tr>
      <w:tr w:rsidR="00035877" w:rsidRPr="0090025B" w:rsidTr="00370829">
        <w:tc>
          <w:tcPr>
            <w:tcW w:w="14786" w:type="dxa"/>
            <w:gridSpan w:val="3"/>
            <w:shd w:val="clear" w:color="auto" w:fill="E6E6E6"/>
          </w:tcPr>
          <w:p w:rsidR="00035877" w:rsidRPr="0090025B" w:rsidRDefault="00035877" w:rsidP="00370829">
            <w:pPr>
              <w:rPr>
                <w:sz w:val="20"/>
                <w:szCs w:val="20"/>
              </w:rPr>
            </w:pPr>
            <w:r w:rsidRPr="0090025B">
              <w:rPr>
                <w:b/>
                <w:sz w:val="20"/>
                <w:szCs w:val="20"/>
              </w:rPr>
              <w:t>13. Management capability</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 xml:space="preserve">Does the proponent have experience with operating </w:t>
            </w:r>
            <w:smartTag w:uri="urn:schemas-microsoft-com:office:smarttags" w:element="stockticker">
              <w:r w:rsidRPr="00D371D0">
                <w:rPr>
                  <w:rFonts w:cs="Arial"/>
                  <w:sz w:val="18"/>
                  <w:szCs w:val="18"/>
                </w:rPr>
                <w:t>MAR</w:t>
              </w:r>
            </w:smartTag>
            <w:r w:rsidRPr="00D371D0">
              <w:rPr>
                <w:rFonts w:cs="Arial"/>
                <w:sz w:val="18"/>
                <w:szCs w:val="18"/>
              </w:rPr>
              <w:t xml:space="preserve"> sites with the same or higher degree of difficulty, or with water treatment or water supply operations involving a structured approach to water quality risk management? </w:t>
            </w:r>
          </w:p>
        </w:tc>
        <w:tc>
          <w:tcPr>
            <w:tcW w:w="6915" w:type="dxa"/>
          </w:tcPr>
          <w:p w:rsidR="00035877" w:rsidRPr="00D371D0" w:rsidRDefault="00035877" w:rsidP="00370829">
            <w:pPr>
              <w:rPr>
                <w:rFonts w:cs="Arial"/>
                <w:sz w:val="18"/>
                <w:szCs w:val="18"/>
              </w:rPr>
            </w:pPr>
            <w:r w:rsidRPr="00D371D0">
              <w:rPr>
                <w:rFonts w:cs="Arial"/>
                <w:sz w:val="18"/>
                <w:szCs w:val="18"/>
              </w:rPr>
              <w:t xml:space="preserve">No, although the expertise of the Steering Committee for this project represents the state of the art of designing and operating managed aquifer recharge sites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3" w:type="dxa"/>
          </w:tcPr>
          <w:p w:rsidR="00035877" w:rsidRPr="00D371D0" w:rsidRDefault="00035877" w:rsidP="00370829">
            <w:pPr>
              <w:rPr>
                <w:rFonts w:cs="Arial"/>
                <w:sz w:val="18"/>
                <w:szCs w:val="18"/>
              </w:rPr>
            </w:pPr>
            <w:r w:rsidRPr="00D371D0">
              <w:rPr>
                <w:rFonts w:cs="Arial"/>
                <w:sz w:val="18"/>
                <w:szCs w:val="18"/>
              </w:rPr>
              <w:t xml:space="preserve">Although the proponent has no experience in operating similar sites, highly </w:t>
            </w:r>
            <w:r w:rsidR="007C45E4" w:rsidRPr="00D371D0">
              <w:rPr>
                <w:rFonts w:cs="Arial"/>
                <w:sz w:val="18"/>
                <w:szCs w:val="18"/>
              </w:rPr>
              <w:t>credentialed</w:t>
            </w:r>
            <w:r w:rsidRPr="00D371D0">
              <w:rPr>
                <w:rFonts w:cs="Arial"/>
                <w:sz w:val="18"/>
                <w:szCs w:val="18"/>
              </w:rPr>
              <w:t xml:space="preserve"> hydrogeological, hydrochemical and engineering experts are available within the private and public sectors, and should be called upon to provide advice as required.</w:t>
            </w:r>
          </w:p>
        </w:tc>
      </w:tr>
      <w:tr w:rsidR="00035877" w:rsidRPr="0090025B" w:rsidTr="00370829">
        <w:tc>
          <w:tcPr>
            <w:tcW w:w="14786" w:type="dxa"/>
            <w:gridSpan w:val="3"/>
            <w:shd w:val="clear" w:color="auto" w:fill="E6E6E6"/>
          </w:tcPr>
          <w:p w:rsidR="00035877" w:rsidRPr="0090025B" w:rsidRDefault="00035877" w:rsidP="00370829">
            <w:pPr>
              <w:rPr>
                <w:sz w:val="20"/>
                <w:szCs w:val="20"/>
              </w:rPr>
            </w:pPr>
            <w:r w:rsidRPr="0090025B">
              <w:rPr>
                <w:b/>
                <w:sz w:val="20"/>
                <w:szCs w:val="20"/>
              </w:rPr>
              <w:t xml:space="preserve">14. Planning and related requirements </w:t>
            </w:r>
          </w:p>
        </w:tc>
      </w:tr>
      <w:tr w:rsidR="00035877" w:rsidRPr="0090025B" w:rsidTr="00370829">
        <w:tc>
          <w:tcPr>
            <w:tcW w:w="3818" w:type="dxa"/>
          </w:tcPr>
          <w:p w:rsidR="00035877" w:rsidRPr="00D371D0" w:rsidRDefault="00035877" w:rsidP="00370829">
            <w:pPr>
              <w:rPr>
                <w:rFonts w:cs="Arial"/>
                <w:sz w:val="18"/>
                <w:szCs w:val="18"/>
              </w:rPr>
            </w:pPr>
            <w:r w:rsidRPr="00D371D0">
              <w:rPr>
                <w:rFonts w:cs="Arial"/>
                <w:sz w:val="18"/>
                <w:szCs w:val="18"/>
              </w:rPr>
              <w:t xml:space="preserve">a) Does the project require development approval? And is it in a built up area; on public, flood-prone or steep land; close to a property boundary; contain open water storages or engineering structures; </w:t>
            </w:r>
          </w:p>
          <w:p w:rsidR="00035877" w:rsidRPr="00D371D0" w:rsidRDefault="00035877" w:rsidP="00370829">
            <w:pPr>
              <w:rPr>
                <w:rFonts w:cs="Arial"/>
                <w:sz w:val="18"/>
                <w:szCs w:val="18"/>
              </w:rPr>
            </w:pPr>
          </w:p>
          <w:p w:rsidR="00035877" w:rsidRPr="00D371D0" w:rsidRDefault="00035877" w:rsidP="00370829">
            <w:pPr>
              <w:rPr>
                <w:rFonts w:cs="Arial"/>
                <w:sz w:val="18"/>
                <w:szCs w:val="18"/>
              </w:rPr>
            </w:pPr>
            <w:r w:rsidRPr="00D371D0">
              <w:rPr>
                <w:rFonts w:cs="Arial"/>
                <w:sz w:val="18"/>
                <w:szCs w:val="18"/>
              </w:rPr>
              <w:t>b) Is it likely to cause public health, safety or nuisance issues, or adverse environmental impacts?</w:t>
            </w:r>
            <w:r w:rsidR="00E823BA">
              <w:rPr>
                <w:rFonts w:cs="Arial"/>
                <w:sz w:val="18"/>
                <w:szCs w:val="18"/>
              </w:rPr>
              <w:t xml:space="preserve"> </w:t>
            </w:r>
          </w:p>
        </w:tc>
        <w:tc>
          <w:tcPr>
            <w:tcW w:w="6915"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a) Yes. The proposed site lies within the MLS, partially beneath existing ephemeral water storages and proximal to existing engineering structures. Planning approval is likely to be necessary. Land and water ownership issues are also likely to be encountered in implementing the project. It is likely that a development approval process will require that each potential issue is assessed and managed. This may require additional information and steps in design. For this project to proceed, there clearly needs to be inter-governmental and interagency agreement, with water entitlements and water sharing agreements one part of a complex set of issues to be resolved as part of any planning and development process. There would be a need to construct additional engineering structures to support borefield infrastructure on the lake floor. This would have to be dealt with sensitively. Identification of culturally sensitive sites will be required.</w:t>
            </w:r>
          </w:p>
          <w:p w:rsidR="00035877" w:rsidRPr="00D371D0" w:rsidRDefault="00035877" w:rsidP="00370829">
            <w:pPr>
              <w:rPr>
                <w:rFonts w:cs="Arial"/>
                <w:sz w:val="18"/>
                <w:szCs w:val="18"/>
              </w:rPr>
            </w:pPr>
          </w:p>
          <w:p w:rsidR="00035877" w:rsidRPr="00D371D0" w:rsidRDefault="00035877" w:rsidP="00370829">
            <w:pPr>
              <w:rPr>
                <w:rFonts w:cs="Arial"/>
                <w:sz w:val="18"/>
                <w:szCs w:val="18"/>
              </w:rPr>
            </w:pPr>
            <w:r w:rsidRPr="00D371D0">
              <w:rPr>
                <w:rFonts w:cs="Arial"/>
                <w:sz w:val="18"/>
                <w:szCs w:val="18"/>
              </w:rPr>
              <w:t>b) No. The project is not expected to cause public health or safety issues. However, groundwater modelling to fully assess potential impacts on ecosystems will need to be carried out, particularly as enhanced infiltration of lake waters through shallow unconfined aquifers are part of the operation.</w:t>
            </w:r>
          </w:p>
        </w:tc>
        <w:tc>
          <w:tcPr>
            <w:tcW w:w="4053" w:type="dxa"/>
          </w:tcPr>
          <w:p w:rsidR="00035877" w:rsidRPr="00D371D0" w:rsidRDefault="00035877" w:rsidP="00370829">
            <w:pPr>
              <w:rPr>
                <w:rFonts w:cs="Arial"/>
                <w:sz w:val="18"/>
                <w:szCs w:val="18"/>
              </w:rPr>
            </w:pPr>
            <w:r w:rsidRPr="00D371D0">
              <w:rPr>
                <w:rFonts w:cs="Arial"/>
                <w:sz w:val="18"/>
                <w:szCs w:val="18"/>
              </w:rPr>
              <w:t>It is anticipated that considerable effort and additional information may be required to address all potential issues requiring developmental approval or resolution of ownership rights. However, the general area is one where there is already large-scale water supply infrastructure on the surface, and this may serve to mitigate some of the risks dealing with planning requirements. Depending on the aquifer and site chosen, the answer to many of the more specific questions will differ significantly. There is moderate risk in the uncertainty relating to the potential impacts of the operation on ecosystems. This will be evaluated in the next phase of the project work plan through detailed modelling of groundwater-surface water interactions.</w:t>
            </w:r>
          </w:p>
        </w:tc>
      </w:tr>
    </w:tbl>
    <w:p w:rsidR="00035877" w:rsidRDefault="00035877" w:rsidP="00035877"/>
    <w:p w:rsidR="00035877" w:rsidRDefault="00035877" w:rsidP="00035877"/>
    <w:p w:rsidR="00035877" w:rsidRDefault="00035877" w:rsidP="00035877">
      <w:pPr>
        <w:rPr>
          <w:szCs w:val="22"/>
        </w:rPr>
        <w:sectPr w:rsidR="00035877" w:rsidSect="00C6706D">
          <w:pgSz w:w="16838" w:h="11906" w:orient="landscape" w:code="9"/>
          <w:pgMar w:top="1134" w:right="1134" w:bottom="1134" w:left="1134" w:header="709" w:footer="709" w:gutter="0"/>
          <w:cols w:space="708"/>
          <w:docGrid w:linePitch="360"/>
        </w:sectPr>
      </w:pPr>
    </w:p>
    <w:p w:rsidR="00035877" w:rsidRPr="00021090" w:rsidRDefault="00035877" w:rsidP="00021090">
      <w:pPr>
        <w:pStyle w:val="Heading2"/>
        <w:tabs>
          <w:tab w:val="left" w:pos="720"/>
        </w:tabs>
        <w:spacing w:before="320"/>
      </w:pPr>
      <w:bookmarkStart w:id="663" w:name="_Toc325700137"/>
      <w:bookmarkStart w:id="664" w:name="_Toc325700480"/>
      <w:bookmarkStart w:id="665" w:name="_Toc325975166"/>
      <w:bookmarkStart w:id="666" w:name="_Toc390690159"/>
      <w:r w:rsidRPr="008235E1">
        <w:lastRenderedPageBreak/>
        <w:t>GWR4</w:t>
      </w:r>
      <w:r w:rsidRPr="00021090">
        <w:t xml:space="preserve"> </w:t>
      </w:r>
      <w:r w:rsidR="00C6655F" w:rsidRPr="00EF7E00">
        <w:t>T</w:t>
      </w:r>
      <w:r w:rsidRPr="00EF7E00">
        <w:t>arget</w:t>
      </w:r>
      <w:r w:rsidRPr="00021090">
        <w:t xml:space="preserve">- </w:t>
      </w:r>
      <w:r w:rsidR="00C6655F" w:rsidRPr="00021090">
        <w:t>L</w:t>
      </w:r>
      <w:r w:rsidRPr="00021090">
        <w:t xml:space="preserve">arloona </w:t>
      </w:r>
      <w:r w:rsidR="00C6655F" w:rsidRPr="00021090">
        <w:t>P</w:t>
      </w:r>
      <w:r w:rsidRPr="00021090">
        <w:t xml:space="preserve">alaeochannel </w:t>
      </w:r>
      <w:r w:rsidR="00C6655F" w:rsidRPr="00021090">
        <w:t>S</w:t>
      </w:r>
      <w:r w:rsidRPr="00021090">
        <w:t>ite</w:t>
      </w:r>
      <w:bookmarkEnd w:id="663"/>
      <w:bookmarkEnd w:id="664"/>
      <w:bookmarkEnd w:id="665"/>
      <w:bookmarkEnd w:id="666"/>
    </w:p>
    <w:p w:rsidR="007E2FE7" w:rsidRDefault="00C6655F" w:rsidP="00B40359">
      <w:pPr>
        <w:spacing w:before="120"/>
        <w:rPr>
          <w:szCs w:val="22"/>
        </w:rPr>
      </w:pPr>
      <w:r>
        <w:rPr>
          <w:szCs w:val="22"/>
        </w:rPr>
        <w:t>T</w:t>
      </w:r>
      <w:r w:rsidR="007E2FE7" w:rsidRPr="00DC6C9A">
        <w:rPr>
          <w:szCs w:val="22"/>
        </w:rPr>
        <w:t>he proposed borefield site is located 10</w:t>
      </w:r>
      <w:r w:rsidR="007E2FE7">
        <w:rPr>
          <w:szCs w:val="22"/>
        </w:rPr>
        <w:t>-15</w:t>
      </w:r>
      <w:r w:rsidR="00F2681D">
        <w:rPr>
          <w:szCs w:val="22"/>
        </w:rPr>
        <w:t xml:space="preserve"> </w:t>
      </w:r>
      <w:r w:rsidR="007E2FE7">
        <w:rPr>
          <w:szCs w:val="22"/>
        </w:rPr>
        <w:t xml:space="preserve">km SSE of </w:t>
      </w:r>
      <w:r w:rsidR="00C217F0">
        <w:rPr>
          <w:szCs w:val="22"/>
        </w:rPr>
        <w:t>Menindee</w:t>
      </w:r>
      <w:r w:rsidR="007E2FE7">
        <w:rPr>
          <w:szCs w:val="22"/>
        </w:rPr>
        <w:t>, within the GWR4 groundwate</w:t>
      </w:r>
      <w:r w:rsidR="0006793E">
        <w:rPr>
          <w:szCs w:val="22"/>
        </w:rPr>
        <w:t>r</w:t>
      </w:r>
      <w:r w:rsidR="007E2FE7">
        <w:rPr>
          <w:szCs w:val="22"/>
        </w:rPr>
        <w:t xml:space="preserve"> resource target. </w:t>
      </w:r>
      <w:r w:rsidR="00B40359">
        <w:rPr>
          <w:szCs w:val="22"/>
        </w:rPr>
        <w:t xml:space="preserve">The proposed borefield at this site is located mainly on Larloona Station. </w:t>
      </w:r>
      <w:r w:rsidR="007E2FE7">
        <w:rPr>
          <w:szCs w:val="22"/>
        </w:rPr>
        <w:t>The target aquifer is identified as a palaeochanne</w:t>
      </w:r>
      <w:r w:rsidR="00B40359">
        <w:rPr>
          <w:szCs w:val="22"/>
        </w:rPr>
        <w:t xml:space="preserve">l within the </w:t>
      </w:r>
      <w:r w:rsidR="00C217F0">
        <w:rPr>
          <w:szCs w:val="22"/>
        </w:rPr>
        <w:t>Calivil Formation</w:t>
      </w:r>
      <w:r w:rsidR="00B40359">
        <w:rPr>
          <w:szCs w:val="22"/>
        </w:rPr>
        <w:t xml:space="preserve">. </w:t>
      </w:r>
    </w:p>
    <w:p w:rsidR="00B41835" w:rsidRDefault="00B41835" w:rsidP="00B41835">
      <w:pPr>
        <w:rPr>
          <w:szCs w:val="22"/>
        </w:rPr>
      </w:pPr>
    </w:p>
    <w:p w:rsidR="007E2FE7" w:rsidRPr="00795774" w:rsidRDefault="007E2FE7" w:rsidP="00B41835">
      <w:pPr>
        <w:rPr>
          <w:szCs w:val="22"/>
        </w:rPr>
      </w:pPr>
      <w:r>
        <w:rPr>
          <w:szCs w:val="22"/>
        </w:rPr>
        <w:t xml:space="preserve">The Larloona palaeochannel borefield is estimated to contain </w:t>
      </w:r>
      <w:r w:rsidR="00B40359">
        <w:rPr>
          <w:szCs w:val="22"/>
        </w:rPr>
        <w:t xml:space="preserve">between </w:t>
      </w:r>
      <w:r w:rsidR="00FB43B1">
        <w:rPr>
          <w:szCs w:val="22"/>
        </w:rPr>
        <w:t>120</w:t>
      </w:r>
      <w:r w:rsidR="00B40359">
        <w:rPr>
          <w:szCs w:val="22"/>
        </w:rPr>
        <w:t xml:space="preserve"> and </w:t>
      </w:r>
      <w:r w:rsidR="00FB43B1">
        <w:rPr>
          <w:szCs w:val="22"/>
        </w:rPr>
        <w:t>260</w:t>
      </w:r>
      <w:r>
        <w:rPr>
          <w:szCs w:val="22"/>
        </w:rPr>
        <w:t xml:space="preserve"> GL of good to acceptable </w:t>
      </w:r>
      <w:r w:rsidRPr="00BC3758">
        <w:rPr>
          <w:szCs w:val="22"/>
        </w:rPr>
        <w:t xml:space="preserve">quality </w:t>
      </w:r>
      <w:r>
        <w:rPr>
          <w:szCs w:val="22"/>
        </w:rPr>
        <w:t>water</w:t>
      </w:r>
      <w:r w:rsidRPr="00BC3758">
        <w:rPr>
          <w:szCs w:val="22"/>
        </w:rPr>
        <w:t xml:space="preserve"> (&lt;</w:t>
      </w:r>
      <w:r w:rsidRPr="00795774">
        <w:rPr>
          <w:szCs w:val="22"/>
        </w:rPr>
        <w:t>1200</w:t>
      </w:r>
      <w:r w:rsidR="00F2681D">
        <w:rPr>
          <w:szCs w:val="22"/>
        </w:rPr>
        <w:t xml:space="preserve"> </w:t>
      </w:r>
      <w:r w:rsidRPr="00795774">
        <w:rPr>
          <w:szCs w:val="22"/>
        </w:rPr>
        <w:t>mg/l TDS)</w:t>
      </w:r>
      <w:r w:rsidR="00B40359" w:rsidRPr="00795774">
        <w:rPr>
          <w:szCs w:val="22"/>
        </w:rPr>
        <w:t xml:space="preserve">, and </w:t>
      </w:r>
      <w:r w:rsidR="00FB43B1">
        <w:rPr>
          <w:szCs w:val="22"/>
        </w:rPr>
        <w:t>30</w:t>
      </w:r>
      <w:r w:rsidR="00B40359" w:rsidRPr="00795774">
        <w:rPr>
          <w:szCs w:val="22"/>
        </w:rPr>
        <w:t>-</w:t>
      </w:r>
      <w:r w:rsidR="00FB43B1">
        <w:rPr>
          <w:szCs w:val="22"/>
        </w:rPr>
        <w:t>60</w:t>
      </w:r>
      <w:r w:rsidR="00F2681D">
        <w:rPr>
          <w:szCs w:val="22"/>
        </w:rPr>
        <w:t xml:space="preserve"> </w:t>
      </w:r>
      <w:r w:rsidR="00B40359" w:rsidRPr="00795774">
        <w:rPr>
          <w:szCs w:val="22"/>
        </w:rPr>
        <w:t>GL of brackish (1200-3000 mg/L) groundwater (</w:t>
      </w:r>
      <w:r w:rsidR="000B4790" w:rsidRPr="00795774">
        <w:rPr>
          <w:szCs w:val="22"/>
        </w:rPr>
        <w:fldChar w:fldCharType="begin"/>
      </w:r>
      <w:r w:rsidR="000B4790" w:rsidRPr="00795774">
        <w:rPr>
          <w:szCs w:val="22"/>
        </w:rPr>
        <w:instrText xml:space="preserve"> REF _Ref325912855 \h </w:instrText>
      </w:r>
      <w:r w:rsidR="005B1337" w:rsidRPr="00795774">
        <w:rPr>
          <w:szCs w:val="22"/>
        </w:rPr>
        <w:instrText xml:space="preserve"> \* MERGEFORMAT </w:instrText>
      </w:r>
      <w:r w:rsidR="000B4790" w:rsidRPr="00795774">
        <w:rPr>
          <w:szCs w:val="22"/>
        </w:rPr>
      </w:r>
      <w:r w:rsidR="000B4790" w:rsidRPr="00795774">
        <w:rPr>
          <w:szCs w:val="22"/>
        </w:rPr>
        <w:fldChar w:fldCharType="separate"/>
      </w:r>
      <w:r w:rsidR="00966532" w:rsidRPr="00966532">
        <w:t xml:space="preserve">Figure </w:t>
      </w:r>
      <w:r w:rsidR="00966532" w:rsidRPr="00966532">
        <w:rPr>
          <w:noProof/>
        </w:rPr>
        <w:t>9</w:t>
      </w:r>
      <w:r w:rsidR="00966532" w:rsidRPr="00966532">
        <w:rPr>
          <w:noProof/>
        </w:rPr>
        <w:noBreakHyphen/>
        <w:t>4</w:t>
      </w:r>
      <w:r w:rsidR="000B4790" w:rsidRPr="00795774">
        <w:rPr>
          <w:szCs w:val="22"/>
        </w:rPr>
        <w:fldChar w:fldCharType="end"/>
      </w:r>
      <w:r w:rsidR="00B40359" w:rsidRPr="00795774">
        <w:rPr>
          <w:szCs w:val="22"/>
        </w:rPr>
        <w:t>)</w:t>
      </w:r>
      <w:r w:rsidR="005430CB">
        <w:rPr>
          <w:szCs w:val="22"/>
        </w:rPr>
        <w:t xml:space="preserve">, with the important caveat noted earlier about the uncertainties in resolving more resistive features. </w:t>
      </w:r>
      <w:r w:rsidRPr="00795774">
        <w:rPr>
          <w:szCs w:val="22"/>
        </w:rPr>
        <w:t>Water quality exceed</w:t>
      </w:r>
      <w:r w:rsidR="00C43508">
        <w:rPr>
          <w:szCs w:val="22"/>
        </w:rPr>
        <w:t>a</w:t>
      </w:r>
      <w:r w:rsidRPr="00795774">
        <w:rPr>
          <w:szCs w:val="22"/>
        </w:rPr>
        <w:t xml:space="preserve">nces for this proposed borefield site include </w:t>
      </w:r>
      <w:r w:rsidR="0006793E" w:rsidRPr="00795774">
        <w:rPr>
          <w:szCs w:val="22"/>
        </w:rPr>
        <w:t xml:space="preserve">chloride, sodium, </w:t>
      </w:r>
      <w:r w:rsidR="00C81D98">
        <w:rPr>
          <w:szCs w:val="22"/>
        </w:rPr>
        <w:t xml:space="preserve">sulfate, </w:t>
      </w:r>
      <w:r w:rsidR="0006793E" w:rsidRPr="00795774">
        <w:rPr>
          <w:szCs w:val="22"/>
        </w:rPr>
        <w:t>manganese</w:t>
      </w:r>
      <w:r w:rsidR="00C81D98">
        <w:rPr>
          <w:szCs w:val="22"/>
        </w:rPr>
        <w:t>, iron</w:t>
      </w:r>
      <w:r w:rsidR="0006793E" w:rsidRPr="00795774">
        <w:rPr>
          <w:szCs w:val="22"/>
        </w:rPr>
        <w:t xml:space="preserve"> and ammonia</w:t>
      </w:r>
      <w:r w:rsidR="00B40359" w:rsidRPr="00795774">
        <w:rPr>
          <w:szCs w:val="22"/>
        </w:rPr>
        <w:t xml:space="preserve"> (</w:t>
      </w:r>
      <w:r w:rsidR="000D653B">
        <w:rPr>
          <w:szCs w:val="22"/>
        </w:rPr>
        <w:fldChar w:fldCharType="begin"/>
      </w:r>
      <w:r w:rsidR="000D653B">
        <w:rPr>
          <w:szCs w:val="22"/>
        </w:rPr>
        <w:instrText xml:space="preserve"> REF _Ref325913831 \h  \* MERGEFORMAT </w:instrText>
      </w:r>
      <w:r w:rsidR="000D653B">
        <w:rPr>
          <w:szCs w:val="22"/>
        </w:rPr>
      </w:r>
      <w:r w:rsidR="000D653B">
        <w:rPr>
          <w:szCs w:val="22"/>
        </w:rPr>
        <w:fldChar w:fldCharType="separate"/>
      </w:r>
      <w:r w:rsidR="00966532" w:rsidRPr="00966532">
        <w:rPr>
          <w:szCs w:val="22"/>
        </w:rPr>
        <w:t>Table 9</w:t>
      </w:r>
      <w:r w:rsidR="00966532" w:rsidRPr="00966532">
        <w:rPr>
          <w:szCs w:val="22"/>
        </w:rPr>
        <w:noBreakHyphen/>
        <w:t>5</w:t>
      </w:r>
      <w:r w:rsidR="000D653B">
        <w:rPr>
          <w:szCs w:val="22"/>
        </w:rPr>
        <w:fldChar w:fldCharType="end"/>
      </w:r>
      <w:r w:rsidR="00B40359" w:rsidRPr="00795774">
        <w:rPr>
          <w:szCs w:val="22"/>
        </w:rPr>
        <w:t>).</w:t>
      </w:r>
    </w:p>
    <w:p w:rsidR="00B41835" w:rsidRPr="00795774" w:rsidRDefault="00B41835" w:rsidP="00B41835">
      <w:pPr>
        <w:rPr>
          <w:szCs w:val="22"/>
        </w:rPr>
      </w:pPr>
    </w:p>
    <w:p w:rsidR="00B40359" w:rsidRDefault="00B40359" w:rsidP="00B41835">
      <w:pPr>
        <w:rPr>
          <w:szCs w:val="22"/>
        </w:rPr>
      </w:pPr>
      <w:r w:rsidRPr="00795774">
        <w:rPr>
          <w:szCs w:val="22"/>
        </w:rPr>
        <w:t>At this location, the aquifer is confined, heterogeneous at the broader scale, but with good sand sequences with moderate to good transmissivities (</w:t>
      </w:r>
      <w:r w:rsidR="005B1337" w:rsidRPr="00795774">
        <w:rPr>
          <w:szCs w:val="22"/>
          <w:highlight w:val="yellow"/>
        </w:rPr>
        <w:fldChar w:fldCharType="begin"/>
      </w:r>
      <w:r w:rsidR="005B1337" w:rsidRPr="00795774">
        <w:rPr>
          <w:szCs w:val="22"/>
        </w:rPr>
        <w:instrText xml:space="preserve"> REF _Ref325913831 \h </w:instrText>
      </w:r>
      <w:r w:rsidR="00795774" w:rsidRPr="00795774">
        <w:rPr>
          <w:szCs w:val="22"/>
          <w:highlight w:val="yellow"/>
        </w:rPr>
        <w:instrText xml:space="preserve"> \* MERGEFORMAT </w:instrText>
      </w:r>
      <w:r w:rsidR="005B1337" w:rsidRPr="00795774">
        <w:rPr>
          <w:szCs w:val="22"/>
          <w:highlight w:val="yellow"/>
        </w:rPr>
      </w:r>
      <w:r w:rsidR="005B1337" w:rsidRPr="00795774">
        <w:rPr>
          <w:szCs w:val="22"/>
          <w:highlight w:val="yellow"/>
        </w:rPr>
        <w:fldChar w:fldCharType="separate"/>
      </w:r>
      <w:r w:rsidR="00966532" w:rsidRPr="00966532">
        <w:t xml:space="preserve">Table </w:t>
      </w:r>
      <w:r w:rsidR="00966532" w:rsidRPr="00966532">
        <w:rPr>
          <w:noProof/>
        </w:rPr>
        <w:t>9</w:t>
      </w:r>
      <w:r w:rsidR="00966532" w:rsidRPr="00966532">
        <w:rPr>
          <w:noProof/>
        </w:rPr>
        <w:noBreakHyphen/>
        <w:t>5</w:t>
      </w:r>
      <w:r w:rsidR="005B1337" w:rsidRPr="00795774">
        <w:rPr>
          <w:szCs w:val="22"/>
          <w:highlight w:val="yellow"/>
        </w:rPr>
        <w:fldChar w:fldCharType="end"/>
      </w:r>
      <w:r w:rsidRPr="00795774">
        <w:rPr>
          <w:szCs w:val="22"/>
        </w:rPr>
        <w:t>). Investigations have shown the aquifer to be more variable than at the Jimargil site, although it is generally thicker and sandier</w:t>
      </w:r>
      <w:r>
        <w:rPr>
          <w:szCs w:val="22"/>
        </w:rPr>
        <w:t xml:space="preserve"> and with higher transmissivities than at the northern end of </w:t>
      </w:r>
      <w:r w:rsidR="00C217F0">
        <w:rPr>
          <w:szCs w:val="22"/>
        </w:rPr>
        <w:t>Lake Menindee</w:t>
      </w:r>
      <w:r w:rsidR="00C81D98">
        <w:rPr>
          <w:szCs w:val="22"/>
        </w:rPr>
        <w:t xml:space="preserve"> (GWR2)</w:t>
      </w:r>
      <w:r>
        <w:rPr>
          <w:szCs w:val="22"/>
        </w:rPr>
        <w:t xml:space="preserve">. </w:t>
      </w:r>
    </w:p>
    <w:p w:rsidR="00B40359" w:rsidRDefault="00B40359" w:rsidP="00B41835">
      <w:pPr>
        <w:rPr>
          <w:szCs w:val="22"/>
        </w:rPr>
      </w:pPr>
    </w:p>
    <w:p w:rsidR="007E2FE7" w:rsidRPr="00895FAE" w:rsidRDefault="007E2FE7" w:rsidP="00B41835">
      <w:pPr>
        <w:rPr>
          <w:szCs w:val="22"/>
        </w:rPr>
      </w:pPr>
      <w:r w:rsidRPr="00106292">
        <w:rPr>
          <w:szCs w:val="22"/>
        </w:rPr>
        <w:t>Flood mapping suggests floodplain inundation is limited in this area</w:t>
      </w:r>
      <w:r w:rsidR="00F2681D" w:rsidRPr="00106292">
        <w:rPr>
          <w:szCs w:val="22"/>
        </w:rPr>
        <w:t xml:space="preserve"> (</w:t>
      </w:r>
      <w:bookmarkStart w:id="667" w:name="OLE_LINK13"/>
      <w:r w:rsidR="00F2681D" w:rsidRPr="00106292">
        <w:rPr>
          <w:szCs w:val="22"/>
        </w:rPr>
        <w:t>Lawrie</w:t>
      </w:r>
      <w:r w:rsidR="008A5F7D" w:rsidRPr="00CF7613">
        <w:rPr>
          <w:rStyle w:val="StyleItalic"/>
        </w:rPr>
        <w:t xml:space="preserve"> et al</w:t>
      </w:r>
      <w:r w:rsidR="00F2681D" w:rsidRPr="00106292">
        <w:rPr>
          <w:szCs w:val="22"/>
        </w:rPr>
        <w:t>., 2012</w:t>
      </w:r>
      <w:bookmarkEnd w:id="667"/>
      <w:r w:rsidR="00F2681D" w:rsidRPr="00106292">
        <w:rPr>
          <w:szCs w:val="22"/>
        </w:rPr>
        <w:t>c)</w:t>
      </w:r>
      <w:r w:rsidRPr="00106292">
        <w:rPr>
          <w:szCs w:val="22"/>
        </w:rPr>
        <w:t>. The lack of scroll-plain tracts also restricts the amount of potential (vertical or lateral) recharge during flooding</w:t>
      </w:r>
      <w:r w:rsidR="00F2681D" w:rsidRPr="00106292">
        <w:rPr>
          <w:szCs w:val="22"/>
        </w:rPr>
        <w:t xml:space="preserve"> (Lawrie</w:t>
      </w:r>
      <w:r w:rsidR="008A5F7D" w:rsidRPr="00CF7613">
        <w:rPr>
          <w:rStyle w:val="StyleItalic"/>
        </w:rPr>
        <w:t xml:space="preserve"> et al</w:t>
      </w:r>
      <w:r w:rsidR="00F2681D" w:rsidRPr="00106292">
        <w:rPr>
          <w:szCs w:val="22"/>
        </w:rPr>
        <w:t>., 2012b)</w:t>
      </w:r>
      <w:r w:rsidRPr="00106292">
        <w:rPr>
          <w:szCs w:val="22"/>
        </w:rPr>
        <w:t xml:space="preserve">. In addition, near-surface </w:t>
      </w:r>
      <w:r w:rsidR="001E3931" w:rsidRPr="00106292">
        <w:rPr>
          <w:szCs w:val="22"/>
        </w:rPr>
        <w:t>mud</w:t>
      </w:r>
      <w:r w:rsidRPr="00106292">
        <w:rPr>
          <w:szCs w:val="22"/>
        </w:rPr>
        <w:t xml:space="preserve">-drape mapping confirms the presence of a thick and continuous </w:t>
      </w:r>
      <w:r w:rsidR="001E3931" w:rsidRPr="00106292">
        <w:rPr>
          <w:szCs w:val="22"/>
        </w:rPr>
        <w:t>mud</w:t>
      </w:r>
      <w:r w:rsidRPr="00106292">
        <w:rPr>
          <w:szCs w:val="22"/>
        </w:rPr>
        <w:t xml:space="preserve"> layer, with few</w:t>
      </w:r>
      <w:r>
        <w:rPr>
          <w:szCs w:val="22"/>
        </w:rPr>
        <w:t xml:space="preserve"> holes for facilitate recharge. Similarly, there are no holes mapped in the </w:t>
      </w:r>
      <w:r w:rsidR="000F7A6F">
        <w:rPr>
          <w:szCs w:val="22"/>
        </w:rPr>
        <w:t xml:space="preserve">upper </w:t>
      </w:r>
      <w:r>
        <w:rPr>
          <w:szCs w:val="22"/>
        </w:rPr>
        <w:t xml:space="preserve">confining </w:t>
      </w:r>
      <w:r w:rsidR="000F7A6F">
        <w:rPr>
          <w:szCs w:val="22"/>
        </w:rPr>
        <w:t xml:space="preserve">(Blanchetown Clay) </w:t>
      </w:r>
      <w:r>
        <w:rPr>
          <w:szCs w:val="22"/>
        </w:rPr>
        <w:t>aquitard. Consequently, natural recharge at this site is likely to be very low.</w:t>
      </w:r>
      <w:r w:rsidRPr="00895FAE">
        <w:rPr>
          <w:szCs w:val="22"/>
        </w:rPr>
        <w:t xml:space="preserve"> </w:t>
      </w:r>
      <w:r>
        <w:rPr>
          <w:szCs w:val="22"/>
        </w:rPr>
        <w:t xml:space="preserve">This is consistent with hydrochemistry and age dating of the groundwater, with little evidence for ‘modern’ water in this target. This groundwater resource can thus be considered a </w:t>
      </w:r>
      <w:r w:rsidR="00B40359">
        <w:rPr>
          <w:szCs w:val="22"/>
        </w:rPr>
        <w:t xml:space="preserve">‘fossil’ </w:t>
      </w:r>
      <w:r>
        <w:rPr>
          <w:szCs w:val="22"/>
        </w:rPr>
        <w:t xml:space="preserve">resource. The lower aquitard appears to be predominantly </w:t>
      </w:r>
      <w:r w:rsidR="000F7A6F">
        <w:rPr>
          <w:szCs w:val="22"/>
        </w:rPr>
        <w:t>u</w:t>
      </w:r>
      <w:r>
        <w:rPr>
          <w:szCs w:val="22"/>
        </w:rPr>
        <w:t xml:space="preserve">pper </w:t>
      </w:r>
      <w:r w:rsidR="00C217F0">
        <w:rPr>
          <w:szCs w:val="22"/>
        </w:rPr>
        <w:t>Renmark Group</w:t>
      </w:r>
      <w:r>
        <w:rPr>
          <w:szCs w:val="22"/>
        </w:rPr>
        <w:t xml:space="preserve"> </w:t>
      </w:r>
      <w:r w:rsidR="001E3931">
        <w:rPr>
          <w:szCs w:val="22"/>
        </w:rPr>
        <w:t>mud</w:t>
      </w:r>
      <w:r>
        <w:rPr>
          <w:szCs w:val="22"/>
        </w:rPr>
        <w:t xml:space="preserve">s, with a few minor sand channels. </w:t>
      </w:r>
    </w:p>
    <w:p w:rsidR="00B41835" w:rsidRDefault="00B41835" w:rsidP="00B41835">
      <w:pPr>
        <w:rPr>
          <w:szCs w:val="22"/>
        </w:rPr>
      </w:pPr>
    </w:p>
    <w:p w:rsidR="00B40359" w:rsidRDefault="00B40359" w:rsidP="00B41835">
      <w:pPr>
        <w:rPr>
          <w:szCs w:val="22"/>
        </w:rPr>
      </w:pPr>
      <w:r>
        <w:rPr>
          <w:szCs w:val="22"/>
        </w:rPr>
        <w:t xml:space="preserve">The two key options identified at </w:t>
      </w:r>
      <w:r w:rsidRPr="00670511">
        <w:rPr>
          <w:szCs w:val="22"/>
        </w:rPr>
        <w:t>this site are an ASR scheme, and groundwater extraction-only, which would effectively involve mining of the fossil resource</w:t>
      </w:r>
      <w:r w:rsidR="00BE068E" w:rsidRPr="00670511">
        <w:rPr>
          <w:szCs w:val="22"/>
        </w:rPr>
        <w:t xml:space="preserve"> (Lawrie</w:t>
      </w:r>
      <w:r w:rsidR="008A5F7D" w:rsidRPr="00CF7613">
        <w:rPr>
          <w:rStyle w:val="StyleItalic"/>
        </w:rPr>
        <w:t xml:space="preserve"> et al</w:t>
      </w:r>
      <w:r w:rsidR="00BE068E" w:rsidRPr="00670511">
        <w:rPr>
          <w:szCs w:val="22"/>
        </w:rPr>
        <w:t>., 2012</w:t>
      </w:r>
      <w:r w:rsidR="00670511" w:rsidRPr="00670511">
        <w:rPr>
          <w:szCs w:val="22"/>
        </w:rPr>
        <w:t>c, d</w:t>
      </w:r>
      <w:r w:rsidR="00BE068E" w:rsidRPr="00670511">
        <w:rPr>
          <w:szCs w:val="22"/>
        </w:rPr>
        <w:t>)</w:t>
      </w:r>
      <w:r w:rsidRPr="00670511">
        <w:rPr>
          <w:szCs w:val="22"/>
        </w:rPr>
        <w:t>. The latter</w:t>
      </w:r>
      <w:r>
        <w:rPr>
          <w:szCs w:val="22"/>
        </w:rPr>
        <w:t xml:space="preserve"> option would effectively be unsustainable, except over short time periods. The groundwater extraction option is not considered further here. </w:t>
      </w:r>
    </w:p>
    <w:p w:rsidR="00B40359" w:rsidRDefault="00B40359" w:rsidP="00B41835">
      <w:pPr>
        <w:rPr>
          <w:szCs w:val="22"/>
        </w:rPr>
      </w:pPr>
    </w:p>
    <w:p w:rsidR="007E2FE7" w:rsidRDefault="00B40359" w:rsidP="00B41835">
      <w:pPr>
        <w:rPr>
          <w:szCs w:val="22"/>
        </w:rPr>
      </w:pPr>
      <w:r>
        <w:rPr>
          <w:szCs w:val="22"/>
        </w:rPr>
        <w:t xml:space="preserve">ASR </w:t>
      </w:r>
      <w:r w:rsidR="007E2FE7">
        <w:rPr>
          <w:szCs w:val="22"/>
        </w:rPr>
        <w:t>would entail aquifer storage and recove</w:t>
      </w:r>
      <w:r>
        <w:rPr>
          <w:szCs w:val="22"/>
        </w:rPr>
        <w:t>ry through a borefield network, with treated and recovered water piped ~10</w:t>
      </w:r>
      <w:r w:rsidR="00BE068E">
        <w:rPr>
          <w:szCs w:val="22"/>
        </w:rPr>
        <w:t xml:space="preserve"> </w:t>
      </w:r>
      <w:r>
        <w:rPr>
          <w:szCs w:val="22"/>
        </w:rPr>
        <w:t xml:space="preserve">km from near the existing </w:t>
      </w:r>
      <w:r w:rsidR="00C217F0">
        <w:rPr>
          <w:szCs w:val="22"/>
        </w:rPr>
        <w:t xml:space="preserve">Menindee </w:t>
      </w:r>
      <w:r>
        <w:rPr>
          <w:szCs w:val="22"/>
        </w:rPr>
        <w:t xml:space="preserve">treatment plant. </w:t>
      </w:r>
      <w:r w:rsidR="007E2FE7">
        <w:rPr>
          <w:szCs w:val="22"/>
        </w:rPr>
        <w:t>Good recovery efficiencies are predicted based on observed water quality and transmissivity rates. MAR operations would likely improve the quality of the groundwater through time.</w:t>
      </w:r>
      <w:r>
        <w:rPr>
          <w:szCs w:val="22"/>
        </w:rPr>
        <w:t xml:space="preserve"> </w:t>
      </w:r>
      <w:r w:rsidR="007E2FE7">
        <w:rPr>
          <w:szCs w:val="22"/>
        </w:rPr>
        <w:t>The site has a low</w:t>
      </w:r>
      <w:r>
        <w:rPr>
          <w:szCs w:val="22"/>
        </w:rPr>
        <w:t xml:space="preserve"> risk for potential GDE impacts, due to the presence of thick aquitards, and the depth of the </w:t>
      </w:r>
      <w:r w:rsidR="00C217F0">
        <w:rPr>
          <w:szCs w:val="22"/>
        </w:rPr>
        <w:t>Calivil Formation</w:t>
      </w:r>
      <w:r>
        <w:rPr>
          <w:szCs w:val="22"/>
        </w:rPr>
        <w:t xml:space="preserve"> aquifer (&gt;30</w:t>
      </w:r>
      <w:r w:rsidR="00FE05F2">
        <w:rPr>
          <w:szCs w:val="22"/>
        </w:rPr>
        <w:t xml:space="preserve"> </w:t>
      </w:r>
      <w:r>
        <w:rPr>
          <w:szCs w:val="22"/>
        </w:rPr>
        <w:t>m).</w:t>
      </w:r>
      <w:r w:rsidR="00465915">
        <w:rPr>
          <w:szCs w:val="22"/>
        </w:rPr>
        <w:t xml:space="preserve"> </w:t>
      </w:r>
    </w:p>
    <w:p w:rsidR="00B41835" w:rsidRDefault="00B41835" w:rsidP="00B41835">
      <w:pPr>
        <w:rPr>
          <w:szCs w:val="22"/>
        </w:rPr>
      </w:pPr>
    </w:p>
    <w:p w:rsidR="00B40359" w:rsidRDefault="00B40359" w:rsidP="00B40359">
      <w:pPr>
        <w:rPr>
          <w:szCs w:val="22"/>
        </w:rPr>
      </w:pPr>
      <w:r>
        <w:rPr>
          <w:szCs w:val="22"/>
        </w:rPr>
        <w:t xml:space="preserve">An </w:t>
      </w:r>
      <w:r w:rsidRPr="00895FAE">
        <w:rPr>
          <w:szCs w:val="22"/>
        </w:rPr>
        <w:t>entry-level, degree of difficulty assessment</w:t>
      </w:r>
      <w:r>
        <w:rPr>
          <w:szCs w:val="22"/>
        </w:rPr>
        <w:t xml:space="preserve"> has been carried out for </w:t>
      </w:r>
      <w:r w:rsidRPr="00FE37F2">
        <w:t xml:space="preserve">the </w:t>
      </w:r>
      <w:r w:rsidRPr="00795774">
        <w:t>site (</w:t>
      </w:r>
      <w:r w:rsidRPr="00795774">
        <w:fldChar w:fldCharType="begin"/>
      </w:r>
      <w:r w:rsidRPr="00795774">
        <w:instrText xml:space="preserve"> REF _Ref325709776 \h </w:instrText>
      </w:r>
      <w:r w:rsidR="00795774" w:rsidRPr="00795774">
        <w:instrText xml:space="preserve"> \* MERGEFORMAT </w:instrText>
      </w:r>
      <w:r w:rsidRPr="00795774">
        <w:fldChar w:fldCharType="separate"/>
      </w:r>
      <w:r w:rsidR="00966532" w:rsidRPr="00966532">
        <w:t xml:space="preserve">Table </w:t>
      </w:r>
      <w:r w:rsidR="00966532" w:rsidRPr="00966532">
        <w:rPr>
          <w:noProof/>
        </w:rPr>
        <w:t>9</w:t>
      </w:r>
      <w:r w:rsidR="00966532" w:rsidRPr="00966532">
        <w:rPr>
          <w:noProof/>
        </w:rPr>
        <w:noBreakHyphen/>
        <w:t>6</w:t>
      </w:r>
      <w:r w:rsidRPr="00795774">
        <w:fldChar w:fldCharType="end"/>
      </w:r>
      <w:r w:rsidRPr="00795774">
        <w:t>), with</w:t>
      </w:r>
      <w:r w:rsidRPr="00FE37F2">
        <w:t xml:space="preserve"> no</w:t>
      </w:r>
      <w:r>
        <w:rPr>
          <w:szCs w:val="22"/>
        </w:rPr>
        <w:t xml:space="preserve"> major concerns highlighted. Overall, this site has relatively low risk attached to an ASR operation. However, experience with the adjacent Jimargil site suggests that hydrochemical issues may come more to the fore if the aquifer is less actively recharged, and the groundwaters more reduced. In this scenario an assessment of source water-groundwater and source water-wall rock interactions would have to be undertaken to assess, in particular the potential for iron clogging, as well as mobilisation of other metals. </w:t>
      </w:r>
    </w:p>
    <w:p w:rsidR="00B40359" w:rsidRDefault="00B40359" w:rsidP="00B40359">
      <w:pPr>
        <w:rPr>
          <w:szCs w:val="22"/>
        </w:rPr>
      </w:pPr>
    </w:p>
    <w:p w:rsidR="007E2FE7" w:rsidRDefault="007E2FE7" w:rsidP="00B41835">
      <w:pPr>
        <w:rPr>
          <w:szCs w:val="22"/>
        </w:rPr>
      </w:pPr>
      <w:r>
        <w:t xml:space="preserve">The </w:t>
      </w:r>
      <w:r w:rsidRPr="00670511">
        <w:t>proposed borefield over much of the site is unlikely to have heritage issues but will be subject to flooding at the highest historical levels</w:t>
      </w:r>
      <w:r w:rsidR="00BE068E" w:rsidRPr="00670511">
        <w:t xml:space="preserve"> (</w:t>
      </w:r>
      <w:r w:rsidR="00BE068E" w:rsidRPr="00670511">
        <w:rPr>
          <w:szCs w:val="22"/>
        </w:rPr>
        <w:t>Lawrie</w:t>
      </w:r>
      <w:r w:rsidR="008A5F7D" w:rsidRPr="00CF7613">
        <w:rPr>
          <w:rStyle w:val="StyleItalic"/>
        </w:rPr>
        <w:t xml:space="preserve"> et al</w:t>
      </w:r>
      <w:r w:rsidR="00BE068E" w:rsidRPr="00670511">
        <w:rPr>
          <w:szCs w:val="22"/>
        </w:rPr>
        <w:t>., 2012</w:t>
      </w:r>
      <w:r w:rsidR="00670511" w:rsidRPr="00670511">
        <w:rPr>
          <w:szCs w:val="22"/>
        </w:rPr>
        <w:t xml:space="preserve">b, </w:t>
      </w:r>
      <w:r w:rsidR="00BE068E" w:rsidRPr="00670511">
        <w:rPr>
          <w:szCs w:val="22"/>
        </w:rPr>
        <w:t>c)</w:t>
      </w:r>
      <w:r w:rsidRPr="00670511">
        <w:t xml:space="preserve">. </w:t>
      </w:r>
      <w:r w:rsidRPr="00670511">
        <w:rPr>
          <w:szCs w:val="22"/>
        </w:rPr>
        <w:t xml:space="preserve">Of the southern </w:t>
      </w:r>
      <w:r w:rsidRPr="00670511">
        <w:t>group of</w:t>
      </w:r>
      <w:r>
        <w:t xml:space="preserve"> bores, seven are located on an area of longitudinal and hummocky dunes within the upper floodplain between Charlie Stones and Yampoola Creeks. These bores have a high probability of cultural heritage issues but will not be flooded, though access to them will be flood-affected. </w:t>
      </w:r>
      <w:r>
        <w:rPr>
          <w:szCs w:val="22"/>
        </w:rPr>
        <w:t xml:space="preserve">The proposed pipeline route to </w:t>
      </w:r>
      <w:r w:rsidR="00C217F0">
        <w:rPr>
          <w:szCs w:val="22"/>
        </w:rPr>
        <w:t xml:space="preserve">Menindee </w:t>
      </w:r>
      <w:r w:rsidR="000F7A6F">
        <w:rPr>
          <w:szCs w:val="22"/>
        </w:rPr>
        <w:t>is relatively straight</w:t>
      </w:r>
      <w:r>
        <w:rPr>
          <w:szCs w:val="22"/>
        </w:rPr>
        <w:t xml:space="preserve">forward. </w:t>
      </w:r>
    </w:p>
    <w:p w:rsidR="00B41835" w:rsidRDefault="00B41835" w:rsidP="00B41835">
      <w:pPr>
        <w:rPr>
          <w:szCs w:val="22"/>
        </w:rPr>
      </w:pPr>
    </w:p>
    <w:p w:rsidR="00035877" w:rsidRDefault="00F32C95" w:rsidP="003764CE">
      <w:pPr>
        <w:spacing w:before="120" w:after="60"/>
        <w:rPr>
          <w:szCs w:val="22"/>
        </w:rPr>
      </w:pPr>
      <w:r>
        <w:rPr>
          <w:szCs w:val="22"/>
        </w:rPr>
        <w:br w:type="page"/>
      </w:r>
      <w:r w:rsidR="00706A3B">
        <w:rPr>
          <w:noProof/>
          <w:szCs w:val="22"/>
        </w:rPr>
        <w:lastRenderedPageBreak/>
        <w:drawing>
          <wp:inline distT="0" distB="0" distL="0" distR="0" wp14:anchorId="53378C91" wp14:editId="151874A4">
            <wp:extent cx="6113780" cy="7729855"/>
            <wp:effectExtent l="19050" t="19050" r="1270" b="4445"/>
            <wp:docPr id="105" name="Picture 105" descr="Fig59_Larloona_WQ_cali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ig59_Larloona_WQ_calivil"/>
                    <pic:cNvPicPr>
                      <a:picLocks noChangeAspect="1" noChangeArrowheads="1"/>
                    </pic:cNvPicPr>
                  </pic:nvPicPr>
                  <pic:blipFill>
                    <a:blip r:embed="rId142" cstate="print">
                      <a:extLst>
                        <a:ext uri="{28A0092B-C50C-407E-A947-70E740481C1C}">
                          <a14:useLocalDpi xmlns:a14="http://schemas.microsoft.com/office/drawing/2010/main" val="0"/>
                        </a:ext>
                      </a:extLst>
                    </a:blip>
                    <a:srcRect l="8807" t="6018" r="9242" b="20616"/>
                    <a:stretch>
                      <a:fillRect/>
                    </a:stretch>
                  </pic:blipFill>
                  <pic:spPr bwMode="auto">
                    <a:xfrm>
                      <a:off x="0" y="0"/>
                      <a:ext cx="6113780" cy="7729855"/>
                    </a:xfrm>
                    <a:prstGeom prst="rect">
                      <a:avLst/>
                    </a:prstGeom>
                    <a:noFill/>
                    <a:ln w="12700" cmpd="sng">
                      <a:solidFill>
                        <a:srgbClr val="000000"/>
                      </a:solidFill>
                      <a:miter lim="800000"/>
                      <a:headEnd/>
                      <a:tailEnd/>
                    </a:ln>
                    <a:effectLst/>
                  </pic:spPr>
                </pic:pic>
              </a:graphicData>
            </a:graphic>
          </wp:inline>
        </w:drawing>
      </w:r>
    </w:p>
    <w:p w:rsidR="00035877" w:rsidRPr="000F7A6F" w:rsidRDefault="001741E7" w:rsidP="00FE37F2">
      <w:pPr>
        <w:pStyle w:val="Caption"/>
        <w:rPr>
          <w:i w:val="0"/>
        </w:rPr>
      </w:pPr>
      <w:bookmarkStart w:id="668" w:name="_Ref325912855"/>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9</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4</w:t>
      </w:r>
      <w:r w:rsidR="00A23C59">
        <w:rPr>
          <w:b/>
        </w:rPr>
        <w:fldChar w:fldCharType="end"/>
      </w:r>
      <w:bookmarkEnd w:id="668"/>
      <w:r w:rsidR="00FE37F2" w:rsidRPr="00DD5B97">
        <w:rPr>
          <w:b/>
        </w:rPr>
        <w:t>.</w:t>
      </w:r>
      <w:r w:rsidR="00FE37F2">
        <w:t xml:space="preserve"> </w:t>
      </w:r>
      <w:r w:rsidR="000F7A6F">
        <w:t xml:space="preserve">Predicted </w:t>
      </w:r>
      <w:r w:rsidR="00FE37F2">
        <w:t xml:space="preserve">groundwater </w:t>
      </w:r>
      <w:r w:rsidR="000641F5">
        <w:t>salinity</w:t>
      </w:r>
      <w:r w:rsidR="00FE37F2">
        <w:t xml:space="preserve"> at Larloona</w:t>
      </w:r>
      <w:r w:rsidR="000F7A6F">
        <w:t xml:space="preserve"> derived from integrating AEM and pore fluid data. The map is</w:t>
      </w:r>
      <w:r w:rsidR="00FE37F2">
        <w:t xml:space="preserve"> within the </w:t>
      </w:r>
      <w:r w:rsidR="00C217F0">
        <w:t>Calivil Formation</w:t>
      </w:r>
      <w:r w:rsidR="00FE37F2">
        <w:t xml:space="preserve"> aquifer at depth of 43.5-51.5</w:t>
      </w:r>
      <w:r w:rsidR="00A72012">
        <w:t xml:space="preserve"> </w:t>
      </w:r>
      <w:r w:rsidR="00FE37F2">
        <w:t>m</w:t>
      </w:r>
      <w:r w:rsidR="00FE37F2" w:rsidRPr="000F7A6F">
        <w:rPr>
          <w:i w:val="0"/>
        </w:rPr>
        <w:t>.</w:t>
      </w:r>
      <w:r w:rsidR="00BE08AB" w:rsidRPr="000F7A6F">
        <w:rPr>
          <w:bCs w:val="0"/>
          <w:i w:val="0"/>
        </w:rPr>
        <w:fldChar w:fldCharType="begin"/>
      </w:r>
      <w:r w:rsidR="00BE08AB" w:rsidRPr="000F7A6F">
        <w:rPr>
          <w:bCs w:val="0"/>
          <w:i w:val="0"/>
        </w:rPr>
        <w:instrText xml:space="preserve"> TC "</w:instrText>
      </w:r>
      <w:bookmarkStart w:id="669" w:name="_Toc325975252"/>
      <w:bookmarkStart w:id="670" w:name="_Toc390690272"/>
      <w:r w:rsidR="00BE08AB" w:rsidRPr="000F7A6F">
        <w:rPr>
          <w:bCs w:val="0"/>
          <w:i w:val="0"/>
        </w:rPr>
        <w:instrText xml:space="preserve">Figure </w:instrText>
      </w:r>
      <w:r w:rsidR="000D653B">
        <w:rPr>
          <w:bCs w:val="0"/>
          <w:i w:val="0"/>
        </w:rPr>
        <w:instrText>9-4</w:instrText>
      </w:r>
      <w:r w:rsidR="00870E0B" w:rsidRPr="000F7A6F">
        <w:rPr>
          <w:bCs w:val="0"/>
          <w:i w:val="0"/>
        </w:rPr>
        <w:instrText xml:space="preserve">. </w:instrText>
      </w:r>
      <w:r w:rsidR="000F7A6F" w:rsidRPr="000F7A6F">
        <w:rPr>
          <w:i w:val="0"/>
        </w:rPr>
        <w:instrText xml:space="preserve">Predicted groundwater </w:instrText>
      </w:r>
      <w:r w:rsidR="000641F5">
        <w:rPr>
          <w:i w:val="0"/>
        </w:rPr>
        <w:instrText>salinity</w:instrText>
      </w:r>
      <w:r w:rsidR="000F7A6F" w:rsidRPr="000F7A6F">
        <w:rPr>
          <w:i w:val="0"/>
        </w:rPr>
        <w:instrText xml:space="preserve"> </w:instrText>
      </w:r>
      <w:r w:rsidR="00836633">
        <w:rPr>
          <w:i w:val="0"/>
        </w:rPr>
        <w:instrText xml:space="preserve">for the 43.5-51.5 m depth slice </w:instrText>
      </w:r>
      <w:r w:rsidR="000F7A6F" w:rsidRPr="000F7A6F">
        <w:rPr>
          <w:i w:val="0"/>
        </w:rPr>
        <w:instrText>at Larloona</w:instrText>
      </w:r>
      <w:bookmarkEnd w:id="669"/>
      <w:r w:rsidR="003721DD" w:rsidRPr="000F7A6F">
        <w:rPr>
          <w:bCs w:val="0"/>
          <w:i w:val="0"/>
        </w:rPr>
        <w:instrText>.</w:instrText>
      </w:r>
      <w:bookmarkEnd w:id="670"/>
      <w:r w:rsidR="00BE08AB" w:rsidRPr="000F7A6F">
        <w:rPr>
          <w:bCs w:val="0"/>
          <w:i w:val="0"/>
        </w:rPr>
        <w:instrText xml:space="preserve">" \f A \l “4” </w:instrText>
      </w:r>
      <w:r w:rsidR="00BE08AB" w:rsidRPr="000F7A6F">
        <w:rPr>
          <w:bCs w:val="0"/>
          <w:i w:val="0"/>
        </w:rPr>
        <w:fldChar w:fldCharType="end"/>
      </w:r>
    </w:p>
    <w:p w:rsidR="000F7173" w:rsidRPr="000F7173" w:rsidRDefault="000F7173" w:rsidP="000F7173">
      <w:pPr>
        <w:rPr>
          <w:szCs w:val="22"/>
        </w:rPr>
      </w:pPr>
      <w:bookmarkStart w:id="671" w:name="_Ref325709822"/>
    </w:p>
    <w:p w:rsidR="000F7173" w:rsidRPr="000F7173" w:rsidRDefault="000F7173" w:rsidP="000F7173">
      <w:pPr>
        <w:rPr>
          <w:szCs w:val="22"/>
        </w:rPr>
      </w:pPr>
    </w:p>
    <w:p w:rsidR="000F7173" w:rsidRDefault="000F7173" w:rsidP="000F7173">
      <w:pPr>
        <w:rPr>
          <w:szCs w:val="22"/>
        </w:rPr>
      </w:pPr>
    </w:p>
    <w:p w:rsidR="000F7173" w:rsidRPr="000F7173" w:rsidRDefault="000F7173" w:rsidP="000F7173">
      <w:pPr>
        <w:rPr>
          <w:szCs w:val="22"/>
        </w:rPr>
      </w:pPr>
    </w:p>
    <w:p w:rsidR="00B40359" w:rsidRPr="005D47D0" w:rsidRDefault="00B40359" w:rsidP="00F12C87">
      <w:pPr>
        <w:pStyle w:val="Caption"/>
        <w:spacing w:before="0" w:after="120"/>
        <w:rPr>
          <w:i w:val="0"/>
          <w:szCs w:val="22"/>
        </w:rPr>
      </w:pPr>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4</w:t>
      </w:r>
      <w:r w:rsidR="00B96C96">
        <w:rPr>
          <w:b/>
        </w:rPr>
        <w:fldChar w:fldCharType="end"/>
      </w:r>
      <w:bookmarkEnd w:id="671"/>
      <w:r w:rsidRPr="00CD2825">
        <w:rPr>
          <w:b/>
        </w:rPr>
        <w:t>.</w:t>
      </w:r>
      <w:r>
        <w:t xml:space="preserve"> </w:t>
      </w:r>
      <w:r w:rsidRPr="00E823BA">
        <w:rPr>
          <w:szCs w:val="22"/>
        </w:rPr>
        <w:t>Indicative groundwater volume estimates for the Larloona palaeochannel potential borefield in the GWR4 target.</w:t>
      </w:r>
      <w:r w:rsidRPr="00395AD1">
        <w:t xml:space="preserve"> </w:t>
      </w:r>
      <w:r w:rsidRPr="007960BF">
        <w:rPr>
          <w:i w:val="0"/>
        </w:rPr>
        <w:fldChar w:fldCharType="begin"/>
      </w:r>
      <w:r w:rsidRPr="007960BF">
        <w:rPr>
          <w:i w:val="0"/>
        </w:rPr>
        <w:instrText xml:space="preserve"> TC "</w:instrText>
      </w:r>
      <w:bookmarkStart w:id="672" w:name="_Toc325975316"/>
      <w:bookmarkStart w:id="673" w:name="_Toc390690305"/>
      <w:r w:rsidRPr="007960BF">
        <w:rPr>
          <w:i w:val="0"/>
        </w:rPr>
        <w:instrText xml:space="preserve">Table </w:instrText>
      </w:r>
      <w:r w:rsidR="000D653B">
        <w:rPr>
          <w:i w:val="0"/>
        </w:rPr>
        <w:instrText>9-4</w:instrText>
      </w:r>
      <w:r w:rsidR="00DE0DFA">
        <w:rPr>
          <w:i w:val="0"/>
        </w:rPr>
        <w:instrText>.</w:instrText>
      </w:r>
      <w:r w:rsidRPr="007960BF">
        <w:rPr>
          <w:i w:val="0"/>
        </w:rPr>
        <w:instrText xml:space="preserve"> </w:instrText>
      </w:r>
      <w:r w:rsidRPr="007960BF">
        <w:rPr>
          <w:i w:val="0"/>
          <w:szCs w:val="22"/>
        </w:rPr>
        <w:instrText>Indicative groundwater volume estimates for the Larloona palaeochannel potential borefield in the GWR4 target</w:instrText>
      </w:r>
      <w:bookmarkEnd w:id="672"/>
      <w:r w:rsidR="003721DD">
        <w:rPr>
          <w:i w:val="0"/>
        </w:rPr>
        <w:instrText>.</w:instrText>
      </w:r>
      <w:bookmarkEnd w:id="673"/>
      <w:r w:rsidRPr="007960BF">
        <w:rPr>
          <w:i w:val="0"/>
        </w:rPr>
        <w:instrText xml:space="preserve">" \f B \l "4" </w:instrText>
      </w:r>
      <w:r w:rsidRPr="007960BF">
        <w:rPr>
          <w:i w:val="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239"/>
        <w:gridCol w:w="1719"/>
        <w:gridCol w:w="1860"/>
        <w:gridCol w:w="1639"/>
        <w:gridCol w:w="1933"/>
      </w:tblGrid>
      <w:tr w:rsidR="00BA07FB" w:rsidRPr="000D653B" w:rsidTr="000641F5">
        <w:trPr>
          <w:trHeight w:val="562"/>
          <w:jc w:val="center"/>
        </w:trPr>
        <w:tc>
          <w:tcPr>
            <w:tcW w:w="2239" w:type="dxa"/>
            <w:tcBorders>
              <w:top w:val="single" w:sz="4" w:space="0" w:color="auto"/>
              <w:left w:val="single" w:sz="4" w:space="0" w:color="auto"/>
              <w:bottom w:val="single" w:sz="4" w:space="0" w:color="auto"/>
              <w:right w:val="single" w:sz="4" w:space="0" w:color="auto"/>
            </w:tcBorders>
            <w:shd w:val="clear" w:color="auto" w:fill="999999"/>
            <w:vAlign w:val="center"/>
          </w:tcPr>
          <w:p w:rsidR="00BA07FB" w:rsidRPr="000D653B" w:rsidRDefault="00BA07FB" w:rsidP="00F830A9">
            <w:pPr>
              <w:jc w:val="center"/>
              <w:rPr>
                <w:b/>
                <w:bCs/>
                <w:color w:val="000000"/>
                <w:sz w:val="18"/>
                <w:szCs w:val="18"/>
              </w:rPr>
            </w:pPr>
            <w:r w:rsidRPr="000D653B">
              <w:rPr>
                <w:b/>
                <w:bCs/>
                <w:color w:val="000000"/>
                <w:sz w:val="18"/>
                <w:szCs w:val="18"/>
              </w:rPr>
              <w:t>Borefield Target</w:t>
            </w:r>
          </w:p>
        </w:tc>
        <w:tc>
          <w:tcPr>
            <w:tcW w:w="1719" w:type="dxa"/>
            <w:tcBorders>
              <w:top w:val="single" w:sz="4" w:space="0" w:color="auto"/>
              <w:left w:val="single" w:sz="4" w:space="0" w:color="auto"/>
              <w:bottom w:val="single" w:sz="4" w:space="0" w:color="auto"/>
              <w:right w:val="single" w:sz="4" w:space="0" w:color="auto"/>
            </w:tcBorders>
            <w:shd w:val="clear" w:color="auto" w:fill="999999"/>
            <w:vAlign w:val="center"/>
          </w:tcPr>
          <w:p w:rsidR="00BA07FB" w:rsidRPr="000D653B" w:rsidRDefault="000641F5" w:rsidP="00F830A9">
            <w:pPr>
              <w:jc w:val="center"/>
              <w:rPr>
                <w:b/>
                <w:bCs/>
                <w:color w:val="000000"/>
                <w:sz w:val="18"/>
                <w:szCs w:val="18"/>
              </w:rPr>
            </w:pPr>
            <w:r>
              <w:rPr>
                <w:b/>
                <w:bCs/>
                <w:color w:val="000000"/>
                <w:sz w:val="18"/>
                <w:szCs w:val="18"/>
              </w:rPr>
              <w:t xml:space="preserve">Predicted </w:t>
            </w:r>
            <w:r w:rsidR="00BA07FB" w:rsidRPr="000D653B">
              <w:rPr>
                <w:b/>
                <w:bCs/>
                <w:color w:val="000000"/>
                <w:sz w:val="18"/>
                <w:szCs w:val="18"/>
              </w:rPr>
              <w:t>Water Quality Class</w:t>
            </w:r>
          </w:p>
        </w:tc>
        <w:tc>
          <w:tcPr>
            <w:tcW w:w="1860" w:type="dxa"/>
            <w:tcBorders>
              <w:top w:val="single" w:sz="4" w:space="0" w:color="auto"/>
              <w:left w:val="single" w:sz="4" w:space="0" w:color="auto"/>
              <w:bottom w:val="single" w:sz="4" w:space="0" w:color="auto"/>
              <w:right w:val="single" w:sz="4" w:space="0" w:color="auto"/>
            </w:tcBorders>
            <w:shd w:val="clear" w:color="auto" w:fill="999999"/>
            <w:vAlign w:val="center"/>
          </w:tcPr>
          <w:p w:rsidR="00F830A9" w:rsidRDefault="00BA07FB" w:rsidP="00F830A9">
            <w:pPr>
              <w:jc w:val="center"/>
              <w:rPr>
                <w:b/>
                <w:bCs/>
                <w:color w:val="000000"/>
                <w:sz w:val="18"/>
                <w:szCs w:val="18"/>
              </w:rPr>
            </w:pPr>
            <w:r w:rsidRPr="000D653B">
              <w:rPr>
                <w:b/>
                <w:bCs/>
                <w:color w:val="000000"/>
                <w:sz w:val="18"/>
                <w:szCs w:val="18"/>
              </w:rPr>
              <w:t>Lower Quartile Groundwater Volume</w:t>
            </w:r>
          </w:p>
          <w:p w:rsidR="00F830A9" w:rsidRDefault="00F830A9" w:rsidP="00F830A9">
            <w:pPr>
              <w:jc w:val="center"/>
              <w:rPr>
                <w:b/>
                <w:bCs/>
                <w:color w:val="000000"/>
                <w:sz w:val="18"/>
                <w:szCs w:val="18"/>
              </w:rPr>
            </w:pPr>
          </w:p>
          <w:p w:rsidR="00BA07FB" w:rsidRPr="000D653B" w:rsidRDefault="00BA07FB" w:rsidP="00F830A9">
            <w:pPr>
              <w:jc w:val="center"/>
              <w:rPr>
                <w:b/>
                <w:bCs/>
                <w:color w:val="000000"/>
                <w:sz w:val="18"/>
                <w:szCs w:val="18"/>
              </w:rPr>
            </w:pPr>
            <w:r w:rsidRPr="000D653B">
              <w:rPr>
                <w:b/>
                <w:bCs/>
                <w:color w:val="000000"/>
                <w:sz w:val="18"/>
                <w:szCs w:val="18"/>
              </w:rPr>
              <w:t>(GL)</w:t>
            </w:r>
          </w:p>
        </w:tc>
        <w:tc>
          <w:tcPr>
            <w:tcW w:w="1639" w:type="dxa"/>
            <w:tcBorders>
              <w:top w:val="single" w:sz="4" w:space="0" w:color="auto"/>
              <w:left w:val="single" w:sz="4" w:space="0" w:color="auto"/>
              <w:bottom w:val="single" w:sz="4" w:space="0" w:color="auto"/>
              <w:right w:val="single" w:sz="4" w:space="0" w:color="auto"/>
            </w:tcBorders>
            <w:shd w:val="clear" w:color="auto" w:fill="999999"/>
            <w:vAlign w:val="center"/>
          </w:tcPr>
          <w:p w:rsidR="00F830A9" w:rsidRDefault="00BA07FB" w:rsidP="00F830A9">
            <w:pPr>
              <w:jc w:val="center"/>
              <w:rPr>
                <w:b/>
                <w:bCs/>
                <w:color w:val="000000"/>
                <w:sz w:val="18"/>
                <w:szCs w:val="18"/>
              </w:rPr>
            </w:pPr>
            <w:r w:rsidRPr="000D653B">
              <w:rPr>
                <w:b/>
                <w:bCs/>
                <w:color w:val="000000"/>
                <w:sz w:val="18"/>
                <w:szCs w:val="18"/>
              </w:rPr>
              <w:t>Median Groundwater Volume</w:t>
            </w:r>
          </w:p>
          <w:p w:rsidR="00BA07FB" w:rsidRPr="000D653B" w:rsidRDefault="00BA07FB" w:rsidP="00F830A9">
            <w:pPr>
              <w:jc w:val="center"/>
              <w:rPr>
                <w:b/>
                <w:bCs/>
                <w:color w:val="000000"/>
                <w:sz w:val="18"/>
                <w:szCs w:val="18"/>
              </w:rPr>
            </w:pPr>
            <w:r w:rsidRPr="000D653B">
              <w:rPr>
                <w:b/>
                <w:bCs/>
                <w:color w:val="000000"/>
                <w:sz w:val="18"/>
                <w:szCs w:val="18"/>
              </w:rPr>
              <w:t>(</w:t>
            </w:r>
            <w:r w:rsidR="007C45E4" w:rsidRPr="000D653B">
              <w:rPr>
                <w:b/>
                <w:bCs/>
                <w:color w:val="000000"/>
                <w:sz w:val="18"/>
                <w:szCs w:val="18"/>
              </w:rPr>
              <w:t>GL</w:t>
            </w:r>
            <w:r w:rsidRPr="000D653B">
              <w:rPr>
                <w:b/>
                <w:bCs/>
                <w:color w:val="000000"/>
                <w:sz w:val="18"/>
                <w:szCs w:val="18"/>
              </w:rPr>
              <w:t>)</w:t>
            </w:r>
          </w:p>
        </w:tc>
        <w:tc>
          <w:tcPr>
            <w:tcW w:w="1933" w:type="dxa"/>
            <w:tcBorders>
              <w:top w:val="single" w:sz="4" w:space="0" w:color="auto"/>
              <w:left w:val="single" w:sz="4" w:space="0" w:color="auto"/>
              <w:bottom w:val="single" w:sz="4" w:space="0" w:color="auto"/>
              <w:right w:val="single" w:sz="4" w:space="0" w:color="auto"/>
            </w:tcBorders>
            <w:shd w:val="clear" w:color="auto" w:fill="999999"/>
            <w:vAlign w:val="center"/>
          </w:tcPr>
          <w:p w:rsidR="00F830A9" w:rsidRDefault="00BA07FB" w:rsidP="00F830A9">
            <w:pPr>
              <w:jc w:val="center"/>
              <w:rPr>
                <w:b/>
                <w:bCs/>
                <w:color w:val="000000"/>
                <w:sz w:val="18"/>
                <w:szCs w:val="18"/>
              </w:rPr>
            </w:pPr>
            <w:r w:rsidRPr="000D653B">
              <w:rPr>
                <w:b/>
                <w:bCs/>
                <w:color w:val="000000"/>
                <w:sz w:val="18"/>
                <w:szCs w:val="18"/>
              </w:rPr>
              <w:t>Upper Quartile Groundwater Volume</w:t>
            </w:r>
          </w:p>
          <w:p w:rsidR="00F830A9" w:rsidRDefault="00F830A9" w:rsidP="00F830A9">
            <w:pPr>
              <w:jc w:val="center"/>
              <w:rPr>
                <w:b/>
                <w:bCs/>
                <w:color w:val="000000"/>
                <w:sz w:val="18"/>
                <w:szCs w:val="18"/>
              </w:rPr>
            </w:pPr>
          </w:p>
          <w:p w:rsidR="00BA07FB" w:rsidRPr="000D653B" w:rsidRDefault="00BA07FB" w:rsidP="00F830A9">
            <w:pPr>
              <w:jc w:val="center"/>
              <w:rPr>
                <w:b/>
                <w:bCs/>
                <w:color w:val="000000"/>
                <w:sz w:val="18"/>
                <w:szCs w:val="18"/>
              </w:rPr>
            </w:pPr>
            <w:r w:rsidRPr="000D653B">
              <w:rPr>
                <w:b/>
                <w:bCs/>
                <w:color w:val="000000"/>
                <w:sz w:val="18"/>
                <w:szCs w:val="18"/>
              </w:rPr>
              <w:t>(GL)</w:t>
            </w:r>
          </w:p>
        </w:tc>
      </w:tr>
      <w:tr w:rsidR="00BA07FB" w:rsidRPr="000D653B" w:rsidTr="00BA07FB">
        <w:trPr>
          <w:trHeight w:val="562"/>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rPr>
                <w:sz w:val="18"/>
                <w:szCs w:val="18"/>
              </w:rPr>
            </w:pPr>
            <w:r w:rsidRPr="000D653B">
              <w:rPr>
                <w:sz w:val="18"/>
                <w:szCs w:val="18"/>
              </w:rPr>
              <w:t>GWR4-L1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rPr>
                <w:sz w:val="18"/>
                <w:szCs w:val="18"/>
              </w:rPr>
            </w:pPr>
            <w:r w:rsidRPr="000D653B">
              <w:rPr>
                <w:sz w:val="18"/>
                <w:szCs w:val="18"/>
              </w:rPr>
              <w:t xml:space="preserve"> &lt;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70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110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150</w:t>
            </w:r>
          </w:p>
        </w:tc>
      </w:tr>
      <w:tr w:rsidR="00BA07FB" w:rsidRPr="000D653B" w:rsidTr="00BA07FB">
        <w:trPr>
          <w:trHeight w:val="562"/>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rPr>
                <w:sz w:val="18"/>
                <w:szCs w:val="18"/>
              </w:rPr>
            </w:pPr>
            <w:r w:rsidRPr="000D653B">
              <w:rPr>
                <w:sz w:val="18"/>
                <w:szCs w:val="18"/>
              </w:rPr>
              <w:t>GWR4-L1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rPr>
                <w:sz w:val="18"/>
                <w:szCs w:val="18"/>
              </w:rPr>
            </w:pPr>
            <w:r w:rsidRPr="000D653B">
              <w:rPr>
                <w:sz w:val="18"/>
                <w:szCs w:val="18"/>
              </w:rPr>
              <w:t xml:space="preserve"> 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50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80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110</w:t>
            </w:r>
          </w:p>
        </w:tc>
      </w:tr>
      <w:tr w:rsidR="00BA07FB" w:rsidRPr="000D653B" w:rsidTr="00BA07FB">
        <w:trPr>
          <w:trHeight w:val="562"/>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rPr>
                <w:sz w:val="18"/>
                <w:szCs w:val="18"/>
              </w:rPr>
            </w:pPr>
            <w:r w:rsidRPr="000D653B">
              <w:rPr>
                <w:sz w:val="18"/>
                <w:szCs w:val="18"/>
              </w:rPr>
              <w:t>GWR4-L1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rPr>
                <w:sz w:val="18"/>
                <w:szCs w:val="18"/>
              </w:rPr>
            </w:pPr>
            <w:r w:rsidRPr="000D653B">
              <w:rPr>
                <w:sz w:val="18"/>
                <w:szCs w:val="18"/>
              </w:rPr>
              <w:t xml:space="preserve"> 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40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BA07FB" w:rsidRPr="000D653B" w:rsidRDefault="00BA07FB" w:rsidP="00BA07FB">
            <w:pPr>
              <w:jc w:val="center"/>
              <w:rPr>
                <w:sz w:val="18"/>
                <w:szCs w:val="18"/>
              </w:rPr>
            </w:pPr>
            <w:r w:rsidRPr="000D653B">
              <w:rPr>
                <w:sz w:val="18"/>
                <w:szCs w:val="18"/>
              </w:rPr>
              <w:t>60</w:t>
            </w:r>
          </w:p>
        </w:tc>
      </w:tr>
      <w:tr w:rsidR="00BA07FB" w:rsidRPr="000D653B" w:rsidTr="00BA07FB">
        <w:trPr>
          <w:trHeight w:val="562"/>
          <w:jc w:val="center"/>
        </w:trPr>
        <w:tc>
          <w:tcPr>
            <w:tcW w:w="2239" w:type="dxa"/>
            <w:tcBorders>
              <w:top w:val="single" w:sz="4" w:space="0" w:color="auto"/>
              <w:left w:val="single" w:sz="4" w:space="0" w:color="auto"/>
              <w:bottom w:val="single" w:sz="4" w:space="0" w:color="auto"/>
              <w:right w:val="single" w:sz="4" w:space="0" w:color="auto"/>
            </w:tcBorders>
            <w:shd w:val="clear" w:color="auto" w:fill="E0E0E0"/>
            <w:vAlign w:val="center"/>
          </w:tcPr>
          <w:p w:rsidR="00BA07FB" w:rsidRPr="000D653B" w:rsidRDefault="00BA07FB" w:rsidP="00BA07FB">
            <w:pPr>
              <w:rPr>
                <w:b/>
                <w:bCs/>
                <w:sz w:val="18"/>
                <w:szCs w:val="18"/>
              </w:rPr>
            </w:pPr>
            <w:r w:rsidRPr="000D653B">
              <w:rPr>
                <w:b/>
                <w:bCs/>
                <w:sz w:val="18"/>
                <w:szCs w:val="18"/>
              </w:rPr>
              <w:t xml:space="preserve">Larloona </w:t>
            </w:r>
            <w:r w:rsidR="007C45E4" w:rsidRPr="000D653B">
              <w:rPr>
                <w:b/>
                <w:bCs/>
                <w:sz w:val="18"/>
                <w:szCs w:val="18"/>
              </w:rPr>
              <w:t>Borefield</w:t>
            </w:r>
            <w:r w:rsidRPr="000D653B">
              <w:rPr>
                <w:b/>
                <w:bCs/>
                <w:sz w:val="18"/>
                <w:szCs w:val="18"/>
              </w:rPr>
              <w:t xml:space="preserve"> (Total)</w:t>
            </w:r>
          </w:p>
        </w:tc>
        <w:tc>
          <w:tcPr>
            <w:tcW w:w="1719" w:type="dxa"/>
            <w:tcBorders>
              <w:top w:val="single" w:sz="4" w:space="0" w:color="auto"/>
              <w:left w:val="single" w:sz="4" w:space="0" w:color="auto"/>
              <w:bottom w:val="single" w:sz="4" w:space="0" w:color="auto"/>
              <w:right w:val="single" w:sz="4" w:space="0" w:color="auto"/>
            </w:tcBorders>
            <w:shd w:val="clear" w:color="auto" w:fill="E0E0E0"/>
            <w:vAlign w:val="center"/>
          </w:tcPr>
          <w:p w:rsidR="00BA07FB" w:rsidRPr="000D653B" w:rsidRDefault="00BA07FB" w:rsidP="00BA07FB">
            <w:pPr>
              <w:jc w:val="center"/>
              <w:rPr>
                <w:b/>
                <w:bCs/>
                <w:sz w:val="18"/>
                <w:szCs w:val="18"/>
              </w:rPr>
            </w:pPr>
            <w:r w:rsidRPr="000D653B">
              <w:rPr>
                <w:b/>
                <w:bCs/>
                <w:sz w:val="18"/>
                <w:szCs w:val="18"/>
              </w:rPr>
              <w:t>&lt; 3</w:t>
            </w:r>
            <w:r w:rsidR="00F830A9">
              <w:rPr>
                <w:b/>
                <w:bCs/>
                <w:sz w:val="18"/>
                <w:szCs w:val="18"/>
              </w:rPr>
              <w:t>,</w:t>
            </w:r>
            <w:r w:rsidRPr="000D653B">
              <w:rPr>
                <w:b/>
                <w:bCs/>
                <w:sz w:val="18"/>
                <w:szCs w:val="18"/>
              </w:rPr>
              <w:t>000 mg/L</w:t>
            </w:r>
          </w:p>
        </w:tc>
        <w:tc>
          <w:tcPr>
            <w:tcW w:w="1860" w:type="dxa"/>
            <w:tcBorders>
              <w:top w:val="single" w:sz="4" w:space="0" w:color="auto"/>
              <w:left w:val="single" w:sz="4" w:space="0" w:color="auto"/>
              <w:bottom w:val="single" w:sz="4" w:space="0" w:color="auto"/>
              <w:right w:val="single" w:sz="4" w:space="0" w:color="auto"/>
            </w:tcBorders>
            <w:shd w:val="clear" w:color="auto" w:fill="E0E0E0"/>
            <w:vAlign w:val="center"/>
          </w:tcPr>
          <w:p w:rsidR="00BA07FB" w:rsidRPr="000D653B" w:rsidRDefault="00BA07FB" w:rsidP="00BA07FB">
            <w:pPr>
              <w:jc w:val="center"/>
              <w:rPr>
                <w:b/>
                <w:bCs/>
                <w:sz w:val="18"/>
                <w:szCs w:val="18"/>
              </w:rPr>
            </w:pPr>
            <w:r w:rsidRPr="000D653B">
              <w:rPr>
                <w:b/>
                <w:bCs/>
                <w:sz w:val="18"/>
                <w:szCs w:val="18"/>
              </w:rPr>
              <w:t>150</w:t>
            </w:r>
          </w:p>
        </w:tc>
        <w:tc>
          <w:tcPr>
            <w:tcW w:w="1639" w:type="dxa"/>
            <w:tcBorders>
              <w:top w:val="single" w:sz="4" w:space="0" w:color="auto"/>
              <w:left w:val="single" w:sz="4" w:space="0" w:color="auto"/>
              <w:bottom w:val="single" w:sz="4" w:space="0" w:color="auto"/>
              <w:right w:val="single" w:sz="4" w:space="0" w:color="auto"/>
            </w:tcBorders>
            <w:shd w:val="clear" w:color="auto" w:fill="E0E0E0"/>
            <w:vAlign w:val="center"/>
          </w:tcPr>
          <w:p w:rsidR="00BA07FB" w:rsidRPr="000D653B" w:rsidRDefault="00BA07FB" w:rsidP="00BA07FB">
            <w:pPr>
              <w:jc w:val="center"/>
              <w:rPr>
                <w:b/>
                <w:bCs/>
                <w:sz w:val="18"/>
                <w:szCs w:val="18"/>
              </w:rPr>
            </w:pPr>
            <w:r w:rsidRPr="000D653B">
              <w:rPr>
                <w:b/>
                <w:bCs/>
                <w:sz w:val="18"/>
                <w:szCs w:val="18"/>
              </w:rPr>
              <w:t>230</w:t>
            </w:r>
          </w:p>
        </w:tc>
        <w:tc>
          <w:tcPr>
            <w:tcW w:w="1933" w:type="dxa"/>
            <w:tcBorders>
              <w:top w:val="single" w:sz="4" w:space="0" w:color="auto"/>
              <w:left w:val="single" w:sz="4" w:space="0" w:color="auto"/>
              <w:bottom w:val="single" w:sz="4" w:space="0" w:color="auto"/>
              <w:right w:val="single" w:sz="4" w:space="0" w:color="auto"/>
            </w:tcBorders>
            <w:shd w:val="clear" w:color="auto" w:fill="E0E0E0"/>
            <w:vAlign w:val="center"/>
          </w:tcPr>
          <w:p w:rsidR="00BA07FB" w:rsidRPr="000D653B" w:rsidRDefault="00BA07FB" w:rsidP="00BA07FB">
            <w:pPr>
              <w:jc w:val="center"/>
              <w:rPr>
                <w:b/>
                <w:bCs/>
                <w:sz w:val="18"/>
                <w:szCs w:val="18"/>
              </w:rPr>
            </w:pPr>
            <w:r w:rsidRPr="000D653B">
              <w:rPr>
                <w:b/>
                <w:bCs/>
                <w:sz w:val="18"/>
                <w:szCs w:val="18"/>
              </w:rPr>
              <w:t>320</w:t>
            </w:r>
          </w:p>
        </w:tc>
      </w:tr>
    </w:tbl>
    <w:p w:rsidR="003B3C54" w:rsidRPr="007F343E" w:rsidRDefault="003B3C54" w:rsidP="003B3C54">
      <w:pPr>
        <w:spacing w:before="120" w:after="120"/>
        <w:rPr>
          <w:sz w:val="20"/>
          <w:szCs w:val="20"/>
        </w:rPr>
      </w:pPr>
      <w:r w:rsidRPr="007F343E">
        <w:rPr>
          <w:sz w:val="20"/>
          <w:szCs w:val="20"/>
        </w:rPr>
        <w:t xml:space="preserve">Notes: </w:t>
      </w:r>
      <w:r>
        <w:rPr>
          <w:sz w:val="20"/>
          <w:szCs w:val="20"/>
        </w:rPr>
        <w:t xml:space="preserve">These groundwater volumes are indicative estimates only. </w:t>
      </w:r>
      <w:r w:rsidRPr="007F343E">
        <w:rPr>
          <w:sz w:val="20"/>
          <w:szCs w:val="20"/>
        </w:rPr>
        <w:t>Groundwater storage volumes do not equate to extractable</w:t>
      </w:r>
      <w:r>
        <w:rPr>
          <w:sz w:val="20"/>
          <w:szCs w:val="20"/>
        </w:rPr>
        <w:t xml:space="preserve"> groundwater volumes, which would</w:t>
      </w:r>
      <w:r w:rsidRPr="007F343E">
        <w:rPr>
          <w:sz w:val="20"/>
          <w:szCs w:val="20"/>
        </w:rPr>
        <w:t xml:space="preserve"> be smaller </w:t>
      </w:r>
      <w:r w:rsidR="00E33C41">
        <w:rPr>
          <w:sz w:val="20"/>
          <w:szCs w:val="20"/>
        </w:rPr>
        <w:t xml:space="preserve">than </w:t>
      </w:r>
      <w:r w:rsidRPr="007F343E">
        <w:rPr>
          <w:sz w:val="20"/>
          <w:szCs w:val="20"/>
        </w:rPr>
        <w:t>these estimates</w:t>
      </w:r>
      <w:r>
        <w:rPr>
          <w:sz w:val="20"/>
          <w:szCs w:val="20"/>
        </w:rPr>
        <w:t>.</w:t>
      </w:r>
    </w:p>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3B3C54" w:rsidRDefault="003B3C54" w:rsidP="00B40359"/>
    <w:p w:rsidR="00F12C87" w:rsidRPr="00F12C87" w:rsidRDefault="005B1337" w:rsidP="00F12C87">
      <w:pPr>
        <w:pStyle w:val="Caption"/>
        <w:spacing w:before="0" w:after="120"/>
        <w:rPr>
          <w:i w:val="0"/>
          <w:szCs w:val="22"/>
        </w:rPr>
      </w:pPr>
      <w:bookmarkStart w:id="674" w:name="_Ref325913831"/>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5</w:t>
      </w:r>
      <w:r w:rsidR="00B96C96">
        <w:rPr>
          <w:b/>
        </w:rPr>
        <w:fldChar w:fldCharType="end"/>
      </w:r>
      <w:bookmarkEnd w:id="674"/>
      <w:r w:rsidRPr="00CD2825">
        <w:rPr>
          <w:b/>
        </w:rPr>
        <w:t>.</w:t>
      </w:r>
      <w:r>
        <w:t xml:space="preserve"> </w:t>
      </w:r>
      <w:r w:rsidR="001B5377">
        <w:t xml:space="preserve">Aquifer characteristics </w:t>
      </w:r>
      <w:r w:rsidR="001B5377" w:rsidRPr="00E823BA">
        <w:t>for the Larloona palaeochannel potential borefield in the GWR4 target.</w:t>
      </w:r>
      <w:r w:rsidR="001B5377" w:rsidRPr="00395AD1">
        <w:t xml:space="preserve"> </w:t>
      </w:r>
      <w:r w:rsidR="001B5377" w:rsidRPr="00CB7EA6">
        <w:rPr>
          <w:i w:val="0"/>
        </w:rPr>
        <w:fldChar w:fldCharType="begin"/>
      </w:r>
      <w:r w:rsidR="001B5377" w:rsidRPr="00CB7EA6">
        <w:rPr>
          <w:i w:val="0"/>
        </w:rPr>
        <w:instrText xml:space="preserve"> TC "</w:instrText>
      </w:r>
      <w:bookmarkStart w:id="675" w:name="_Toc325975317"/>
      <w:bookmarkStart w:id="676" w:name="_Toc390690306"/>
      <w:r w:rsidR="001B5377" w:rsidRPr="00CB7EA6">
        <w:rPr>
          <w:i w:val="0"/>
        </w:rPr>
        <w:instrText xml:space="preserve">Table </w:instrText>
      </w:r>
      <w:r w:rsidR="000D653B">
        <w:rPr>
          <w:i w:val="0"/>
        </w:rPr>
        <w:instrText>9-5</w:instrText>
      </w:r>
      <w:r w:rsidR="00DE0DFA" w:rsidRPr="00CB7EA6">
        <w:rPr>
          <w:i w:val="0"/>
        </w:rPr>
        <w:instrText>.</w:instrText>
      </w:r>
      <w:r w:rsidR="001B5377" w:rsidRPr="00CB7EA6">
        <w:rPr>
          <w:i w:val="0"/>
        </w:rPr>
        <w:instrText xml:space="preserve"> Aquifer characteristics for the Larloona palaeochannel potential borefield in the GWR4 target.</w:instrText>
      </w:r>
      <w:bookmarkEnd w:id="675"/>
      <w:bookmarkEnd w:id="676"/>
      <w:r w:rsidR="001B5377" w:rsidRPr="00CB7EA6">
        <w:rPr>
          <w:i w:val="0"/>
        </w:rPr>
        <w:instrText xml:space="preserve">" \f B \l "4" </w:instrText>
      </w:r>
      <w:r w:rsidR="001B5377" w:rsidRPr="00CB7EA6">
        <w:rPr>
          <w:i w:val="0"/>
        </w:rPr>
        <w:fldChar w:fldCharType="end"/>
      </w: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3600"/>
        <w:gridCol w:w="3780"/>
      </w:tblGrid>
      <w:tr w:rsidR="00F12C87" w:rsidRPr="003B3C54" w:rsidTr="000641F5">
        <w:tc>
          <w:tcPr>
            <w:tcW w:w="2340" w:type="dxa"/>
            <w:tcBorders>
              <w:top w:val="nil"/>
              <w:left w:val="nil"/>
              <w:bottom w:val="single" w:sz="4" w:space="0" w:color="auto"/>
            </w:tcBorders>
            <w:shd w:val="clear" w:color="auto" w:fill="auto"/>
            <w:vAlign w:val="center"/>
          </w:tcPr>
          <w:p w:rsidR="00F12C87" w:rsidRPr="003B3C54" w:rsidRDefault="00F12C87" w:rsidP="000641F5">
            <w:pPr>
              <w:jc w:val="center"/>
              <w:rPr>
                <w:sz w:val="18"/>
                <w:szCs w:val="18"/>
              </w:rPr>
            </w:pPr>
          </w:p>
        </w:tc>
        <w:tc>
          <w:tcPr>
            <w:tcW w:w="3600" w:type="dxa"/>
            <w:shd w:val="clear" w:color="auto" w:fill="A6A6A6"/>
          </w:tcPr>
          <w:p w:rsidR="00F12C87" w:rsidRPr="003B3C54" w:rsidRDefault="00F12C87" w:rsidP="00F47372">
            <w:pPr>
              <w:jc w:val="center"/>
              <w:rPr>
                <w:b/>
                <w:sz w:val="18"/>
                <w:szCs w:val="18"/>
              </w:rPr>
            </w:pPr>
            <w:r w:rsidRPr="003B3C54">
              <w:rPr>
                <w:b/>
                <w:sz w:val="18"/>
                <w:szCs w:val="18"/>
              </w:rPr>
              <w:t>Description</w:t>
            </w:r>
          </w:p>
          <w:p w:rsidR="00F12C87" w:rsidRPr="003B3C54" w:rsidRDefault="00F12C87" w:rsidP="00F47372">
            <w:pPr>
              <w:jc w:val="center"/>
              <w:rPr>
                <w:b/>
                <w:sz w:val="18"/>
                <w:szCs w:val="18"/>
              </w:rPr>
            </w:pPr>
          </w:p>
        </w:tc>
        <w:tc>
          <w:tcPr>
            <w:tcW w:w="3780" w:type="dxa"/>
            <w:shd w:val="clear" w:color="auto" w:fill="A6A6A6"/>
          </w:tcPr>
          <w:p w:rsidR="00F12C87" w:rsidRPr="003B3C54" w:rsidRDefault="00F12C87" w:rsidP="00F47372">
            <w:pPr>
              <w:jc w:val="center"/>
              <w:rPr>
                <w:b/>
                <w:sz w:val="18"/>
                <w:szCs w:val="18"/>
              </w:rPr>
            </w:pPr>
            <w:r w:rsidRPr="003B3C54">
              <w:rPr>
                <w:b/>
                <w:sz w:val="18"/>
                <w:szCs w:val="18"/>
              </w:rPr>
              <w:t>Comments</w:t>
            </w:r>
          </w:p>
          <w:p w:rsidR="00F12C87" w:rsidRPr="003B3C54" w:rsidRDefault="00F12C87" w:rsidP="00F47372">
            <w:pPr>
              <w:jc w:val="center"/>
              <w:rPr>
                <w:b/>
                <w:sz w:val="18"/>
                <w:szCs w:val="18"/>
              </w:rPr>
            </w:pPr>
          </w:p>
        </w:tc>
      </w:tr>
      <w:tr w:rsidR="00F12C87" w:rsidRPr="003B3C54" w:rsidTr="000641F5">
        <w:tc>
          <w:tcPr>
            <w:tcW w:w="2340" w:type="dxa"/>
            <w:shd w:val="clear" w:color="auto" w:fill="A6A6A6"/>
            <w:vAlign w:val="center"/>
          </w:tcPr>
          <w:p w:rsidR="00F12C87" w:rsidRPr="003B3C54" w:rsidRDefault="00F12C87" w:rsidP="000641F5">
            <w:pPr>
              <w:jc w:val="center"/>
              <w:rPr>
                <w:sz w:val="18"/>
                <w:szCs w:val="18"/>
              </w:rPr>
            </w:pPr>
            <w:r w:rsidRPr="003B3C54">
              <w:rPr>
                <w:b/>
                <w:sz w:val="18"/>
                <w:szCs w:val="18"/>
              </w:rPr>
              <w:t>Host formation</w:t>
            </w:r>
          </w:p>
        </w:tc>
        <w:tc>
          <w:tcPr>
            <w:tcW w:w="3600" w:type="dxa"/>
            <w:shd w:val="clear" w:color="auto" w:fill="auto"/>
            <w:vAlign w:val="center"/>
          </w:tcPr>
          <w:p w:rsidR="00F12C87" w:rsidRPr="003B3C54" w:rsidRDefault="00C217F0" w:rsidP="003712E7">
            <w:pPr>
              <w:rPr>
                <w:sz w:val="18"/>
                <w:szCs w:val="18"/>
              </w:rPr>
            </w:pPr>
            <w:r w:rsidRPr="003B3C54">
              <w:rPr>
                <w:sz w:val="18"/>
                <w:szCs w:val="18"/>
              </w:rPr>
              <w:t>Calivil Formation</w:t>
            </w:r>
          </w:p>
        </w:tc>
        <w:tc>
          <w:tcPr>
            <w:tcW w:w="3780" w:type="dxa"/>
            <w:shd w:val="clear" w:color="auto" w:fill="auto"/>
            <w:vAlign w:val="center"/>
          </w:tcPr>
          <w:p w:rsidR="00F12C87" w:rsidRPr="003B3C54" w:rsidRDefault="00F12C87" w:rsidP="003712E7">
            <w:pPr>
              <w:rPr>
                <w:sz w:val="18"/>
                <w:szCs w:val="18"/>
              </w:rPr>
            </w:pPr>
          </w:p>
        </w:tc>
      </w:tr>
      <w:tr w:rsidR="00F12C87" w:rsidRPr="003B3C54" w:rsidTr="000641F5">
        <w:tc>
          <w:tcPr>
            <w:tcW w:w="2340" w:type="dxa"/>
            <w:shd w:val="clear" w:color="auto" w:fill="A6A6A6"/>
            <w:vAlign w:val="center"/>
          </w:tcPr>
          <w:p w:rsidR="00F12C87" w:rsidRPr="003B3C54" w:rsidRDefault="00F12C87" w:rsidP="000641F5">
            <w:pPr>
              <w:jc w:val="center"/>
              <w:rPr>
                <w:sz w:val="18"/>
                <w:szCs w:val="18"/>
              </w:rPr>
            </w:pPr>
            <w:r w:rsidRPr="003B3C54">
              <w:rPr>
                <w:b/>
                <w:sz w:val="18"/>
                <w:szCs w:val="18"/>
              </w:rPr>
              <w:t>Aquifer type</w:t>
            </w:r>
          </w:p>
        </w:tc>
        <w:tc>
          <w:tcPr>
            <w:tcW w:w="3600" w:type="dxa"/>
            <w:shd w:val="clear" w:color="auto" w:fill="auto"/>
            <w:vAlign w:val="center"/>
          </w:tcPr>
          <w:p w:rsidR="00F12C87" w:rsidRPr="003B3C54" w:rsidRDefault="00F12C87" w:rsidP="003712E7">
            <w:pPr>
              <w:rPr>
                <w:sz w:val="18"/>
                <w:szCs w:val="18"/>
              </w:rPr>
            </w:pPr>
            <w:r w:rsidRPr="003B3C54">
              <w:rPr>
                <w:sz w:val="18"/>
                <w:szCs w:val="18"/>
              </w:rPr>
              <w:t>Confined</w:t>
            </w:r>
          </w:p>
        </w:tc>
        <w:tc>
          <w:tcPr>
            <w:tcW w:w="3780" w:type="dxa"/>
            <w:shd w:val="clear" w:color="auto" w:fill="auto"/>
            <w:vAlign w:val="center"/>
          </w:tcPr>
          <w:p w:rsidR="00F12C87" w:rsidRPr="003B3C54" w:rsidRDefault="00F12C87" w:rsidP="003712E7">
            <w:pPr>
              <w:rPr>
                <w:sz w:val="18"/>
                <w:szCs w:val="18"/>
              </w:rPr>
            </w:pPr>
          </w:p>
        </w:tc>
      </w:tr>
      <w:tr w:rsidR="00F12C87" w:rsidRPr="003B3C54" w:rsidTr="000641F5">
        <w:tc>
          <w:tcPr>
            <w:tcW w:w="2340" w:type="dxa"/>
            <w:shd w:val="clear" w:color="auto" w:fill="A6A6A6"/>
            <w:vAlign w:val="center"/>
          </w:tcPr>
          <w:p w:rsidR="00F12C87" w:rsidRPr="003B3C54" w:rsidRDefault="00F12C87" w:rsidP="000641F5">
            <w:pPr>
              <w:jc w:val="center"/>
              <w:rPr>
                <w:b/>
                <w:sz w:val="18"/>
                <w:szCs w:val="18"/>
              </w:rPr>
            </w:pPr>
            <w:r w:rsidRPr="003B3C54">
              <w:rPr>
                <w:b/>
                <w:sz w:val="18"/>
                <w:szCs w:val="18"/>
              </w:rPr>
              <w:t>Depth to top of aquifer from ground surface(m)</w:t>
            </w:r>
          </w:p>
        </w:tc>
        <w:tc>
          <w:tcPr>
            <w:tcW w:w="3600" w:type="dxa"/>
            <w:shd w:val="clear" w:color="auto" w:fill="auto"/>
            <w:vAlign w:val="center"/>
          </w:tcPr>
          <w:p w:rsidR="00F12C87" w:rsidRPr="003B3C54" w:rsidRDefault="00F12C87" w:rsidP="003712E7">
            <w:pPr>
              <w:rPr>
                <w:sz w:val="18"/>
                <w:szCs w:val="18"/>
              </w:rPr>
            </w:pPr>
            <w:r w:rsidRPr="003B3C54">
              <w:rPr>
                <w:sz w:val="18"/>
                <w:szCs w:val="18"/>
              </w:rPr>
              <w:t>Range: 25-38 m</w:t>
            </w:r>
          </w:p>
          <w:p w:rsidR="00F12C87" w:rsidRPr="003B3C54" w:rsidRDefault="00F12C87" w:rsidP="003712E7">
            <w:pPr>
              <w:rPr>
                <w:sz w:val="18"/>
                <w:szCs w:val="18"/>
              </w:rPr>
            </w:pPr>
            <w:r w:rsidRPr="003B3C54">
              <w:rPr>
                <w:sz w:val="18"/>
                <w:szCs w:val="18"/>
              </w:rPr>
              <w:t>Mean: 31 m</w:t>
            </w:r>
          </w:p>
        </w:tc>
        <w:tc>
          <w:tcPr>
            <w:tcW w:w="3780" w:type="dxa"/>
            <w:shd w:val="clear" w:color="auto" w:fill="auto"/>
            <w:vAlign w:val="center"/>
          </w:tcPr>
          <w:p w:rsidR="00F12C87" w:rsidRPr="003B3C54" w:rsidRDefault="00F12C87" w:rsidP="003712E7">
            <w:pPr>
              <w:rPr>
                <w:sz w:val="18"/>
                <w:szCs w:val="18"/>
              </w:rPr>
            </w:pPr>
            <w:r w:rsidRPr="003B3C54">
              <w:rPr>
                <w:sz w:val="18"/>
                <w:szCs w:val="18"/>
              </w:rPr>
              <w:t xml:space="preserve">Based on depth to base of Blanchetown Clay surface interpreted from AEM sections </w:t>
            </w:r>
            <w:r w:rsidR="00BD5898" w:rsidRPr="003B3C54">
              <w:rPr>
                <w:sz w:val="18"/>
                <w:szCs w:val="18"/>
              </w:rPr>
              <w:t>and borehole data</w:t>
            </w:r>
            <w:r w:rsidRPr="003B3C54">
              <w:rPr>
                <w:sz w:val="18"/>
                <w:szCs w:val="18"/>
              </w:rPr>
              <w:t>.</w:t>
            </w:r>
          </w:p>
        </w:tc>
      </w:tr>
      <w:tr w:rsidR="00F12C87" w:rsidRPr="003B3C54" w:rsidTr="000641F5">
        <w:tc>
          <w:tcPr>
            <w:tcW w:w="2340" w:type="dxa"/>
            <w:shd w:val="clear" w:color="auto" w:fill="A6A6A6"/>
            <w:vAlign w:val="center"/>
          </w:tcPr>
          <w:p w:rsidR="00F12C87" w:rsidRPr="003B3C54" w:rsidRDefault="00F12C87" w:rsidP="000641F5">
            <w:pPr>
              <w:jc w:val="center"/>
              <w:rPr>
                <w:b/>
                <w:sz w:val="18"/>
                <w:szCs w:val="18"/>
              </w:rPr>
            </w:pPr>
            <w:r w:rsidRPr="003B3C54">
              <w:rPr>
                <w:b/>
                <w:sz w:val="18"/>
                <w:szCs w:val="18"/>
              </w:rPr>
              <w:t>Aquifer thickness (m)</w:t>
            </w:r>
          </w:p>
        </w:tc>
        <w:tc>
          <w:tcPr>
            <w:tcW w:w="3600" w:type="dxa"/>
            <w:shd w:val="clear" w:color="auto" w:fill="auto"/>
            <w:vAlign w:val="center"/>
          </w:tcPr>
          <w:p w:rsidR="00F12C87" w:rsidRPr="003B3C54" w:rsidRDefault="00BD5898" w:rsidP="003712E7">
            <w:pPr>
              <w:rPr>
                <w:sz w:val="18"/>
                <w:szCs w:val="18"/>
              </w:rPr>
            </w:pPr>
            <w:r w:rsidRPr="003B3C54">
              <w:rPr>
                <w:sz w:val="18"/>
                <w:szCs w:val="18"/>
              </w:rPr>
              <w:t xml:space="preserve">Range: </w:t>
            </w:r>
            <w:r w:rsidR="00F12C87" w:rsidRPr="003B3C54">
              <w:rPr>
                <w:sz w:val="18"/>
                <w:szCs w:val="18"/>
              </w:rPr>
              <w:t>25-33 m</w:t>
            </w:r>
          </w:p>
        </w:tc>
        <w:tc>
          <w:tcPr>
            <w:tcW w:w="3780" w:type="dxa"/>
            <w:shd w:val="clear" w:color="auto" w:fill="auto"/>
            <w:vAlign w:val="center"/>
          </w:tcPr>
          <w:p w:rsidR="00F12C87" w:rsidRPr="003B3C54" w:rsidRDefault="00F12C87" w:rsidP="003712E7">
            <w:pPr>
              <w:rPr>
                <w:sz w:val="18"/>
                <w:szCs w:val="18"/>
              </w:rPr>
            </w:pPr>
            <w:r w:rsidRPr="003B3C54">
              <w:rPr>
                <w:sz w:val="18"/>
                <w:szCs w:val="18"/>
              </w:rPr>
              <w:t xml:space="preserve">Based on </w:t>
            </w:r>
            <w:r w:rsidR="00BD5898" w:rsidRPr="003B3C54">
              <w:rPr>
                <w:sz w:val="18"/>
                <w:szCs w:val="18"/>
              </w:rPr>
              <w:t xml:space="preserve">sonic logging of </w:t>
            </w:r>
            <w:r w:rsidR="00C217F0" w:rsidRPr="003B3C54">
              <w:rPr>
                <w:sz w:val="18"/>
                <w:szCs w:val="18"/>
              </w:rPr>
              <w:t>Calivil Formation</w:t>
            </w:r>
            <w:r w:rsidR="00106292" w:rsidRPr="003B3C54">
              <w:rPr>
                <w:sz w:val="18"/>
                <w:szCs w:val="18"/>
              </w:rPr>
              <w:t xml:space="preserve"> </w:t>
            </w:r>
            <w:r w:rsidR="00BD5898" w:rsidRPr="003B3C54">
              <w:rPr>
                <w:sz w:val="18"/>
                <w:szCs w:val="18"/>
              </w:rPr>
              <w:t>intervals</w:t>
            </w:r>
            <w:r w:rsidRPr="003B3C54">
              <w:rPr>
                <w:sz w:val="18"/>
                <w:szCs w:val="18"/>
              </w:rPr>
              <w:t xml:space="preserve"> in BHMAR48-1 and 58-1.</w:t>
            </w:r>
          </w:p>
        </w:tc>
      </w:tr>
      <w:tr w:rsidR="00F12C87" w:rsidRPr="003B3C54" w:rsidTr="000641F5">
        <w:tc>
          <w:tcPr>
            <w:tcW w:w="2340" w:type="dxa"/>
            <w:shd w:val="clear" w:color="auto" w:fill="A6A6A6"/>
            <w:vAlign w:val="center"/>
          </w:tcPr>
          <w:p w:rsidR="00F12C87" w:rsidRPr="003B3C54" w:rsidRDefault="00F12C87" w:rsidP="000641F5">
            <w:pPr>
              <w:jc w:val="center"/>
              <w:rPr>
                <w:b/>
                <w:sz w:val="18"/>
                <w:szCs w:val="18"/>
              </w:rPr>
            </w:pPr>
            <w:r w:rsidRPr="003B3C54">
              <w:rPr>
                <w:b/>
                <w:sz w:val="18"/>
                <w:szCs w:val="18"/>
              </w:rPr>
              <w:t>Lithologies</w:t>
            </w:r>
          </w:p>
        </w:tc>
        <w:tc>
          <w:tcPr>
            <w:tcW w:w="3600" w:type="dxa"/>
            <w:shd w:val="clear" w:color="auto" w:fill="auto"/>
            <w:vAlign w:val="center"/>
          </w:tcPr>
          <w:p w:rsidR="00F12C87" w:rsidRPr="003B3C54" w:rsidRDefault="00F12C87" w:rsidP="003712E7">
            <w:pPr>
              <w:rPr>
                <w:sz w:val="18"/>
                <w:szCs w:val="18"/>
              </w:rPr>
            </w:pPr>
            <w:r w:rsidRPr="003B3C54">
              <w:rPr>
                <w:sz w:val="18"/>
                <w:szCs w:val="18"/>
              </w:rPr>
              <w:t>Coarse to very coarse sand (9%)</w:t>
            </w:r>
          </w:p>
          <w:p w:rsidR="00F12C87" w:rsidRPr="003B3C54" w:rsidRDefault="00F12C87" w:rsidP="003712E7">
            <w:pPr>
              <w:rPr>
                <w:sz w:val="18"/>
                <w:szCs w:val="18"/>
              </w:rPr>
            </w:pPr>
            <w:r w:rsidRPr="003B3C54">
              <w:rPr>
                <w:sz w:val="18"/>
                <w:szCs w:val="18"/>
              </w:rPr>
              <w:t>Medium sand (57%)</w:t>
            </w:r>
          </w:p>
          <w:p w:rsidR="00F12C87" w:rsidRPr="003B3C54" w:rsidRDefault="00F12C87" w:rsidP="003712E7">
            <w:pPr>
              <w:rPr>
                <w:sz w:val="18"/>
                <w:szCs w:val="18"/>
              </w:rPr>
            </w:pPr>
            <w:r w:rsidRPr="003B3C54">
              <w:rPr>
                <w:sz w:val="18"/>
                <w:szCs w:val="18"/>
              </w:rPr>
              <w:t>Fine sand (13%)</w:t>
            </w:r>
          </w:p>
          <w:p w:rsidR="00F12C87" w:rsidRPr="003B3C54" w:rsidRDefault="00F12C87" w:rsidP="003712E7">
            <w:pPr>
              <w:rPr>
                <w:sz w:val="18"/>
                <w:szCs w:val="18"/>
              </w:rPr>
            </w:pPr>
            <w:r w:rsidRPr="003B3C54">
              <w:rPr>
                <w:sz w:val="18"/>
                <w:szCs w:val="18"/>
              </w:rPr>
              <w:t>Muddy sand (15%)</w:t>
            </w:r>
          </w:p>
          <w:p w:rsidR="00F12C87" w:rsidRPr="003B3C54" w:rsidRDefault="00F12C87" w:rsidP="003712E7">
            <w:pPr>
              <w:rPr>
                <w:sz w:val="18"/>
                <w:szCs w:val="18"/>
              </w:rPr>
            </w:pPr>
            <w:r w:rsidRPr="003B3C54">
              <w:rPr>
                <w:sz w:val="18"/>
                <w:szCs w:val="18"/>
              </w:rPr>
              <w:t>Mud (6%)</w:t>
            </w:r>
          </w:p>
        </w:tc>
        <w:tc>
          <w:tcPr>
            <w:tcW w:w="3780" w:type="dxa"/>
            <w:shd w:val="clear" w:color="auto" w:fill="auto"/>
            <w:vAlign w:val="center"/>
          </w:tcPr>
          <w:p w:rsidR="00F12C87" w:rsidRPr="003B3C54" w:rsidRDefault="00F12C87" w:rsidP="003712E7">
            <w:pPr>
              <w:rPr>
                <w:sz w:val="18"/>
                <w:szCs w:val="18"/>
              </w:rPr>
            </w:pPr>
            <w:r w:rsidRPr="003B3C54">
              <w:rPr>
                <w:sz w:val="18"/>
                <w:szCs w:val="18"/>
              </w:rPr>
              <w:t xml:space="preserve">Based on sonic core logging </w:t>
            </w:r>
            <w:r w:rsidR="00BD5898" w:rsidRPr="003B3C54">
              <w:rPr>
                <w:sz w:val="18"/>
                <w:szCs w:val="18"/>
              </w:rPr>
              <w:t>of Calivil Formation intervals in BHMAR48-1 and 58-1.</w:t>
            </w:r>
          </w:p>
        </w:tc>
      </w:tr>
      <w:tr w:rsidR="002D703C" w:rsidRPr="003B3C54" w:rsidTr="000641F5">
        <w:tc>
          <w:tcPr>
            <w:tcW w:w="2340" w:type="dxa"/>
            <w:shd w:val="clear" w:color="auto" w:fill="A6A6A6"/>
            <w:vAlign w:val="center"/>
          </w:tcPr>
          <w:p w:rsidR="002D703C" w:rsidRPr="003B3C54" w:rsidRDefault="002D703C" w:rsidP="000641F5">
            <w:pPr>
              <w:jc w:val="center"/>
              <w:rPr>
                <w:b/>
                <w:sz w:val="18"/>
                <w:szCs w:val="18"/>
              </w:rPr>
            </w:pPr>
            <w:r w:rsidRPr="003B3C54">
              <w:rPr>
                <w:b/>
                <w:sz w:val="18"/>
                <w:szCs w:val="18"/>
              </w:rPr>
              <w:t>Porosity and storage coefficients</w:t>
            </w:r>
          </w:p>
        </w:tc>
        <w:tc>
          <w:tcPr>
            <w:tcW w:w="3600" w:type="dxa"/>
            <w:shd w:val="clear" w:color="auto" w:fill="auto"/>
          </w:tcPr>
          <w:p w:rsidR="002D703C" w:rsidRPr="003B3C54" w:rsidRDefault="002D703C" w:rsidP="002D703C">
            <w:pPr>
              <w:pStyle w:val="TableTextLeft"/>
              <w:rPr>
                <w:sz w:val="18"/>
                <w:szCs w:val="18"/>
              </w:rPr>
            </w:pPr>
            <w:r w:rsidRPr="003B3C54">
              <w:rPr>
                <w:sz w:val="18"/>
                <w:szCs w:val="18"/>
              </w:rPr>
              <w:t xml:space="preserve">NMR </w:t>
            </w:r>
            <w:r w:rsidR="000641F5" w:rsidRPr="003B3C54">
              <w:rPr>
                <w:sz w:val="18"/>
                <w:szCs w:val="18"/>
              </w:rPr>
              <w:t>mobile</w:t>
            </w:r>
            <w:r w:rsidRPr="003B3C54">
              <w:rPr>
                <w:sz w:val="18"/>
                <w:szCs w:val="18"/>
              </w:rPr>
              <w:t xml:space="preserve"> </w:t>
            </w:r>
            <w:r w:rsidR="000641F5" w:rsidRPr="003B3C54">
              <w:rPr>
                <w:sz w:val="18"/>
                <w:szCs w:val="18"/>
              </w:rPr>
              <w:t>w</w:t>
            </w:r>
            <w:r w:rsidRPr="003B3C54">
              <w:rPr>
                <w:sz w:val="18"/>
                <w:szCs w:val="18"/>
              </w:rPr>
              <w:t>ater</w:t>
            </w:r>
          </w:p>
          <w:p w:rsidR="002D703C" w:rsidRPr="003B3C54" w:rsidRDefault="002D703C" w:rsidP="002D703C">
            <w:pPr>
              <w:pStyle w:val="TableTextLeft"/>
              <w:rPr>
                <w:sz w:val="18"/>
                <w:szCs w:val="18"/>
              </w:rPr>
            </w:pPr>
            <w:r w:rsidRPr="003B3C54">
              <w:rPr>
                <w:sz w:val="18"/>
                <w:szCs w:val="18"/>
              </w:rPr>
              <w:t>P</w:t>
            </w:r>
            <w:r w:rsidRPr="003B3C54">
              <w:rPr>
                <w:sz w:val="18"/>
                <w:szCs w:val="18"/>
                <w:vertAlign w:val="subscript"/>
              </w:rPr>
              <w:t>25</w:t>
            </w:r>
            <w:r w:rsidRPr="003B3C54">
              <w:rPr>
                <w:sz w:val="18"/>
                <w:szCs w:val="18"/>
              </w:rPr>
              <w:t>: 0.08 Mean: 0.18 P</w:t>
            </w:r>
            <w:r w:rsidRPr="003B3C54">
              <w:rPr>
                <w:sz w:val="18"/>
                <w:szCs w:val="18"/>
                <w:vertAlign w:val="subscript"/>
              </w:rPr>
              <w:t>75</w:t>
            </w:r>
            <w:r w:rsidRPr="003B3C54">
              <w:rPr>
                <w:sz w:val="18"/>
                <w:szCs w:val="18"/>
              </w:rPr>
              <w:t>: 0.28</w:t>
            </w:r>
          </w:p>
          <w:p w:rsidR="002D703C" w:rsidRPr="003B3C54" w:rsidRDefault="002D703C" w:rsidP="002D703C">
            <w:pPr>
              <w:pStyle w:val="TableTextLeft"/>
              <w:rPr>
                <w:sz w:val="18"/>
                <w:szCs w:val="18"/>
              </w:rPr>
            </w:pPr>
          </w:p>
          <w:p w:rsidR="002D703C" w:rsidRPr="003B3C54" w:rsidRDefault="002D703C" w:rsidP="003712E7">
            <w:pPr>
              <w:rPr>
                <w:sz w:val="18"/>
                <w:szCs w:val="18"/>
              </w:rPr>
            </w:pPr>
          </w:p>
        </w:tc>
        <w:tc>
          <w:tcPr>
            <w:tcW w:w="3780" w:type="dxa"/>
            <w:shd w:val="clear" w:color="auto" w:fill="auto"/>
          </w:tcPr>
          <w:p w:rsidR="002D703C" w:rsidRPr="003B3C54" w:rsidRDefault="002D703C" w:rsidP="003712E7">
            <w:pPr>
              <w:rPr>
                <w:sz w:val="18"/>
                <w:szCs w:val="18"/>
              </w:rPr>
            </w:pPr>
            <w:r w:rsidRPr="003B3C54">
              <w:rPr>
                <w:sz w:val="18"/>
                <w:szCs w:val="18"/>
              </w:rPr>
              <w:t>25</w:t>
            </w:r>
            <w:r w:rsidRPr="003B3C54">
              <w:rPr>
                <w:sz w:val="18"/>
                <w:szCs w:val="18"/>
                <w:vertAlign w:val="superscript"/>
              </w:rPr>
              <w:t>th</w:t>
            </w:r>
            <w:r w:rsidRPr="003B3C54">
              <w:rPr>
                <w:sz w:val="18"/>
                <w:szCs w:val="18"/>
              </w:rPr>
              <w:t xml:space="preserve"> percentile, mean and 75</w:t>
            </w:r>
            <w:r w:rsidRPr="003B3C54">
              <w:rPr>
                <w:sz w:val="18"/>
                <w:szCs w:val="18"/>
                <w:vertAlign w:val="superscript"/>
              </w:rPr>
              <w:t>th</w:t>
            </w:r>
            <w:r w:rsidRPr="003B3C54">
              <w:rPr>
                <w:sz w:val="18"/>
                <w:szCs w:val="18"/>
              </w:rPr>
              <w:t xml:space="preserve"> percentile of the NMR </w:t>
            </w:r>
            <w:r w:rsidR="000641F5" w:rsidRPr="003B3C54">
              <w:rPr>
                <w:sz w:val="18"/>
                <w:szCs w:val="18"/>
              </w:rPr>
              <w:t>mobile w</w:t>
            </w:r>
            <w:r w:rsidRPr="003B3C54">
              <w:rPr>
                <w:sz w:val="18"/>
                <w:szCs w:val="18"/>
              </w:rPr>
              <w:t xml:space="preserve">ater for the saturated Calivil Formation interval in BHMAR58-1. NMR </w:t>
            </w:r>
            <w:r w:rsidR="000641F5" w:rsidRPr="003B3C54">
              <w:rPr>
                <w:sz w:val="18"/>
                <w:szCs w:val="18"/>
              </w:rPr>
              <w:t>mobile w</w:t>
            </w:r>
            <w:r w:rsidRPr="003B3C54">
              <w:rPr>
                <w:sz w:val="18"/>
                <w:szCs w:val="18"/>
              </w:rPr>
              <w:t>ater used as a surrogate for effective porosity. No aquifer pump tests to estimate storativity.</w:t>
            </w:r>
          </w:p>
        </w:tc>
      </w:tr>
      <w:tr w:rsidR="00F12C87" w:rsidRPr="003B3C54" w:rsidTr="000641F5">
        <w:tc>
          <w:tcPr>
            <w:tcW w:w="2340" w:type="dxa"/>
            <w:shd w:val="clear" w:color="auto" w:fill="A6A6A6"/>
            <w:vAlign w:val="center"/>
          </w:tcPr>
          <w:p w:rsidR="00F12C87" w:rsidRPr="003B3C54" w:rsidRDefault="00F12C87" w:rsidP="000641F5">
            <w:pPr>
              <w:jc w:val="center"/>
              <w:rPr>
                <w:b/>
                <w:sz w:val="18"/>
                <w:szCs w:val="18"/>
              </w:rPr>
            </w:pPr>
            <w:r w:rsidRPr="003B3C54">
              <w:rPr>
                <w:b/>
                <w:sz w:val="18"/>
                <w:szCs w:val="18"/>
              </w:rPr>
              <w:t>Hydraulic conductivity (K, m/d) and transmissivity (T, m</w:t>
            </w:r>
            <w:r w:rsidRPr="003B3C54">
              <w:rPr>
                <w:b/>
                <w:sz w:val="18"/>
                <w:szCs w:val="18"/>
                <w:vertAlign w:val="superscript"/>
              </w:rPr>
              <w:t>2</w:t>
            </w:r>
            <w:r w:rsidRPr="003B3C54">
              <w:rPr>
                <w:b/>
                <w:sz w:val="18"/>
                <w:szCs w:val="18"/>
              </w:rPr>
              <w:t>/d)</w:t>
            </w:r>
          </w:p>
        </w:tc>
        <w:tc>
          <w:tcPr>
            <w:tcW w:w="3600" w:type="dxa"/>
            <w:shd w:val="clear" w:color="auto" w:fill="auto"/>
            <w:vAlign w:val="center"/>
          </w:tcPr>
          <w:p w:rsidR="00F12C87" w:rsidRPr="003B3C54" w:rsidRDefault="00F12C87" w:rsidP="003712E7">
            <w:pPr>
              <w:rPr>
                <w:sz w:val="18"/>
                <w:szCs w:val="18"/>
              </w:rPr>
            </w:pPr>
            <w:r w:rsidRPr="003B3C54">
              <w:rPr>
                <w:sz w:val="18"/>
                <w:szCs w:val="18"/>
              </w:rPr>
              <w:t xml:space="preserve">Slug tests: </w:t>
            </w:r>
          </w:p>
          <w:p w:rsidR="00F12C87" w:rsidRPr="003B3C54" w:rsidRDefault="002D703C" w:rsidP="003712E7">
            <w:pPr>
              <w:rPr>
                <w:sz w:val="18"/>
                <w:szCs w:val="18"/>
              </w:rPr>
            </w:pPr>
            <w:r w:rsidRPr="003B3C54">
              <w:rPr>
                <w:sz w:val="18"/>
                <w:szCs w:val="18"/>
              </w:rPr>
              <w:t xml:space="preserve">K </w:t>
            </w:r>
            <w:r w:rsidR="00BD5898" w:rsidRPr="003B3C54">
              <w:rPr>
                <w:sz w:val="18"/>
                <w:szCs w:val="18"/>
              </w:rPr>
              <w:t xml:space="preserve">Range: </w:t>
            </w:r>
            <w:r w:rsidR="00F12C87" w:rsidRPr="003B3C54">
              <w:rPr>
                <w:sz w:val="18"/>
                <w:szCs w:val="18"/>
              </w:rPr>
              <w:t>4.3-6.7 m/d</w:t>
            </w:r>
            <w:r w:rsidR="00BD5898" w:rsidRPr="003B3C54">
              <w:rPr>
                <w:sz w:val="18"/>
                <w:szCs w:val="18"/>
              </w:rPr>
              <w:t xml:space="preserve"> </w:t>
            </w:r>
            <w:r w:rsidRPr="003B3C54">
              <w:rPr>
                <w:sz w:val="18"/>
                <w:szCs w:val="18"/>
              </w:rPr>
              <w:t xml:space="preserve">K </w:t>
            </w:r>
            <w:r w:rsidR="00BD5898" w:rsidRPr="003B3C54">
              <w:rPr>
                <w:sz w:val="18"/>
                <w:szCs w:val="18"/>
              </w:rPr>
              <w:t>Mean:</w:t>
            </w:r>
            <w:r w:rsidR="00F12C87" w:rsidRPr="003B3C54">
              <w:rPr>
                <w:sz w:val="18"/>
                <w:szCs w:val="18"/>
              </w:rPr>
              <w:t xml:space="preserve"> 5.5 m/d</w:t>
            </w:r>
          </w:p>
          <w:p w:rsidR="00F12C87" w:rsidRPr="003B3C54" w:rsidRDefault="002D703C" w:rsidP="003712E7">
            <w:pPr>
              <w:rPr>
                <w:sz w:val="18"/>
                <w:szCs w:val="18"/>
                <w:lang w:val="fr-FR"/>
              </w:rPr>
            </w:pPr>
            <w:r w:rsidRPr="003B3C54">
              <w:rPr>
                <w:sz w:val="18"/>
                <w:szCs w:val="18"/>
                <w:lang w:val="fr-FR"/>
              </w:rPr>
              <w:t xml:space="preserve">T </w:t>
            </w:r>
            <w:r w:rsidR="00BD5898" w:rsidRPr="003B3C54">
              <w:rPr>
                <w:sz w:val="18"/>
                <w:szCs w:val="18"/>
                <w:lang w:val="fr-FR"/>
              </w:rPr>
              <w:t xml:space="preserve">Range: </w:t>
            </w:r>
            <w:r w:rsidR="00F12C87" w:rsidRPr="003B3C54">
              <w:rPr>
                <w:sz w:val="18"/>
                <w:szCs w:val="18"/>
                <w:lang w:val="fr-FR"/>
              </w:rPr>
              <w:t>40-101 m</w:t>
            </w:r>
            <w:r w:rsidR="00F12C87" w:rsidRPr="003B3C54">
              <w:rPr>
                <w:sz w:val="18"/>
                <w:szCs w:val="18"/>
                <w:vertAlign w:val="superscript"/>
                <w:lang w:val="fr-FR"/>
              </w:rPr>
              <w:t>2</w:t>
            </w:r>
            <w:r w:rsidR="00F12C87" w:rsidRPr="003B3C54">
              <w:rPr>
                <w:sz w:val="18"/>
                <w:szCs w:val="18"/>
                <w:lang w:val="fr-FR"/>
              </w:rPr>
              <w:t>/d</w:t>
            </w:r>
            <w:r w:rsidR="00BD5898" w:rsidRPr="003B3C54">
              <w:rPr>
                <w:sz w:val="18"/>
                <w:szCs w:val="18"/>
                <w:lang w:val="fr-FR"/>
              </w:rPr>
              <w:t xml:space="preserve"> </w:t>
            </w:r>
            <w:r w:rsidRPr="003B3C54">
              <w:rPr>
                <w:sz w:val="18"/>
                <w:szCs w:val="18"/>
                <w:lang w:val="fr-FR"/>
              </w:rPr>
              <w:t xml:space="preserve">T </w:t>
            </w:r>
            <w:r w:rsidR="00BD5898" w:rsidRPr="003B3C54">
              <w:rPr>
                <w:sz w:val="18"/>
                <w:szCs w:val="18"/>
                <w:lang w:val="fr-FR"/>
              </w:rPr>
              <w:t>Mean:</w:t>
            </w:r>
            <w:r w:rsidR="00465915" w:rsidRPr="003B3C54">
              <w:rPr>
                <w:sz w:val="18"/>
                <w:szCs w:val="18"/>
                <w:lang w:val="fr-FR"/>
              </w:rPr>
              <w:t xml:space="preserve"> </w:t>
            </w:r>
            <w:r w:rsidR="00F12C87" w:rsidRPr="003B3C54">
              <w:rPr>
                <w:sz w:val="18"/>
                <w:szCs w:val="18"/>
                <w:lang w:val="fr-FR"/>
              </w:rPr>
              <w:t>71 m</w:t>
            </w:r>
            <w:r w:rsidR="00F12C87" w:rsidRPr="003B3C54">
              <w:rPr>
                <w:sz w:val="18"/>
                <w:szCs w:val="18"/>
                <w:vertAlign w:val="superscript"/>
                <w:lang w:val="fr-FR"/>
              </w:rPr>
              <w:t>2</w:t>
            </w:r>
            <w:r w:rsidR="00F12C87" w:rsidRPr="003B3C54">
              <w:rPr>
                <w:sz w:val="18"/>
                <w:szCs w:val="18"/>
                <w:lang w:val="fr-FR"/>
              </w:rPr>
              <w:t>/d</w:t>
            </w:r>
          </w:p>
          <w:p w:rsidR="00F12C87" w:rsidRPr="003B3C54" w:rsidRDefault="00F12C87" w:rsidP="003712E7">
            <w:pPr>
              <w:rPr>
                <w:sz w:val="18"/>
                <w:szCs w:val="18"/>
                <w:lang w:val="fr-FR"/>
              </w:rPr>
            </w:pPr>
          </w:p>
          <w:p w:rsidR="00F12C87" w:rsidRPr="003B3C54" w:rsidRDefault="00F12C87" w:rsidP="003712E7">
            <w:pPr>
              <w:rPr>
                <w:sz w:val="18"/>
                <w:szCs w:val="18"/>
              </w:rPr>
            </w:pPr>
            <w:r w:rsidRPr="003B3C54">
              <w:rPr>
                <w:sz w:val="18"/>
                <w:szCs w:val="18"/>
              </w:rPr>
              <w:t>N</w:t>
            </w:r>
            <w:r w:rsidR="00BD5898" w:rsidRPr="003B3C54">
              <w:rPr>
                <w:sz w:val="18"/>
                <w:szCs w:val="18"/>
              </w:rPr>
              <w:t>uclear Magnetic Resonance (NMR)</w:t>
            </w:r>
            <w:r w:rsidRPr="003B3C54">
              <w:rPr>
                <w:sz w:val="18"/>
                <w:szCs w:val="18"/>
              </w:rPr>
              <w:t xml:space="preserve"> logs:</w:t>
            </w:r>
          </w:p>
          <w:p w:rsidR="00F12C87" w:rsidRPr="003B3C54" w:rsidRDefault="002D703C" w:rsidP="003712E7">
            <w:pPr>
              <w:rPr>
                <w:sz w:val="18"/>
                <w:szCs w:val="18"/>
              </w:rPr>
            </w:pPr>
            <w:r w:rsidRPr="003B3C54">
              <w:rPr>
                <w:sz w:val="18"/>
                <w:szCs w:val="18"/>
              </w:rPr>
              <w:t xml:space="preserve">K Mean: </w:t>
            </w:r>
            <w:r w:rsidR="00F12C87" w:rsidRPr="003B3C54">
              <w:rPr>
                <w:sz w:val="18"/>
                <w:szCs w:val="18"/>
              </w:rPr>
              <w:t>30 m/d</w:t>
            </w:r>
          </w:p>
          <w:p w:rsidR="00F12C87" w:rsidRPr="003B3C54" w:rsidRDefault="002D703C" w:rsidP="003712E7">
            <w:pPr>
              <w:rPr>
                <w:sz w:val="18"/>
                <w:szCs w:val="18"/>
              </w:rPr>
            </w:pPr>
            <w:r w:rsidRPr="003B3C54">
              <w:rPr>
                <w:sz w:val="18"/>
                <w:szCs w:val="18"/>
              </w:rPr>
              <w:t xml:space="preserve">Total T: </w:t>
            </w:r>
            <w:r w:rsidR="00F12C87" w:rsidRPr="003B3C54">
              <w:rPr>
                <w:sz w:val="18"/>
                <w:szCs w:val="18"/>
              </w:rPr>
              <w:t>1017 m</w:t>
            </w:r>
            <w:r w:rsidR="00F12C87" w:rsidRPr="003B3C54">
              <w:rPr>
                <w:sz w:val="18"/>
                <w:szCs w:val="18"/>
                <w:vertAlign w:val="superscript"/>
              </w:rPr>
              <w:t>2</w:t>
            </w:r>
            <w:r w:rsidR="00F12C87" w:rsidRPr="003B3C54">
              <w:rPr>
                <w:sz w:val="18"/>
                <w:szCs w:val="18"/>
              </w:rPr>
              <w:t>/d</w:t>
            </w:r>
          </w:p>
        </w:tc>
        <w:tc>
          <w:tcPr>
            <w:tcW w:w="3780" w:type="dxa"/>
            <w:shd w:val="clear" w:color="auto" w:fill="auto"/>
            <w:vAlign w:val="center"/>
          </w:tcPr>
          <w:p w:rsidR="00F12C87" w:rsidRPr="003B3C54" w:rsidRDefault="00F12C87" w:rsidP="003712E7">
            <w:pPr>
              <w:rPr>
                <w:sz w:val="18"/>
                <w:szCs w:val="18"/>
              </w:rPr>
            </w:pPr>
            <w:r w:rsidRPr="003B3C54">
              <w:rPr>
                <w:sz w:val="18"/>
                <w:szCs w:val="18"/>
              </w:rPr>
              <w:t>Range and average of slug test results for BHMAR48-1 and 58-1.</w:t>
            </w:r>
          </w:p>
          <w:p w:rsidR="00F12C87" w:rsidRPr="003B3C54" w:rsidRDefault="00F12C87" w:rsidP="003712E7">
            <w:pPr>
              <w:rPr>
                <w:sz w:val="18"/>
                <w:szCs w:val="18"/>
              </w:rPr>
            </w:pPr>
          </w:p>
          <w:p w:rsidR="00F12C87" w:rsidRPr="003B3C54" w:rsidRDefault="00F12C87" w:rsidP="003712E7">
            <w:pPr>
              <w:rPr>
                <w:sz w:val="18"/>
                <w:szCs w:val="18"/>
              </w:rPr>
            </w:pPr>
            <w:r w:rsidRPr="003B3C54">
              <w:rPr>
                <w:sz w:val="18"/>
                <w:szCs w:val="18"/>
              </w:rPr>
              <w:t xml:space="preserve">Average K and total T for NMR logged </w:t>
            </w:r>
            <w:r w:rsidR="00C217F0" w:rsidRPr="003B3C54">
              <w:rPr>
                <w:sz w:val="18"/>
                <w:szCs w:val="18"/>
              </w:rPr>
              <w:t>Calivil Formation</w:t>
            </w:r>
            <w:r w:rsidRPr="003B3C54">
              <w:rPr>
                <w:sz w:val="18"/>
                <w:szCs w:val="18"/>
              </w:rPr>
              <w:t xml:space="preserve"> </w:t>
            </w:r>
            <w:r w:rsidR="002D703C" w:rsidRPr="003B3C54">
              <w:rPr>
                <w:sz w:val="18"/>
                <w:szCs w:val="18"/>
              </w:rPr>
              <w:t>interval</w:t>
            </w:r>
            <w:r w:rsidRPr="003B3C54">
              <w:rPr>
                <w:sz w:val="18"/>
                <w:szCs w:val="18"/>
              </w:rPr>
              <w:t xml:space="preserve"> in BHMAR58-1.</w:t>
            </w:r>
          </w:p>
        </w:tc>
      </w:tr>
      <w:tr w:rsidR="00F12C87" w:rsidRPr="003B3C54" w:rsidTr="000641F5">
        <w:tc>
          <w:tcPr>
            <w:tcW w:w="2340" w:type="dxa"/>
            <w:shd w:val="clear" w:color="auto" w:fill="A6A6A6"/>
            <w:vAlign w:val="center"/>
          </w:tcPr>
          <w:p w:rsidR="00F12C87" w:rsidRPr="003B3C54" w:rsidRDefault="00F12C87" w:rsidP="000641F5">
            <w:pPr>
              <w:jc w:val="center"/>
              <w:rPr>
                <w:b/>
                <w:sz w:val="18"/>
                <w:szCs w:val="18"/>
              </w:rPr>
            </w:pPr>
            <w:r w:rsidRPr="003B3C54">
              <w:rPr>
                <w:b/>
                <w:sz w:val="18"/>
                <w:szCs w:val="18"/>
              </w:rPr>
              <w:t>Elevation of groundwater level (m AHD)</w:t>
            </w:r>
          </w:p>
        </w:tc>
        <w:tc>
          <w:tcPr>
            <w:tcW w:w="3600" w:type="dxa"/>
            <w:shd w:val="clear" w:color="auto" w:fill="auto"/>
            <w:vAlign w:val="center"/>
          </w:tcPr>
          <w:p w:rsidR="00F12C87" w:rsidRPr="003B3C54" w:rsidRDefault="00F12C87" w:rsidP="003712E7">
            <w:pPr>
              <w:rPr>
                <w:sz w:val="18"/>
                <w:szCs w:val="18"/>
              </w:rPr>
            </w:pPr>
            <w:r w:rsidRPr="003B3C54">
              <w:rPr>
                <w:sz w:val="18"/>
                <w:szCs w:val="18"/>
              </w:rPr>
              <w:t>Range: 44.0-47.0 m AHD</w:t>
            </w:r>
          </w:p>
          <w:p w:rsidR="00F12C87" w:rsidRPr="003B3C54" w:rsidRDefault="00F12C87" w:rsidP="003712E7">
            <w:pPr>
              <w:rPr>
                <w:sz w:val="18"/>
                <w:szCs w:val="18"/>
              </w:rPr>
            </w:pPr>
            <w:r w:rsidRPr="003B3C54">
              <w:rPr>
                <w:sz w:val="18"/>
                <w:szCs w:val="18"/>
              </w:rPr>
              <w:t>Mean: 45.0 m AHD</w:t>
            </w:r>
          </w:p>
        </w:tc>
        <w:tc>
          <w:tcPr>
            <w:tcW w:w="3780" w:type="dxa"/>
            <w:shd w:val="clear" w:color="auto" w:fill="auto"/>
            <w:vAlign w:val="center"/>
          </w:tcPr>
          <w:p w:rsidR="00F12C87" w:rsidRPr="003B3C54" w:rsidRDefault="00F12C87" w:rsidP="003712E7">
            <w:pPr>
              <w:rPr>
                <w:sz w:val="18"/>
                <w:szCs w:val="18"/>
              </w:rPr>
            </w:pPr>
            <w:r w:rsidRPr="003B3C54">
              <w:rPr>
                <w:sz w:val="18"/>
                <w:szCs w:val="18"/>
              </w:rPr>
              <w:t xml:space="preserve">Based on </w:t>
            </w:r>
            <w:r w:rsidR="00BD5898" w:rsidRPr="003B3C54">
              <w:rPr>
                <w:sz w:val="18"/>
                <w:szCs w:val="18"/>
              </w:rPr>
              <w:t>the</w:t>
            </w:r>
            <w:r w:rsidRPr="003B3C54">
              <w:rPr>
                <w:sz w:val="18"/>
                <w:szCs w:val="18"/>
              </w:rPr>
              <w:t xml:space="preserve"> </w:t>
            </w:r>
            <w:r w:rsidR="00C217F0" w:rsidRPr="003B3C54">
              <w:rPr>
                <w:sz w:val="18"/>
                <w:szCs w:val="18"/>
              </w:rPr>
              <w:t>Calivil Formation</w:t>
            </w:r>
            <w:r w:rsidR="00106292" w:rsidRPr="003B3C54">
              <w:rPr>
                <w:sz w:val="18"/>
                <w:szCs w:val="18"/>
              </w:rPr>
              <w:t xml:space="preserve"> </w:t>
            </w:r>
            <w:r w:rsidRPr="003B3C54">
              <w:rPr>
                <w:sz w:val="18"/>
                <w:szCs w:val="18"/>
              </w:rPr>
              <w:t>aquifer potentiometric surface over target area for December 2011</w:t>
            </w:r>
            <w:r w:rsidR="00BD5898" w:rsidRPr="003B3C54">
              <w:rPr>
                <w:sz w:val="18"/>
                <w:szCs w:val="18"/>
              </w:rPr>
              <w:t xml:space="preserve"> interpreted from borehole monitoring data</w:t>
            </w:r>
            <w:r w:rsidRPr="003B3C54">
              <w:rPr>
                <w:sz w:val="18"/>
                <w:szCs w:val="18"/>
              </w:rPr>
              <w:t>.</w:t>
            </w:r>
          </w:p>
        </w:tc>
      </w:tr>
      <w:tr w:rsidR="00F12C87" w:rsidRPr="003B3C54" w:rsidTr="000641F5">
        <w:tc>
          <w:tcPr>
            <w:tcW w:w="2340" w:type="dxa"/>
            <w:shd w:val="clear" w:color="auto" w:fill="A6A6A6"/>
            <w:vAlign w:val="center"/>
          </w:tcPr>
          <w:p w:rsidR="00F12C87" w:rsidRPr="003B3C54" w:rsidRDefault="00F12C87" w:rsidP="000641F5">
            <w:pPr>
              <w:jc w:val="center"/>
              <w:rPr>
                <w:b/>
                <w:sz w:val="18"/>
                <w:szCs w:val="18"/>
              </w:rPr>
            </w:pPr>
            <w:r w:rsidRPr="003B3C54">
              <w:rPr>
                <w:b/>
                <w:sz w:val="18"/>
                <w:szCs w:val="18"/>
              </w:rPr>
              <w:t>Depth to groundwater level from ground surface (m)</w:t>
            </w:r>
          </w:p>
        </w:tc>
        <w:tc>
          <w:tcPr>
            <w:tcW w:w="3600" w:type="dxa"/>
            <w:shd w:val="clear" w:color="auto" w:fill="auto"/>
            <w:vAlign w:val="center"/>
          </w:tcPr>
          <w:p w:rsidR="00F12C87" w:rsidRPr="003B3C54" w:rsidRDefault="00F12C87" w:rsidP="003712E7">
            <w:pPr>
              <w:rPr>
                <w:sz w:val="18"/>
                <w:szCs w:val="18"/>
              </w:rPr>
            </w:pPr>
            <w:r w:rsidRPr="003B3C54">
              <w:rPr>
                <w:sz w:val="18"/>
                <w:szCs w:val="18"/>
              </w:rPr>
              <w:t>Range: 7-22 m</w:t>
            </w:r>
          </w:p>
          <w:p w:rsidR="00F12C87" w:rsidRPr="003B3C54" w:rsidRDefault="00F12C87" w:rsidP="003712E7">
            <w:pPr>
              <w:rPr>
                <w:sz w:val="18"/>
                <w:szCs w:val="18"/>
              </w:rPr>
            </w:pPr>
            <w:r w:rsidRPr="003B3C54">
              <w:rPr>
                <w:sz w:val="18"/>
                <w:szCs w:val="18"/>
              </w:rPr>
              <w:t>Mean: 14 m</w:t>
            </w:r>
          </w:p>
        </w:tc>
        <w:tc>
          <w:tcPr>
            <w:tcW w:w="3780" w:type="dxa"/>
            <w:shd w:val="clear" w:color="auto" w:fill="auto"/>
            <w:vAlign w:val="center"/>
          </w:tcPr>
          <w:p w:rsidR="00F12C87" w:rsidRPr="003B3C54" w:rsidRDefault="00F12C87" w:rsidP="003712E7">
            <w:pPr>
              <w:rPr>
                <w:sz w:val="18"/>
                <w:szCs w:val="18"/>
              </w:rPr>
            </w:pPr>
            <w:r w:rsidRPr="003B3C54">
              <w:rPr>
                <w:sz w:val="18"/>
                <w:szCs w:val="18"/>
              </w:rPr>
              <w:t xml:space="preserve">Based on difference grid between ground surface and </w:t>
            </w:r>
            <w:r w:rsidR="00BD5898" w:rsidRPr="003B3C54">
              <w:rPr>
                <w:sz w:val="18"/>
                <w:szCs w:val="18"/>
              </w:rPr>
              <w:t xml:space="preserve">the interpreted </w:t>
            </w:r>
            <w:r w:rsidR="00C217F0" w:rsidRPr="003B3C54">
              <w:rPr>
                <w:sz w:val="18"/>
                <w:szCs w:val="18"/>
              </w:rPr>
              <w:t>Calivil Formation</w:t>
            </w:r>
            <w:r w:rsidR="00106292" w:rsidRPr="003B3C54">
              <w:rPr>
                <w:sz w:val="18"/>
                <w:szCs w:val="18"/>
              </w:rPr>
              <w:t xml:space="preserve"> </w:t>
            </w:r>
            <w:r w:rsidRPr="003B3C54">
              <w:rPr>
                <w:sz w:val="18"/>
                <w:szCs w:val="18"/>
              </w:rPr>
              <w:t>potentiometric surface over target area.</w:t>
            </w:r>
          </w:p>
        </w:tc>
      </w:tr>
      <w:tr w:rsidR="00F12C87" w:rsidRPr="003B3C54" w:rsidTr="000641F5">
        <w:tc>
          <w:tcPr>
            <w:tcW w:w="2340" w:type="dxa"/>
            <w:shd w:val="clear" w:color="auto" w:fill="A6A6A6"/>
            <w:vAlign w:val="center"/>
          </w:tcPr>
          <w:p w:rsidR="00F12C87" w:rsidRPr="003B3C54" w:rsidRDefault="00F12C87" w:rsidP="000641F5">
            <w:pPr>
              <w:jc w:val="center"/>
              <w:rPr>
                <w:sz w:val="18"/>
                <w:szCs w:val="18"/>
              </w:rPr>
            </w:pPr>
            <w:r w:rsidRPr="003B3C54">
              <w:rPr>
                <w:b/>
                <w:sz w:val="18"/>
                <w:szCs w:val="18"/>
              </w:rPr>
              <w:t>Groundwater salinity (TDS, mg/L)</w:t>
            </w:r>
          </w:p>
        </w:tc>
        <w:tc>
          <w:tcPr>
            <w:tcW w:w="3600" w:type="dxa"/>
            <w:shd w:val="clear" w:color="auto" w:fill="auto"/>
            <w:vAlign w:val="center"/>
          </w:tcPr>
          <w:p w:rsidR="00F12C87" w:rsidRPr="003B3C54" w:rsidRDefault="00F12C87" w:rsidP="003712E7">
            <w:pPr>
              <w:rPr>
                <w:sz w:val="18"/>
                <w:szCs w:val="18"/>
              </w:rPr>
            </w:pPr>
            <w:r w:rsidRPr="003B3C54">
              <w:rPr>
                <w:sz w:val="18"/>
                <w:szCs w:val="18"/>
              </w:rPr>
              <w:t>&lt;3000 mg/L</w:t>
            </w:r>
          </w:p>
          <w:p w:rsidR="00F12C87" w:rsidRPr="003B3C54" w:rsidRDefault="00BD5898" w:rsidP="003712E7">
            <w:pPr>
              <w:rPr>
                <w:sz w:val="18"/>
                <w:szCs w:val="18"/>
              </w:rPr>
            </w:pPr>
            <w:r w:rsidRPr="003B3C54">
              <w:rPr>
                <w:sz w:val="18"/>
                <w:szCs w:val="18"/>
              </w:rPr>
              <w:t xml:space="preserve">Range: </w:t>
            </w:r>
            <w:r w:rsidR="00F12C87" w:rsidRPr="003B3C54">
              <w:rPr>
                <w:sz w:val="18"/>
                <w:szCs w:val="18"/>
              </w:rPr>
              <w:t>1071-3658 mg/L</w:t>
            </w:r>
            <w:r w:rsidRPr="003B3C54">
              <w:rPr>
                <w:sz w:val="18"/>
                <w:szCs w:val="18"/>
              </w:rPr>
              <w:t xml:space="preserve"> Mean: </w:t>
            </w:r>
            <w:r w:rsidR="00F12C87" w:rsidRPr="003B3C54">
              <w:rPr>
                <w:sz w:val="18"/>
                <w:szCs w:val="18"/>
              </w:rPr>
              <w:t>2364 mg/L</w:t>
            </w:r>
          </w:p>
        </w:tc>
        <w:tc>
          <w:tcPr>
            <w:tcW w:w="3780" w:type="dxa"/>
            <w:shd w:val="clear" w:color="auto" w:fill="auto"/>
            <w:vAlign w:val="center"/>
          </w:tcPr>
          <w:p w:rsidR="00F12C87" w:rsidRPr="003B3C54" w:rsidRDefault="00BD5898" w:rsidP="003712E7">
            <w:pPr>
              <w:rPr>
                <w:sz w:val="18"/>
                <w:szCs w:val="18"/>
              </w:rPr>
            </w:pPr>
            <w:r w:rsidRPr="003B3C54">
              <w:rPr>
                <w:sz w:val="18"/>
                <w:szCs w:val="18"/>
              </w:rPr>
              <w:t>Total dissolved solids (</w:t>
            </w:r>
            <w:r w:rsidR="00F12C87" w:rsidRPr="003B3C54">
              <w:rPr>
                <w:sz w:val="18"/>
                <w:szCs w:val="18"/>
              </w:rPr>
              <w:t>TDS</w:t>
            </w:r>
            <w:r w:rsidRPr="003B3C54">
              <w:rPr>
                <w:sz w:val="18"/>
                <w:szCs w:val="18"/>
              </w:rPr>
              <w:t>)</w:t>
            </w:r>
            <w:r w:rsidR="00F12C87" w:rsidRPr="003B3C54">
              <w:rPr>
                <w:sz w:val="18"/>
                <w:szCs w:val="18"/>
              </w:rPr>
              <w:t xml:space="preserve"> range and average of groundwater sampling from BHMAR48-1 and 58-1.</w:t>
            </w:r>
          </w:p>
        </w:tc>
      </w:tr>
      <w:tr w:rsidR="00F12C87" w:rsidRPr="003B3C54" w:rsidTr="000641F5">
        <w:tc>
          <w:tcPr>
            <w:tcW w:w="2340" w:type="dxa"/>
            <w:shd w:val="clear" w:color="auto" w:fill="A6A6A6"/>
            <w:vAlign w:val="center"/>
          </w:tcPr>
          <w:p w:rsidR="00F12C87" w:rsidRPr="003B3C54" w:rsidRDefault="00F12C87" w:rsidP="000641F5">
            <w:pPr>
              <w:jc w:val="center"/>
              <w:rPr>
                <w:b/>
                <w:sz w:val="18"/>
                <w:szCs w:val="18"/>
              </w:rPr>
            </w:pPr>
            <w:r w:rsidRPr="003B3C54">
              <w:rPr>
                <w:b/>
                <w:sz w:val="18"/>
                <w:szCs w:val="18"/>
              </w:rPr>
              <w:t>ADWG2011 water quality exceedances</w:t>
            </w:r>
          </w:p>
        </w:tc>
        <w:tc>
          <w:tcPr>
            <w:tcW w:w="3600" w:type="dxa"/>
            <w:shd w:val="clear" w:color="auto" w:fill="auto"/>
            <w:vAlign w:val="center"/>
          </w:tcPr>
          <w:p w:rsidR="00F12C87" w:rsidRPr="003B3C54" w:rsidRDefault="00BD5898" w:rsidP="003712E7">
            <w:pPr>
              <w:rPr>
                <w:sz w:val="18"/>
                <w:szCs w:val="18"/>
              </w:rPr>
            </w:pPr>
            <w:r w:rsidRPr="003B3C54">
              <w:rPr>
                <w:sz w:val="18"/>
                <w:szCs w:val="18"/>
              </w:rPr>
              <w:t xml:space="preserve">Total Dissolved Solids </w:t>
            </w:r>
            <w:r w:rsidR="00F12C87" w:rsidRPr="003B3C54">
              <w:rPr>
                <w:sz w:val="18"/>
                <w:szCs w:val="18"/>
              </w:rPr>
              <w:t>TDS &gt;600 mg/L</w:t>
            </w:r>
            <w:r w:rsidR="00465915" w:rsidRPr="003B3C54">
              <w:rPr>
                <w:sz w:val="18"/>
                <w:szCs w:val="18"/>
              </w:rPr>
              <w:t xml:space="preserve"> </w:t>
            </w:r>
            <w:r w:rsidR="00F12C87" w:rsidRPr="003B3C54">
              <w:rPr>
                <w:sz w:val="18"/>
                <w:szCs w:val="18"/>
              </w:rPr>
              <w:t>(2/2)</w:t>
            </w:r>
          </w:p>
          <w:p w:rsidR="00F12C87" w:rsidRPr="003B3C54" w:rsidRDefault="00BD5898" w:rsidP="003712E7">
            <w:pPr>
              <w:rPr>
                <w:sz w:val="18"/>
                <w:szCs w:val="18"/>
              </w:rPr>
            </w:pPr>
            <w:r w:rsidRPr="003B3C54">
              <w:rPr>
                <w:sz w:val="18"/>
                <w:szCs w:val="18"/>
              </w:rPr>
              <w:t xml:space="preserve">Total Dissolved Solids </w:t>
            </w:r>
            <w:r w:rsidR="00F12C87" w:rsidRPr="003B3C54">
              <w:rPr>
                <w:sz w:val="18"/>
                <w:szCs w:val="18"/>
              </w:rPr>
              <w:t>TDS &gt;1200 mg/L (2/2)</w:t>
            </w:r>
          </w:p>
          <w:p w:rsidR="00F12C87" w:rsidRPr="003B3C54" w:rsidRDefault="00BD5898" w:rsidP="003712E7">
            <w:pPr>
              <w:rPr>
                <w:sz w:val="18"/>
                <w:szCs w:val="18"/>
              </w:rPr>
            </w:pPr>
            <w:r w:rsidRPr="003B3C54">
              <w:rPr>
                <w:sz w:val="18"/>
                <w:szCs w:val="18"/>
              </w:rPr>
              <w:t xml:space="preserve">Chloride </w:t>
            </w:r>
            <w:r w:rsidR="00F12C87" w:rsidRPr="003B3C54">
              <w:rPr>
                <w:sz w:val="18"/>
                <w:szCs w:val="18"/>
              </w:rPr>
              <w:t>Cl &gt;250 mg/L (2/2)</w:t>
            </w:r>
          </w:p>
          <w:p w:rsidR="00F12C87" w:rsidRPr="003B3C54" w:rsidRDefault="00BD5898" w:rsidP="003712E7">
            <w:pPr>
              <w:rPr>
                <w:sz w:val="18"/>
                <w:szCs w:val="18"/>
              </w:rPr>
            </w:pPr>
            <w:r w:rsidRPr="003B3C54">
              <w:rPr>
                <w:sz w:val="18"/>
                <w:szCs w:val="18"/>
              </w:rPr>
              <w:t xml:space="preserve">Sodium </w:t>
            </w:r>
            <w:r w:rsidR="00F12C87" w:rsidRPr="003B3C54">
              <w:rPr>
                <w:sz w:val="18"/>
                <w:szCs w:val="18"/>
              </w:rPr>
              <w:t>Na &gt;180 mg/L (2/2)</w:t>
            </w:r>
          </w:p>
          <w:p w:rsidR="00F12C87" w:rsidRPr="003B3C54" w:rsidRDefault="00BD5898" w:rsidP="003712E7">
            <w:pPr>
              <w:rPr>
                <w:sz w:val="18"/>
                <w:szCs w:val="18"/>
              </w:rPr>
            </w:pPr>
            <w:r w:rsidRPr="003B3C54">
              <w:rPr>
                <w:sz w:val="18"/>
                <w:szCs w:val="18"/>
              </w:rPr>
              <w:t xml:space="preserve">Sulfate </w:t>
            </w:r>
            <w:r w:rsidR="00F12C87" w:rsidRPr="003B3C54">
              <w:rPr>
                <w:sz w:val="18"/>
                <w:szCs w:val="18"/>
              </w:rPr>
              <w:t>SO</w:t>
            </w:r>
            <w:r w:rsidR="00F12C87" w:rsidRPr="003B3C54">
              <w:rPr>
                <w:sz w:val="18"/>
                <w:szCs w:val="18"/>
                <w:vertAlign w:val="subscript"/>
              </w:rPr>
              <w:t>4</w:t>
            </w:r>
            <w:r w:rsidR="00F12C87" w:rsidRPr="003B3C54">
              <w:rPr>
                <w:sz w:val="18"/>
                <w:szCs w:val="18"/>
              </w:rPr>
              <w:t xml:space="preserve"> &gt;250 mg/L (1/2)</w:t>
            </w:r>
          </w:p>
          <w:p w:rsidR="00F12C87" w:rsidRPr="003B3C54" w:rsidRDefault="00BD5898" w:rsidP="003712E7">
            <w:pPr>
              <w:rPr>
                <w:sz w:val="18"/>
                <w:szCs w:val="18"/>
                <w:lang w:val="it-IT"/>
              </w:rPr>
            </w:pPr>
            <w:r w:rsidRPr="003B3C54">
              <w:rPr>
                <w:sz w:val="18"/>
                <w:szCs w:val="18"/>
                <w:lang w:val="it-IT"/>
              </w:rPr>
              <w:t xml:space="preserve">Iron </w:t>
            </w:r>
            <w:r w:rsidR="00F12C87" w:rsidRPr="003B3C54">
              <w:rPr>
                <w:sz w:val="18"/>
                <w:szCs w:val="18"/>
                <w:lang w:val="it-IT"/>
              </w:rPr>
              <w:t>Fe &gt;0.3 mg/L (2/2)</w:t>
            </w:r>
          </w:p>
          <w:p w:rsidR="00F12C87" w:rsidRPr="003B3C54" w:rsidRDefault="00BD5898" w:rsidP="003712E7">
            <w:pPr>
              <w:rPr>
                <w:sz w:val="18"/>
                <w:szCs w:val="18"/>
                <w:lang w:val="it-IT"/>
              </w:rPr>
            </w:pPr>
            <w:r w:rsidRPr="003B3C54">
              <w:rPr>
                <w:sz w:val="18"/>
                <w:szCs w:val="18"/>
                <w:lang w:val="it-IT"/>
              </w:rPr>
              <w:t xml:space="preserve">Manganese </w:t>
            </w:r>
            <w:r w:rsidR="00F12C87" w:rsidRPr="003B3C54">
              <w:rPr>
                <w:sz w:val="18"/>
                <w:szCs w:val="18"/>
                <w:lang w:val="it-IT"/>
              </w:rPr>
              <w:t>Mn &gt;0.1 mg/L (2/2)</w:t>
            </w:r>
          </w:p>
          <w:p w:rsidR="00F12C87" w:rsidRPr="003B3C54" w:rsidRDefault="00BD5898" w:rsidP="003712E7">
            <w:pPr>
              <w:rPr>
                <w:sz w:val="18"/>
                <w:szCs w:val="18"/>
                <w:lang w:val="it-IT"/>
              </w:rPr>
            </w:pPr>
            <w:r w:rsidRPr="003B3C54">
              <w:rPr>
                <w:sz w:val="18"/>
                <w:szCs w:val="18"/>
                <w:lang w:val="it-IT"/>
              </w:rPr>
              <w:t xml:space="preserve">Ammonia </w:t>
            </w:r>
            <w:r w:rsidR="00F12C87" w:rsidRPr="003B3C54">
              <w:rPr>
                <w:sz w:val="18"/>
                <w:szCs w:val="18"/>
                <w:lang w:val="it-IT"/>
              </w:rPr>
              <w:t>NH</w:t>
            </w:r>
            <w:r w:rsidR="00F12C87" w:rsidRPr="003B3C54">
              <w:rPr>
                <w:sz w:val="18"/>
                <w:szCs w:val="18"/>
                <w:vertAlign w:val="subscript"/>
                <w:lang w:val="it-IT"/>
              </w:rPr>
              <w:t>3</w:t>
            </w:r>
            <w:r w:rsidR="00F12C87" w:rsidRPr="003B3C54">
              <w:rPr>
                <w:sz w:val="18"/>
                <w:szCs w:val="18"/>
                <w:lang w:val="it-IT"/>
              </w:rPr>
              <w:t xml:space="preserve"> &gt;0.39 mg/L-N (1/2)</w:t>
            </w:r>
          </w:p>
        </w:tc>
        <w:tc>
          <w:tcPr>
            <w:tcW w:w="3780" w:type="dxa"/>
            <w:shd w:val="clear" w:color="auto" w:fill="auto"/>
            <w:vAlign w:val="center"/>
          </w:tcPr>
          <w:p w:rsidR="00F12C87" w:rsidRPr="003B3C54" w:rsidRDefault="00BD5898" w:rsidP="003712E7">
            <w:pPr>
              <w:rPr>
                <w:sz w:val="18"/>
                <w:szCs w:val="18"/>
              </w:rPr>
            </w:pPr>
            <w:r w:rsidRPr="003B3C54">
              <w:rPr>
                <w:sz w:val="18"/>
                <w:szCs w:val="18"/>
              </w:rPr>
              <w:t>Australian Drinking Water Guidelines (ADWG2011) exceedances for 2 g</w:t>
            </w:r>
            <w:r w:rsidR="00F12C87" w:rsidRPr="003B3C54">
              <w:rPr>
                <w:sz w:val="18"/>
                <w:szCs w:val="18"/>
              </w:rPr>
              <w:t>roundwater sampl</w:t>
            </w:r>
            <w:r w:rsidRPr="003B3C54">
              <w:rPr>
                <w:sz w:val="18"/>
                <w:szCs w:val="18"/>
              </w:rPr>
              <w:t>es</w:t>
            </w:r>
            <w:r w:rsidR="00F12C87" w:rsidRPr="003B3C54">
              <w:rPr>
                <w:sz w:val="18"/>
                <w:szCs w:val="18"/>
              </w:rPr>
              <w:t xml:space="preserve"> from BHMAR48-1 and 58-1.</w:t>
            </w:r>
          </w:p>
        </w:tc>
      </w:tr>
    </w:tbl>
    <w:p w:rsidR="008C2768" w:rsidRDefault="002D703C" w:rsidP="00035877">
      <w:pPr>
        <w:rPr>
          <w:szCs w:val="22"/>
        </w:rPr>
      </w:pPr>
      <w:r w:rsidRPr="002D703C">
        <w:rPr>
          <w:sz w:val="20"/>
          <w:szCs w:val="20"/>
        </w:rPr>
        <w:t xml:space="preserve">Note: The NMR data in this table were collected in 2011 using the Javelin tool with an inter-echo spacing of 2.5 ms. Subsequent laboratory and field tests have demonstrated that this setting underestimates the </w:t>
      </w:r>
      <w:r w:rsidR="000641F5">
        <w:rPr>
          <w:sz w:val="20"/>
          <w:szCs w:val="20"/>
        </w:rPr>
        <w:t>mobile</w:t>
      </w:r>
      <w:r w:rsidRPr="002D703C">
        <w:rPr>
          <w:sz w:val="20"/>
          <w:szCs w:val="20"/>
        </w:rPr>
        <w:t xml:space="preserve"> and total water content, and derived porosities, and should only be used on a semi-quantitative comparative basis. The NMR data may also be unreliable in zones where there is significant iron-(hematite) coating of quartz grains</w:t>
      </w:r>
      <w:r>
        <w:t>.</w:t>
      </w:r>
    </w:p>
    <w:p w:rsidR="008C2768" w:rsidRPr="008C2768" w:rsidRDefault="008C2768" w:rsidP="00035877">
      <w:pPr>
        <w:rPr>
          <w:szCs w:val="22"/>
        </w:rPr>
        <w:sectPr w:rsidR="008C2768" w:rsidRPr="008C2768" w:rsidSect="00C6706D">
          <w:headerReference w:type="even" r:id="rId143"/>
          <w:headerReference w:type="default" r:id="rId144"/>
          <w:footerReference w:type="even" r:id="rId145"/>
          <w:footerReference w:type="default" r:id="rId146"/>
          <w:headerReference w:type="first" r:id="rId147"/>
          <w:pgSz w:w="11906" w:h="16838"/>
          <w:pgMar w:top="1191" w:right="964" w:bottom="1077" w:left="1134" w:header="709" w:footer="709" w:gutter="0"/>
          <w:cols w:space="708"/>
          <w:docGrid w:linePitch="360"/>
        </w:sectPr>
      </w:pPr>
    </w:p>
    <w:p w:rsidR="00035877" w:rsidRDefault="00CD2825" w:rsidP="00FE37F2">
      <w:pPr>
        <w:pStyle w:val="Caption"/>
      </w:pPr>
      <w:bookmarkStart w:id="677" w:name="_Ref325709776"/>
      <w:r w:rsidRPr="002D4C74">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6</w:t>
      </w:r>
      <w:r w:rsidR="00B96C96">
        <w:rPr>
          <w:b/>
        </w:rPr>
        <w:fldChar w:fldCharType="end"/>
      </w:r>
      <w:bookmarkEnd w:id="677"/>
      <w:r w:rsidRPr="002D4C74">
        <w:rPr>
          <w:b/>
        </w:rPr>
        <w:t>.</w:t>
      </w:r>
      <w:r w:rsidRPr="002D4C74">
        <w:t xml:space="preserve"> </w:t>
      </w:r>
      <w:r w:rsidR="00035877" w:rsidRPr="002D4C74">
        <w:rPr>
          <w:rFonts w:cs="Arial"/>
        </w:rPr>
        <w:t>Entry-level risk assessment for the BHMAR ASR sites at the Larloona Site</w:t>
      </w:r>
      <w:r w:rsidR="003721DD" w:rsidRPr="002D4C74">
        <w:rPr>
          <w:rFonts w:cs="Arial"/>
        </w:rPr>
        <w:t>-</w:t>
      </w:r>
      <w:r w:rsidR="00035877" w:rsidRPr="002D4C74">
        <w:rPr>
          <w:rFonts w:cs="Arial"/>
        </w:rPr>
        <w:t xml:space="preserve"> Part 2: degree of difficulty. </w:t>
      </w:r>
      <w:r w:rsidR="00035877" w:rsidRPr="002D4C74">
        <w:rPr>
          <w:szCs w:val="20"/>
        </w:rPr>
        <w:t xml:space="preserve">Completed as per section 4.3 of the </w:t>
      </w:r>
      <w:smartTag w:uri="urn:schemas-microsoft-com:office:smarttags" w:element="stockticker">
        <w:r w:rsidR="00035877" w:rsidRPr="002D4C74">
          <w:rPr>
            <w:szCs w:val="20"/>
          </w:rPr>
          <w:t>MAR</w:t>
        </w:r>
      </w:smartTag>
      <w:r w:rsidR="00035877" w:rsidRPr="002D4C74">
        <w:rPr>
          <w:szCs w:val="20"/>
        </w:rPr>
        <w:t xml:space="preserve"> guidelines (</w:t>
      </w:r>
      <w:r w:rsidR="0089737C" w:rsidRPr="002D4C74">
        <w:t>NRMMC–EPHC–NHMRC, 2009</w:t>
      </w:r>
      <w:r w:rsidR="00035877" w:rsidRPr="002D4C74">
        <w:rPr>
          <w:szCs w:val="20"/>
        </w:rPr>
        <w:t>).</w:t>
      </w:r>
      <w:r w:rsidR="00DD5B97" w:rsidRPr="002D4C74">
        <w:t xml:space="preserve"> </w:t>
      </w:r>
      <w:r w:rsidR="00DD5B97" w:rsidRPr="002D4C74">
        <w:rPr>
          <w:i w:val="0"/>
        </w:rPr>
        <w:fldChar w:fldCharType="begin"/>
      </w:r>
      <w:r w:rsidR="00DD5B97" w:rsidRPr="002D4C74">
        <w:rPr>
          <w:i w:val="0"/>
        </w:rPr>
        <w:instrText xml:space="preserve"> TC "</w:instrText>
      </w:r>
      <w:bookmarkStart w:id="678" w:name="_Toc325975318"/>
      <w:bookmarkStart w:id="679" w:name="_Toc390690307"/>
      <w:r w:rsidR="00DD5B97" w:rsidRPr="002D4C74">
        <w:rPr>
          <w:i w:val="0"/>
        </w:rPr>
        <w:instrText xml:space="preserve">Table </w:instrText>
      </w:r>
      <w:r w:rsidR="000D653B">
        <w:rPr>
          <w:i w:val="0"/>
        </w:rPr>
        <w:instrText>9-6</w:instrText>
      </w:r>
      <w:r w:rsidR="00DE0DFA" w:rsidRPr="002D4C74">
        <w:rPr>
          <w:i w:val="0"/>
        </w:rPr>
        <w:instrText>.</w:instrText>
      </w:r>
      <w:r w:rsidR="00DD5B97" w:rsidRPr="002D4C74">
        <w:rPr>
          <w:i w:val="0"/>
        </w:rPr>
        <w:instrText xml:space="preserve"> </w:instrText>
      </w:r>
      <w:r w:rsidR="00DD5B97" w:rsidRPr="002D4C74">
        <w:rPr>
          <w:rFonts w:cs="Arial"/>
          <w:i w:val="0"/>
        </w:rPr>
        <w:instrText>Entry-level risk assessment for the BHMAR ASR sites at the Larloona Site</w:instrText>
      </w:r>
      <w:bookmarkEnd w:id="678"/>
      <w:r w:rsidR="003721DD" w:rsidRPr="002D4C74">
        <w:rPr>
          <w:i w:val="0"/>
        </w:rPr>
        <w:instrText>.</w:instrText>
      </w:r>
      <w:bookmarkEnd w:id="679"/>
      <w:r w:rsidR="00DD5B97" w:rsidRPr="002D4C74">
        <w:rPr>
          <w:i w:val="0"/>
        </w:rPr>
        <w:instrText xml:space="preserve">" \f B \l "4" </w:instrText>
      </w:r>
      <w:r w:rsidR="00DD5B97" w:rsidRPr="002D4C74">
        <w:rPr>
          <w:i w:val="0"/>
        </w:rPr>
        <w:fldChar w:fldCharType="end"/>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7"/>
        <w:gridCol w:w="6916"/>
        <w:gridCol w:w="4053"/>
      </w:tblGrid>
      <w:tr w:rsidR="00035877" w:rsidRPr="006205C3" w:rsidTr="00370829">
        <w:tc>
          <w:tcPr>
            <w:tcW w:w="3817" w:type="dxa"/>
            <w:shd w:val="clear" w:color="auto" w:fill="C0C0C0"/>
          </w:tcPr>
          <w:p w:rsidR="00035877" w:rsidRPr="006205C3" w:rsidRDefault="00035877" w:rsidP="00370829">
            <w:pPr>
              <w:rPr>
                <w:rFonts w:cs="Arial"/>
                <w:b/>
                <w:szCs w:val="22"/>
              </w:rPr>
            </w:pPr>
            <w:r w:rsidRPr="006205C3">
              <w:rPr>
                <w:rFonts w:cs="Arial"/>
                <w:b/>
                <w:szCs w:val="22"/>
              </w:rPr>
              <w:t>Question</w:t>
            </w:r>
          </w:p>
        </w:tc>
        <w:tc>
          <w:tcPr>
            <w:tcW w:w="6916"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Larloona ASR site</w:t>
            </w:r>
          </w:p>
        </w:tc>
        <w:tc>
          <w:tcPr>
            <w:tcW w:w="4053"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6205C3" w:rsidTr="00370829">
        <w:tc>
          <w:tcPr>
            <w:tcW w:w="14786" w:type="dxa"/>
            <w:gridSpan w:val="3"/>
            <w:shd w:val="clear" w:color="auto" w:fill="E6E6E6"/>
          </w:tcPr>
          <w:p w:rsidR="00035877" w:rsidRPr="006F58AF" w:rsidRDefault="00035877" w:rsidP="00370829">
            <w:pPr>
              <w:rPr>
                <w:b/>
                <w:sz w:val="20"/>
                <w:szCs w:val="20"/>
              </w:rPr>
            </w:pPr>
            <w:r w:rsidRPr="006F58AF">
              <w:rPr>
                <w:b/>
                <w:sz w:val="20"/>
                <w:szCs w:val="20"/>
              </w:rPr>
              <w:t>1. Source water quality with respect to groundwater environmental values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Does source water quality meet the requirements for the environmental values of ambient groundwater?</w:t>
            </w:r>
          </w:p>
        </w:tc>
        <w:tc>
          <w:tcPr>
            <w:tcW w:w="6916" w:type="dxa"/>
          </w:tcPr>
          <w:p w:rsidR="00035877" w:rsidRPr="00D371D0" w:rsidRDefault="00035877" w:rsidP="00370829">
            <w:pPr>
              <w:rPr>
                <w:rFonts w:cs="Arial"/>
                <w:sz w:val="18"/>
                <w:szCs w:val="18"/>
              </w:rPr>
            </w:pPr>
            <w:r w:rsidRPr="00D371D0">
              <w:rPr>
                <w:rFonts w:cs="Arial"/>
                <w:sz w:val="18"/>
                <w:szCs w:val="18"/>
              </w:rPr>
              <w:t xml:space="preserve">Yes. </w:t>
            </w:r>
            <w:smartTag w:uri="urn:schemas-microsoft-com:office:smarttags" w:element="place">
              <w:r w:rsidRPr="00D371D0">
                <w:rPr>
                  <w:rFonts w:cs="Arial"/>
                  <w:sz w:val="18"/>
                  <w:szCs w:val="18"/>
                </w:rPr>
                <w:t>Darling River</w:t>
              </w:r>
            </w:smartTag>
            <w:r w:rsidRPr="00D371D0">
              <w:rPr>
                <w:rFonts w:cs="Arial"/>
                <w:sz w:val="18"/>
                <w:szCs w:val="18"/>
              </w:rPr>
              <w:t xml:space="preserve"> source water quality stored in the MLS is higher than most groundwater. Water quality requirements are met for the most common use of groundwater, livestock supply. Water quality requirements for the less common uses such as irrigation and drinking water are generally met, although iron, aluminium, pH, turbidity and phosphorus concentrations exceed irrigation and drinking water aesthetics on occasions. The concentrations of most of these constituents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3" w:type="dxa"/>
          </w:tcPr>
          <w:p w:rsidR="00035877" w:rsidRPr="00D371D0" w:rsidRDefault="00035877" w:rsidP="00370829">
            <w:pPr>
              <w:rPr>
                <w:rFonts w:cs="Arial"/>
                <w:sz w:val="18"/>
                <w:szCs w:val="18"/>
              </w:rPr>
            </w:pPr>
            <w:r w:rsidRPr="00D371D0">
              <w:rPr>
                <w:rFonts w:cs="Arial"/>
                <w:sz w:val="18"/>
                <w:szCs w:val="18"/>
              </w:rPr>
              <w:t>Particular potential contaminants (such as pesticides and microbiology) need to be specifically evaluated.</w:t>
            </w:r>
          </w:p>
        </w:tc>
      </w:tr>
      <w:tr w:rsidR="00035877" w:rsidRPr="006205C3" w:rsidTr="00370829">
        <w:tc>
          <w:tcPr>
            <w:tcW w:w="14786" w:type="dxa"/>
            <w:gridSpan w:val="3"/>
            <w:shd w:val="clear" w:color="auto" w:fill="E6E6E6"/>
          </w:tcPr>
          <w:p w:rsidR="00035877" w:rsidRPr="006F58AF" w:rsidRDefault="00035877" w:rsidP="00370829">
            <w:pPr>
              <w:rPr>
                <w:b/>
                <w:sz w:val="20"/>
                <w:szCs w:val="20"/>
              </w:rPr>
            </w:pPr>
            <w:r w:rsidRPr="006F58AF">
              <w:rPr>
                <w:b/>
                <w:sz w:val="20"/>
                <w:szCs w:val="20"/>
              </w:rPr>
              <w:t>2. Source water quality with respect to recovered water end use environmental values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Does source water quality meet the requirements for the environmental values of intended end uses of water on recovery?</w:t>
            </w:r>
          </w:p>
        </w:tc>
        <w:tc>
          <w:tcPr>
            <w:tcW w:w="6916" w:type="dxa"/>
          </w:tcPr>
          <w:p w:rsidR="00035877" w:rsidRPr="00D371D0" w:rsidRDefault="00035877" w:rsidP="00370829">
            <w:pPr>
              <w:rPr>
                <w:rFonts w:cs="Arial"/>
                <w:sz w:val="18"/>
                <w:szCs w:val="18"/>
              </w:rPr>
            </w:pPr>
            <w:r w:rsidRPr="00D371D0">
              <w:rPr>
                <w:rFonts w:cs="Arial"/>
                <w:sz w:val="18"/>
                <w:szCs w:val="18"/>
              </w:rPr>
              <w:t xml:space="preserve">No (health requirements); no (aesthetic requirements). Based on the historical data, source waters meet the health requirements of drinking water supplies for the </w:t>
            </w:r>
            <w:r w:rsidR="000F7A6F">
              <w:rPr>
                <w:rFonts w:cs="Arial"/>
                <w:sz w:val="18"/>
                <w:szCs w:val="18"/>
              </w:rPr>
              <w:t>city</w:t>
            </w:r>
            <w:r w:rsidRPr="00D371D0">
              <w:rPr>
                <w:rFonts w:cs="Arial"/>
                <w:sz w:val="18"/>
                <w:szCs w:val="18"/>
              </w:rPr>
              <w:t xml:space="preserve"> of </w:t>
            </w:r>
            <w:smartTag w:uri="urn:schemas-microsoft-com:office:smarttags" w:element="place">
              <w:smartTag w:uri="urn:schemas-microsoft-com:office:smarttags" w:element="City">
                <w:r w:rsidRPr="00D371D0">
                  <w:rPr>
                    <w:rFonts w:cs="Arial"/>
                    <w:sz w:val="18"/>
                    <w:szCs w:val="18"/>
                  </w:rPr>
                  <w:t>Broken</w:t>
                </w:r>
              </w:smartTag>
            </w:smartTag>
            <w:r w:rsidRPr="00D371D0">
              <w:rPr>
                <w:rFonts w:cs="Arial"/>
                <w:sz w:val="18"/>
                <w:szCs w:val="18"/>
              </w:rPr>
              <w:t xml:space="preserve"> Hill. The aesthetic requirements of drinking water if iron, aluminium, pH and turbidity levels are not met</w:t>
            </w:r>
            <w:r w:rsidR="000F7A6F">
              <w:rPr>
                <w:rFonts w:cs="Arial"/>
                <w:sz w:val="18"/>
                <w:szCs w:val="18"/>
              </w:rPr>
              <w:t>,</w:t>
            </w:r>
            <w:r w:rsidRPr="00D371D0">
              <w:rPr>
                <w:rFonts w:cs="Arial"/>
                <w:sz w:val="18"/>
                <w:szCs w:val="18"/>
              </w:rPr>
              <w:t xml:space="preserve"> but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3" w:type="dxa"/>
          </w:tcPr>
          <w:p w:rsidR="00035877" w:rsidRPr="00D371D0" w:rsidRDefault="00035877" w:rsidP="00370829">
            <w:pPr>
              <w:rPr>
                <w:rFonts w:cs="Arial"/>
                <w:sz w:val="18"/>
                <w:szCs w:val="18"/>
              </w:rPr>
            </w:pPr>
            <w:r w:rsidRPr="00D371D0">
              <w:rPr>
                <w:rFonts w:cs="Arial"/>
                <w:sz w:val="18"/>
                <w:szCs w:val="18"/>
              </w:rPr>
              <w:t>Geochemical assessment of reactions with ambient groundwater and aquifer material is required, and may indicate a need for post-recovery treatment.</w:t>
            </w:r>
          </w:p>
        </w:tc>
      </w:tr>
      <w:tr w:rsidR="00035877" w:rsidRPr="006205C3" w:rsidTr="00370829">
        <w:tc>
          <w:tcPr>
            <w:tcW w:w="14786" w:type="dxa"/>
            <w:gridSpan w:val="3"/>
            <w:shd w:val="clear" w:color="auto" w:fill="E6E6E6"/>
          </w:tcPr>
          <w:p w:rsidR="00035877" w:rsidRPr="006F58AF" w:rsidRDefault="00035877" w:rsidP="00370829">
            <w:pPr>
              <w:rPr>
                <w:b/>
                <w:sz w:val="20"/>
                <w:szCs w:val="20"/>
              </w:rPr>
            </w:pPr>
            <w:r w:rsidRPr="006F58AF">
              <w:rPr>
                <w:b/>
                <w:sz w:val="20"/>
                <w:szCs w:val="20"/>
              </w:rPr>
              <w:t>3. Source water quality with respect to clogging</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a) Is source water of low quality, for example: either total suspended solids, total organic carbon or total nitrogen &gt;10 mg/L,</w:t>
            </w:r>
          </w:p>
          <w:p w:rsidR="00035877" w:rsidRPr="00D371D0" w:rsidRDefault="00035877" w:rsidP="00370829">
            <w:pPr>
              <w:rPr>
                <w:rFonts w:cs="Arial"/>
                <w:sz w:val="18"/>
                <w:szCs w:val="18"/>
              </w:rPr>
            </w:pPr>
            <w:r w:rsidRPr="00D371D0">
              <w:rPr>
                <w:rFonts w:cs="Arial"/>
                <w:sz w:val="18"/>
                <w:szCs w:val="18"/>
              </w:rPr>
              <w:t>b) And is soil or aquifer free of macropores?</w:t>
            </w:r>
          </w:p>
        </w:tc>
        <w:tc>
          <w:tcPr>
            <w:tcW w:w="6916"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 xml:space="preserve">a) Yes. Based on the existing historical data from surface water monitoring sites over the last 30 years, source waters do not meet the total organic carbon or turbidity requirements cited as defining “low quality to avoid aquifer clogging”. </w:t>
            </w:r>
          </w:p>
          <w:p w:rsidR="00035877" w:rsidRPr="00D371D0" w:rsidRDefault="00035877" w:rsidP="00370829">
            <w:pPr>
              <w:rPr>
                <w:rFonts w:cs="Arial"/>
                <w:sz w:val="18"/>
                <w:szCs w:val="18"/>
              </w:rPr>
            </w:pPr>
            <w:r w:rsidRPr="00D371D0">
              <w:rPr>
                <w:rFonts w:cs="Arial"/>
                <w:sz w:val="18"/>
                <w:szCs w:val="18"/>
              </w:rPr>
              <w:t xml:space="preserve">b) Partially. Soils have variable characteristics across the project area; however, the sites identified as potential </w:t>
            </w:r>
            <w:smartTag w:uri="urn:schemas-microsoft-com:office:smarttags" w:element="stockticker">
              <w:r w:rsidRPr="00D371D0">
                <w:rPr>
                  <w:rFonts w:cs="Arial"/>
                  <w:sz w:val="18"/>
                  <w:szCs w:val="18"/>
                </w:rPr>
                <w:t>MAR</w:t>
              </w:r>
            </w:smartTag>
            <w:r w:rsidRPr="00D371D0">
              <w:rPr>
                <w:rFonts w:cs="Arial"/>
                <w:sz w:val="18"/>
                <w:szCs w:val="18"/>
              </w:rPr>
              <w:t xml:space="preserve"> targets and infiltration sites have been selected for their highly permeable and porous soils and aquifers. Macropore development is likely to be variable: cracking </w:t>
            </w:r>
            <w:r w:rsidR="001E3931">
              <w:rPr>
                <w:rFonts w:cs="Arial"/>
                <w:sz w:val="18"/>
                <w:szCs w:val="18"/>
              </w:rPr>
              <w:t>mud</w:t>
            </w:r>
            <w:r w:rsidRPr="00D371D0">
              <w:rPr>
                <w:rFonts w:cs="Arial"/>
                <w:sz w:val="18"/>
                <w:szCs w:val="18"/>
              </w:rPr>
              <w:t>s with macropore soil development can occur in floodplain areas, but target aquifers are unconsolidated sediments with limited macropore structures.</w:t>
            </w:r>
          </w:p>
        </w:tc>
        <w:tc>
          <w:tcPr>
            <w:tcW w:w="4053"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a) High risk of clogging of infiltration or injection facilities. Pre-treatment options for source water will need to be assessed.</w:t>
            </w:r>
          </w:p>
          <w:p w:rsidR="00035877" w:rsidRPr="00D371D0" w:rsidRDefault="00035877" w:rsidP="00370829">
            <w:pPr>
              <w:rPr>
                <w:rFonts w:cs="Arial"/>
                <w:sz w:val="18"/>
                <w:szCs w:val="18"/>
              </w:rPr>
            </w:pPr>
            <w:r w:rsidRPr="00D371D0">
              <w:rPr>
                <w:rFonts w:cs="Arial"/>
                <w:sz w:val="18"/>
                <w:szCs w:val="18"/>
              </w:rPr>
              <w:t>b) Although soils and aquifers identified as potential targets are less likely to experience clogging than fine-grained material, clogging is still likely given the low surface water quality. Pre-treatment options for source water will still need to be assessed.</w:t>
            </w:r>
          </w:p>
        </w:tc>
      </w:tr>
      <w:tr w:rsidR="00035877" w:rsidRPr="006205C3" w:rsidTr="00370829">
        <w:tc>
          <w:tcPr>
            <w:tcW w:w="14786" w:type="dxa"/>
            <w:gridSpan w:val="3"/>
            <w:shd w:val="clear" w:color="auto" w:fill="E6E6E6"/>
          </w:tcPr>
          <w:p w:rsidR="00035877" w:rsidRPr="006F58AF" w:rsidRDefault="00035877" w:rsidP="00370829">
            <w:pPr>
              <w:rPr>
                <w:b/>
                <w:sz w:val="20"/>
                <w:szCs w:val="20"/>
              </w:rPr>
            </w:pPr>
            <w:r w:rsidRPr="006F58AF">
              <w:rPr>
                <w:b/>
                <w:sz w:val="20"/>
                <w:szCs w:val="20"/>
              </w:rPr>
              <w:t xml:space="preserve">4. </w:t>
            </w:r>
            <w:smartTag w:uri="urn:schemas-microsoft-com:office:smarttags" w:element="PersonName">
              <w:r w:rsidRPr="006F58AF">
                <w:rPr>
                  <w:b/>
                  <w:sz w:val="20"/>
                  <w:szCs w:val="20"/>
                </w:rPr>
                <w:t>Groundwater</w:t>
              </w:r>
            </w:smartTag>
            <w:r w:rsidRPr="006F58AF">
              <w:rPr>
                <w:b/>
                <w:sz w:val="20"/>
                <w:szCs w:val="20"/>
              </w:rPr>
              <w:t xml:space="preserve"> quality with respect to recovered water end use environmental values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Does ambient groundwater meet the water quality requirements for the environmental values of intended end uses of water on recovery? </w:t>
            </w:r>
          </w:p>
        </w:tc>
        <w:tc>
          <w:tcPr>
            <w:tcW w:w="6916" w:type="dxa"/>
          </w:tcPr>
          <w:p w:rsidR="00035877" w:rsidRPr="00D371D0" w:rsidRDefault="00035877" w:rsidP="00370829">
            <w:pPr>
              <w:rPr>
                <w:rFonts w:cs="Arial"/>
                <w:sz w:val="18"/>
                <w:szCs w:val="18"/>
              </w:rPr>
            </w:pPr>
            <w:r w:rsidRPr="00D371D0">
              <w:rPr>
                <w:rFonts w:cs="Arial"/>
                <w:sz w:val="18"/>
                <w:szCs w:val="18"/>
              </w:rPr>
              <w:t xml:space="preserve">Not likely - </w:t>
            </w:r>
            <w:smartTag w:uri="urn:schemas-microsoft-com:office:smarttags" w:element="PersonName">
              <w:r w:rsidRPr="00D371D0">
                <w:rPr>
                  <w:rFonts w:cs="Arial"/>
                  <w:sz w:val="18"/>
                  <w:szCs w:val="18"/>
                </w:rPr>
                <w:t>Groundwater</w:t>
              </w:r>
            </w:smartTag>
            <w:r w:rsidRPr="00D371D0">
              <w:rPr>
                <w:rFonts w:cs="Arial"/>
                <w:sz w:val="18"/>
                <w:szCs w:val="18"/>
              </w:rPr>
              <w:t xml:space="preserve"> sampling from the </w:t>
            </w:r>
            <w:r w:rsidR="00C217F0">
              <w:rPr>
                <w:rFonts w:cs="Arial"/>
                <w:sz w:val="18"/>
                <w:szCs w:val="18"/>
              </w:rPr>
              <w:t>Calivil Formation</w:t>
            </w:r>
            <w:r w:rsidR="00670511">
              <w:rPr>
                <w:rFonts w:cs="Arial"/>
                <w:sz w:val="18"/>
                <w:szCs w:val="18"/>
              </w:rPr>
              <w:t xml:space="preserve"> </w:t>
            </w:r>
            <w:r w:rsidRPr="00D371D0">
              <w:rPr>
                <w:rFonts w:cs="Arial"/>
                <w:sz w:val="18"/>
                <w:szCs w:val="18"/>
              </w:rPr>
              <w:t>aquifer in the target area indicate variations in salinity from potable to saline. Fresher zones can have ADWG</w:t>
            </w:r>
            <w:r w:rsidR="00B81A6B">
              <w:rPr>
                <w:rFonts w:cs="Arial"/>
                <w:sz w:val="18"/>
                <w:szCs w:val="18"/>
              </w:rPr>
              <w:t>2011</w:t>
            </w:r>
            <w:r w:rsidRPr="00D371D0">
              <w:rPr>
                <w:rFonts w:cs="Arial"/>
                <w:sz w:val="18"/>
                <w:szCs w:val="18"/>
              </w:rPr>
              <w:t xml:space="preserve"> exceedances for iron and manganese that would require treatment.</w:t>
            </w:r>
          </w:p>
        </w:tc>
        <w:tc>
          <w:tcPr>
            <w:tcW w:w="4053" w:type="dxa"/>
          </w:tcPr>
          <w:p w:rsidR="00035877" w:rsidRPr="00D371D0" w:rsidRDefault="00035877" w:rsidP="00370829">
            <w:pPr>
              <w:rPr>
                <w:rFonts w:cs="Arial"/>
                <w:sz w:val="18"/>
                <w:szCs w:val="18"/>
              </w:rPr>
            </w:pPr>
            <w:r w:rsidRPr="00D371D0">
              <w:rPr>
                <w:rFonts w:cs="Arial"/>
                <w:sz w:val="18"/>
                <w:szCs w:val="18"/>
              </w:rPr>
              <w:t xml:space="preserve">Contrasts in </w:t>
            </w:r>
            <w:r w:rsidR="00C217F0">
              <w:rPr>
                <w:rFonts w:cs="Arial"/>
                <w:sz w:val="18"/>
                <w:szCs w:val="18"/>
              </w:rPr>
              <w:t>Calivil Formation</w:t>
            </w:r>
            <w:r w:rsidR="00670511">
              <w:rPr>
                <w:rFonts w:cs="Arial"/>
                <w:sz w:val="18"/>
                <w:szCs w:val="18"/>
              </w:rPr>
              <w:t xml:space="preserve"> </w:t>
            </w:r>
            <w:r w:rsidRPr="00D371D0">
              <w:rPr>
                <w:rFonts w:cs="Arial"/>
                <w:sz w:val="18"/>
                <w:szCs w:val="18"/>
              </w:rPr>
              <w:t>groundwater salinity would need to be incorporated into evaluation of recovery efficiencies.</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5. </w:t>
            </w:r>
            <w:smartTag w:uri="urn:schemas-microsoft-com:office:smarttags" w:element="PersonName">
              <w:r w:rsidRPr="006205C3">
                <w:rPr>
                  <w:rFonts w:cs="Arial"/>
                  <w:b/>
                  <w:sz w:val="20"/>
                  <w:szCs w:val="20"/>
                </w:rPr>
                <w:t>Groundwater</w:t>
              </w:r>
            </w:smartTag>
            <w:r w:rsidRPr="006205C3">
              <w:rPr>
                <w:rFonts w:cs="Arial"/>
                <w:b/>
                <w:sz w:val="20"/>
                <w:szCs w:val="20"/>
              </w:rPr>
              <w:t xml:space="preserve"> and drinking water quality</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Is either (a) drinking water supply, or (b) protection of aquatic ecosystems with high conservation or ecological values, an environmental value of the target aquifer? </w:t>
            </w:r>
          </w:p>
        </w:tc>
        <w:tc>
          <w:tcPr>
            <w:tcW w:w="6916" w:type="dxa"/>
          </w:tcPr>
          <w:p w:rsidR="00035877" w:rsidRPr="00D371D0" w:rsidRDefault="00035877" w:rsidP="00370829">
            <w:pPr>
              <w:rPr>
                <w:rFonts w:cs="Arial"/>
                <w:sz w:val="18"/>
                <w:szCs w:val="18"/>
              </w:rPr>
            </w:pPr>
            <w:r w:rsidRPr="00D371D0">
              <w:rPr>
                <w:rFonts w:cs="Arial"/>
                <w:sz w:val="18"/>
                <w:szCs w:val="18"/>
              </w:rPr>
              <w:t xml:space="preserve">(a) Possibly – Fresher zones have been identified within the </w:t>
            </w:r>
            <w:r w:rsidR="00C217F0">
              <w:rPr>
                <w:rFonts w:cs="Arial"/>
                <w:sz w:val="18"/>
                <w:szCs w:val="18"/>
              </w:rPr>
              <w:t>Calivil Formation</w:t>
            </w:r>
            <w:r w:rsidR="00670511">
              <w:rPr>
                <w:rFonts w:cs="Arial"/>
                <w:sz w:val="18"/>
                <w:szCs w:val="18"/>
              </w:rPr>
              <w:t xml:space="preserve"> </w:t>
            </w:r>
            <w:r w:rsidRPr="00D371D0">
              <w:rPr>
                <w:rFonts w:cs="Arial"/>
                <w:sz w:val="18"/>
                <w:szCs w:val="18"/>
              </w:rPr>
              <w:t>with salinities less than the ADWG</w:t>
            </w:r>
            <w:r w:rsidR="00B81A6B">
              <w:rPr>
                <w:rFonts w:cs="Arial"/>
                <w:sz w:val="18"/>
                <w:szCs w:val="18"/>
              </w:rPr>
              <w:t>2011</w:t>
            </w:r>
            <w:r w:rsidRPr="00D371D0">
              <w:rPr>
                <w:rFonts w:cs="Arial"/>
                <w:sz w:val="18"/>
                <w:szCs w:val="18"/>
              </w:rPr>
              <w:t xml:space="preserve"> guideline. </w:t>
            </w:r>
          </w:p>
          <w:p w:rsidR="00035877" w:rsidRPr="00D371D0" w:rsidRDefault="00035877" w:rsidP="00370829">
            <w:pPr>
              <w:rPr>
                <w:rFonts w:cs="Arial"/>
                <w:sz w:val="18"/>
                <w:szCs w:val="18"/>
              </w:rPr>
            </w:pPr>
            <w:r w:rsidRPr="00D371D0">
              <w:rPr>
                <w:rFonts w:cs="Arial"/>
                <w:sz w:val="18"/>
                <w:szCs w:val="18"/>
              </w:rPr>
              <w:t xml:space="preserve">(b) Not Likely - Any groundwater dependent vegetation would be accessing the shallow unconfined aquifer rather than the deeper semi- confined </w:t>
            </w:r>
            <w:r w:rsidR="00C217F0">
              <w:rPr>
                <w:rFonts w:cs="Arial"/>
                <w:sz w:val="18"/>
                <w:szCs w:val="18"/>
              </w:rPr>
              <w:t>Calivil Formation</w:t>
            </w:r>
            <w:r w:rsidRPr="00D371D0">
              <w:rPr>
                <w:rFonts w:cs="Arial"/>
                <w:sz w:val="18"/>
                <w:szCs w:val="18"/>
              </w:rPr>
              <w:t>.</w:t>
            </w:r>
          </w:p>
        </w:tc>
        <w:tc>
          <w:tcPr>
            <w:tcW w:w="4053" w:type="dxa"/>
          </w:tcPr>
          <w:p w:rsidR="00035877" w:rsidRPr="00D371D0" w:rsidRDefault="00035877" w:rsidP="00370829">
            <w:pPr>
              <w:rPr>
                <w:rFonts w:cs="Arial"/>
                <w:sz w:val="18"/>
                <w:szCs w:val="18"/>
              </w:rPr>
            </w:pPr>
            <w:r w:rsidRPr="00D371D0">
              <w:rPr>
                <w:rFonts w:cs="Arial"/>
                <w:sz w:val="18"/>
                <w:szCs w:val="18"/>
              </w:rPr>
              <w:t xml:space="preserve">(a) More detailed assessment of groundwater quality within the fresher zones in the </w:t>
            </w:r>
            <w:r w:rsidR="00C217F0">
              <w:rPr>
                <w:rFonts w:cs="Arial"/>
                <w:sz w:val="18"/>
                <w:szCs w:val="18"/>
              </w:rPr>
              <w:t>Calivil Formation</w:t>
            </w:r>
            <w:r w:rsidRPr="00D371D0">
              <w:rPr>
                <w:rFonts w:cs="Arial"/>
                <w:sz w:val="18"/>
                <w:szCs w:val="18"/>
              </w:rPr>
              <w:t>, including evaluation against ADWG</w:t>
            </w:r>
            <w:r w:rsidR="00B81A6B">
              <w:rPr>
                <w:rFonts w:cs="Arial"/>
                <w:sz w:val="18"/>
                <w:szCs w:val="18"/>
              </w:rPr>
              <w:t>2011</w:t>
            </w:r>
            <w:r w:rsidRPr="00D371D0">
              <w:rPr>
                <w:rFonts w:cs="Arial"/>
                <w:sz w:val="18"/>
                <w:szCs w:val="18"/>
              </w:rPr>
              <w:t xml:space="preserve"> thresholds</w:t>
            </w:r>
          </w:p>
          <w:p w:rsidR="00035877" w:rsidRPr="00D371D0" w:rsidRDefault="00035877" w:rsidP="00370829">
            <w:pPr>
              <w:rPr>
                <w:rFonts w:cs="Arial"/>
                <w:sz w:val="18"/>
                <w:szCs w:val="18"/>
              </w:rPr>
            </w:pPr>
            <w:r w:rsidRPr="00D371D0">
              <w:rPr>
                <w:rFonts w:cs="Arial"/>
                <w:sz w:val="18"/>
                <w:szCs w:val="18"/>
              </w:rPr>
              <w:t>(b) Detailed evaluation of GDEs within proposed borefield site.</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6. </w:t>
            </w:r>
            <w:smartTag w:uri="urn:schemas-microsoft-com:office:smarttags" w:element="PersonName">
              <w:r w:rsidRPr="006205C3">
                <w:rPr>
                  <w:rFonts w:cs="Arial"/>
                  <w:b/>
                  <w:sz w:val="20"/>
                  <w:szCs w:val="20"/>
                </w:rPr>
                <w:t>Groundwater</w:t>
              </w:r>
            </w:smartTag>
            <w:r w:rsidRPr="006205C3">
              <w:rPr>
                <w:rFonts w:cs="Arial"/>
                <w:b/>
                <w:sz w:val="20"/>
                <w:szCs w:val="20"/>
              </w:rPr>
              <w:t xml:space="preserve"> salinity and recovery efficiency</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Does the salinity of native groundwater exceed:</w:t>
            </w:r>
          </w:p>
          <w:p w:rsidR="00035877" w:rsidRPr="00D371D0" w:rsidRDefault="00035877" w:rsidP="00370829">
            <w:pPr>
              <w:rPr>
                <w:rFonts w:cs="Arial"/>
                <w:sz w:val="18"/>
                <w:szCs w:val="18"/>
              </w:rPr>
            </w:pPr>
            <w:r w:rsidRPr="00D371D0">
              <w:rPr>
                <w:rFonts w:cs="Arial"/>
                <w:sz w:val="18"/>
                <w:szCs w:val="18"/>
              </w:rPr>
              <w:t xml:space="preserve">(a) 10000 mg/L, or </w:t>
            </w:r>
          </w:p>
          <w:p w:rsidR="00035877" w:rsidRPr="00D371D0" w:rsidRDefault="00035877" w:rsidP="00370829">
            <w:pPr>
              <w:rPr>
                <w:rFonts w:cs="Arial"/>
                <w:sz w:val="18"/>
                <w:szCs w:val="18"/>
              </w:rPr>
            </w:pPr>
            <w:r w:rsidRPr="00D371D0">
              <w:rPr>
                <w:rFonts w:cs="Arial"/>
                <w:sz w:val="18"/>
                <w:szCs w:val="18"/>
              </w:rPr>
              <w:t>(b) the salinity criterion for uses of recovered water?</w:t>
            </w:r>
          </w:p>
        </w:tc>
        <w:tc>
          <w:tcPr>
            <w:tcW w:w="6916" w:type="dxa"/>
          </w:tcPr>
          <w:p w:rsidR="00035877" w:rsidRPr="00D371D0" w:rsidRDefault="00035877" w:rsidP="00370829">
            <w:pPr>
              <w:rPr>
                <w:rFonts w:cs="Arial"/>
                <w:sz w:val="18"/>
                <w:szCs w:val="18"/>
              </w:rPr>
            </w:pPr>
            <w:r w:rsidRPr="00D371D0">
              <w:rPr>
                <w:rFonts w:cs="Arial"/>
                <w:sz w:val="18"/>
                <w:szCs w:val="18"/>
              </w:rPr>
              <w:t xml:space="preserve">a) No –salinities exceeding 10,000 mg/L have only been measured in the deeper </w:t>
            </w:r>
            <w:r w:rsidR="00C217F0">
              <w:rPr>
                <w:rFonts w:cs="Arial"/>
                <w:sz w:val="18"/>
                <w:szCs w:val="18"/>
              </w:rPr>
              <w:t>Renmark Group</w:t>
            </w:r>
            <w:r w:rsidRPr="00D371D0">
              <w:rPr>
                <w:rFonts w:cs="Arial"/>
                <w:sz w:val="18"/>
                <w:szCs w:val="18"/>
              </w:rPr>
              <w:t xml:space="preserve"> aquifers in the target area</w:t>
            </w:r>
          </w:p>
          <w:p w:rsidR="00035877" w:rsidRPr="00D371D0" w:rsidRDefault="00035877" w:rsidP="00370829">
            <w:pPr>
              <w:rPr>
                <w:rFonts w:cs="Arial"/>
                <w:sz w:val="18"/>
                <w:szCs w:val="18"/>
              </w:rPr>
            </w:pPr>
            <w:r w:rsidRPr="00D371D0">
              <w:rPr>
                <w:rFonts w:cs="Arial"/>
                <w:sz w:val="18"/>
                <w:szCs w:val="18"/>
              </w:rPr>
              <w:t xml:space="preserve">b) Yes - Salinity of </w:t>
            </w:r>
            <w:r w:rsidR="00C217F0">
              <w:rPr>
                <w:rFonts w:cs="Arial"/>
                <w:sz w:val="18"/>
                <w:szCs w:val="18"/>
              </w:rPr>
              <w:t>Calivil Formation</w:t>
            </w:r>
            <w:r w:rsidR="00670511">
              <w:rPr>
                <w:rFonts w:cs="Arial"/>
                <w:sz w:val="18"/>
                <w:szCs w:val="18"/>
              </w:rPr>
              <w:t xml:space="preserve"> </w:t>
            </w:r>
            <w:r w:rsidRPr="00D371D0">
              <w:rPr>
                <w:rFonts w:cs="Arial"/>
                <w:sz w:val="18"/>
                <w:szCs w:val="18"/>
              </w:rPr>
              <w:t>groundwater is variable and can exceed ADWG</w:t>
            </w:r>
            <w:r w:rsidR="00B81A6B">
              <w:rPr>
                <w:rFonts w:cs="Arial"/>
                <w:sz w:val="18"/>
                <w:szCs w:val="18"/>
              </w:rPr>
              <w:t>2011</w:t>
            </w:r>
            <w:r w:rsidRPr="00D371D0">
              <w:rPr>
                <w:rFonts w:cs="Arial"/>
                <w:sz w:val="18"/>
                <w:szCs w:val="18"/>
              </w:rPr>
              <w:t xml:space="preserve"> guideline</w:t>
            </w:r>
          </w:p>
        </w:tc>
        <w:tc>
          <w:tcPr>
            <w:tcW w:w="4053" w:type="dxa"/>
          </w:tcPr>
          <w:p w:rsidR="00035877" w:rsidRPr="00D371D0" w:rsidRDefault="00035877" w:rsidP="00370829">
            <w:pPr>
              <w:rPr>
                <w:rFonts w:cs="Arial"/>
                <w:sz w:val="18"/>
                <w:szCs w:val="18"/>
              </w:rPr>
            </w:pPr>
            <w:r w:rsidRPr="00D371D0">
              <w:rPr>
                <w:rFonts w:cs="Arial"/>
                <w:sz w:val="18"/>
                <w:szCs w:val="18"/>
              </w:rPr>
              <w:t xml:space="preserve">Recovery efficiency evaluation required, particular to address potential upcoming from more saline basal part of </w:t>
            </w:r>
            <w:r w:rsidR="00C217F0">
              <w:rPr>
                <w:rFonts w:cs="Arial"/>
                <w:sz w:val="18"/>
                <w:szCs w:val="18"/>
              </w:rPr>
              <w:t>Calivil Formation</w:t>
            </w:r>
            <w:r w:rsidR="00670511">
              <w:rPr>
                <w:rFonts w:cs="Arial"/>
                <w:sz w:val="18"/>
                <w:szCs w:val="18"/>
              </w:rPr>
              <w:t xml:space="preserve"> </w:t>
            </w:r>
            <w:r w:rsidRPr="00D371D0">
              <w:rPr>
                <w:rFonts w:cs="Arial"/>
                <w:sz w:val="18"/>
                <w:szCs w:val="18"/>
              </w:rPr>
              <w:t>aquifer observed.</w:t>
            </w:r>
          </w:p>
        </w:tc>
      </w:tr>
    </w:tbl>
    <w:p w:rsidR="00035877" w:rsidRDefault="00035877" w:rsidP="00035877">
      <w:r>
        <w:br w:type="page"/>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7"/>
        <w:gridCol w:w="6916"/>
        <w:gridCol w:w="4053"/>
      </w:tblGrid>
      <w:tr w:rsidR="00035877" w:rsidRPr="006205C3" w:rsidTr="00370829">
        <w:tc>
          <w:tcPr>
            <w:tcW w:w="3817" w:type="dxa"/>
            <w:shd w:val="clear" w:color="auto" w:fill="C0C0C0"/>
          </w:tcPr>
          <w:p w:rsidR="00035877" w:rsidRPr="006205C3" w:rsidRDefault="00035877" w:rsidP="00370829">
            <w:pPr>
              <w:rPr>
                <w:rFonts w:cs="Arial"/>
                <w:b/>
                <w:szCs w:val="22"/>
              </w:rPr>
            </w:pPr>
            <w:r w:rsidRPr="006205C3">
              <w:rPr>
                <w:rFonts w:cs="Arial"/>
                <w:b/>
                <w:szCs w:val="22"/>
              </w:rPr>
              <w:lastRenderedPageBreak/>
              <w:t>Question</w:t>
            </w:r>
          </w:p>
        </w:tc>
        <w:tc>
          <w:tcPr>
            <w:tcW w:w="6916"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Larloona ASR site</w:t>
            </w:r>
          </w:p>
        </w:tc>
        <w:tc>
          <w:tcPr>
            <w:tcW w:w="4053"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7. </w:t>
            </w:r>
            <w:r w:rsidRPr="006205C3">
              <w:rPr>
                <w:rFonts w:cs="Arial"/>
                <w:b/>
                <w:sz w:val="20"/>
                <w:szCs w:val="20"/>
              </w:rPr>
              <w:t>Reactions between source water and aquifer</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Is redox status, pH, temperature, nutrient status and ionic strength of source water and groundwater similar?</w:t>
            </w:r>
          </w:p>
        </w:tc>
        <w:tc>
          <w:tcPr>
            <w:tcW w:w="6916" w:type="dxa"/>
          </w:tcPr>
          <w:p w:rsidR="00035877" w:rsidRPr="00D371D0" w:rsidRDefault="00035877" w:rsidP="00370829">
            <w:pPr>
              <w:rPr>
                <w:rFonts w:cs="Arial"/>
                <w:sz w:val="18"/>
                <w:szCs w:val="18"/>
              </w:rPr>
            </w:pPr>
            <w:r w:rsidRPr="00D371D0">
              <w:rPr>
                <w:rFonts w:cs="Arial"/>
                <w:sz w:val="18"/>
                <w:szCs w:val="18"/>
              </w:rPr>
              <w:t xml:space="preserve">No – </w:t>
            </w:r>
            <w:r w:rsidR="00C217F0">
              <w:rPr>
                <w:rFonts w:cs="Arial"/>
                <w:sz w:val="18"/>
                <w:szCs w:val="18"/>
              </w:rPr>
              <w:t>Calivil Formation</w:t>
            </w:r>
            <w:r w:rsidR="00670511">
              <w:rPr>
                <w:rFonts w:cs="Arial"/>
                <w:sz w:val="18"/>
                <w:szCs w:val="18"/>
              </w:rPr>
              <w:t xml:space="preserve"> </w:t>
            </w:r>
            <w:r w:rsidRPr="00D371D0">
              <w:rPr>
                <w:rFonts w:cs="Arial"/>
                <w:sz w:val="18"/>
                <w:szCs w:val="18"/>
              </w:rPr>
              <w:t xml:space="preserve">groundwater tends to be more reduced and saline, has less nitrate (but more ammonia) than </w:t>
            </w:r>
            <w:smartTag w:uri="urn:schemas-microsoft-com:office:smarttags" w:element="place">
              <w:r w:rsidRPr="00D371D0">
                <w:rPr>
                  <w:rFonts w:cs="Arial"/>
                  <w:sz w:val="18"/>
                  <w:szCs w:val="18"/>
                </w:rPr>
                <w:t>Darling River</w:t>
              </w:r>
            </w:smartTag>
            <w:r w:rsidRPr="00D371D0">
              <w:rPr>
                <w:rFonts w:cs="Arial"/>
                <w:sz w:val="18"/>
                <w:szCs w:val="18"/>
              </w:rPr>
              <w:t xml:space="preserve"> source water. </w:t>
            </w:r>
          </w:p>
        </w:tc>
        <w:tc>
          <w:tcPr>
            <w:tcW w:w="4053" w:type="dxa"/>
          </w:tcPr>
          <w:p w:rsidR="00035877" w:rsidRPr="00D371D0" w:rsidRDefault="00035877" w:rsidP="00370829">
            <w:pPr>
              <w:rPr>
                <w:rFonts w:cs="Arial"/>
                <w:sz w:val="18"/>
                <w:szCs w:val="18"/>
              </w:rPr>
            </w:pPr>
            <w:r w:rsidRPr="00D371D0">
              <w:rPr>
                <w:rFonts w:cs="Arial"/>
                <w:sz w:val="18"/>
                <w:szCs w:val="18"/>
              </w:rPr>
              <w:t>High risk of adverse reactions between source water and aquifer and geochemical modelling required. Potential for iron clogging in particular needs to be assessed given contrasts in redox between source water and groundwater, and variability in latter.</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8. </w:t>
            </w:r>
            <w:r w:rsidRPr="006205C3">
              <w:rPr>
                <w:rFonts w:cs="Arial"/>
                <w:b/>
                <w:sz w:val="20"/>
                <w:szCs w:val="20"/>
              </w:rPr>
              <w:t>Proximity of nearest existing groundwater users, connected ecosystems and property boundaries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Are there (a) other groundwater users, (b) groundwater–connected ecosystems or (c) a property boundary near (within 100–1000 m) the proposed MAR site? </w:t>
            </w:r>
          </w:p>
        </w:tc>
        <w:tc>
          <w:tcPr>
            <w:tcW w:w="6916" w:type="dxa"/>
          </w:tcPr>
          <w:p w:rsidR="00035877" w:rsidRPr="00D371D0" w:rsidRDefault="00035877" w:rsidP="00370829">
            <w:pPr>
              <w:rPr>
                <w:rFonts w:cs="Arial"/>
                <w:sz w:val="18"/>
                <w:szCs w:val="18"/>
              </w:rPr>
            </w:pPr>
            <w:r w:rsidRPr="00D371D0">
              <w:rPr>
                <w:rFonts w:cs="Arial"/>
                <w:sz w:val="18"/>
                <w:szCs w:val="18"/>
              </w:rPr>
              <w:t xml:space="preserve">(a) Yes –.A number of licensed bores are located within target area, although limited to stock and domestic use. </w:t>
            </w:r>
          </w:p>
          <w:p w:rsidR="00035877" w:rsidRPr="00D371D0" w:rsidRDefault="00035877" w:rsidP="00370829">
            <w:pPr>
              <w:rPr>
                <w:rFonts w:cs="Arial"/>
                <w:sz w:val="18"/>
                <w:szCs w:val="18"/>
              </w:rPr>
            </w:pPr>
            <w:r w:rsidRPr="00D371D0">
              <w:rPr>
                <w:rFonts w:cs="Arial"/>
                <w:sz w:val="18"/>
                <w:szCs w:val="18"/>
              </w:rPr>
              <w:t xml:space="preserve">(b) Not Likely –initial evaluation suggests that any groundwater dependency would relate to the shallow unconfined aquifer rather than the deeper </w:t>
            </w:r>
            <w:r w:rsidR="00C217F0">
              <w:rPr>
                <w:rFonts w:cs="Arial"/>
                <w:sz w:val="18"/>
                <w:szCs w:val="18"/>
              </w:rPr>
              <w:t>Calivil Formation</w:t>
            </w:r>
            <w:r w:rsidRPr="00D371D0">
              <w:rPr>
                <w:rFonts w:cs="Arial"/>
                <w:sz w:val="18"/>
                <w:szCs w:val="18"/>
              </w:rPr>
              <w:t xml:space="preserve"> Fm. There are however a couple of mapped faults around which localised inter-aquifer leakage may occur. </w:t>
            </w:r>
          </w:p>
          <w:p w:rsidR="00035877" w:rsidRPr="00D371D0" w:rsidRDefault="00035877" w:rsidP="00370829">
            <w:pPr>
              <w:rPr>
                <w:rFonts w:cs="Arial"/>
                <w:sz w:val="18"/>
                <w:szCs w:val="18"/>
              </w:rPr>
            </w:pPr>
            <w:r w:rsidRPr="00D371D0">
              <w:rPr>
                <w:rFonts w:cs="Arial"/>
                <w:sz w:val="18"/>
                <w:szCs w:val="18"/>
              </w:rPr>
              <w:t>(c) Yes - Target area covers 55 km</w:t>
            </w:r>
            <w:r w:rsidRPr="004F519B">
              <w:rPr>
                <w:rFonts w:cs="Arial"/>
                <w:sz w:val="18"/>
                <w:szCs w:val="18"/>
                <w:vertAlign w:val="superscript"/>
              </w:rPr>
              <w:t>2</w:t>
            </w:r>
            <w:r w:rsidRPr="00D371D0">
              <w:rPr>
                <w:rFonts w:cs="Arial"/>
                <w:sz w:val="18"/>
                <w:szCs w:val="18"/>
              </w:rPr>
              <w:t xml:space="preserve"> across a couple of property boundaries.</w:t>
            </w:r>
          </w:p>
        </w:tc>
        <w:tc>
          <w:tcPr>
            <w:tcW w:w="4053" w:type="dxa"/>
          </w:tcPr>
          <w:p w:rsidR="00035877" w:rsidRPr="00D371D0" w:rsidRDefault="00035877" w:rsidP="00370829">
            <w:pPr>
              <w:rPr>
                <w:rFonts w:cs="Arial"/>
                <w:sz w:val="18"/>
                <w:szCs w:val="18"/>
              </w:rPr>
            </w:pPr>
            <w:r w:rsidRPr="00D371D0">
              <w:rPr>
                <w:rFonts w:cs="Arial"/>
                <w:sz w:val="18"/>
                <w:szCs w:val="18"/>
              </w:rPr>
              <w:t xml:space="preserve">Low risk of potential impacts on neighbouring properties, with low-level current groundwater use in target area. MAR operations would improve groundwater quality in the </w:t>
            </w:r>
            <w:r w:rsidR="00C217F0">
              <w:rPr>
                <w:rFonts w:cs="Arial"/>
                <w:sz w:val="18"/>
                <w:szCs w:val="18"/>
              </w:rPr>
              <w:t>Calivil Formation</w:t>
            </w:r>
            <w:r w:rsidR="00670511">
              <w:rPr>
                <w:rFonts w:cs="Arial"/>
                <w:sz w:val="18"/>
                <w:szCs w:val="18"/>
              </w:rPr>
              <w:t xml:space="preserve"> </w:t>
            </w:r>
            <w:r w:rsidRPr="00D371D0">
              <w:rPr>
                <w:rFonts w:cs="Arial"/>
                <w:sz w:val="18"/>
                <w:szCs w:val="18"/>
              </w:rPr>
              <w:t>aquifer over time.</w:t>
            </w:r>
          </w:p>
          <w:p w:rsidR="00035877" w:rsidRPr="00D371D0" w:rsidRDefault="00035877" w:rsidP="00370829">
            <w:pPr>
              <w:rPr>
                <w:rFonts w:cs="Arial"/>
                <w:sz w:val="18"/>
                <w:szCs w:val="18"/>
              </w:rPr>
            </w:pPr>
            <w:r w:rsidRPr="00D371D0">
              <w:rPr>
                <w:rFonts w:cs="Arial"/>
                <w:sz w:val="18"/>
                <w:szCs w:val="18"/>
              </w:rPr>
              <w:t>Assessment of attenuation zone required.</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9. </w:t>
            </w:r>
            <w:r w:rsidRPr="006205C3">
              <w:rPr>
                <w:rFonts w:cs="Arial"/>
                <w:b/>
                <w:sz w:val="20"/>
                <w:szCs w:val="20"/>
              </w:rPr>
              <w:t>Aquifer capacity and groundwater levels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Is the aquifer confined and not artesian? Or is it unconfined, with a watertable deeper than 4 m in rural areas or 8 m in urban areas?</w:t>
            </w:r>
          </w:p>
        </w:tc>
        <w:tc>
          <w:tcPr>
            <w:tcW w:w="6916" w:type="dxa"/>
          </w:tcPr>
          <w:p w:rsidR="00035877" w:rsidRPr="00D371D0" w:rsidRDefault="00035877" w:rsidP="00370829">
            <w:pPr>
              <w:rPr>
                <w:rFonts w:cs="Arial"/>
                <w:sz w:val="18"/>
                <w:szCs w:val="18"/>
              </w:rPr>
            </w:pPr>
            <w:r w:rsidRPr="00D371D0">
              <w:rPr>
                <w:rFonts w:cs="Arial"/>
                <w:sz w:val="18"/>
                <w:szCs w:val="18"/>
              </w:rPr>
              <w:t xml:space="preserve">Yes – </w:t>
            </w:r>
            <w:r w:rsidR="00C217F0">
              <w:rPr>
                <w:rFonts w:cs="Arial"/>
                <w:sz w:val="18"/>
                <w:szCs w:val="18"/>
              </w:rPr>
              <w:t>Calivil Formation</w:t>
            </w:r>
            <w:r w:rsidR="00670511">
              <w:rPr>
                <w:rFonts w:cs="Arial"/>
                <w:sz w:val="18"/>
                <w:szCs w:val="18"/>
              </w:rPr>
              <w:t xml:space="preserve"> </w:t>
            </w:r>
            <w:r w:rsidRPr="00D371D0">
              <w:rPr>
                <w:rFonts w:cs="Arial"/>
                <w:sz w:val="18"/>
                <w:szCs w:val="18"/>
              </w:rPr>
              <w:t>target aquifer is confined with depth to the top of the aquifer &gt;30</w:t>
            </w:r>
            <w:r w:rsidR="00030542">
              <w:rPr>
                <w:rFonts w:cs="Arial"/>
                <w:sz w:val="18"/>
                <w:szCs w:val="18"/>
              </w:rPr>
              <w:t xml:space="preserve"> </w:t>
            </w:r>
            <w:r w:rsidRPr="00D371D0">
              <w:rPr>
                <w:rFonts w:cs="Arial"/>
                <w:sz w:val="18"/>
                <w:szCs w:val="18"/>
              </w:rPr>
              <w:t xml:space="preserve">m, and a thick </w:t>
            </w:r>
            <w:r w:rsidR="001E3931">
              <w:rPr>
                <w:rFonts w:cs="Arial"/>
                <w:sz w:val="18"/>
                <w:szCs w:val="18"/>
              </w:rPr>
              <w:t>mud</w:t>
            </w:r>
            <w:r w:rsidRPr="00D371D0">
              <w:rPr>
                <w:rFonts w:cs="Arial"/>
                <w:sz w:val="18"/>
                <w:szCs w:val="18"/>
              </w:rPr>
              <w:t xml:space="preserve"> upper aquitard (14-18</w:t>
            </w:r>
            <w:r w:rsidR="00A72012">
              <w:rPr>
                <w:rFonts w:cs="Arial"/>
                <w:sz w:val="18"/>
                <w:szCs w:val="18"/>
              </w:rPr>
              <w:t xml:space="preserve"> </w:t>
            </w:r>
            <w:r w:rsidRPr="00D371D0">
              <w:rPr>
                <w:rFonts w:cs="Arial"/>
                <w:sz w:val="18"/>
                <w:szCs w:val="18"/>
              </w:rPr>
              <w:t>m) above. Over most of the target there is a small (0-2</w:t>
            </w:r>
            <w:r w:rsidR="00A72012">
              <w:rPr>
                <w:rFonts w:cs="Arial"/>
                <w:sz w:val="18"/>
                <w:szCs w:val="18"/>
              </w:rPr>
              <w:t xml:space="preserve"> </w:t>
            </w:r>
            <w:r w:rsidRPr="00D371D0">
              <w:rPr>
                <w:rFonts w:cs="Arial"/>
                <w:sz w:val="18"/>
                <w:szCs w:val="18"/>
              </w:rPr>
              <w:t xml:space="preserve">m negative head gradient between the </w:t>
            </w:r>
            <w:r w:rsidR="00C217F0">
              <w:rPr>
                <w:rFonts w:cs="Arial"/>
                <w:sz w:val="18"/>
                <w:szCs w:val="18"/>
              </w:rPr>
              <w:t>Calivil Formation</w:t>
            </w:r>
            <w:r w:rsidR="00670511">
              <w:rPr>
                <w:rFonts w:cs="Arial"/>
                <w:sz w:val="18"/>
                <w:szCs w:val="18"/>
              </w:rPr>
              <w:t xml:space="preserve"> </w:t>
            </w:r>
            <w:r w:rsidRPr="00D371D0">
              <w:rPr>
                <w:rFonts w:cs="Arial"/>
                <w:sz w:val="18"/>
                <w:szCs w:val="18"/>
              </w:rPr>
              <w:t>and unconfined aquifer, indicating a small upwards hydraulic gradient. There is the potential for localised inter-aquifer leakage through a few mapped faults.</w:t>
            </w:r>
          </w:p>
        </w:tc>
        <w:tc>
          <w:tcPr>
            <w:tcW w:w="4053" w:type="dxa"/>
          </w:tcPr>
          <w:p w:rsidR="00035877" w:rsidRPr="00D371D0" w:rsidRDefault="00035877" w:rsidP="00370829">
            <w:pPr>
              <w:rPr>
                <w:rFonts w:cs="Arial"/>
                <w:sz w:val="18"/>
                <w:szCs w:val="18"/>
              </w:rPr>
            </w:pPr>
            <w:r w:rsidRPr="00D371D0">
              <w:rPr>
                <w:rFonts w:cs="Arial"/>
                <w:sz w:val="18"/>
                <w:szCs w:val="18"/>
              </w:rPr>
              <w:t>Low risk of waterlogging or excessive groundwater mounding.</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sidRPr="006205C3">
              <w:rPr>
                <w:rFonts w:cs="Arial"/>
                <w:b/>
                <w:sz w:val="20"/>
                <w:szCs w:val="20"/>
              </w:rPr>
              <w:t>10</w:t>
            </w:r>
            <w:r>
              <w:rPr>
                <w:rFonts w:cs="Arial"/>
                <w:b/>
                <w:sz w:val="20"/>
                <w:szCs w:val="20"/>
              </w:rPr>
              <w:t xml:space="preserve">. </w:t>
            </w:r>
            <w:r w:rsidRPr="006205C3">
              <w:rPr>
                <w:rFonts w:cs="Arial"/>
                <w:b/>
                <w:sz w:val="20"/>
                <w:szCs w:val="20"/>
              </w:rPr>
              <w:t>Protection of water quality in unconfined aquifers</w:t>
            </w:r>
          </w:p>
        </w:tc>
      </w:tr>
      <w:tr w:rsidR="00035877" w:rsidRPr="00D371D0" w:rsidTr="00370829">
        <w:tc>
          <w:tcPr>
            <w:tcW w:w="3817" w:type="dxa"/>
          </w:tcPr>
          <w:p w:rsidR="00035877" w:rsidRPr="00D371D0" w:rsidRDefault="00035877" w:rsidP="00370829">
            <w:pPr>
              <w:rPr>
                <w:rFonts w:cs="Arial"/>
                <w:sz w:val="18"/>
                <w:szCs w:val="18"/>
              </w:rPr>
            </w:pPr>
            <w:r w:rsidRPr="00D371D0">
              <w:rPr>
                <w:rFonts w:cs="Arial"/>
                <w:sz w:val="18"/>
                <w:szCs w:val="18"/>
              </w:rPr>
              <w:t xml:space="preserve">Is the aquifer unconfined, with an intended use of recovered water being drinking water supplies? </w:t>
            </w:r>
          </w:p>
        </w:tc>
        <w:tc>
          <w:tcPr>
            <w:tcW w:w="6916" w:type="dxa"/>
          </w:tcPr>
          <w:p w:rsidR="00035877" w:rsidRPr="00D371D0" w:rsidRDefault="00035877" w:rsidP="00370829">
            <w:pPr>
              <w:rPr>
                <w:rFonts w:cs="Arial"/>
                <w:sz w:val="18"/>
                <w:szCs w:val="18"/>
              </w:rPr>
            </w:pPr>
            <w:r w:rsidRPr="00D371D0">
              <w:rPr>
                <w:rFonts w:cs="Arial"/>
                <w:sz w:val="18"/>
                <w:szCs w:val="18"/>
              </w:rPr>
              <w:t>No – target aquifer is (leaky) confined with recovered water to be used for raw water for drinking water supply. Target is not apparently actively recharged by surface flooding.</w:t>
            </w:r>
          </w:p>
        </w:tc>
        <w:tc>
          <w:tcPr>
            <w:tcW w:w="4053" w:type="dxa"/>
          </w:tcPr>
          <w:p w:rsidR="00035877" w:rsidRPr="00D371D0" w:rsidRDefault="00035877" w:rsidP="00370829">
            <w:pPr>
              <w:rPr>
                <w:rFonts w:cs="Arial"/>
                <w:sz w:val="18"/>
                <w:szCs w:val="18"/>
              </w:rPr>
            </w:pPr>
            <w:r w:rsidRPr="00D371D0">
              <w:rPr>
                <w:rFonts w:cs="Arial"/>
                <w:sz w:val="18"/>
                <w:szCs w:val="18"/>
              </w:rPr>
              <w:t xml:space="preserve">Low risk of groundwater contamination from land and waste management. Land use is mostly low-density pastoral use. </w:t>
            </w:r>
          </w:p>
        </w:tc>
      </w:tr>
      <w:tr w:rsidR="00035877" w:rsidRPr="006205C3" w:rsidTr="00370829">
        <w:tc>
          <w:tcPr>
            <w:tcW w:w="14786" w:type="dxa"/>
            <w:gridSpan w:val="3"/>
            <w:shd w:val="clear" w:color="auto" w:fill="E6E6E6"/>
          </w:tcPr>
          <w:p w:rsidR="00035877" w:rsidRPr="006205C3" w:rsidRDefault="00035877" w:rsidP="00370829">
            <w:pPr>
              <w:rPr>
                <w:rFonts w:cs="Arial"/>
                <w:b/>
                <w:szCs w:val="22"/>
              </w:rPr>
            </w:pPr>
            <w:r>
              <w:rPr>
                <w:rFonts w:cs="Arial"/>
                <w:b/>
                <w:sz w:val="20"/>
                <w:szCs w:val="20"/>
              </w:rPr>
              <w:t xml:space="preserve">11. </w:t>
            </w:r>
            <w:r w:rsidRPr="006205C3">
              <w:rPr>
                <w:rFonts w:cs="Arial"/>
                <w:b/>
                <w:sz w:val="20"/>
                <w:szCs w:val="20"/>
              </w:rPr>
              <w:t>Fractured rock, karstic or reactive aquifers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Is the aquifer composed of fractured rock or karstic media, or known to contain reactive minerals?</w:t>
            </w:r>
          </w:p>
        </w:tc>
        <w:tc>
          <w:tcPr>
            <w:tcW w:w="6916" w:type="dxa"/>
          </w:tcPr>
          <w:p w:rsidR="00035877" w:rsidRPr="00D371D0" w:rsidRDefault="00035877" w:rsidP="00370829">
            <w:pPr>
              <w:rPr>
                <w:rFonts w:cs="Arial"/>
                <w:sz w:val="18"/>
                <w:szCs w:val="18"/>
              </w:rPr>
            </w:pPr>
            <w:r w:rsidRPr="00D371D0">
              <w:rPr>
                <w:rFonts w:cs="Arial"/>
                <w:sz w:val="18"/>
                <w:szCs w:val="18"/>
              </w:rPr>
              <w:t>Yes –. Potential for Fe(</w:t>
            </w:r>
            <w:smartTag w:uri="urn:schemas-microsoft-com:office:smarttags" w:element="stockticker">
              <w:r w:rsidRPr="00D371D0">
                <w:rPr>
                  <w:rFonts w:cs="Arial"/>
                  <w:sz w:val="18"/>
                  <w:szCs w:val="18"/>
                </w:rPr>
                <w:t>III</w:t>
              </w:r>
            </w:smartTag>
            <w:r w:rsidRPr="00D371D0">
              <w:rPr>
                <w:rFonts w:cs="Arial"/>
                <w:sz w:val="18"/>
                <w:szCs w:val="18"/>
              </w:rPr>
              <w:t>) dissolution with injection of source water with elevated organic carbon levels. Some faults and fractures in the general area.</w:t>
            </w:r>
          </w:p>
        </w:tc>
        <w:tc>
          <w:tcPr>
            <w:tcW w:w="4053" w:type="dxa"/>
          </w:tcPr>
          <w:p w:rsidR="00035877" w:rsidRPr="00D371D0" w:rsidRDefault="00035877" w:rsidP="00370829">
            <w:pPr>
              <w:rPr>
                <w:rFonts w:cs="Arial"/>
                <w:sz w:val="18"/>
                <w:szCs w:val="18"/>
              </w:rPr>
            </w:pPr>
            <w:r w:rsidRPr="00D371D0">
              <w:rPr>
                <w:rFonts w:cs="Arial"/>
                <w:sz w:val="18"/>
                <w:szCs w:val="18"/>
              </w:rPr>
              <w:t>Geochemical modelling required to assess risk of adverse reactions between source water and groundwater, such as iron (and trace metal) mobilisation.</w:t>
            </w:r>
          </w:p>
        </w:tc>
      </w:tr>
      <w:tr w:rsidR="00035877" w:rsidRPr="006205C3" w:rsidTr="00370829">
        <w:tc>
          <w:tcPr>
            <w:tcW w:w="14786" w:type="dxa"/>
            <w:gridSpan w:val="3"/>
            <w:shd w:val="clear" w:color="auto" w:fill="E6E6E6"/>
          </w:tcPr>
          <w:p w:rsidR="00035877" w:rsidRPr="006205C3" w:rsidRDefault="00035877" w:rsidP="00370829">
            <w:pPr>
              <w:rPr>
                <w:rFonts w:cs="Arial"/>
                <w:b/>
                <w:szCs w:val="22"/>
              </w:rPr>
            </w:pPr>
            <w:r>
              <w:rPr>
                <w:rFonts w:cs="Arial"/>
                <w:b/>
                <w:sz w:val="20"/>
                <w:szCs w:val="20"/>
              </w:rPr>
              <w:t xml:space="preserve">12. </w:t>
            </w:r>
            <w:r w:rsidRPr="006205C3">
              <w:rPr>
                <w:rFonts w:cs="Arial"/>
                <w:b/>
                <w:sz w:val="20"/>
                <w:szCs w:val="20"/>
              </w:rPr>
              <w:t>Similarity to successful projects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Has another project in the same aquifer with similar source water been operating successfully for at least 12 months? </w:t>
            </w:r>
          </w:p>
        </w:tc>
        <w:tc>
          <w:tcPr>
            <w:tcW w:w="6916" w:type="dxa"/>
          </w:tcPr>
          <w:p w:rsidR="00035877" w:rsidRPr="00D371D0" w:rsidRDefault="00035877" w:rsidP="00370829">
            <w:pPr>
              <w:rPr>
                <w:rFonts w:cs="Arial"/>
                <w:sz w:val="18"/>
                <w:szCs w:val="18"/>
              </w:rPr>
            </w:pPr>
            <w:r w:rsidRPr="00D371D0">
              <w:rPr>
                <w:rFonts w:cs="Arial"/>
                <w:sz w:val="18"/>
                <w:szCs w:val="18"/>
              </w:rPr>
              <w:t xml:space="preserve">No. To our knowledge there is no </w:t>
            </w:r>
            <w:smartTag w:uri="urn:schemas-microsoft-com:office:smarttags" w:element="stockticker">
              <w:r w:rsidRPr="00D371D0">
                <w:rPr>
                  <w:rFonts w:cs="Arial"/>
                  <w:sz w:val="18"/>
                  <w:szCs w:val="18"/>
                </w:rPr>
                <w:t>MAR</w:t>
              </w:r>
            </w:smartTag>
            <w:r w:rsidRPr="00D371D0">
              <w:rPr>
                <w:rFonts w:cs="Arial"/>
                <w:sz w:val="18"/>
                <w:szCs w:val="18"/>
              </w:rPr>
              <w:t xml:space="preserve"> project operating or planned in the same aquifers. However, mineral sand mining operations (e.g. Gingko) immediately south of the project area conduct large-scale groundwater recycling as part of mining in the Loxton-Parilla aquifer.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 xml:space="preserve">, the closest comparable </w:t>
            </w:r>
            <w:smartTag w:uri="urn:schemas-microsoft-com:office:smarttags" w:element="stockticker">
              <w:r w:rsidRPr="00D371D0">
                <w:rPr>
                  <w:rFonts w:cs="Arial"/>
                  <w:sz w:val="18"/>
                  <w:szCs w:val="18"/>
                </w:rPr>
                <w:t>MAR</w:t>
              </w:r>
            </w:smartTag>
            <w:r w:rsidRPr="00D371D0">
              <w:rPr>
                <w:rFonts w:cs="Arial"/>
                <w:sz w:val="18"/>
                <w:szCs w:val="18"/>
              </w:rPr>
              <w:t xml:space="preserve"> scheme using (less turbid) river source water is the Burdekin scheme. The Burdekin scheme has been in operation since the 1960s. Overall, there are limited precedents for this type of operation anywhere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3" w:type="dxa"/>
          </w:tcPr>
          <w:p w:rsidR="00035877" w:rsidRPr="00D371D0" w:rsidRDefault="00035877" w:rsidP="00370829">
            <w:pPr>
              <w:rPr>
                <w:rFonts w:cs="Arial"/>
                <w:sz w:val="18"/>
                <w:szCs w:val="18"/>
              </w:rPr>
            </w:pPr>
            <w:r w:rsidRPr="00D371D0">
              <w:rPr>
                <w:rFonts w:cs="Arial"/>
                <w:sz w:val="18"/>
                <w:szCs w:val="18"/>
              </w:rPr>
              <w:t>All uncertainties need to be addressed in BHMAR investigations, particularly with respect to clogging potential and interactions with groundwater. There is a considerable level of risk inherent in the uncertainty of the likely success of this project. Addressing all information gaps will be critical to reducing this risk if this site is selected for further assessment.</w:t>
            </w:r>
          </w:p>
        </w:tc>
      </w:tr>
    </w:tbl>
    <w:p w:rsidR="00035877" w:rsidRDefault="00035877" w:rsidP="00035877">
      <w:r>
        <w:br w:type="page"/>
      </w: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7"/>
        <w:gridCol w:w="6916"/>
        <w:gridCol w:w="4053"/>
      </w:tblGrid>
      <w:tr w:rsidR="00035877" w:rsidRPr="006205C3" w:rsidTr="00370829">
        <w:tc>
          <w:tcPr>
            <w:tcW w:w="3817" w:type="dxa"/>
            <w:shd w:val="clear" w:color="auto" w:fill="C0C0C0"/>
          </w:tcPr>
          <w:p w:rsidR="00035877" w:rsidRPr="006205C3" w:rsidRDefault="00035877" w:rsidP="00370829">
            <w:pPr>
              <w:rPr>
                <w:rFonts w:cs="Arial"/>
                <w:b/>
                <w:szCs w:val="22"/>
              </w:rPr>
            </w:pPr>
            <w:r w:rsidRPr="006205C3">
              <w:rPr>
                <w:rFonts w:cs="Arial"/>
                <w:b/>
                <w:szCs w:val="22"/>
              </w:rPr>
              <w:lastRenderedPageBreak/>
              <w:t>Question</w:t>
            </w:r>
          </w:p>
        </w:tc>
        <w:tc>
          <w:tcPr>
            <w:tcW w:w="6916"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Larloona ASR site</w:t>
            </w:r>
          </w:p>
        </w:tc>
        <w:tc>
          <w:tcPr>
            <w:tcW w:w="4053"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13. </w:t>
            </w:r>
            <w:r w:rsidRPr="006205C3">
              <w:rPr>
                <w:rFonts w:cs="Arial"/>
                <w:b/>
                <w:sz w:val="20"/>
                <w:szCs w:val="20"/>
              </w:rPr>
              <w:t>Management capability</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Does the proponent have experience with operating </w:t>
            </w:r>
            <w:smartTag w:uri="urn:schemas-microsoft-com:office:smarttags" w:element="stockticker">
              <w:r w:rsidRPr="00D371D0">
                <w:rPr>
                  <w:rFonts w:cs="Arial"/>
                  <w:sz w:val="18"/>
                  <w:szCs w:val="18"/>
                </w:rPr>
                <w:t>MAR</w:t>
              </w:r>
            </w:smartTag>
            <w:r w:rsidRPr="00D371D0">
              <w:rPr>
                <w:rFonts w:cs="Arial"/>
                <w:sz w:val="18"/>
                <w:szCs w:val="18"/>
              </w:rPr>
              <w:t xml:space="preserve"> sites with the same or higher degree of difficulty, or with water treatment or water supply operations involving a structured approach to water quality risk management? </w:t>
            </w:r>
          </w:p>
        </w:tc>
        <w:tc>
          <w:tcPr>
            <w:tcW w:w="6916" w:type="dxa"/>
          </w:tcPr>
          <w:p w:rsidR="00035877" w:rsidRPr="00D371D0" w:rsidRDefault="00035877" w:rsidP="00370829">
            <w:pPr>
              <w:rPr>
                <w:rFonts w:cs="Arial"/>
                <w:sz w:val="18"/>
                <w:szCs w:val="18"/>
              </w:rPr>
            </w:pPr>
            <w:r w:rsidRPr="00D371D0">
              <w:rPr>
                <w:rFonts w:cs="Arial"/>
                <w:sz w:val="18"/>
                <w:szCs w:val="18"/>
              </w:rPr>
              <w:t xml:space="preserve">No, although the expertise of the Steering Committee for this project represents the state of the art of designing and operating managed aquifer recharge sites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3" w:type="dxa"/>
          </w:tcPr>
          <w:p w:rsidR="00035877" w:rsidRPr="00D371D0" w:rsidRDefault="00035877" w:rsidP="00370829">
            <w:pPr>
              <w:rPr>
                <w:rFonts w:cs="Arial"/>
                <w:sz w:val="18"/>
                <w:szCs w:val="18"/>
              </w:rPr>
            </w:pPr>
            <w:r w:rsidRPr="00D371D0">
              <w:rPr>
                <w:rFonts w:cs="Arial"/>
                <w:sz w:val="18"/>
                <w:szCs w:val="18"/>
              </w:rPr>
              <w:t>Although the proponent has no experience in operating similar sites, highly credentialed hydrogeological, hydrochemical and engineering experts are available within the private and public sectors, and should be called upon to provide advice as required.</w:t>
            </w:r>
          </w:p>
        </w:tc>
      </w:tr>
      <w:tr w:rsidR="00035877" w:rsidRPr="006205C3" w:rsidTr="00370829">
        <w:tc>
          <w:tcPr>
            <w:tcW w:w="14786" w:type="dxa"/>
            <w:gridSpan w:val="3"/>
            <w:shd w:val="clear" w:color="auto" w:fill="E6E6E6"/>
          </w:tcPr>
          <w:p w:rsidR="00035877" w:rsidRPr="006205C3" w:rsidRDefault="00035877" w:rsidP="00370829">
            <w:pPr>
              <w:rPr>
                <w:rFonts w:cs="Arial"/>
                <w:sz w:val="20"/>
                <w:szCs w:val="20"/>
              </w:rPr>
            </w:pPr>
            <w:r>
              <w:rPr>
                <w:rFonts w:cs="Arial"/>
                <w:b/>
                <w:sz w:val="20"/>
                <w:szCs w:val="20"/>
              </w:rPr>
              <w:t xml:space="preserve">14. </w:t>
            </w:r>
            <w:r w:rsidRPr="006205C3">
              <w:rPr>
                <w:rFonts w:cs="Arial"/>
                <w:b/>
                <w:sz w:val="20"/>
                <w:szCs w:val="20"/>
              </w:rPr>
              <w:t xml:space="preserve">Planning and related requirements </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a) Does the project require development approval? And is it in a built up area; on public, flood-prone or steep land; close to a property boundary; contain open water storages or engineering structures; </w:t>
            </w:r>
          </w:p>
          <w:p w:rsidR="00035877" w:rsidRPr="00D371D0" w:rsidRDefault="00035877" w:rsidP="00370829">
            <w:pPr>
              <w:rPr>
                <w:rFonts w:cs="Arial"/>
                <w:sz w:val="18"/>
                <w:szCs w:val="18"/>
              </w:rPr>
            </w:pPr>
          </w:p>
          <w:p w:rsidR="00035877" w:rsidRPr="00D371D0" w:rsidRDefault="00035877" w:rsidP="00370829">
            <w:pPr>
              <w:rPr>
                <w:rFonts w:cs="Arial"/>
                <w:sz w:val="18"/>
                <w:szCs w:val="18"/>
              </w:rPr>
            </w:pPr>
            <w:r w:rsidRPr="00D371D0">
              <w:rPr>
                <w:rFonts w:cs="Arial"/>
                <w:sz w:val="18"/>
                <w:szCs w:val="18"/>
              </w:rPr>
              <w:t>b) Is it likely to cause public health, safety or nuisance issues, or adverse environmental impacts?</w:t>
            </w:r>
            <w:r w:rsidR="00E823BA">
              <w:rPr>
                <w:rFonts w:cs="Arial"/>
                <w:sz w:val="18"/>
                <w:szCs w:val="18"/>
              </w:rPr>
              <w:t xml:space="preserve"> </w:t>
            </w:r>
          </w:p>
        </w:tc>
        <w:tc>
          <w:tcPr>
            <w:tcW w:w="6916" w:type="dxa"/>
          </w:tcPr>
          <w:p w:rsidR="00035877" w:rsidRPr="00D371D0" w:rsidRDefault="00035877" w:rsidP="00370829">
            <w:pPr>
              <w:rPr>
                <w:rFonts w:cs="Arial"/>
                <w:sz w:val="18"/>
                <w:szCs w:val="18"/>
              </w:rPr>
            </w:pPr>
            <w:r w:rsidRPr="00D371D0">
              <w:rPr>
                <w:rFonts w:cs="Arial"/>
                <w:sz w:val="18"/>
                <w:szCs w:val="18"/>
              </w:rPr>
              <w:t>a) Yes. Planning approval is likely to be necessary. Land ownership issues are also likely to be encountered in implementing the project. It is likely that a development approval process will require that each potential issue is assessed and managed. This may require additional information and steps in design. For this project to proceed, there clearly needs to be inter-governmental and interagency agreement, with water entitlements and water sharing agreements one part of a complex set of issues to be resolved as part of any planning and development process. Identification of culturally sensitive sites will be required.</w:t>
            </w:r>
          </w:p>
          <w:p w:rsidR="00035877" w:rsidRPr="00D371D0" w:rsidRDefault="00035877" w:rsidP="00370829">
            <w:pPr>
              <w:rPr>
                <w:rFonts w:cs="Arial"/>
                <w:sz w:val="18"/>
                <w:szCs w:val="18"/>
              </w:rPr>
            </w:pPr>
          </w:p>
          <w:p w:rsidR="00035877" w:rsidRPr="00D371D0" w:rsidRDefault="00035877" w:rsidP="00370829">
            <w:pPr>
              <w:rPr>
                <w:rFonts w:cs="Arial"/>
                <w:sz w:val="18"/>
                <w:szCs w:val="18"/>
              </w:rPr>
            </w:pPr>
            <w:r w:rsidRPr="00D371D0">
              <w:rPr>
                <w:rFonts w:cs="Arial"/>
                <w:sz w:val="18"/>
                <w:szCs w:val="18"/>
              </w:rPr>
              <w:t xml:space="preserve">b) No. The project is not expected to cause public health or safety issues. </w:t>
            </w:r>
          </w:p>
        </w:tc>
        <w:tc>
          <w:tcPr>
            <w:tcW w:w="4053" w:type="dxa"/>
          </w:tcPr>
          <w:p w:rsidR="00035877" w:rsidRPr="00D371D0" w:rsidRDefault="00035877" w:rsidP="00370829">
            <w:pPr>
              <w:rPr>
                <w:rFonts w:cs="Arial"/>
                <w:sz w:val="18"/>
                <w:szCs w:val="18"/>
              </w:rPr>
            </w:pPr>
            <w:r w:rsidRPr="00D371D0">
              <w:rPr>
                <w:rFonts w:cs="Arial"/>
                <w:sz w:val="18"/>
                <w:szCs w:val="18"/>
              </w:rPr>
              <w:t>Additional information may be required to address all potential issues requiring developmental approval or resolution of ownership rights. There is low risk in the uncertainty relating to the potential impacts of the operation on ecosystems. Further drilling and hydrogeological and hydrochemical investigation is required to enable a full residual risk assessment to be carried out for this potential borefield.</w:t>
            </w:r>
          </w:p>
        </w:tc>
      </w:tr>
    </w:tbl>
    <w:p w:rsidR="00035877" w:rsidRDefault="00035877" w:rsidP="00035877">
      <w:pPr>
        <w:pStyle w:val="Captionfortables"/>
      </w:pPr>
    </w:p>
    <w:p w:rsidR="00035877" w:rsidRDefault="00035877" w:rsidP="00035877"/>
    <w:p w:rsidR="00035877" w:rsidRDefault="00035877" w:rsidP="00035877">
      <w:pPr>
        <w:sectPr w:rsidR="00035877" w:rsidSect="00C6706D">
          <w:pgSz w:w="16838" w:h="11906" w:orient="landscape"/>
          <w:pgMar w:top="1134" w:right="1134" w:bottom="1134" w:left="1134" w:header="709" w:footer="709" w:gutter="0"/>
          <w:cols w:space="708"/>
          <w:docGrid w:linePitch="360"/>
        </w:sectPr>
      </w:pPr>
    </w:p>
    <w:p w:rsidR="00035877" w:rsidRPr="00021090" w:rsidRDefault="00C6655F" w:rsidP="00021090">
      <w:pPr>
        <w:pStyle w:val="Heading2"/>
        <w:tabs>
          <w:tab w:val="left" w:pos="720"/>
        </w:tabs>
        <w:spacing w:before="320"/>
      </w:pPr>
      <w:bookmarkStart w:id="680" w:name="_Toc325700138"/>
      <w:bookmarkStart w:id="681" w:name="_Toc325700481"/>
      <w:bookmarkStart w:id="682" w:name="_Toc325975167"/>
      <w:bookmarkStart w:id="683" w:name="_Toc390690160"/>
      <w:r w:rsidRPr="00021090">
        <w:lastRenderedPageBreak/>
        <w:t>K</w:t>
      </w:r>
      <w:r w:rsidR="00035877" w:rsidRPr="00021090">
        <w:t xml:space="preserve">inchega </w:t>
      </w:r>
      <w:r w:rsidRPr="00EF7E00">
        <w:t>N</w:t>
      </w:r>
      <w:r w:rsidR="00035877" w:rsidRPr="00EF7E00">
        <w:t>ational</w:t>
      </w:r>
      <w:r w:rsidR="00035877" w:rsidRPr="00021090">
        <w:t xml:space="preserve"> </w:t>
      </w:r>
      <w:r w:rsidRPr="00021090">
        <w:t>P</w:t>
      </w:r>
      <w:r w:rsidR="00035877" w:rsidRPr="00021090">
        <w:t xml:space="preserve">ark </w:t>
      </w:r>
      <w:r w:rsidRPr="00021090">
        <w:t>S</w:t>
      </w:r>
      <w:r w:rsidR="00035877" w:rsidRPr="00021090">
        <w:t>ite</w:t>
      </w:r>
      <w:bookmarkEnd w:id="680"/>
      <w:bookmarkEnd w:id="681"/>
      <w:bookmarkEnd w:id="682"/>
      <w:bookmarkEnd w:id="683"/>
    </w:p>
    <w:p w:rsidR="00F32C95" w:rsidRDefault="007E2FE7" w:rsidP="00832DFE">
      <w:pPr>
        <w:rPr>
          <w:szCs w:val="22"/>
        </w:rPr>
      </w:pPr>
      <w:r w:rsidRPr="00DC6C9A">
        <w:rPr>
          <w:szCs w:val="22"/>
        </w:rPr>
        <w:t>The proposed borefield site</w:t>
      </w:r>
      <w:r>
        <w:rPr>
          <w:szCs w:val="22"/>
        </w:rPr>
        <w:t xml:space="preserve">s within </w:t>
      </w:r>
      <w:smartTag w:uri="urn:schemas-microsoft-com:office:smarttags" w:element="place">
        <w:smartTag w:uri="urn:schemas-microsoft-com:office:smarttags" w:element="PlaceName">
          <w:r>
            <w:rPr>
              <w:szCs w:val="22"/>
            </w:rPr>
            <w:t>Kinchega</w:t>
          </w:r>
        </w:smartTag>
        <w:r>
          <w:rPr>
            <w:szCs w:val="22"/>
          </w:rPr>
          <w:t xml:space="preserve"> </w:t>
        </w:r>
        <w:smartTag w:uri="urn:schemas-microsoft-com:office:smarttags" w:element="PlaceType">
          <w:r>
            <w:rPr>
              <w:szCs w:val="22"/>
            </w:rPr>
            <w:t>National Park</w:t>
          </w:r>
        </w:smartTag>
      </w:smartTag>
      <w:r>
        <w:rPr>
          <w:szCs w:val="22"/>
        </w:rPr>
        <w:t xml:space="preserve"> are</w:t>
      </w:r>
      <w:r w:rsidRPr="00DC6C9A">
        <w:rPr>
          <w:szCs w:val="22"/>
        </w:rPr>
        <w:t xml:space="preserve"> located 10</w:t>
      </w:r>
      <w:r>
        <w:rPr>
          <w:szCs w:val="22"/>
        </w:rPr>
        <w:t>-15</w:t>
      </w:r>
      <w:r w:rsidR="00BE068E">
        <w:rPr>
          <w:szCs w:val="22"/>
        </w:rPr>
        <w:t xml:space="preserve"> </w:t>
      </w:r>
      <w:r>
        <w:rPr>
          <w:szCs w:val="22"/>
        </w:rPr>
        <w:t xml:space="preserve">km SW of </w:t>
      </w:r>
      <w:r w:rsidR="00C217F0">
        <w:rPr>
          <w:szCs w:val="22"/>
        </w:rPr>
        <w:t>Menindee</w:t>
      </w:r>
      <w:r>
        <w:rPr>
          <w:szCs w:val="22"/>
        </w:rPr>
        <w:t>, within the GWR</w:t>
      </w:r>
      <w:r w:rsidR="00F32C95">
        <w:rPr>
          <w:szCs w:val="22"/>
        </w:rPr>
        <w:t xml:space="preserve">1 groundwater resource target. The potential borefield sites are separated by </w:t>
      </w:r>
      <w:smartTag w:uri="urn:schemas-microsoft-com:office:smarttags" w:element="place">
        <w:smartTag w:uri="urn:schemas-microsoft-com:office:smarttags" w:element="PlaceName">
          <w:r w:rsidR="00F32C95">
            <w:rPr>
              <w:szCs w:val="22"/>
            </w:rPr>
            <w:t>Emu</w:t>
          </w:r>
        </w:smartTag>
        <w:r w:rsidR="00F32C95">
          <w:rPr>
            <w:szCs w:val="22"/>
          </w:rPr>
          <w:t xml:space="preserve"> </w:t>
        </w:r>
        <w:smartTag w:uri="urn:schemas-microsoft-com:office:smarttags" w:element="PlaceType">
          <w:r w:rsidR="00F32C95">
            <w:rPr>
              <w:szCs w:val="22"/>
            </w:rPr>
            <w:t>Lake</w:t>
          </w:r>
        </w:smartTag>
      </w:smartTag>
      <w:r w:rsidR="00F32C95">
        <w:rPr>
          <w:szCs w:val="22"/>
        </w:rPr>
        <w:t xml:space="preserve">. It was not possible to obtain drilling permissions for the </w:t>
      </w:r>
      <w:smartTag w:uri="urn:schemas-microsoft-com:office:smarttags" w:element="place">
        <w:smartTag w:uri="urn:schemas-microsoft-com:office:smarttags" w:element="PlaceName">
          <w:r w:rsidR="00F32C95">
            <w:rPr>
              <w:szCs w:val="22"/>
            </w:rPr>
            <w:t>Kinchega</w:t>
          </w:r>
        </w:smartTag>
        <w:r w:rsidR="00F32C95">
          <w:rPr>
            <w:szCs w:val="22"/>
          </w:rPr>
          <w:t xml:space="preserve"> </w:t>
        </w:r>
        <w:smartTag w:uri="urn:schemas-microsoft-com:office:smarttags" w:element="PlaceType">
          <w:r w:rsidR="00F32C95">
            <w:rPr>
              <w:szCs w:val="22"/>
            </w:rPr>
            <w:t>National Park</w:t>
          </w:r>
        </w:smartTag>
      </w:smartTag>
      <w:r w:rsidR="00F32C95">
        <w:rPr>
          <w:szCs w:val="22"/>
        </w:rPr>
        <w:t xml:space="preserve"> sites, hence the assessment has to utilise the AEM data and interpretations</w:t>
      </w:r>
      <w:r w:rsidR="00BE068E">
        <w:rPr>
          <w:szCs w:val="22"/>
        </w:rPr>
        <w:t xml:space="preserve"> (</w:t>
      </w:r>
      <w:r w:rsidR="00B03359">
        <w:rPr>
          <w:szCs w:val="22"/>
        </w:rPr>
        <w:t xml:space="preserve">Appendix 4 and 5, </w:t>
      </w:r>
      <w:r w:rsidR="00BE068E">
        <w:rPr>
          <w:szCs w:val="22"/>
        </w:rPr>
        <w:t>Apps</w:t>
      </w:r>
      <w:r w:rsidR="008A5F7D" w:rsidRPr="00CF7613">
        <w:rPr>
          <w:rStyle w:val="StyleItalic"/>
        </w:rPr>
        <w:t xml:space="preserve"> et al</w:t>
      </w:r>
      <w:r w:rsidR="00BE068E">
        <w:rPr>
          <w:szCs w:val="22"/>
        </w:rPr>
        <w:t xml:space="preserve">., </w:t>
      </w:r>
      <w:r w:rsidR="00A644B7">
        <w:rPr>
          <w:szCs w:val="22"/>
        </w:rPr>
        <w:t>2012</w:t>
      </w:r>
      <w:r w:rsidR="00B03359">
        <w:rPr>
          <w:szCs w:val="22"/>
        </w:rPr>
        <w:t>c</w:t>
      </w:r>
      <w:r w:rsidR="00BE068E">
        <w:rPr>
          <w:szCs w:val="22"/>
        </w:rPr>
        <w:t xml:space="preserve">, </w:t>
      </w:r>
      <w:r w:rsidR="00B03359">
        <w:rPr>
          <w:szCs w:val="22"/>
        </w:rPr>
        <w:t>d</w:t>
      </w:r>
      <w:r w:rsidR="00BE068E">
        <w:rPr>
          <w:szCs w:val="22"/>
        </w:rPr>
        <w:t>)</w:t>
      </w:r>
      <w:r w:rsidR="00F32C95">
        <w:rPr>
          <w:szCs w:val="22"/>
        </w:rPr>
        <w:t xml:space="preserve">, with the nearest validation from boreholes in the adjacent Jimargil site. </w:t>
      </w:r>
    </w:p>
    <w:p w:rsidR="00BE068E" w:rsidRPr="00832DFE" w:rsidRDefault="00BE068E" w:rsidP="00832DFE">
      <w:pPr>
        <w:rPr>
          <w:szCs w:val="22"/>
        </w:rPr>
      </w:pPr>
    </w:p>
    <w:p w:rsidR="00F32C95" w:rsidRDefault="00F32C95" w:rsidP="00832DFE">
      <w:pPr>
        <w:rPr>
          <w:b/>
          <w:i/>
          <w:szCs w:val="22"/>
        </w:rPr>
      </w:pPr>
      <w:r>
        <w:t xml:space="preserve">This site should only be regarded as the least favourable option due to </w:t>
      </w:r>
      <w:r w:rsidR="00832DFE">
        <w:t xml:space="preserve">site access issues, and consequent </w:t>
      </w:r>
      <w:r>
        <w:t xml:space="preserve">uncertainties in quantifying the hydrogeology </w:t>
      </w:r>
      <w:r w:rsidR="00832DFE">
        <w:t>and</w:t>
      </w:r>
      <w:r>
        <w:t xml:space="preserve"> impacts on vegetation. </w:t>
      </w:r>
    </w:p>
    <w:p w:rsidR="00832DFE" w:rsidRDefault="00832DFE" w:rsidP="00832DFE">
      <w:pPr>
        <w:rPr>
          <w:szCs w:val="22"/>
        </w:rPr>
      </w:pPr>
    </w:p>
    <w:p w:rsidR="00832DFE" w:rsidRDefault="00F32C95" w:rsidP="00832DFE">
      <w:pPr>
        <w:rPr>
          <w:szCs w:val="22"/>
        </w:rPr>
      </w:pPr>
      <w:r>
        <w:rPr>
          <w:szCs w:val="22"/>
        </w:rPr>
        <w:t>The AEM data suggest that t</w:t>
      </w:r>
      <w:r w:rsidR="00F57DF3">
        <w:rPr>
          <w:szCs w:val="22"/>
        </w:rPr>
        <w:t>he proposed borefield</w:t>
      </w:r>
      <w:r w:rsidR="00FB43B1">
        <w:rPr>
          <w:szCs w:val="22"/>
        </w:rPr>
        <w:t>s</w:t>
      </w:r>
      <w:r w:rsidR="00F57DF3">
        <w:rPr>
          <w:szCs w:val="22"/>
        </w:rPr>
        <w:t xml:space="preserve"> contains</w:t>
      </w:r>
      <w:r>
        <w:rPr>
          <w:szCs w:val="22"/>
        </w:rPr>
        <w:t xml:space="preserve"> </w:t>
      </w:r>
      <w:r w:rsidR="00FB43B1">
        <w:rPr>
          <w:szCs w:val="22"/>
        </w:rPr>
        <w:t>180</w:t>
      </w:r>
      <w:r w:rsidR="00F57DF3">
        <w:rPr>
          <w:szCs w:val="22"/>
        </w:rPr>
        <w:t>-</w:t>
      </w:r>
      <w:r w:rsidR="00FB43B1">
        <w:rPr>
          <w:szCs w:val="22"/>
        </w:rPr>
        <w:t>370</w:t>
      </w:r>
      <w:r w:rsidR="00F57DF3">
        <w:rPr>
          <w:szCs w:val="22"/>
        </w:rPr>
        <w:t xml:space="preserve"> GL </w:t>
      </w:r>
      <w:r>
        <w:rPr>
          <w:szCs w:val="22"/>
        </w:rPr>
        <w:t xml:space="preserve">of good to acceptable groundwater </w:t>
      </w:r>
      <w:r w:rsidRPr="00795774">
        <w:rPr>
          <w:szCs w:val="22"/>
        </w:rPr>
        <w:t>(</w:t>
      </w:r>
      <w:r w:rsidR="00DB12CD" w:rsidRPr="000D653B">
        <w:rPr>
          <w:szCs w:val="22"/>
        </w:rPr>
        <w:fldChar w:fldCharType="begin"/>
      </w:r>
      <w:r w:rsidR="00DB12CD" w:rsidRPr="000D653B">
        <w:rPr>
          <w:szCs w:val="22"/>
        </w:rPr>
        <w:instrText xml:space="preserve"> REF _Ref325708804 \h </w:instrText>
      </w:r>
      <w:r w:rsidR="00795774" w:rsidRPr="000D653B">
        <w:rPr>
          <w:szCs w:val="22"/>
        </w:rPr>
        <w:instrText xml:space="preserve"> \* MERGEFORMAT </w:instrText>
      </w:r>
      <w:r w:rsidR="00DB12CD" w:rsidRPr="000D653B">
        <w:rPr>
          <w:szCs w:val="22"/>
        </w:rPr>
      </w:r>
      <w:r w:rsidR="00DB12CD" w:rsidRPr="000D653B">
        <w:rPr>
          <w:szCs w:val="22"/>
        </w:rPr>
        <w:fldChar w:fldCharType="separate"/>
      </w:r>
      <w:r w:rsidR="00966532" w:rsidRPr="00966532">
        <w:rPr>
          <w:szCs w:val="22"/>
        </w:rPr>
        <w:t>Figure 9</w:t>
      </w:r>
      <w:r w:rsidR="00966532" w:rsidRPr="00966532">
        <w:rPr>
          <w:szCs w:val="22"/>
        </w:rPr>
        <w:noBreakHyphen/>
        <w:t>5</w:t>
      </w:r>
      <w:r w:rsidR="00DB12CD" w:rsidRPr="000D653B">
        <w:rPr>
          <w:szCs w:val="22"/>
        </w:rPr>
        <w:fldChar w:fldCharType="end"/>
      </w:r>
      <w:r w:rsidR="005035D4" w:rsidRPr="000D653B">
        <w:rPr>
          <w:szCs w:val="22"/>
        </w:rPr>
        <w:t>;</w:t>
      </w:r>
      <w:r w:rsidR="000D653B" w:rsidRPr="000D653B">
        <w:rPr>
          <w:szCs w:val="22"/>
        </w:rPr>
        <w:fldChar w:fldCharType="begin"/>
      </w:r>
      <w:r w:rsidR="000D653B" w:rsidRPr="000D653B">
        <w:rPr>
          <w:szCs w:val="22"/>
        </w:rPr>
        <w:instrText xml:space="preserve"> REF _Ref355627812 \h </w:instrText>
      </w:r>
      <w:r w:rsidR="000D653B">
        <w:rPr>
          <w:szCs w:val="22"/>
        </w:rPr>
        <w:instrText xml:space="preserve"> \* MERGEFORMAT </w:instrText>
      </w:r>
      <w:r w:rsidR="000D653B" w:rsidRPr="000D653B">
        <w:rPr>
          <w:szCs w:val="22"/>
        </w:rPr>
      </w:r>
      <w:r w:rsidR="000D653B" w:rsidRPr="000D653B">
        <w:rPr>
          <w:szCs w:val="22"/>
        </w:rPr>
        <w:fldChar w:fldCharType="separate"/>
      </w:r>
      <w:r w:rsidR="00966532" w:rsidRPr="00966532">
        <w:rPr>
          <w:szCs w:val="22"/>
        </w:rPr>
        <w:t>Table 9</w:t>
      </w:r>
      <w:r w:rsidR="00966532" w:rsidRPr="00966532">
        <w:rPr>
          <w:szCs w:val="22"/>
        </w:rPr>
        <w:noBreakHyphen/>
        <w:t>7</w:t>
      </w:r>
      <w:r w:rsidR="000D653B" w:rsidRPr="000D653B">
        <w:rPr>
          <w:szCs w:val="22"/>
        </w:rPr>
        <w:fldChar w:fldCharType="end"/>
      </w:r>
      <w:r w:rsidR="005035D4" w:rsidRPr="000D653B">
        <w:rPr>
          <w:szCs w:val="22"/>
        </w:rPr>
        <w:t>)</w:t>
      </w:r>
      <w:r w:rsidRPr="000D653B">
        <w:rPr>
          <w:szCs w:val="22"/>
        </w:rPr>
        <w:t xml:space="preserve">, </w:t>
      </w:r>
      <w:r w:rsidR="00832DFE" w:rsidRPr="000D653B">
        <w:rPr>
          <w:szCs w:val="22"/>
        </w:rPr>
        <w:t>although</w:t>
      </w:r>
      <w:r w:rsidRPr="000D653B">
        <w:rPr>
          <w:szCs w:val="22"/>
        </w:rPr>
        <w:t xml:space="preserve"> no groundwater quality data from this site were available for assessment</w:t>
      </w:r>
      <w:r w:rsidR="001B5377" w:rsidRPr="000D653B">
        <w:rPr>
          <w:szCs w:val="22"/>
        </w:rPr>
        <w:t>, and no bores were accessible</w:t>
      </w:r>
      <w:r w:rsidR="00BE068E" w:rsidRPr="000D653B">
        <w:rPr>
          <w:szCs w:val="22"/>
        </w:rPr>
        <w:t xml:space="preserve"> (La</w:t>
      </w:r>
      <w:r w:rsidR="00BE068E" w:rsidRPr="00670511">
        <w:t>wrie</w:t>
      </w:r>
      <w:r w:rsidR="008A5F7D" w:rsidRPr="00CF7613">
        <w:rPr>
          <w:rStyle w:val="StyleItalic"/>
        </w:rPr>
        <w:t xml:space="preserve"> et al</w:t>
      </w:r>
      <w:r w:rsidR="00BE068E" w:rsidRPr="00670511">
        <w:t>., 2012c)</w:t>
      </w:r>
      <w:r w:rsidRPr="00670511">
        <w:t xml:space="preserve">. </w:t>
      </w:r>
      <w:r w:rsidR="005430CB" w:rsidRPr="00670511">
        <w:rPr>
          <w:szCs w:val="22"/>
        </w:rPr>
        <w:t>There</w:t>
      </w:r>
      <w:r w:rsidR="005430CB">
        <w:rPr>
          <w:szCs w:val="22"/>
        </w:rPr>
        <w:t xml:space="preserve"> is also the additional caveat that there are higher uncertainties in resolving more resistive features in the AEM data. </w:t>
      </w:r>
      <w:r w:rsidRPr="00E823BA">
        <w:t xml:space="preserve">However, it is worth noting </w:t>
      </w:r>
      <w:r>
        <w:rPr>
          <w:szCs w:val="22"/>
        </w:rPr>
        <w:t xml:space="preserve">that </w:t>
      </w:r>
      <w:r w:rsidR="00832DFE">
        <w:rPr>
          <w:szCs w:val="22"/>
        </w:rPr>
        <w:t xml:space="preserve">one of </w:t>
      </w:r>
      <w:r>
        <w:rPr>
          <w:szCs w:val="22"/>
        </w:rPr>
        <w:t>the first bore</w:t>
      </w:r>
      <w:r w:rsidR="00832DFE">
        <w:rPr>
          <w:szCs w:val="22"/>
        </w:rPr>
        <w:t>s</w:t>
      </w:r>
      <w:r>
        <w:rPr>
          <w:szCs w:val="22"/>
        </w:rPr>
        <w:t xml:space="preserve"> drilled in the Basin was in this target at the former Kinchega Sheep Station. </w:t>
      </w:r>
      <w:r w:rsidR="001B5377">
        <w:rPr>
          <w:szCs w:val="22"/>
        </w:rPr>
        <w:t>“</w:t>
      </w:r>
      <w:r w:rsidR="001B5377" w:rsidRPr="001B5377">
        <w:rPr>
          <w:szCs w:val="22"/>
        </w:rPr>
        <w:t>Kinchega station was one of the first to experiment with bores and in 1879 found excellent water at 250 feet”</w:t>
      </w:r>
      <w:r w:rsidR="001B5377">
        <w:rPr>
          <w:szCs w:val="22"/>
        </w:rPr>
        <w:t xml:space="preserve"> </w:t>
      </w:r>
      <w:r w:rsidR="001B5377" w:rsidRPr="001B5377">
        <w:rPr>
          <w:szCs w:val="22"/>
        </w:rPr>
        <w:t xml:space="preserve">(Freeman, 2002). </w:t>
      </w:r>
      <w:r w:rsidR="001B5377">
        <w:rPr>
          <w:szCs w:val="22"/>
        </w:rPr>
        <w:t xml:space="preserve">This </w:t>
      </w:r>
      <w:r w:rsidR="00F57DF3">
        <w:rPr>
          <w:szCs w:val="22"/>
        </w:rPr>
        <w:t>is consistent</w:t>
      </w:r>
      <w:r w:rsidR="001B5377">
        <w:rPr>
          <w:szCs w:val="22"/>
        </w:rPr>
        <w:t xml:space="preserve"> with water extraction from the </w:t>
      </w:r>
      <w:r w:rsidR="00C217F0">
        <w:rPr>
          <w:szCs w:val="22"/>
        </w:rPr>
        <w:t>Calivil Formation</w:t>
      </w:r>
      <w:r w:rsidR="001B5377">
        <w:rPr>
          <w:szCs w:val="22"/>
        </w:rPr>
        <w:t xml:space="preserve"> aquifer</w:t>
      </w:r>
      <w:r>
        <w:rPr>
          <w:szCs w:val="22"/>
        </w:rPr>
        <w:t>.</w:t>
      </w:r>
    </w:p>
    <w:p w:rsidR="00832DFE" w:rsidRDefault="00832DFE" w:rsidP="00832DFE">
      <w:pPr>
        <w:rPr>
          <w:szCs w:val="22"/>
        </w:rPr>
      </w:pPr>
    </w:p>
    <w:p w:rsidR="00F32C95" w:rsidRDefault="00F32C95" w:rsidP="00832DFE">
      <w:pPr>
        <w:rPr>
          <w:szCs w:val="22"/>
        </w:rPr>
      </w:pPr>
      <w:r>
        <w:rPr>
          <w:szCs w:val="22"/>
        </w:rPr>
        <w:t xml:space="preserve">Interpretations of the </w:t>
      </w:r>
      <w:r w:rsidRPr="00670511">
        <w:rPr>
          <w:szCs w:val="22"/>
        </w:rPr>
        <w:t xml:space="preserve">AEM data suggests that the major palaeochannel intersected at </w:t>
      </w:r>
      <w:smartTag w:uri="urn:schemas-microsoft-com:office:smarttags" w:element="place">
        <w:r w:rsidRPr="00670511">
          <w:rPr>
            <w:szCs w:val="22"/>
          </w:rPr>
          <w:t>East Bootingee</w:t>
        </w:r>
      </w:smartTag>
      <w:r w:rsidRPr="00670511">
        <w:rPr>
          <w:szCs w:val="22"/>
        </w:rPr>
        <w:t xml:space="preserve"> extends through the KNP proposed borefields</w:t>
      </w:r>
      <w:r w:rsidR="00BE068E" w:rsidRPr="00670511">
        <w:rPr>
          <w:szCs w:val="22"/>
        </w:rPr>
        <w:t xml:space="preserve"> (Lawrie</w:t>
      </w:r>
      <w:r w:rsidR="008A5F7D" w:rsidRPr="00CF7613">
        <w:rPr>
          <w:rStyle w:val="StyleItalic"/>
        </w:rPr>
        <w:t xml:space="preserve"> et al</w:t>
      </w:r>
      <w:r w:rsidR="00BE068E" w:rsidRPr="00670511">
        <w:rPr>
          <w:szCs w:val="22"/>
        </w:rPr>
        <w:t>., 2012b, c)</w:t>
      </w:r>
      <w:r w:rsidRPr="00670511">
        <w:rPr>
          <w:szCs w:val="22"/>
        </w:rPr>
        <w:t xml:space="preserve">. Interpretation suggests that the sites contain thick sands. The </w:t>
      </w:r>
      <w:r w:rsidR="00C217F0">
        <w:rPr>
          <w:szCs w:val="22"/>
        </w:rPr>
        <w:t>Calivil Formation</w:t>
      </w:r>
      <w:r w:rsidRPr="00670511">
        <w:rPr>
          <w:szCs w:val="22"/>
        </w:rPr>
        <w:t xml:space="preserve"> is therefore likely to contain thick sands and gravels within the palaeochannels, with good transmissivities anticipated.</w:t>
      </w:r>
      <w:r>
        <w:rPr>
          <w:szCs w:val="22"/>
        </w:rPr>
        <w:t xml:space="preserve"> </w:t>
      </w:r>
    </w:p>
    <w:p w:rsidR="00832DFE" w:rsidRDefault="00832DFE" w:rsidP="00832DFE"/>
    <w:p w:rsidR="00832DFE" w:rsidRDefault="00F32C95" w:rsidP="00832DFE">
      <w:r>
        <w:t xml:space="preserve">There is a thick near-surface </w:t>
      </w:r>
      <w:r w:rsidR="001E3931">
        <w:t>mud</w:t>
      </w:r>
      <w:r>
        <w:t xml:space="preserve">-drape, and thick Blanchetown Clay confining aquitard over much of the proposed borefield sites. However, there are holes in the Blanchetown Clay towards the river, and the aquitard is much thinner beneath </w:t>
      </w:r>
      <w:smartTag w:uri="urn:schemas-microsoft-com:office:smarttags" w:element="place">
        <w:smartTag w:uri="urn:schemas-microsoft-com:office:smarttags" w:element="PlaceName">
          <w:r>
            <w:t>Emu</w:t>
          </w:r>
        </w:smartTag>
        <w:r>
          <w:t xml:space="preserve"> </w:t>
        </w:r>
        <w:smartTag w:uri="urn:schemas-microsoft-com:office:smarttags" w:element="PlaceType">
          <w:r>
            <w:t>Lake</w:t>
          </w:r>
        </w:smartTag>
      </w:smartTag>
      <w:r>
        <w:t xml:space="preserve"> than on either side, suggesting one contribution to the groundwater resource may come from lake leakage. There is also the potential for lateral bank recharge from the Darling River via the </w:t>
      </w:r>
      <w:r w:rsidR="00C217F0">
        <w:t>Menindee Formation</w:t>
      </w:r>
      <w:r>
        <w:t xml:space="preserve"> and through faults, as in the opposite bank at </w:t>
      </w:r>
      <w:smartTag w:uri="urn:schemas-microsoft-com:office:smarttags" w:element="place">
        <w:r>
          <w:t xml:space="preserve">East </w:t>
        </w:r>
        <w:r w:rsidR="00832DFE">
          <w:t>Bootingee</w:t>
        </w:r>
      </w:smartTag>
      <w:r w:rsidR="001B5377">
        <w:t>.</w:t>
      </w:r>
    </w:p>
    <w:p w:rsidR="00832DFE" w:rsidRDefault="00832DFE" w:rsidP="00EF7E00">
      <w:pPr>
        <w:pStyle w:val="Heading3"/>
        <w:tabs>
          <w:tab w:val="left" w:pos="1080"/>
        </w:tabs>
        <w:spacing w:before="320"/>
        <w:ind w:left="1080" w:hanging="1080"/>
      </w:pPr>
      <w:bookmarkStart w:id="684" w:name="_Toc325700139"/>
      <w:bookmarkStart w:id="685" w:name="_Toc325700482"/>
      <w:bookmarkStart w:id="686" w:name="_Toc325975168"/>
      <w:bookmarkStart w:id="687" w:name="_Toc390690161"/>
      <w:smartTag w:uri="urn:schemas-microsoft-com:office:smarttags" w:element="place">
        <w:smartTag w:uri="urn:schemas-microsoft-com:office:smarttags" w:element="PlaceName">
          <w:r>
            <w:t>Kinchega</w:t>
          </w:r>
        </w:smartTag>
        <w:r>
          <w:t xml:space="preserve"> </w:t>
        </w:r>
        <w:smartTag w:uri="urn:schemas-microsoft-com:office:smarttags" w:element="PlaceType">
          <w:r>
            <w:t>National Park</w:t>
          </w:r>
        </w:smartTag>
      </w:smartTag>
      <w:r>
        <w:t xml:space="preserve"> Site </w:t>
      </w:r>
      <w:smartTag w:uri="urn:schemas-microsoft-com:office:smarttags" w:element="PersonName">
        <w:r>
          <w:t>Groundwater</w:t>
        </w:r>
      </w:smartTag>
      <w:r>
        <w:t xml:space="preserve"> Extraction Options</w:t>
      </w:r>
      <w:bookmarkEnd w:id="684"/>
      <w:bookmarkEnd w:id="685"/>
      <w:bookmarkEnd w:id="686"/>
      <w:bookmarkEnd w:id="687"/>
    </w:p>
    <w:p w:rsidR="001B5377" w:rsidRPr="001B5377" w:rsidRDefault="001B5377" w:rsidP="001B5377">
      <w:pPr>
        <w:rPr>
          <w:szCs w:val="22"/>
        </w:rPr>
      </w:pPr>
      <w:r>
        <w:rPr>
          <w:szCs w:val="22"/>
        </w:rPr>
        <w:t>T</w:t>
      </w:r>
      <w:r w:rsidRPr="001B5377">
        <w:rPr>
          <w:szCs w:val="22"/>
        </w:rPr>
        <w:t>he KNP potential borefield sites would appear to contain the largest predicted groundwater resource</w:t>
      </w:r>
      <w:r>
        <w:rPr>
          <w:szCs w:val="22"/>
        </w:rPr>
        <w:t>, although there is only historical evidence to validate the groundwater quality</w:t>
      </w:r>
      <w:r w:rsidRPr="001B5377">
        <w:rPr>
          <w:szCs w:val="22"/>
        </w:rPr>
        <w:t xml:space="preserve">. </w:t>
      </w:r>
      <w:r>
        <w:rPr>
          <w:szCs w:val="22"/>
        </w:rPr>
        <w:t>However, g</w:t>
      </w:r>
      <w:r w:rsidRPr="001B5377">
        <w:rPr>
          <w:szCs w:val="22"/>
        </w:rPr>
        <w:t xml:space="preserve">aining permissions to establish a borefield within the boundaries of the </w:t>
      </w:r>
      <w:smartTag w:uri="urn:schemas-microsoft-com:office:smarttags" w:element="place">
        <w:smartTag w:uri="urn:schemas-microsoft-com:office:smarttags" w:element="PlaceName">
          <w:r w:rsidRPr="001B5377">
            <w:rPr>
              <w:szCs w:val="22"/>
            </w:rPr>
            <w:t>Kinchega</w:t>
          </w:r>
        </w:smartTag>
        <w:r w:rsidRPr="001B5377">
          <w:rPr>
            <w:szCs w:val="22"/>
          </w:rPr>
          <w:t xml:space="preserve"> </w:t>
        </w:r>
        <w:smartTag w:uri="urn:schemas-microsoft-com:office:smarttags" w:element="PlaceType">
          <w:r w:rsidRPr="001B5377">
            <w:rPr>
              <w:szCs w:val="22"/>
            </w:rPr>
            <w:t>National Park</w:t>
          </w:r>
        </w:smartTag>
      </w:smartTag>
      <w:r w:rsidRPr="001B5377">
        <w:rPr>
          <w:szCs w:val="22"/>
        </w:rPr>
        <w:t xml:space="preserve"> would be problematic. The lack of drilling data in the proposed borefield area means there is less confidence in the predictions of water quality, aquifer prop</w:t>
      </w:r>
      <w:r>
        <w:rPr>
          <w:szCs w:val="22"/>
        </w:rPr>
        <w:t xml:space="preserve">erties and recharge mechanisms. </w:t>
      </w:r>
      <w:r w:rsidRPr="001B5377">
        <w:rPr>
          <w:szCs w:val="22"/>
        </w:rPr>
        <w:t xml:space="preserve">Significant hydrogeological investigations would be required to assess the suitability of this borefield. </w:t>
      </w:r>
    </w:p>
    <w:p w:rsidR="00832DFE" w:rsidRDefault="00832DFE" w:rsidP="00EF7E00">
      <w:pPr>
        <w:pStyle w:val="Heading3"/>
        <w:tabs>
          <w:tab w:val="left" w:pos="1080"/>
        </w:tabs>
        <w:spacing w:before="320"/>
        <w:ind w:left="1080" w:hanging="1080"/>
      </w:pPr>
      <w:bookmarkStart w:id="688" w:name="_Toc325700140"/>
      <w:bookmarkStart w:id="689" w:name="_Toc325700483"/>
      <w:bookmarkStart w:id="690" w:name="_Toc325975169"/>
      <w:bookmarkStart w:id="691" w:name="_Toc390690162"/>
      <w:smartTag w:uri="urn:schemas-microsoft-com:office:smarttags" w:element="place">
        <w:smartTag w:uri="urn:schemas-microsoft-com:office:smarttags" w:element="PlaceName">
          <w:r>
            <w:t>Kinchega</w:t>
          </w:r>
        </w:smartTag>
        <w:r>
          <w:t xml:space="preserve"> </w:t>
        </w:r>
        <w:smartTag w:uri="urn:schemas-microsoft-com:office:smarttags" w:element="PlaceType">
          <w:r>
            <w:t>National Park</w:t>
          </w:r>
        </w:smartTag>
      </w:smartTag>
      <w:r>
        <w:t xml:space="preserve"> Site MAR Options</w:t>
      </w:r>
      <w:bookmarkEnd w:id="688"/>
      <w:bookmarkEnd w:id="689"/>
      <w:bookmarkEnd w:id="690"/>
      <w:bookmarkEnd w:id="691"/>
    </w:p>
    <w:p w:rsidR="00832DFE" w:rsidRPr="00670511" w:rsidRDefault="00832DFE" w:rsidP="00832DFE">
      <w:pPr>
        <w:spacing w:before="120"/>
        <w:rPr>
          <w:szCs w:val="22"/>
        </w:rPr>
      </w:pPr>
      <w:r>
        <w:t xml:space="preserve">Any </w:t>
      </w:r>
      <w:r w:rsidRPr="00670511">
        <w:t xml:space="preserve">MAR scheme at these sites would probably need to rely on aquifer storage and recovery through a bore network. </w:t>
      </w:r>
      <w:r w:rsidRPr="00670511">
        <w:rPr>
          <w:szCs w:val="22"/>
        </w:rPr>
        <w:t xml:space="preserve">An </w:t>
      </w:r>
      <w:r w:rsidRPr="00670511">
        <w:rPr>
          <w:b/>
          <w:i/>
          <w:szCs w:val="22"/>
        </w:rPr>
        <w:t>entry-level, degree of difficulty assessment</w:t>
      </w:r>
      <w:r w:rsidRPr="00670511">
        <w:rPr>
          <w:szCs w:val="22"/>
        </w:rPr>
        <w:t xml:space="preserve"> for ASR has been carried out for the </w:t>
      </w:r>
      <w:r w:rsidRPr="00670511">
        <w:t>site (</w:t>
      </w:r>
      <w:r w:rsidR="00CD2825" w:rsidRPr="00670511">
        <w:fldChar w:fldCharType="begin"/>
      </w:r>
      <w:r w:rsidR="00CD2825" w:rsidRPr="00670511">
        <w:instrText xml:space="preserve"> REF _Ref325709785 \h </w:instrText>
      </w:r>
      <w:r w:rsidR="00795774" w:rsidRPr="00670511">
        <w:instrText xml:space="preserve"> \* MERGEFORMAT </w:instrText>
      </w:r>
      <w:r w:rsidR="00CD2825" w:rsidRPr="00670511">
        <w:fldChar w:fldCharType="separate"/>
      </w:r>
      <w:r w:rsidR="00966532" w:rsidRPr="00966532">
        <w:t xml:space="preserve">Table </w:t>
      </w:r>
      <w:r w:rsidR="00966532" w:rsidRPr="00966532">
        <w:rPr>
          <w:noProof/>
        </w:rPr>
        <w:t>9</w:t>
      </w:r>
      <w:r w:rsidR="00966532" w:rsidRPr="00966532">
        <w:rPr>
          <w:noProof/>
        </w:rPr>
        <w:noBreakHyphen/>
        <w:t>8</w:t>
      </w:r>
      <w:r w:rsidR="00CD2825" w:rsidRPr="00670511">
        <w:fldChar w:fldCharType="end"/>
      </w:r>
      <w:r w:rsidR="00F90070" w:rsidRPr="00670511">
        <w:t>)</w:t>
      </w:r>
      <w:r w:rsidRPr="00670511">
        <w:t>.</w:t>
      </w:r>
      <w:r w:rsidRPr="00670511">
        <w:rPr>
          <w:szCs w:val="22"/>
        </w:rPr>
        <w:t xml:space="preserve"> There is a higher level of uncertainty in the assessment of this site compared to the other potential borefield sites due to the lack of drilling data.</w:t>
      </w:r>
      <w:r w:rsidR="00BE068E" w:rsidRPr="00670511">
        <w:rPr>
          <w:szCs w:val="22"/>
        </w:rPr>
        <w:t xml:space="preserve"> This is discussed in more detail in Lawrie</w:t>
      </w:r>
      <w:r w:rsidR="008A5F7D" w:rsidRPr="00CF7613">
        <w:rPr>
          <w:rStyle w:val="StyleItalic"/>
        </w:rPr>
        <w:t xml:space="preserve"> et al</w:t>
      </w:r>
      <w:r w:rsidR="00BE068E" w:rsidRPr="00670511">
        <w:rPr>
          <w:szCs w:val="22"/>
        </w:rPr>
        <w:t>. (2012c).</w:t>
      </w:r>
    </w:p>
    <w:p w:rsidR="00832DFE" w:rsidRPr="00670511" w:rsidRDefault="00832DFE" w:rsidP="00832DFE">
      <w:pPr>
        <w:rPr>
          <w:szCs w:val="22"/>
        </w:rPr>
      </w:pPr>
    </w:p>
    <w:p w:rsidR="00832DFE" w:rsidRPr="00670511" w:rsidRDefault="00832DFE" w:rsidP="00832DFE">
      <w:pPr>
        <w:rPr>
          <w:szCs w:val="22"/>
        </w:rPr>
      </w:pPr>
      <w:r w:rsidRPr="00670511">
        <w:rPr>
          <w:szCs w:val="22"/>
        </w:rPr>
        <w:t xml:space="preserve">Fringing vegetation at </w:t>
      </w:r>
      <w:smartTag w:uri="urn:schemas-microsoft-com:office:smarttags" w:element="place">
        <w:smartTag w:uri="urn:schemas-microsoft-com:office:smarttags" w:element="PlaceName">
          <w:r w:rsidRPr="00670511">
            <w:rPr>
              <w:szCs w:val="22"/>
            </w:rPr>
            <w:t>Emu</w:t>
          </w:r>
        </w:smartTag>
        <w:r w:rsidRPr="00670511">
          <w:rPr>
            <w:szCs w:val="22"/>
          </w:rPr>
          <w:t xml:space="preserve"> </w:t>
        </w:r>
        <w:smartTag w:uri="urn:schemas-microsoft-com:office:smarttags" w:element="PlaceType">
          <w:r w:rsidRPr="00670511">
            <w:rPr>
              <w:szCs w:val="22"/>
            </w:rPr>
            <w:t>Lake</w:t>
          </w:r>
        </w:smartTag>
      </w:smartTag>
      <w:r w:rsidRPr="00670511">
        <w:rPr>
          <w:szCs w:val="22"/>
        </w:rPr>
        <w:t xml:space="preserve">, and floodplain vegetation, all appear to be reliant on shallow unconfined groundwater sources in times of drought in the proposed borefield sites. These vegetation communities are highly unlikely to be directly accessing groundwater from the </w:t>
      </w:r>
      <w:r w:rsidR="00C217F0">
        <w:rPr>
          <w:szCs w:val="22"/>
        </w:rPr>
        <w:t>Calivil Formation</w:t>
      </w:r>
      <w:r w:rsidRPr="00670511">
        <w:rPr>
          <w:szCs w:val="22"/>
        </w:rPr>
        <w:t xml:space="preserve"> aquifer as roots would need to travel through the unsaturated zone, beyond the </w:t>
      </w:r>
      <w:r w:rsidR="00E823BA" w:rsidRPr="00670511">
        <w:rPr>
          <w:szCs w:val="22"/>
        </w:rPr>
        <w:t>watertable</w:t>
      </w:r>
      <w:r w:rsidRPr="00670511">
        <w:rPr>
          <w:szCs w:val="22"/>
        </w:rPr>
        <w:t xml:space="preserve">, and through </w:t>
      </w:r>
      <w:r w:rsidR="000F7A6F" w:rsidRPr="00670511">
        <w:rPr>
          <w:szCs w:val="22"/>
        </w:rPr>
        <w:t xml:space="preserve">both the near-surface (minimum ~4 m thick) and upper confining aquitard. </w:t>
      </w:r>
      <w:r w:rsidR="00BE068E" w:rsidRPr="00670511">
        <w:rPr>
          <w:szCs w:val="22"/>
        </w:rPr>
        <w:t>Refer to Lawrie</w:t>
      </w:r>
      <w:r w:rsidR="008A5F7D" w:rsidRPr="00CF7613">
        <w:rPr>
          <w:rStyle w:val="StyleItalic"/>
        </w:rPr>
        <w:t xml:space="preserve"> et al</w:t>
      </w:r>
      <w:r w:rsidR="002D4C74" w:rsidRPr="00670511">
        <w:rPr>
          <w:szCs w:val="22"/>
        </w:rPr>
        <w:t xml:space="preserve">. (2012a, b, </w:t>
      </w:r>
      <w:r w:rsidR="00BE068E" w:rsidRPr="00670511">
        <w:rPr>
          <w:szCs w:val="22"/>
        </w:rPr>
        <w:t>c) for further information about the vegetation assessment.</w:t>
      </w:r>
    </w:p>
    <w:p w:rsidR="00832DFE" w:rsidRPr="00670511" w:rsidRDefault="00832DFE" w:rsidP="00832DFE">
      <w:pPr>
        <w:rPr>
          <w:szCs w:val="22"/>
        </w:rPr>
      </w:pPr>
    </w:p>
    <w:p w:rsidR="00832DFE" w:rsidRDefault="00832DFE" w:rsidP="00832DFE">
      <w:pPr>
        <w:rPr>
          <w:szCs w:val="22"/>
        </w:rPr>
      </w:pPr>
      <w:r w:rsidRPr="00670511">
        <w:rPr>
          <w:szCs w:val="22"/>
        </w:rPr>
        <w:t xml:space="preserve">The presence of faults </w:t>
      </w:r>
      <w:r w:rsidR="00454D46">
        <w:rPr>
          <w:szCs w:val="22"/>
        </w:rPr>
        <w:t>has</w:t>
      </w:r>
      <w:r w:rsidR="006626DD">
        <w:rPr>
          <w:szCs w:val="22"/>
        </w:rPr>
        <w:t xml:space="preserve"> in place </w:t>
      </w:r>
      <w:r w:rsidRPr="00670511">
        <w:rPr>
          <w:szCs w:val="22"/>
        </w:rPr>
        <w:t>resulted in connectivity between the two aquifers</w:t>
      </w:r>
      <w:r w:rsidR="00BE068E" w:rsidRPr="00670511">
        <w:rPr>
          <w:szCs w:val="22"/>
        </w:rPr>
        <w:t xml:space="preserve"> (Lawrie</w:t>
      </w:r>
      <w:r w:rsidR="008A5F7D" w:rsidRPr="00CF7613">
        <w:rPr>
          <w:rStyle w:val="StyleItalic"/>
        </w:rPr>
        <w:t xml:space="preserve"> et al</w:t>
      </w:r>
      <w:r w:rsidR="00BE068E" w:rsidRPr="00670511">
        <w:rPr>
          <w:szCs w:val="22"/>
        </w:rPr>
        <w:t>., 2012b, c)</w:t>
      </w:r>
      <w:r w:rsidRPr="00670511">
        <w:rPr>
          <w:szCs w:val="22"/>
        </w:rPr>
        <w:t>. If this is the case, vegetation in close</w:t>
      </w:r>
      <w:r w:rsidRPr="00832DFE">
        <w:rPr>
          <w:szCs w:val="22"/>
        </w:rPr>
        <w:t xml:space="preserve"> proximity to these faults may be impacted if groundwater extraction </w:t>
      </w:r>
      <w:r w:rsidRPr="00832DFE">
        <w:rPr>
          <w:szCs w:val="22"/>
        </w:rPr>
        <w:lastRenderedPageBreak/>
        <w:t>results in the lowering of water levels. While this does not rule out this particular borefield, placement of bores would require additional information about the leakiness of the mapped faults and the radius of influence</w:t>
      </w:r>
      <w:r>
        <w:rPr>
          <w:szCs w:val="22"/>
        </w:rPr>
        <w:t xml:space="preserve">. </w:t>
      </w:r>
    </w:p>
    <w:p w:rsidR="00832DFE" w:rsidRDefault="00832DFE" w:rsidP="00832DFE">
      <w:pPr>
        <w:rPr>
          <w:szCs w:val="22"/>
        </w:rPr>
      </w:pPr>
    </w:p>
    <w:p w:rsidR="00832DFE" w:rsidRPr="002C67D3" w:rsidRDefault="00832DFE" w:rsidP="00832DFE">
      <w:pPr>
        <w:rPr>
          <w:szCs w:val="22"/>
        </w:rPr>
      </w:pPr>
      <w:r w:rsidRPr="00832DFE">
        <w:rPr>
          <w:szCs w:val="22"/>
        </w:rPr>
        <w:t xml:space="preserve">There may also be sensitivity about construction of a bore network within the boundaries of the national park, with the potential for damage to cultural and heritage sites, and to vegetation, if not handled sensitively. The borefield planners would have to show flexibility in order to address concerns about drilling, construction, and pipeline routes. Once out of KNP, the pipelines could follow the main track into </w:t>
      </w:r>
      <w:r w:rsidR="00C217F0">
        <w:rPr>
          <w:szCs w:val="22"/>
        </w:rPr>
        <w:t>Menindee</w:t>
      </w:r>
      <w:r w:rsidRPr="00832DFE">
        <w:rPr>
          <w:szCs w:val="22"/>
        </w:rPr>
        <w:t>.</w:t>
      </w:r>
    </w:p>
    <w:p w:rsidR="00F32C95" w:rsidRPr="001923A0" w:rsidRDefault="00F32C95" w:rsidP="00EF7E00">
      <w:pPr>
        <w:pStyle w:val="Heading3"/>
        <w:tabs>
          <w:tab w:val="left" w:pos="1080"/>
        </w:tabs>
        <w:spacing w:before="320"/>
        <w:ind w:left="1080" w:hanging="1080"/>
        <w:rPr>
          <w:i/>
        </w:rPr>
      </w:pPr>
      <w:bookmarkStart w:id="692" w:name="_Toc325700141"/>
      <w:bookmarkStart w:id="693" w:name="_Toc325700484"/>
      <w:bookmarkStart w:id="694" w:name="_Toc325975170"/>
      <w:bookmarkStart w:id="695" w:name="_Toc390690163"/>
      <w:smartTag w:uri="urn:schemas-microsoft-com:office:smarttags" w:element="place">
        <w:smartTag w:uri="urn:schemas-microsoft-com:office:smarttags" w:element="PlaceName">
          <w:r w:rsidRPr="007E2FE7">
            <w:t>Kinchega</w:t>
          </w:r>
        </w:smartTag>
        <w:r w:rsidRPr="007E2FE7">
          <w:t xml:space="preserve"> </w:t>
        </w:r>
        <w:smartTag w:uri="urn:schemas-microsoft-com:office:smarttags" w:element="PlaceType">
          <w:r w:rsidRPr="007E2FE7">
            <w:t>National Park</w:t>
          </w:r>
        </w:smartTag>
      </w:smartTag>
      <w:r w:rsidRPr="007E2FE7">
        <w:t xml:space="preserve"> 1a Bo</w:t>
      </w:r>
      <w:r>
        <w:t>re</w:t>
      </w:r>
      <w:r w:rsidRPr="007E2FE7">
        <w:t>field (KNP1a)</w:t>
      </w:r>
      <w:r w:rsidR="00832DFE">
        <w:t xml:space="preserve"> Site Description</w:t>
      </w:r>
      <w:bookmarkEnd w:id="692"/>
      <w:bookmarkEnd w:id="693"/>
      <w:bookmarkEnd w:id="694"/>
      <w:bookmarkEnd w:id="695"/>
    </w:p>
    <w:p w:rsidR="00F32C95" w:rsidRDefault="000F7A6F" w:rsidP="00F32C95">
      <w:r>
        <w:t>This bore</w:t>
      </w:r>
      <w:r w:rsidR="00F32C95">
        <w:t xml:space="preserve">field mostly extends over the lunette and palaeolunette and adjacent low longitudinal dunefield area on the eastern downwind margin of </w:t>
      </w:r>
      <w:smartTag w:uri="urn:schemas-microsoft-com:office:smarttags" w:element="place">
        <w:smartTag w:uri="urn:schemas-microsoft-com:office:smarttags" w:element="PlaceName">
          <w:r w:rsidR="00F32C95">
            <w:t>Emu</w:t>
          </w:r>
        </w:smartTag>
        <w:r w:rsidR="00F32C95">
          <w:t xml:space="preserve"> </w:t>
        </w:r>
        <w:smartTag w:uri="urn:schemas-microsoft-com:office:smarttags" w:element="PlaceType">
          <w:r w:rsidR="00F32C95">
            <w:t>Lake</w:t>
          </w:r>
        </w:smartTag>
      </w:smartTag>
      <w:r w:rsidR="00F32C95">
        <w:t xml:space="preserve">. The south-eastern margin of the bore field extends onto the lower floodplain and the Darling River scroll plain near the </w:t>
      </w:r>
      <w:smartTag w:uri="urn:schemas-microsoft-com:office:smarttags" w:element="place">
        <w:smartTag w:uri="urn:schemas-microsoft-com:office:smarttags" w:element="PlaceName">
          <w:r w:rsidR="00F32C95">
            <w:t>Emu</w:t>
          </w:r>
        </w:smartTag>
        <w:r w:rsidR="00F32C95">
          <w:t xml:space="preserve"> </w:t>
        </w:r>
        <w:smartTag w:uri="urn:schemas-microsoft-com:office:smarttags" w:element="PlaceType">
          <w:r w:rsidR="00F32C95">
            <w:t>Lake</w:t>
          </w:r>
        </w:smartTag>
      </w:smartTag>
      <w:r w:rsidR="00F32C95">
        <w:t xml:space="preserve"> inlet, though only one nominal bore location occurs on the lower floodplain. The higher elevation will add some metres to drilling depth but virtually all of the bores will advantageously be located above flood level. The lunette and palaeolunette surfaces typically have extensive shrubland and grassland vegetation and longitudinal dunes are common over much of the area. These two factors are likely to raise issues of erosion and destruction of vegetation during access and operations for drilling and pipeline construction. Lunettes have a high potential for heritage issues when deflation erosion has exposed their internal stratigraphy. Some deflation exposures are evident on satellite images</w:t>
      </w:r>
    </w:p>
    <w:p w:rsidR="00F32C95" w:rsidRPr="00F32C95" w:rsidRDefault="00F32C95" w:rsidP="00EF7E00">
      <w:pPr>
        <w:pStyle w:val="Heading3"/>
        <w:tabs>
          <w:tab w:val="left" w:pos="1080"/>
        </w:tabs>
        <w:spacing w:before="320"/>
        <w:ind w:left="1080" w:hanging="1080"/>
      </w:pPr>
      <w:bookmarkStart w:id="696" w:name="_Toc325700142"/>
      <w:bookmarkStart w:id="697" w:name="_Toc325700485"/>
      <w:bookmarkStart w:id="698" w:name="_Toc325975171"/>
      <w:bookmarkStart w:id="699" w:name="_Toc390690164"/>
      <w:smartTag w:uri="urn:schemas-microsoft-com:office:smarttags" w:element="place">
        <w:smartTag w:uri="urn:schemas-microsoft-com:office:smarttags" w:element="PlaceName">
          <w:r w:rsidRPr="007E2FE7">
            <w:t>Kinchega</w:t>
          </w:r>
        </w:smartTag>
        <w:r w:rsidRPr="007E2FE7">
          <w:t xml:space="preserve"> </w:t>
        </w:r>
        <w:smartTag w:uri="urn:schemas-microsoft-com:office:smarttags" w:element="PlaceType">
          <w:r w:rsidRPr="007E2FE7">
            <w:t>National Park</w:t>
          </w:r>
        </w:smartTag>
      </w:smartTag>
      <w:r>
        <w:t xml:space="preserve"> 1b Bore</w:t>
      </w:r>
      <w:r w:rsidRPr="007E2FE7">
        <w:t>field (KNP1b)</w:t>
      </w:r>
      <w:r w:rsidR="00832DFE">
        <w:t xml:space="preserve"> Site Description</w:t>
      </w:r>
      <w:bookmarkEnd w:id="696"/>
      <w:bookmarkEnd w:id="697"/>
      <w:bookmarkEnd w:id="698"/>
      <w:bookmarkEnd w:id="699"/>
    </w:p>
    <w:p w:rsidR="00F32C95" w:rsidRDefault="000F7A6F" w:rsidP="00F32C95">
      <w:r>
        <w:t>This bore</w:t>
      </w:r>
      <w:r w:rsidR="00F32C95">
        <w:t>field mostly extends over the multiple tracts of higher floodplain described above that depart from the Talyawalka-Anabranch scroll-plain tract, just downstream of the inlet/outlet to Emu Lake, and merge to the south west as lower floodplain marking a now</w:t>
      </w:r>
      <w:r>
        <w:t>-defunct river course. The bore</w:t>
      </w:r>
      <w:r w:rsidR="00F32C95">
        <w:t>field area also includes irregular areas of low longitudinal dunes and some portions of the Talyawalka scroll-plain tract in its north-eastern and south-eastern corners. Any bores located on the scroll plain will be subject relatively regular flooding. Bores on the floodplain elements to rare flooding and those on the dunefield will not be flooded but may have their access cut off.</w:t>
      </w:r>
      <w:r w:rsidR="00E823BA">
        <w:t xml:space="preserve"> </w:t>
      </w:r>
      <w:r w:rsidR="00F32C95">
        <w:t>Bores on the aeolian terrain may have heritage issues which will affect access and construction.</w:t>
      </w:r>
    </w:p>
    <w:p w:rsidR="00F32C95" w:rsidRPr="007E2FE7" w:rsidRDefault="00F32C95" w:rsidP="00EF7E00">
      <w:pPr>
        <w:pStyle w:val="Heading3"/>
        <w:tabs>
          <w:tab w:val="left" w:pos="1080"/>
        </w:tabs>
        <w:spacing w:before="320"/>
        <w:ind w:left="1080" w:hanging="1080"/>
      </w:pPr>
      <w:bookmarkStart w:id="700" w:name="_Toc325700143"/>
      <w:bookmarkStart w:id="701" w:name="_Toc325700486"/>
      <w:bookmarkStart w:id="702" w:name="_Toc325975172"/>
      <w:bookmarkStart w:id="703" w:name="_Toc390690165"/>
      <w:smartTag w:uri="urn:schemas-microsoft-com:office:smarttags" w:element="place">
        <w:smartTag w:uri="urn:schemas-microsoft-com:office:smarttags" w:element="PlaceName">
          <w:r w:rsidRPr="007E2FE7">
            <w:t>Kinchega</w:t>
          </w:r>
        </w:smartTag>
        <w:r w:rsidRPr="007E2FE7">
          <w:t xml:space="preserve"> </w:t>
        </w:r>
        <w:smartTag w:uri="urn:schemas-microsoft-com:office:smarttags" w:element="PlaceType">
          <w:r w:rsidRPr="007E2FE7">
            <w:t>National Park</w:t>
          </w:r>
        </w:smartTag>
      </w:smartTag>
      <w:r>
        <w:t xml:space="preserve"> 2a Boref</w:t>
      </w:r>
      <w:r w:rsidRPr="007E2FE7">
        <w:t>ield (KNP2a)</w:t>
      </w:r>
      <w:r w:rsidR="00832DFE">
        <w:t xml:space="preserve"> Site Description</w:t>
      </w:r>
      <w:bookmarkEnd w:id="700"/>
      <w:bookmarkEnd w:id="701"/>
      <w:bookmarkEnd w:id="702"/>
      <w:bookmarkEnd w:id="703"/>
    </w:p>
    <w:p w:rsidR="00F32C95" w:rsidRDefault="000F7A6F" w:rsidP="00F32C95">
      <w:r>
        <w:t>This bore</w:t>
      </w:r>
      <w:r w:rsidR="00F32C95">
        <w:t xml:space="preserve">field occurs dominantly on the broad palaeo-lunette of </w:t>
      </w:r>
      <w:smartTag w:uri="urn:schemas-microsoft-com:office:smarttags" w:element="place">
        <w:smartTag w:uri="urn:schemas-microsoft-com:office:smarttags" w:element="PlaceType">
          <w:r w:rsidR="00F32C95">
            <w:t>Lake</w:t>
          </w:r>
        </w:smartTag>
        <w:r w:rsidR="00F32C95">
          <w:t xml:space="preserve"> </w:t>
        </w:r>
        <w:smartTag w:uri="urn:schemas-microsoft-com:office:smarttags" w:element="PlaceName">
          <w:r w:rsidR="00F32C95">
            <w:t>Cawndilla</w:t>
          </w:r>
        </w:smartTag>
      </w:smartTag>
      <w:r w:rsidR="00F32C95">
        <w:t xml:space="preserve"> and includes small sections of the low longitudinal dunefield which borders most of the palaeo-lunette. The south-eastern corner of the bore field boundary </w:t>
      </w:r>
      <w:r w:rsidR="00592641">
        <w:t xml:space="preserve">also includes a portion of </w:t>
      </w:r>
      <w:smartTag w:uri="urn:schemas-microsoft-com:office:smarttags" w:element="place">
        <w:smartTag w:uri="urn:schemas-microsoft-com:office:smarttags" w:element="PlaceName">
          <w:r w:rsidR="00592641">
            <w:t>Emu</w:t>
          </w:r>
        </w:smartTag>
        <w:r w:rsidR="00592641">
          <w:t xml:space="preserve"> </w:t>
        </w:r>
        <w:smartTag w:uri="urn:schemas-microsoft-com:office:smarttags" w:element="PlaceType">
          <w:r w:rsidR="00592641">
            <w:t>L</w:t>
          </w:r>
          <w:r w:rsidR="00F32C95">
            <w:t>ake</w:t>
          </w:r>
        </w:smartTag>
      </w:smartTag>
      <w:r w:rsidR="00F32C95">
        <w:t xml:space="preserve"> with one bore located in the lake shoreline zone. The s</w:t>
      </w:r>
      <w:r>
        <w:t>outh-western corner of the bore</w:t>
      </w:r>
      <w:r w:rsidR="00F32C95">
        <w:t>field includes an ephemeral lake that is at the ex</w:t>
      </w:r>
      <w:r w:rsidR="00860930">
        <w:t xml:space="preserve">tremity of the </w:t>
      </w:r>
      <w:smartTag w:uri="urn:schemas-microsoft-com:office:smarttags" w:element="place">
        <w:smartTag w:uri="urn:schemas-microsoft-com:office:smarttags" w:element="PlaceName">
          <w:r w:rsidR="00860930">
            <w:t>Cawndilla</w:t>
          </w:r>
        </w:smartTag>
        <w:r w:rsidR="00860930">
          <w:t xml:space="preserve"> </w:t>
        </w:r>
        <w:smartTag w:uri="urn:schemas-microsoft-com:office:smarttags" w:element="PlaceType">
          <w:r w:rsidR="00860930">
            <w:t>Creek</w:t>
          </w:r>
        </w:smartTag>
        <w:r w:rsidR="00860930">
          <w:t xml:space="preserve"> </w:t>
        </w:r>
        <w:smartTag w:uri="urn:schemas-microsoft-com:office:smarttags" w:element="PlaceType">
          <w:r w:rsidR="00860930">
            <w:t>L</w:t>
          </w:r>
          <w:r w:rsidR="00F32C95">
            <w:t>ake</w:t>
          </w:r>
        </w:smartTag>
      </w:smartTag>
      <w:r w:rsidR="00F32C95">
        <w:t xml:space="preserve"> and flood out complex but no actual bores occur in that system. Both the palaeo-lunette and the dunefield areas of the </w:t>
      </w:r>
      <w:r>
        <w:t>bore</w:t>
      </w:r>
      <w:r w:rsidR="00F32C95">
        <w:t>field have approximately east-west oriented longitudinal sandy dunes separated by flatter swales with finer textured sediment. The dunes and swales vary from 1 to 3.5 km in length, with dune widths varying from 100-180 m and swale widths from 140 to 200 m. Bores in this terrain would necessarily be located on swales, irrespective of spacing requirements and vegetation and cultural heritage issues may affect access and the location and construction of infrastructure.</w:t>
      </w:r>
      <w:r w:rsidR="00E823BA">
        <w:t xml:space="preserve"> </w:t>
      </w:r>
      <w:r w:rsidR="00F32C95">
        <w:t xml:space="preserve">The single bore located in the shoreline zone of Emu </w:t>
      </w:r>
      <w:smartTag w:uri="urn:schemas-microsoft-com:office:smarttags" w:element="place">
        <w:r w:rsidR="00F32C95">
          <w:t>Lake</w:t>
        </w:r>
      </w:smartTag>
      <w:r w:rsidR="00F32C95">
        <w:t xml:space="preserve"> might also have important vegetation and cultural-heritage issues.</w:t>
      </w:r>
    </w:p>
    <w:p w:rsidR="00F32C95" w:rsidRPr="00F32C95" w:rsidRDefault="00F32C95" w:rsidP="00EF7E00">
      <w:pPr>
        <w:pStyle w:val="Heading3"/>
        <w:tabs>
          <w:tab w:val="left" w:pos="1080"/>
        </w:tabs>
        <w:spacing w:before="320"/>
        <w:ind w:left="1080" w:hanging="1080"/>
      </w:pPr>
      <w:bookmarkStart w:id="704" w:name="_Toc325700144"/>
      <w:bookmarkStart w:id="705" w:name="_Toc325700487"/>
      <w:bookmarkStart w:id="706" w:name="_Toc325975173"/>
      <w:bookmarkStart w:id="707" w:name="_Toc390690166"/>
      <w:smartTag w:uri="urn:schemas-microsoft-com:office:smarttags" w:element="place">
        <w:smartTag w:uri="urn:schemas-microsoft-com:office:smarttags" w:element="PlaceName">
          <w:r w:rsidRPr="007E2FE7">
            <w:t>Kinchega</w:t>
          </w:r>
        </w:smartTag>
        <w:r w:rsidRPr="007E2FE7">
          <w:t xml:space="preserve"> </w:t>
        </w:r>
        <w:smartTag w:uri="urn:schemas-microsoft-com:office:smarttags" w:element="PlaceType">
          <w:r w:rsidRPr="007E2FE7">
            <w:t>National Park</w:t>
          </w:r>
        </w:smartTag>
      </w:smartTag>
      <w:r w:rsidR="000F7A6F">
        <w:t xml:space="preserve"> 2b Boref</w:t>
      </w:r>
      <w:r w:rsidRPr="007E2FE7">
        <w:t>ield (KNP2b)</w:t>
      </w:r>
      <w:r w:rsidR="00832DFE">
        <w:t xml:space="preserve"> Site Description</w:t>
      </w:r>
      <w:bookmarkEnd w:id="704"/>
      <w:bookmarkEnd w:id="705"/>
      <w:bookmarkEnd w:id="706"/>
      <w:bookmarkEnd w:id="707"/>
    </w:p>
    <w:p w:rsidR="00F32C95" w:rsidRPr="00661F09" w:rsidRDefault="000F7A6F" w:rsidP="00F32C95">
      <w:pPr>
        <w:spacing w:before="120"/>
        <w:rPr>
          <w:szCs w:val="22"/>
        </w:rPr>
      </w:pPr>
      <w:r>
        <w:t>This bore</w:t>
      </w:r>
      <w:r w:rsidR="00F32C95">
        <w:t xml:space="preserve">field also mostly occurs on palaeo-lunette and low longitudinal dunefield east of Lake Cawndilla, as </w:t>
      </w:r>
      <w:r>
        <w:t>Bore</w:t>
      </w:r>
      <w:r w:rsidR="00F32C95">
        <w:t>field KNP2a, but also includes a small portion of the Lake Cawndilla lunette in the north west, a portion of the Emu Lake floor and shoreline zone in the north east and parts of the higher floodplain and a</w:t>
      </w:r>
      <w:r>
        <w:t>eolian elements covered by Bore</w:t>
      </w:r>
      <w:r w:rsidR="00F32C95">
        <w:t>field KNP1b in the south east. Accordingly, the sa</w:t>
      </w:r>
      <w:r>
        <w:t>me comments made above for Bore</w:t>
      </w:r>
      <w:r w:rsidR="00F32C95">
        <w:t>fields KNP1b and KNP2a apply to the corresponding landforms in KNP2b. Satellite images indicate that the lunet</w:t>
      </w:r>
      <w:r>
        <w:t>te section included in the bore</w:t>
      </w:r>
      <w:r w:rsidR="00F32C95">
        <w:t>field has a number of deflation blowout exposures and the presence of actual or potential cultural heritage materials will preclude bores being located in that area.</w:t>
      </w:r>
    </w:p>
    <w:p w:rsidR="00F57DF3" w:rsidRDefault="00F57DF3" w:rsidP="00AA7E88">
      <w:pPr>
        <w:spacing w:before="120"/>
      </w:pPr>
    </w:p>
    <w:p w:rsidR="00ED6235" w:rsidRDefault="00ED6235" w:rsidP="00F57DF3">
      <w:pPr>
        <w:spacing w:before="120"/>
        <w:jc w:val="center"/>
      </w:pPr>
    </w:p>
    <w:p w:rsidR="00035877" w:rsidRDefault="00706A3B" w:rsidP="003764CE">
      <w:pPr>
        <w:spacing w:before="120" w:after="60"/>
        <w:jc w:val="center"/>
      </w:pPr>
      <w:r>
        <w:rPr>
          <w:noProof/>
        </w:rPr>
        <w:drawing>
          <wp:inline distT="0" distB="0" distL="0" distR="0" wp14:anchorId="31634ACC" wp14:editId="49394781">
            <wp:extent cx="6113780" cy="7729855"/>
            <wp:effectExtent l="19050" t="19050" r="1270" b="4445"/>
            <wp:docPr id="106" name="Picture 106" descr="Fig60_KNP_WQ_cali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ig60_KNP_WQ_calivil"/>
                    <pic:cNvPicPr>
                      <a:picLocks noChangeAspect="1" noChangeArrowheads="1"/>
                    </pic:cNvPicPr>
                  </pic:nvPicPr>
                  <pic:blipFill>
                    <a:blip r:embed="rId148" cstate="print">
                      <a:extLst>
                        <a:ext uri="{28A0092B-C50C-407E-A947-70E740481C1C}">
                          <a14:useLocalDpi xmlns:a14="http://schemas.microsoft.com/office/drawing/2010/main" val="0"/>
                        </a:ext>
                      </a:extLst>
                    </a:blip>
                    <a:srcRect l="10062" t="7317" r="9209" b="20399"/>
                    <a:stretch>
                      <a:fillRect/>
                    </a:stretch>
                  </pic:blipFill>
                  <pic:spPr bwMode="auto">
                    <a:xfrm>
                      <a:off x="0" y="0"/>
                      <a:ext cx="6113780" cy="7729855"/>
                    </a:xfrm>
                    <a:prstGeom prst="rect">
                      <a:avLst/>
                    </a:prstGeom>
                    <a:noFill/>
                    <a:ln w="12700" cmpd="sng">
                      <a:solidFill>
                        <a:srgbClr val="000000"/>
                      </a:solidFill>
                      <a:miter lim="800000"/>
                      <a:headEnd/>
                      <a:tailEnd/>
                    </a:ln>
                    <a:effectLst/>
                  </pic:spPr>
                </pic:pic>
              </a:graphicData>
            </a:graphic>
          </wp:inline>
        </w:drawing>
      </w:r>
    </w:p>
    <w:p w:rsidR="00035877" w:rsidRDefault="001741E7" w:rsidP="00FE37F2">
      <w:pPr>
        <w:pStyle w:val="Caption"/>
      </w:pPr>
      <w:bookmarkStart w:id="708" w:name="_Ref325708804"/>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9</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5</w:t>
      </w:r>
      <w:r w:rsidR="00A23C59">
        <w:rPr>
          <w:b/>
        </w:rPr>
        <w:fldChar w:fldCharType="end"/>
      </w:r>
      <w:bookmarkEnd w:id="708"/>
      <w:r w:rsidR="00FE37F2" w:rsidRPr="00DD5B97">
        <w:rPr>
          <w:b/>
        </w:rPr>
        <w:t>.</w:t>
      </w:r>
      <w:r w:rsidR="000F7A6F">
        <w:t xml:space="preserve"> </w:t>
      </w:r>
      <w:r w:rsidR="000641F5">
        <w:t>Predicted g</w:t>
      </w:r>
      <w:r w:rsidR="00FE37F2">
        <w:t xml:space="preserve">roundwater </w:t>
      </w:r>
      <w:r w:rsidR="000641F5">
        <w:t>salinity</w:t>
      </w:r>
      <w:r w:rsidR="00FE37F2">
        <w:t xml:space="preserve"> at Kinchega National Park, within the </w:t>
      </w:r>
      <w:r w:rsidR="00C217F0">
        <w:t>Calivil Formation</w:t>
      </w:r>
      <w:r w:rsidR="00860930">
        <w:t xml:space="preserve"> at depth of 43.5-51.5</w:t>
      </w:r>
      <w:r w:rsidR="00A72012">
        <w:t xml:space="preserve"> </w:t>
      </w:r>
      <w:r w:rsidR="00FE37F2">
        <w:t>m.</w:t>
      </w:r>
      <w:r w:rsidR="00BE08AB" w:rsidRPr="00BE08AB">
        <w:rPr>
          <w:bCs w:val="0"/>
          <w:i w:val="0"/>
        </w:rPr>
        <w:t xml:space="preserve"> </w:t>
      </w:r>
      <w:r w:rsidR="00BE08AB" w:rsidRPr="005706E3">
        <w:rPr>
          <w:bCs w:val="0"/>
          <w:i w:val="0"/>
        </w:rPr>
        <w:fldChar w:fldCharType="begin"/>
      </w:r>
      <w:r w:rsidR="00BE08AB" w:rsidRPr="005706E3">
        <w:rPr>
          <w:bCs w:val="0"/>
          <w:i w:val="0"/>
        </w:rPr>
        <w:instrText xml:space="preserve"> TC "</w:instrText>
      </w:r>
      <w:bookmarkStart w:id="709" w:name="_Toc325975253"/>
      <w:bookmarkStart w:id="710" w:name="_Toc390690273"/>
      <w:r w:rsidR="00BE08AB" w:rsidRPr="005706E3">
        <w:rPr>
          <w:bCs w:val="0"/>
          <w:i w:val="0"/>
        </w:rPr>
        <w:instrText xml:space="preserve">Figure </w:instrText>
      </w:r>
      <w:r w:rsidR="000D653B">
        <w:rPr>
          <w:bCs w:val="0"/>
          <w:i w:val="0"/>
        </w:rPr>
        <w:instrText>9-5</w:instrText>
      </w:r>
      <w:r w:rsidR="00870E0B">
        <w:rPr>
          <w:bCs w:val="0"/>
          <w:i w:val="0"/>
        </w:rPr>
        <w:instrText>.</w:instrText>
      </w:r>
      <w:r w:rsidR="00BE08AB" w:rsidRPr="005706E3">
        <w:rPr>
          <w:bCs w:val="0"/>
          <w:i w:val="0"/>
        </w:rPr>
        <w:instrText xml:space="preserve"> </w:instrText>
      </w:r>
      <w:r w:rsidR="000641F5">
        <w:rPr>
          <w:bCs w:val="0"/>
          <w:i w:val="0"/>
        </w:rPr>
        <w:instrText xml:space="preserve">Predicted </w:instrText>
      </w:r>
      <w:r w:rsidR="000641F5">
        <w:rPr>
          <w:i w:val="0"/>
        </w:rPr>
        <w:instrText>g</w:instrText>
      </w:r>
      <w:r w:rsidR="00DD5B97" w:rsidRPr="00870E0B">
        <w:rPr>
          <w:i w:val="0"/>
        </w:rPr>
        <w:instrText xml:space="preserve">roundwater </w:instrText>
      </w:r>
      <w:r w:rsidR="000641F5">
        <w:rPr>
          <w:i w:val="0"/>
        </w:rPr>
        <w:instrText>salinity</w:instrText>
      </w:r>
      <w:r w:rsidR="00DD5B97" w:rsidRPr="00870E0B">
        <w:rPr>
          <w:i w:val="0"/>
        </w:rPr>
        <w:instrText xml:space="preserve"> </w:instrText>
      </w:r>
      <w:r w:rsidR="00146290">
        <w:rPr>
          <w:i w:val="0"/>
        </w:rPr>
        <w:instrText>for</w:instrText>
      </w:r>
      <w:r w:rsidR="006642B4">
        <w:rPr>
          <w:i w:val="0"/>
        </w:rPr>
        <w:instrText xml:space="preserve"> the 43.5-51.5m depth slice </w:instrText>
      </w:r>
      <w:r w:rsidR="00DD5B97" w:rsidRPr="00870E0B">
        <w:rPr>
          <w:i w:val="0"/>
        </w:rPr>
        <w:instrText xml:space="preserve">at </w:instrText>
      </w:r>
      <w:smartTag w:uri="urn:schemas-microsoft-com:office:smarttags" w:element="place">
        <w:smartTag w:uri="urn:schemas-microsoft-com:office:smarttags" w:element="PlaceName">
          <w:r w:rsidR="00DD5B97" w:rsidRPr="00870E0B">
            <w:rPr>
              <w:i w:val="0"/>
            </w:rPr>
            <w:instrText>Kinchega</w:instrText>
          </w:r>
        </w:smartTag>
        <w:r w:rsidR="00DD5B97" w:rsidRPr="00870E0B">
          <w:rPr>
            <w:i w:val="0"/>
          </w:rPr>
          <w:instrText xml:space="preserve"> </w:instrText>
        </w:r>
        <w:smartTag w:uri="urn:schemas-microsoft-com:office:smarttags" w:element="PlaceType">
          <w:r w:rsidR="00DD5B97" w:rsidRPr="00870E0B">
            <w:rPr>
              <w:i w:val="0"/>
            </w:rPr>
            <w:instrText>National Park</w:instrText>
          </w:r>
        </w:smartTag>
      </w:smartTag>
      <w:bookmarkEnd w:id="709"/>
      <w:r w:rsidR="003721DD">
        <w:rPr>
          <w:bCs w:val="0"/>
          <w:i w:val="0"/>
        </w:rPr>
        <w:instrText>.</w:instrText>
      </w:r>
      <w:bookmarkEnd w:id="710"/>
      <w:r w:rsidR="00BE08AB" w:rsidRPr="005706E3">
        <w:rPr>
          <w:bCs w:val="0"/>
          <w:i w:val="0"/>
        </w:rPr>
        <w:instrText xml:space="preserve">" \f A \l “4” </w:instrText>
      </w:r>
      <w:r w:rsidR="00BE08AB" w:rsidRPr="005706E3">
        <w:rPr>
          <w:bCs w:val="0"/>
          <w:i w:val="0"/>
        </w:rPr>
        <w:fldChar w:fldCharType="end"/>
      </w:r>
    </w:p>
    <w:p w:rsidR="000F7173" w:rsidRPr="000F7173" w:rsidRDefault="000F7173" w:rsidP="000F7173">
      <w:pPr>
        <w:rPr>
          <w:szCs w:val="22"/>
        </w:rPr>
      </w:pPr>
      <w:bookmarkStart w:id="711" w:name="_Ref325709819"/>
      <w:bookmarkStart w:id="712" w:name="_Ref325913874"/>
    </w:p>
    <w:p w:rsidR="000F7173" w:rsidRPr="000F7173" w:rsidRDefault="000F7173" w:rsidP="000F7173">
      <w:pPr>
        <w:rPr>
          <w:szCs w:val="22"/>
        </w:rPr>
      </w:pPr>
    </w:p>
    <w:p w:rsidR="000F7173" w:rsidRDefault="000F7173" w:rsidP="000F7173">
      <w:pPr>
        <w:rPr>
          <w:szCs w:val="22"/>
        </w:rPr>
      </w:pPr>
    </w:p>
    <w:p w:rsidR="000F7173" w:rsidRDefault="000F7173" w:rsidP="000F7173">
      <w:pPr>
        <w:rPr>
          <w:szCs w:val="22"/>
        </w:rPr>
      </w:pPr>
    </w:p>
    <w:p w:rsidR="000F7173" w:rsidRPr="000F7173" w:rsidRDefault="000F7173" w:rsidP="000F7173">
      <w:pPr>
        <w:rPr>
          <w:szCs w:val="22"/>
        </w:rPr>
      </w:pPr>
    </w:p>
    <w:p w:rsidR="005035D4" w:rsidRPr="005035D4" w:rsidRDefault="001B5377" w:rsidP="005035D4">
      <w:pPr>
        <w:pStyle w:val="Caption"/>
        <w:rPr>
          <w:i w:val="0"/>
        </w:rPr>
      </w:pPr>
      <w:bookmarkStart w:id="713" w:name="_Ref355627812"/>
      <w:r w:rsidRPr="00CD2825">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7</w:t>
      </w:r>
      <w:r w:rsidR="00B96C96">
        <w:rPr>
          <w:b/>
        </w:rPr>
        <w:fldChar w:fldCharType="end"/>
      </w:r>
      <w:bookmarkEnd w:id="711"/>
      <w:bookmarkEnd w:id="712"/>
      <w:bookmarkEnd w:id="713"/>
      <w:r w:rsidRPr="00CD2825">
        <w:rPr>
          <w:b/>
        </w:rPr>
        <w:t>.</w:t>
      </w:r>
      <w:r>
        <w:t xml:space="preserve"> </w:t>
      </w:r>
      <w:r w:rsidRPr="00E823BA">
        <w:t xml:space="preserve">Indicative groundwater volume estimates for potential borefields </w:t>
      </w:r>
      <w:r>
        <w:t>at the KNP site</w:t>
      </w:r>
      <w:r w:rsidRPr="00E823BA">
        <w:t>.</w:t>
      </w:r>
      <w:r w:rsidRPr="007808E4">
        <w:t xml:space="preserve"> </w:t>
      </w:r>
      <w:r w:rsidRPr="00870E0B">
        <w:fldChar w:fldCharType="begin"/>
      </w:r>
      <w:r w:rsidRPr="00870E0B">
        <w:instrText xml:space="preserve"> TC "</w:instrText>
      </w:r>
      <w:bookmarkStart w:id="714" w:name="_Toc325975319"/>
      <w:bookmarkStart w:id="715" w:name="_Toc390690308"/>
      <w:r w:rsidRPr="00870E0B">
        <w:instrText xml:space="preserve">Table </w:instrText>
      </w:r>
      <w:r w:rsidR="000D653B">
        <w:instrText>9-7</w:instrText>
      </w:r>
      <w:r w:rsidR="00DE0DFA">
        <w:instrText>.</w:instrText>
      </w:r>
      <w:r w:rsidRPr="00870E0B">
        <w:instrText xml:space="preserve"> Indicative groundwater volume estimates for potential borefields at the KNP site</w:instrText>
      </w:r>
      <w:bookmarkEnd w:id="714"/>
      <w:r w:rsidR="003721DD">
        <w:instrText>.</w:instrText>
      </w:r>
      <w:bookmarkEnd w:id="715"/>
      <w:r w:rsidRPr="00870E0B">
        <w:instrText xml:space="preserve">" \f B \l "4" </w:instrText>
      </w:r>
      <w:r w:rsidRPr="00870E0B">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239"/>
        <w:gridCol w:w="1719"/>
        <w:gridCol w:w="1860"/>
        <w:gridCol w:w="1639"/>
        <w:gridCol w:w="1933"/>
      </w:tblGrid>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48248E">
            <w:pPr>
              <w:rPr>
                <w:b/>
                <w:bCs/>
                <w:color w:val="000000"/>
                <w:sz w:val="18"/>
                <w:szCs w:val="18"/>
              </w:rPr>
            </w:pPr>
            <w:r w:rsidRPr="000641F5">
              <w:rPr>
                <w:b/>
                <w:bCs/>
                <w:color w:val="000000"/>
                <w:sz w:val="18"/>
                <w:szCs w:val="18"/>
              </w:rPr>
              <w:t>Borefield Target</w:t>
            </w:r>
          </w:p>
        </w:tc>
        <w:tc>
          <w:tcPr>
            <w:tcW w:w="1719"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0641F5" w:rsidP="000641F5">
            <w:pPr>
              <w:jc w:val="center"/>
              <w:rPr>
                <w:b/>
                <w:bCs/>
                <w:color w:val="000000"/>
                <w:sz w:val="18"/>
                <w:szCs w:val="18"/>
              </w:rPr>
            </w:pPr>
            <w:r w:rsidRPr="000641F5">
              <w:rPr>
                <w:b/>
                <w:bCs/>
                <w:color w:val="000000"/>
                <w:sz w:val="18"/>
                <w:szCs w:val="18"/>
              </w:rPr>
              <w:t xml:space="preserve">Predicted </w:t>
            </w:r>
            <w:r w:rsidR="0048248E" w:rsidRPr="000641F5">
              <w:rPr>
                <w:b/>
                <w:bCs/>
                <w:color w:val="000000"/>
                <w:sz w:val="18"/>
                <w:szCs w:val="18"/>
              </w:rPr>
              <w:t>Water Quality Class</w:t>
            </w:r>
          </w:p>
        </w:tc>
        <w:tc>
          <w:tcPr>
            <w:tcW w:w="1860"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0641F5">
            <w:pPr>
              <w:jc w:val="center"/>
              <w:rPr>
                <w:b/>
                <w:bCs/>
                <w:color w:val="000000"/>
                <w:sz w:val="18"/>
                <w:szCs w:val="18"/>
              </w:rPr>
            </w:pPr>
            <w:r w:rsidRPr="000641F5">
              <w:rPr>
                <w:b/>
                <w:bCs/>
                <w:color w:val="000000"/>
                <w:sz w:val="18"/>
                <w:szCs w:val="18"/>
              </w:rPr>
              <w:t>Lower Quartile Groundwater Volume (GL)</w:t>
            </w:r>
          </w:p>
        </w:tc>
        <w:tc>
          <w:tcPr>
            <w:tcW w:w="1639"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0641F5">
            <w:pPr>
              <w:jc w:val="center"/>
              <w:rPr>
                <w:b/>
                <w:bCs/>
                <w:color w:val="000000"/>
                <w:sz w:val="18"/>
                <w:szCs w:val="18"/>
              </w:rPr>
            </w:pPr>
            <w:r w:rsidRPr="000641F5">
              <w:rPr>
                <w:b/>
                <w:bCs/>
                <w:color w:val="000000"/>
                <w:sz w:val="18"/>
                <w:szCs w:val="18"/>
              </w:rPr>
              <w:t>Median Groundwater Volume (</w:t>
            </w:r>
            <w:r w:rsidR="007C45E4" w:rsidRPr="000641F5">
              <w:rPr>
                <w:b/>
                <w:bCs/>
                <w:color w:val="000000"/>
                <w:sz w:val="18"/>
                <w:szCs w:val="18"/>
              </w:rPr>
              <w:t>GL</w:t>
            </w:r>
            <w:r w:rsidRPr="000641F5">
              <w:rPr>
                <w:b/>
                <w:bCs/>
                <w:color w:val="000000"/>
                <w:sz w:val="18"/>
                <w:szCs w:val="18"/>
              </w:rPr>
              <w:t>)</w:t>
            </w:r>
          </w:p>
        </w:tc>
        <w:tc>
          <w:tcPr>
            <w:tcW w:w="1933"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0641F5">
            <w:pPr>
              <w:jc w:val="center"/>
              <w:rPr>
                <w:b/>
                <w:bCs/>
                <w:color w:val="000000"/>
                <w:sz w:val="18"/>
                <w:szCs w:val="18"/>
              </w:rPr>
            </w:pPr>
            <w:r w:rsidRPr="000641F5">
              <w:rPr>
                <w:b/>
                <w:bCs/>
                <w:color w:val="000000"/>
                <w:sz w:val="18"/>
                <w:szCs w:val="18"/>
              </w:rPr>
              <w:t>Upper Quartile Groundwater Volume (GL)</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rPr>
                <w:sz w:val="18"/>
                <w:szCs w:val="18"/>
              </w:rPr>
            </w:pPr>
            <w:r w:rsidRPr="000641F5">
              <w:rPr>
                <w:sz w:val="18"/>
                <w:szCs w:val="18"/>
              </w:rPr>
              <w:t>GWR1-KNP1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0641F5">
            <w:pPr>
              <w:jc w:val="center"/>
              <w:rPr>
                <w:sz w:val="18"/>
                <w:szCs w:val="18"/>
              </w:rPr>
            </w:pPr>
            <w:r w:rsidRPr="000641F5">
              <w:rPr>
                <w:sz w:val="18"/>
                <w:szCs w:val="18"/>
              </w:rPr>
              <w:t>&lt;600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90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rPr>
                <w:sz w:val="18"/>
                <w:szCs w:val="18"/>
              </w:rPr>
            </w:pPr>
            <w:r w:rsidRPr="000641F5">
              <w:rPr>
                <w:sz w:val="18"/>
                <w:szCs w:val="18"/>
              </w:rPr>
              <w:t>GWR1-KNP1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0641F5">
            <w:pPr>
              <w:jc w:val="center"/>
              <w:rPr>
                <w:sz w:val="18"/>
                <w:szCs w:val="18"/>
              </w:rPr>
            </w:pPr>
            <w:r w:rsidRPr="000641F5">
              <w:rPr>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40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60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rPr>
                <w:sz w:val="18"/>
                <w:szCs w:val="18"/>
              </w:rPr>
            </w:pPr>
            <w:r w:rsidRPr="000641F5">
              <w:rPr>
                <w:sz w:val="18"/>
                <w:szCs w:val="18"/>
              </w:rPr>
              <w:t>GWR1-KNP1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0641F5">
            <w:pPr>
              <w:jc w:val="center"/>
              <w:rPr>
                <w:sz w:val="18"/>
                <w:szCs w:val="18"/>
              </w:rPr>
            </w:pPr>
            <w:r w:rsidRPr="000641F5">
              <w:rPr>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20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rPr>
                <w:b/>
                <w:bCs/>
                <w:sz w:val="18"/>
                <w:szCs w:val="18"/>
              </w:rPr>
            </w:pPr>
            <w:r w:rsidRPr="000641F5">
              <w:rPr>
                <w:b/>
                <w:bCs/>
                <w:sz w:val="18"/>
                <w:szCs w:val="18"/>
              </w:rPr>
              <w:t>KNP1 Borefields (</w:t>
            </w:r>
            <w:r w:rsidR="007C45E4" w:rsidRPr="000641F5">
              <w:rPr>
                <w:b/>
                <w:bCs/>
                <w:sz w:val="18"/>
                <w:szCs w:val="18"/>
              </w:rPr>
              <w:t>Subtotal</w:t>
            </w:r>
            <w:r w:rsidRPr="000641F5">
              <w:rPr>
                <w:b/>
                <w:bCs/>
                <w:sz w:val="18"/>
                <w:szCs w:val="18"/>
              </w:rPr>
              <w:t>)</w:t>
            </w:r>
          </w:p>
        </w:tc>
        <w:tc>
          <w:tcPr>
            <w:tcW w:w="1719"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0641F5">
            <w:pPr>
              <w:jc w:val="center"/>
              <w:rPr>
                <w:b/>
                <w:bCs/>
                <w:sz w:val="18"/>
                <w:szCs w:val="18"/>
              </w:rPr>
            </w:pPr>
            <w:r w:rsidRPr="000641F5">
              <w:rPr>
                <w:b/>
                <w:bCs/>
                <w:sz w:val="18"/>
                <w:szCs w:val="18"/>
              </w:rPr>
              <w:t>&lt; 3,000 mg/L</w:t>
            </w:r>
          </w:p>
        </w:tc>
        <w:tc>
          <w:tcPr>
            <w:tcW w:w="1860"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jc w:val="center"/>
              <w:rPr>
                <w:b/>
                <w:bCs/>
                <w:sz w:val="18"/>
                <w:szCs w:val="18"/>
              </w:rPr>
            </w:pPr>
            <w:r w:rsidRPr="000641F5">
              <w:rPr>
                <w:b/>
                <w:bCs/>
                <w:sz w:val="18"/>
                <w:szCs w:val="18"/>
              </w:rPr>
              <w:t>80</w:t>
            </w:r>
          </w:p>
        </w:tc>
        <w:tc>
          <w:tcPr>
            <w:tcW w:w="1639"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jc w:val="center"/>
              <w:rPr>
                <w:b/>
                <w:bCs/>
                <w:sz w:val="18"/>
                <w:szCs w:val="18"/>
              </w:rPr>
            </w:pPr>
            <w:r w:rsidRPr="000641F5">
              <w:rPr>
                <w:b/>
                <w:bCs/>
                <w:sz w:val="18"/>
                <w:szCs w:val="18"/>
              </w:rPr>
              <w:t>120</w:t>
            </w:r>
          </w:p>
        </w:tc>
        <w:tc>
          <w:tcPr>
            <w:tcW w:w="1933"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jc w:val="center"/>
              <w:rPr>
                <w:b/>
                <w:bCs/>
                <w:sz w:val="18"/>
                <w:szCs w:val="18"/>
              </w:rPr>
            </w:pPr>
            <w:r w:rsidRPr="000641F5">
              <w:rPr>
                <w:b/>
                <w:bCs/>
                <w:sz w:val="18"/>
                <w:szCs w:val="18"/>
              </w:rPr>
              <w:t>170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rPr>
                <w:sz w:val="18"/>
                <w:szCs w:val="18"/>
              </w:rPr>
            </w:pPr>
            <w:r w:rsidRPr="000641F5">
              <w:rPr>
                <w:sz w:val="18"/>
                <w:szCs w:val="18"/>
              </w:rPr>
              <w:t>GWR1-KNP2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0641F5">
            <w:pPr>
              <w:jc w:val="center"/>
              <w:rPr>
                <w:sz w:val="18"/>
                <w:szCs w:val="18"/>
              </w:rPr>
            </w:pPr>
            <w:r w:rsidRPr="000641F5">
              <w:rPr>
                <w:sz w:val="18"/>
                <w:szCs w:val="18"/>
              </w:rPr>
              <w:t>&lt;600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80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110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160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rPr>
                <w:sz w:val="18"/>
                <w:szCs w:val="18"/>
              </w:rPr>
            </w:pPr>
            <w:r w:rsidRPr="000641F5">
              <w:rPr>
                <w:sz w:val="18"/>
                <w:szCs w:val="18"/>
              </w:rPr>
              <w:t>GWR1-KNP2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0641F5">
            <w:pPr>
              <w:jc w:val="center"/>
              <w:rPr>
                <w:sz w:val="18"/>
                <w:szCs w:val="18"/>
              </w:rPr>
            </w:pPr>
            <w:r w:rsidRPr="000641F5">
              <w:rPr>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40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60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rPr>
                <w:sz w:val="18"/>
                <w:szCs w:val="18"/>
              </w:rPr>
            </w:pPr>
            <w:r w:rsidRPr="000641F5">
              <w:rPr>
                <w:sz w:val="18"/>
                <w:szCs w:val="18"/>
              </w:rPr>
              <w:t>GWR1-KNP2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0641F5">
            <w:pPr>
              <w:jc w:val="center"/>
              <w:rPr>
                <w:sz w:val="18"/>
                <w:szCs w:val="18"/>
              </w:rPr>
            </w:pPr>
            <w:r w:rsidRPr="000641F5">
              <w:rPr>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48248E" w:rsidRPr="000641F5" w:rsidRDefault="0048248E" w:rsidP="0048248E">
            <w:pPr>
              <w:jc w:val="center"/>
              <w:rPr>
                <w:sz w:val="18"/>
                <w:szCs w:val="18"/>
              </w:rPr>
            </w:pPr>
            <w:r w:rsidRPr="000641F5">
              <w:rPr>
                <w:sz w:val="18"/>
                <w:szCs w:val="18"/>
              </w:rPr>
              <w:t>30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rPr>
                <w:b/>
                <w:bCs/>
                <w:sz w:val="18"/>
                <w:szCs w:val="18"/>
              </w:rPr>
            </w:pPr>
            <w:r w:rsidRPr="000641F5">
              <w:rPr>
                <w:b/>
                <w:bCs/>
                <w:sz w:val="18"/>
                <w:szCs w:val="18"/>
              </w:rPr>
              <w:t>KNP2 Borefields (</w:t>
            </w:r>
            <w:r w:rsidR="007C45E4" w:rsidRPr="000641F5">
              <w:rPr>
                <w:b/>
                <w:bCs/>
                <w:sz w:val="18"/>
                <w:szCs w:val="18"/>
              </w:rPr>
              <w:t>Subtotal</w:t>
            </w:r>
            <w:r w:rsidRPr="000641F5">
              <w:rPr>
                <w:b/>
                <w:bCs/>
                <w:sz w:val="18"/>
                <w:szCs w:val="18"/>
              </w:rPr>
              <w:t>)</w:t>
            </w:r>
          </w:p>
        </w:tc>
        <w:tc>
          <w:tcPr>
            <w:tcW w:w="1719"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0641F5">
            <w:pPr>
              <w:jc w:val="center"/>
              <w:rPr>
                <w:b/>
                <w:bCs/>
                <w:sz w:val="18"/>
                <w:szCs w:val="18"/>
              </w:rPr>
            </w:pPr>
            <w:r w:rsidRPr="000641F5">
              <w:rPr>
                <w:b/>
                <w:bCs/>
                <w:sz w:val="18"/>
                <w:szCs w:val="18"/>
              </w:rPr>
              <w:t>&lt; 3,000 mg/L</w:t>
            </w:r>
          </w:p>
        </w:tc>
        <w:tc>
          <w:tcPr>
            <w:tcW w:w="1860"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jc w:val="center"/>
              <w:rPr>
                <w:b/>
                <w:bCs/>
                <w:sz w:val="18"/>
                <w:szCs w:val="18"/>
              </w:rPr>
            </w:pPr>
            <w:r w:rsidRPr="000641F5">
              <w:rPr>
                <w:b/>
                <w:bCs/>
                <w:sz w:val="18"/>
                <w:szCs w:val="18"/>
              </w:rPr>
              <w:t>120</w:t>
            </w:r>
          </w:p>
        </w:tc>
        <w:tc>
          <w:tcPr>
            <w:tcW w:w="1639"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jc w:val="center"/>
              <w:rPr>
                <w:b/>
                <w:bCs/>
                <w:sz w:val="18"/>
                <w:szCs w:val="18"/>
              </w:rPr>
            </w:pPr>
            <w:r w:rsidRPr="000641F5">
              <w:rPr>
                <w:b/>
                <w:bCs/>
                <w:sz w:val="18"/>
                <w:szCs w:val="18"/>
              </w:rPr>
              <w:t>170</w:t>
            </w:r>
          </w:p>
        </w:tc>
        <w:tc>
          <w:tcPr>
            <w:tcW w:w="1933" w:type="dxa"/>
            <w:tcBorders>
              <w:top w:val="single" w:sz="4" w:space="0" w:color="auto"/>
              <w:left w:val="single" w:sz="4" w:space="0" w:color="auto"/>
              <w:bottom w:val="single" w:sz="4" w:space="0" w:color="auto"/>
              <w:right w:val="single" w:sz="4" w:space="0" w:color="auto"/>
            </w:tcBorders>
            <w:shd w:val="clear" w:color="auto" w:fill="CCCCCC"/>
            <w:vAlign w:val="center"/>
          </w:tcPr>
          <w:p w:rsidR="0048248E" w:rsidRPr="000641F5" w:rsidRDefault="0048248E" w:rsidP="0048248E">
            <w:pPr>
              <w:jc w:val="center"/>
              <w:rPr>
                <w:b/>
                <w:bCs/>
                <w:sz w:val="18"/>
                <w:szCs w:val="18"/>
              </w:rPr>
            </w:pPr>
            <w:r w:rsidRPr="000641F5">
              <w:rPr>
                <w:b/>
                <w:bCs/>
                <w:sz w:val="18"/>
                <w:szCs w:val="18"/>
              </w:rPr>
              <w:t>250</w:t>
            </w:r>
          </w:p>
        </w:tc>
      </w:tr>
      <w:tr w:rsidR="0048248E" w:rsidRPr="000641F5" w:rsidTr="000641F5">
        <w:trPr>
          <w:trHeight w:val="233"/>
          <w:jc w:val="center"/>
        </w:trPr>
        <w:tc>
          <w:tcPr>
            <w:tcW w:w="2239"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48248E">
            <w:pPr>
              <w:rPr>
                <w:b/>
                <w:bCs/>
                <w:sz w:val="18"/>
                <w:szCs w:val="18"/>
              </w:rPr>
            </w:pPr>
            <w:r w:rsidRPr="000641F5">
              <w:rPr>
                <w:b/>
                <w:bCs/>
                <w:sz w:val="18"/>
                <w:szCs w:val="18"/>
              </w:rPr>
              <w:t>KNP Borefields (Total)</w:t>
            </w:r>
          </w:p>
        </w:tc>
        <w:tc>
          <w:tcPr>
            <w:tcW w:w="1719"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0641F5">
            <w:pPr>
              <w:jc w:val="center"/>
              <w:rPr>
                <w:b/>
                <w:bCs/>
                <w:sz w:val="18"/>
                <w:szCs w:val="18"/>
              </w:rPr>
            </w:pPr>
            <w:r w:rsidRPr="000641F5">
              <w:rPr>
                <w:b/>
                <w:bCs/>
                <w:sz w:val="18"/>
                <w:szCs w:val="18"/>
              </w:rPr>
              <w:t>&lt; 3,000 mg/L</w:t>
            </w:r>
          </w:p>
        </w:tc>
        <w:tc>
          <w:tcPr>
            <w:tcW w:w="1860"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48248E">
            <w:pPr>
              <w:jc w:val="center"/>
              <w:rPr>
                <w:b/>
                <w:bCs/>
                <w:sz w:val="18"/>
                <w:szCs w:val="18"/>
              </w:rPr>
            </w:pPr>
            <w:r w:rsidRPr="000641F5">
              <w:rPr>
                <w:b/>
                <w:bCs/>
                <w:sz w:val="18"/>
                <w:szCs w:val="18"/>
              </w:rPr>
              <w:t>200</w:t>
            </w:r>
          </w:p>
        </w:tc>
        <w:tc>
          <w:tcPr>
            <w:tcW w:w="1639"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48248E">
            <w:pPr>
              <w:jc w:val="center"/>
              <w:rPr>
                <w:b/>
                <w:bCs/>
                <w:sz w:val="18"/>
                <w:szCs w:val="18"/>
              </w:rPr>
            </w:pPr>
            <w:r w:rsidRPr="000641F5">
              <w:rPr>
                <w:b/>
                <w:bCs/>
                <w:sz w:val="18"/>
                <w:szCs w:val="18"/>
              </w:rPr>
              <w:t>290</w:t>
            </w:r>
          </w:p>
        </w:tc>
        <w:tc>
          <w:tcPr>
            <w:tcW w:w="1933" w:type="dxa"/>
            <w:tcBorders>
              <w:top w:val="single" w:sz="4" w:space="0" w:color="auto"/>
              <w:left w:val="single" w:sz="4" w:space="0" w:color="auto"/>
              <w:bottom w:val="single" w:sz="4" w:space="0" w:color="auto"/>
              <w:right w:val="single" w:sz="4" w:space="0" w:color="auto"/>
            </w:tcBorders>
            <w:shd w:val="clear" w:color="auto" w:fill="808080"/>
            <w:vAlign w:val="center"/>
          </w:tcPr>
          <w:p w:rsidR="0048248E" w:rsidRPr="000641F5" w:rsidRDefault="0048248E" w:rsidP="0048248E">
            <w:pPr>
              <w:jc w:val="center"/>
              <w:rPr>
                <w:b/>
                <w:bCs/>
                <w:sz w:val="18"/>
                <w:szCs w:val="18"/>
              </w:rPr>
            </w:pPr>
            <w:r w:rsidRPr="000641F5">
              <w:rPr>
                <w:b/>
                <w:bCs/>
                <w:sz w:val="18"/>
                <w:szCs w:val="18"/>
              </w:rPr>
              <w:t>420</w:t>
            </w:r>
          </w:p>
        </w:tc>
      </w:tr>
    </w:tbl>
    <w:p w:rsidR="003B3C54" w:rsidRPr="007F343E" w:rsidRDefault="003B3C54" w:rsidP="003B3C54">
      <w:pPr>
        <w:spacing w:before="120" w:after="120"/>
        <w:rPr>
          <w:sz w:val="20"/>
          <w:szCs w:val="20"/>
        </w:rPr>
      </w:pPr>
      <w:r w:rsidRPr="007F343E">
        <w:rPr>
          <w:sz w:val="20"/>
          <w:szCs w:val="20"/>
        </w:rPr>
        <w:t xml:space="preserve">Notes: </w:t>
      </w:r>
      <w:r>
        <w:rPr>
          <w:sz w:val="20"/>
          <w:szCs w:val="20"/>
        </w:rPr>
        <w:t xml:space="preserve">These groundwater volumes are indicative estimates only. </w:t>
      </w:r>
      <w:r w:rsidRPr="007F343E">
        <w:rPr>
          <w:sz w:val="20"/>
          <w:szCs w:val="20"/>
        </w:rPr>
        <w:t>Groundwater storage volumes do not equate to extractable</w:t>
      </w:r>
      <w:r>
        <w:rPr>
          <w:sz w:val="20"/>
          <w:szCs w:val="20"/>
        </w:rPr>
        <w:t xml:space="preserve"> groundwater volumes, which would</w:t>
      </w:r>
      <w:r w:rsidRPr="007F343E">
        <w:rPr>
          <w:sz w:val="20"/>
          <w:szCs w:val="20"/>
        </w:rPr>
        <w:t xml:space="preserve"> be smaller </w:t>
      </w:r>
      <w:r w:rsidR="00E33C41">
        <w:rPr>
          <w:sz w:val="20"/>
          <w:szCs w:val="20"/>
        </w:rPr>
        <w:t>than</w:t>
      </w:r>
      <w:r w:rsidRPr="007F343E">
        <w:rPr>
          <w:sz w:val="20"/>
          <w:szCs w:val="20"/>
        </w:rPr>
        <w:t xml:space="preserve"> these estimates</w:t>
      </w:r>
      <w:r>
        <w:rPr>
          <w:sz w:val="20"/>
          <w:szCs w:val="20"/>
        </w:rPr>
        <w:t>.</w:t>
      </w:r>
    </w:p>
    <w:p w:rsidR="00035877" w:rsidRDefault="00035877" w:rsidP="00035877">
      <w:pPr>
        <w:sectPr w:rsidR="00035877" w:rsidSect="00C6706D">
          <w:pgSz w:w="11906" w:h="16838"/>
          <w:pgMar w:top="1191" w:right="964" w:bottom="1077" w:left="1134" w:header="709" w:footer="709" w:gutter="0"/>
          <w:cols w:space="708"/>
          <w:docGrid w:linePitch="360"/>
        </w:sectPr>
      </w:pPr>
    </w:p>
    <w:p w:rsidR="00035877" w:rsidRDefault="00CD2825" w:rsidP="00FE37F2">
      <w:pPr>
        <w:pStyle w:val="Caption"/>
      </w:pPr>
      <w:bookmarkStart w:id="716" w:name="_Ref325709785"/>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9</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8</w:t>
      </w:r>
      <w:r w:rsidR="00B96C96">
        <w:rPr>
          <w:b/>
        </w:rPr>
        <w:fldChar w:fldCharType="end"/>
      </w:r>
      <w:bookmarkEnd w:id="716"/>
      <w:r w:rsidRPr="00CD2825">
        <w:rPr>
          <w:b/>
        </w:rPr>
        <w:t>.</w:t>
      </w:r>
      <w:r>
        <w:t xml:space="preserve"> </w:t>
      </w:r>
      <w:r w:rsidR="00035877" w:rsidRPr="004F6F8C">
        <w:rPr>
          <w:rFonts w:cs="Arial"/>
        </w:rPr>
        <w:t>Entry-level risk assessment</w:t>
      </w:r>
      <w:r w:rsidR="00035877">
        <w:rPr>
          <w:rFonts w:cs="Arial"/>
        </w:rPr>
        <w:t xml:space="preserve"> for the BHMAR ASR sites at </w:t>
      </w:r>
      <w:smartTag w:uri="urn:schemas-microsoft-com:office:smarttags" w:element="place">
        <w:smartTag w:uri="urn:schemas-microsoft-com:office:smarttags" w:element="PlaceName">
          <w:r w:rsidR="00035877">
            <w:rPr>
              <w:rFonts w:cs="Arial"/>
            </w:rPr>
            <w:t>Kinchega</w:t>
          </w:r>
        </w:smartTag>
        <w:r w:rsidR="00035877">
          <w:rPr>
            <w:rFonts w:cs="Arial"/>
          </w:rPr>
          <w:t xml:space="preserve"> </w:t>
        </w:r>
        <w:smartTag w:uri="urn:schemas-microsoft-com:office:smarttags" w:element="PlaceType">
          <w:r w:rsidR="00035877">
            <w:rPr>
              <w:rFonts w:cs="Arial"/>
            </w:rPr>
            <w:t>National Park</w:t>
          </w:r>
        </w:smartTag>
      </w:smartTag>
      <w:r w:rsidR="00035877">
        <w:rPr>
          <w:rFonts w:cs="Arial"/>
        </w:rPr>
        <w:t xml:space="preserve"> (KNP)— Part </w:t>
      </w:r>
      <w:r w:rsidR="00035877" w:rsidRPr="004F6F8C">
        <w:rPr>
          <w:rFonts w:cs="Arial"/>
        </w:rPr>
        <w:t>2: degree of difficulty</w:t>
      </w:r>
      <w:r w:rsidR="00035877">
        <w:rPr>
          <w:rFonts w:cs="Arial"/>
        </w:rPr>
        <w:t xml:space="preserve">. </w:t>
      </w:r>
      <w:r w:rsidR="00035877" w:rsidRPr="006F16BF">
        <w:rPr>
          <w:szCs w:val="20"/>
        </w:rPr>
        <w:t xml:space="preserve">Completed as per section 4.3 of the </w:t>
      </w:r>
      <w:smartTag w:uri="urn:schemas-microsoft-com:office:smarttags" w:element="stockticker">
        <w:r w:rsidR="00035877" w:rsidRPr="006F16BF">
          <w:rPr>
            <w:szCs w:val="20"/>
          </w:rPr>
          <w:t>MAR</w:t>
        </w:r>
      </w:smartTag>
      <w:r w:rsidR="00035877" w:rsidRPr="006F16BF">
        <w:rPr>
          <w:szCs w:val="20"/>
        </w:rPr>
        <w:t xml:space="preserve"> guidelines </w:t>
      </w:r>
      <w:r w:rsidR="00035877" w:rsidRPr="0089737C">
        <w:rPr>
          <w:szCs w:val="20"/>
        </w:rPr>
        <w:t>(</w:t>
      </w:r>
      <w:r w:rsidR="0089737C" w:rsidRPr="0089737C">
        <w:t>NRMMC–EPHC–NHMRC, 2009</w:t>
      </w:r>
      <w:r w:rsidR="00035877" w:rsidRPr="0089737C">
        <w:rPr>
          <w:szCs w:val="20"/>
        </w:rPr>
        <w:t>).</w:t>
      </w:r>
      <w:r w:rsidR="00DD5B97" w:rsidRPr="0089737C">
        <w:t xml:space="preserve"> </w:t>
      </w:r>
      <w:r w:rsidR="00DD5B97" w:rsidRPr="0089737C">
        <w:rPr>
          <w:i w:val="0"/>
        </w:rPr>
        <w:fldChar w:fldCharType="begin"/>
      </w:r>
      <w:r w:rsidR="00DD5B97" w:rsidRPr="0089737C">
        <w:rPr>
          <w:i w:val="0"/>
        </w:rPr>
        <w:instrText xml:space="preserve"> TC "</w:instrText>
      </w:r>
      <w:bookmarkStart w:id="717" w:name="_Toc325975320"/>
      <w:bookmarkStart w:id="718" w:name="_Toc390690309"/>
      <w:r w:rsidR="00DD5B97" w:rsidRPr="0089737C">
        <w:rPr>
          <w:i w:val="0"/>
        </w:rPr>
        <w:instrText xml:space="preserve">Table </w:instrText>
      </w:r>
      <w:r w:rsidR="000D653B">
        <w:rPr>
          <w:i w:val="0"/>
        </w:rPr>
        <w:instrText>9-8</w:instrText>
      </w:r>
      <w:r w:rsidR="00DE0DFA" w:rsidRPr="0089737C">
        <w:rPr>
          <w:i w:val="0"/>
        </w:rPr>
        <w:instrText>.</w:instrText>
      </w:r>
      <w:r w:rsidR="00DD5B97" w:rsidRPr="0089737C">
        <w:rPr>
          <w:i w:val="0"/>
        </w:rPr>
        <w:instrText xml:space="preserve"> </w:instrText>
      </w:r>
      <w:r w:rsidR="00DD5B97" w:rsidRPr="0089737C">
        <w:rPr>
          <w:rFonts w:cs="Arial"/>
          <w:i w:val="0"/>
        </w:rPr>
        <w:instrText xml:space="preserve">Entry-level risk assessment for the BHMAR ASR sites at </w:instrText>
      </w:r>
      <w:smartTag w:uri="urn:schemas-microsoft-com:office:smarttags" w:element="place">
        <w:smartTag w:uri="urn:schemas-microsoft-com:office:smarttags" w:element="PlaceName">
          <w:r w:rsidR="00DD5B97" w:rsidRPr="0089737C">
            <w:rPr>
              <w:rFonts w:cs="Arial"/>
              <w:i w:val="0"/>
            </w:rPr>
            <w:instrText>Kinchega</w:instrText>
          </w:r>
        </w:smartTag>
        <w:r w:rsidR="00DD5B97" w:rsidRPr="0089737C">
          <w:rPr>
            <w:rFonts w:cs="Arial"/>
            <w:i w:val="0"/>
          </w:rPr>
          <w:instrText xml:space="preserve"> </w:instrText>
        </w:r>
        <w:smartTag w:uri="urn:schemas-microsoft-com:office:smarttags" w:element="PlaceType">
          <w:r w:rsidR="00DD5B97" w:rsidRPr="0089737C">
            <w:rPr>
              <w:rFonts w:cs="Arial"/>
              <w:i w:val="0"/>
            </w:rPr>
            <w:instrText>National Park</w:instrText>
          </w:r>
        </w:smartTag>
      </w:smartTag>
      <w:bookmarkEnd w:id="717"/>
      <w:r w:rsidR="003721DD" w:rsidRPr="0089737C">
        <w:rPr>
          <w:rFonts w:cs="Arial"/>
          <w:i w:val="0"/>
        </w:rPr>
        <w:instrText>.</w:instrText>
      </w:r>
      <w:bookmarkEnd w:id="718"/>
      <w:r w:rsidR="00DD5B97" w:rsidRPr="0089737C">
        <w:rPr>
          <w:i w:val="0"/>
        </w:rPr>
        <w:instrText xml:space="preserve">" \f B \l "4" </w:instrText>
      </w:r>
      <w:r w:rsidR="00DD5B97" w:rsidRPr="0089737C">
        <w:rPr>
          <w:i w:val="0"/>
        </w:rPr>
        <w:fldChar w:fldCharType="end"/>
      </w:r>
    </w:p>
    <w:tbl>
      <w:tblPr>
        <w:tblW w:w="15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7"/>
        <w:gridCol w:w="7154"/>
        <w:gridCol w:w="4051"/>
      </w:tblGrid>
      <w:tr w:rsidR="00035877" w:rsidRPr="006205C3" w:rsidTr="00370829">
        <w:tc>
          <w:tcPr>
            <w:tcW w:w="3817" w:type="dxa"/>
            <w:shd w:val="clear" w:color="auto" w:fill="C0C0C0"/>
          </w:tcPr>
          <w:p w:rsidR="00035877" w:rsidRPr="006205C3" w:rsidRDefault="00035877" w:rsidP="00370829">
            <w:pPr>
              <w:rPr>
                <w:rFonts w:cs="Arial"/>
                <w:b/>
                <w:szCs w:val="22"/>
              </w:rPr>
            </w:pPr>
            <w:r w:rsidRPr="006205C3">
              <w:rPr>
                <w:rFonts w:cs="Arial"/>
                <w:b/>
                <w:szCs w:val="22"/>
              </w:rPr>
              <w:t>Question</w:t>
            </w:r>
          </w:p>
        </w:tc>
        <w:tc>
          <w:tcPr>
            <w:tcW w:w="7154"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KNP ASR sites</w:t>
            </w:r>
          </w:p>
        </w:tc>
        <w:tc>
          <w:tcPr>
            <w:tcW w:w="4051"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6205C3" w:rsidTr="00370829">
        <w:tc>
          <w:tcPr>
            <w:tcW w:w="15022" w:type="dxa"/>
            <w:gridSpan w:val="3"/>
            <w:shd w:val="clear" w:color="auto" w:fill="E6E6E6"/>
          </w:tcPr>
          <w:p w:rsidR="00035877" w:rsidRPr="00125475" w:rsidRDefault="00035877" w:rsidP="00370829">
            <w:pPr>
              <w:rPr>
                <w:b/>
                <w:sz w:val="20"/>
                <w:szCs w:val="20"/>
              </w:rPr>
            </w:pPr>
            <w:r w:rsidRPr="00125475">
              <w:rPr>
                <w:b/>
                <w:sz w:val="20"/>
                <w:szCs w:val="20"/>
              </w:rPr>
              <w:t>1. Source water quality with respect to groundwater environmental values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Does source water quality meet the requirements for the environmental values of ambient groundwater?</w:t>
            </w:r>
          </w:p>
        </w:tc>
        <w:tc>
          <w:tcPr>
            <w:tcW w:w="7154" w:type="dxa"/>
          </w:tcPr>
          <w:p w:rsidR="00035877" w:rsidRPr="00D371D0" w:rsidRDefault="00035877" w:rsidP="00370829">
            <w:pPr>
              <w:rPr>
                <w:rFonts w:cs="Arial"/>
                <w:sz w:val="18"/>
                <w:szCs w:val="18"/>
              </w:rPr>
            </w:pPr>
            <w:r w:rsidRPr="00D371D0">
              <w:rPr>
                <w:rFonts w:cs="Arial"/>
                <w:sz w:val="18"/>
                <w:szCs w:val="18"/>
              </w:rPr>
              <w:t xml:space="preserve">Yes. </w:t>
            </w:r>
            <w:smartTag w:uri="urn:schemas-microsoft-com:office:smarttags" w:element="place">
              <w:r w:rsidRPr="00D371D0">
                <w:rPr>
                  <w:rFonts w:cs="Arial"/>
                  <w:sz w:val="18"/>
                  <w:szCs w:val="18"/>
                </w:rPr>
                <w:t>Darling River</w:t>
              </w:r>
            </w:smartTag>
            <w:r w:rsidRPr="00D371D0">
              <w:rPr>
                <w:rFonts w:cs="Arial"/>
                <w:sz w:val="18"/>
                <w:szCs w:val="18"/>
              </w:rPr>
              <w:t xml:space="preserve"> source water quality is higher than most groundwater. Water quality requirements are met for the most common use of groundwater, livestock supply. Water quality requirements for the less common uses such as irrigation and drinking water are generally met, although iron, aluminium, pH, turbidity and phosphorus concentrations exceed irrigation and drinking water aesthetics on occasions. The concentrations of most of these constituents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1" w:type="dxa"/>
          </w:tcPr>
          <w:p w:rsidR="00035877" w:rsidRPr="00D371D0" w:rsidRDefault="00035877" w:rsidP="00370829">
            <w:pPr>
              <w:rPr>
                <w:rFonts w:cs="Arial"/>
                <w:sz w:val="18"/>
                <w:szCs w:val="18"/>
              </w:rPr>
            </w:pPr>
            <w:r w:rsidRPr="00D371D0">
              <w:rPr>
                <w:rFonts w:cs="Arial"/>
                <w:sz w:val="18"/>
                <w:szCs w:val="18"/>
              </w:rPr>
              <w:t xml:space="preserve">Particular potential contaminants (such as pesticides and microbiology) need to be specifically evaluated, although significant recharge occurs in response to lake filling. </w:t>
            </w:r>
          </w:p>
        </w:tc>
      </w:tr>
      <w:tr w:rsidR="00035877" w:rsidRPr="006205C3" w:rsidTr="00370829">
        <w:tc>
          <w:tcPr>
            <w:tcW w:w="15022" w:type="dxa"/>
            <w:gridSpan w:val="3"/>
            <w:shd w:val="clear" w:color="auto" w:fill="E6E6E6"/>
          </w:tcPr>
          <w:p w:rsidR="00035877" w:rsidRPr="00125475" w:rsidRDefault="00035877" w:rsidP="00370829">
            <w:pPr>
              <w:rPr>
                <w:b/>
                <w:sz w:val="20"/>
                <w:szCs w:val="20"/>
              </w:rPr>
            </w:pPr>
            <w:r w:rsidRPr="00125475">
              <w:rPr>
                <w:b/>
                <w:sz w:val="20"/>
                <w:szCs w:val="20"/>
              </w:rPr>
              <w:t>2. Source water quality with respect to recovered water end use environmental values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Does source water quality meet the requirements for the environmental values of intended end uses of water on recovery?</w:t>
            </w:r>
          </w:p>
        </w:tc>
        <w:tc>
          <w:tcPr>
            <w:tcW w:w="7154" w:type="dxa"/>
          </w:tcPr>
          <w:p w:rsidR="00035877" w:rsidRPr="00D371D0" w:rsidRDefault="00035877" w:rsidP="00370829">
            <w:pPr>
              <w:rPr>
                <w:rFonts w:cs="Arial"/>
                <w:sz w:val="18"/>
                <w:szCs w:val="18"/>
              </w:rPr>
            </w:pPr>
            <w:r w:rsidRPr="00D371D0">
              <w:rPr>
                <w:rFonts w:cs="Arial"/>
                <w:sz w:val="18"/>
                <w:szCs w:val="18"/>
              </w:rPr>
              <w:t xml:space="preserve">No (health requirements); no (aesthetic requirements). Based on the historical data, source waters meet the health requirements of drinking water supplies for the </w:t>
            </w:r>
            <w:smartTag w:uri="urn:schemas-microsoft-com:office:smarttags" w:element="place">
              <w:smartTag w:uri="urn:schemas-microsoft-com:office:smarttags" w:element="PlaceType">
                <w:r w:rsidRPr="00D371D0">
                  <w:rPr>
                    <w:rFonts w:cs="Arial"/>
                    <w:sz w:val="18"/>
                    <w:szCs w:val="18"/>
                  </w:rPr>
                  <w:t>township</w:t>
                </w:r>
              </w:smartTag>
              <w:r w:rsidRPr="00D371D0">
                <w:rPr>
                  <w:rFonts w:cs="Arial"/>
                  <w:sz w:val="18"/>
                  <w:szCs w:val="18"/>
                </w:rPr>
                <w:t xml:space="preserve"> of </w:t>
              </w:r>
              <w:smartTag w:uri="urn:schemas-microsoft-com:office:smarttags" w:element="PlaceName">
                <w:r w:rsidRPr="00D371D0">
                  <w:rPr>
                    <w:rFonts w:cs="Arial"/>
                    <w:sz w:val="18"/>
                    <w:szCs w:val="18"/>
                  </w:rPr>
                  <w:t>Broken</w:t>
                </w:r>
              </w:smartTag>
            </w:smartTag>
            <w:r w:rsidRPr="00D371D0">
              <w:rPr>
                <w:rFonts w:cs="Arial"/>
                <w:sz w:val="18"/>
                <w:szCs w:val="18"/>
              </w:rPr>
              <w:t xml:space="preserve"> Hill. The aesthetic requirements of drinking water if iron, aluminium, pH and turbidity levels are not met but may be mitigated through the operational requirements of any </w:t>
            </w:r>
            <w:smartTag w:uri="urn:schemas-microsoft-com:office:smarttags" w:element="stockticker">
              <w:r w:rsidRPr="00D371D0">
                <w:rPr>
                  <w:rFonts w:cs="Arial"/>
                  <w:sz w:val="18"/>
                  <w:szCs w:val="18"/>
                </w:rPr>
                <w:t>MAR</w:t>
              </w:r>
            </w:smartTag>
            <w:r w:rsidRPr="00D371D0">
              <w:rPr>
                <w:rFonts w:cs="Arial"/>
                <w:sz w:val="18"/>
                <w:szCs w:val="18"/>
              </w:rPr>
              <w:t xml:space="preserve"> scheme and interactions with aquifer material.</w:t>
            </w:r>
          </w:p>
        </w:tc>
        <w:tc>
          <w:tcPr>
            <w:tcW w:w="4051" w:type="dxa"/>
          </w:tcPr>
          <w:p w:rsidR="00035877" w:rsidRPr="00D371D0" w:rsidRDefault="00035877" w:rsidP="00370829">
            <w:pPr>
              <w:rPr>
                <w:rFonts w:cs="Arial"/>
                <w:sz w:val="18"/>
                <w:szCs w:val="18"/>
              </w:rPr>
            </w:pPr>
            <w:r w:rsidRPr="00D371D0">
              <w:rPr>
                <w:rFonts w:cs="Arial"/>
                <w:sz w:val="18"/>
                <w:szCs w:val="18"/>
              </w:rPr>
              <w:t>Assessment of geochemical reactions between ambient groundwater and aquifer material is required. There may be a need for post-recovery treatment.</w:t>
            </w:r>
          </w:p>
        </w:tc>
      </w:tr>
      <w:tr w:rsidR="00035877" w:rsidRPr="006205C3" w:rsidTr="00370829">
        <w:tc>
          <w:tcPr>
            <w:tcW w:w="15022" w:type="dxa"/>
            <w:gridSpan w:val="3"/>
            <w:shd w:val="clear" w:color="auto" w:fill="E6E6E6"/>
          </w:tcPr>
          <w:p w:rsidR="00035877" w:rsidRPr="00125475" w:rsidRDefault="00035877" w:rsidP="00370829">
            <w:pPr>
              <w:rPr>
                <w:b/>
                <w:sz w:val="20"/>
                <w:szCs w:val="20"/>
              </w:rPr>
            </w:pPr>
            <w:r w:rsidRPr="00125475">
              <w:rPr>
                <w:b/>
                <w:sz w:val="20"/>
                <w:szCs w:val="20"/>
              </w:rPr>
              <w:t>3. Source water quality with respect to clogging</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a) Is source water of low quality, for example: either total suspended solids, total organic carbon or total nitrogen &gt;10 mg/L,</w:t>
            </w:r>
          </w:p>
          <w:p w:rsidR="00035877" w:rsidRPr="00D371D0" w:rsidRDefault="00035877" w:rsidP="00370829">
            <w:pPr>
              <w:rPr>
                <w:rFonts w:cs="Arial"/>
                <w:sz w:val="18"/>
                <w:szCs w:val="18"/>
              </w:rPr>
            </w:pPr>
            <w:r w:rsidRPr="00D371D0">
              <w:rPr>
                <w:rFonts w:cs="Arial"/>
                <w:sz w:val="18"/>
                <w:szCs w:val="18"/>
              </w:rPr>
              <w:t>b) And is soil or aquifer free of macropores?</w:t>
            </w:r>
          </w:p>
        </w:tc>
        <w:tc>
          <w:tcPr>
            <w:tcW w:w="7154"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 xml:space="preserve">a) Yes. Based on the existing historical data from surface water monitoring sites over the last 30 years, source waters do not meet the total organic carbon or turbidity requirements cited as defining “low quality to avoid aquifer clogging”. </w:t>
            </w:r>
          </w:p>
          <w:p w:rsidR="00035877" w:rsidRPr="00D371D0" w:rsidRDefault="00035877" w:rsidP="00370829">
            <w:pPr>
              <w:rPr>
                <w:rFonts w:cs="Arial"/>
                <w:sz w:val="18"/>
                <w:szCs w:val="18"/>
              </w:rPr>
            </w:pPr>
            <w:r w:rsidRPr="00D371D0">
              <w:rPr>
                <w:rFonts w:cs="Arial"/>
                <w:sz w:val="18"/>
                <w:szCs w:val="18"/>
              </w:rPr>
              <w:t xml:space="preserve">b) Partially. Soils have variable characteristics across the project area; however, the sites identified as potential </w:t>
            </w:r>
            <w:smartTag w:uri="urn:schemas-microsoft-com:office:smarttags" w:element="stockticker">
              <w:r w:rsidRPr="00D371D0">
                <w:rPr>
                  <w:rFonts w:cs="Arial"/>
                  <w:sz w:val="18"/>
                  <w:szCs w:val="18"/>
                </w:rPr>
                <w:t>MAR</w:t>
              </w:r>
            </w:smartTag>
            <w:r w:rsidRPr="00D371D0">
              <w:rPr>
                <w:rFonts w:cs="Arial"/>
                <w:sz w:val="18"/>
                <w:szCs w:val="18"/>
              </w:rPr>
              <w:t xml:space="preserve"> targets and infiltration sites have been selected for their highly permeable and porous soils and aquifers. Macropore development is likely to be variable: cracking </w:t>
            </w:r>
            <w:r w:rsidR="001E3931">
              <w:rPr>
                <w:rFonts w:cs="Arial"/>
                <w:sz w:val="18"/>
                <w:szCs w:val="18"/>
              </w:rPr>
              <w:t>mud</w:t>
            </w:r>
            <w:r w:rsidRPr="00D371D0">
              <w:rPr>
                <w:rFonts w:cs="Arial"/>
                <w:sz w:val="18"/>
                <w:szCs w:val="18"/>
              </w:rPr>
              <w:t>s with macropore soil development can occur in floodplain areas, but target aquifers are unconsolidated sediments with limited macropore structures.</w:t>
            </w:r>
          </w:p>
        </w:tc>
        <w:tc>
          <w:tcPr>
            <w:tcW w:w="4051"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a) High risk of clogging of infiltration or injection facilities. Pre-treatment options for source water will need to be assessed.</w:t>
            </w:r>
          </w:p>
          <w:p w:rsidR="00035877" w:rsidRPr="00D371D0" w:rsidRDefault="00035877" w:rsidP="00370829">
            <w:pPr>
              <w:rPr>
                <w:rFonts w:cs="Arial"/>
                <w:sz w:val="18"/>
                <w:szCs w:val="18"/>
              </w:rPr>
            </w:pPr>
            <w:r w:rsidRPr="00D371D0">
              <w:rPr>
                <w:rFonts w:cs="Arial"/>
                <w:sz w:val="18"/>
                <w:szCs w:val="18"/>
              </w:rPr>
              <w:t>b) Although soils and aquifers identified as potential targets are less likely to experience clogging than fine-grained material, clogging is still likely given the low surface water quality. Pre-treatment options for source water will still need to be assessed.</w:t>
            </w:r>
          </w:p>
        </w:tc>
      </w:tr>
      <w:tr w:rsidR="00035877" w:rsidRPr="006205C3" w:rsidTr="00370829">
        <w:tc>
          <w:tcPr>
            <w:tcW w:w="15022" w:type="dxa"/>
            <w:gridSpan w:val="3"/>
            <w:shd w:val="clear" w:color="auto" w:fill="E6E6E6"/>
          </w:tcPr>
          <w:p w:rsidR="00035877" w:rsidRPr="00125475" w:rsidRDefault="00035877" w:rsidP="00370829">
            <w:pPr>
              <w:rPr>
                <w:b/>
                <w:sz w:val="20"/>
                <w:szCs w:val="20"/>
              </w:rPr>
            </w:pPr>
            <w:r w:rsidRPr="00125475">
              <w:rPr>
                <w:b/>
                <w:sz w:val="20"/>
                <w:szCs w:val="20"/>
              </w:rPr>
              <w:t xml:space="preserve">4. </w:t>
            </w:r>
            <w:smartTag w:uri="urn:schemas-microsoft-com:office:smarttags" w:element="PersonName">
              <w:r w:rsidRPr="00125475">
                <w:rPr>
                  <w:b/>
                  <w:sz w:val="20"/>
                  <w:szCs w:val="20"/>
                </w:rPr>
                <w:t>Groundwater</w:t>
              </w:r>
            </w:smartTag>
            <w:r w:rsidRPr="00125475">
              <w:rPr>
                <w:b/>
                <w:sz w:val="20"/>
                <w:szCs w:val="20"/>
              </w:rPr>
              <w:t xml:space="preserve"> quality with respect to recovered water end use environmental values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Does ambient groundwater meet the water quality requirements for the environmental values of intended end uses of water on recovery? </w:t>
            </w:r>
          </w:p>
        </w:tc>
        <w:tc>
          <w:tcPr>
            <w:tcW w:w="7154" w:type="dxa"/>
          </w:tcPr>
          <w:p w:rsidR="00035877" w:rsidRPr="00D371D0" w:rsidRDefault="00035877" w:rsidP="00370829">
            <w:pPr>
              <w:rPr>
                <w:rFonts w:cs="Arial"/>
                <w:sz w:val="18"/>
                <w:szCs w:val="18"/>
              </w:rPr>
            </w:pPr>
            <w:r w:rsidRPr="00D371D0">
              <w:rPr>
                <w:rFonts w:cs="Arial"/>
                <w:sz w:val="18"/>
                <w:szCs w:val="18"/>
              </w:rPr>
              <w:t xml:space="preserve">Not likely – AEM mapping of the </w:t>
            </w:r>
            <w:r w:rsidR="00C217F0">
              <w:rPr>
                <w:rFonts w:cs="Arial"/>
                <w:sz w:val="18"/>
                <w:szCs w:val="18"/>
              </w:rPr>
              <w:t>Calivil Formation</w:t>
            </w:r>
            <w:r w:rsidR="00670511">
              <w:rPr>
                <w:rFonts w:cs="Arial"/>
                <w:sz w:val="18"/>
                <w:szCs w:val="18"/>
              </w:rPr>
              <w:t xml:space="preserve"> </w:t>
            </w:r>
            <w:r w:rsidRPr="00D371D0">
              <w:rPr>
                <w:rFonts w:cs="Arial"/>
                <w:sz w:val="18"/>
                <w:szCs w:val="18"/>
              </w:rPr>
              <w:t>aquifer in the this area, validated by drilling outside the KNP, indicates variations in salinity from potable to brackish. While no detailed analysis of water quality is available from bores within the boundaries of KNP, groundwater samples from bores in adjacent properties can have ADWG</w:t>
            </w:r>
            <w:r w:rsidR="00B81A6B">
              <w:rPr>
                <w:rFonts w:cs="Arial"/>
                <w:sz w:val="18"/>
                <w:szCs w:val="18"/>
              </w:rPr>
              <w:t>2011</w:t>
            </w:r>
            <w:r w:rsidRPr="00D371D0">
              <w:rPr>
                <w:rFonts w:cs="Arial"/>
                <w:sz w:val="18"/>
                <w:szCs w:val="18"/>
              </w:rPr>
              <w:t xml:space="preserve"> exceedances for iron and manganese that would require treatment.</w:t>
            </w:r>
          </w:p>
        </w:tc>
        <w:tc>
          <w:tcPr>
            <w:tcW w:w="4051" w:type="dxa"/>
          </w:tcPr>
          <w:p w:rsidR="00035877" w:rsidRPr="00D371D0" w:rsidRDefault="00035877" w:rsidP="00370829">
            <w:pPr>
              <w:rPr>
                <w:rFonts w:cs="Arial"/>
                <w:sz w:val="18"/>
                <w:szCs w:val="18"/>
              </w:rPr>
            </w:pPr>
            <w:r w:rsidRPr="00D371D0">
              <w:rPr>
                <w:rFonts w:cs="Arial"/>
                <w:sz w:val="18"/>
                <w:szCs w:val="18"/>
              </w:rPr>
              <w:t xml:space="preserve">Contrasts in </w:t>
            </w:r>
            <w:r w:rsidR="00C217F0">
              <w:rPr>
                <w:rFonts w:cs="Arial"/>
                <w:sz w:val="18"/>
                <w:szCs w:val="18"/>
              </w:rPr>
              <w:t>Calivil Formation</w:t>
            </w:r>
            <w:r w:rsidR="00670511">
              <w:rPr>
                <w:rFonts w:cs="Arial"/>
                <w:sz w:val="18"/>
                <w:szCs w:val="18"/>
              </w:rPr>
              <w:t xml:space="preserve"> </w:t>
            </w:r>
            <w:r w:rsidRPr="00D371D0">
              <w:rPr>
                <w:rFonts w:cs="Arial"/>
                <w:sz w:val="18"/>
                <w:szCs w:val="18"/>
              </w:rPr>
              <w:t>groundwater salinity would need to be incorporated into evaluation of recovery efficiencies.</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Pr>
                <w:rFonts w:cs="Arial"/>
                <w:b/>
                <w:sz w:val="20"/>
                <w:szCs w:val="20"/>
              </w:rPr>
              <w:t xml:space="preserve">5. </w:t>
            </w:r>
            <w:smartTag w:uri="urn:schemas-microsoft-com:office:smarttags" w:element="PersonName">
              <w:r w:rsidRPr="006205C3">
                <w:rPr>
                  <w:rFonts w:cs="Arial"/>
                  <w:b/>
                  <w:sz w:val="20"/>
                  <w:szCs w:val="20"/>
                </w:rPr>
                <w:t>Groundwater</w:t>
              </w:r>
            </w:smartTag>
            <w:r w:rsidRPr="006205C3">
              <w:rPr>
                <w:rFonts w:cs="Arial"/>
                <w:b/>
                <w:sz w:val="20"/>
                <w:szCs w:val="20"/>
              </w:rPr>
              <w:t xml:space="preserve"> and drinking water quality</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Is either (a) drinking water supply, or (b) protection of aquatic ecosystems with high conservation or ecological values, an environmental value of the target aquifer? </w:t>
            </w:r>
          </w:p>
        </w:tc>
        <w:tc>
          <w:tcPr>
            <w:tcW w:w="7154" w:type="dxa"/>
          </w:tcPr>
          <w:p w:rsidR="00035877" w:rsidRPr="00D371D0" w:rsidRDefault="00035877" w:rsidP="00370829">
            <w:pPr>
              <w:rPr>
                <w:rFonts w:cs="Arial"/>
                <w:sz w:val="18"/>
                <w:szCs w:val="18"/>
              </w:rPr>
            </w:pPr>
            <w:r w:rsidRPr="00D371D0">
              <w:rPr>
                <w:rFonts w:cs="Arial"/>
                <w:sz w:val="18"/>
                <w:szCs w:val="18"/>
              </w:rPr>
              <w:t xml:space="preserve">(a) Possibly – Fresher zones have been identified regionally within the </w:t>
            </w:r>
            <w:r w:rsidR="00C217F0">
              <w:rPr>
                <w:rFonts w:cs="Arial"/>
                <w:sz w:val="18"/>
                <w:szCs w:val="18"/>
              </w:rPr>
              <w:t>Calivil Formation</w:t>
            </w:r>
            <w:r w:rsidR="00670511">
              <w:rPr>
                <w:rFonts w:cs="Arial"/>
                <w:sz w:val="18"/>
                <w:szCs w:val="18"/>
              </w:rPr>
              <w:t xml:space="preserve"> </w:t>
            </w:r>
            <w:r w:rsidRPr="00D371D0">
              <w:rPr>
                <w:rFonts w:cs="Arial"/>
                <w:sz w:val="18"/>
                <w:szCs w:val="18"/>
              </w:rPr>
              <w:t>with salinities less than the ADWG</w:t>
            </w:r>
            <w:r w:rsidR="00B81A6B">
              <w:rPr>
                <w:rFonts w:cs="Arial"/>
                <w:sz w:val="18"/>
                <w:szCs w:val="18"/>
              </w:rPr>
              <w:t>2011</w:t>
            </w:r>
            <w:r w:rsidRPr="00D371D0">
              <w:rPr>
                <w:rFonts w:cs="Arial"/>
                <w:sz w:val="18"/>
                <w:szCs w:val="18"/>
              </w:rPr>
              <w:t xml:space="preserve"> guidelines. </w:t>
            </w:r>
          </w:p>
          <w:p w:rsidR="00035877" w:rsidRPr="00D371D0" w:rsidRDefault="00035877" w:rsidP="00370829">
            <w:pPr>
              <w:rPr>
                <w:rFonts w:cs="Arial"/>
                <w:sz w:val="18"/>
                <w:szCs w:val="18"/>
              </w:rPr>
            </w:pPr>
            <w:r w:rsidRPr="00D371D0">
              <w:rPr>
                <w:rFonts w:cs="Arial"/>
                <w:sz w:val="18"/>
                <w:szCs w:val="18"/>
              </w:rPr>
              <w:t xml:space="preserve">(b) Possibly – This area lies within a national park, and the </w:t>
            </w:r>
            <w:r w:rsidR="00C217F0">
              <w:rPr>
                <w:rFonts w:cs="Arial"/>
                <w:sz w:val="18"/>
                <w:szCs w:val="18"/>
              </w:rPr>
              <w:t>Calivil Formation</w:t>
            </w:r>
            <w:r w:rsidR="00670511">
              <w:rPr>
                <w:rFonts w:cs="Arial"/>
                <w:sz w:val="18"/>
                <w:szCs w:val="18"/>
              </w:rPr>
              <w:t xml:space="preserve"> </w:t>
            </w:r>
            <w:r w:rsidRPr="00D371D0">
              <w:rPr>
                <w:rFonts w:cs="Arial"/>
                <w:sz w:val="18"/>
                <w:szCs w:val="18"/>
              </w:rPr>
              <w:t xml:space="preserve">aquifer may be locally connected to the overlying unconfined aquifer through holes or fractures in the confining aquitard. However, over time the water quality would be improved over time. </w:t>
            </w:r>
          </w:p>
        </w:tc>
        <w:tc>
          <w:tcPr>
            <w:tcW w:w="4051" w:type="dxa"/>
          </w:tcPr>
          <w:p w:rsidR="00035877" w:rsidRPr="00D371D0" w:rsidRDefault="00035877" w:rsidP="00370829">
            <w:pPr>
              <w:rPr>
                <w:rFonts w:cs="Arial"/>
                <w:sz w:val="18"/>
                <w:szCs w:val="18"/>
              </w:rPr>
            </w:pPr>
            <w:r w:rsidRPr="00D371D0">
              <w:rPr>
                <w:rFonts w:cs="Arial"/>
                <w:sz w:val="18"/>
                <w:szCs w:val="18"/>
              </w:rPr>
              <w:t>(a) More detailed assessment of groundwater quality within t</w:t>
            </w:r>
            <w:r w:rsidR="00670511">
              <w:rPr>
                <w:rFonts w:cs="Arial"/>
                <w:sz w:val="18"/>
                <w:szCs w:val="18"/>
              </w:rPr>
              <w:t xml:space="preserve">he fresher zones in the </w:t>
            </w:r>
            <w:r w:rsidR="00C217F0">
              <w:rPr>
                <w:rFonts w:cs="Arial"/>
                <w:sz w:val="18"/>
                <w:szCs w:val="18"/>
              </w:rPr>
              <w:t>Calivil Formation</w:t>
            </w:r>
            <w:r w:rsidR="00670511">
              <w:rPr>
                <w:rFonts w:cs="Arial"/>
                <w:sz w:val="18"/>
                <w:szCs w:val="18"/>
              </w:rPr>
              <w:t>,</w:t>
            </w:r>
            <w:r w:rsidRPr="00D371D0">
              <w:rPr>
                <w:rFonts w:cs="Arial"/>
                <w:sz w:val="18"/>
                <w:szCs w:val="18"/>
              </w:rPr>
              <w:t xml:space="preserve"> including evaluation against ADWG</w:t>
            </w:r>
            <w:r w:rsidR="00B81A6B">
              <w:rPr>
                <w:rFonts w:cs="Arial"/>
                <w:sz w:val="18"/>
                <w:szCs w:val="18"/>
              </w:rPr>
              <w:t>2011</w:t>
            </w:r>
            <w:r w:rsidRPr="00D371D0">
              <w:rPr>
                <w:rFonts w:cs="Arial"/>
                <w:sz w:val="18"/>
                <w:szCs w:val="18"/>
              </w:rPr>
              <w:t xml:space="preserve"> thresholds</w:t>
            </w:r>
          </w:p>
          <w:p w:rsidR="00035877" w:rsidRPr="00D371D0" w:rsidRDefault="00035877" w:rsidP="00370829">
            <w:pPr>
              <w:rPr>
                <w:rFonts w:cs="Arial"/>
                <w:sz w:val="18"/>
                <w:szCs w:val="18"/>
              </w:rPr>
            </w:pPr>
            <w:r w:rsidRPr="00D371D0">
              <w:rPr>
                <w:rFonts w:cs="Arial"/>
                <w:sz w:val="18"/>
                <w:szCs w:val="18"/>
              </w:rPr>
              <w:t xml:space="preserve"> (b) Detailed evaluation of GDEs within proposed borefield site.</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Pr>
                <w:rFonts w:cs="Arial"/>
                <w:b/>
                <w:sz w:val="20"/>
                <w:szCs w:val="20"/>
              </w:rPr>
              <w:t xml:space="preserve">6. </w:t>
            </w:r>
            <w:smartTag w:uri="urn:schemas-microsoft-com:office:smarttags" w:element="PersonName">
              <w:r w:rsidRPr="006205C3">
                <w:rPr>
                  <w:rFonts w:cs="Arial"/>
                  <w:b/>
                  <w:sz w:val="20"/>
                  <w:szCs w:val="20"/>
                </w:rPr>
                <w:t>Groundwater</w:t>
              </w:r>
            </w:smartTag>
            <w:r w:rsidRPr="006205C3">
              <w:rPr>
                <w:rFonts w:cs="Arial"/>
                <w:b/>
                <w:sz w:val="20"/>
                <w:szCs w:val="20"/>
              </w:rPr>
              <w:t xml:space="preserve"> salinity and recovery efficiency</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Does the salinity of native groundwater exceed:</w:t>
            </w:r>
          </w:p>
          <w:p w:rsidR="00035877" w:rsidRPr="00D371D0" w:rsidRDefault="00035877" w:rsidP="00370829">
            <w:pPr>
              <w:rPr>
                <w:rFonts w:cs="Arial"/>
                <w:sz w:val="18"/>
                <w:szCs w:val="18"/>
              </w:rPr>
            </w:pPr>
            <w:r w:rsidRPr="00D371D0">
              <w:rPr>
                <w:rFonts w:cs="Arial"/>
                <w:sz w:val="18"/>
                <w:szCs w:val="18"/>
              </w:rPr>
              <w:t xml:space="preserve">(a) 10000 mg/L, or </w:t>
            </w:r>
          </w:p>
          <w:p w:rsidR="00035877" w:rsidRPr="00D371D0" w:rsidRDefault="00035877" w:rsidP="00370829">
            <w:pPr>
              <w:rPr>
                <w:rFonts w:cs="Arial"/>
                <w:sz w:val="18"/>
                <w:szCs w:val="18"/>
              </w:rPr>
            </w:pPr>
            <w:r w:rsidRPr="00D371D0">
              <w:rPr>
                <w:rFonts w:cs="Arial"/>
                <w:sz w:val="18"/>
                <w:szCs w:val="18"/>
              </w:rPr>
              <w:t>(b) the salinity criterion for uses of recovered water?</w:t>
            </w:r>
          </w:p>
        </w:tc>
        <w:tc>
          <w:tcPr>
            <w:tcW w:w="7154" w:type="dxa"/>
          </w:tcPr>
          <w:p w:rsidR="00035877" w:rsidRPr="00D371D0" w:rsidRDefault="00035877" w:rsidP="00370829">
            <w:pPr>
              <w:rPr>
                <w:rFonts w:cs="Arial"/>
                <w:sz w:val="18"/>
                <w:szCs w:val="18"/>
              </w:rPr>
            </w:pPr>
            <w:r w:rsidRPr="00D371D0">
              <w:rPr>
                <w:rFonts w:cs="Arial"/>
                <w:sz w:val="18"/>
                <w:szCs w:val="18"/>
              </w:rPr>
              <w:t xml:space="preserve">a) No –salinities exceeding 10,000 mg/L have only been measured in the deeper </w:t>
            </w:r>
            <w:r w:rsidR="00C217F0">
              <w:rPr>
                <w:rFonts w:cs="Arial"/>
                <w:sz w:val="18"/>
                <w:szCs w:val="18"/>
              </w:rPr>
              <w:t>Renmark Group</w:t>
            </w:r>
            <w:r w:rsidRPr="00D371D0">
              <w:rPr>
                <w:rFonts w:cs="Arial"/>
                <w:sz w:val="18"/>
                <w:szCs w:val="18"/>
              </w:rPr>
              <w:t xml:space="preserve"> aquifers in the target area</w:t>
            </w:r>
          </w:p>
          <w:p w:rsidR="00035877" w:rsidRPr="00D371D0" w:rsidRDefault="00035877" w:rsidP="00370829">
            <w:pPr>
              <w:rPr>
                <w:rFonts w:cs="Arial"/>
                <w:sz w:val="18"/>
                <w:szCs w:val="18"/>
              </w:rPr>
            </w:pPr>
            <w:r w:rsidRPr="00D371D0">
              <w:rPr>
                <w:rFonts w:cs="Arial"/>
                <w:sz w:val="18"/>
                <w:szCs w:val="18"/>
              </w:rPr>
              <w:t xml:space="preserve">b) Yes - Salinity of </w:t>
            </w:r>
            <w:r w:rsidR="00C217F0">
              <w:rPr>
                <w:rFonts w:cs="Arial"/>
                <w:sz w:val="18"/>
                <w:szCs w:val="18"/>
              </w:rPr>
              <w:t>Calivil Formation</w:t>
            </w:r>
            <w:r w:rsidR="00670511">
              <w:rPr>
                <w:rFonts w:cs="Arial"/>
                <w:sz w:val="18"/>
                <w:szCs w:val="18"/>
              </w:rPr>
              <w:t xml:space="preserve"> </w:t>
            </w:r>
            <w:r w:rsidRPr="00D371D0">
              <w:rPr>
                <w:rFonts w:cs="Arial"/>
                <w:sz w:val="18"/>
                <w:szCs w:val="18"/>
              </w:rPr>
              <w:t>groundwater is variable and can exceed ADWG</w:t>
            </w:r>
            <w:r w:rsidR="00B81A6B">
              <w:rPr>
                <w:rFonts w:cs="Arial"/>
                <w:sz w:val="18"/>
                <w:szCs w:val="18"/>
              </w:rPr>
              <w:t>2011</w:t>
            </w:r>
            <w:r w:rsidRPr="00D371D0">
              <w:rPr>
                <w:rFonts w:cs="Arial"/>
                <w:sz w:val="18"/>
                <w:szCs w:val="18"/>
              </w:rPr>
              <w:t xml:space="preserve"> guideline</w:t>
            </w:r>
          </w:p>
        </w:tc>
        <w:tc>
          <w:tcPr>
            <w:tcW w:w="4051" w:type="dxa"/>
          </w:tcPr>
          <w:p w:rsidR="00035877" w:rsidRPr="00D371D0" w:rsidRDefault="00035877" w:rsidP="00370829">
            <w:pPr>
              <w:rPr>
                <w:rFonts w:cs="Arial"/>
                <w:sz w:val="18"/>
                <w:szCs w:val="18"/>
              </w:rPr>
            </w:pPr>
            <w:r w:rsidRPr="00D371D0">
              <w:rPr>
                <w:rFonts w:cs="Arial"/>
                <w:sz w:val="18"/>
                <w:szCs w:val="18"/>
              </w:rPr>
              <w:t xml:space="preserve">Recovery efficiency evaluation required, particular to address potential upcoming from more saline basal part of </w:t>
            </w:r>
            <w:r w:rsidR="00C217F0">
              <w:rPr>
                <w:rFonts w:cs="Arial"/>
                <w:sz w:val="18"/>
                <w:szCs w:val="18"/>
              </w:rPr>
              <w:t>Calivil Formation</w:t>
            </w:r>
            <w:r w:rsidR="00670511">
              <w:rPr>
                <w:rFonts w:cs="Arial"/>
                <w:sz w:val="18"/>
                <w:szCs w:val="18"/>
              </w:rPr>
              <w:t xml:space="preserve"> </w:t>
            </w:r>
            <w:r w:rsidRPr="00D371D0">
              <w:rPr>
                <w:rFonts w:cs="Arial"/>
                <w:sz w:val="18"/>
                <w:szCs w:val="18"/>
              </w:rPr>
              <w:t xml:space="preserve">aquifer observed at some sites (e.g. </w:t>
            </w:r>
            <w:r w:rsidR="00C217F0">
              <w:rPr>
                <w:rFonts w:cs="Arial"/>
                <w:sz w:val="18"/>
                <w:szCs w:val="18"/>
              </w:rPr>
              <w:t xml:space="preserve">Menindee </w:t>
            </w:r>
            <w:r w:rsidRPr="00D371D0">
              <w:rPr>
                <w:rFonts w:cs="Arial"/>
                <w:sz w:val="18"/>
                <w:szCs w:val="18"/>
              </w:rPr>
              <w:t>Common site)</w:t>
            </w:r>
          </w:p>
        </w:tc>
      </w:tr>
      <w:tr w:rsidR="00035877" w:rsidRPr="006205C3" w:rsidTr="00370829">
        <w:tc>
          <w:tcPr>
            <w:tcW w:w="3817" w:type="dxa"/>
            <w:shd w:val="clear" w:color="auto" w:fill="C0C0C0"/>
          </w:tcPr>
          <w:p w:rsidR="00035877" w:rsidRPr="006205C3" w:rsidRDefault="00035877" w:rsidP="00370829">
            <w:pPr>
              <w:rPr>
                <w:rFonts w:cs="Arial"/>
                <w:b/>
                <w:szCs w:val="22"/>
              </w:rPr>
            </w:pPr>
            <w:r w:rsidRPr="006205C3">
              <w:rPr>
                <w:rFonts w:cs="Arial"/>
                <w:b/>
                <w:szCs w:val="22"/>
              </w:rPr>
              <w:lastRenderedPageBreak/>
              <w:t>Question</w:t>
            </w:r>
          </w:p>
        </w:tc>
        <w:tc>
          <w:tcPr>
            <w:tcW w:w="7154"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KNP ASR sites</w:t>
            </w:r>
          </w:p>
        </w:tc>
        <w:tc>
          <w:tcPr>
            <w:tcW w:w="4051"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Pr>
                <w:rFonts w:cs="Arial"/>
                <w:b/>
                <w:sz w:val="20"/>
                <w:szCs w:val="20"/>
              </w:rPr>
              <w:t xml:space="preserve">7. </w:t>
            </w:r>
            <w:r w:rsidRPr="006205C3">
              <w:rPr>
                <w:rFonts w:cs="Arial"/>
                <w:b/>
                <w:sz w:val="20"/>
                <w:szCs w:val="20"/>
              </w:rPr>
              <w:t>Reactions between source water and aquifer</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Is redox status, pH, temperature, nutrient status and ionic strength of source water and groundwater similar?</w:t>
            </w:r>
          </w:p>
        </w:tc>
        <w:tc>
          <w:tcPr>
            <w:tcW w:w="7154" w:type="dxa"/>
          </w:tcPr>
          <w:p w:rsidR="00035877" w:rsidRPr="00D371D0" w:rsidRDefault="00035877" w:rsidP="00370829">
            <w:pPr>
              <w:rPr>
                <w:rFonts w:cs="Arial"/>
                <w:sz w:val="18"/>
                <w:szCs w:val="18"/>
              </w:rPr>
            </w:pPr>
            <w:r w:rsidRPr="00D371D0">
              <w:rPr>
                <w:rFonts w:cs="Arial"/>
                <w:sz w:val="18"/>
                <w:szCs w:val="18"/>
              </w:rPr>
              <w:t xml:space="preserve">No – </w:t>
            </w:r>
            <w:r w:rsidR="00C217F0">
              <w:rPr>
                <w:rFonts w:cs="Arial"/>
                <w:sz w:val="18"/>
                <w:szCs w:val="18"/>
              </w:rPr>
              <w:t>Calivil Formation</w:t>
            </w:r>
            <w:r w:rsidR="00670511">
              <w:rPr>
                <w:rFonts w:cs="Arial"/>
                <w:sz w:val="18"/>
                <w:szCs w:val="18"/>
              </w:rPr>
              <w:t xml:space="preserve"> </w:t>
            </w:r>
            <w:r w:rsidRPr="00D371D0">
              <w:rPr>
                <w:rFonts w:cs="Arial"/>
                <w:sz w:val="18"/>
                <w:szCs w:val="18"/>
              </w:rPr>
              <w:t xml:space="preserve">groundwater tends to be more reduced and saline, has less nitrate (but more ammonia) than </w:t>
            </w:r>
            <w:smartTag w:uri="urn:schemas-microsoft-com:office:smarttags" w:element="place">
              <w:r w:rsidRPr="00D371D0">
                <w:rPr>
                  <w:rFonts w:cs="Arial"/>
                  <w:sz w:val="18"/>
                  <w:szCs w:val="18"/>
                </w:rPr>
                <w:t>Darling River</w:t>
              </w:r>
            </w:smartTag>
            <w:r w:rsidRPr="00D371D0">
              <w:rPr>
                <w:rFonts w:cs="Arial"/>
                <w:sz w:val="18"/>
                <w:szCs w:val="18"/>
              </w:rPr>
              <w:t xml:space="preserve"> source water</w:t>
            </w:r>
          </w:p>
        </w:tc>
        <w:tc>
          <w:tcPr>
            <w:tcW w:w="4051" w:type="dxa"/>
          </w:tcPr>
          <w:p w:rsidR="00035877" w:rsidRPr="00D371D0" w:rsidRDefault="00035877" w:rsidP="00370829">
            <w:pPr>
              <w:rPr>
                <w:rFonts w:cs="Arial"/>
                <w:sz w:val="18"/>
                <w:szCs w:val="18"/>
              </w:rPr>
            </w:pPr>
            <w:r w:rsidRPr="00D371D0">
              <w:rPr>
                <w:rFonts w:cs="Arial"/>
                <w:sz w:val="18"/>
                <w:szCs w:val="18"/>
              </w:rPr>
              <w:t>High risk of adverse reactions between source water and aquifer and geochemical modelling required. Potential for iron clogging in particular needs to be assessed given contrasts in redox between source water and groundwater, and variability in latter.</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Pr>
                <w:rFonts w:cs="Arial"/>
                <w:b/>
                <w:sz w:val="20"/>
                <w:szCs w:val="20"/>
              </w:rPr>
              <w:t xml:space="preserve">8. </w:t>
            </w:r>
            <w:r w:rsidRPr="006205C3">
              <w:rPr>
                <w:rFonts w:cs="Arial"/>
                <w:b/>
                <w:sz w:val="20"/>
                <w:szCs w:val="20"/>
              </w:rPr>
              <w:t>Proximity of nearest existing groundwater users, connected ecosystems and property boundaries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Are there (a) other groundwater users, (b) groundwater–connected ecosystems or (c) a property boundary near (within 100–1000 m) the proposed MAR site? </w:t>
            </w:r>
          </w:p>
        </w:tc>
        <w:tc>
          <w:tcPr>
            <w:tcW w:w="7154" w:type="dxa"/>
          </w:tcPr>
          <w:p w:rsidR="00035877" w:rsidRPr="00D371D0" w:rsidRDefault="00035877" w:rsidP="00370829">
            <w:pPr>
              <w:rPr>
                <w:rFonts w:cs="Arial"/>
                <w:sz w:val="18"/>
                <w:szCs w:val="18"/>
              </w:rPr>
            </w:pPr>
            <w:r w:rsidRPr="00D371D0">
              <w:rPr>
                <w:rFonts w:cs="Arial"/>
                <w:sz w:val="18"/>
                <w:szCs w:val="18"/>
              </w:rPr>
              <w:t xml:space="preserve">(a) No –.The area lies within a national park, although the former Kinchega sheep station was the site of the first bore used for potable use in the </w:t>
            </w:r>
            <w:smartTag w:uri="urn:schemas-microsoft-com:office:smarttags" w:element="place">
              <w:smartTag w:uri="urn:schemas-microsoft-com:office:smarttags" w:element="PlaceName">
                <w:r w:rsidRPr="00D371D0">
                  <w:rPr>
                    <w:rFonts w:cs="Arial"/>
                    <w:sz w:val="18"/>
                    <w:szCs w:val="18"/>
                  </w:rPr>
                  <w:t>Darling</w:t>
                </w:r>
              </w:smartTag>
              <w:r w:rsidRPr="00D371D0">
                <w:rPr>
                  <w:rFonts w:cs="Arial"/>
                  <w:sz w:val="18"/>
                  <w:szCs w:val="18"/>
                </w:rPr>
                <w:t xml:space="preserve"> </w:t>
              </w:r>
              <w:smartTag w:uri="urn:schemas-microsoft-com:office:smarttags" w:element="PlaceType">
                <w:r w:rsidRPr="00D371D0">
                  <w:rPr>
                    <w:rFonts w:cs="Arial"/>
                    <w:sz w:val="18"/>
                    <w:szCs w:val="18"/>
                  </w:rPr>
                  <w:t>Basin</w:t>
                </w:r>
              </w:smartTag>
            </w:smartTag>
            <w:r w:rsidRPr="00D371D0">
              <w:rPr>
                <w:rFonts w:cs="Arial"/>
                <w:sz w:val="18"/>
                <w:szCs w:val="18"/>
              </w:rPr>
              <w:t xml:space="preserve"> (completed in the </w:t>
            </w:r>
            <w:r w:rsidR="00C217F0">
              <w:rPr>
                <w:rFonts w:cs="Arial"/>
                <w:sz w:val="18"/>
                <w:szCs w:val="18"/>
              </w:rPr>
              <w:t>Calivil Formation</w:t>
            </w:r>
            <w:r w:rsidR="00670511">
              <w:rPr>
                <w:rFonts w:cs="Arial"/>
                <w:sz w:val="18"/>
                <w:szCs w:val="18"/>
              </w:rPr>
              <w:t xml:space="preserve"> </w:t>
            </w:r>
            <w:r w:rsidRPr="00D371D0">
              <w:rPr>
                <w:rFonts w:cs="Arial"/>
                <w:sz w:val="18"/>
                <w:szCs w:val="18"/>
              </w:rPr>
              <w:t xml:space="preserve">aquifer). </w:t>
            </w:r>
          </w:p>
          <w:p w:rsidR="00035877" w:rsidRPr="00D371D0" w:rsidRDefault="00035877" w:rsidP="00370829">
            <w:pPr>
              <w:rPr>
                <w:rFonts w:cs="Arial"/>
                <w:sz w:val="18"/>
                <w:szCs w:val="18"/>
              </w:rPr>
            </w:pPr>
            <w:r w:rsidRPr="00D371D0">
              <w:rPr>
                <w:rFonts w:cs="Arial"/>
                <w:sz w:val="18"/>
                <w:szCs w:val="18"/>
              </w:rPr>
              <w:t>(b) Possibly</w:t>
            </w:r>
            <w:r w:rsidR="00E823BA">
              <w:rPr>
                <w:rFonts w:cs="Arial"/>
                <w:sz w:val="18"/>
                <w:szCs w:val="18"/>
              </w:rPr>
              <w:t xml:space="preserve"> </w:t>
            </w:r>
            <w:r w:rsidRPr="00D371D0">
              <w:rPr>
                <w:rFonts w:cs="Arial"/>
                <w:sz w:val="18"/>
                <w:szCs w:val="18"/>
              </w:rPr>
              <w:t xml:space="preserve">–Initial evaluation suggests that GDEs primarily utilise the upper unconfined aquifers. However, there is possible groundwater dependency in with the potential for localised effects where holes in the upper aquitard and/or faults provide localised sites for inter-aquifer leakage. There is a lower potential risk in the KNP sites 2a and 2b than in sites KNP 1a and 1b. </w:t>
            </w:r>
          </w:p>
          <w:p w:rsidR="00035877" w:rsidRPr="00D371D0" w:rsidRDefault="00035877" w:rsidP="00370829">
            <w:pPr>
              <w:rPr>
                <w:rFonts w:cs="Arial"/>
                <w:sz w:val="18"/>
                <w:szCs w:val="18"/>
              </w:rPr>
            </w:pPr>
            <w:r w:rsidRPr="00D371D0">
              <w:rPr>
                <w:rFonts w:cs="Arial"/>
                <w:sz w:val="18"/>
                <w:szCs w:val="18"/>
              </w:rPr>
              <w:t>(c) No – The potential borefields lie within a national park.</w:t>
            </w:r>
          </w:p>
        </w:tc>
        <w:tc>
          <w:tcPr>
            <w:tcW w:w="4051" w:type="dxa"/>
          </w:tcPr>
          <w:p w:rsidR="00035877" w:rsidRPr="00D371D0" w:rsidRDefault="00035877" w:rsidP="00370829">
            <w:pPr>
              <w:rPr>
                <w:rFonts w:cs="Arial"/>
                <w:sz w:val="18"/>
                <w:szCs w:val="18"/>
              </w:rPr>
            </w:pPr>
            <w:r w:rsidRPr="00D371D0">
              <w:rPr>
                <w:rFonts w:cs="Arial"/>
                <w:sz w:val="18"/>
                <w:szCs w:val="18"/>
              </w:rPr>
              <w:t xml:space="preserve">Identified high risk of potential impacts on neighbouring properties, moderated by low-level current groundwater use in target area. Note, however that MAR would improve groundwater quality in the </w:t>
            </w:r>
            <w:r w:rsidR="00C217F0">
              <w:rPr>
                <w:rFonts w:cs="Arial"/>
                <w:sz w:val="18"/>
                <w:szCs w:val="18"/>
              </w:rPr>
              <w:t>Calivil Formation</w:t>
            </w:r>
            <w:r w:rsidR="00670511">
              <w:rPr>
                <w:rFonts w:cs="Arial"/>
                <w:sz w:val="18"/>
                <w:szCs w:val="18"/>
              </w:rPr>
              <w:t xml:space="preserve"> </w:t>
            </w:r>
            <w:r w:rsidRPr="00D371D0">
              <w:rPr>
                <w:rFonts w:cs="Arial"/>
                <w:sz w:val="18"/>
                <w:szCs w:val="18"/>
              </w:rPr>
              <w:t>aquifer over time.</w:t>
            </w:r>
          </w:p>
          <w:p w:rsidR="00035877" w:rsidRPr="00D371D0" w:rsidRDefault="00035877" w:rsidP="00370829">
            <w:pPr>
              <w:rPr>
                <w:rFonts w:cs="Arial"/>
                <w:sz w:val="18"/>
                <w:szCs w:val="18"/>
              </w:rPr>
            </w:pPr>
            <w:r w:rsidRPr="00D371D0">
              <w:rPr>
                <w:rFonts w:cs="Arial"/>
                <w:sz w:val="18"/>
                <w:szCs w:val="18"/>
              </w:rPr>
              <w:t>Assessment of attenuation zone required.</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Pr>
                <w:rFonts w:cs="Arial"/>
                <w:b/>
                <w:sz w:val="20"/>
                <w:szCs w:val="20"/>
              </w:rPr>
              <w:t xml:space="preserve">9. </w:t>
            </w:r>
            <w:r w:rsidRPr="006205C3">
              <w:rPr>
                <w:rFonts w:cs="Arial"/>
                <w:b/>
                <w:sz w:val="20"/>
                <w:szCs w:val="20"/>
              </w:rPr>
              <w:t>Aquifer capacity and groundwater levels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Is the aquifer confined and not artesian? Or is it unconfined, with a watertable deeper than 4 m in rural areas or 8 m in urban areas?</w:t>
            </w:r>
          </w:p>
        </w:tc>
        <w:tc>
          <w:tcPr>
            <w:tcW w:w="7154" w:type="dxa"/>
          </w:tcPr>
          <w:p w:rsidR="00035877" w:rsidRPr="00D371D0" w:rsidRDefault="00035877" w:rsidP="00370829">
            <w:pPr>
              <w:rPr>
                <w:rFonts w:cs="Arial"/>
                <w:sz w:val="18"/>
                <w:szCs w:val="18"/>
              </w:rPr>
            </w:pPr>
            <w:r w:rsidRPr="00D371D0">
              <w:rPr>
                <w:rFonts w:cs="Arial"/>
                <w:sz w:val="18"/>
                <w:szCs w:val="18"/>
              </w:rPr>
              <w:t xml:space="preserve">Yes – </w:t>
            </w:r>
            <w:r w:rsidR="00C217F0">
              <w:rPr>
                <w:rFonts w:cs="Arial"/>
                <w:sz w:val="18"/>
                <w:szCs w:val="18"/>
              </w:rPr>
              <w:t>Calivil Formation</w:t>
            </w:r>
            <w:r w:rsidR="00670511">
              <w:rPr>
                <w:rFonts w:cs="Arial"/>
                <w:sz w:val="18"/>
                <w:szCs w:val="18"/>
              </w:rPr>
              <w:t xml:space="preserve"> </w:t>
            </w:r>
            <w:r w:rsidRPr="00D371D0">
              <w:rPr>
                <w:rFonts w:cs="Arial"/>
                <w:sz w:val="18"/>
                <w:szCs w:val="18"/>
              </w:rPr>
              <w:t>target aquifer is (leaky) confined with groundwater pressure surface 5-15</w:t>
            </w:r>
            <w:r w:rsidR="00A72012">
              <w:rPr>
                <w:rFonts w:cs="Arial"/>
                <w:sz w:val="18"/>
                <w:szCs w:val="18"/>
              </w:rPr>
              <w:t xml:space="preserve"> </w:t>
            </w:r>
            <w:r w:rsidRPr="00D371D0">
              <w:rPr>
                <w:rFonts w:cs="Arial"/>
                <w:sz w:val="18"/>
                <w:szCs w:val="18"/>
              </w:rPr>
              <w:t>m below ground surface</w:t>
            </w:r>
          </w:p>
        </w:tc>
        <w:tc>
          <w:tcPr>
            <w:tcW w:w="4051" w:type="dxa"/>
          </w:tcPr>
          <w:p w:rsidR="00035877" w:rsidRPr="00D371D0" w:rsidRDefault="00035877" w:rsidP="00370829">
            <w:pPr>
              <w:rPr>
                <w:rFonts w:cs="Arial"/>
                <w:sz w:val="18"/>
                <w:szCs w:val="18"/>
              </w:rPr>
            </w:pPr>
            <w:r w:rsidRPr="00D371D0">
              <w:rPr>
                <w:rFonts w:cs="Arial"/>
                <w:sz w:val="18"/>
                <w:szCs w:val="18"/>
              </w:rPr>
              <w:t>Low risk of waterlogging or excessive groundwater mounding.</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sidRPr="006205C3">
              <w:rPr>
                <w:rFonts w:cs="Arial"/>
                <w:b/>
                <w:sz w:val="20"/>
                <w:szCs w:val="20"/>
              </w:rPr>
              <w:t>10</w:t>
            </w:r>
            <w:r>
              <w:rPr>
                <w:rFonts w:cs="Arial"/>
                <w:b/>
                <w:sz w:val="20"/>
                <w:szCs w:val="20"/>
              </w:rPr>
              <w:t xml:space="preserve">. </w:t>
            </w:r>
            <w:r w:rsidRPr="006205C3">
              <w:rPr>
                <w:rFonts w:cs="Arial"/>
                <w:b/>
                <w:sz w:val="20"/>
                <w:szCs w:val="20"/>
              </w:rPr>
              <w:t>Protection of water quality in unconfined aquifers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Is the aquifer unconfined, with an intended use of recovered water being drinking water supplies? </w:t>
            </w:r>
          </w:p>
        </w:tc>
        <w:tc>
          <w:tcPr>
            <w:tcW w:w="7154" w:type="dxa"/>
          </w:tcPr>
          <w:p w:rsidR="00035877" w:rsidRPr="00D371D0" w:rsidRDefault="00035877" w:rsidP="00370829">
            <w:pPr>
              <w:rPr>
                <w:rFonts w:cs="Arial"/>
                <w:sz w:val="18"/>
                <w:szCs w:val="18"/>
              </w:rPr>
            </w:pPr>
            <w:r w:rsidRPr="00D371D0">
              <w:rPr>
                <w:rFonts w:cs="Arial"/>
                <w:sz w:val="18"/>
                <w:szCs w:val="18"/>
              </w:rPr>
              <w:t>No – AEM mapping suggests that the target aquifer varies from semi-confined to leaky-confined. The AEM data suggest there are small areas where there may be connection to overlying aquifers through localised holes in the confining aquitard and through limited faults and fractures. Recovered water would be used for drinking water supply.</w:t>
            </w:r>
          </w:p>
        </w:tc>
        <w:tc>
          <w:tcPr>
            <w:tcW w:w="4051" w:type="dxa"/>
          </w:tcPr>
          <w:p w:rsidR="00035877" w:rsidRPr="00D371D0" w:rsidRDefault="00035877" w:rsidP="00370829">
            <w:pPr>
              <w:rPr>
                <w:rFonts w:cs="Arial"/>
                <w:sz w:val="18"/>
                <w:szCs w:val="18"/>
              </w:rPr>
            </w:pPr>
            <w:r w:rsidRPr="00D371D0">
              <w:rPr>
                <w:rFonts w:cs="Arial"/>
                <w:sz w:val="18"/>
                <w:szCs w:val="18"/>
              </w:rPr>
              <w:t>Low risk of groundwater contamination from land and waste management. Land use is national park. Further assessment of GDEs required. There are precedents in NSW for borefields to be cited within national and state parks. Assessment of degree of aquitard leakage required, and potential contamination sources need to be assessed.</w:t>
            </w:r>
          </w:p>
        </w:tc>
      </w:tr>
      <w:tr w:rsidR="00035877" w:rsidRPr="006205C3" w:rsidTr="00370829">
        <w:tc>
          <w:tcPr>
            <w:tcW w:w="15022" w:type="dxa"/>
            <w:gridSpan w:val="3"/>
            <w:shd w:val="clear" w:color="auto" w:fill="E6E6E6"/>
          </w:tcPr>
          <w:p w:rsidR="00035877" w:rsidRPr="006205C3" w:rsidRDefault="00035877" w:rsidP="00370829">
            <w:pPr>
              <w:rPr>
                <w:rFonts w:cs="Arial"/>
                <w:b/>
                <w:szCs w:val="22"/>
              </w:rPr>
            </w:pPr>
            <w:r>
              <w:rPr>
                <w:rFonts w:cs="Arial"/>
                <w:b/>
                <w:sz w:val="20"/>
                <w:szCs w:val="20"/>
              </w:rPr>
              <w:t xml:space="preserve">11. </w:t>
            </w:r>
            <w:r w:rsidRPr="006205C3">
              <w:rPr>
                <w:rFonts w:cs="Arial"/>
                <w:b/>
                <w:sz w:val="20"/>
                <w:szCs w:val="20"/>
              </w:rPr>
              <w:t>Fractured rock, karstic or reactive aquifers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Is the aquifer composed of fractured rock or karstic media, or known to contain reactive minerals?</w:t>
            </w:r>
          </w:p>
        </w:tc>
        <w:tc>
          <w:tcPr>
            <w:tcW w:w="7154" w:type="dxa"/>
          </w:tcPr>
          <w:p w:rsidR="00035877" w:rsidRPr="00D371D0" w:rsidRDefault="00035877" w:rsidP="00370829">
            <w:pPr>
              <w:rPr>
                <w:rFonts w:cs="Arial"/>
                <w:sz w:val="18"/>
                <w:szCs w:val="18"/>
              </w:rPr>
            </w:pPr>
            <w:r w:rsidRPr="00D371D0">
              <w:rPr>
                <w:rFonts w:cs="Arial"/>
                <w:sz w:val="18"/>
                <w:szCs w:val="18"/>
              </w:rPr>
              <w:t>Yes –. Potential for Fe(</w:t>
            </w:r>
            <w:smartTag w:uri="urn:schemas-microsoft-com:office:smarttags" w:element="stockticker">
              <w:r w:rsidRPr="00D371D0">
                <w:rPr>
                  <w:rFonts w:cs="Arial"/>
                  <w:sz w:val="18"/>
                  <w:szCs w:val="18"/>
                </w:rPr>
                <w:t>III</w:t>
              </w:r>
            </w:smartTag>
            <w:r w:rsidRPr="00D371D0">
              <w:rPr>
                <w:rFonts w:cs="Arial"/>
                <w:sz w:val="18"/>
                <w:szCs w:val="18"/>
              </w:rPr>
              <w:t>) dissolution with injection of source water with elevated organic carbon levels. Limited faults and fractures in the general area.</w:t>
            </w:r>
          </w:p>
        </w:tc>
        <w:tc>
          <w:tcPr>
            <w:tcW w:w="4051" w:type="dxa"/>
          </w:tcPr>
          <w:p w:rsidR="00035877" w:rsidRPr="00D371D0" w:rsidRDefault="00035877" w:rsidP="00370829">
            <w:pPr>
              <w:rPr>
                <w:rFonts w:cs="Arial"/>
                <w:sz w:val="18"/>
                <w:szCs w:val="18"/>
              </w:rPr>
            </w:pPr>
            <w:r w:rsidRPr="00D371D0">
              <w:rPr>
                <w:rFonts w:cs="Arial"/>
                <w:sz w:val="18"/>
                <w:szCs w:val="18"/>
              </w:rPr>
              <w:t>Geochemical modelling required to assess risk of adverse reactions between source water and groundwater, such as iron (and trace metal) mobilisation.</w:t>
            </w:r>
          </w:p>
        </w:tc>
      </w:tr>
      <w:tr w:rsidR="00035877" w:rsidRPr="006205C3" w:rsidTr="00370829">
        <w:tc>
          <w:tcPr>
            <w:tcW w:w="15022" w:type="dxa"/>
            <w:gridSpan w:val="3"/>
            <w:shd w:val="clear" w:color="auto" w:fill="E6E6E6"/>
          </w:tcPr>
          <w:p w:rsidR="00035877" w:rsidRPr="006205C3" w:rsidRDefault="00035877" w:rsidP="00370829">
            <w:pPr>
              <w:rPr>
                <w:rFonts w:cs="Arial"/>
                <w:b/>
                <w:szCs w:val="22"/>
              </w:rPr>
            </w:pPr>
            <w:r>
              <w:rPr>
                <w:rFonts w:cs="Arial"/>
                <w:b/>
                <w:sz w:val="20"/>
                <w:szCs w:val="20"/>
              </w:rPr>
              <w:t xml:space="preserve">12. </w:t>
            </w:r>
            <w:r w:rsidRPr="006205C3">
              <w:rPr>
                <w:rFonts w:cs="Arial"/>
                <w:b/>
                <w:sz w:val="20"/>
                <w:szCs w:val="20"/>
              </w:rPr>
              <w:t>Similarity to successful projects</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Has another project in the same aquifer with similar source water been operating successfully for at least 12 months? </w:t>
            </w:r>
          </w:p>
        </w:tc>
        <w:tc>
          <w:tcPr>
            <w:tcW w:w="7154" w:type="dxa"/>
          </w:tcPr>
          <w:p w:rsidR="00035877" w:rsidRPr="00D371D0" w:rsidRDefault="00035877" w:rsidP="00370829">
            <w:pPr>
              <w:rPr>
                <w:rFonts w:cs="Arial"/>
                <w:sz w:val="18"/>
                <w:szCs w:val="18"/>
              </w:rPr>
            </w:pPr>
            <w:r w:rsidRPr="00D371D0">
              <w:rPr>
                <w:rFonts w:cs="Arial"/>
                <w:sz w:val="18"/>
                <w:szCs w:val="18"/>
              </w:rPr>
              <w:t xml:space="preserve">No. To our knowledge there is no </w:t>
            </w:r>
            <w:smartTag w:uri="urn:schemas-microsoft-com:office:smarttags" w:element="stockticker">
              <w:r w:rsidRPr="00D371D0">
                <w:rPr>
                  <w:rFonts w:cs="Arial"/>
                  <w:sz w:val="18"/>
                  <w:szCs w:val="18"/>
                </w:rPr>
                <w:t>MAR</w:t>
              </w:r>
            </w:smartTag>
            <w:r w:rsidRPr="00D371D0">
              <w:rPr>
                <w:rFonts w:cs="Arial"/>
                <w:sz w:val="18"/>
                <w:szCs w:val="18"/>
              </w:rPr>
              <w:t xml:space="preserve"> project operating or planned in the same aquifers. However, mineral sand mining operations (e.g. Gingko) immediately south of the project area conduct large-scale groundwater recycling as part of mining in the Loxton-Parilla aquifer.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 xml:space="preserve">, the closest comparable </w:t>
            </w:r>
            <w:smartTag w:uri="urn:schemas-microsoft-com:office:smarttags" w:element="stockticker">
              <w:r w:rsidRPr="00D371D0">
                <w:rPr>
                  <w:rFonts w:cs="Arial"/>
                  <w:sz w:val="18"/>
                  <w:szCs w:val="18"/>
                </w:rPr>
                <w:t>MAR</w:t>
              </w:r>
            </w:smartTag>
            <w:r w:rsidRPr="00D371D0">
              <w:rPr>
                <w:rFonts w:cs="Arial"/>
                <w:sz w:val="18"/>
                <w:szCs w:val="18"/>
              </w:rPr>
              <w:t xml:space="preserve"> scheme using (less turbid) river source water is the Burdekin scheme. The Burdekin scheme has been in operation since the 1960s. Overall, there are limited precedents for this type of operation anywhere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1" w:type="dxa"/>
          </w:tcPr>
          <w:p w:rsidR="00035877" w:rsidRPr="00D371D0" w:rsidRDefault="00035877" w:rsidP="00370829">
            <w:pPr>
              <w:rPr>
                <w:rFonts w:cs="Arial"/>
                <w:sz w:val="18"/>
                <w:szCs w:val="18"/>
              </w:rPr>
            </w:pPr>
            <w:r w:rsidRPr="00D371D0">
              <w:rPr>
                <w:rFonts w:cs="Arial"/>
                <w:sz w:val="18"/>
                <w:szCs w:val="18"/>
              </w:rPr>
              <w:t>All uncertainties need to be addressed in BHMAR investigations, particularly with respect to clogging potential and interactions with groundwater. There is a considerable level of risk inherent in the uncertainty of the likely success of this project. Addressing all information gaps will be critical to reducing this risk if this site is selected for further assessment.</w:t>
            </w:r>
          </w:p>
        </w:tc>
      </w:tr>
    </w:tbl>
    <w:p w:rsidR="00035877" w:rsidRDefault="00035877" w:rsidP="00035877">
      <w:r>
        <w:br w:type="page"/>
      </w:r>
    </w:p>
    <w:tbl>
      <w:tblPr>
        <w:tblW w:w="15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17"/>
        <w:gridCol w:w="7154"/>
        <w:gridCol w:w="4051"/>
      </w:tblGrid>
      <w:tr w:rsidR="00035877" w:rsidRPr="006205C3" w:rsidTr="00370829">
        <w:tc>
          <w:tcPr>
            <w:tcW w:w="3817" w:type="dxa"/>
            <w:shd w:val="clear" w:color="auto" w:fill="C0C0C0"/>
          </w:tcPr>
          <w:p w:rsidR="00035877" w:rsidRPr="006205C3" w:rsidRDefault="00035877" w:rsidP="00370829">
            <w:pPr>
              <w:rPr>
                <w:rFonts w:cs="Arial"/>
                <w:b/>
                <w:szCs w:val="22"/>
              </w:rPr>
            </w:pPr>
            <w:r w:rsidRPr="006205C3">
              <w:rPr>
                <w:rFonts w:cs="Arial"/>
                <w:b/>
                <w:szCs w:val="22"/>
              </w:rPr>
              <w:lastRenderedPageBreak/>
              <w:t>Question</w:t>
            </w:r>
          </w:p>
        </w:tc>
        <w:tc>
          <w:tcPr>
            <w:tcW w:w="7154" w:type="dxa"/>
            <w:shd w:val="clear" w:color="auto" w:fill="C0C0C0"/>
          </w:tcPr>
          <w:p w:rsidR="00035877" w:rsidRPr="006205C3" w:rsidRDefault="00035877" w:rsidP="00370829">
            <w:pPr>
              <w:rPr>
                <w:rFonts w:cs="Arial"/>
                <w:b/>
                <w:szCs w:val="22"/>
              </w:rPr>
            </w:pPr>
            <w:r w:rsidRPr="006205C3">
              <w:rPr>
                <w:rFonts w:cs="Arial"/>
                <w:b/>
                <w:szCs w:val="22"/>
              </w:rPr>
              <w:t>BHMAR answers</w:t>
            </w:r>
            <w:r>
              <w:rPr>
                <w:rFonts w:cs="Arial"/>
                <w:b/>
                <w:szCs w:val="22"/>
              </w:rPr>
              <w:t xml:space="preserve"> (Phase 2) for the KNP ASR sites</w:t>
            </w:r>
          </w:p>
        </w:tc>
        <w:tc>
          <w:tcPr>
            <w:tcW w:w="4051" w:type="dxa"/>
            <w:shd w:val="clear" w:color="auto" w:fill="C0C0C0"/>
          </w:tcPr>
          <w:p w:rsidR="00035877" w:rsidRPr="006205C3" w:rsidRDefault="00035877" w:rsidP="00370829">
            <w:pPr>
              <w:rPr>
                <w:rFonts w:cs="Arial"/>
                <w:b/>
                <w:szCs w:val="22"/>
              </w:rPr>
            </w:pPr>
            <w:r>
              <w:rPr>
                <w:rFonts w:cs="Arial"/>
                <w:b/>
                <w:szCs w:val="22"/>
              </w:rPr>
              <w:t>Further i</w:t>
            </w:r>
            <w:r w:rsidRPr="006205C3">
              <w:rPr>
                <w:rFonts w:cs="Arial"/>
                <w:b/>
                <w:szCs w:val="22"/>
              </w:rPr>
              <w:t>nvestigations required</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Pr>
                <w:rFonts w:cs="Arial"/>
                <w:b/>
                <w:sz w:val="20"/>
                <w:szCs w:val="20"/>
              </w:rPr>
              <w:t xml:space="preserve">13. </w:t>
            </w:r>
            <w:r w:rsidRPr="006205C3">
              <w:rPr>
                <w:rFonts w:cs="Arial"/>
                <w:b/>
                <w:sz w:val="20"/>
                <w:szCs w:val="20"/>
              </w:rPr>
              <w:t>Management capability</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Does the proponent have experience with operating </w:t>
            </w:r>
            <w:smartTag w:uri="urn:schemas-microsoft-com:office:smarttags" w:element="stockticker">
              <w:r w:rsidRPr="00D371D0">
                <w:rPr>
                  <w:rFonts w:cs="Arial"/>
                  <w:sz w:val="18"/>
                  <w:szCs w:val="18"/>
                </w:rPr>
                <w:t>MAR</w:t>
              </w:r>
            </w:smartTag>
            <w:r w:rsidRPr="00D371D0">
              <w:rPr>
                <w:rFonts w:cs="Arial"/>
                <w:sz w:val="18"/>
                <w:szCs w:val="18"/>
              </w:rPr>
              <w:t xml:space="preserve"> sites with the same or higher degree of difficulty, or with water treatment or water supply operations involving a structured approach to water quality risk management? </w:t>
            </w:r>
          </w:p>
        </w:tc>
        <w:tc>
          <w:tcPr>
            <w:tcW w:w="7154" w:type="dxa"/>
          </w:tcPr>
          <w:p w:rsidR="00035877" w:rsidRPr="00D371D0" w:rsidRDefault="00035877" w:rsidP="00370829">
            <w:pPr>
              <w:rPr>
                <w:rFonts w:cs="Arial"/>
                <w:sz w:val="18"/>
                <w:szCs w:val="18"/>
              </w:rPr>
            </w:pPr>
            <w:r w:rsidRPr="00D371D0">
              <w:rPr>
                <w:rFonts w:cs="Arial"/>
                <w:sz w:val="18"/>
                <w:szCs w:val="18"/>
              </w:rPr>
              <w:t xml:space="preserve">No, although the expertise of the Steering Committee for this project represents the state of the art of designing and operating managed aquifer recharge sites in </w:t>
            </w:r>
            <w:smartTag w:uri="urn:schemas-microsoft-com:office:smarttags" w:element="place">
              <w:smartTag w:uri="urn:schemas-microsoft-com:office:smarttags" w:element="country-region">
                <w:r w:rsidRPr="00D371D0">
                  <w:rPr>
                    <w:rFonts w:cs="Arial"/>
                    <w:sz w:val="18"/>
                    <w:szCs w:val="18"/>
                  </w:rPr>
                  <w:t>Australia</w:t>
                </w:r>
              </w:smartTag>
            </w:smartTag>
            <w:r w:rsidRPr="00D371D0">
              <w:rPr>
                <w:rFonts w:cs="Arial"/>
                <w:sz w:val="18"/>
                <w:szCs w:val="18"/>
              </w:rPr>
              <w:t>.</w:t>
            </w:r>
          </w:p>
        </w:tc>
        <w:tc>
          <w:tcPr>
            <w:tcW w:w="4051" w:type="dxa"/>
          </w:tcPr>
          <w:p w:rsidR="00035877" w:rsidRPr="00D371D0" w:rsidRDefault="00035877" w:rsidP="00370829">
            <w:pPr>
              <w:rPr>
                <w:rFonts w:cs="Arial"/>
                <w:sz w:val="18"/>
                <w:szCs w:val="18"/>
              </w:rPr>
            </w:pPr>
            <w:r w:rsidRPr="00D371D0">
              <w:rPr>
                <w:rFonts w:cs="Arial"/>
                <w:sz w:val="18"/>
                <w:szCs w:val="18"/>
              </w:rPr>
              <w:t>Although the proponent has no experience in operating similar sites, highly credentialed hydrogeological, hydrochemical and engineering experts are available within the private and public sectors, and should be called upon to provide advice as required.</w:t>
            </w:r>
          </w:p>
        </w:tc>
      </w:tr>
      <w:tr w:rsidR="00035877" w:rsidRPr="006205C3" w:rsidTr="00370829">
        <w:tc>
          <w:tcPr>
            <w:tcW w:w="15022" w:type="dxa"/>
            <w:gridSpan w:val="3"/>
            <w:shd w:val="clear" w:color="auto" w:fill="E6E6E6"/>
          </w:tcPr>
          <w:p w:rsidR="00035877" w:rsidRPr="006205C3" w:rsidRDefault="00035877" w:rsidP="00370829">
            <w:pPr>
              <w:rPr>
                <w:rFonts w:cs="Arial"/>
                <w:sz w:val="20"/>
                <w:szCs w:val="20"/>
              </w:rPr>
            </w:pPr>
            <w:r>
              <w:rPr>
                <w:rFonts w:cs="Arial"/>
                <w:b/>
                <w:sz w:val="20"/>
                <w:szCs w:val="20"/>
              </w:rPr>
              <w:t xml:space="preserve">14. </w:t>
            </w:r>
            <w:r w:rsidRPr="006205C3">
              <w:rPr>
                <w:rFonts w:cs="Arial"/>
                <w:b/>
                <w:sz w:val="20"/>
                <w:szCs w:val="20"/>
              </w:rPr>
              <w:t xml:space="preserve">Planning and related requirements </w:t>
            </w:r>
          </w:p>
        </w:tc>
      </w:tr>
      <w:tr w:rsidR="00035877" w:rsidRPr="006205C3" w:rsidTr="00370829">
        <w:tc>
          <w:tcPr>
            <w:tcW w:w="3817" w:type="dxa"/>
          </w:tcPr>
          <w:p w:rsidR="00035877" w:rsidRPr="00D371D0" w:rsidRDefault="00035877" w:rsidP="00370829">
            <w:pPr>
              <w:rPr>
                <w:rFonts w:cs="Arial"/>
                <w:sz w:val="18"/>
                <w:szCs w:val="18"/>
              </w:rPr>
            </w:pPr>
            <w:r w:rsidRPr="00D371D0">
              <w:rPr>
                <w:rFonts w:cs="Arial"/>
                <w:sz w:val="18"/>
                <w:szCs w:val="18"/>
              </w:rPr>
              <w:t xml:space="preserve">a) Does the project require development approval? And is it in a built up area; on public, flood-prone or steep land; close to a property boundary; contain open water storages or engineering structures; </w:t>
            </w:r>
          </w:p>
          <w:p w:rsidR="00035877" w:rsidRPr="00D371D0" w:rsidRDefault="00035877" w:rsidP="00370829">
            <w:pPr>
              <w:rPr>
                <w:rFonts w:cs="Arial"/>
                <w:sz w:val="18"/>
                <w:szCs w:val="18"/>
              </w:rPr>
            </w:pPr>
          </w:p>
          <w:p w:rsidR="00035877" w:rsidRPr="00D371D0" w:rsidRDefault="00035877" w:rsidP="00370829">
            <w:pPr>
              <w:rPr>
                <w:rFonts w:cs="Arial"/>
                <w:sz w:val="18"/>
                <w:szCs w:val="18"/>
              </w:rPr>
            </w:pPr>
            <w:r w:rsidRPr="00D371D0">
              <w:rPr>
                <w:rFonts w:cs="Arial"/>
                <w:sz w:val="18"/>
                <w:szCs w:val="18"/>
              </w:rPr>
              <w:t>b) Is it likely to cause public health, safety or nuisance issues, or adverse environmental impacts?</w:t>
            </w:r>
            <w:r w:rsidR="00E823BA">
              <w:rPr>
                <w:rFonts w:cs="Arial"/>
                <w:sz w:val="18"/>
                <w:szCs w:val="18"/>
              </w:rPr>
              <w:t xml:space="preserve"> </w:t>
            </w:r>
          </w:p>
        </w:tc>
        <w:tc>
          <w:tcPr>
            <w:tcW w:w="7154" w:type="dxa"/>
          </w:tcPr>
          <w:p w:rsidR="00035877" w:rsidRPr="00D371D0" w:rsidRDefault="00035877" w:rsidP="00370829">
            <w:pPr>
              <w:autoSpaceDE w:val="0"/>
              <w:autoSpaceDN w:val="0"/>
              <w:adjustRightInd w:val="0"/>
              <w:rPr>
                <w:rFonts w:cs="Arial"/>
                <w:sz w:val="18"/>
                <w:szCs w:val="18"/>
              </w:rPr>
            </w:pPr>
            <w:r w:rsidRPr="00D371D0">
              <w:rPr>
                <w:rFonts w:cs="Arial"/>
                <w:sz w:val="18"/>
                <w:szCs w:val="18"/>
              </w:rPr>
              <w:t xml:space="preserve">a) Yes. The proposed borefields are within the </w:t>
            </w:r>
            <w:smartTag w:uri="urn:schemas-microsoft-com:office:smarttags" w:element="place">
              <w:smartTag w:uri="urn:schemas-microsoft-com:office:smarttags" w:element="PlaceName">
                <w:r w:rsidRPr="00D371D0">
                  <w:rPr>
                    <w:rFonts w:cs="Arial"/>
                    <w:sz w:val="18"/>
                    <w:szCs w:val="18"/>
                  </w:rPr>
                  <w:t>Kinchega</w:t>
                </w:r>
              </w:smartTag>
              <w:r w:rsidRPr="00D371D0">
                <w:rPr>
                  <w:rFonts w:cs="Arial"/>
                  <w:sz w:val="18"/>
                  <w:szCs w:val="18"/>
                </w:rPr>
                <w:t xml:space="preserve"> </w:t>
              </w:r>
              <w:smartTag w:uri="urn:schemas-microsoft-com:office:smarttags" w:element="PlaceType">
                <w:r w:rsidRPr="00D371D0">
                  <w:rPr>
                    <w:rFonts w:cs="Arial"/>
                    <w:sz w:val="18"/>
                    <w:szCs w:val="18"/>
                  </w:rPr>
                  <w:t>National Park</w:t>
                </w:r>
              </w:smartTag>
            </w:smartTag>
            <w:r w:rsidRPr="00D371D0">
              <w:rPr>
                <w:rFonts w:cs="Arial"/>
                <w:sz w:val="18"/>
                <w:szCs w:val="18"/>
              </w:rPr>
              <w:t xml:space="preserve">. Only the margins of the proposed borefields are on flood-prone land, primarily related to flooding of the Darling River and </w:t>
            </w:r>
            <w:smartTag w:uri="urn:schemas-microsoft-com:office:smarttags" w:element="place">
              <w:smartTag w:uri="urn:schemas-microsoft-com:office:smarttags" w:element="PlaceName">
                <w:r w:rsidRPr="00D371D0">
                  <w:rPr>
                    <w:rFonts w:cs="Arial"/>
                    <w:sz w:val="18"/>
                    <w:szCs w:val="18"/>
                  </w:rPr>
                  <w:t>Emu</w:t>
                </w:r>
              </w:smartTag>
              <w:r w:rsidRPr="00D371D0">
                <w:rPr>
                  <w:rFonts w:cs="Arial"/>
                  <w:sz w:val="18"/>
                  <w:szCs w:val="18"/>
                </w:rPr>
                <w:t xml:space="preserve"> </w:t>
              </w:r>
              <w:smartTag w:uri="urn:schemas-microsoft-com:office:smarttags" w:element="PlaceType">
                <w:r w:rsidRPr="00D371D0">
                  <w:rPr>
                    <w:rFonts w:cs="Arial"/>
                    <w:sz w:val="18"/>
                    <w:szCs w:val="18"/>
                  </w:rPr>
                  <w:t>Lake</w:t>
                </w:r>
              </w:smartTag>
            </w:smartTag>
            <w:r w:rsidRPr="00D371D0">
              <w:rPr>
                <w:rFonts w:cs="Arial"/>
                <w:sz w:val="18"/>
                <w:szCs w:val="18"/>
              </w:rPr>
              <w:t>. The proposed bor</w:t>
            </w:r>
            <w:r>
              <w:rPr>
                <w:rFonts w:cs="Arial"/>
                <w:sz w:val="18"/>
                <w:szCs w:val="18"/>
              </w:rPr>
              <w:t>e</w:t>
            </w:r>
            <w:r w:rsidRPr="00D371D0">
              <w:rPr>
                <w:rFonts w:cs="Arial"/>
                <w:sz w:val="18"/>
                <w:szCs w:val="18"/>
              </w:rPr>
              <w:t xml:space="preserve">fields would extend in part beneath </w:t>
            </w:r>
            <w:smartTag w:uri="urn:schemas-microsoft-com:office:smarttags" w:element="place">
              <w:smartTag w:uri="urn:schemas-microsoft-com:office:smarttags" w:element="PlaceName">
                <w:r w:rsidRPr="00D371D0">
                  <w:rPr>
                    <w:rFonts w:cs="Arial"/>
                    <w:sz w:val="18"/>
                    <w:szCs w:val="18"/>
                  </w:rPr>
                  <w:t>Emu</w:t>
                </w:r>
              </w:smartTag>
              <w:r w:rsidRPr="00D371D0">
                <w:rPr>
                  <w:rFonts w:cs="Arial"/>
                  <w:sz w:val="18"/>
                  <w:szCs w:val="18"/>
                </w:rPr>
                <w:t xml:space="preserve"> </w:t>
              </w:r>
              <w:smartTag w:uri="urn:schemas-microsoft-com:office:smarttags" w:element="PlaceType">
                <w:r w:rsidRPr="00D371D0">
                  <w:rPr>
                    <w:rFonts w:cs="Arial"/>
                    <w:sz w:val="18"/>
                    <w:szCs w:val="18"/>
                  </w:rPr>
                  <w:t>Lake</w:t>
                </w:r>
              </w:smartTag>
            </w:smartTag>
            <w:r w:rsidRPr="00D371D0">
              <w:rPr>
                <w:rFonts w:cs="Arial"/>
                <w:sz w:val="18"/>
                <w:szCs w:val="18"/>
              </w:rPr>
              <w:t>. It is likely that a development approval process will require that each potential issue is assessed and managed. This may require additional information and steps in design. For this project to proceed, there clearly needs to be inter-governmental and interagency agreement, with water entitlements and water sharing agreements one part of a complex set of issues to be resolved as part of any planning and development process. Identification of culturally sensitive sites will be required</w:t>
            </w:r>
            <w:r w:rsidR="00D039C6">
              <w:rPr>
                <w:rFonts w:cs="Arial"/>
                <w:sz w:val="18"/>
                <w:szCs w:val="18"/>
              </w:rPr>
              <w:t>.</w:t>
            </w:r>
          </w:p>
          <w:p w:rsidR="00035877" w:rsidRPr="00D371D0" w:rsidRDefault="00035877" w:rsidP="00370829">
            <w:pPr>
              <w:rPr>
                <w:rFonts w:cs="Arial"/>
                <w:sz w:val="18"/>
                <w:szCs w:val="18"/>
              </w:rPr>
            </w:pPr>
          </w:p>
          <w:p w:rsidR="00035877" w:rsidRPr="00D371D0" w:rsidRDefault="00035877" w:rsidP="00370829">
            <w:pPr>
              <w:rPr>
                <w:rFonts w:cs="Arial"/>
                <w:sz w:val="18"/>
                <w:szCs w:val="18"/>
              </w:rPr>
            </w:pPr>
            <w:r w:rsidRPr="00D371D0">
              <w:rPr>
                <w:rFonts w:cs="Arial"/>
                <w:sz w:val="18"/>
                <w:szCs w:val="18"/>
              </w:rPr>
              <w:t>b) No. The project is not expected to cause public health or safety issues. However, depending on the depth and nature of the aquifer selected, and the means of purposeful recharge, assessments of potential impacts on ecosystems will need to be carried out, particularly if infiltration of surface waters to shallow aquifers are part of the operation.</w:t>
            </w:r>
          </w:p>
        </w:tc>
        <w:tc>
          <w:tcPr>
            <w:tcW w:w="4051" w:type="dxa"/>
          </w:tcPr>
          <w:p w:rsidR="00035877" w:rsidRPr="00D371D0" w:rsidRDefault="00035877" w:rsidP="00370829">
            <w:pPr>
              <w:rPr>
                <w:rFonts w:cs="Arial"/>
                <w:sz w:val="18"/>
                <w:szCs w:val="18"/>
              </w:rPr>
            </w:pPr>
            <w:r w:rsidRPr="00D371D0">
              <w:rPr>
                <w:rFonts w:cs="Arial"/>
                <w:sz w:val="18"/>
                <w:szCs w:val="18"/>
              </w:rPr>
              <w:t>It is anticipated that considerable effort and additional information may be required to address all potential issues requiring developmental approval or resolution of ownership rights. Although there are precedents in NSW for borefields within national parks, and despite the low risk to GDEs, any potential borefields sites within the boundaries of KNP will likely meet with significant development approval issues, particularly in the investigation/testing and construction phases. There is a low risk in the uncertainty relating to the potential impacts of the operation on ecosystems. Drilling and hydrogeological and hydrochemical investigations are required to enable a full residual risk assessment to be carried out for the KNP sites.</w:t>
            </w:r>
          </w:p>
        </w:tc>
      </w:tr>
    </w:tbl>
    <w:p w:rsidR="00035877" w:rsidRDefault="00035877" w:rsidP="00035877"/>
    <w:p w:rsidR="00035877" w:rsidRDefault="00035877" w:rsidP="00035877"/>
    <w:p w:rsidR="00035877" w:rsidRDefault="00035877" w:rsidP="00035877">
      <w:pPr>
        <w:sectPr w:rsidR="00035877" w:rsidSect="00C6706D">
          <w:pgSz w:w="16838" w:h="11906" w:orient="landscape"/>
          <w:pgMar w:top="1134" w:right="1191" w:bottom="964" w:left="1077" w:header="709" w:footer="709" w:gutter="0"/>
          <w:cols w:space="708"/>
          <w:docGrid w:linePitch="360"/>
        </w:sectPr>
      </w:pPr>
    </w:p>
    <w:p w:rsidR="00723815" w:rsidRPr="00DF09A6" w:rsidRDefault="00927BA1" w:rsidP="00D35ACA">
      <w:pPr>
        <w:pStyle w:val="Heading1"/>
        <w:tabs>
          <w:tab w:val="clear" w:pos="360"/>
          <w:tab w:val="num" w:pos="720"/>
        </w:tabs>
        <w:ind w:left="720" w:hanging="720"/>
      </w:pPr>
      <w:bookmarkStart w:id="719" w:name="_Toc325700145"/>
      <w:bookmarkStart w:id="720" w:name="_Toc325700488"/>
      <w:bookmarkStart w:id="721" w:name="_Toc325975174"/>
      <w:bookmarkStart w:id="722" w:name="_Toc390690167"/>
      <w:r>
        <w:lastRenderedPageBreak/>
        <w:t xml:space="preserve">Regional </w:t>
      </w:r>
      <w:smartTag w:uri="urn:schemas-microsoft-com:office:smarttags" w:element="PersonName">
        <w:r>
          <w:t>G</w:t>
        </w:r>
        <w:r w:rsidR="00723815">
          <w:t>roundwater</w:t>
        </w:r>
      </w:smartTag>
      <w:r w:rsidR="00723815">
        <w:t xml:space="preserve"> </w:t>
      </w:r>
      <w:bookmarkEnd w:id="719"/>
      <w:bookmarkEnd w:id="720"/>
      <w:bookmarkEnd w:id="721"/>
      <w:r w:rsidR="00AE4159">
        <w:t>Targets</w:t>
      </w:r>
      <w:bookmarkEnd w:id="722"/>
      <w:r w:rsidR="00723815">
        <w:t xml:space="preserve"> </w:t>
      </w:r>
    </w:p>
    <w:p w:rsidR="00723815" w:rsidRDefault="00723815" w:rsidP="00021090">
      <w:pPr>
        <w:pStyle w:val="Heading2"/>
        <w:tabs>
          <w:tab w:val="left" w:pos="720"/>
        </w:tabs>
        <w:spacing w:before="320"/>
      </w:pPr>
      <w:bookmarkStart w:id="723" w:name="_Toc325700146"/>
      <w:bookmarkStart w:id="724" w:name="_Toc325700489"/>
      <w:bookmarkStart w:id="725" w:name="_Toc325975175"/>
      <w:bookmarkStart w:id="726" w:name="_Toc390690168"/>
      <w:r>
        <w:t>Introduction</w:t>
      </w:r>
      <w:bookmarkEnd w:id="723"/>
      <w:bookmarkEnd w:id="724"/>
      <w:bookmarkEnd w:id="725"/>
      <w:bookmarkEnd w:id="726"/>
    </w:p>
    <w:p w:rsidR="00AE4159" w:rsidRDefault="00AE4159" w:rsidP="00AE4159">
      <w:pPr>
        <w:rPr>
          <w:szCs w:val="22"/>
        </w:rPr>
      </w:pPr>
      <w:bookmarkStart w:id="727" w:name="_Toc325700147"/>
      <w:bookmarkStart w:id="728" w:name="_Toc325700490"/>
      <w:bookmarkStart w:id="729" w:name="_Toc325975176"/>
      <w:r w:rsidRPr="003910BA">
        <w:rPr>
          <w:szCs w:val="22"/>
        </w:rPr>
        <w:t>Previously, Lewis</w:t>
      </w:r>
      <w:r w:rsidR="008A5F7D" w:rsidRPr="00CF7613">
        <w:rPr>
          <w:rStyle w:val="StyleItalic"/>
        </w:rPr>
        <w:t xml:space="preserve"> et al</w:t>
      </w:r>
      <w:r w:rsidRPr="003910BA">
        <w:rPr>
          <w:szCs w:val="22"/>
        </w:rPr>
        <w:t>. (2008)</w:t>
      </w:r>
      <w:r w:rsidRPr="003910BA">
        <w:rPr>
          <w:b/>
          <w:szCs w:val="22"/>
        </w:rPr>
        <w:t xml:space="preserve"> </w:t>
      </w:r>
      <w:r w:rsidRPr="003910BA">
        <w:rPr>
          <w:szCs w:val="22"/>
        </w:rPr>
        <w:t xml:space="preserve">reported that of the 198 bores in the Darling </w:t>
      </w:r>
      <w:r>
        <w:rPr>
          <w:szCs w:val="22"/>
        </w:rPr>
        <w:t>a</w:t>
      </w:r>
      <w:r w:rsidRPr="003910BA">
        <w:rPr>
          <w:szCs w:val="22"/>
        </w:rPr>
        <w:t xml:space="preserve">lluvial </w:t>
      </w:r>
      <w:r>
        <w:rPr>
          <w:szCs w:val="22"/>
        </w:rPr>
        <w:t>a</w:t>
      </w:r>
      <w:r w:rsidRPr="003910BA">
        <w:rPr>
          <w:szCs w:val="22"/>
        </w:rPr>
        <w:t xml:space="preserve">quifers, only </w:t>
      </w:r>
      <w:r>
        <w:rPr>
          <w:szCs w:val="22"/>
        </w:rPr>
        <w:t xml:space="preserve">about </w:t>
      </w:r>
      <w:r w:rsidRPr="003910BA">
        <w:rPr>
          <w:szCs w:val="22"/>
        </w:rPr>
        <w:t xml:space="preserve">half (84 of the 198) have salinity information, provided in broad categories of 0–500 mg/L, 0–1000 mg/L, 0–14,000 mg/L, 1000–10,000 mg/L and 10,000–100,000 mg/L, rather than </w:t>
      </w:r>
      <w:r>
        <w:rPr>
          <w:szCs w:val="22"/>
        </w:rPr>
        <w:t>as specific measurements. Salinity-yield mapping</w:t>
      </w:r>
      <w:r w:rsidRPr="003910BA">
        <w:rPr>
          <w:szCs w:val="22"/>
        </w:rPr>
        <w:t xml:space="preserve"> (from Lewis</w:t>
      </w:r>
      <w:r w:rsidR="008A5F7D" w:rsidRPr="00CF7613">
        <w:rPr>
          <w:rStyle w:val="StyleItalic"/>
        </w:rPr>
        <w:t xml:space="preserve"> et al</w:t>
      </w:r>
      <w:r w:rsidRPr="003910BA">
        <w:rPr>
          <w:szCs w:val="22"/>
        </w:rPr>
        <w:t>., 2</w:t>
      </w:r>
      <w:r>
        <w:rPr>
          <w:szCs w:val="22"/>
        </w:rPr>
        <w:t xml:space="preserve">008; adapted from </w:t>
      </w:r>
      <w:r w:rsidRPr="00D34AB0">
        <w:rPr>
          <w:szCs w:val="22"/>
        </w:rPr>
        <w:t>Brodie, 1994)</w:t>
      </w:r>
      <w:r>
        <w:rPr>
          <w:szCs w:val="22"/>
        </w:rPr>
        <w:t xml:space="preserve"> showed broad regional variation in groundwater salinity (Lawrie</w:t>
      </w:r>
      <w:r w:rsidR="008A5F7D" w:rsidRPr="00CF7613">
        <w:rPr>
          <w:rStyle w:val="StyleItalic"/>
        </w:rPr>
        <w:t xml:space="preserve"> et al</w:t>
      </w:r>
      <w:r>
        <w:rPr>
          <w:szCs w:val="22"/>
        </w:rPr>
        <w:t xml:space="preserve">., 2009a). </w:t>
      </w:r>
      <w:r w:rsidRPr="003910BA">
        <w:rPr>
          <w:szCs w:val="22"/>
        </w:rPr>
        <w:t xml:space="preserve">The distribution of bores and corresponding salinity values indicates that </w:t>
      </w:r>
      <w:r>
        <w:rPr>
          <w:szCs w:val="22"/>
        </w:rPr>
        <w:t>groundwater freshens</w:t>
      </w:r>
      <w:r w:rsidRPr="003910BA">
        <w:rPr>
          <w:szCs w:val="22"/>
        </w:rPr>
        <w:t xml:space="preserve"> proximal to surface water bodies, such as the </w:t>
      </w:r>
      <w:smartTag w:uri="urn:schemas-microsoft-com:office:smarttags" w:element="place">
        <w:r w:rsidRPr="003910BA">
          <w:rPr>
            <w:szCs w:val="22"/>
          </w:rPr>
          <w:t>Darling River</w:t>
        </w:r>
      </w:smartTag>
      <w:r w:rsidRPr="003910BA">
        <w:rPr>
          <w:szCs w:val="22"/>
        </w:rPr>
        <w:t xml:space="preserve">. A general positive relationship between increasing depth and salinity is also apparent. </w:t>
      </w:r>
    </w:p>
    <w:p w:rsidR="00AE4159" w:rsidRDefault="00AE4159" w:rsidP="00AE4159">
      <w:pPr>
        <w:rPr>
          <w:szCs w:val="22"/>
        </w:rPr>
      </w:pPr>
    </w:p>
    <w:p w:rsidR="00AE4159" w:rsidRDefault="00AE4159" w:rsidP="00AE4159">
      <w:pPr>
        <w:rPr>
          <w:szCs w:val="22"/>
        </w:rPr>
      </w:pPr>
      <w:r w:rsidRPr="00670511">
        <w:rPr>
          <w:szCs w:val="22"/>
        </w:rPr>
        <w:t>These findings are consistent with previous investi</w:t>
      </w:r>
      <w:smartTag w:uri="urn:schemas-microsoft-com:office:smarttags" w:element="PersonName">
        <w:r w:rsidRPr="00670511">
          <w:rPr>
            <w:szCs w:val="22"/>
          </w:rPr>
          <w:t>ga</w:t>
        </w:r>
      </w:smartTag>
      <w:r w:rsidRPr="00670511">
        <w:rPr>
          <w:szCs w:val="22"/>
        </w:rPr>
        <w:t xml:space="preserve">tions of the Darling floodplain (Brodie, 1994; Kellett, 1994; Jewell, 2007), and support the generalised conceptual understanding of </w:t>
      </w:r>
      <w:smartTag w:uri="urn:schemas-microsoft-com:office:smarttags" w:element="PersonName">
        <w:r w:rsidRPr="00670511">
          <w:rPr>
            <w:szCs w:val="22"/>
          </w:rPr>
          <w:t>groundwater</w:t>
        </w:r>
      </w:smartTag>
      <w:r w:rsidRPr="00670511">
        <w:rPr>
          <w:szCs w:val="22"/>
        </w:rPr>
        <w:t xml:space="preserve"> systems in this region. However, Lawrie</w:t>
      </w:r>
      <w:r w:rsidR="008A5F7D" w:rsidRPr="00CF7613">
        <w:rPr>
          <w:rStyle w:val="StyleItalic"/>
        </w:rPr>
        <w:t xml:space="preserve"> et al</w:t>
      </w:r>
      <w:r w:rsidRPr="00CF7613">
        <w:rPr>
          <w:rStyle w:val="StyleItalic"/>
        </w:rPr>
        <w:t>.</w:t>
      </w:r>
      <w:r w:rsidRPr="00670511">
        <w:rPr>
          <w:szCs w:val="22"/>
        </w:rPr>
        <w:t xml:space="preserve"> (2009a) demonstrated</w:t>
      </w:r>
      <w:r>
        <w:rPr>
          <w:szCs w:val="22"/>
        </w:rPr>
        <w:t xml:space="preserve"> that </w:t>
      </w:r>
      <w:r w:rsidRPr="003910BA">
        <w:rPr>
          <w:szCs w:val="22"/>
        </w:rPr>
        <w:t xml:space="preserve">the data reliability for these maps is </w:t>
      </w:r>
      <w:r>
        <w:rPr>
          <w:szCs w:val="22"/>
        </w:rPr>
        <w:t>poor due to a</w:t>
      </w:r>
      <w:r w:rsidRPr="003910BA">
        <w:rPr>
          <w:szCs w:val="22"/>
        </w:rPr>
        <w:t xml:space="preserve"> paucity of data points from which these maps were drawn.</w:t>
      </w:r>
      <w:r>
        <w:rPr>
          <w:szCs w:val="22"/>
        </w:rPr>
        <w:t xml:space="preserve"> Nevertheless, the salinity yield plots provided a useful starting point for framing the BHMAR project area and for planning the </w:t>
      </w:r>
      <w:smartTag w:uri="urn:schemas-microsoft-com:office:smarttags" w:element="stockticker">
        <w:r>
          <w:rPr>
            <w:szCs w:val="22"/>
          </w:rPr>
          <w:t>AEM</w:t>
        </w:r>
      </w:smartTag>
      <w:r>
        <w:rPr>
          <w:szCs w:val="22"/>
        </w:rPr>
        <w:t xml:space="preserve"> survey.</w:t>
      </w:r>
    </w:p>
    <w:p w:rsidR="00723815" w:rsidRDefault="00723815" w:rsidP="00021090">
      <w:pPr>
        <w:pStyle w:val="Heading2"/>
        <w:tabs>
          <w:tab w:val="left" w:pos="720"/>
        </w:tabs>
        <w:spacing w:before="320"/>
      </w:pPr>
      <w:bookmarkStart w:id="730" w:name="_Toc390690169"/>
      <w:r>
        <w:t xml:space="preserve">Groundwater </w:t>
      </w:r>
      <w:r w:rsidR="00C6655F">
        <w:t>Resource M</w:t>
      </w:r>
      <w:r>
        <w:t>apping</w:t>
      </w:r>
      <w:bookmarkEnd w:id="727"/>
      <w:bookmarkEnd w:id="728"/>
      <w:bookmarkEnd w:id="729"/>
      <w:bookmarkEnd w:id="730"/>
    </w:p>
    <w:p w:rsidR="00AE4159" w:rsidRDefault="00AE4159" w:rsidP="00AE4159">
      <w:r>
        <w:t>Data acquisition by the BHMAR project, particularly the AEM survey (</w:t>
      </w:r>
      <w:r w:rsidR="00B03359">
        <w:t xml:space="preserve">Appendix 3, </w:t>
      </w:r>
      <w:r>
        <w:t>Apps</w:t>
      </w:r>
      <w:r w:rsidR="008A5F7D" w:rsidRPr="00CF7613">
        <w:rPr>
          <w:rStyle w:val="StyleItalic"/>
        </w:rPr>
        <w:t xml:space="preserve"> et al</w:t>
      </w:r>
      <w:r>
        <w:t>., 2012</w:t>
      </w:r>
      <w:r w:rsidR="00B03359">
        <w:t>c</w:t>
      </w:r>
      <w:r>
        <w:t>), sonic drilling (</w:t>
      </w:r>
      <w:r w:rsidR="00B03359">
        <w:t xml:space="preserve">Appendix 1, </w:t>
      </w:r>
      <w:r>
        <w:t>Halas</w:t>
      </w:r>
      <w:r w:rsidR="008A5F7D" w:rsidRPr="00CF7613">
        <w:rPr>
          <w:rStyle w:val="StyleItalic"/>
        </w:rPr>
        <w:t xml:space="preserve"> et al</w:t>
      </w:r>
      <w:r>
        <w:t xml:space="preserve">., 2012a; </w:t>
      </w:r>
      <w:r w:rsidR="00B03359">
        <w:t xml:space="preserve">Appendix 2, </w:t>
      </w:r>
      <w:r>
        <w:t>Spulak</w:t>
      </w:r>
      <w:r w:rsidR="008A5F7D" w:rsidRPr="00CF7613">
        <w:rPr>
          <w:rStyle w:val="StyleItalic"/>
        </w:rPr>
        <w:t xml:space="preserve"> et al</w:t>
      </w:r>
      <w:r>
        <w:t>., 2012), pore fluid chemical analysis (</w:t>
      </w:r>
      <w:r w:rsidR="00B03359">
        <w:t xml:space="preserve">Appendix 6, </w:t>
      </w:r>
      <w:r>
        <w:t>Somerville</w:t>
      </w:r>
      <w:r w:rsidR="008A5F7D" w:rsidRPr="00CF7613">
        <w:rPr>
          <w:rStyle w:val="StyleItalic"/>
        </w:rPr>
        <w:t xml:space="preserve"> et al</w:t>
      </w:r>
      <w:r>
        <w:t>., 2012) and the NMR downhole geophysics (</w:t>
      </w:r>
      <w:r w:rsidR="00B03359">
        <w:t xml:space="preserve">Appendix 3, </w:t>
      </w:r>
      <w:r>
        <w:t>Apps</w:t>
      </w:r>
      <w:r w:rsidR="008A5F7D" w:rsidRPr="00CF7613">
        <w:rPr>
          <w:rStyle w:val="StyleItalic"/>
        </w:rPr>
        <w:t xml:space="preserve"> et al</w:t>
      </w:r>
      <w:r>
        <w:t>., 2012</w:t>
      </w:r>
      <w:r w:rsidR="00B03359">
        <w:t>b</w:t>
      </w:r>
      <w:r>
        <w:t xml:space="preserve">) has provided an opportunity to improve the characterisation of groundwater salinity in the Darling </w:t>
      </w:r>
      <w:r w:rsidRPr="00795774">
        <w:t xml:space="preserve">floodplain. </w:t>
      </w:r>
      <w:r>
        <w:t>It is important to note that AEM is a conductivity mapping tool primarily, and although there is an excellent correlation observed between the inverted AEM data and borehole induction data (</w:t>
      </w:r>
      <w:r w:rsidRPr="005430CB">
        <w:fldChar w:fldCharType="begin"/>
      </w:r>
      <w:r w:rsidRPr="005430CB">
        <w:instrText xml:space="preserve"> REF _Ref325912074 \h  \* MERGEFORMAT </w:instrText>
      </w:r>
      <w:r w:rsidRPr="005430CB">
        <w:fldChar w:fldCharType="separate"/>
      </w:r>
      <w:r w:rsidR="00966532" w:rsidRPr="00966532">
        <w:t xml:space="preserve">Figure </w:t>
      </w:r>
      <w:r w:rsidR="00966532" w:rsidRPr="00966532">
        <w:rPr>
          <w:noProof/>
        </w:rPr>
        <w:t>3</w:t>
      </w:r>
      <w:r w:rsidR="00966532" w:rsidRPr="00966532">
        <w:rPr>
          <w:noProof/>
        </w:rPr>
        <w:noBreakHyphen/>
        <w:t>9</w:t>
      </w:r>
      <w:r w:rsidRPr="005430CB">
        <w:fldChar w:fldCharType="end"/>
      </w:r>
      <w:r>
        <w:t>), there is greater uncertainty in mapping more resistive features. This is illustrated in uncertainty analysis of the inverted data</w:t>
      </w:r>
      <w:r w:rsidRPr="005430CB">
        <w:t xml:space="preserve"> (</w:t>
      </w:r>
      <w:r w:rsidRPr="005430CB">
        <w:fldChar w:fldCharType="begin"/>
      </w:r>
      <w:r w:rsidRPr="005430CB">
        <w:instrText xml:space="preserve"> REF _Ref325912084 \h  \* MERGEFORMAT </w:instrText>
      </w:r>
      <w:r w:rsidRPr="005430CB">
        <w:fldChar w:fldCharType="separate"/>
      </w:r>
      <w:r w:rsidR="00966532" w:rsidRPr="00966532">
        <w:t xml:space="preserve">Figure </w:t>
      </w:r>
      <w:r w:rsidR="00966532" w:rsidRPr="00966532">
        <w:rPr>
          <w:noProof/>
        </w:rPr>
        <w:t>3</w:t>
      </w:r>
      <w:r w:rsidR="00966532" w:rsidRPr="00966532">
        <w:rPr>
          <w:noProof/>
        </w:rPr>
        <w:noBreakHyphen/>
        <w:t>10</w:t>
      </w:r>
      <w:r w:rsidRPr="005430CB">
        <w:fldChar w:fldCharType="end"/>
      </w:r>
      <w:r>
        <w:t xml:space="preserve">). Particular caution must therefore be exercised in mapping ‘good’ to ‘acceptable’ groundwater quality, as this has greater uncertainties than more conductive features. </w:t>
      </w:r>
    </w:p>
    <w:p w:rsidR="00AE4159" w:rsidRDefault="00AE4159" w:rsidP="00AE4159"/>
    <w:p w:rsidR="00AE4159" w:rsidRPr="00795774" w:rsidRDefault="00B03359" w:rsidP="00AE4159">
      <w:r>
        <w:fldChar w:fldCharType="begin"/>
      </w:r>
      <w:r>
        <w:instrText xml:space="preserve"> REF _Ref355701598 \h  \* MERGEFORMAT </w:instrText>
      </w:r>
      <w:r>
        <w:fldChar w:fldCharType="separate"/>
      </w:r>
      <w:r w:rsidR="00966532" w:rsidRPr="00966532">
        <w:t>Figure 10</w:t>
      </w:r>
      <w:r w:rsidR="00966532" w:rsidRPr="00966532">
        <w:noBreakHyphen/>
        <w:t>1</w:t>
      </w:r>
      <w:r>
        <w:fldChar w:fldCharType="end"/>
      </w:r>
      <w:r w:rsidR="00AE4159" w:rsidRPr="00795774">
        <w:t xml:space="preserve">summarises the workflow used to map groundwater salinity and to estimate groundwater storage volumes for particular salinity thresholds. </w:t>
      </w:r>
      <w:r w:rsidR="00AE4159">
        <w:t xml:space="preserve">For more information about the specific methods used, refer to </w:t>
      </w:r>
      <w:r w:rsidR="00AE4159" w:rsidRPr="00896DBB">
        <w:t>Lawrie</w:t>
      </w:r>
      <w:r w:rsidR="008A5F7D" w:rsidRPr="00CF7613">
        <w:rPr>
          <w:rStyle w:val="StyleItalic"/>
        </w:rPr>
        <w:t xml:space="preserve"> et al</w:t>
      </w:r>
      <w:r w:rsidR="00AE4159">
        <w:t>.</w:t>
      </w:r>
      <w:r w:rsidR="00AE4159" w:rsidRPr="00896DBB">
        <w:t xml:space="preserve"> </w:t>
      </w:r>
      <w:r w:rsidR="00AE4159">
        <w:t>(</w:t>
      </w:r>
      <w:r w:rsidR="00AE4159" w:rsidRPr="00896DBB">
        <w:t>2012</w:t>
      </w:r>
      <w:r w:rsidR="00AE4159">
        <w:t xml:space="preserve">a). </w:t>
      </w:r>
      <w:r w:rsidR="00AE4159" w:rsidRPr="00795774">
        <w:t xml:space="preserve">It is important to emphasise that these derived </w:t>
      </w:r>
      <w:r w:rsidR="00AE4159">
        <w:t xml:space="preserve">storage </w:t>
      </w:r>
      <w:r w:rsidR="00AE4159" w:rsidRPr="00795774">
        <w:t>volumes are indicative only, providing order</w:t>
      </w:r>
      <w:r w:rsidR="00AE4159">
        <w:t>-</w:t>
      </w:r>
      <w:r w:rsidR="00AE4159" w:rsidRPr="00795774">
        <w:t>of</w:t>
      </w:r>
      <w:r w:rsidR="00AE4159">
        <w:t>-</w:t>
      </w:r>
      <w:r w:rsidR="00AE4159" w:rsidRPr="00795774">
        <w:t>magnitude estimates to help prioritise targets and to make recommendations for future phases of investigation.</w:t>
      </w:r>
      <w:r w:rsidR="00AE4159" w:rsidRPr="00A7641C">
        <w:rPr>
          <w:szCs w:val="22"/>
        </w:rPr>
        <w:t xml:space="preserve"> </w:t>
      </w:r>
      <w:r w:rsidR="00AE4159">
        <w:rPr>
          <w:szCs w:val="22"/>
        </w:rPr>
        <w:t xml:space="preserve">These storage volume estimates are required to assess the MAR potential of the target aquifer, in the context of providing a MAR scheme of adequate storage and recovery efficiency. </w:t>
      </w:r>
      <w:r w:rsidR="00AE4159">
        <w:t xml:space="preserve">It is also important to emphasise that </w:t>
      </w:r>
      <w:r w:rsidR="00AE4159" w:rsidRPr="00795774">
        <w:t xml:space="preserve">these groundwater storage volumes do not equate to the groundwater volume that can be extracted. The extractable groundwater volume </w:t>
      </w:r>
      <w:r w:rsidR="00AE4159">
        <w:t xml:space="preserve">would be significantly smaller than the groundwater storage estimates and </w:t>
      </w:r>
      <w:r w:rsidR="00AE4159" w:rsidRPr="00795774">
        <w:t>depends on several factors including the:</w:t>
      </w:r>
    </w:p>
    <w:p w:rsidR="00AE4159" w:rsidRPr="00795774" w:rsidRDefault="00AE4159" w:rsidP="00AE4159">
      <w:pPr>
        <w:numPr>
          <w:ilvl w:val="0"/>
          <w:numId w:val="27"/>
        </w:numPr>
        <w:spacing w:before="120"/>
      </w:pPr>
      <w:r w:rsidRPr="00795774">
        <w:t xml:space="preserve">Assessment of the magnitude and risk of negative impacts associated with any groundwater extraction. These impacts can include ingress of saline </w:t>
      </w:r>
      <w:r>
        <w:t xml:space="preserve">(or poor quality) </w:t>
      </w:r>
      <w:r w:rsidRPr="00795774">
        <w:t xml:space="preserve">groundwater into the productive aquifer, decline in the viability of any identified groundwater dependent ecosystem, or reduction in groundwater access by existing licensed users. </w:t>
      </w:r>
    </w:p>
    <w:p w:rsidR="00AE4159" w:rsidRDefault="00AE4159" w:rsidP="00AE4159">
      <w:pPr>
        <w:numPr>
          <w:ilvl w:val="0"/>
          <w:numId w:val="27"/>
        </w:numPr>
        <w:spacing w:before="120"/>
      </w:pPr>
      <w:r w:rsidRPr="00795774">
        <w:t xml:space="preserve">Nature and distribution of the more transmissive parts of the </w:t>
      </w:r>
      <w:r>
        <w:t>Calivil Formation</w:t>
      </w:r>
      <w:r w:rsidRPr="00795774">
        <w:t>, with the thicker sand and gravel palaeochannel deposits being the target for groundwater extraction.</w:t>
      </w:r>
    </w:p>
    <w:p w:rsidR="00AE4159" w:rsidRPr="00795774" w:rsidRDefault="00AE4159" w:rsidP="00AE4159">
      <w:pPr>
        <w:numPr>
          <w:ilvl w:val="0"/>
          <w:numId w:val="27"/>
        </w:numPr>
        <w:spacing w:before="120"/>
      </w:pPr>
      <w:r>
        <w:t>Conceptual understanding and quantification of groundwater recharge, flow and discharge processes.</w:t>
      </w:r>
      <w:r w:rsidR="00A93944">
        <w:t xml:space="preserve"> Groundwater extraction limits are typically estimated on the basis of the rate of replenishment to the aquifer, rather than on groundwater storage.</w:t>
      </w:r>
    </w:p>
    <w:p w:rsidR="00AE4159" w:rsidRPr="00795774" w:rsidRDefault="00AE4159" w:rsidP="00AE4159">
      <w:pPr>
        <w:numPr>
          <w:ilvl w:val="0"/>
          <w:numId w:val="27"/>
        </w:numPr>
        <w:spacing w:before="120"/>
      </w:pPr>
      <w:r w:rsidRPr="00795774">
        <w:t>Economics and logistics of borefield or MAR design. This includes possible constraints such as land tenure, heritage clearances and proximity to existing infrastructure.</w:t>
      </w:r>
    </w:p>
    <w:p w:rsidR="00AE4159" w:rsidRPr="00795774" w:rsidRDefault="00AE4159" w:rsidP="00AE4159"/>
    <w:p w:rsidR="00AE4159" w:rsidRDefault="00AE4159" w:rsidP="00AE4159">
      <w:r w:rsidRPr="00795774">
        <w:t xml:space="preserve">As indicated in </w:t>
      </w:r>
      <w:r w:rsidR="003E5EE5">
        <w:fldChar w:fldCharType="begin"/>
      </w:r>
      <w:r w:rsidR="003E5EE5">
        <w:instrText xml:space="preserve"> REF _Ref355701598 \h  \* MERGEFORMAT </w:instrText>
      </w:r>
      <w:r w:rsidR="003E5EE5">
        <w:fldChar w:fldCharType="separate"/>
      </w:r>
      <w:r w:rsidR="00966532" w:rsidRPr="00966532">
        <w:t>Figure 10</w:t>
      </w:r>
      <w:r w:rsidR="00966532" w:rsidRPr="00966532">
        <w:noBreakHyphen/>
        <w:t>1</w:t>
      </w:r>
      <w:r w:rsidR="003E5EE5">
        <w:fldChar w:fldCharType="end"/>
      </w:r>
      <w:r w:rsidRPr="00795774">
        <w:t xml:space="preserve">, </w:t>
      </w:r>
      <w:r>
        <w:t xml:space="preserve">there are three main components of the workflow to derive estimates of groundwater volumes for groundwater salinity categories within targets or borefield areas. These are defining groundwater salinity thresholds based on AEM conductivity, the calculating of bulk volumes and </w:t>
      </w:r>
      <w:r>
        <w:lastRenderedPageBreak/>
        <w:t>the estimation of effective porosities.</w:t>
      </w:r>
      <w:r w:rsidRPr="00736395">
        <w:t xml:space="preserve"> </w:t>
      </w:r>
      <w:r w:rsidRPr="00FD3735">
        <w:t>Lawrie</w:t>
      </w:r>
      <w:r w:rsidR="008A5F7D" w:rsidRPr="00CF7613">
        <w:rPr>
          <w:rStyle w:val="StyleItalic"/>
        </w:rPr>
        <w:t xml:space="preserve"> et al</w:t>
      </w:r>
      <w:r>
        <w:t>. (</w:t>
      </w:r>
      <w:r w:rsidRPr="00FD3735">
        <w:t>2012a)</w:t>
      </w:r>
      <w:r>
        <w:t xml:space="preserve"> provides details on these components of the workflow.</w:t>
      </w:r>
    </w:p>
    <w:p w:rsidR="00A1060D" w:rsidRDefault="00A1060D" w:rsidP="00AE4159"/>
    <w:p w:rsidR="00AE4159" w:rsidRDefault="00AE4159" w:rsidP="00AE4159">
      <w:pPr>
        <w:pStyle w:val="Heading3"/>
      </w:pPr>
      <w:bookmarkStart w:id="731" w:name="_Toc390690170"/>
      <w:r>
        <w:t>Groundwater Salinity Thresholds</w:t>
      </w:r>
      <w:bookmarkEnd w:id="731"/>
    </w:p>
    <w:p w:rsidR="00AE4159" w:rsidRDefault="00AE4159" w:rsidP="00AE4159">
      <w:r>
        <w:t xml:space="preserve">The groundwater volume estimates are reported relative to water quality criteria. </w:t>
      </w:r>
      <w:r w:rsidRPr="00670511">
        <w:t>The objective was to map good quality (&lt;600 mg/L), acceptable quality</w:t>
      </w:r>
      <w:r w:rsidRPr="00795774">
        <w:t xml:space="preserve"> (600-1200 mg/L) and brackish (1200-3000 mg/L) groundwater salinity</w:t>
      </w:r>
      <w:r>
        <w:t xml:space="preserve"> within the target and borefield areas. </w:t>
      </w:r>
      <w:r w:rsidRPr="00795774">
        <w:t>Th</w:t>
      </w:r>
      <w:r>
        <w:t>e first two salinity</w:t>
      </w:r>
      <w:r w:rsidRPr="00795774">
        <w:t xml:space="preserve"> thresholds (600 and 1200 mg/L) are based on the ADWG 2011 drinking water guidelines</w:t>
      </w:r>
      <w:r>
        <w:t xml:space="preserve"> This mapping requires establishing a relationship between groundwater salinity and the bulk conductivities as mapped by the AEM depth slices.</w:t>
      </w:r>
    </w:p>
    <w:p w:rsidR="00AE4159" w:rsidRDefault="00AE4159" w:rsidP="00AE4159"/>
    <w:p w:rsidR="00AE4159" w:rsidRDefault="00AE4159" w:rsidP="00AE4159">
      <w:r>
        <w:t>T</w:t>
      </w:r>
      <w:r w:rsidRPr="00795774">
        <w:t>he salinity measurements of pore fluid samples extracted from specific sonic-cored samples was the starting poin</w:t>
      </w:r>
      <w:r>
        <w:t>t for establishing this relationship</w:t>
      </w:r>
      <w:r w:rsidRPr="00795774">
        <w:t xml:space="preserve">. Any suspect samples, typically saturation extracts, were excluded from a representative downhole </w:t>
      </w:r>
      <w:r>
        <w:t xml:space="preserve">pore fluid salinity </w:t>
      </w:r>
      <w:r w:rsidRPr="00795774">
        <w:t xml:space="preserve">profile. The downhole induction log was used as a guide to this selection process. </w:t>
      </w:r>
      <w:r>
        <w:t>T</w:t>
      </w:r>
      <w:r w:rsidRPr="00670511">
        <w:t xml:space="preserve">he selected samples were </w:t>
      </w:r>
      <w:r>
        <w:t xml:space="preserve">then </w:t>
      </w:r>
      <w:r w:rsidRPr="00670511">
        <w:t>used to interpolate downhole pore fluid salinity on a 0.5</w:t>
      </w:r>
      <w:r w:rsidR="00A72012">
        <w:t xml:space="preserve"> </w:t>
      </w:r>
      <w:r w:rsidRPr="00670511">
        <w:t xml:space="preserve">m basis. These were then averaged over the AEM depth slice intervals. This enabled, for each </w:t>
      </w:r>
      <w:r>
        <w:t xml:space="preserve">AEM </w:t>
      </w:r>
      <w:r w:rsidRPr="00670511">
        <w:t>depth slice (</w:t>
      </w:r>
      <w:r w:rsidR="00B03359">
        <w:t xml:space="preserve">Appendix 4, </w:t>
      </w:r>
      <w:r w:rsidRPr="00670511">
        <w:t>Apps</w:t>
      </w:r>
      <w:r w:rsidR="008A5F7D" w:rsidRPr="00CF7613">
        <w:rPr>
          <w:rStyle w:val="StyleItalic"/>
        </w:rPr>
        <w:t xml:space="preserve"> et al</w:t>
      </w:r>
      <w:r w:rsidRPr="00670511">
        <w:t>., 2012</w:t>
      </w:r>
      <w:r w:rsidR="00B03359">
        <w:t>c</w:t>
      </w:r>
      <w:r w:rsidRPr="00670511">
        <w:t xml:space="preserve">), a comparison between the AEM </w:t>
      </w:r>
      <w:r>
        <w:t xml:space="preserve">bulk </w:t>
      </w:r>
      <w:r w:rsidRPr="00670511">
        <w:t>conductivity at the bore location and the average pore fluid salinity</w:t>
      </w:r>
      <w:r>
        <w:t xml:space="preserve"> over that interval.</w:t>
      </w:r>
    </w:p>
    <w:p w:rsidR="00AE4159" w:rsidRDefault="00AE4159" w:rsidP="00AE4159">
      <w:pPr>
        <w:rPr>
          <w:i/>
          <w:sz w:val="20"/>
          <w:szCs w:val="20"/>
        </w:rPr>
      </w:pPr>
    </w:p>
    <w:p w:rsidR="00AE4159" w:rsidRPr="00795774" w:rsidRDefault="00AE4159" w:rsidP="00AE4159">
      <w:r w:rsidRPr="00670511">
        <w:t xml:space="preserve">In terms of groundwater resource assessment, the target aquifer is the </w:t>
      </w:r>
      <w:r>
        <w:t>Pliocene</w:t>
      </w:r>
      <w:r w:rsidRPr="00670511">
        <w:t xml:space="preserve"> aquifer</w:t>
      </w:r>
      <w:r>
        <w:t>, consisting of the Calivil Formation and Loxton-Parilla Sands</w:t>
      </w:r>
      <w:r w:rsidRPr="00670511">
        <w:t xml:space="preserve"> (Lawrie</w:t>
      </w:r>
      <w:r w:rsidR="008A5F7D" w:rsidRPr="00CF7613">
        <w:rPr>
          <w:rStyle w:val="StyleItalic"/>
        </w:rPr>
        <w:t xml:space="preserve"> et al</w:t>
      </w:r>
      <w:r w:rsidRPr="00670511">
        <w:t xml:space="preserve">., 2012d). </w:t>
      </w:r>
      <w:r>
        <w:t xml:space="preserve">Pliocene aquifer </w:t>
      </w:r>
      <w:r w:rsidRPr="00670511">
        <w:t>pore fluids (</w:t>
      </w:r>
      <w:r w:rsidR="00B03359">
        <w:t xml:space="preserve">Appendix 6, </w:t>
      </w:r>
      <w:r w:rsidRPr="00670511">
        <w:t>Somerville</w:t>
      </w:r>
      <w:r w:rsidR="008A5F7D" w:rsidRPr="00CF7613">
        <w:rPr>
          <w:rStyle w:val="StyleItalic"/>
        </w:rPr>
        <w:t xml:space="preserve"> et al</w:t>
      </w:r>
      <w:r w:rsidRPr="00670511">
        <w:t>., 2012) are dominant for the six AEM depth slices (</w:t>
      </w:r>
      <w:r w:rsidR="00B03359">
        <w:t xml:space="preserve">Appendix 4, </w:t>
      </w:r>
      <w:r w:rsidRPr="00670511">
        <w:t>Apps</w:t>
      </w:r>
      <w:r w:rsidR="008A5F7D" w:rsidRPr="00CF7613">
        <w:rPr>
          <w:rStyle w:val="StyleItalic"/>
        </w:rPr>
        <w:t xml:space="preserve"> et al</w:t>
      </w:r>
      <w:r w:rsidRPr="00CF7613">
        <w:rPr>
          <w:rStyle w:val="StyleItalic"/>
        </w:rPr>
        <w:t>.</w:t>
      </w:r>
      <w:r w:rsidRPr="00670511">
        <w:t>, 2012</w:t>
      </w:r>
      <w:r w:rsidR="00B03359">
        <w:t>c</w:t>
      </w:r>
      <w:r w:rsidRPr="00670511">
        <w:t>) between</w:t>
      </w:r>
      <w:r>
        <w:t xml:space="preserve"> 22 and 61 m. Hence</w:t>
      </w:r>
      <w:r w:rsidRPr="00670511">
        <w:t xml:space="preserve">, the groundwater salinity analysis was restricted to these six depth slices, and </w:t>
      </w:r>
      <w:r w:rsidR="003E5EE5">
        <w:fldChar w:fldCharType="begin"/>
      </w:r>
      <w:r w:rsidR="003E5EE5">
        <w:instrText xml:space="preserve"> REF _Ref355701641 \h  \* MERGEFORMAT </w:instrText>
      </w:r>
      <w:r w:rsidR="003E5EE5">
        <w:fldChar w:fldCharType="separate"/>
      </w:r>
      <w:r w:rsidR="00966532" w:rsidRPr="00966532">
        <w:t>Figure 10</w:t>
      </w:r>
      <w:r w:rsidR="00966532" w:rsidRPr="00966532">
        <w:noBreakHyphen/>
        <w:t>2</w:t>
      </w:r>
      <w:r w:rsidR="003E5EE5">
        <w:fldChar w:fldCharType="end"/>
      </w:r>
      <w:r w:rsidRPr="00670511">
        <w:t xml:space="preserve"> plots this subset of data. The next step was to identify AEM conductivity thresholds that could be used as surrogates to map groundwater salinity zones </w:t>
      </w:r>
      <w:r w:rsidRPr="00795774">
        <w:t xml:space="preserve">for the depth slices </w:t>
      </w:r>
      <w:r>
        <w:t>of interest</w:t>
      </w:r>
      <w:r w:rsidRPr="00795774">
        <w:t xml:space="preserve">. </w:t>
      </w:r>
    </w:p>
    <w:p w:rsidR="00AE4159" w:rsidRPr="00795774" w:rsidRDefault="00AE4159" w:rsidP="00AE4159"/>
    <w:p w:rsidR="00AE4159" w:rsidRDefault="00AE4159" w:rsidP="00AE4159">
      <w:r w:rsidRPr="00795774">
        <w:t xml:space="preserve">The approach taken was to categorise the data plotted in </w:t>
      </w:r>
      <w:r w:rsidR="003E5EE5">
        <w:fldChar w:fldCharType="begin"/>
      </w:r>
      <w:r w:rsidR="003E5EE5">
        <w:instrText xml:space="preserve"> REF _Ref355701641 \h  \* MERGEFORMAT </w:instrText>
      </w:r>
      <w:r w:rsidR="003E5EE5">
        <w:fldChar w:fldCharType="separate"/>
      </w:r>
      <w:r w:rsidR="00966532" w:rsidRPr="00966532">
        <w:t>Figure 10</w:t>
      </w:r>
      <w:r w:rsidR="00966532" w:rsidRPr="00966532">
        <w:noBreakHyphen/>
        <w:t>2</w:t>
      </w:r>
      <w:r w:rsidR="003E5EE5">
        <w:fldChar w:fldCharType="end"/>
      </w:r>
      <w:r w:rsidRPr="00795774">
        <w:t>, namely the average pore fluid salinity and corresponding AEM conductivity at the sonic hole locations for the AEM depth slices 22-61</w:t>
      </w:r>
      <w:r w:rsidR="003E5EE5">
        <w:t xml:space="preserve"> </w:t>
      </w:r>
      <w:r w:rsidRPr="00795774">
        <w:t xml:space="preserve">m. </w:t>
      </w:r>
      <w:r>
        <w:t>A 0.04 S/m threshold was used as a threshold for mapping good quality groundwater. For the acceptable quality limit (&lt;1200 mg/L), a threshold of 0.06 S/m was used. A 0.09 S/m threshold was used for the brackish limit of 3000 mg/L.</w:t>
      </w:r>
      <w:r w:rsidRPr="00B82CED">
        <w:t xml:space="preserve"> </w:t>
      </w:r>
      <w:r>
        <w:t xml:space="preserve">A more detailed description of the approach taken to derive these thresholds is provided in </w:t>
      </w:r>
      <w:r w:rsidRPr="00896DBB">
        <w:t>Lawrie</w:t>
      </w:r>
      <w:r w:rsidR="008A5F7D" w:rsidRPr="00CF7613">
        <w:rPr>
          <w:rStyle w:val="StyleItalic"/>
        </w:rPr>
        <w:t xml:space="preserve"> et al</w:t>
      </w:r>
      <w:r>
        <w:t>.</w:t>
      </w:r>
      <w:r w:rsidRPr="00896DBB">
        <w:t xml:space="preserve"> </w:t>
      </w:r>
      <w:r>
        <w:t>(</w:t>
      </w:r>
      <w:r w:rsidRPr="00896DBB">
        <w:t>2012</w:t>
      </w:r>
      <w:r>
        <w:t>a).</w:t>
      </w:r>
    </w:p>
    <w:p w:rsidR="00AE4159" w:rsidRDefault="00AE4159" w:rsidP="00AE4159"/>
    <w:p w:rsidR="00AE4159" w:rsidRDefault="00AE4159" w:rsidP="00AE4159">
      <w:r>
        <w:t>These thresholds were used to categorise the AEM conductivity depth slices on the basis of groundwater salinity. The 14 groundwater targets (GWR1-14) were identified by combining this mapping across multiple depth slices relevant to the target Pliocene aquifer sequence (</w:t>
      </w:r>
      <w:r w:rsidR="003E5EE5">
        <w:fldChar w:fldCharType="begin"/>
      </w:r>
      <w:r w:rsidR="003E5EE5">
        <w:instrText xml:space="preserve"> REF _Ref355701679 \h  \* MERGEFORMAT </w:instrText>
      </w:r>
      <w:r w:rsidR="003E5EE5">
        <w:fldChar w:fldCharType="separate"/>
      </w:r>
      <w:r w:rsidR="00966532" w:rsidRPr="00966532">
        <w:t>Figure 10</w:t>
      </w:r>
      <w:r w:rsidR="00966532" w:rsidRPr="00966532">
        <w:noBreakHyphen/>
        <w:t>3</w:t>
      </w:r>
      <w:r w:rsidR="003E5EE5">
        <w:fldChar w:fldCharType="end"/>
      </w:r>
      <w:r>
        <w:t>).</w:t>
      </w:r>
    </w:p>
    <w:p w:rsidR="00AE4159" w:rsidRDefault="00AE4159" w:rsidP="00AE4159"/>
    <w:p w:rsidR="00AE4159" w:rsidRDefault="00AE4159" w:rsidP="00AE4159">
      <w:pPr>
        <w:sectPr w:rsidR="00AE4159" w:rsidSect="00C6706D">
          <w:headerReference w:type="even" r:id="rId149"/>
          <w:headerReference w:type="default" r:id="rId150"/>
          <w:footerReference w:type="even" r:id="rId151"/>
          <w:footerReference w:type="default" r:id="rId152"/>
          <w:headerReference w:type="first" r:id="rId153"/>
          <w:pgSz w:w="11906" w:h="16838"/>
          <w:pgMar w:top="1134" w:right="1134" w:bottom="1134" w:left="1134" w:header="709" w:footer="709" w:gutter="0"/>
          <w:cols w:space="708"/>
          <w:docGrid w:linePitch="360"/>
        </w:sectPr>
      </w:pPr>
    </w:p>
    <w:tbl>
      <w:tblPr>
        <w:tblW w:w="145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900"/>
        <w:gridCol w:w="4320"/>
        <w:gridCol w:w="900"/>
        <w:gridCol w:w="3960"/>
      </w:tblGrid>
      <w:tr w:rsidR="00AE4159" w:rsidRPr="00672844" w:rsidTr="00A871B0">
        <w:trPr>
          <w:trHeight w:val="397"/>
        </w:trPr>
        <w:tc>
          <w:tcPr>
            <w:tcW w:w="4500" w:type="dxa"/>
            <w:shd w:val="clear" w:color="auto" w:fill="auto"/>
            <w:vAlign w:val="center"/>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lastRenderedPageBreak/>
              <w:t>Groundwater Salinity Thresholds</w:t>
            </w:r>
          </w:p>
        </w:tc>
        <w:tc>
          <w:tcPr>
            <w:tcW w:w="900" w:type="dxa"/>
            <w:tcBorders>
              <w:top w:val="nil"/>
              <w:bottom w:val="nil"/>
            </w:tcBorders>
            <w:shd w:val="clear" w:color="auto" w:fill="auto"/>
            <w:vAlign w:val="center"/>
          </w:tcPr>
          <w:p w:rsidR="00AE4159" w:rsidRPr="005E2D67" w:rsidRDefault="00AE4159" w:rsidP="00A871B0">
            <w:pPr>
              <w:keepNext/>
              <w:tabs>
                <w:tab w:val="num" w:pos="720"/>
              </w:tabs>
              <w:spacing w:line="260" w:lineRule="exact"/>
              <w:ind w:left="720" w:hanging="720"/>
              <w:jc w:val="center"/>
              <w:rPr>
                <w:rFonts w:ascii="Arial" w:hAnsi="Arial" w:cs="Arial"/>
                <w:b/>
                <w:i/>
                <w:sz w:val="18"/>
                <w:szCs w:val="18"/>
              </w:rPr>
            </w:pPr>
          </w:p>
        </w:tc>
        <w:tc>
          <w:tcPr>
            <w:tcW w:w="4320" w:type="dxa"/>
            <w:tcBorders>
              <w:bottom w:val="single" w:sz="4" w:space="0" w:color="auto"/>
            </w:tcBorders>
            <w:shd w:val="clear" w:color="auto" w:fill="auto"/>
            <w:vAlign w:val="center"/>
          </w:tcPr>
          <w:p w:rsidR="00AE4159" w:rsidRPr="005E2D67" w:rsidRDefault="00AE4159" w:rsidP="00A871B0">
            <w:pPr>
              <w:keepNext/>
              <w:tabs>
                <w:tab w:val="num" w:pos="720"/>
              </w:tabs>
              <w:spacing w:line="260" w:lineRule="exact"/>
              <w:ind w:left="720" w:hanging="720"/>
              <w:jc w:val="center"/>
              <w:rPr>
                <w:rFonts w:ascii="Arial" w:hAnsi="Arial" w:cs="Arial"/>
                <w:b/>
                <w:i/>
                <w:sz w:val="18"/>
                <w:szCs w:val="18"/>
              </w:rPr>
            </w:pPr>
            <w:r>
              <w:rPr>
                <w:rFonts w:ascii="Arial" w:hAnsi="Arial" w:cs="Arial"/>
                <w:b/>
                <w:i/>
                <w:sz w:val="18"/>
                <w:szCs w:val="18"/>
              </w:rPr>
              <w:t>Bulk Volumes</w:t>
            </w:r>
          </w:p>
        </w:tc>
        <w:tc>
          <w:tcPr>
            <w:tcW w:w="900" w:type="dxa"/>
            <w:tcBorders>
              <w:top w:val="nil"/>
              <w:bottom w:val="nil"/>
            </w:tcBorders>
            <w:vAlign w:val="center"/>
          </w:tcPr>
          <w:p w:rsidR="00AE4159" w:rsidRPr="005E2D67" w:rsidRDefault="00AE4159" w:rsidP="00A871B0">
            <w:pPr>
              <w:keepNext/>
              <w:tabs>
                <w:tab w:val="num" w:pos="720"/>
              </w:tabs>
              <w:spacing w:line="260" w:lineRule="exact"/>
              <w:ind w:left="720" w:hanging="720"/>
              <w:jc w:val="center"/>
              <w:rPr>
                <w:rFonts w:ascii="Arial" w:hAnsi="Arial" w:cs="Arial"/>
                <w:b/>
                <w:i/>
                <w:sz w:val="18"/>
                <w:szCs w:val="18"/>
              </w:rPr>
            </w:pPr>
          </w:p>
        </w:tc>
        <w:tc>
          <w:tcPr>
            <w:tcW w:w="3960" w:type="dxa"/>
            <w:tcBorders>
              <w:bottom w:val="single" w:sz="4" w:space="0" w:color="auto"/>
            </w:tcBorders>
            <w:vAlign w:val="center"/>
          </w:tcPr>
          <w:p w:rsidR="00AE4159" w:rsidRPr="005E2D67" w:rsidRDefault="00AE4159" w:rsidP="00A871B0">
            <w:pPr>
              <w:keepNext/>
              <w:tabs>
                <w:tab w:val="num" w:pos="720"/>
              </w:tabs>
              <w:spacing w:line="260" w:lineRule="exact"/>
              <w:ind w:left="720" w:hanging="720"/>
              <w:jc w:val="center"/>
              <w:rPr>
                <w:rFonts w:ascii="Arial" w:hAnsi="Arial" w:cs="Arial"/>
                <w:b/>
                <w:i/>
                <w:sz w:val="18"/>
                <w:szCs w:val="18"/>
              </w:rPr>
            </w:pPr>
            <w:r>
              <w:rPr>
                <w:rFonts w:ascii="Arial" w:hAnsi="Arial" w:cs="Arial"/>
                <w:b/>
                <w:i/>
                <w:sz w:val="18"/>
                <w:szCs w:val="18"/>
              </w:rPr>
              <w:t>Effective Porosity Estimates</w:t>
            </w:r>
          </w:p>
        </w:tc>
      </w:tr>
      <w:tr w:rsidR="00AE4159" w:rsidRPr="00672844" w:rsidTr="00A871B0">
        <w:trPr>
          <w:trHeight w:val="567"/>
        </w:trPr>
        <w:tc>
          <w:tcPr>
            <w:tcW w:w="4500" w:type="dxa"/>
            <w:shd w:val="clear" w:color="auto" w:fill="E0E0E0"/>
            <w:vAlign w:val="center"/>
          </w:tcPr>
          <w:p w:rsidR="00AE4159" w:rsidRPr="005E2D67" w:rsidRDefault="00AE4159" w:rsidP="00A871B0">
            <w:pPr>
              <w:spacing w:before="120" w:after="120"/>
              <w:jc w:val="center"/>
              <w:rPr>
                <w:rFonts w:ascii="Arial" w:hAnsi="Arial" w:cs="Arial"/>
                <w:b/>
                <w:i/>
                <w:sz w:val="18"/>
                <w:szCs w:val="18"/>
              </w:rPr>
            </w:pPr>
            <w:r w:rsidRPr="005E2D67">
              <w:rPr>
                <w:rFonts w:ascii="Arial" w:hAnsi="Arial" w:cs="Arial"/>
                <w:b/>
                <w:i/>
                <w:sz w:val="18"/>
                <w:szCs w:val="18"/>
              </w:rPr>
              <w:t>Interpolate representative pore fluid salinity downhole profile</w:t>
            </w:r>
            <w:r>
              <w:rPr>
                <w:rFonts w:ascii="Arial" w:hAnsi="Arial" w:cs="Arial"/>
                <w:b/>
                <w:i/>
                <w:sz w:val="18"/>
                <w:szCs w:val="18"/>
              </w:rPr>
              <w:t>s</w:t>
            </w:r>
            <w:r w:rsidRPr="005E2D67">
              <w:rPr>
                <w:rFonts w:ascii="Arial" w:hAnsi="Arial" w:cs="Arial"/>
                <w:b/>
                <w:i/>
                <w:sz w:val="18"/>
                <w:szCs w:val="18"/>
              </w:rPr>
              <w:t xml:space="preserve"> on a 0.5</w:t>
            </w:r>
            <w:r w:rsidR="00A72012">
              <w:rPr>
                <w:rFonts w:ascii="Arial" w:hAnsi="Arial" w:cs="Arial"/>
                <w:b/>
                <w:i/>
                <w:sz w:val="18"/>
                <w:szCs w:val="18"/>
              </w:rPr>
              <w:t xml:space="preserve"> </w:t>
            </w:r>
            <w:r w:rsidRPr="005E2D67">
              <w:rPr>
                <w:rFonts w:ascii="Arial" w:hAnsi="Arial" w:cs="Arial"/>
                <w:b/>
                <w:i/>
                <w:sz w:val="18"/>
                <w:szCs w:val="18"/>
              </w:rPr>
              <w:t>m basis</w:t>
            </w:r>
          </w:p>
        </w:tc>
        <w:tc>
          <w:tcPr>
            <w:tcW w:w="900" w:type="dxa"/>
            <w:tcBorders>
              <w:top w:val="nil"/>
              <w:bottom w:val="nil"/>
            </w:tcBorders>
            <w:shd w:val="clear" w:color="auto" w:fill="auto"/>
          </w:tcPr>
          <w:p w:rsidR="00AE4159" w:rsidRPr="005E2D67" w:rsidRDefault="00AE4159" w:rsidP="00A871B0">
            <w:pPr>
              <w:keepNext/>
              <w:tabs>
                <w:tab w:val="num" w:pos="720"/>
              </w:tabs>
              <w:spacing w:line="260" w:lineRule="exact"/>
              <w:ind w:left="720" w:hanging="720"/>
              <w:rPr>
                <w:rFonts w:ascii="Arial" w:hAnsi="Arial" w:cs="Arial"/>
                <w:b/>
                <w:i/>
                <w:sz w:val="18"/>
                <w:szCs w:val="18"/>
              </w:rPr>
            </w:pPr>
          </w:p>
        </w:tc>
        <w:tc>
          <w:tcPr>
            <w:tcW w:w="4320" w:type="dxa"/>
            <w:shd w:val="clear" w:color="auto" w:fill="E0E0E0"/>
          </w:tcPr>
          <w:p w:rsidR="00AE4159" w:rsidRPr="005E2D67" w:rsidRDefault="00AE4159" w:rsidP="00A871B0">
            <w:pPr>
              <w:keepNext/>
              <w:tabs>
                <w:tab w:val="num" w:pos="720"/>
              </w:tabs>
              <w:spacing w:line="260" w:lineRule="exact"/>
              <w:ind w:left="720" w:hanging="720"/>
              <w:rPr>
                <w:rFonts w:ascii="Arial" w:hAnsi="Arial" w:cs="Arial"/>
                <w:b/>
                <w:i/>
                <w:sz w:val="18"/>
                <w:szCs w:val="18"/>
              </w:rPr>
            </w:pPr>
            <w:r>
              <w:rPr>
                <w:rFonts w:ascii="Arial" w:hAnsi="Arial" w:cs="Arial"/>
                <w:b/>
                <w:i/>
                <w:sz w:val="18"/>
                <w:szCs w:val="18"/>
              </w:rPr>
              <w:t>Categorise AEM depth slice grids (6.4-72.3</w:t>
            </w:r>
            <w:r w:rsidR="00A72012">
              <w:rPr>
                <w:rFonts w:ascii="Arial" w:hAnsi="Arial" w:cs="Arial"/>
                <w:b/>
                <w:i/>
                <w:sz w:val="18"/>
                <w:szCs w:val="18"/>
              </w:rPr>
              <w:t xml:space="preserve"> </w:t>
            </w:r>
            <w:r>
              <w:rPr>
                <w:rFonts w:ascii="Arial" w:hAnsi="Arial" w:cs="Arial"/>
                <w:b/>
                <w:i/>
                <w:sz w:val="18"/>
                <w:szCs w:val="18"/>
              </w:rPr>
              <w:t>m) on basis of hydrostratigraphy and target/borefield areas</w:t>
            </w:r>
          </w:p>
        </w:tc>
        <w:tc>
          <w:tcPr>
            <w:tcW w:w="900" w:type="dxa"/>
            <w:tcBorders>
              <w:top w:val="nil"/>
              <w:bottom w:val="nil"/>
              <w:right w:val="nil"/>
            </w:tcBorders>
          </w:tcPr>
          <w:p w:rsidR="00AE4159" w:rsidRPr="005E2D67" w:rsidRDefault="00AE4159" w:rsidP="00A871B0">
            <w:pPr>
              <w:keepNext/>
              <w:tabs>
                <w:tab w:val="num" w:pos="720"/>
              </w:tabs>
              <w:spacing w:line="260" w:lineRule="exact"/>
              <w:ind w:left="720" w:hanging="720"/>
              <w:rPr>
                <w:rFonts w:ascii="Arial" w:hAnsi="Arial" w:cs="Arial"/>
                <w:b/>
                <w:i/>
                <w:sz w:val="18"/>
                <w:szCs w:val="18"/>
              </w:rPr>
            </w:pPr>
          </w:p>
        </w:tc>
        <w:tc>
          <w:tcPr>
            <w:tcW w:w="3960" w:type="dxa"/>
            <w:tcBorders>
              <w:left w:val="nil"/>
              <w:bottom w:val="nil"/>
              <w:right w:val="nil"/>
            </w:tcBorders>
          </w:tcPr>
          <w:p w:rsidR="00AE4159" w:rsidRPr="005E2D67" w:rsidRDefault="00AE4159" w:rsidP="00A871B0">
            <w:pPr>
              <w:keepNext/>
              <w:tabs>
                <w:tab w:val="num" w:pos="720"/>
              </w:tabs>
              <w:spacing w:line="260" w:lineRule="exact"/>
              <w:ind w:left="720" w:hanging="720"/>
              <w:rPr>
                <w:rFonts w:ascii="Arial" w:hAnsi="Arial" w:cs="Arial"/>
                <w:b/>
                <w:i/>
                <w:sz w:val="18"/>
                <w:szCs w:val="18"/>
              </w:rPr>
            </w:pPr>
          </w:p>
        </w:tc>
      </w:tr>
      <w:tr w:rsidR="00AE4159" w:rsidRPr="00672844" w:rsidTr="00A871B0">
        <w:trPr>
          <w:trHeight w:hRule="exact" w:val="284"/>
        </w:trPr>
        <w:tc>
          <w:tcPr>
            <w:tcW w:w="4500" w:type="dxa"/>
            <w:tcBorders>
              <w:left w:val="nil"/>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2336" behindDoc="0" locked="0" layoutInCell="1" allowOverlap="1" wp14:anchorId="3135F23D" wp14:editId="7D9AC9F3">
                      <wp:simplePos x="0" y="0"/>
                      <wp:positionH relativeFrom="column">
                        <wp:posOffset>1257300</wp:posOffset>
                      </wp:positionH>
                      <wp:positionV relativeFrom="paragraph">
                        <wp:posOffset>20955</wp:posOffset>
                      </wp:positionV>
                      <wp:extent cx="252095" cy="144145"/>
                      <wp:effectExtent l="45720" t="5715" r="45085" b="12065"/>
                      <wp:wrapNone/>
                      <wp:docPr id="1579" name="AutoShape 1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963" o:spid="_x0000_s1026" type="#_x0000_t67" style="position:absolute;margin-left:99pt;margin-top:1.65pt;width:19.85pt;height:1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" fillcolor="#36f" strokecolor="#333"/>
                  </w:pict>
                </mc:Fallback>
              </mc:AlternateContent>
            </w:r>
          </w:p>
        </w:tc>
        <w:tc>
          <w:tcPr>
            <w:tcW w:w="9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tcBorders>
              <w:left w:val="nil"/>
              <w:bottom w:val="single" w:sz="4" w:space="0" w:color="auto"/>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71552" behindDoc="0" locked="0" layoutInCell="1" allowOverlap="1" wp14:anchorId="36426D88" wp14:editId="2D70D6CB">
                      <wp:simplePos x="0" y="0"/>
                      <wp:positionH relativeFrom="column">
                        <wp:posOffset>1169670</wp:posOffset>
                      </wp:positionH>
                      <wp:positionV relativeFrom="paragraph">
                        <wp:posOffset>24130</wp:posOffset>
                      </wp:positionV>
                      <wp:extent cx="252095" cy="144145"/>
                      <wp:effectExtent l="43815" t="8890" r="46990" b="8890"/>
                      <wp:wrapNone/>
                      <wp:docPr id="1578" name="AutoShape 1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2" o:spid="_x0000_s1026" type="#_x0000_t67" style="position:absolute;margin-left:92.1pt;margin-top:1.9pt;width:19.85pt;height:1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" fillcolor="#36f" strokecolor="#333"/>
                  </w:pict>
                </mc:Fallback>
              </mc:AlternateContent>
            </w:r>
          </w:p>
        </w:tc>
        <w:tc>
          <w:tcPr>
            <w:tcW w:w="90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c>
          <w:tcPr>
            <w:tcW w:w="396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r>
      <w:tr w:rsidR="00AE4159" w:rsidRPr="00672844" w:rsidTr="00A871B0">
        <w:trPr>
          <w:trHeight w:val="567"/>
        </w:trPr>
        <w:tc>
          <w:tcPr>
            <w:tcW w:w="4500" w:type="dxa"/>
            <w:shd w:val="clear" w:color="auto" w:fill="E0E0E0"/>
          </w:tcPr>
          <w:p w:rsidR="00AE4159" w:rsidRPr="005E2D67" w:rsidRDefault="00AE4159" w:rsidP="00A871B0">
            <w:pPr>
              <w:spacing w:before="120" w:after="120"/>
              <w:jc w:val="center"/>
              <w:rPr>
                <w:rFonts w:ascii="Arial" w:hAnsi="Arial" w:cs="Arial"/>
                <w:b/>
                <w:i/>
                <w:sz w:val="18"/>
                <w:szCs w:val="18"/>
              </w:rPr>
            </w:pPr>
            <w:r w:rsidRPr="005E2D67">
              <w:rPr>
                <w:rFonts w:ascii="Arial" w:hAnsi="Arial" w:cs="Arial"/>
                <w:b/>
                <w:i/>
                <w:sz w:val="18"/>
                <w:szCs w:val="18"/>
              </w:rPr>
              <w:t>Average the interpolated pore fluid salinity over the AEM depth slice intervals</w:t>
            </w:r>
          </w:p>
        </w:tc>
        <w:tc>
          <w:tcPr>
            <w:tcW w:w="900" w:type="dxa"/>
            <w:tcBorders>
              <w:top w:val="nil"/>
              <w:bottom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Categorise AEM depth slice grids (6.4-72.3</w:t>
            </w:r>
            <w:r w:rsidR="00A72012">
              <w:rPr>
                <w:rFonts w:ascii="Arial" w:hAnsi="Arial" w:cs="Arial"/>
                <w:b/>
                <w:i/>
                <w:sz w:val="18"/>
                <w:szCs w:val="18"/>
              </w:rPr>
              <w:t xml:space="preserve"> </w:t>
            </w:r>
            <w:r>
              <w:rPr>
                <w:rFonts w:ascii="Arial" w:hAnsi="Arial" w:cs="Arial"/>
                <w:b/>
                <w:i/>
                <w:sz w:val="18"/>
                <w:szCs w:val="18"/>
              </w:rPr>
              <w:t>m) into textural classes</w:t>
            </w:r>
          </w:p>
        </w:tc>
        <w:tc>
          <w:tcPr>
            <w:tcW w:w="900" w:type="dxa"/>
            <w:tcBorders>
              <w:top w:val="nil"/>
              <w:bottom w:val="nil"/>
              <w:right w:val="nil"/>
            </w:tcBorders>
          </w:tcPr>
          <w:p w:rsidR="00AE4159" w:rsidRPr="005E2D67" w:rsidRDefault="00AE4159" w:rsidP="00A871B0">
            <w:pPr>
              <w:spacing w:before="120" w:after="120"/>
              <w:jc w:val="center"/>
              <w:rPr>
                <w:rFonts w:ascii="Arial" w:hAnsi="Arial" w:cs="Arial"/>
                <w:b/>
                <w:i/>
                <w:sz w:val="18"/>
                <w:szCs w:val="18"/>
              </w:rPr>
            </w:pPr>
          </w:p>
        </w:tc>
        <w:tc>
          <w:tcPr>
            <w:tcW w:w="396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r>
      <w:tr w:rsidR="00AE4159" w:rsidRPr="00672844" w:rsidTr="00A871B0">
        <w:trPr>
          <w:trHeight w:hRule="exact" w:val="284"/>
        </w:trPr>
        <w:tc>
          <w:tcPr>
            <w:tcW w:w="4500" w:type="dxa"/>
            <w:tcBorders>
              <w:left w:val="nil"/>
              <w:bottom w:val="single" w:sz="4" w:space="0" w:color="auto"/>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3360" behindDoc="0" locked="0" layoutInCell="1" allowOverlap="1" wp14:anchorId="3FF3C6FC" wp14:editId="06258193">
                      <wp:simplePos x="0" y="0"/>
                      <wp:positionH relativeFrom="column">
                        <wp:posOffset>1259205</wp:posOffset>
                      </wp:positionH>
                      <wp:positionV relativeFrom="paragraph">
                        <wp:posOffset>13335</wp:posOffset>
                      </wp:positionV>
                      <wp:extent cx="252095" cy="144145"/>
                      <wp:effectExtent l="47625" t="9525" r="43180" b="17780"/>
                      <wp:wrapNone/>
                      <wp:docPr id="1577" name="AutoShape 1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4" o:spid="_x0000_s1026" type="#_x0000_t67" style="position:absolute;margin-left:99.15pt;margin-top:1.05pt;width:19.85pt;height:1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" fillcolor="#36f" strokecolor="#333"/>
                  </w:pict>
                </mc:Fallback>
              </mc:AlternateContent>
            </w:r>
          </w:p>
        </w:tc>
        <w:tc>
          <w:tcPr>
            <w:tcW w:w="9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tcBorders>
              <w:left w:val="nil"/>
              <w:bottom w:val="single" w:sz="4" w:space="0" w:color="auto"/>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72576" behindDoc="0" locked="0" layoutInCell="1" allowOverlap="1" wp14:anchorId="67E89794" wp14:editId="610BE4ED">
                      <wp:simplePos x="0" y="0"/>
                      <wp:positionH relativeFrom="column">
                        <wp:posOffset>1188720</wp:posOffset>
                      </wp:positionH>
                      <wp:positionV relativeFrom="paragraph">
                        <wp:posOffset>24130</wp:posOffset>
                      </wp:positionV>
                      <wp:extent cx="252095" cy="144145"/>
                      <wp:effectExtent l="43815" t="10795" r="46990" b="6985"/>
                      <wp:wrapNone/>
                      <wp:docPr id="1576" name="AutoShape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3" o:spid="_x0000_s1026" type="#_x0000_t67" style="position:absolute;margin-left:93.6pt;margin-top:1.9pt;width:19.85pt;height:1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" fillcolor="#36f" strokecolor="#333"/>
                  </w:pict>
                </mc:Fallback>
              </mc:AlternateContent>
            </w:r>
          </w:p>
        </w:tc>
        <w:tc>
          <w:tcPr>
            <w:tcW w:w="90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c>
          <w:tcPr>
            <w:tcW w:w="396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r>
      <w:tr w:rsidR="00AE4159" w:rsidRPr="00672844" w:rsidTr="00A871B0">
        <w:trPr>
          <w:trHeight w:val="567"/>
        </w:trPr>
        <w:tc>
          <w:tcPr>
            <w:tcW w:w="4500" w:type="dxa"/>
            <w:shd w:val="clear" w:color="auto" w:fill="E0E0E0"/>
          </w:tcPr>
          <w:p w:rsidR="00AE4159" w:rsidRPr="005E2D67" w:rsidRDefault="00AE4159" w:rsidP="00A871B0">
            <w:pPr>
              <w:spacing w:before="120" w:after="120"/>
              <w:jc w:val="center"/>
              <w:rPr>
                <w:rFonts w:ascii="Arial" w:hAnsi="Arial" w:cs="Arial"/>
                <w:b/>
                <w:i/>
                <w:sz w:val="18"/>
                <w:szCs w:val="18"/>
              </w:rPr>
            </w:pPr>
            <w:r w:rsidRPr="005E2D67">
              <w:rPr>
                <w:rFonts w:ascii="Arial" w:hAnsi="Arial" w:cs="Arial"/>
                <w:b/>
                <w:i/>
                <w:sz w:val="18"/>
                <w:szCs w:val="18"/>
              </w:rPr>
              <w:t xml:space="preserve">Assess relationship between depth slice AEM conductivity and average pore fluid salinity for </w:t>
            </w:r>
            <w:r>
              <w:rPr>
                <w:rFonts w:ascii="Arial" w:hAnsi="Arial" w:cs="Arial"/>
                <w:b/>
                <w:i/>
                <w:sz w:val="18"/>
                <w:szCs w:val="18"/>
              </w:rPr>
              <w:t>Pliocene</w:t>
            </w:r>
            <w:r w:rsidRPr="005E2D67">
              <w:rPr>
                <w:rFonts w:ascii="Arial" w:hAnsi="Arial" w:cs="Arial"/>
                <w:b/>
                <w:i/>
                <w:sz w:val="18"/>
                <w:szCs w:val="18"/>
              </w:rPr>
              <w:t xml:space="preserve"> depth slice</w:t>
            </w:r>
            <w:r>
              <w:rPr>
                <w:rFonts w:ascii="Arial" w:hAnsi="Arial" w:cs="Arial"/>
                <w:b/>
                <w:i/>
                <w:sz w:val="18"/>
                <w:szCs w:val="18"/>
              </w:rPr>
              <w:t>s</w:t>
            </w:r>
          </w:p>
        </w:tc>
        <w:tc>
          <w:tcPr>
            <w:tcW w:w="900" w:type="dxa"/>
            <w:tcBorders>
              <w:top w:val="nil"/>
              <w:bottom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Categorise AEM depth slice grids (6.4-72.3</w:t>
            </w:r>
            <w:r w:rsidR="00A72012">
              <w:rPr>
                <w:rFonts w:ascii="Arial" w:hAnsi="Arial" w:cs="Arial"/>
                <w:b/>
                <w:i/>
                <w:sz w:val="18"/>
                <w:szCs w:val="18"/>
              </w:rPr>
              <w:t xml:space="preserve"> </w:t>
            </w:r>
            <w:r>
              <w:rPr>
                <w:rFonts w:ascii="Arial" w:hAnsi="Arial" w:cs="Arial"/>
                <w:b/>
                <w:i/>
                <w:sz w:val="18"/>
                <w:szCs w:val="18"/>
              </w:rPr>
              <w:t>m) into saturated or unsaturated relative to Pliocene aquifer potentiometric surface</w:t>
            </w:r>
          </w:p>
        </w:tc>
        <w:tc>
          <w:tcPr>
            <w:tcW w:w="900" w:type="dxa"/>
            <w:tcBorders>
              <w:top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396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r>
      <w:tr w:rsidR="00AE4159" w:rsidRPr="00672844" w:rsidTr="00A871B0">
        <w:trPr>
          <w:trHeight w:hRule="exact" w:val="284"/>
        </w:trPr>
        <w:tc>
          <w:tcPr>
            <w:tcW w:w="4500" w:type="dxa"/>
            <w:tcBorders>
              <w:left w:val="nil"/>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4384" behindDoc="0" locked="0" layoutInCell="1" allowOverlap="1" wp14:anchorId="08FA71B9" wp14:editId="0AE98154">
                      <wp:simplePos x="0" y="0"/>
                      <wp:positionH relativeFrom="column">
                        <wp:posOffset>1257300</wp:posOffset>
                      </wp:positionH>
                      <wp:positionV relativeFrom="paragraph">
                        <wp:posOffset>13335</wp:posOffset>
                      </wp:positionV>
                      <wp:extent cx="252095" cy="144145"/>
                      <wp:effectExtent l="45720" t="9525" r="45085" b="17780"/>
                      <wp:wrapNone/>
                      <wp:docPr id="1575" name="AutoShape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5" o:spid="_x0000_s1026" type="#_x0000_t67" style="position:absolute;margin-left:99pt;margin-top:1.05pt;width:19.85pt;height:1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" fillcolor="#36f" strokecolor="#333"/>
                  </w:pict>
                </mc:Fallback>
              </mc:AlternateContent>
            </w:r>
          </w:p>
        </w:tc>
        <w:tc>
          <w:tcPr>
            <w:tcW w:w="9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tcBorders>
              <w:left w:val="nil"/>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7456" behindDoc="0" locked="0" layoutInCell="1" allowOverlap="1" wp14:anchorId="3B13330E" wp14:editId="6A9A7B1F">
                      <wp:simplePos x="0" y="0"/>
                      <wp:positionH relativeFrom="column">
                        <wp:posOffset>1172845</wp:posOffset>
                      </wp:positionH>
                      <wp:positionV relativeFrom="paragraph">
                        <wp:posOffset>14605</wp:posOffset>
                      </wp:positionV>
                      <wp:extent cx="252095" cy="144145"/>
                      <wp:effectExtent l="46990" t="10795" r="43815" b="6985"/>
                      <wp:wrapNone/>
                      <wp:docPr id="1574" name="AutoShape 1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8" o:spid="_x0000_s1026" type="#_x0000_t67" style="position:absolute;margin-left:92.35pt;margin-top:1.15pt;width:19.85pt;height:1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" fillcolor="#36f" strokecolor="#333"/>
                  </w:pict>
                </mc:Fallback>
              </mc:AlternateContent>
            </w:r>
          </w:p>
        </w:tc>
        <w:tc>
          <w:tcPr>
            <w:tcW w:w="90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c>
          <w:tcPr>
            <w:tcW w:w="3960" w:type="dxa"/>
            <w:tcBorders>
              <w:top w:val="nil"/>
              <w:left w:val="nil"/>
              <w:right w:val="nil"/>
            </w:tcBorders>
          </w:tcPr>
          <w:p w:rsidR="00AE4159" w:rsidRPr="005E2D67" w:rsidRDefault="00AE4159" w:rsidP="00A871B0">
            <w:pPr>
              <w:spacing w:before="120" w:after="120"/>
              <w:jc w:val="center"/>
              <w:rPr>
                <w:rFonts w:ascii="Arial" w:hAnsi="Arial" w:cs="Arial"/>
                <w:b/>
                <w:i/>
                <w:sz w:val="18"/>
                <w:szCs w:val="18"/>
              </w:rPr>
            </w:pPr>
          </w:p>
        </w:tc>
      </w:tr>
      <w:tr w:rsidR="00AE4159" w:rsidRPr="00672844" w:rsidTr="00A871B0">
        <w:trPr>
          <w:trHeight w:val="567"/>
        </w:trPr>
        <w:tc>
          <w:tcPr>
            <w:tcW w:w="4500" w:type="dxa"/>
            <w:shd w:val="clear" w:color="auto" w:fill="E0E0E0"/>
          </w:tcPr>
          <w:p w:rsidR="00AE4159" w:rsidRPr="005E2D67" w:rsidRDefault="00AE4159" w:rsidP="00A871B0">
            <w:pPr>
              <w:spacing w:before="120" w:after="120"/>
              <w:jc w:val="center"/>
              <w:rPr>
                <w:rFonts w:ascii="Arial" w:hAnsi="Arial" w:cs="Arial"/>
                <w:b/>
                <w:i/>
                <w:sz w:val="18"/>
                <w:szCs w:val="18"/>
              </w:rPr>
            </w:pPr>
            <w:r w:rsidRPr="005E2D67">
              <w:rPr>
                <w:rFonts w:ascii="Arial" w:hAnsi="Arial" w:cs="Arial"/>
                <w:b/>
                <w:i/>
                <w:sz w:val="18"/>
                <w:szCs w:val="18"/>
              </w:rPr>
              <w:t xml:space="preserve">Define AEM conductivity limits for </w:t>
            </w:r>
            <w:r>
              <w:rPr>
                <w:rFonts w:ascii="Arial" w:hAnsi="Arial" w:cs="Arial"/>
                <w:b/>
                <w:i/>
                <w:sz w:val="18"/>
                <w:szCs w:val="18"/>
              </w:rPr>
              <w:t xml:space="preserve">groundwater </w:t>
            </w:r>
            <w:r w:rsidRPr="005E2D67">
              <w:rPr>
                <w:rFonts w:ascii="Arial" w:hAnsi="Arial" w:cs="Arial"/>
                <w:b/>
                <w:i/>
                <w:sz w:val="18"/>
                <w:szCs w:val="18"/>
              </w:rPr>
              <w:t>salinity thresholds by incremental analysis of population statistics</w:t>
            </w:r>
          </w:p>
        </w:tc>
        <w:tc>
          <w:tcPr>
            <w:tcW w:w="900" w:type="dxa"/>
            <w:tcBorders>
              <w:top w:val="nil"/>
              <w:bottom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5408" behindDoc="0" locked="0" layoutInCell="1" allowOverlap="1" wp14:anchorId="437248B3" wp14:editId="125BDF36">
                      <wp:simplePos x="0" y="0"/>
                      <wp:positionH relativeFrom="column">
                        <wp:posOffset>106045</wp:posOffset>
                      </wp:positionH>
                      <wp:positionV relativeFrom="paragraph">
                        <wp:posOffset>167005</wp:posOffset>
                      </wp:positionV>
                      <wp:extent cx="252095" cy="144145"/>
                      <wp:effectExtent l="5715" t="41910" r="12065" b="39370"/>
                      <wp:wrapNone/>
                      <wp:docPr id="1573" name="AutoShape 1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6" o:spid="_x0000_s1026" type="#_x0000_t67" style="position:absolute;margin-left:8.35pt;margin-top:13.15pt;width:19.85pt;height:11.3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" fillcolor="#36f" strokecolor="#333"/>
                  </w:pict>
                </mc:Fallback>
              </mc:AlternateContent>
            </w:r>
          </w:p>
        </w:tc>
        <w:tc>
          <w:tcPr>
            <w:tcW w:w="4320" w:type="dxa"/>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Select AEM depth slice grid cells with saturated Pliocene classified on basis of textural classes and groundwater salinity thresholds</w:t>
            </w:r>
          </w:p>
        </w:tc>
        <w:tc>
          <w:tcPr>
            <w:tcW w:w="900" w:type="dxa"/>
            <w:tcBorders>
              <w:top w:val="nil"/>
              <w:bottom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3960" w:type="dxa"/>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Recalibrate 2011 NMR data using 2013 NMR data and laboratory porosity measurements</w:t>
            </w:r>
          </w:p>
        </w:tc>
      </w:tr>
      <w:tr w:rsidR="00AE4159" w:rsidRPr="00672844" w:rsidTr="00A871B0">
        <w:trPr>
          <w:trHeight w:hRule="exact" w:val="284"/>
        </w:trPr>
        <w:tc>
          <w:tcPr>
            <w:tcW w:w="4500" w:type="dxa"/>
            <w:tcBorders>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9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tcBorders>
              <w:left w:val="nil"/>
              <w:bottom w:val="single" w:sz="4" w:space="0" w:color="auto"/>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9504" behindDoc="0" locked="0" layoutInCell="1" allowOverlap="1" wp14:anchorId="1F0A927D" wp14:editId="73A284DF">
                      <wp:simplePos x="0" y="0"/>
                      <wp:positionH relativeFrom="column">
                        <wp:posOffset>1160145</wp:posOffset>
                      </wp:positionH>
                      <wp:positionV relativeFrom="paragraph">
                        <wp:posOffset>13335</wp:posOffset>
                      </wp:positionV>
                      <wp:extent cx="252095" cy="144145"/>
                      <wp:effectExtent l="43815" t="9525" r="46990" b="8255"/>
                      <wp:wrapNone/>
                      <wp:docPr id="1572" name="AutoShape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0" o:spid="_x0000_s1026" type="#_x0000_t67" style="position:absolute;margin-left:91.35pt;margin-top:1.05pt;width:19.85pt;height:1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" fillcolor="#36f" strokecolor="#333"/>
                  </w:pict>
                </mc:Fallback>
              </mc:AlternateContent>
            </w:r>
          </w:p>
        </w:tc>
        <w:tc>
          <w:tcPr>
            <w:tcW w:w="90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c>
          <w:tcPr>
            <w:tcW w:w="3960" w:type="dxa"/>
            <w:tcBorders>
              <w:left w:val="nil"/>
              <w:bottom w:val="single" w:sz="4" w:space="0" w:color="auto"/>
              <w:right w:val="nil"/>
            </w:tcBorders>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70528" behindDoc="0" locked="0" layoutInCell="1" allowOverlap="1" wp14:anchorId="3CD05972" wp14:editId="20043C9D">
                      <wp:simplePos x="0" y="0"/>
                      <wp:positionH relativeFrom="column">
                        <wp:posOffset>1074420</wp:posOffset>
                      </wp:positionH>
                      <wp:positionV relativeFrom="paragraph">
                        <wp:posOffset>14605</wp:posOffset>
                      </wp:positionV>
                      <wp:extent cx="252095" cy="144145"/>
                      <wp:effectExtent l="43815" t="10795" r="46990" b="6985"/>
                      <wp:wrapNone/>
                      <wp:docPr id="1571" name="AutoShape 1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1" o:spid="_x0000_s1026" type="#_x0000_t67" style="position:absolute;margin-left:84.6pt;margin-top:1.15pt;width:19.85pt;height:1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" fillcolor="#36f" strokecolor="#333"/>
                  </w:pict>
                </mc:Fallback>
              </mc:AlternateContent>
            </w:r>
          </w:p>
        </w:tc>
      </w:tr>
      <w:tr w:rsidR="00AE4159" w:rsidRPr="00672844" w:rsidTr="00A871B0">
        <w:trPr>
          <w:trHeight w:val="567"/>
        </w:trPr>
        <w:tc>
          <w:tcPr>
            <w:tcW w:w="45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900" w:type="dxa"/>
            <w:tcBorders>
              <w:top w:val="nil"/>
              <w:left w:val="nil"/>
              <w:bottom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Calculate bulk volumes using grid statistics and depth slice thickness</w:t>
            </w:r>
          </w:p>
        </w:tc>
        <w:tc>
          <w:tcPr>
            <w:tcW w:w="900" w:type="dxa"/>
            <w:tcBorders>
              <w:top w:val="nil"/>
              <w:bottom w:val="nil"/>
            </w:tcBorders>
          </w:tcPr>
          <w:p w:rsidR="00AE4159" w:rsidRPr="005E2D67" w:rsidRDefault="00AE4159" w:rsidP="00A871B0">
            <w:pPr>
              <w:spacing w:before="120" w:after="120"/>
              <w:jc w:val="center"/>
              <w:rPr>
                <w:rFonts w:ascii="Arial" w:hAnsi="Arial" w:cs="Arial"/>
                <w:b/>
                <w:i/>
                <w:sz w:val="18"/>
                <w:szCs w:val="18"/>
              </w:rPr>
            </w:pPr>
          </w:p>
        </w:tc>
        <w:tc>
          <w:tcPr>
            <w:tcW w:w="3960" w:type="dxa"/>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Derive NMR mobile water statistics on a textural class basis using recalibrated 2011 NMR data</w:t>
            </w:r>
          </w:p>
        </w:tc>
      </w:tr>
      <w:tr w:rsidR="00AE4159" w:rsidRPr="00672844" w:rsidTr="00A871B0">
        <w:trPr>
          <w:trHeight w:hRule="exact" w:val="284"/>
        </w:trPr>
        <w:tc>
          <w:tcPr>
            <w:tcW w:w="45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9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tcBorders>
              <w:left w:val="nil"/>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8480" behindDoc="0" locked="0" layoutInCell="1" allowOverlap="1" wp14:anchorId="22A540C4" wp14:editId="38B254DA">
                      <wp:simplePos x="0" y="0"/>
                      <wp:positionH relativeFrom="column">
                        <wp:posOffset>1172845</wp:posOffset>
                      </wp:positionH>
                      <wp:positionV relativeFrom="paragraph">
                        <wp:posOffset>17780</wp:posOffset>
                      </wp:positionV>
                      <wp:extent cx="252095" cy="144145"/>
                      <wp:effectExtent l="46990" t="13970" r="43815" b="13335"/>
                      <wp:wrapNone/>
                      <wp:docPr id="1569" name="AutoShape 1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9" o:spid="_x0000_s1026" type="#_x0000_t67" style="position:absolute;margin-left:92.35pt;margin-top:1.4pt;width:19.85pt;height:1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" fillcolor="#36f" strokecolor="#333"/>
                  </w:pict>
                </mc:Fallback>
              </mc:AlternateContent>
            </w:r>
          </w:p>
        </w:tc>
        <w:tc>
          <w:tcPr>
            <w:tcW w:w="90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c>
          <w:tcPr>
            <w:tcW w:w="3960" w:type="dxa"/>
            <w:tcBorders>
              <w:left w:val="nil"/>
              <w:right w:val="nil"/>
            </w:tcBorders>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73600" behindDoc="0" locked="0" layoutInCell="1" allowOverlap="1" wp14:anchorId="2C6E0B22" wp14:editId="14ADEC53">
                      <wp:simplePos x="0" y="0"/>
                      <wp:positionH relativeFrom="column">
                        <wp:posOffset>1085850</wp:posOffset>
                      </wp:positionH>
                      <wp:positionV relativeFrom="paragraph">
                        <wp:posOffset>13335</wp:posOffset>
                      </wp:positionV>
                      <wp:extent cx="252095" cy="144145"/>
                      <wp:effectExtent l="45720" t="9525" r="45085" b="8255"/>
                      <wp:wrapNone/>
                      <wp:docPr id="1568" name="AutoShape 1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4" o:spid="_x0000_s1026" type="#_x0000_t67" style="position:absolute;margin-left:85.5pt;margin-top:1.05pt;width:19.85pt;height:1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" fillcolor="#36f" strokecolor="#333"/>
                  </w:pict>
                </mc:Fallback>
              </mc:AlternateContent>
            </w:r>
          </w:p>
        </w:tc>
      </w:tr>
      <w:tr w:rsidR="00AE4159" w:rsidRPr="00672844" w:rsidTr="00A871B0">
        <w:trPr>
          <w:trHeight w:val="567"/>
        </w:trPr>
        <w:tc>
          <w:tcPr>
            <w:tcW w:w="45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900" w:type="dxa"/>
            <w:tcBorders>
              <w:top w:val="nil"/>
              <w:left w:val="nil"/>
              <w:bottom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Calculate groundwater storage volumes by combining bulk volumes and effective porosity ranges for textural classes</w:t>
            </w:r>
          </w:p>
        </w:tc>
        <w:tc>
          <w:tcPr>
            <w:tcW w:w="900" w:type="dxa"/>
            <w:tcBorders>
              <w:top w:val="nil"/>
              <w:bottom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74624" behindDoc="0" locked="0" layoutInCell="1" allowOverlap="1" wp14:anchorId="6F4FDEE0" wp14:editId="66263674">
                      <wp:simplePos x="0" y="0"/>
                      <wp:positionH relativeFrom="column">
                        <wp:posOffset>77470</wp:posOffset>
                      </wp:positionH>
                      <wp:positionV relativeFrom="paragraph">
                        <wp:posOffset>194310</wp:posOffset>
                      </wp:positionV>
                      <wp:extent cx="252095" cy="144145"/>
                      <wp:effectExtent l="15240" t="40640" r="12065" b="40640"/>
                      <wp:wrapNone/>
                      <wp:docPr id="31" name="AutoShape 1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5" o:spid="_x0000_s1026" type="#_x0000_t67" style="position:absolute;margin-left:6.1pt;margin-top:15.3pt;width:19.85pt;height:11.3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" fillcolor="#36f" strokecolor="#333"/>
                  </w:pict>
                </mc:Fallback>
              </mc:AlternateContent>
            </w:r>
          </w:p>
        </w:tc>
        <w:tc>
          <w:tcPr>
            <w:tcW w:w="3960" w:type="dxa"/>
            <w:tcBorders>
              <w:bottom w:val="single" w:sz="4" w:space="0" w:color="auto"/>
            </w:tcBorders>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Use NMR mobile water quartile and median statistics as surrogate for effective porosity range for each textural class</w:t>
            </w:r>
          </w:p>
        </w:tc>
      </w:tr>
      <w:tr w:rsidR="00AE4159" w:rsidRPr="00672844" w:rsidTr="00A871B0">
        <w:trPr>
          <w:trHeight w:hRule="exact" w:val="284"/>
        </w:trPr>
        <w:tc>
          <w:tcPr>
            <w:tcW w:w="45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9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tcBorders>
              <w:left w:val="nil"/>
              <w:bottom w:val="single" w:sz="4" w:space="0" w:color="auto"/>
              <w:right w:val="nil"/>
            </w:tcBorders>
            <w:shd w:val="clear" w:color="auto" w:fill="auto"/>
          </w:tcPr>
          <w:p w:rsidR="00AE4159" w:rsidRPr="005E2D67" w:rsidRDefault="00706A3B" w:rsidP="00A871B0">
            <w:pPr>
              <w:spacing w:before="120" w:after="120"/>
              <w:jc w:val="center"/>
              <w:rPr>
                <w:rFonts w:ascii="Arial" w:hAnsi="Arial" w:cs="Arial"/>
                <w:b/>
                <w:i/>
                <w:sz w:val="18"/>
                <w:szCs w:val="18"/>
              </w:rPr>
            </w:pPr>
            <w:r>
              <w:rPr>
                <w:rFonts w:ascii="Arial" w:hAnsi="Arial" w:cs="Arial"/>
                <w:b/>
                <w:i/>
                <w:noProof/>
                <w:sz w:val="18"/>
                <w:szCs w:val="18"/>
              </w:rPr>
              <mc:AlternateContent>
                <mc:Choice Requires="wps">
                  <w:drawing>
                    <wp:anchor distT="0" distB="0" distL="114300" distR="114300" simplePos="0" relativeHeight="251666432" behindDoc="0" locked="0" layoutInCell="1" allowOverlap="1" wp14:anchorId="34B9D5AC" wp14:editId="584701C6">
                      <wp:simplePos x="0" y="0"/>
                      <wp:positionH relativeFrom="column">
                        <wp:posOffset>1171575</wp:posOffset>
                      </wp:positionH>
                      <wp:positionV relativeFrom="paragraph">
                        <wp:posOffset>13335</wp:posOffset>
                      </wp:positionV>
                      <wp:extent cx="252095" cy="144145"/>
                      <wp:effectExtent l="45720" t="9525" r="45085" b="8255"/>
                      <wp:wrapNone/>
                      <wp:docPr id="27" name="AutoShape 1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44145"/>
                              </a:xfrm>
                              <a:prstGeom prst="downArrow">
                                <a:avLst>
                                  <a:gd name="adj1" fmla="val 50000"/>
                                  <a:gd name="adj2" fmla="val 25000"/>
                                </a:avLst>
                              </a:prstGeom>
                              <a:solidFill>
                                <a:srgbClr val="3366FF"/>
                              </a:solidFill>
                              <a:ln w="9525">
                                <a:solidFill>
                                  <a:srgbClr val="333333"/>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7" o:spid="_x0000_s1026" type="#_x0000_t67" style="position:absolute;margin-left:92.25pt;margin-top:1.05pt;width:19.85pt;height:1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" fillcolor="#36f" strokecolor="#333"/>
                  </w:pict>
                </mc:Fallback>
              </mc:AlternateContent>
            </w:r>
          </w:p>
        </w:tc>
        <w:tc>
          <w:tcPr>
            <w:tcW w:w="900" w:type="dxa"/>
            <w:tcBorders>
              <w:top w:val="nil"/>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c>
          <w:tcPr>
            <w:tcW w:w="3960" w:type="dxa"/>
            <w:tcBorders>
              <w:left w:val="nil"/>
              <w:bottom w:val="nil"/>
              <w:right w:val="nil"/>
            </w:tcBorders>
          </w:tcPr>
          <w:p w:rsidR="00AE4159" w:rsidRPr="005E2D67" w:rsidRDefault="00AE4159" w:rsidP="00A871B0">
            <w:pPr>
              <w:spacing w:before="120" w:after="120"/>
              <w:jc w:val="center"/>
              <w:rPr>
                <w:rFonts w:ascii="Arial" w:hAnsi="Arial" w:cs="Arial"/>
                <w:b/>
                <w:i/>
                <w:sz w:val="18"/>
                <w:szCs w:val="18"/>
              </w:rPr>
            </w:pPr>
          </w:p>
        </w:tc>
      </w:tr>
      <w:tr w:rsidR="00AE4159" w:rsidRPr="00672844" w:rsidTr="00A871B0">
        <w:trPr>
          <w:trHeight w:val="567"/>
        </w:trPr>
        <w:tc>
          <w:tcPr>
            <w:tcW w:w="450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900" w:type="dxa"/>
            <w:tcBorders>
              <w:top w:val="nil"/>
              <w:left w:val="nil"/>
              <w:bottom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4320" w:type="dxa"/>
            <w:tcBorders>
              <w:right w:val="single" w:sz="4" w:space="0" w:color="auto"/>
            </w:tcBorders>
            <w:shd w:val="clear" w:color="auto" w:fill="E0E0E0"/>
          </w:tcPr>
          <w:p w:rsidR="00AE4159" w:rsidRPr="005E2D67" w:rsidRDefault="00AE4159" w:rsidP="00A871B0">
            <w:pPr>
              <w:spacing w:before="120" w:after="120"/>
              <w:jc w:val="center"/>
              <w:rPr>
                <w:rFonts w:ascii="Arial" w:hAnsi="Arial" w:cs="Arial"/>
                <w:b/>
                <w:i/>
                <w:sz w:val="18"/>
                <w:szCs w:val="18"/>
              </w:rPr>
            </w:pPr>
            <w:r>
              <w:rPr>
                <w:rFonts w:ascii="Arial" w:hAnsi="Arial" w:cs="Arial"/>
                <w:b/>
                <w:i/>
                <w:sz w:val="18"/>
                <w:szCs w:val="18"/>
              </w:rPr>
              <w:t>Report groundwater storage volumes on basis of target/borefield area and salinity categories</w:t>
            </w:r>
          </w:p>
        </w:tc>
        <w:tc>
          <w:tcPr>
            <w:tcW w:w="900" w:type="dxa"/>
            <w:tcBorders>
              <w:top w:val="nil"/>
              <w:left w:val="single" w:sz="4" w:space="0" w:color="auto"/>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c>
          <w:tcPr>
            <w:tcW w:w="3960" w:type="dxa"/>
            <w:tcBorders>
              <w:top w:val="nil"/>
              <w:left w:val="nil"/>
              <w:bottom w:val="nil"/>
              <w:right w:val="nil"/>
            </w:tcBorders>
            <w:shd w:val="clear" w:color="auto" w:fill="auto"/>
          </w:tcPr>
          <w:p w:rsidR="00AE4159" w:rsidRPr="005E2D67" w:rsidRDefault="00AE4159" w:rsidP="00A871B0">
            <w:pPr>
              <w:spacing w:before="120" w:after="120"/>
              <w:jc w:val="center"/>
              <w:rPr>
                <w:rFonts w:ascii="Arial" w:hAnsi="Arial" w:cs="Arial"/>
                <w:b/>
                <w:i/>
                <w:sz w:val="18"/>
                <w:szCs w:val="18"/>
              </w:rPr>
            </w:pPr>
          </w:p>
        </w:tc>
      </w:tr>
    </w:tbl>
    <w:p w:rsidR="00AE4159" w:rsidRPr="00B03359" w:rsidRDefault="00AE4159" w:rsidP="00B03359">
      <w:pPr>
        <w:pStyle w:val="Caption"/>
      </w:pPr>
      <w:bookmarkStart w:id="732" w:name="_Ref355701598"/>
      <w:r w:rsidRPr="00B03359">
        <w:rPr>
          <w:b/>
          <w:iCs/>
        </w:rPr>
        <w:t xml:space="preserve">Figure </w:t>
      </w:r>
      <w:r w:rsidR="00A23C59">
        <w:rPr>
          <w:b/>
          <w:iCs/>
        </w:rPr>
        <w:fldChar w:fldCharType="begin"/>
      </w:r>
      <w:r w:rsidR="00A23C59">
        <w:rPr>
          <w:b/>
          <w:iCs/>
        </w:rPr>
        <w:instrText xml:space="preserve"> STYLEREF 1 \s </w:instrText>
      </w:r>
      <w:r w:rsidR="00A23C59">
        <w:rPr>
          <w:b/>
          <w:iCs/>
        </w:rPr>
        <w:fldChar w:fldCharType="separate"/>
      </w:r>
      <w:r w:rsidR="00966532">
        <w:rPr>
          <w:b/>
          <w:iCs/>
          <w:noProof/>
        </w:rPr>
        <w:t>10</w:t>
      </w:r>
      <w:r w:rsidR="00A23C59">
        <w:rPr>
          <w:b/>
          <w:iCs/>
        </w:rPr>
        <w:fldChar w:fldCharType="end"/>
      </w:r>
      <w:r w:rsidR="00A23C59">
        <w:rPr>
          <w:b/>
          <w:iCs/>
        </w:rPr>
        <w:noBreakHyphen/>
      </w:r>
      <w:r w:rsidR="00A23C59">
        <w:rPr>
          <w:b/>
          <w:iCs/>
        </w:rPr>
        <w:fldChar w:fldCharType="begin"/>
      </w:r>
      <w:r w:rsidR="00A23C59">
        <w:rPr>
          <w:b/>
          <w:iCs/>
        </w:rPr>
        <w:instrText xml:space="preserve"> SEQ Figure \* ARABIC \s 1 </w:instrText>
      </w:r>
      <w:r w:rsidR="00A23C59">
        <w:rPr>
          <w:b/>
          <w:iCs/>
        </w:rPr>
        <w:fldChar w:fldCharType="separate"/>
      </w:r>
      <w:r w:rsidR="00966532">
        <w:rPr>
          <w:b/>
          <w:iCs/>
          <w:noProof/>
        </w:rPr>
        <w:t>1</w:t>
      </w:r>
      <w:r w:rsidR="00A23C59">
        <w:rPr>
          <w:b/>
          <w:iCs/>
        </w:rPr>
        <w:fldChar w:fldCharType="end"/>
      </w:r>
      <w:bookmarkEnd w:id="732"/>
      <w:r w:rsidRPr="00B03359">
        <w:rPr>
          <w:b/>
          <w:iCs/>
        </w:rPr>
        <w:t xml:space="preserve">. </w:t>
      </w:r>
      <w:r w:rsidRPr="00B03359">
        <w:t xml:space="preserve">Workflow for estimating target/borefield groundwater storage volumes for salinity thresholds. </w:t>
      </w:r>
      <w:r w:rsidRPr="00B03359">
        <w:fldChar w:fldCharType="begin"/>
      </w:r>
      <w:r w:rsidRPr="00B03359">
        <w:instrText xml:space="preserve"> TC "</w:instrText>
      </w:r>
      <w:bookmarkStart w:id="733" w:name="_Toc390690274"/>
      <w:r w:rsidRPr="00B03359">
        <w:instrText xml:space="preserve">Figure </w:instrText>
      </w:r>
      <w:r w:rsidR="000D653B" w:rsidRPr="00B03359">
        <w:instrText>10-1</w:instrText>
      </w:r>
      <w:r w:rsidRPr="00B03359">
        <w:instrText>. Workflow for estimating target/borefield groundwater storage volumes for salinity thresholds.</w:instrText>
      </w:r>
      <w:bookmarkEnd w:id="733"/>
      <w:r w:rsidRPr="00B03359">
        <w:instrText xml:space="preserve">" \f A \l “4” </w:instrText>
      </w:r>
      <w:r w:rsidRPr="00B03359">
        <w:fldChar w:fldCharType="end"/>
      </w:r>
    </w:p>
    <w:p w:rsidR="00FE37F2" w:rsidRPr="00FE37F2" w:rsidRDefault="00FE37F2" w:rsidP="00FE37F2">
      <w:pPr>
        <w:pStyle w:val="Caption"/>
        <w:rPr>
          <w:szCs w:val="20"/>
        </w:rPr>
      </w:pPr>
    </w:p>
    <w:p w:rsidR="00AE4159" w:rsidRDefault="00AE4159" w:rsidP="00723815">
      <w:pPr>
        <w:rPr>
          <w:i/>
          <w:sz w:val="20"/>
          <w:szCs w:val="20"/>
        </w:rPr>
        <w:sectPr w:rsidR="00AE4159" w:rsidSect="00AE4159">
          <w:pgSz w:w="16838" w:h="11906" w:orient="landscape"/>
          <w:pgMar w:top="1134" w:right="1134" w:bottom="1134" w:left="1134" w:header="709" w:footer="709" w:gutter="0"/>
          <w:cols w:space="708"/>
          <w:docGrid w:linePitch="360"/>
        </w:sectPr>
      </w:pPr>
    </w:p>
    <w:p w:rsidR="00AE4159" w:rsidRDefault="00AE4159" w:rsidP="00AE4159"/>
    <w:p w:rsidR="00AE4159" w:rsidRPr="00B82CED" w:rsidRDefault="00706A3B" w:rsidP="003764CE">
      <w:pPr>
        <w:spacing w:before="120" w:after="60"/>
        <w:jc w:val="center"/>
      </w:pPr>
      <w:r>
        <w:rPr>
          <w:noProof/>
        </w:rPr>
        <w:drawing>
          <wp:inline distT="0" distB="0" distL="0" distR="0" wp14:anchorId="49D2AC08" wp14:editId="321E9483">
            <wp:extent cx="5210175" cy="3987165"/>
            <wp:effectExtent l="19050" t="1905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10175" cy="3987165"/>
                    </a:xfrm>
                    <a:prstGeom prst="rect">
                      <a:avLst/>
                    </a:prstGeom>
                    <a:noFill/>
                    <a:ln w="6350" cmpd="sng">
                      <a:solidFill>
                        <a:srgbClr val="000000"/>
                      </a:solidFill>
                      <a:miter lim="800000"/>
                      <a:headEnd/>
                      <a:tailEnd/>
                    </a:ln>
                    <a:effectLst/>
                  </pic:spPr>
                </pic:pic>
              </a:graphicData>
            </a:graphic>
          </wp:inline>
        </w:drawing>
      </w:r>
    </w:p>
    <w:p w:rsidR="00AE4159" w:rsidRDefault="00AE4159" w:rsidP="00AE4159">
      <w:pPr>
        <w:pStyle w:val="Caption"/>
        <w:rPr>
          <w:bCs w:val="0"/>
          <w:i w:val="0"/>
        </w:rPr>
      </w:pPr>
      <w:bookmarkStart w:id="734" w:name="_Ref355701641"/>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10</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734"/>
      <w:r>
        <w:rPr>
          <w:b/>
        </w:rPr>
        <w:t xml:space="preserve">. </w:t>
      </w:r>
      <w:r w:rsidRPr="00FE37F2">
        <w:rPr>
          <w:szCs w:val="20"/>
        </w:rPr>
        <w:t xml:space="preserve">Relationship of average pore fluid salinity (TDS, mg/L) for AEM depth slice with the depth slice AEM conductivity, for </w:t>
      </w:r>
      <w:r>
        <w:rPr>
          <w:szCs w:val="20"/>
        </w:rPr>
        <w:t>Calivil Formation</w:t>
      </w:r>
      <w:r w:rsidRPr="00FE37F2">
        <w:rPr>
          <w:szCs w:val="20"/>
        </w:rPr>
        <w:t>-dominant AEM depth slices (22-61</w:t>
      </w:r>
      <w:r w:rsidR="00A72012">
        <w:rPr>
          <w:szCs w:val="20"/>
        </w:rPr>
        <w:t xml:space="preserve"> </w:t>
      </w:r>
      <w:r w:rsidRPr="00FE37F2">
        <w:rPr>
          <w:szCs w:val="20"/>
        </w:rPr>
        <w:t>m).</w:t>
      </w:r>
      <w:r w:rsidRPr="00BE08AB">
        <w:rPr>
          <w:bCs w:val="0"/>
          <w:i w:val="0"/>
        </w:rPr>
        <w:t xml:space="preserve"> </w:t>
      </w:r>
      <w:r w:rsidRPr="00CB7EA6">
        <w:rPr>
          <w:bCs w:val="0"/>
        </w:rPr>
        <w:t>Blue= interpreted good quality groundwater; green = interpreted acceptable groundwater quality; orange = interpreted brackish quality groundwater.</w:t>
      </w:r>
      <w:r>
        <w:rPr>
          <w:bCs w:val="0"/>
          <w:i w:val="0"/>
        </w:rPr>
        <w:t xml:space="preserve"> </w:t>
      </w:r>
      <w:r w:rsidRPr="00870E0B">
        <w:rPr>
          <w:bCs w:val="0"/>
          <w:i w:val="0"/>
        </w:rPr>
        <w:fldChar w:fldCharType="begin"/>
      </w:r>
      <w:r w:rsidRPr="00870E0B">
        <w:rPr>
          <w:bCs w:val="0"/>
          <w:i w:val="0"/>
        </w:rPr>
        <w:instrText xml:space="preserve"> TC "</w:instrText>
      </w:r>
      <w:bookmarkStart w:id="735" w:name="_Toc390690275"/>
      <w:r w:rsidRPr="00870E0B">
        <w:rPr>
          <w:bCs w:val="0"/>
          <w:i w:val="0"/>
        </w:rPr>
        <w:instrText xml:space="preserve">Figure </w:instrText>
      </w:r>
      <w:r w:rsidR="000D653B">
        <w:rPr>
          <w:bCs w:val="0"/>
          <w:i w:val="0"/>
        </w:rPr>
        <w:instrText>10-2</w:instrText>
      </w:r>
      <w:r w:rsidRPr="00870E0B">
        <w:rPr>
          <w:bCs w:val="0"/>
          <w:i w:val="0"/>
        </w:rPr>
        <w:instrText xml:space="preserve">. </w:instrText>
      </w:r>
      <w:r w:rsidR="00146290">
        <w:rPr>
          <w:i w:val="0"/>
          <w:szCs w:val="20"/>
        </w:rPr>
        <w:instrText>Relationship between</w:instrText>
      </w:r>
      <w:r w:rsidRPr="00870E0B">
        <w:rPr>
          <w:i w:val="0"/>
          <w:szCs w:val="20"/>
        </w:rPr>
        <w:instrText xml:space="preserve"> average pore fluid salinity </w:instrText>
      </w:r>
      <w:r w:rsidR="00146290">
        <w:rPr>
          <w:i w:val="0"/>
          <w:szCs w:val="20"/>
        </w:rPr>
        <w:instrText>and</w:instrText>
      </w:r>
      <w:r w:rsidRPr="00870E0B">
        <w:rPr>
          <w:i w:val="0"/>
          <w:szCs w:val="20"/>
        </w:rPr>
        <w:instrText xml:space="preserve"> depth slice AEM conductivity, for </w:instrText>
      </w:r>
      <w:r>
        <w:rPr>
          <w:i w:val="0"/>
          <w:szCs w:val="20"/>
        </w:rPr>
        <w:instrText>Calivil Formation</w:instrText>
      </w:r>
      <w:r w:rsidRPr="00870E0B">
        <w:rPr>
          <w:i w:val="0"/>
          <w:szCs w:val="20"/>
        </w:rPr>
        <w:instrText>-dominant AEM depth slices</w:instrText>
      </w:r>
      <w:r>
        <w:rPr>
          <w:bCs w:val="0"/>
          <w:i w:val="0"/>
        </w:rPr>
        <w:instrText>.</w:instrText>
      </w:r>
      <w:bookmarkEnd w:id="735"/>
      <w:r w:rsidRPr="00870E0B">
        <w:rPr>
          <w:bCs w:val="0"/>
          <w:i w:val="0"/>
        </w:rPr>
        <w:instrText xml:space="preserve">" \f A \l “4” </w:instrText>
      </w:r>
      <w:r w:rsidRPr="00870E0B">
        <w:rPr>
          <w:bCs w:val="0"/>
          <w:i w:val="0"/>
        </w:rPr>
        <w:fldChar w:fldCharType="end"/>
      </w:r>
    </w:p>
    <w:p w:rsidR="00AE4159" w:rsidRDefault="00AE4159" w:rsidP="00AE4159">
      <w:pPr>
        <w:pStyle w:val="Heading3"/>
      </w:pPr>
      <w:bookmarkStart w:id="736" w:name="_Toc390690171"/>
      <w:r>
        <w:t>Bulk Volumes</w:t>
      </w:r>
      <w:bookmarkEnd w:id="736"/>
    </w:p>
    <w:p w:rsidR="00AE4159" w:rsidRDefault="00AE4159" w:rsidP="00454D46">
      <w:r w:rsidRPr="00454D46">
        <w:t>The groundwater volume estimates are focussed on the target Pliocene aquifer, specifically where the Calivil Formation or Loxton-Parilla Sands is saturated and hosts the coarser-textured sediments. Calculating the bulk volume (sediment + groundwater) for this component of the hydrostratigraphy was undertaken</w:t>
      </w:r>
      <w:r>
        <w:t xml:space="preserve"> by querying and combining ArcGIS gridded versions of the AEM depth slice conductivities and other key mapping (</w:t>
      </w:r>
      <w:r w:rsidR="003E5EE5">
        <w:fldChar w:fldCharType="begin"/>
      </w:r>
      <w:r w:rsidR="003E5EE5">
        <w:instrText xml:space="preserve"> REF _Ref355701598 \h  \* MERGEFORMAT </w:instrText>
      </w:r>
      <w:r w:rsidR="003E5EE5">
        <w:fldChar w:fldCharType="separate"/>
      </w:r>
      <w:r w:rsidR="00966532" w:rsidRPr="00966532">
        <w:t>Figure 10</w:t>
      </w:r>
      <w:r w:rsidR="00966532" w:rsidRPr="00966532">
        <w:noBreakHyphen/>
        <w:t>1</w:t>
      </w:r>
      <w:r w:rsidR="003E5EE5">
        <w:fldChar w:fldCharType="end"/>
      </w:r>
      <w:r>
        <w:t xml:space="preserve">). The </w:t>
      </w:r>
      <w:r w:rsidR="007C45E4">
        <w:t>hydrostratigraphic</w:t>
      </w:r>
      <w:r>
        <w:t xml:space="preserve"> mapping of the AEM depth slices were used to select the Calivil Formation and Loxton-Parilla target sequence</w:t>
      </w:r>
      <w:r w:rsidRPr="000935C5">
        <w:t xml:space="preserve"> </w:t>
      </w:r>
      <w:r>
        <w:t>within a depth range of 6.4</w:t>
      </w:r>
      <w:r w:rsidR="003E5EE5">
        <w:t xml:space="preserve"> </w:t>
      </w:r>
      <w:r>
        <w:t>m to 72.3</w:t>
      </w:r>
      <w:r w:rsidR="003E5EE5">
        <w:t xml:space="preserve"> </w:t>
      </w:r>
      <w:r>
        <w:t xml:space="preserve">m. The mapping of textural classes of the AEM depth slices was used to remove zones of finer-textured material (such as sandy muds and muds) from the volume estimates. </w:t>
      </w:r>
      <w:r w:rsidRPr="00106292">
        <w:fldChar w:fldCharType="begin"/>
      </w:r>
      <w:r w:rsidRPr="00106292">
        <w:instrText xml:space="preserve"> REF _Ref327390187 \h  \* MERGEFORMAT </w:instrText>
      </w:r>
      <w:r w:rsidRPr="00106292">
        <w:fldChar w:fldCharType="separate"/>
      </w:r>
      <w:r w:rsidR="00966532" w:rsidRPr="00966532">
        <w:t>Figure 8</w:t>
      </w:r>
      <w:r w:rsidR="00966532" w:rsidRPr="00966532">
        <w:noBreakHyphen/>
        <w:t>8</w:t>
      </w:r>
      <w:r w:rsidRPr="00106292">
        <w:fldChar w:fldCharType="end"/>
      </w:r>
      <w:r>
        <w:t xml:space="preserve"> is an example of this mapping of textural classes for the Jimargil borefield area. A gridded version of the interpreted Pliocene aquifer potentiometric surface </w:t>
      </w:r>
      <w:r w:rsidRPr="00106292">
        <w:t>(</w:t>
      </w:r>
      <w:r w:rsidRPr="00106292">
        <w:fldChar w:fldCharType="begin"/>
      </w:r>
      <w:r w:rsidRPr="00106292">
        <w:instrText xml:space="preserve"> REF _Ref325707881 \h  \* MERGEFORMAT </w:instrText>
      </w:r>
      <w:r w:rsidRPr="00106292">
        <w:fldChar w:fldCharType="separate"/>
      </w:r>
      <w:r w:rsidR="00966532" w:rsidRPr="00966532">
        <w:t>Figure 6</w:t>
      </w:r>
      <w:r w:rsidR="00966532" w:rsidRPr="00966532">
        <w:noBreakHyphen/>
        <w:t>4</w:t>
      </w:r>
      <w:r w:rsidRPr="00106292">
        <w:fldChar w:fldCharType="end"/>
      </w:r>
      <w:r>
        <w:t>) was used to classify the Pliocene sequence as saturated or unsaturated.</w:t>
      </w:r>
    </w:p>
    <w:p w:rsidR="00454D46" w:rsidRDefault="00454D46" w:rsidP="00454D46"/>
    <w:p w:rsidR="00AE4159" w:rsidRDefault="00AE4159" w:rsidP="00454D46">
      <w:r>
        <w:t>The coarser-grained saturated Pliocene sequence could then be selected from the gridded depth slices of AEM bulk conductivity. These subsets of depth slice grids could then be categorised into groundwater salinity classes using the thresholds as defined by the analysis of AEM bulk conductivity and pore fluid salinity. The associated bulk volumes in targets and borefields could be calculated using the grid cell area and the thickness of the relevant depth slice.</w:t>
      </w:r>
    </w:p>
    <w:p w:rsidR="00AE4159" w:rsidRPr="007D0FA9" w:rsidRDefault="003B3C54" w:rsidP="00AE4159">
      <w:pPr>
        <w:pStyle w:val="Heading3"/>
      </w:pPr>
      <w:r>
        <w:br w:type="page"/>
      </w:r>
      <w:bookmarkStart w:id="737" w:name="_Toc390690172"/>
      <w:r w:rsidR="00AE4159">
        <w:lastRenderedPageBreak/>
        <w:t>Effective Porosity</w:t>
      </w:r>
      <w:bookmarkEnd w:id="737"/>
    </w:p>
    <w:p w:rsidR="00AE4159" w:rsidRDefault="00AE4159" w:rsidP="00AE4159">
      <w:r w:rsidRPr="00FD3735">
        <w:t xml:space="preserve">An </w:t>
      </w:r>
      <w:r>
        <w:t xml:space="preserve">estimate of </w:t>
      </w:r>
      <w:r w:rsidRPr="00FD3735">
        <w:t xml:space="preserve">effective porosity is required to convert the </w:t>
      </w:r>
      <w:r>
        <w:t xml:space="preserve">bulk </w:t>
      </w:r>
      <w:r w:rsidRPr="00FD3735">
        <w:t>volumes (</w:t>
      </w:r>
      <w:r>
        <w:t xml:space="preserve">assigned to </w:t>
      </w:r>
      <w:r w:rsidRPr="00FD3735">
        <w:t>AEM depth slice</w:t>
      </w:r>
      <w:r>
        <w:t>s and groundwater salinity classes</w:t>
      </w:r>
      <w:r w:rsidRPr="00FD3735">
        <w:t xml:space="preserve">) to an estimate of </w:t>
      </w:r>
      <w:r>
        <w:t xml:space="preserve">the </w:t>
      </w:r>
      <w:r w:rsidRPr="00FD3735">
        <w:t xml:space="preserve">groundwater </w:t>
      </w:r>
      <w:r>
        <w:t xml:space="preserve">storage </w:t>
      </w:r>
      <w:r w:rsidRPr="00FD3735">
        <w:t>volume</w:t>
      </w:r>
      <w:r>
        <w:t>.</w:t>
      </w:r>
      <w:r w:rsidRPr="00FD3735">
        <w:t xml:space="preserve"> </w:t>
      </w:r>
      <w:r>
        <w:t>The process of comparing different NMR survey data with laboratory porosity measurements is documented in Lawrie</w:t>
      </w:r>
      <w:r w:rsidR="008A5F7D" w:rsidRPr="00CF7613">
        <w:rPr>
          <w:rStyle w:val="StyleItalic"/>
        </w:rPr>
        <w:t xml:space="preserve"> et al</w:t>
      </w:r>
      <w:r w:rsidRPr="00CF7613">
        <w:rPr>
          <w:rStyle w:val="StyleItalic"/>
        </w:rPr>
        <w:t>.</w:t>
      </w:r>
      <w:r>
        <w:t xml:space="preserve"> (2012a), resulting in the use of recalibrated mobile </w:t>
      </w:r>
      <w:r w:rsidR="003E5EE5">
        <w:t xml:space="preserve">(free) </w:t>
      </w:r>
      <w:r>
        <w:t>water content data from the 2011 NMR survey as the surrogate used for effective porosity. This NMR dataset was classified on the basis of the textural classes identified downhole, enabling NMR mobile water content statistics to be generated for each of the textural classes. The lower quartile, median and upper quartile were used to represent a low, medium and high estimate of effective porosity for each textural class. This recognises the geological heterogeneity within the target aquifer sequence.</w:t>
      </w:r>
    </w:p>
    <w:p w:rsidR="00AE4159" w:rsidRDefault="00AE4159" w:rsidP="00AE4159"/>
    <w:p w:rsidR="00AE4159" w:rsidRDefault="00AE4159" w:rsidP="00AE4159">
      <w:r>
        <w:t xml:space="preserve">These effective porosity statistics were used to convert the bulk volumes derived from the ArcGIS grid analysis to groundwater storage estimates. These estimates are reported on the basis of groundwater salinity classes for the target areas </w:t>
      </w:r>
      <w:r w:rsidRPr="000F7173">
        <w:t>(</w:t>
      </w:r>
      <w:r w:rsidR="000F7173" w:rsidRPr="000F7173">
        <w:fldChar w:fldCharType="begin"/>
      </w:r>
      <w:r w:rsidR="000F7173" w:rsidRPr="000F7173">
        <w:instrText xml:space="preserve"> REF _Ref355624565 \h </w:instrText>
      </w:r>
      <w:r w:rsidR="000F7173">
        <w:instrText xml:space="preserve"> \* MERGEFORMAT </w:instrText>
      </w:r>
      <w:r w:rsidR="000F7173" w:rsidRPr="000F7173">
        <w:fldChar w:fldCharType="separate"/>
      </w:r>
      <w:r w:rsidR="00966532" w:rsidRPr="00966532">
        <w:t>Table 10</w:t>
      </w:r>
      <w:r w:rsidR="00966532" w:rsidRPr="00966532">
        <w:noBreakHyphen/>
        <w:t>1</w:t>
      </w:r>
      <w:r w:rsidR="000F7173" w:rsidRPr="000F7173">
        <w:fldChar w:fldCharType="end"/>
      </w:r>
      <w:r w:rsidRPr="000F7173">
        <w:t>)</w:t>
      </w:r>
      <w:r>
        <w:t xml:space="preserve"> as well as the borefield areas.</w:t>
      </w:r>
    </w:p>
    <w:p w:rsidR="00AE0B05" w:rsidRDefault="00AE0B05" w:rsidP="00AE4159"/>
    <w:p w:rsidR="00AE0B05" w:rsidRDefault="00AE0B05" w:rsidP="00AE0B05">
      <w:pPr>
        <w:pStyle w:val="Heading3"/>
      </w:pPr>
      <w:bookmarkStart w:id="738" w:name="_Toc390690173"/>
      <w:r>
        <w:t>Uncertainty Analysis of Groundwater Volume Estimates</w:t>
      </w:r>
      <w:bookmarkEnd w:id="738"/>
    </w:p>
    <w:p w:rsidR="003372D0" w:rsidRDefault="00AE0B05" w:rsidP="003372D0">
      <w:pPr>
        <w:pStyle w:val="BodyText0"/>
      </w:pPr>
      <w:r>
        <w:t>An u</w:t>
      </w:r>
      <w:r w:rsidRPr="00AE0B05">
        <w:t xml:space="preserve">ncertainty analysis </w:t>
      </w:r>
      <w:r>
        <w:t xml:space="preserve">was undertaken </w:t>
      </w:r>
      <w:r w:rsidR="0054623F">
        <w:t>by making singular changes to the baseline methodology and comparing the calculated bulk volumes.</w:t>
      </w:r>
      <w:r w:rsidR="00725341">
        <w:t xml:space="preserve"> </w:t>
      </w:r>
      <w:r w:rsidR="003372D0">
        <w:t xml:space="preserve">The approach taken and results of the uncertainty analysis is documented in Lawrie </w:t>
      </w:r>
      <w:r w:rsidR="003372D0" w:rsidRPr="003372D0">
        <w:rPr>
          <w:i/>
        </w:rPr>
        <w:t>et al.</w:t>
      </w:r>
      <w:r w:rsidR="003372D0">
        <w:t xml:space="preserve"> (2012a). Uncertainty in the estimates of stored groundwater volumes can be largely attributed to four key sources of data variability. Firstly, the primary data for the volume estimates are the AEM bulk conductivity depth slices, which are in turn dependent on the </w:t>
      </w:r>
      <w:r w:rsidR="00F06759">
        <w:t xml:space="preserve">choice of AEM system, the survey line spacing and the </w:t>
      </w:r>
      <w:r w:rsidR="003372D0">
        <w:t>method and constraints used in the AEM inversion proces</w:t>
      </w:r>
      <w:r w:rsidR="00F06759">
        <w:t>s. V</w:t>
      </w:r>
      <w:r w:rsidR="003372D0">
        <w:t>arious iterations of AEM inversions have been implemented in the project to significantly increase the robustness of the dataset as the basis for various interpreted products.</w:t>
      </w:r>
    </w:p>
    <w:p w:rsidR="003372D0" w:rsidRDefault="003372D0" w:rsidP="003372D0">
      <w:pPr>
        <w:pStyle w:val="BodyText0"/>
      </w:pPr>
    </w:p>
    <w:p w:rsidR="003372D0" w:rsidRDefault="003372D0" w:rsidP="003372D0">
      <w:pPr>
        <w:pStyle w:val="BodyText0"/>
      </w:pPr>
      <w:r>
        <w:t>Secondly, there is uncertainty in the relationship between the AEM bulk conductivity and groundwater salinity, due to other attributing factors to bulk conductivity such as sediment texture, mineralogy and water saturation. The bulk-fluid conductivity relationship determines the spatial distribution of the various c</w:t>
      </w:r>
      <w:r w:rsidR="00F06759">
        <w:t>lasses</w:t>
      </w:r>
      <w:r w:rsidR="001732C4">
        <w:t xml:space="preserve"> of groundwater salinity.</w:t>
      </w:r>
      <w:r>
        <w:t xml:space="preserve"> </w:t>
      </w:r>
      <w:r w:rsidR="001732C4">
        <w:fldChar w:fldCharType="begin"/>
      </w:r>
      <w:r w:rsidR="001732C4">
        <w:instrText xml:space="preserve"> REF _Ref355701641 \h  \* MERGEFORMAT </w:instrText>
      </w:r>
      <w:r w:rsidR="001732C4">
        <w:fldChar w:fldCharType="separate"/>
      </w:r>
      <w:r w:rsidR="00966532" w:rsidRPr="00966532">
        <w:t>Figure 10</w:t>
      </w:r>
      <w:r w:rsidR="00966532" w:rsidRPr="00966532">
        <w:noBreakHyphen/>
        <w:t>2</w:t>
      </w:r>
      <w:r w:rsidR="001732C4">
        <w:fldChar w:fldCharType="end"/>
      </w:r>
      <w:r w:rsidR="001732C4">
        <w:t xml:space="preserve"> </w:t>
      </w:r>
      <w:r>
        <w:t>shows the significant scatter between pore fluid salinity and the relevant AEM depth slice conductivity.</w:t>
      </w:r>
    </w:p>
    <w:p w:rsidR="003372D0" w:rsidRDefault="003372D0" w:rsidP="003372D0">
      <w:pPr>
        <w:pStyle w:val="BodyText0"/>
      </w:pPr>
    </w:p>
    <w:p w:rsidR="003372D0" w:rsidRDefault="003372D0" w:rsidP="003372D0">
      <w:pPr>
        <w:pStyle w:val="BodyText0"/>
      </w:pPr>
      <w:r>
        <w:t xml:space="preserve">Thirdly, the effective porosity estimates used to convert bulk volumes to groundwater volumes are subject to uncertainty. This relates to the </w:t>
      </w:r>
      <w:r w:rsidR="00054188">
        <w:t xml:space="preserve">geological </w:t>
      </w:r>
      <w:r>
        <w:t xml:space="preserve">variability of effective porosity both within and across textural classes, </w:t>
      </w:r>
      <w:r w:rsidR="00054188">
        <w:t xml:space="preserve">issues relating to obtaining representative core material, </w:t>
      </w:r>
      <w:r>
        <w:t xml:space="preserve">the errors associated with the </w:t>
      </w:r>
      <w:r w:rsidR="00054188">
        <w:t xml:space="preserve">actual </w:t>
      </w:r>
      <w:r>
        <w:t xml:space="preserve">laboratory measurements and the uncertainty associated with extrapolating these laboratory measurements to the borefield and target scale. </w:t>
      </w:r>
      <w:r w:rsidR="00054188">
        <w:t>The use of the NMR mobile</w:t>
      </w:r>
      <w:r>
        <w:t xml:space="preserve"> water data as a surrogate allows suffic</w:t>
      </w:r>
      <w:r w:rsidR="00054188">
        <w:t xml:space="preserve">ient data density to define low, medium </w:t>
      </w:r>
      <w:r>
        <w:t>and high values to represent the inherent variability of effective porosity within the textural classes.</w:t>
      </w:r>
    </w:p>
    <w:p w:rsidR="003372D0" w:rsidRDefault="003372D0" w:rsidP="003372D0">
      <w:pPr>
        <w:pStyle w:val="BodyText0"/>
      </w:pPr>
    </w:p>
    <w:p w:rsidR="003372D0" w:rsidRDefault="003372D0" w:rsidP="003372D0">
      <w:pPr>
        <w:pStyle w:val="BodyText0"/>
      </w:pPr>
      <w:r>
        <w:t>Fourthly, there is uncertainty in the hydrostratigraphic, textural and saturation mapping</w:t>
      </w:r>
      <w:r w:rsidR="00054188">
        <w:t xml:space="preserve"> which are used as constraints to the groundwater volume estimates</w:t>
      </w:r>
      <w:r>
        <w:t>. The key focus of the volume estimates are the coarser textured saturated sediments in the Pliocene (Calivil Formation and Loxton-Parilla Sands) aquifer sequence. The mapping of hydrostratigraphy, texture classes and saturation on an AEM depth slice basis is used to identify these sediments of interest.</w:t>
      </w:r>
    </w:p>
    <w:p w:rsidR="003372D0" w:rsidRDefault="003372D0" w:rsidP="00AE0B05">
      <w:pPr>
        <w:pStyle w:val="BodyText0"/>
      </w:pPr>
    </w:p>
    <w:p w:rsidR="00AE0B05" w:rsidRPr="00AE0B05" w:rsidRDefault="00054188" w:rsidP="00AE0B05">
      <w:pPr>
        <w:pStyle w:val="BodyText0"/>
      </w:pPr>
      <w:r>
        <w:t>From the uncertainty analysis it was found that t</w:t>
      </w:r>
      <w:r w:rsidR="00AE0B05" w:rsidRPr="00AE0B05">
        <w:t>he bulk volumes for the better quality groundwaters (‘good’ &lt; 600 mg/L and ‘acceptable’ 600-1200 mg/L) are particularly sensitive to the method and constraints placed on the AEM inversion. For example, order-of-magnitude reductions in bulk volumes result for good quality groundwaters when the cons</w:t>
      </w:r>
      <w:r w:rsidR="00202D82">
        <w:t>traints are tightened on the final AEM inversion</w:t>
      </w:r>
      <w:r w:rsidR="00AE0B05" w:rsidRPr="00AE0B05">
        <w:t>. This is because such constraints have a greater effect on the extremes of the AEM bulk conductivity spectrum, with the &lt;600 mg/L class focusing on the low extreme (&lt;0.04 S/m).</w:t>
      </w:r>
    </w:p>
    <w:p w:rsidR="00AE0B05" w:rsidRPr="00AE0B05" w:rsidRDefault="00AE0B05" w:rsidP="00AE0B05">
      <w:pPr>
        <w:pStyle w:val="BodyText0"/>
      </w:pPr>
    </w:p>
    <w:p w:rsidR="00AE0B05" w:rsidRPr="00AE0B05" w:rsidRDefault="00AE0B05" w:rsidP="00AE0B05">
      <w:pPr>
        <w:pStyle w:val="BodyText0"/>
      </w:pPr>
      <w:r w:rsidRPr="00AE0B05">
        <w:t xml:space="preserve">The other order-of-magnitude scale reduction of bulk volumes occur when hydrostratigraphic, textural and saturation constraints are incorporated. However, such reductions of this scale only occur for the saline groundwater </w:t>
      </w:r>
      <w:r w:rsidR="0054623F">
        <w:t>class of &gt; 3000 mg/L</w:t>
      </w:r>
      <w:r w:rsidR="00202D82">
        <w:t>.</w:t>
      </w:r>
      <w:r w:rsidRPr="00AE0B05">
        <w:t xml:space="preserve"> This is because of the greater prevalence in the saline class of finer </w:t>
      </w:r>
      <w:r w:rsidRPr="00AE0B05">
        <w:lastRenderedPageBreak/>
        <w:t>textures (muds and sandy muds) which are excluded from the bulk volume calculations when these constraints are incorporated. In contrast, the fresh groundwater class (&lt;600 mg/L) tends to be hosted in the fine to coarse sands, so the effects of adding textural limits is not as significant.</w:t>
      </w:r>
    </w:p>
    <w:p w:rsidR="00AE0B05" w:rsidRPr="00AE0B05" w:rsidRDefault="00AE0B05" w:rsidP="00AE0B05">
      <w:pPr>
        <w:pStyle w:val="BodyText0"/>
      </w:pPr>
    </w:p>
    <w:p w:rsidR="00202D82" w:rsidRDefault="00AE0B05" w:rsidP="00AE0B05">
      <w:pPr>
        <w:pStyle w:val="BodyText0"/>
      </w:pPr>
      <w:r w:rsidRPr="00AE0B05">
        <w:t>The influence of changing the AEM bulk conductivity thresholds that are mapped to groundwater salinity is relatively lower, when compared with that of changing AEM inversions and constraints. However, this influence can still be significant. For example, changing the AEM bulk conductivity threshold for &lt;600 mg/L groundwater salinity from 0.04 S/m to 0.035 S/m can halve the resulting bulk volume esti</w:t>
      </w:r>
      <w:r>
        <w:t>mate for some targets</w:t>
      </w:r>
      <w:r w:rsidR="005E1C33">
        <w:t>.</w:t>
      </w:r>
    </w:p>
    <w:p w:rsidR="00AE0B05" w:rsidRPr="00AE0B05" w:rsidRDefault="00AE0B05" w:rsidP="00AE0B05">
      <w:pPr>
        <w:pStyle w:val="BodyText0"/>
      </w:pPr>
    </w:p>
    <w:p w:rsidR="00AE0B05" w:rsidRPr="00AE0B05" w:rsidRDefault="004223FC" w:rsidP="00AE0B05">
      <w:pPr>
        <w:pStyle w:val="BodyText0"/>
      </w:pPr>
      <w:r>
        <w:t>In summary, t</w:t>
      </w:r>
      <w:r w:rsidR="00AE0B05" w:rsidRPr="00AE0B05">
        <w:t xml:space="preserve">he uncertainty analysis highlights and prioritises the potential sources of uncertainty in the bulk volume </w:t>
      </w:r>
      <w:r>
        <w:t>estimates. Considering the magnitude</w:t>
      </w:r>
      <w:r w:rsidR="00AE0B05" w:rsidRPr="00AE0B05">
        <w:t xml:space="preserve"> of this uncertainty and that these sources of potential error are additive, the resulting bulk volumes (and in turn the derived groun</w:t>
      </w:r>
      <w:r w:rsidR="00AE0B05">
        <w:t>dwater storage volumes</w:t>
      </w:r>
      <w:r w:rsidR="00AE0B05" w:rsidRPr="00AE0B05">
        <w:t>) should only be considered as indicati</w:t>
      </w:r>
      <w:r w:rsidR="00AE0B05">
        <w:t>ve estimates.</w:t>
      </w:r>
      <w:r>
        <w:t xml:space="preserve"> </w:t>
      </w:r>
      <w:r w:rsidR="004B7B25">
        <w:t>The storage volume estimates are still useful in a relative sense, as a tool to prioritise the groundwater targets and to scope the potential aquifer storage capacity for MAR options.</w:t>
      </w:r>
    </w:p>
    <w:p w:rsidR="00AE4159" w:rsidRDefault="00706A3B" w:rsidP="003764CE">
      <w:pPr>
        <w:spacing w:after="60"/>
        <w:rPr>
          <w:b/>
          <w:i/>
          <w:szCs w:val="22"/>
        </w:rPr>
      </w:pPr>
      <w:r>
        <w:rPr>
          <w:noProof/>
        </w:rPr>
        <w:lastRenderedPageBreak/>
        <w:drawing>
          <wp:inline distT="0" distB="0" distL="0" distR="0" wp14:anchorId="5A3424C1" wp14:editId="1D72DEAD">
            <wp:extent cx="5964555" cy="7772400"/>
            <wp:effectExtent l="19050" t="19050" r="0" b="0"/>
            <wp:docPr id="108" name="Picture 108" descr="Fig0B_23_63_Regional_Calivil_gw_salinity_GWR_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ig0B_23_63_Regional_Calivil_gw_salinity_GWR_targets"/>
                    <pic:cNvPicPr>
                      <a:picLocks noChangeAspect="1" noChangeArrowheads="1"/>
                    </pic:cNvPicPr>
                  </pic:nvPicPr>
                  <pic:blipFill>
                    <a:blip r:embed="rId16" cstate="print">
                      <a:extLst>
                        <a:ext uri="{28A0092B-C50C-407E-A947-70E740481C1C}">
                          <a14:useLocalDpi xmlns:a14="http://schemas.microsoft.com/office/drawing/2010/main" val="0"/>
                        </a:ext>
                      </a:extLst>
                    </a:blip>
                    <a:srcRect l="8972" t="6564" r="10973" b="19656"/>
                    <a:stretch>
                      <a:fillRect/>
                    </a:stretch>
                  </pic:blipFill>
                  <pic:spPr bwMode="auto">
                    <a:xfrm>
                      <a:off x="0" y="0"/>
                      <a:ext cx="5964555" cy="7772400"/>
                    </a:xfrm>
                    <a:prstGeom prst="rect">
                      <a:avLst/>
                    </a:prstGeom>
                    <a:noFill/>
                    <a:ln w="12700" cmpd="sng">
                      <a:solidFill>
                        <a:srgbClr val="000000"/>
                      </a:solidFill>
                      <a:miter lim="800000"/>
                      <a:headEnd/>
                      <a:tailEnd/>
                    </a:ln>
                    <a:effectLst/>
                  </pic:spPr>
                </pic:pic>
              </a:graphicData>
            </a:graphic>
          </wp:inline>
        </w:drawing>
      </w:r>
    </w:p>
    <w:p w:rsidR="00AE4159" w:rsidRPr="001B677D" w:rsidRDefault="00AE4159" w:rsidP="00AE4159">
      <w:pPr>
        <w:pStyle w:val="Caption"/>
        <w:rPr>
          <w:i w:val="0"/>
        </w:rPr>
      </w:pPr>
      <w:bookmarkStart w:id="739" w:name="_Ref355701679"/>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10</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3</w:t>
      </w:r>
      <w:r w:rsidR="00A23C59">
        <w:rPr>
          <w:b/>
        </w:rPr>
        <w:fldChar w:fldCharType="end"/>
      </w:r>
      <w:bookmarkEnd w:id="739"/>
      <w:r>
        <w:rPr>
          <w:b/>
        </w:rPr>
        <w:t>.</w:t>
      </w:r>
      <w:r w:rsidRPr="00DD5B97">
        <w:rPr>
          <w:szCs w:val="22"/>
        </w:rPr>
        <w:t xml:space="preserve"> </w:t>
      </w:r>
      <w:r w:rsidRPr="00E823BA">
        <w:rPr>
          <w:szCs w:val="22"/>
        </w:rPr>
        <w:t>Map of the BHMAR project area showing the distribution of groundwater resource (GWR) targets in Pliocene (</w:t>
      </w:r>
      <w:r>
        <w:rPr>
          <w:szCs w:val="22"/>
        </w:rPr>
        <w:t xml:space="preserve">Calivil Formation </w:t>
      </w:r>
      <w:r w:rsidRPr="00E823BA">
        <w:rPr>
          <w:szCs w:val="22"/>
        </w:rPr>
        <w:t>a</w:t>
      </w:r>
      <w:r>
        <w:rPr>
          <w:szCs w:val="22"/>
        </w:rPr>
        <w:t>nd Loxton-Parilla Sands</w:t>
      </w:r>
      <w:r w:rsidRPr="00E823BA">
        <w:rPr>
          <w:szCs w:val="22"/>
        </w:rPr>
        <w:t>) aquifers. The boundaries marked are the maximum spatial extent of the aquifer with predicted salinities &lt;3000 mg/</w:t>
      </w:r>
      <w:r>
        <w:rPr>
          <w:szCs w:val="22"/>
        </w:rPr>
        <w:t>L</w:t>
      </w:r>
      <w:r w:rsidR="003E5EE5">
        <w:rPr>
          <w:szCs w:val="22"/>
        </w:rPr>
        <w:t>.</w:t>
      </w:r>
      <w:r w:rsidR="00465915">
        <w:rPr>
          <w:szCs w:val="22"/>
        </w:rPr>
        <w:t xml:space="preserve"> </w:t>
      </w:r>
      <w:r w:rsidRPr="003F6C96">
        <w:rPr>
          <w:bCs w:val="0"/>
        </w:rPr>
        <w:t>This maximum spatial extent</w:t>
      </w:r>
      <w:r>
        <w:rPr>
          <w:bCs w:val="0"/>
        </w:rPr>
        <w:t xml:space="preserve"> of fresh to brackish groundwater </w:t>
      </w:r>
      <w:r w:rsidRPr="003F6C96">
        <w:rPr>
          <w:bCs w:val="0"/>
        </w:rPr>
        <w:t xml:space="preserve">is defined by the combined plotting of all the </w:t>
      </w:r>
      <w:r>
        <w:rPr>
          <w:bCs w:val="0"/>
        </w:rPr>
        <w:t xml:space="preserve">AEM </w:t>
      </w:r>
      <w:r w:rsidRPr="003F6C96">
        <w:rPr>
          <w:bCs w:val="0"/>
        </w:rPr>
        <w:t>depth slices most relevant to the Calivil Formation (22-61</w:t>
      </w:r>
      <w:r w:rsidR="00A72012">
        <w:rPr>
          <w:bCs w:val="0"/>
        </w:rPr>
        <w:t xml:space="preserve"> </w:t>
      </w:r>
      <w:r w:rsidRPr="003F6C96">
        <w:rPr>
          <w:bCs w:val="0"/>
        </w:rPr>
        <w:t>m).</w:t>
      </w:r>
      <w:r w:rsidRPr="003F6C96">
        <w:rPr>
          <w:bCs w:val="0"/>
          <w:i w:val="0"/>
        </w:rPr>
        <w:t xml:space="preserve"> </w:t>
      </w:r>
      <w:r w:rsidRPr="001B677D">
        <w:rPr>
          <w:bCs w:val="0"/>
          <w:i w:val="0"/>
        </w:rPr>
        <w:fldChar w:fldCharType="begin"/>
      </w:r>
      <w:r w:rsidRPr="001B677D">
        <w:rPr>
          <w:bCs w:val="0"/>
          <w:i w:val="0"/>
        </w:rPr>
        <w:instrText xml:space="preserve"> TC "</w:instrText>
      </w:r>
      <w:bookmarkStart w:id="740" w:name="_Toc390690276"/>
      <w:r w:rsidRPr="001B677D">
        <w:rPr>
          <w:bCs w:val="0"/>
          <w:i w:val="0"/>
        </w:rPr>
        <w:instrText xml:space="preserve">Figure </w:instrText>
      </w:r>
      <w:r w:rsidR="000D653B">
        <w:rPr>
          <w:bCs w:val="0"/>
          <w:i w:val="0"/>
        </w:rPr>
        <w:instrText>10-3</w:instrText>
      </w:r>
      <w:r w:rsidRPr="001B677D">
        <w:rPr>
          <w:bCs w:val="0"/>
          <w:i w:val="0"/>
        </w:rPr>
        <w:instrText xml:space="preserve">. </w:instrText>
      </w:r>
      <w:r w:rsidRPr="001B677D">
        <w:rPr>
          <w:i w:val="0"/>
          <w:szCs w:val="22"/>
        </w:rPr>
        <w:instrText>Groundwater resource targets (GWR1 -14) in Pliocene (</w:instrText>
      </w:r>
      <w:r>
        <w:rPr>
          <w:i w:val="0"/>
          <w:szCs w:val="22"/>
        </w:rPr>
        <w:instrText>Calivil Formation</w:instrText>
      </w:r>
      <w:r w:rsidRPr="001B677D">
        <w:rPr>
          <w:i w:val="0"/>
          <w:szCs w:val="22"/>
        </w:rPr>
        <w:instrText xml:space="preserve"> and Loxton-Parilla Sand) aquifers</w:instrText>
      </w:r>
      <w:r w:rsidRPr="001B677D">
        <w:rPr>
          <w:bCs w:val="0"/>
          <w:i w:val="0"/>
        </w:rPr>
        <w:instrText>.</w:instrText>
      </w:r>
      <w:bookmarkEnd w:id="740"/>
      <w:r w:rsidRPr="001B677D">
        <w:rPr>
          <w:bCs w:val="0"/>
          <w:i w:val="0"/>
        </w:rPr>
        <w:instrText xml:space="preserve">" \f A \l “4” </w:instrText>
      </w:r>
      <w:r w:rsidRPr="001B677D">
        <w:rPr>
          <w:bCs w:val="0"/>
          <w:i w:val="0"/>
        </w:rPr>
        <w:fldChar w:fldCharType="end"/>
      </w:r>
    </w:p>
    <w:p w:rsidR="00AE4159" w:rsidRPr="007960BF" w:rsidRDefault="00AE4159" w:rsidP="00AE4159">
      <w:pPr>
        <w:pStyle w:val="Caption"/>
        <w:rPr>
          <w:i w:val="0"/>
          <w:szCs w:val="22"/>
        </w:rPr>
      </w:pPr>
      <w:r>
        <w:rPr>
          <w:b/>
          <w:i w:val="0"/>
          <w:szCs w:val="22"/>
        </w:rPr>
        <w:br w:type="page"/>
      </w:r>
      <w:bookmarkStart w:id="741" w:name="_Ref355624565"/>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10</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741"/>
      <w:r w:rsidRPr="00CD2825">
        <w:rPr>
          <w:b/>
        </w:rPr>
        <w:t>.</w:t>
      </w:r>
      <w:r>
        <w:t xml:space="preserve"> </w:t>
      </w:r>
      <w:r w:rsidRPr="00E823BA">
        <w:rPr>
          <w:szCs w:val="22"/>
        </w:rPr>
        <w:t xml:space="preserve">Indicative groundwater volume estimates for regional targets in the BHMAR </w:t>
      </w:r>
      <w:r w:rsidR="00A56C85">
        <w:rPr>
          <w:szCs w:val="22"/>
        </w:rPr>
        <w:t>project</w:t>
      </w:r>
      <w:r w:rsidRPr="00E823BA">
        <w:rPr>
          <w:szCs w:val="22"/>
        </w:rPr>
        <w:t xml:space="preserve"> area.</w:t>
      </w:r>
      <w:r w:rsidRPr="007808E4">
        <w:rPr>
          <w:i w:val="0"/>
          <w:szCs w:val="22"/>
        </w:rPr>
        <w:t xml:space="preserve"> </w:t>
      </w:r>
      <w:r w:rsidRPr="007960BF">
        <w:rPr>
          <w:i w:val="0"/>
        </w:rPr>
        <w:fldChar w:fldCharType="begin"/>
      </w:r>
      <w:r w:rsidRPr="007960BF">
        <w:rPr>
          <w:i w:val="0"/>
        </w:rPr>
        <w:instrText xml:space="preserve"> TC "</w:instrText>
      </w:r>
      <w:bookmarkStart w:id="742" w:name="_Toc390690310"/>
      <w:r w:rsidRPr="007960BF">
        <w:rPr>
          <w:i w:val="0"/>
        </w:rPr>
        <w:instrText xml:space="preserve">Table </w:instrText>
      </w:r>
      <w:r w:rsidR="000D653B">
        <w:rPr>
          <w:i w:val="0"/>
        </w:rPr>
        <w:instrText>10-1</w:instrText>
      </w:r>
      <w:r>
        <w:rPr>
          <w:i w:val="0"/>
        </w:rPr>
        <w:instrText>.</w:instrText>
      </w:r>
      <w:r w:rsidRPr="007960BF">
        <w:rPr>
          <w:i w:val="0"/>
        </w:rPr>
        <w:instrText xml:space="preserve"> </w:instrText>
      </w:r>
      <w:r w:rsidRPr="007960BF">
        <w:rPr>
          <w:i w:val="0"/>
          <w:szCs w:val="22"/>
        </w:rPr>
        <w:instrText xml:space="preserve">Indicative groundwater volume estimates for regional targets in the BHMAR </w:instrText>
      </w:r>
      <w:r w:rsidR="00A56C85">
        <w:rPr>
          <w:i w:val="0"/>
          <w:szCs w:val="22"/>
        </w:rPr>
        <w:instrText>project</w:instrText>
      </w:r>
      <w:r w:rsidRPr="007960BF">
        <w:rPr>
          <w:i w:val="0"/>
          <w:szCs w:val="22"/>
        </w:rPr>
        <w:instrText xml:space="preserve"> area</w:instrText>
      </w:r>
      <w:r>
        <w:rPr>
          <w:i w:val="0"/>
        </w:rPr>
        <w:instrText>.</w:instrText>
      </w:r>
      <w:bookmarkEnd w:id="742"/>
      <w:r w:rsidRPr="007960BF">
        <w:rPr>
          <w:i w:val="0"/>
        </w:rPr>
        <w:instrText xml:space="preserve">" \f B \l "4" </w:instrText>
      </w:r>
      <w:r w:rsidRPr="007960BF">
        <w:rPr>
          <w:i w:val="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239"/>
        <w:gridCol w:w="1719"/>
        <w:gridCol w:w="1860"/>
        <w:gridCol w:w="1639"/>
        <w:gridCol w:w="1933"/>
      </w:tblGrid>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808080"/>
            <w:vAlign w:val="center"/>
          </w:tcPr>
          <w:p w:rsidR="00AE4159" w:rsidRPr="000D653B" w:rsidRDefault="00AE4159" w:rsidP="00F830A9">
            <w:pPr>
              <w:jc w:val="center"/>
              <w:rPr>
                <w:b/>
                <w:bCs/>
                <w:color w:val="000000"/>
                <w:sz w:val="18"/>
                <w:szCs w:val="18"/>
              </w:rPr>
            </w:pPr>
            <w:r w:rsidRPr="000D653B">
              <w:rPr>
                <w:b/>
                <w:bCs/>
                <w:color w:val="000000"/>
                <w:sz w:val="18"/>
                <w:szCs w:val="18"/>
              </w:rPr>
              <w:t>GWR Target</w:t>
            </w:r>
          </w:p>
        </w:tc>
        <w:tc>
          <w:tcPr>
            <w:tcW w:w="1719" w:type="dxa"/>
            <w:tcBorders>
              <w:top w:val="single" w:sz="4" w:space="0" w:color="auto"/>
              <w:left w:val="single" w:sz="4" w:space="0" w:color="auto"/>
              <w:bottom w:val="single" w:sz="4" w:space="0" w:color="auto"/>
              <w:right w:val="single" w:sz="4" w:space="0" w:color="auto"/>
            </w:tcBorders>
            <w:shd w:val="clear" w:color="auto" w:fill="808080"/>
            <w:vAlign w:val="center"/>
          </w:tcPr>
          <w:p w:rsidR="00AE4159" w:rsidRPr="000D653B" w:rsidRDefault="003E5EE5" w:rsidP="003E5EE5">
            <w:pPr>
              <w:jc w:val="center"/>
              <w:rPr>
                <w:b/>
                <w:bCs/>
                <w:color w:val="000000"/>
                <w:sz w:val="18"/>
                <w:szCs w:val="18"/>
              </w:rPr>
            </w:pPr>
            <w:r>
              <w:rPr>
                <w:b/>
                <w:bCs/>
                <w:color w:val="000000"/>
                <w:sz w:val="18"/>
                <w:szCs w:val="18"/>
              </w:rPr>
              <w:t xml:space="preserve">Predicted </w:t>
            </w:r>
            <w:r w:rsidR="00AE4159" w:rsidRPr="000D653B">
              <w:rPr>
                <w:b/>
                <w:bCs/>
                <w:color w:val="000000"/>
                <w:sz w:val="18"/>
                <w:szCs w:val="18"/>
              </w:rPr>
              <w:t>Water Quality Class</w:t>
            </w:r>
          </w:p>
        </w:tc>
        <w:tc>
          <w:tcPr>
            <w:tcW w:w="1860" w:type="dxa"/>
            <w:tcBorders>
              <w:top w:val="single" w:sz="4" w:space="0" w:color="auto"/>
              <w:left w:val="single" w:sz="4" w:space="0" w:color="auto"/>
              <w:bottom w:val="single" w:sz="4" w:space="0" w:color="auto"/>
              <w:right w:val="single" w:sz="4" w:space="0" w:color="auto"/>
            </w:tcBorders>
            <w:shd w:val="clear" w:color="auto" w:fill="808080"/>
            <w:vAlign w:val="center"/>
          </w:tcPr>
          <w:p w:rsidR="00F830A9" w:rsidRDefault="00AE4159" w:rsidP="003E5EE5">
            <w:pPr>
              <w:jc w:val="center"/>
              <w:rPr>
                <w:b/>
                <w:bCs/>
                <w:color w:val="000000"/>
                <w:sz w:val="18"/>
                <w:szCs w:val="18"/>
              </w:rPr>
            </w:pPr>
            <w:r w:rsidRPr="000D653B">
              <w:rPr>
                <w:b/>
                <w:bCs/>
                <w:color w:val="000000"/>
                <w:sz w:val="18"/>
                <w:szCs w:val="18"/>
              </w:rPr>
              <w:t xml:space="preserve">Lower Quartile Groundwater Volume </w:t>
            </w:r>
          </w:p>
          <w:p w:rsidR="00F830A9" w:rsidRDefault="00F830A9" w:rsidP="003E5EE5">
            <w:pPr>
              <w:jc w:val="center"/>
              <w:rPr>
                <w:b/>
                <w:bCs/>
                <w:color w:val="000000"/>
                <w:sz w:val="18"/>
                <w:szCs w:val="18"/>
              </w:rPr>
            </w:pPr>
          </w:p>
          <w:p w:rsidR="00AE4159" w:rsidRPr="000D653B" w:rsidRDefault="00AE4159" w:rsidP="003E5EE5">
            <w:pPr>
              <w:jc w:val="center"/>
              <w:rPr>
                <w:b/>
                <w:bCs/>
                <w:color w:val="000000"/>
                <w:sz w:val="18"/>
                <w:szCs w:val="18"/>
              </w:rPr>
            </w:pPr>
            <w:r w:rsidRPr="000D653B">
              <w:rPr>
                <w:b/>
                <w:bCs/>
                <w:color w:val="000000"/>
                <w:sz w:val="18"/>
                <w:szCs w:val="18"/>
              </w:rPr>
              <w:t>(GL)</w:t>
            </w:r>
          </w:p>
        </w:tc>
        <w:tc>
          <w:tcPr>
            <w:tcW w:w="1639" w:type="dxa"/>
            <w:tcBorders>
              <w:top w:val="single" w:sz="4" w:space="0" w:color="auto"/>
              <w:left w:val="single" w:sz="4" w:space="0" w:color="auto"/>
              <w:bottom w:val="single" w:sz="4" w:space="0" w:color="auto"/>
              <w:right w:val="single" w:sz="4" w:space="0" w:color="auto"/>
            </w:tcBorders>
            <w:shd w:val="clear" w:color="auto" w:fill="808080"/>
            <w:vAlign w:val="center"/>
          </w:tcPr>
          <w:p w:rsidR="00F830A9" w:rsidRDefault="00AE4159" w:rsidP="003E5EE5">
            <w:pPr>
              <w:jc w:val="center"/>
              <w:rPr>
                <w:b/>
                <w:bCs/>
                <w:color w:val="000000"/>
                <w:sz w:val="18"/>
                <w:szCs w:val="18"/>
              </w:rPr>
            </w:pPr>
            <w:r w:rsidRPr="000D653B">
              <w:rPr>
                <w:b/>
                <w:bCs/>
                <w:color w:val="000000"/>
                <w:sz w:val="18"/>
                <w:szCs w:val="18"/>
              </w:rPr>
              <w:t xml:space="preserve">Median Groundwater Volume </w:t>
            </w:r>
          </w:p>
          <w:p w:rsidR="00AE4159" w:rsidRPr="000D653B" w:rsidRDefault="00AE4159" w:rsidP="003E5EE5">
            <w:pPr>
              <w:jc w:val="center"/>
              <w:rPr>
                <w:b/>
                <w:bCs/>
                <w:color w:val="000000"/>
                <w:sz w:val="18"/>
                <w:szCs w:val="18"/>
              </w:rPr>
            </w:pPr>
            <w:r w:rsidRPr="000D653B">
              <w:rPr>
                <w:b/>
                <w:bCs/>
                <w:color w:val="000000"/>
                <w:sz w:val="18"/>
                <w:szCs w:val="18"/>
              </w:rPr>
              <w:t>(GL)</w:t>
            </w:r>
          </w:p>
        </w:tc>
        <w:tc>
          <w:tcPr>
            <w:tcW w:w="1933" w:type="dxa"/>
            <w:tcBorders>
              <w:top w:val="single" w:sz="4" w:space="0" w:color="auto"/>
              <w:left w:val="single" w:sz="4" w:space="0" w:color="auto"/>
              <w:bottom w:val="single" w:sz="4" w:space="0" w:color="auto"/>
              <w:right w:val="single" w:sz="4" w:space="0" w:color="auto"/>
            </w:tcBorders>
            <w:shd w:val="clear" w:color="auto" w:fill="808080"/>
            <w:vAlign w:val="center"/>
          </w:tcPr>
          <w:p w:rsidR="00F830A9" w:rsidRDefault="00AE4159" w:rsidP="003E5EE5">
            <w:pPr>
              <w:jc w:val="center"/>
              <w:rPr>
                <w:b/>
                <w:bCs/>
                <w:color w:val="000000"/>
                <w:sz w:val="18"/>
                <w:szCs w:val="18"/>
              </w:rPr>
            </w:pPr>
            <w:r w:rsidRPr="000D653B">
              <w:rPr>
                <w:b/>
                <w:bCs/>
                <w:color w:val="000000"/>
                <w:sz w:val="18"/>
                <w:szCs w:val="18"/>
              </w:rPr>
              <w:t xml:space="preserve">Upper Quartile Groundwater Volume </w:t>
            </w:r>
          </w:p>
          <w:p w:rsidR="00F830A9" w:rsidRDefault="00F830A9" w:rsidP="003E5EE5">
            <w:pPr>
              <w:jc w:val="center"/>
              <w:rPr>
                <w:b/>
                <w:bCs/>
                <w:color w:val="000000"/>
                <w:sz w:val="18"/>
                <w:szCs w:val="18"/>
              </w:rPr>
            </w:pPr>
          </w:p>
          <w:p w:rsidR="00AE4159" w:rsidRPr="000D653B" w:rsidRDefault="00AE4159" w:rsidP="003E5EE5">
            <w:pPr>
              <w:jc w:val="center"/>
              <w:rPr>
                <w:b/>
                <w:bCs/>
                <w:color w:val="000000"/>
                <w:sz w:val="18"/>
                <w:szCs w:val="18"/>
              </w:rPr>
            </w:pPr>
            <w:r w:rsidRPr="000D653B">
              <w:rPr>
                <w:b/>
                <w:bCs/>
                <w:color w:val="000000"/>
                <w:sz w:val="18"/>
                <w:szCs w:val="18"/>
              </w:rPr>
              <w:t>(GL)</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250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390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250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390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520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310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GWR1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640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1010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1360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GWR2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50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70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110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GWR3</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170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GWR3</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420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GWR3</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160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270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360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GWR3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470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760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1010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190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250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80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160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GWR4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340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530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710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70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110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180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80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170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GWR5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260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420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550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GWR6</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80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170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GWR6</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160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250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GWR6</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270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GWR6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360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580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770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GWR7</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GWR7</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GWR7</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GWR7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140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240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310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GWR8</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GWR8</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70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GWR8</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80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120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GWR8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100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160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240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GWR9</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GWR9</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90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120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GWR9</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GWR9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180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290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390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GWR10</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GWR10</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GWR10</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GWR10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70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100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150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80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lastRenderedPageBreak/>
              <w:t>GWR11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90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GWR11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90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140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190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80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90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GWR12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110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160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230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GWR13</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GWR13</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50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70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GWR13</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30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GWR13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70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110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140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&lt; 600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10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20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600 - 1,200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60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80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 w:val="18"/>
                <w:szCs w:val="18"/>
              </w:rPr>
            </w:pPr>
            <w:r w:rsidRPr="000D653B">
              <w:rPr>
                <w:color w:val="000000"/>
                <w:sz w:val="18"/>
                <w:szCs w:val="18"/>
              </w:rPr>
              <w:t>GWR14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 w:val="18"/>
                <w:szCs w:val="18"/>
              </w:rPr>
            </w:pPr>
            <w:r w:rsidRPr="000D653B">
              <w:rPr>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40</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70</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jc w:val="center"/>
              <w:rPr>
                <w:color w:val="000000"/>
                <w:sz w:val="18"/>
                <w:szCs w:val="18"/>
              </w:rPr>
            </w:pPr>
            <w:r w:rsidRPr="000D653B">
              <w:rPr>
                <w:color w:val="000000"/>
                <w:sz w:val="18"/>
                <w:szCs w:val="18"/>
              </w:rPr>
              <w:t>90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rPr>
                <w:b/>
                <w:bCs/>
                <w:color w:val="000000"/>
                <w:sz w:val="18"/>
                <w:szCs w:val="18"/>
              </w:rPr>
            </w:pPr>
            <w:r w:rsidRPr="000D653B">
              <w:rPr>
                <w:b/>
                <w:bCs/>
                <w:color w:val="000000"/>
                <w:sz w:val="18"/>
                <w:szCs w:val="18"/>
              </w:rPr>
              <w:t xml:space="preserve">GWR14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90</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150</w:t>
            </w:r>
          </w:p>
        </w:tc>
        <w:tc>
          <w:tcPr>
            <w:tcW w:w="1933" w:type="dxa"/>
            <w:tcBorders>
              <w:top w:val="single" w:sz="4" w:space="0" w:color="auto"/>
              <w:left w:val="single" w:sz="4" w:space="0" w:color="auto"/>
              <w:bottom w:val="single" w:sz="4" w:space="0" w:color="auto"/>
              <w:right w:val="single" w:sz="4" w:space="0" w:color="auto"/>
            </w:tcBorders>
            <w:shd w:val="clear" w:color="auto" w:fill="D9D9D9"/>
            <w:vAlign w:val="center"/>
          </w:tcPr>
          <w:p w:rsidR="00AE4159" w:rsidRPr="000D653B" w:rsidRDefault="00AE4159" w:rsidP="00A871B0">
            <w:pPr>
              <w:jc w:val="center"/>
              <w:rPr>
                <w:b/>
                <w:bCs/>
                <w:color w:val="000000"/>
                <w:sz w:val="18"/>
                <w:szCs w:val="18"/>
              </w:rPr>
            </w:pPr>
            <w:r w:rsidRPr="000D653B">
              <w:rPr>
                <w:b/>
                <w:bCs/>
                <w:color w:val="000000"/>
                <w:sz w:val="18"/>
                <w:szCs w:val="18"/>
              </w:rPr>
              <w:t>190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Cs w:val="22"/>
              </w:rPr>
            </w:pP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3E5EE5">
            <w:pPr>
              <w:jc w:val="center"/>
              <w:rPr>
                <w:color w:val="000000"/>
                <w:szCs w:val="22"/>
              </w:rPr>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Cs w:val="22"/>
              </w:rPr>
            </w:pP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Cs w:val="22"/>
              </w:rPr>
            </w:pP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E4159" w:rsidRPr="000D653B" w:rsidRDefault="00AE4159" w:rsidP="00A871B0">
            <w:pPr>
              <w:rPr>
                <w:color w:val="000000"/>
                <w:szCs w:val="22"/>
              </w:rPr>
            </w:pP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rPr>
                <w:b/>
                <w:bCs/>
                <w:color w:val="000000"/>
                <w:sz w:val="18"/>
                <w:szCs w:val="18"/>
              </w:rPr>
            </w:pPr>
            <w:r w:rsidRPr="000D653B">
              <w:rPr>
                <w:b/>
                <w:bCs/>
                <w:color w:val="000000"/>
                <w:sz w:val="18"/>
                <w:szCs w:val="18"/>
              </w:rPr>
              <w:t xml:space="preserve">All Targets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3E5EE5">
            <w:pPr>
              <w:jc w:val="center"/>
              <w:rPr>
                <w:b/>
                <w:bCs/>
                <w:color w:val="000000"/>
                <w:sz w:val="18"/>
                <w:szCs w:val="18"/>
              </w:rPr>
            </w:pPr>
            <w:r w:rsidRPr="000D653B">
              <w:rPr>
                <w:b/>
                <w:bCs/>
                <w:color w:val="000000"/>
                <w:sz w:val="18"/>
                <w:szCs w:val="18"/>
              </w:rPr>
              <w:t>&lt;600 mg/L</w:t>
            </w:r>
          </w:p>
        </w:tc>
        <w:tc>
          <w:tcPr>
            <w:tcW w:w="1860"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900</w:t>
            </w:r>
          </w:p>
        </w:tc>
        <w:tc>
          <w:tcPr>
            <w:tcW w:w="163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1400</w:t>
            </w:r>
          </w:p>
        </w:tc>
        <w:tc>
          <w:tcPr>
            <w:tcW w:w="1933"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1900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rPr>
                <w:b/>
                <w:bCs/>
                <w:color w:val="000000"/>
                <w:sz w:val="18"/>
                <w:szCs w:val="18"/>
              </w:rPr>
            </w:pPr>
            <w:r w:rsidRPr="000D653B">
              <w:rPr>
                <w:b/>
                <w:bCs/>
                <w:color w:val="000000"/>
                <w:sz w:val="18"/>
                <w:szCs w:val="18"/>
              </w:rPr>
              <w:t xml:space="preserve">All Targets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3E5EE5">
            <w:pPr>
              <w:jc w:val="center"/>
              <w:rPr>
                <w:b/>
                <w:bCs/>
                <w:color w:val="000000"/>
                <w:sz w:val="18"/>
                <w:szCs w:val="18"/>
              </w:rPr>
            </w:pPr>
            <w:r w:rsidRPr="000D653B">
              <w:rPr>
                <w:b/>
                <w:bCs/>
                <w:color w:val="000000"/>
                <w:sz w:val="18"/>
                <w:szCs w:val="18"/>
              </w:rPr>
              <w:t>600-1,200 mg/L</w:t>
            </w:r>
          </w:p>
        </w:tc>
        <w:tc>
          <w:tcPr>
            <w:tcW w:w="1860"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1200</w:t>
            </w:r>
          </w:p>
        </w:tc>
        <w:tc>
          <w:tcPr>
            <w:tcW w:w="163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1900</w:t>
            </w:r>
          </w:p>
        </w:tc>
        <w:tc>
          <w:tcPr>
            <w:tcW w:w="1933"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2500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rPr>
                <w:b/>
                <w:bCs/>
                <w:color w:val="000000"/>
                <w:sz w:val="18"/>
                <w:szCs w:val="18"/>
              </w:rPr>
            </w:pPr>
            <w:r w:rsidRPr="000D653B">
              <w:rPr>
                <w:b/>
                <w:bCs/>
                <w:color w:val="000000"/>
                <w:sz w:val="18"/>
                <w:szCs w:val="18"/>
              </w:rPr>
              <w:t xml:space="preserve">All Targets </w:t>
            </w:r>
            <w:r w:rsidR="007C45E4" w:rsidRPr="000D653B">
              <w:rPr>
                <w:b/>
                <w:bCs/>
                <w:color w:val="000000"/>
                <w:sz w:val="18"/>
                <w:szCs w:val="18"/>
              </w:rPr>
              <w:t>Subtotal</w:t>
            </w:r>
          </w:p>
        </w:tc>
        <w:tc>
          <w:tcPr>
            <w:tcW w:w="171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3E5EE5">
            <w:pPr>
              <w:jc w:val="center"/>
              <w:rPr>
                <w:b/>
                <w:bCs/>
                <w:color w:val="000000"/>
                <w:sz w:val="18"/>
                <w:szCs w:val="18"/>
              </w:rPr>
            </w:pPr>
            <w:r w:rsidRPr="000D653B">
              <w:rPr>
                <w:b/>
                <w:bCs/>
                <w:color w:val="000000"/>
                <w:sz w:val="18"/>
                <w:szCs w:val="18"/>
              </w:rPr>
              <w:t>1,200 - 3,000 mg/L</w:t>
            </w:r>
          </w:p>
        </w:tc>
        <w:tc>
          <w:tcPr>
            <w:tcW w:w="1860"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900</w:t>
            </w:r>
          </w:p>
        </w:tc>
        <w:tc>
          <w:tcPr>
            <w:tcW w:w="1639"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1500</w:t>
            </w:r>
          </w:p>
        </w:tc>
        <w:tc>
          <w:tcPr>
            <w:tcW w:w="1933" w:type="dxa"/>
            <w:tcBorders>
              <w:top w:val="single" w:sz="4" w:space="0" w:color="auto"/>
              <w:left w:val="single" w:sz="4" w:space="0" w:color="auto"/>
              <w:bottom w:val="single" w:sz="4" w:space="0" w:color="auto"/>
              <w:right w:val="single" w:sz="4" w:space="0" w:color="auto"/>
            </w:tcBorders>
            <w:shd w:val="clear" w:color="auto" w:fill="B3B3B3"/>
            <w:vAlign w:val="center"/>
          </w:tcPr>
          <w:p w:rsidR="00AE4159" w:rsidRPr="000D653B" w:rsidRDefault="00AE4159" w:rsidP="00A871B0">
            <w:pPr>
              <w:jc w:val="center"/>
              <w:rPr>
                <w:b/>
                <w:bCs/>
                <w:color w:val="000000"/>
                <w:sz w:val="18"/>
                <w:szCs w:val="18"/>
              </w:rPr>
            </w:pPr>
            <w:r w:rsidRPr="000D653B">
              <w:rPr>
                <w:b/>
                <w:bCs/>
                <w:color w:val="000000"/>
                <w:sz w:val="18"/>
                <w:szCs w:val="18"/>
              </w:rPr>
              <w:t>2000</w:t>
            </w:r>
          </w:p>
        </w:tc>
      </w:tr>
      <w:tr w:rsidR="00AE4159" w:rsidRPr="000D653B" w:rsidTr="003E5EE5">
        <w:trPr>
          <w:trHeight w:val="303"/>
          <w:jc w:val="center"/>
        </w:trPr>
        <w:tc>
          <w:tcPr>
            <w:tcW w:w="2239" w:type="dxa"/>
            <w:tcBorders>
              <w:top w:val="single" w:sz="4" w:space="0" w:color="auto"/>
              <w:left w:val="single" w:sz="4" w:space="0" w:color="auto"/>
              <w:bottom w:val="single" w:sz="4" w:space="0" w:color="auto"/>
              <w:right w:val="single" w:sz="4" w:space="0" w:color="auto"/>
            </w:tcBorders>
            <w:shd w:val="clear" w:color="auto" w:fill="808080"/>
            <w:vAlign w:val="center"/>
          </w:tcPr>
          <w:p w:rsidR="00AE4159" w:rsidRPr="000D653B" w:rsidRDefault="00AE4159" w:rsidP="00A871B0">
            <w:pPr>
              <w:rPr>
                <w:b/>
                <w:bCs/>
                <w:color w:val="000000"/>
                <w:sz w:val="18"/>
                <w:szCs w:val="18"/>
              </w:rPr>
            </w:pPr>
            <w:r w:rsidRPr="000D653B">
              <w:rPr>
                <w:b/>
                <w:bCs/>
                <w:color w:val="000000"/>
                <w:sz w:val="18"/>
                <w:szCs w:val="18"/>
              </w:rPr>
              <w:t>All Targets Total</w:t>
            </w:r>
          </w:p>
        </w:tc>
        <w:tc>
          <w:tcPr>
            <w:tcW w:w="1719" w:type="dxa"/>
            <w:tcBorders>
              <w:top w:val="single" w:sz="4" w:space="0" w:color="auto"/>
              <w:left w:val="single" w:sz="4" w:space="0" w:color="auto"/>
              <w:bottom w:val="single" w:sz="4" w:space="0" w:color="auto"/>
              <w:right w:val="single" w:sz="4" w:space="0" w:color="auto"/>
            </w:tcBorders>
            <w:shd w:val="clear" w:color="auto" w:fill="808080"/>
            <w:vAlign w:val="center"/>
          </w:tcPr>
          <w:p w:rsidR="00AE4159" w:rsidRPr="000D653B" w:rsidRDefault="00AE4159" w:rsidP="003E5EE5">
            <w:pPr>
              <w:jc w:val="center"/>
              <w:rPr>
                <w:b/>
                <w:bCs/>
                <w:color w:val="000000"/>
                <w:sz w:val="18"/>
                <w:szCs w:val="18"/>
              </w:rPr>
            </w:pPr>
            <w:r w:rsidRPr="000D653B">
              <w:rPr>
                <w:b/>
                <w:bCs/>
                <w:color w:val="000000"/>
                <w:sz w:val="18"/>
                <w:szCs w:val="18"/>
              </w:rPr>
              <w:t>&lt;3,000 mg/L</w:t>
            </w:r>
          </w:p>
        </w:tc>
        <w:tc>
          <w:tcPr>
            <w:tcW w:w="1860" w:type="dxa"/>
            <w:tcBorders>
              <w:top w:val="single" w:sz="4" w:space="0" w:color="auto"/>
              <w:left w:val="single" w:sz="4" w:space="0" w:color="auto"/>
              <w:bottom w:val="single" w:sz="4" w:space="0" w:color="auto"/>
              <w:right w:val="single" w:sz="4" w:space="0" w:color="auto"/>
            </w:tcBorders>
            <w:shd w:val="clear" w:color="auto" w:fill="808080"/>
            <w:vAlign w:val="center"/>
          </w:tcPr>
          <w:p w:rsidR="00AE4159" w:rsidRPr="000D653B" w:rsidRDefault="00AE4159" w:rsidP="00A871B0">
            <w:pPr>
              <w:jc w:val="center"/>
              <w:rPr>
                <w:b/>
                <w:bCs/>
                <w:color w:val="000000"/>
                <w:sz w:val="18"/>
                <w:szCs w:val="18"/>
              </w:rPr>
            </w:pPr>
            <w:r w:rsidRPr="000D653B">
              <w:rPr>
                <w:b/>
                <w:bCs/>
                <w:color w:val="000000"/>
                <w:sz w:val="18"/>
                <w:szCs w:val="18"/>
              </w:rPr>
              <w:t>3000</w:t>
            </w:r>
          </w:p>
        </w:tc>
        <w:tc>
          <w:tcPr>
            <w:tcW w:w="1639" w:type="dxa"/>
            <w:tcBorders>
              <w:top w:val="single" w:sz="4" w:space="0" w:color="auto"/>
              <w:left w:val="single" w:sz="4" w:space="0" w:color="auto"/>
              <w:bottom w:val="single" w:sz="4" w:space="0" w:color="auto"/>
              <w:right w:val="single" w:sz="4" w:space="0" w:color="auto"/>
            </w:tcBorders>
            <w:shd w:val="clear" w:color="auto" w:fill="808080"/>
            <w:vAlign w:val="center"/>
          </w:tcPr>
          <w:p w:rsidR="00AE4159" w:rsidRPr="000D653B" w:rsidRDefault="00AE4159" w:rsidP="00A871B0">
            <w:pPr>
              <w:jc w:val="center"/>
              <w:rPr>
                <w:b/>
                <w:bCs/>
                <w:color w:val="000000"/>
                <w:sz w:val="18"/>
                <w:szCs w:val="18"/>
              </w:rPr>
            </w:pPr>
            <w:r w:rsidRPr="000D653B">
              <w:rPr>
                <w:b/>
                <w:bCs/>
                <w:color w:val="000000"/>
                <w:sz w:val="18"/>
                <w:szCs w:val="18"/>
              </w:rPr>
              <w:t>4700</w:t>
            </w:r>
          </w:p>
        </w:tc>
        <w:tc>
          <w:tcPr>
            <w:tcW w:w="1933" w:type="dxa"/>
            <w:tcBorders>
              <w:top w:val="single" w:sz="4" w:space="0" w:color="auto"/>
              <w:left w:val="single" w:sz="4" w:space="0" w:color="auto"/>
              <w:bottom w:val="single" w:sz="4" w:space="0" w:color="auto"/>
              <w:right w:val="single" w:sz="4" w:space="0" w:color="auto"/>
            </w:tcBorders>
            <w:shd w:val="clear" w:color="auto" w:fill="808080"/>
            <w:vAlign w:val="center"/>
          </w:tcPr>
          <w:p w:rsidR="00AE4159" w:rsidRPr="000D653B" w:rsidRDefault="00AE4159" w:rsidP="00A871B0">
            <w:pPr>
              <w:jc w:val="center"/>
              <w:rPr>
                <w:b/>
                <w:bCs/>
                <w:color w:val="000000"/>
                <w:sz w:val="18"/>
                <w:szCs w:val="18"/>
              </w:rPr>
            </w:pPr>
            <w:r w:rsidRPr="000D653B">
              <w:rPr>
                <w:b/>
                <w:bCs/>
                <w:color w:val="000000"/>
                <w:sz w:val="18"/>
                <w:szCs w:val="18"/>
              </w:rPr>
              <w:t>6400</w:t>
            </w:r>
          </w:p>
        </w:tc>
      </w:tr>
    </w:tbl>
    <w:p w:rsidR="003B3C54" w:rsidRPr="007F343E" w:rsidRDefault="00AE4159" w:rsidP="003B3C54">
      <w:pPr>
        <w:spacing w:before="120" w:after="120"/>
        <w:rPr>
          <w:sz w:val="20"/>
          <w:szCs w:val="20"/>
        </w:rPr>
      </w:pPr>
      <w:r>
        <w:t xml:space="preserve"> </w:t>
      </w:r>
      <w:r w:rsidR="003B3C54" w:rsidRPr="007F343E">
        <w:rPr>
          <w:sz w:val="20"/>
          <w:szCs w:val="20"/>
        </w:rPr>
        <w:t xml:space="preserve">Notes: </w:t>
      </w:r>
      <w:r w:rsidR="003B3C54">
        <w:rPr>
          <w:sz w:val="20"/>
          <w:szCs w:val="20"/>
        </w:rPr>
        <w:t xml:space="preserve">These groundwater volumes are indicative estimates only. </w:t>
      </w:r>
      <w:r w:rsidR="003B3C54" w:rsidRPr="007F343E">
        <w:rPr>
          <w:sz w:val="20"/>
          <w:szCs w:val="20"/>
        </w:rPr>
        <w:t>Groundwater storage volumes do not equate to extractable</w:t>
      </w:r>
      <w:r w:rsidR="003B3C54">
        <w:rPr>
          <w:sz w:val="20"/>
          <w:szCs w:val="20"/>
        </w:rPr>
        <w:t xml:space="preserve"> groundwater volumes, which would</w:t>
      </w:r>
      <w:r w:rsidR="003B3C54" w:rsidRPr="007F343E">
        <w:rPr>
          <w:sz w:val="20"/>
          <w:szCs w:val="20"/>
        </w:rPr>
        <w:t xml:space="preserve"> be smaller </w:t>
      </w:r>
      <w:r w:rsidR="00E33C41">
        <w:rPr>
          <w:sz w:val="20"/>
          <w:szCs w:val="20"/>
        </w:rPr>
        <w:t>than</w:t>
      </w:r>
      <w:r w:rsidR="003B3C54" w:rsidRPr="007F343E">
        <w:rPr>
          <w:sz w:val="20"/>
          <w:szCs w:val="20"/>
        </w:rPr>
        <w:t xml:space="preserve"> these estimates</w:t>
      </w:r>
      <w:r w:rsidR="003B3C54">
        <w:rPr>
          <w:sz w:val="20"/>
          <w:szCs w:val="20"/>
        </w:rPr>
        <w:t>.</w:t>
      </w:r>
    </w:p>
    <w:p w:rsidR="00723815" w:rsidRDefault="00723815" w:rsidP="00723815"/>
    <w:p w:rsidR="00F44F92" w:rsidRDefault="005D1CEE" w:rsidP="00D35ACA">
      <w:pPr>
        <w:pStyle w:val="Heading1"/>
        <w:tabs>
          <w:tab w:val="clear" w:pos="360"/>
          <w:tab w:val="num" w:pos="720"/>
        </w:tabs>
        <w:ind w:left="720" w:hanging="720"/>
      </w:pPr>
      <w:r>
        <w:rPr>
          <w:b/>
        </w:rPr>
        <w:br w:type="page"/>
      </w:r>
      <w:bookmarkStart w:id="743" w:name="_Toc325975177"/>
      <w:bookmarkStart w:id="744" w:name="_Toc390690174"/>
      <w:r w:rsidR="0021580E">
        <w:lastRenderedPageBreak/>
        <w:t>BHMAR Hydrogeological Investigations- Broader Implications</w:t>
      </w:r>
      <w:bookmarkEnd w:id="743"/>
      <w:bookmarkEnd w:id="744"/>
    </w:p>
    <w:p w:rsidR="005B17B0" w:rsidRPr="00021090" w:rsidRDefault="00261D93" w:rsidP="00021090">
      <w:pPr>
        <w:pStyle w:val="Heading2"/>
        <w:tabs>
          <w:tab w:val="left" w:pos="720"/>
        </w:tabs>
        <w:spacing w:before="320"/>
      </w:pPr>
      <w:bookmarkStart w:id="745" w:name="_Toc390690175"/>
      <w:r w:rsidRPr="00021090">
        <w:t>I</w:t>
      </w:r>
      <w:r w:rsidR="00B9649E" w:rsidRPr="00021090">
        <w:t>mplications for Regional</w:t>
      </w:r>
      <w:r w:rsidRPr="00021090">
        <w:t xml:space="preserve"> and </w:t>
      </w:r>
      <w:r w:rsidR="00C85FF6">
        <w:t>B</w:t>
      </w:r>
      <w:r w:rsidRPr="00021090">
        <w:t xml:space="preserve">asin </w:t>
      </w:r>
      <w:r w:rsidR="00C85FF6">
        <w:t>G</w:t>
      </w:r>
      <w:r w:rsidRPr="00021090">
        <w:t xml:space="preserve">roundwater </w:t>
      </w:r>
      <w:r w:rsidR="00C85FF6">
        <w:t>M</w:t>
      </w:r>
      <w:r w:rsidRPr="00021090">
        <w:t>anagement</w:t>
      </w:r>
      <w:bookmarkEnd w:id="745"/>
    </w:p>
    <w:p w:rsidR="00261D93" w:rsidRDefault="00261D93" w:rsidP="00261D93">
      <w:pPr>
        <w:pStyle w:val="BodyText0"/>
      </w:pPr>
      <w:r w:rsidRPr="00EE0F9C">
        <w:t xml:space="preserve">The BHMAR </w:t>
      </w:r>
      <w:r w:rsidR="00A56C85">
        <w:t>project</w:t>
      </w:r>
      <w:r>
        <w:t xml:space="preserve"> area is part of two NSW water management areas (Western and Lower Murray Darling) with the management boundary cross cutting the Darling floodplain near </w:t>
      </w:r>
      <w:smartTag w:uri="urn:schemas-microsoft-com:office:smarttags" w:element="place">
        <w:smartTag w:uri="urn:schemas-microsoft-com:office:smarttags" w:element="PlaceName">
          <w:r w:rsidR="007D1583">
            <w:t>Menindee</w:t>
          </w:r>
        </w:smartTag>
        <w:r w:rsidR="007D1583">
          <w:t xml:space="preserve"> </w:t>
        </w:r>
        <w:smartTag w:uri="urn:schemas-microsoft-com:office:smarttags" w:element="PlaceType">
          <w:r w:rsidR="007D1583">
            <w:t>Lakes</w:t>
          </w:r>
        </w:smartTag>
      </w:smartTag>
      <w:r>
        <w:t>. The fluvial sediments of the Darling floodplain are also defined across different NSW water sharing plans for the:</w:t>
      </w:r>
    </w:p>
    <w:p w:rsidR="00261D93" w:rsidRPr="00261D93" w:rsidRDefault="00261D93" w:rsidP="00261D93">
      <w:pPr>
        <w:numPr>
          <w:ilvl w:val="0"/>
          <w:numId w:val="33"/>
        </w:numPr>
        <w:tabs>
          <w:tab w:val="clear" w:pos="720"/>
          <w:tab w:val="num" w:pos="-1440"/>
        </w:tabs>
        <w:spacing w:before="120"/>
        <w:ind w:left="540" w:hanging="540"/>
      </w:pPr>
      <w:r w:rsidRPr="00CF7613">
        <w:rPr>
          <w:rStyle w:val="StyleItalic"/>
        </w:rPr>
        <w:t xml:space="preserve">Lower Darling Alluvial </w:t>
      </w:r>
      <w:smartTag w:uri="urn:schemas-microsoft-com:office:smarttags" w:element="PersonName">
        <w:r w:rsidRPr="00CF7613">
          <w:rPr>
            <w:rStyle w:val="StyleItalic"/>
          </w:rPr>
          <w:t>Groundwater</w:t>
        </w:r>
      </w:smartTag>
      <w:r w:rsidRPr="00CF7613">
        <w:rPr>
          <w:rStyle w:val="StyleItalic"/>
        </w:rPr>
        <w:t xml:space="preserve"> Source</w:t>
      </w:r>
      <w:r>
        <w:t xml:space="preserve">, defined by the fresh groundwater lens within the alluvium adjacent to the Darling River and downstream of </w:t>
      </w:r>
      <w:smartTag w:uri="urn:schemas-microsoft-com:office:smarttags" w:element="PlaceType">
        <w:r w:rsidR="00A93944">
          <w:t>Lake</w:t>
        </w:r>
      </w:smartTag>
      <w:r w:rsidR="00A93944">
        <w:t xml:space="preserve"> Wetherell</w:t>
      </w:r>
      <w:r w:rsidR="000F7A6F">
        <w:t>;</w:t>
      </w:r>
    </w:p>
    <w:p w:rsidR="00261D93" w:rsidRPr="00261D93" w:rsidRDefault="00261D93" w:rsidP="00261D93">
      <w:pPr>
        <w:numPr>
          <w:ilvl w:val="0"/>
          <w:numId w:val="33"/>
        </w:numPr>
        <w:tabs>
          <w:tab w:val="clear" w:pos="720"/>
        </w:tabs>
        <w:spacing w:before="120"/>
        <w:ind w:left="540" w:hanging="540"/>
      </w:pPr>
      <w:r w:rsidRPr="00CF7613">
        <w:rPr>
          <w:rStyle w:val="StyleItalic"/>
        </w:rPr>
        <w:t xml:space="preserve">Upper Darling Alluvial </w:t>
      </w:r>
      <w:smartTag w:uri="urn:schemas-microsoft-com:office:smarttags" w:element="PersonName">
        <w:r w:rsidRPr="00CF7613">
          <w:rPr>
            <w:rStyle w:val="StyleItalic"/>
          </w:rPr>
          <w:t>Groundwater</w:t>
        </w:r>
      </w:smartTag>
      <w:r w:rsidRPr="00CF7613">
        <w:rPr>
          <w:rStyle w:val="StyleItalic"/>
        </w:rPr>
        <w:t xml:space="preserve"> Source</w:t>
      </w:r>
      <w:r>
        <w:t>, incorporating the alluvial deposits associated with the Darling River upstream of</w:t>
      </w:r>
      <w:r w:rsidR="004148BA">
        <w:t xml:space="preserve"> </w:t>
      </w:r>
      <w:r w:rsidR="00A93944">
        <w:t>Lake Wetherell</w:t>
      </w:r>
      <w:r w:rsidR="004148BA">
        <w:t xml:space="preserve"> to near Bourke</w:t>
      </w:r>
      <w:r w:rsidR="000F7A6F">
        <w:t>;</w:t>
      </w:r>
      <w:r>
        <w:t xml:space="preserve"> and</w:t>
      </w:r>
    </w:p>
    <w:p w:rsidR="00261D93" w:rsidRPr="00261D93" w:rsidRDefault="00261D93" w:rsidP="00261D93">
      <w:pPr>
        <w:numPr>
          <w:ilvl w:val="0"/>
          <w:numId w:val="33"/>
        </w:numPr>
        <w:tabs>
          <w:tab w:val="clear" w:pos="720"/>
          <w:tab w:val="num" w:pos="-1440"/>
        </w:tabs>
        <w:spacing w:before="120"/>
        <w:ind w:left="540" w:hanging="540"/>
      </w:pPr>
      <w:r w:rsidRPr="00CF7613">
        <w:rPr>
          <w:rStyle w:val="StyleItalic"/>
        </w:rPr>
        <w:t xml:space="preserve">Western Murray Porous Rock </w:t>
      </w:r>
      <w:smartTag w:uri="urn:schemas-microsoft-com:office:smarttags" w:element="PersonName">
        <w:r w:rsidRPr="00CF7613">
          <w:rPr>
            <w:rStyle w:val="StyleItalic"/>
          </w:rPr>
          <w:t>Groundwater</w:t>
        </w:r>
      </w:smartTag>
      <w:r w:rsidRPr="00CF7613">
        <w:rPr>
          <w:rStyle w:val="StyleItalic"/>
        </w:rPr>
        <w:t xml:space="preserve"> Source</w:t>
      </w:r>
      <w:r>
        <w:t xml:space="preserve">, which includes the </w:t>
      </w:r>
      <w:r w:rsidR="00C217F0">
        <w:t>Calivil Formation</w:t>
      </w:r>
      <w:r w:rsidR="00320627">
        <w:t>, Loxton-Parilla Sands, Murray G</w:t>
      </w:r>
      <w:r w:rsidR="00A93944">
        <w:t>roup Limestone</w:t>
      </w:r>
      <w:r w:rsidR="00670511">
        <w:t xml:space="preserve"> </w:t>
      </w:r>
      <w:r>
        <w:t xml:space="preserve">and </w:t>
      </w:r>
      <w:r w:rsidR="00C217F0">
        <w:t>Renmark Group</w:t>
      </w:r>
      <w:r>
        <w:t xml:space="preserve"> aquifers in the Murray Geological Basin.</w:t>
      </w:r>
    </w:p>
    <w:p w:rsidR="00261D93" w:rsidRDefault="00261D93" w:rsidP="00261D93"/>
    <w:p w:rsidR="00261D93" w:rsidRPr="00280B89" w:rsidRDefault="00261D93" w:rsidP="00261D93">
      <w:pPr>
        <w:pStyle w:val="BodyText0"/>
        <w:rPr>
          <w:i/>
        </w:rPr>
      </w:pPr>
      <w:r>
        <w:t xml:space="preserve">These </w:t>
      </w:r>
      <w:smartTag w:uri="urn:schemas-microsoft-com:office:smarttags" w:element="PersonName">
        <w:r>
          <w:t>Groundwater</w:t>
        </w:r>
      </w:smartTag>
      <w:r>
        <w:t xml:space="preserve"> Sources have equivalent </w:t>
      </w:r>
      <w:smartTag w:uri="urn:schemas-microsoft-com:office:smarttags" w:element="PersonName">
        <w:r>
          <w:t>Groundwater</w:t>
        </w:r>
      </w:smartTag>
      <w:r>
        <w:t xml:space="preserve"> Sustainable Diversion Limit Resource Units as defined under the </w:t>
      </w:r>
      <w:r w:rsidRPr="00E653AE">
        <w:rPr>
          <w:i/>
        </w:rPr>
        <w:t>Basin Plan</w:t>
      </w:r>
      <w:r w:rsidR="006A7DDB">
        <w:rPr>
          <w:i/>
        </w:rPr>
        <w:t xml:space="preserve"> </w:t>
      </w:r>
      <w:r w:rsidR="006B5D0E">
        <w:t>(MDBA</w:t>
      </w:r>
      <w:r w:rsidR="006A7DDB" w:rsidRPr="006A7DDB">
        <w:t>, 2012c)</w:t>
      </w:r>
      <w:r w:rsidR="006A7DDB">
        <w:t xml:space="preserve"> for the </w:t>
      </w:r>
      <w:smartTag w:uri="urn:schemas-microsoft-com:office:smarttags" w:element="place">
        <w:smartTag w:uri="urn:schemas-microsoft-com:office:smarttags" w:element="PlaceName">
          <w:r w:rsidR="006A7DDB">
            <w:t>Murray-Darling</w:t>
          </w:r>
        </w:smartTag>
        <w:r w:rsidR="006A7DDB">
          <w:t xml:space="preserve"> </w:t>
        </w:r>
        <w:smartTag w:uri="urn:schemas-microsoft-com:office:smarttags" w:element="PlaceType">
          <w:r w:rsidR="006A7DDB">
            <w:t>Basin</w:t>
          </w:r>
        </w:smartTag>
      </w:smartTag>
      <w:r w:rsidR="007F2659">
        <w:t xml:space="preserve">. The groundwater management </w:t>
      </w:r>
      <w:r w:rsidR="007F2659" w:rsidRPr="007F2659">
        <w:t xml:space="preserve">unit (GMU) boundaries for these Groundwater Sources are shown, relative to the BHMAR project area, in </w:t>
      </w:r>
      <w:r w:rsidR="007F2659" w:rsidRPr="007F2659">
        <w:fldChar w:fldCharType="begin"/>
      </w:r>
      <w:r w:rsidR="007F2659" w:rsidRPr="007F2659">
        <w:instrText xml:space="preserve"> REF _Ref356148882 \h  \* MERGEFORMAT </w:instrText>
      </w:r>
      <w:r w:rsidR="007F2659" w:rsidRPr="007F2659">
        <w:fldChar w:fldCharType="separate"/>
      </w:r>
      <w:r w:rsidR="00966532" w:rsidRPr="00966532">
        <w:t xml:space="preserve">Figure </w:t>
      </w:r>
      <w:r w:rsidR="00966532" w:rsidRPr="00966532">
        <w:rPr>
          <w:noProof/>
        </w:rPr>
        <w:t>11</w:t>
      </w:r>
      <w:r w:rsidR="00966532" w:rsidRPr="00966532">
        <w:rPr>
          <w:noProof/>
        </w:rPr>
        <w:noBreakHyphen/>
        <w:t>1</w:t>
      </w:r>
      <w:r w:rsidR="007F2659" w:rsidRPr="007F2659">
        <w:fldChar w:fldCharType="end"/>
      </w:r>
      <w:r w:rsidR="007F2659">
        <w:t>.</w:t>
      </w:r>
    </w:p>
    <w:p w:rsidR="00261D93" w:rsidRPr="00261D93" w:rsidRDefault="00261D93" w:rsidP="006B2AA4">
      <w:pPr>
        <w:pStyle w:val="Heading3"/>
        <w:tabs>
          <w:tab w:val="clear" w:pos="907"/>
          <w:tab w:val="num" w:pos="900"/>
        </w:tabs>
        <w:spacing w:before="320"/>
        <w:ind w:left="900" w:hanging="900"/>
        <w:rPr>
          <w:bCs/>
        </w:rPr>
      </w:pPr>
      <w:bookmarkStart w:id="746" w:name="_Toc390690176"/>
      <w:r w:rsidRPr="00261D93">
        <w:rPr>
          <w:bCs/>
        </w:rPr>
        <w:t xml:space="preserve">Lower Darling Alluvial </w:t>
      </w:r>
      <w:smartTag w:uri="urn:schemas-microsoft-com:office:smarttags" w:element="PersonName">
        <w:r w:rsidRPr="00261D93">
          <w:rPr>
            <w:bCs/>
          </w:rPr>
          <w:t>Groundwater</w:t>
        </w:r>
      </w:smartTag>
      <w:r w:rsidRPr="00261D93">
        <w:rPr>
          <w:bCs/>
        </w:rPr>
        <w:t xml:space="preserve"> Source</w:t>
      </w:r>
      <w:bookmarkEnd w:id="746"/>
    </w:p>
    <w:p w:rsidR="00261D93" w:rsidRDefault="00261D93" w:rsidP="00261D93">
      <w:r>
        <w:t xml:space="preserve">The </w:t>
      </w:r>
      <w:r w:rsidRPr="00CF7613">
        <w:rPr>
          <w:rStyle w:val="StyleItalic"/>
        </w:rPr>
        <w:t xml:space="preserve">Lower Darling Alluvial </w:t>
      </w:r>
      <w:smartTag w:uri="urn:schemas-microsoft-com:office:smarttags" w:element="PersonName">
        <w:r w:rsidRPr="00CF7613">
          <w:rPr>
            <w:rStyle w:val="StyleItalic"/>
          </w:rPr>
          <w:t>Groundwater</w:t>
        </w:r>
      </w:smartTag>
      <w:r w:rsidRPr="00CF7613">
        <w:rPr>
          <w:rStyle w:val="StyleItalic"/>
        </w:rPr>
        <w:t xml:space="preserve"> Source</w:t>
      </w:r>
      <w:r>
        <w:t xml:space="preserve"> is a component of the NSW </w:t>
      </w:r>
      <w:r w:rsidRPr="00CF7613">
        <w:rPr>
          <w:rStyle w:val="StyleItalic"/>
        </w:rPr>
        <w:t xml:space="preserve">Lower Murray-Darling Unregulated and Alluvial Water Sources Water Sharing Plan </w:t>
      </w:r>
      <w:r>
        <w:t>which is a 10-year State plan that commenced 30</w:t>
      </w:r>
      <w:r w:rsidRPr="00C001CF">
        <w:rPr>
          <w:vertAlign w:val="superscript"/>
        </w:rPr>
        <w:t>th</w:t>
      </w:r>
      <w:r>
        <w:t xml:space="preserve"> January, 2012 (NoW, 2012a). The significant level of hydraulic connectivity between the river and the shallow alluvial groundwater system is recognised in this plan. The </w:t>
      </w:r>
      <w:smartTag w:uri="urn:schemas-microsoft-com:office:smarttags" w:element="PersonName">
        <w:r>
          <w:t>Groundwater</w:t>
        </w:r>
      </w:smartTag>
      <w:r>
        <w:t xml:space="preserve"> Source is based on the fresh groundwater lens extending about 500</w:t>
      </w:r>
      <w:r w:rsidR="00FE05F2">
        <w:t xml:space="preserve"> </w:t>
      </w:r>
      <w:r>
        <w:t xml:space="preserve">m from the </w:t>
      </w:r>
      <w:smartTag w:uri="urn:schemas-microsoft-com:office:smarttags" w:element="place">
        <w:r>
          <w:t>Darling River</w:t>
        </w:r>
      </w:smartTag>
      <w:r>
        <w:t xml:space="preserve">, surrounded by brackish to saline regional groundwater. </w:t>
      </w:r>
      <w:r w:rsidR="004148BA">
        <w:t xml:space="preserve">It incorporates shallow alluvium along and adjacent to the main </w:t>
      </w:r>
      <w:smartTag w:uri="urn:schemas-microsoft-com:office:smarttags" w:element="place">
        <w:r w:rsidR="004148BA">
          <w:t>Darling River</w:t>
        </w:r>
      </w:smartTag>
      <w:r w:rsidR="004148BA">
        <w:t xml:space="preserve"> stem from Christmas Rocks, located about 63</w:t>
      </w:r>
      <w:r w:rsidR="00FE05F2">
        <w:t xml:space="preserve"> </w:t>
      </w:r>
      <w:r w:rsidR="004148BA">
        <w:t xml:space="preserve">km upstream of Menindee, to the confluence with the River Murray at Wentworth. Talyawalka and Anabranch alluvium are excluded </w:t>
      </w:r>
      <w:r w:rsidR="00BF60F3">
        <w:t>due to the lesser recharge frequency and the absence of</w:t>
      </w:r>
      <w:r w:rsidR="004148BA">
        <w:t xml:space="preserve"> licensed bores.</w:t>
      </w:r>
    </w:p>
    <w:p w:rsidR="00261D93" w:rsidRDefault="00261D93" w:rsidP="00261D93"/>
    <w:p w:rsidR="00261D93" w:rsidRDefault="00A93944" w:rsidP="00261D93">
      <w:r>
        <w:t xml:space="preserve">In the plan, recharge to the near-river freshwater lenses in the shallow alluvium is interpreted to be due to leakage from </w:t>
      </w:r>
      <w:smartTag w:uri="urn:schemas-microsoft-com:office:smarttags" w:element="place">
        <w:r>
          <w:t>Darling River</w:t>
        </w:r>
      </w:smartTag>
      <w:r>
        <w:t xml:space="preserve"> flows (NOW, 2012a). Rainfall recharge is inferred to be insignificant due to low rainfall and high evaporation in the plan area</w:t>
      </w:r>
      <w:r w:rsidR="0009665B">
        <w:t xml:space="preserve">. </w:t>
      </w:r>
      <w:r w:rsidR="00261D93">
        <w:t>Extraction limits are based on an estimate of average annual extractions, defined as the sum of existing entitlements plus an estimate of annual water requirements for stock and domestic and native title rights. Total entitlements are 1490 ML/yr and there are currently 10 licensed extractive bores. The majority of these have a drought contingency licence where groundwater is extracted when the surface water determination for the regulated river is zero percent. Due to the issue of potential saline ingress, groundwater exceeding 3,000µS/cm is not permitted to be extracted.</w:t>
      </w:r>
    </w:p>
    <w:p w:rsidR="00261D93" w:rsidRDefault="00261D93" w:rsidP="00261D93">
      <w:pPr>
        <w:rPr>
          <w:b/>
        </w:rPr>
      </w:pPr>
    </w:p>
    <w:p w:rsidR="00261D93" w:rsidRPr="006B2AA4" w:rsidRDefault="00261D93" w:rsidP="006B2AA4">
      <w:pPr>
        <w:pStyle w:val="Heading3"/>
        <w:tabs>
          <w:tab w:val="clear" w:pos="907"/>
          <w:tab w:val="num" w:pos="900"/>
        </w:tabs>
        <w:spacing w:before="320"/>
        <w:ind w:left="900" w:hanging="900"/>
        <w:rPr>
          <w:bCs/>
        </w:rPr>
      </w:pPr>
      <w:bookmarkStart w:id="747" w:name="_Toc390690177"/>
      <w:r w:rsidRPr="006B2AA4">
        <w:rPr>
          <w:bCs/>
        </w:rPr>
        <w:t xml:space="preserve">Upper Darling Alluvial </w:t>
      </w:r>
      <w:smartTag w:uri="urn:schemas-microsoft-com:office:smarttags" w:element="PersonName">
        <w:r w:rsidRPr="006B2AA4">
          <w:rPr>
            <w:bCs/>
          </w:rPr>
          <w:t>Groundwater</w:t>
        </w:r>
      </w:smartTag>
      <w:r w:rsidRPr="006B2AA4">
        <w:rPr>
          <w:bCs/>
        </w:rPr>
        <w:t xml:space="preserve"> Source</w:t>
      </w:r>
      <w:bookmarkEnd w:id="747"/>
    </w:p>
    <w:p w:rsidR="00261D93" w:rsidRDefault="00261D93" w:rsidP="00261D93">
      <w:r>
        <w:t xml:space="preserve">The </w:t>
      </w:r>
      <w:r w:rsidRPr="00CF7613">
        <w:rPr>
          <w:rStyle w:val="StyleItalic"/>
        </w:rPr>
        <w:t xml:space="preserve">Upper Darling Alluvial </w:t>
      </w:r>
      <w:smartTag w:uri="urn:schemas-microsoft-com:office:smarttags" w:element="PersonName">
        <w:r w:rsidRPr="00CF7613">
          <w:rPr>
            <w:rStyle w:val="StyleItalic"/>
          </w:rPr>
          <w:t>Groundwater</w:t>
        </w:r>
      </w:smartTag>
      <w:r w:rsidRPr="00CF7613">
        <w:rPr>
          <w:rStyle w:val="StyleItalic"/>
        </w:rPr>
        <w:t xml:space="preserve"> Source</w:t>
      </w:r>
      <w:r>
        <w:t xml:space="preserve"> is a component of the NSW </w:t>
      </w:r>
      <w:r w:rsidRPr="00CF7613">
        <w:rPr>
          <w:rStyle w:val="StyleItalic"/>
        </w:rPr>
        <w:t xml:space="preserve">Barwon-Darling Unregulated and Alluvial Water Sources Water Sharing Plan </w:t>
      </w:r>
      <w:r>
        <w:t xml:space="preserve">which is a 10-year State plan </w:t>
      </w:r>
      <w:r w:rsidR="008E1470">
        <w:t>that</w:t>
      </w:r>
      <w:r w:rsidR="007330F4">
        <w:t xml:space="preserve"> commence</w:t>
      </w:r>
      <w:r w:rsidR="008E1470">
        <w:t>d on 4</w:t>
      </w:r>
      <w:r w:rsidR="008E1470" w:rsidRPr="008E1470">
        <w:rPr>
          <w:vertAlign w:val="superscript"/>
        </w:rPr>
        <w:t>th</w:t>
      </w:r>
      <w:r w:rsidR="008E1470">
        <w:t xml:space="preserve"> October, </w:t>
      </w:r>
      <w:r>
        <w:t>2012 (NoW, 2012b). The alluvial deposits are described as being 40-50</w:t>
      </w:r>
      <w:r w:rsidR="00030542">
        <w:t xml:space="preserve"> </w:t>
      </w:r>
      <w:r>
        <w:t>m thick and comprised of the Narrabri</w:t>
      </w:r>
      <w:r w:rsidR="00A93944">
        <w:t>,</w:t>
      </w:r>
      <w:r>
        <w:t xml:space="preserve"> Gunnedah </w:t>
      </w:r>
      <w:r w:rsidR="00A93944">
        <w:t xml:space="preserve">and Cubbaroo </w:t>
      </w:r>
      <w:r>
        <w:t xml:space="preserve">Formations (NoW, 2011). </w:t>
      </w:r>
      <w:r w:rsidR="00A93944">
        <w:t xml:space="preserve">Perched fresh groundwater is common in the shallow Narrabri Formation, with the deeper, more significant aquifers in the Gunnedah and Cubbaroo Formations interpreted to be mostly saline (NOW, 2012b). </w:t>
      </w:r>
      <w:r>
        <w:t>The aquifers are not considered to be highly connected to the Darling River.</w:t>
      </w:r>
      <w:r w:rsidR="00465915">
        <w:t xml:space="preserve"> </w:t>
      </w:r>
      <w:r>
        <w:t xml:space="preserve">The long-term groundwater extraction limits are based on a proportion of the long-term average annual rainfall and any potential river leakage is not included in the analysis. </w:t>
      </w:r>
      <w:r w:rsidR="00A93944">
        <w:t xml:space="preserve">A rainfall infiltration rate of 2% and a mean annual rainfall of 261 mm/yr were used to derive an average annual </w:t>
      </w:r>
      <w:r w:rsidR="00A93944">
        <w:lastRenderedPageBreak/>
        <w:t>recharge of 38,838 ML/yr (NOW, 2012d).</w:t>
      </w:r>
      <w:r>
        <w:t xml:space="preserve">The extraction limit for the groundwater source is defined as 17,120 ML/yr. </w:t>
      </w:r>
    </w:p>
    <w:p w:rsidR="00261D93" w:rsidRDefault="00261D93" w:rsidP="00261D93"/>
    <w:p w:rsidR="00261D93" w:rsidRPr="006B2AA4" w:rsidRDefault="00261D93" w:rsidP="006B2AA4">
      <w:pPr>
        <w:pStyle w:val="Heading3"/>
        <w:tabs>
          <w:tab w:val="clear" w:pos="907"/>
          <w:tab w:val="num" w:pos="900"/>
        </w:tabs>
        <w:spacing w:before="320"/>
        <w:ind w:left="900" w:hanging="900"/>
        <w:rPr>
          <w:bCs/>
        </w:rPr>
      </w:pPr>
      <w:bookmarkStart w:id="748" w:name="_Toc390690178"/>
      <w:smartTag w:uri="urn:schemas-microsoft-com:office:smarttags" w:element="place">
        <w:r w:rsidRPr="006B2AA4">
          <w:rPr>
            <w:bCs/>
          </w:rPr>
          <w:t>Western Murray</w:t>
        </w:r>
      </w:smartTag>
      <w:r w:rsidRPr="006B2AA4">
        <w:rPr>
          <w:bCs/>
        </w:rPr>
        <w:t xml:space="preserve"> Porous </w:t>
      </w:r>
      <w:smartTag w:uri="urn:schemas-microsoft-com:office:smarttags" w:element="PersonName">
        <w:r w:rsidRPr="006B2AA4">
          <w:rPr>
            <w:bCs/>
          </w:rPr>
          <w:t>Groundwater</w:t>
        </w:r>
      </w:smartTag>
      <w:r w:rsidRPr="006B2AA4">
        <w:rPr>
          <w:bCs/>
        </w:rPr>
        <w:t xml:space="preserve"> Source</w:t>
      </w:r>
      <w:bookmarkEnd w:id="748"/>
    </w:p>
    <w:p w:rsidR="00261D93" w:rsidRDefault="00261D93" w:rsidP="00261D93">
      <w:r>
        <w:t xml:space="preserve">The </w:t>
      </w:r>
      <w:r w:rsidRPr="00CF7613">
        <w:rPr>
          <w:rStyle w:val="StyleItalic"/>
        </w:rPr>
        <w:t xml:space="preserve">Western Murray Porous Rock </w:t>
      </w:r>
      <w:smartTag w:uri="urn:schemas-microsoft-com:office:smarttags" w:element="PersonName">
        <w:r w:rsidRPr="00CF7613">
          <w:rPr>
            <w:rStyle w:val="StyleItalic"/>
          </w:rPr>
          <w:t>Groundwater</w:t>
        </w:r>
      </w:smartTag>
      <w:r w:rsidRPr="00CF7613">
        <w:rPr>
          <w:rStyle w:val="StyleItalic"/>
        </w:rPr>
        <w:t xml:space="preserve"> Source</w:t>
      </w:r>
      <w:r>
        <w:t xml:space="preserve"> is part of the 10-year NSW </w:t>
      </w:r>
      <w:r w:rsidRPr="00CF7613">
        <w:rPr>
          <w:rStyle w:val="StyleItalic"/>
        </w:rPr>
        <w:t xml:space="preserve">Murray-Darling Basin Porous Rock </w:t>
      </w:r>
      <w:smartTag w:uri="urn:schemas-microsoft-com:office:smarttags" w:element="PersonName">
        <w:r w:rsidRPr="00CF7613">
          <w:rPr>
            <w:rStyle w:val="StyleItalic"/>
          </w:rPr>
          <w:t>Groundwater</w:t>
        </w:r>
      </w:smartTag>
      <w:r w:rsidRPr="00CF7613">
        <w:rPr>
          <w:rStyle w:val="StyleItalic"/>
        </w:rPr>
        <w:t xml:space="preserve"> Sources Water Sharing Plan</w:t>
      </w:r>
      <w:r>
        <w:t xml:space="preserve"> that commenced 16</w:t>
      </w:r>
      <w:r w:rsidRPr="00A92519">
        <w:rPr>
          <w:vertAlign w:val="superscript"/>
        </w:rPr>
        <w:t>th</w:t>
      </w:r>
      <w:r>
        <w:t xml:space="preserve"> January, 2012 (NoW, 2012c). The </w:t>
      </w:r>
      <w:smartTag w:uri="urn:schemas-microsoft-com:office:smarttags" w:element="PersonName">
        <w:r>
          <w:t>Groundwater</w:t>
        </w:r>
      </w:smartTag>
      <w:r>
        <w:t xml:space="preserve"> Source</w:t>
      </w:r>
      <w:r w:rsidRPr="004B5906">
        <w:t xml:space="preserve"> </w:t>
      </w:r>
      <w:r>
        <w:t xml:space="preserve">incorporates the </w:t>
      </w:r>
      <w:r w:rsidR="00C217F0">
        <w:t>Renmark Group</w:t>
      </w:r>
      <w:r w:rsidR="0009665B">
        <w:t xml:space="preserve">, Murray Group Limestone </w:t>
      </w:r>
      <w:r>
        <w:t xml:space="preserve">and </w:t>
      </w:r>
      <w:r w:rsidR="00A573EC">
        <w:t>Pliocene Sands (</w:t>
      </w:r>
      <w:r w:rsidR="00C217F0">
        <w:t>Calivil Formation</w:t>
      </w:r>
      <w:r>
        <w:t xml:space="preserve"> </w:t>
      </w:r>
      <w:r w:rsidR="00A573EC">
        <w:t xml:space="preserve">and Loxton-Parilla) </w:t>
      </w:r>
      <w:r>
        <w:t xml:space="preserve">aquifers in the </w:t>
      </w:r>
      <w:smartTag w:uri="urn:schemas-microsoft-com:office:smarttags" w:element="place">
        <w:smartTag w:uri="urn:schemas-microsoft-com:office:smarttags" w:element="PlaceName">
          <w:r>
            <w:t>Murray</w:t>
          </w:r>
        </w:smartTag>
        <w:r>
          <w:t xml:space="preserve"> </w:t>
        </w:r>
        <w:smartTag w:uri="urn:schemas-microsoft-com:office:smarttags" w:element="PlaceName">
          <w:r>
            <w:t>Geological</w:t>
          </w:r>
        </w:smartTag>
        <w:r>
          <w:t xml:space="preserve"> </w:t>
        </w:r>
        <w:smartTag w:uri="urn:schemas-microsoft-com:office:smarttags" w:element="PlaceType">
          <w:r>
            <w:t>Basin</w:t>
          </w:r>
        </w:smartTag>
      </w:smartTag>
      <w:r>
        <w:t>. These have been assigned a low to moderate level of surface water connection, with estimated travel time spanning years to decades.</w:t>
      </w:r>
    </w:p>
    <w:p w:rsidR="00261D93" w:rsidRDefault="00261D93" w:rsidP="00261D93"/>
    <w:p w:rsidR="00261D93" w:rsidRDefault="00261D93" w:rsidP="00261D93">
      <w:r>
        <w:t xml:space="preserve">The recharge calculations for all MDB Porous Rock </w:t>
      </w:r>
      <w:smartTag w:uri="urn:schemas-microsoft-com:office:smarttags" w:element="PersonName">
        <w:r>
          <w:t>Groundwater</w:t>
        </w:r>
      </w:smartTag>
      <w:r>
        <w:t xml:space="preserve"> Sources were based on rainfall recharge only, so any river leakage is not included. The extraction limit is based on a proportion of recharge, calculated as a percentage of infiltration of average annual rainfall over the water source area. </w:t>
      </w:r>
      <w:r w:rsidR="007330F4" w:rsidRPr="007330F4">
        <w:fldChar w:fldCharType="begin"/>
      </w:r>
      <w:r w:rsidR="007330F4" w:rsidRPr="007330F4">
        <w:instrText xml:space="preserve"> REF _Ref327266541 \h  \* MERGEFORMAT </w:instrText>
      </w:r>
      <w:r w:rsidR="007330F4" w:rsidRPr="007330F4">
        <w:fldChar w:fldCharType="separate"/>
      </w:r>
      <w:r w:rsidR="00966532" w:rsidRPr="00966532">
        <w:t xml:space="preserve">Table </w:t>
      </w:r>
      <w:r w:rsidR="00966532" w:rsidRPr="00966532">
        <w:rPr>
          <w:noProof/>
        </w:rPr>
        <w:t>11</w:t>
      </w:r>
      <w:r w:rsidR="00966532" w:rsidRPr="00966532">
        <w:rPr>
          <w:noProof/>
        </w:rPr>
        <w:noBreakHyphen/>
        <w:t>1</w:t>
      </w:r>
      <w:r w:rsidR="007330F4" w:rsidRPr="007330F4">
        <w:fldChar w:fldCharType="end"/>
      </w:r>
      <w:r w:rsidRPr="007330F4">
        <w:t xml:space="preserve"> </w:t>
      </w:r>
      <w:r>
        <w:t xml:space="preserve">summarises these estimates and the defined extraction limit for the </w:t>
      </w:r>
      <w:r w:rsidRPr="00CF7613">
        <w:rPr>
          <w:rStyle w:val="StyleItalic"/>
        </w:rPr>
        <w:t xml:space="preserve">Western Murray Porous Rock </w:t>
      </w:r>
      <w:smartTag w:uri="urn:schemas-microsoft-com:office:smarttags" w:element="PersonName">
        <w:r w:rsidRPr="00CF7613">
          <w:rPr>
            <w:rStyle w:val="StyleItalic"/>
          </w:rPr>
          <w:t>Groundwater</w:t>
        </w:r>
      </w:smartTag>
      <w:r w:rsidRPr="00CF7613">
        <w:rPr>
          <w:rStyle w:val="StyleItalic"/>
        </w:rPr>
        <w:t xml:space="preserve"> Source</w:t>
      </w:r>
      <w:r w:rsidR="00F57D24">
        <w:t xml:space="preserve"> (WMPRGS)</w:t>
      </w:r>
      <w:r>
        <w:t xml:space="preserve">. </w:t>
      </w:r>
    </w:p>
    <w:p w:rsidR="00261D93" w:rsidRDefault="00261D93" w:rsidP="00261D93"/>
    <w:p w:rsidR="00261D93" w:rsidRDefault="007330F4" w:rsidP="007330F4">
      <w:pPr>
        <w:pStyle w:val="Caption"/>
        <w:keepNext/>
      </w:pPr>
      <w:bookmarkStart w:id="749" w:name="_Ref327266541"/>
      <w:r w:rsidRPr="007330F4">
        <w:rPr>
          <w:b/>
        </w:rPr>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11</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1</w:t>
      </w:r>
      <w:r w:rsidR="00B96C96">
        <w:rPr>
          <w:b/>
        </w:rPr>
        <w:fldChar w:fldCharType="end"/>
      </w:r>
      <w:bookmarkEnd w:id="749"/>
      <w:r>
        <w:rPr>
          <w:b/>
        </w:rPr>
        <w:t>.</w:t>
      </w:r>
      <w:r>
        <w:t xml:space="preserve"> </w:t>
      </w:r>
      <w:r w:rsidR="00261D93">
        <w:t xml:space="preserve">Summary of the </w:t>
      </w:r>
      <w:smartTag w:uri="urn:schemas-microsoft-com:office:smarttags" w:element="place">
        <w:r w:rsidR="00261D93">
          <w:t>Western Murray</w:t>
        </w:r>
      </w:smartTag>
      <w:r w:rsidR="00261D93">
        <w:t xml:space="preserve"> Porous Rock </w:t>
      </w:r>
      <w:smartTag w:uri="urn:schemas-microsoft-com:office:smarttags" w:element="PersonName">
        <w:r w:rsidR="00261D93">
          <w:t>Groundwater</w:t>
        </w:r>
      </w:smartTag>
      <w:r w:rsidR="00261D93">
        <w:t xml:space="preserve"> Source (NoW, 2012c)</w:t>
      </w:r>
      <w:r w:rsidR="007960BF">
        <w:t xml:space="preserve">. </w:t>
      </w:r>
      <w:r w:rsidR="007960BF" w:rsidRPr="007960BF">
        <w:rPr>
          <w:i w:val="0"/>
        </w:rPr>
        <w:fldChar w:fldCharType="begin"/>
      </w:r>
      <w:r w:rsidR="007960BF" w:rsidRPr="007960BF">
        <w:rPr>
          <w:i w:val="0"/>
        </w:rPr>
        <w:instrText xml:space="preserve"> TC "</w:instrText>
      </w:r>
      <w:bookmarkStart w:id="750" w:name="_Toc390690311"/>
      <w:r w:rsidR="007960BF" w:rsidRPr="007960BF">
        <w:rPr>
          <w:i w:val="0"/>
        </w:rPr>
        <w:instrText xml:space="preserve">Table </w:instrText>
      </w:r>
      <w:r w:rsidR="000D653B">
        <w:rPr>
          <w:i w:val="0"/>
        </w:rPr>
        <w:instrText>11-1</w:instrText>
      </w:r>
      <w:r w:rsidR="00DE0DFA">
        <w:rPr>
          <w:i w:val="0"/>
        </w:rPr>
        <w:instrText>.</w:instrText>
      </w:r>
      <w:r w:rsidR="007960BF" w:rsidRPr="007960BF">
        <w:rPr>
          <w:i w:val="0"/>
        </w:rPr>
        <w:instrText xml:space="preserve"> Summary of the </w:instrText>
      </w:r>
      <w:smartTag w:uri="urn:schemas-microsoft-com:office:smarttags" w:element="place">
        <w:r w:rsidR="007960BF" w:rsidRPr="007960BF">
          <w:rPr>
            <w:i w:val="0"/>
          </w:rPr>
          <w:instrText>Western Murray</w:instrText>
        </w:r>
      </w:smartTag>
      <w:r w:rsidR="007960BF" w:rsidRPr="007960BF">
        <w:rPr>
          <w:i w:val="0"/>
        </w:rPr>
        <w:instrText xml:space="preserve"> Porous Rock </w:instrText>
      </w:r>
      <w:smartTag w:uri="urn:schemas-microsoft-com:office:smarttags" w:element="PersonName">
        <w:r w:rsidR="007960BF" w:rsidRPr="007960BF">
          <w:rPr>
            <w:i w:val="0"/>
          </w:rPr>
          <w:instrText>Groundwater</w:instrText>
        </w:r>
      </w:smartTag>
      <w:r w:rsidR="007960BF" w:rsidRPr="007960BF">
        <w:rPr>
          <w:i w:val="0"/>
        </w:rPr>
        <w:instrText xml:space="preserve"> Source (NoW, 2012c).</w:instrText>
      </w:r>
      <w:bookmarkEnd w:id="750"/>
      <w:r w:rsidR="007960BF" w:rsidRPr="007960BF">
        <w:rPr>
          <w:i w:val="0"/>
        </w:rPr>
        <w:instrText xml:space="preserve">" \f B \l "4" </w:instrText>
      </w:r>
      <w:r w:rsidR="007960BF" w:rsidRPr="007960BF">
        <w:rPr>
          <w:i w:val="0"/>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1"/>
        <w:gridCol w:w="4261"/>
      </w:tblGrid>
      <w:tr w:rsidR="00261D93" w:rsidRPr="000D653B" w:rsidTr="00672844">
        <w:trPr>
          <w:jc w:val="center"/>
        </w:trPr>
        <w:tc>
          <w:tcPr>
            <w:tcW w:w="4261" w:type="dxa"/>
            <w:shd w:val="clear" w:color="auto" w:fill="auto"/>
          </w:tcPr>
          <w:p w:rsidR="00261D93" w:rsidRPr="000D653B" w:rsidRDefault="00261D93" w:rsidP="00DA40F0">
            <w:pPr>
              <w:spacing w:before="60" w:after="60"/>
              <w:rPr>
                <w:b/>
                <w:sz w:val="20"/>
              </w:rPr>
            </w:pPr>
            <w:r w:rsidRPr="000D653B">
              <w:rPr>
                <w:b/>
                <w:sz w:val="20"/>
              </w:rPr>
              <w:t xml:space="preserve">Area </w:t>
            </w:r>
          </w:p>
        </w:tc>
        <w:tc>
          <w:tcPr>
            <w:tcW w:w="4261" w:type="dxa"/>
            <w:shd w:val="clear" w:color="auto" w:fill="auto"/>
          </w:tcPr>
          <w:p w:rsidR="00261D93" w:rsidRPr="000D653B" w:rsidRDefault="00261D93" w:rsidP="00DA40F0">
            <w:pPr>
              <w:spacing w:before="60" w:after="60"/>
              <w:rPr>
                <w:sz w:val="20"/>
              </w:rPr>
            </w:pPr>
            <w:r w:rsidRPr="000D653B">
              <w:rPr>
                <w:sz w:val="20"/>
              </w:rPr>
              <w:t>7,301,76</w:t>
            </w:r>
            <w:r w:rsidR="00A573EC">
              <w:rPr>
                <w:sz w:val="20"/>
              </w:rPr>
              <w:t>2</w:t>
            </w:r>
            <w:r w:rsidRPr="000D653B">
              <w:rPr>
                <w:sz w:val="20"/>
              </w:rPr>
              <w:t xml:space="preserve"> km</w:t>
            </w:r>
            <w:r w:rsidRPr="000D653B">
              <w:rPr>
                <w:sz w:val="20"/>
                <w:vertAlign w:val="superscript"/>
              </w:rPr>
              <w:t>2</w:t>
            </w:r>
          </w:p>
        </w:tc>
      </w:tr>
      <w:tr w:rsidR="00261D93" w:rsidRPr="000D653B" w:rsidTr="00672844">
        <w:trPr>
          <w:jc w:val="center"/>
        </w:trPr>
        <w:tc>
          <w:tcPr>
            <w:tcW w:w="4261" w:type="dxa"/>
            <w:shd w:val="clear" w:color="auto" w:fill="auto"/>
          </w:tcPr>
          <w:p w:rsidR="00261D93" w:rsidRPr="000D653B" w:rsidRDefault="00261D93" w:rsidP="00DA40F0">
            <w:pPr>
              <w:spacing w:before="60" w:after="60"/>
              <w:rPr>
                <w:b/>
                <w:sz w:val="20"/>
              </w:rPr>
            </w:pPr>
            <w:r w:rsidRPr="000D653B">
              <w:rPr>
                <w:b/>
                <w:sz w:val="20"/>
              </w:rPr>
              <w:t>Average annual rainfall</w:t>
            </w:r>
          </w:p>
        </w:tc>
        <w:tc>
          <w:tcPr>
            <w:tcW w:w="4261" w:type="dxa"/>
            <w:shd w:val="clear" w:color="auto" w:fill="auto"/>
          </w:tcPr>
          <w:p w:rsidR="00261D93" w:rsidRPr="000D653B" w:rsidRDefault="00261D93" w:rsidP="00DA40F0">
            <w:pPr>
              <w:spacing w:before="60" w:after="60"/>
              <w:rPr>
                <w:sz w:val="20"/>
              </w:rPr>
            </w:pPr>
            <w:r w:rsidRPr="000D653B">
              <w:rPr>
                <w:sz w:val="20"/>
              </w:rPr>
              <w:t>252 mm/yr</w:t>
            </w:r>
          </w:p>
        </w:tc>
      </w:tr>
      <w:tr w:rsidR="00261D93" w:rsidRPr="000D653B" w:rsidTr="00672844">
        <w:trPr>
          <w:jc w:val="center"/>
        </w:trPr>
        <w:tc>
          <w:tcPr>
            <w:tcW w:w="4261" w:type="dxa"/>
            <w:shd w:val="clear" w:color="auto" w:fill="auto"/>
          </w:tcPr>
          <w:p w:rsidR="00261D93" w:rsidRPr="000D653B" w:rsidRDefault="00261D93" w:rsidP="00DA40F0">
            <w:pPr>
              <w:spacing w:before="60" w:after="60"/>
              <w:rPr>
                <w:b/>
                <w:sz w:val="20"/>
              </w:rPr>
            </w:pPr>
            <w:r w:rsidRPr="000D653B">
              <w:rPr>
                <w:b/>
                <w:sz w:val="20"/>
              </w:rPr>
              <w:t>Infiltration Rate</w:t>
            </w:r>
          </w:p>
        </w:tc>
        <w:tc>
          <w:tcPr>
            <w:tcW w:w="4261" w:type="dxa"/>
            <w:shd w:val="clear" w:color="auto" w:fill="auto"/>
          </w:tcPr>
          <w:p w:rsidR="00261D93" w:rsidRPr="000D653B" w:rsidRDefault="00261D93" w:rsidP="00DA40F0">
            <w:pPr>
              <w:spacing w:before="60" w:after="60"/>
              <w:rPr>
                <w:sz w:val="20"/>
              </w:rPr>
            </w:pPr>
            <w:r w:rsidRPr="000D653B">
              <w:rPr>
                <w:sz w:val="20"/>
              </w:rPr>
              <w:t>6%</w:t>
            </w:r>
          </w:p>
        </w:tc>
      </w:tr>
      <w:tr w:rsidR="00261D93" w:rsidRPr="000D653B" w:rsidTr="00672844">
        <w:trPr>
          <w:jc w:val="center"/>
        </w:trPr>
        <w:tc>
          <w:tcPr>
            <w:tcW w:w="4261" w:type="dxa"/>
            <w:shd w:val="clear" w:color="auto" w:fill="auto"/>
          </w:tcPr>
          <w:p w:rsidR="00261D93" w:rsidRPr="000D653B" w:rsidRDefault="00261D93" w:rsidP="00DA40F0">
            <w:pPr>
              <w:spacing w:before="60" w:after="60"/>
              <w:rPr>
                <w:b/>
                <w:sz w:val="20"/>
              </w:rPr>
            </w:pPr>
            <w:r w:rsidRPr="000D653B">
              <w:rPr>
                <w:b/>
                <w:sz w:val="20"/>
              </w:rPr>
              <w:t>Estimated Total average annual rainfall recharge</w:t>
            </w:r>
          </w:p>
        </w:tc>
        <w:tc>
          <w:tcPr>
            <w:tcW w:w="4261" w:type="dxa"/>
            <w:shd w:val="clear" w:color="auto" w:fill="auto"/>
          </w:tcPr>
          <w:p w:rsidR="00261D93" w:rsidRPr="000D653B" w:rsidRDefault="00261D93" w:rsidP="00DA40F0">
            <w:pPr>
              <w:spacing w:before="60" w:after="60"/>
              <w:rPr>
                <w:sz w:val="20"/>
              </w:rPr>
            </w:pPr>
            <w:r w:rsidRPr="000D653B">
              <w:rPr>
                <w:sz w:val="20"/>
              </w:rPr>
              <w:t>1,103,965 ML/yr</w:t>
            </w:r>
          </w:p>
        </w:tc>
      </w:tr>
      <w:tr w:rsidR="00261D93" w:rsidRPr="000D653B" w:rsidTr="00672844">
        <w:trPr>
          <w:jc w:val="center"/>
        </w:trPr>
        <w:tc>
          <w:tcPr>
            <w:tcW w:w="4261" w:type="dxa"/>
            <w:shd w:val="clear" w:color="auto" w:fill="auto"/>
          </w:tcPr>
          <w:p w:rsidR="00261D93" w:rsidRPr="000D653B" w:rsidRDefault="00261D93" w:rsidP="00DA40F0">
            <w:pPr>
              <w:spacing w:before="60" w:after="60"/>
              <w:rPr>
                <w:b/>
                <w:sz w:val="20"/>
              </w:rPr>
            </w:pPr>
            <w:r w:rsidRPr="000D653B">
              <w:rPr>
                <w:b/>
                <w:sz w:val="20"/>
              </w:rPr>
              <w:t>Long term average annual extraction limit (LTAAEL)</w:t>
            </w:r>
          </w:p>
        </w:tc>
        <w:tc>
          <w:tcPr>
            <w:tcW w:w="4261" w:type="dxa"/>
            <w:shd w:val="clear" w:color="auto" w:fill="auto"/>
          </w:tcPr>
          <w:p w:rsidR="00261D93" w:rsidRPr="000D653B" w:rsidRDefault="00261D93" w:rsidP="00DA40F0">
            <w:pPr>
              <w:spacing w:before="60" w:after="60"/>
              <w:rPr>
                <w:sz w:val="20"/>
              </w:rPr>
            </w:pPr>
            <w:r w:rsidRPr="000D653B">
              <w:rPr>
                <w:sz w:val="20"/>
              </w:rPr>
              <w:t>530,486 ML/yr</w:t>
            </w:r>
          </w:p>
        </w:tc>
      </w:tr>
    </w:tbl>
    <w:p w:rsidR="00261D93" w:rsidRDefault="00261D93" w:rsidP="00261D93"/>
    <w:p w:rsidR="00261D93" w:rsidRPr="0009665B" w:rsidRDefault="00261D93" w:rsidP="00261D93">
      <w:r>
        <w:t>The groundwater source area reported in NoW (2012c</w:t>
      </w:r>
      <w:r w:rsidR="00102A4D">
        <w:t xml:space="preserve">; </w:t>
      </w:r>
      <w:r w:rsidR="00102A4D" w:rsidRPr="007330F4">
        <w:fldChar w:fldCharType="begin"/>
      </w:r>
      <w:r w:rsidR="00102A4D" w:rsidRPr="007330F4">
        <w:instrText xml:space="preserve"> REF _Ref327266541 \h  \* MERGEFORMAT </w:instrText>
      </w:r>
      <w:r w:rsidR="00102A4D" w:rsidRPr="007330F4">
        <w:fldChar w:fldCharType="separate"/>
      </w:r>
      <w:r w:rsidR="00966532" w:rsidRPr="00966532">
        <w:t xml:space="preserve">Table </w:t>
      </w:r>
      <w:r w:rsidR="00966532" w:rsidRPr="00966532">
        <w:rPr>
          <w:noProof/>
        </w:rPr>
        <w:t>11</w:t>
      </w:r>
      <w:r w:rsidR="00966532" w:rsidRPr="00966532">
        <w:rPr>
          <w:noProof/>
        </w:rPr>
        <w:noBreakHyphen/>
        <w:t>1</w:t>
      </w:r>
      <w:r w:rsidR="00102A4D" w:rsidRPr="007330F4">
        <w:fldChar w:fldCharType="end"/>
      </w:r>
      <w:r w:rsidR="00102A4D">
        <w:t>)</w:t>
      </w:r>
      <w:r>
        <w:t xml:space="preserve"> </w:t>
      </w:r>
      <w:r w:rsidR="00102A4D">
        <w:t>is up to</w:t>
      </w:r>
      <w:r>
        <w:t xml:space="preserve"> two orders of magnitude</w:t>
      </w:r>
      <w:r w:rsidR="00102A4D">
        <w:t xml:space="preserve"> </w:t>
      </w:r>
      <w:r>
        <w:t>too large</w:t>
      </w:r>
      <w:r w:rsidR="00102A4D">
        <w:t xml:space="preserve"> compared to the mapped area</w:t>
      </w:r>
      <w:r>
        <w:t>. However, this large reported area is not reflected in the calculations of annual rainfall recharge. Field measurements under native vegetation in this landscape indicate very low recharge rates of &lt;0.3 mm/yr or ~0.1% of average rainfall (Cook</w:t>
      </w:r>
      <w:r w:rsidR="008A5F7D" w:rsidRPr="00CF7613">
        <w:rPr>
          <w:rStyle w:val="StyleItalic"/>
        </w:rPr>
        <w:t xml:space="preserve"> et al</w:t>
      </w:r>
      <w:r w:rsidRPr="00CF7613">
        <w:rPr>
          <w:rStyle w:val="StyleItalic"/>
        </w:rPr>
        <w:t>.,</w:t>
      </w:r>
      <w:r>
        <w:t xml:space="preserve"> 1996). Application of the chloride mass balance method in the BHMAR </w:t>
      </w:r>
      <w:r w:rsidR="00A56C85">
        <w:t>project</w:t>
      </w:r>
      <w:r>
        <w:t xml:space="preserve"> area derived an average rainfall recharge rate of 1.</w:t>
      </w:r>
      <w:r w:rsidR="00AA45E6">
        <w:t>8</w:t>
      </w:r>
      <w:r>
        <w:t xml:space="preserve"> mm/yr, or ~0.</w:t>
      </w:r>
      <w:r w:rsidR="00AA45E6">
        <w:t>7</w:t>
      </w:r>
      <w:r>
        <w:t xml:space="preserve">% of average annual rainfall. This is about an order of magnitude less than the infiltration rate used in the water sharing plan </w:t>
      </w:r>
      <w:r w:rsidR="00DC42D8">
        <w:t>(</w:t>
      </w:r>
      <w:r w:rsidR="00DC42D8" w:rsidRPr="007330F4">
        <w:fldChar w:fldCharType="begin"/>
      </w:r>
      <w:r w:rsidR="00DC42D8" w:rsidRPr="007330F4">
        <w:instrText xml:space="preserve"> REF _Ref327266541 \h  \* MERGEFORMAT </w:instrText>
      </w:r>
      <w:r w:rsidR="00DC42D8" w:rsidRPr="007330F4">
        <w:fldChar w:fldCharType="separate"/>
      </w:r>
      <w:r w:rsidR="00966532" w:rsidRPr="00966532">
        <w:t xml:space="preserve">Table </w:t>
      </w:r>
      <w:r w:rsidR="00966532" w:rsidRPr="00966532">
        <w:rPr>
          <w:noProof/>
        </w:rPr>
        <w:t>11</w:t>
      </w:r>
      <w:r w:rsidR="00966532" w:rsidRPr="00966532">
        <w:rPr>
          <w:noProof/>
        </w:rPr>
        <w:noBreakHyphen/>
        <w:t>1</w:t>
      </w:r>
      <w:r w:rsidR="00DC42D8" w:rsidRPr="007330F4">
        <w:fldChar w:fldCharType="end"/>
      </w:r>
      <w:r>
        <w:t>).</w:t>
      </w:r>
      <w:r w:rsidR="0009665B" w:rsidRPr="0009665B">
        <w:t xml:space="preserve"> It is important to</w:t>
      </w:r>
      <w:r w:rsidR="00F57D24">
        <w:t xml:space="preserve"> note </w:t>
      </w:r>
      <w:r w:rsidR="0009665B" w:rsidRPr="0009665B">
        <w:t>the chloride mass balance method assumes a disconnect between surface water and groundwater, with rainfall being the only chloride source. As river/lake leakage has been inferred to be the main recharge mechanism, the underlying ass</w:t>
      </w:r>
      <w:r w:rsidR="00F57D24">
        <w:t xml:space="preserve">umptions of </w:t>
      </w:r>
      <w:r w:rsidR="0009665B" w:rsidRPr="0009665B">
        <w:t>the chloride mass balance method do not hold and the derived recharge estimates are not valid.</w:t>
      </w:r>
    </w:p>
    <w:p w:rsidR="00261D93" w:rsidRPr="00414FE8" w:rsidRDefault="00261D93" w:rsidP="00261D93"/>
    <w:p w:rsidR="00261D93" w:rsidRPr="006B2AA4" w:rsidRDefault="00261D93" w:rsidP="006B2AA4">
      <w:pPr>
        <w:pStyle w:val="Heading3"/>
        <w:tabs>
          <w:tab w:val="clear" w:pos="907"/>
          <w:tab w:val="num" w:pos="900"/>
        </w:tabs>
        <w:spacing w:before="320"/>
        <w:ind w:left="900" w:hanging="900"/>
        <w:rPr>
          <w:bCs/>
        </w:rPr>
      </w:pPr>
      <w:bookmarkStart w:id="751" w:name="_Toc390690179"/>
      <w:smartTag w:uri="urn:schemas-microsoft-com:office:smarttags" w:element="place">
        <w:smartTag w:uri="urn:schemas-microsoft-com:office:smarttags" w:element="PlaceName">
          <w:r w:rsidRPr="006B2AA4">
            <w:rPr>
              <w:bCs/>
            </w:rPr>
            <w:t>Murray-Darling</w:t>
          </w:r>
        </w:smartTag>
        <w:r w:rsidRPr="006B2AA4">
          <w:rPr>
            <w:bCs/>
          </w:rPr>
          <w:t xml:space="preserve"> </w:t>
        </w:r>
        <w:smartTag w:uri="urn:schemas-microsoft-com:office:smarttags" w:element="PlaceType">
          <w:r w:rsidRPr="006B2AA4">
            <w:rPr>
              <w:bCs/>
            </w:rPr>
            <w:t>Basin</w:t>
          </w:r>
        </w:smartTag>
      </w:smartTag>
      <w:r w:rsidRPr="006B2AA4">
        <w:rPr>
          <w:bCs/>
        </w:rPr>
        <w:t xml:space="preserve"> Plan</w:t>
      </w:r>
      <w:bookmarkEnd w:id="751"/>
    </w:p>
    <w:p w:rsidR="00261D93" w:rsidRDefault="00261D93" w:rsidP="00261D93">
      <w:r>
        <w:t xml:space="preserve">The </w:t>
      </w:r>
      <w:r w:rsidRPr="00CF7613">
        <w:rPr>
          <w:rStyle w:val="StyleItalic"/>
        </w:rPr>
        <w:t xml:space="preserve">Basin Plan </w:t>
      </w:r>
      <w:r w:rsidRPr="007B3AB4">
        <w:t xml:space="preserve">for the </w:t>
      </w:r>
      <w:smartTag w:uri="urn:schemas-microsoft-com:office:smarttags" w:element="place">
        <w:smartTag w:uri="urn:schemas-microsoft-com:office:smarttags" w:element="PlaceName">
          <w:r w:rsidRPr="007B3AB4">
            <w:t>Murray-Darling</w:t>
          </w:r>
        </w:smartTag>
        <w:r w:rsidRPr="007B3AB4">
          <w:t xml:space="preserve"> </w:t>
        </w:r>
        <w:smartTag w:uri="urn:schemas-microsoft-com:office:smarttags" w:element="PlaceType">
          <w:r w:rsidRPr="007B3AB4">
            <w:t>Basin</w:t>
          </w:r>
        </w:smartTag>
      </w:smartTag>
      <w:r>
        <w:t xml:space="preserve"> </w:t>
      </w:r>
      <w:r w:rsidR="007B3AB4">
        <w:t xml:space="preserve">under the Water Act 2007 </w:t>
      </w:r>
      <w:r>
        <w:t xml:space="preserve">has recently been released (MDBA, </w:t>
      </w:r>
      <w:r w:rsidR="00364F6D">
        <w:t>2012</w:t>
      </w:r>
      <w:r w:rsidR="007B3AB4">
        <w:t>c</w:t>
      </w:r>
      <w:r>
        <w:t xml:space="preserve">). In the </w:t>
      </w:r>
      <w:r w:rsidR="007B3AB4">
        <w:t>Basin</w:t>
      </w:r>
      <w:r>
        <w:t xml:space="preserve"> Plan, extraction limits for a particular groundwater resource unit are defined in terms of a:</w:t>
      </w:r>
    </w:p>
    <w:p w:rsidR="00261D93" w:rsidRPr="0036620F" w:rsidRDefault="00261D93" w:rsidP="0036620F">
      <w:pPr>
        <w:numPr>
          <w:ilvl w:val="0"/>
          <w:numId w:val="19"/>
        </w:numPr>
        <w:ind w:left="1080"/>
      </w:pPr>
      <w:r>
        <w:t>Sustainable Diversion Limit (SDL) which is the l</w:t>
      </w:r>
      <w:r w:rsidRPr="00414FE8">
        <w:t>ong term average sustainable diversion limit</w:t>
      </w:r>
      <w:r>
        <w:t>, and a</w:t>
      </w:r>
    </w:p>
    <w:p w:rsidR="00261D93" w:rsidRPr="0036620F" w:rsidRDefault="00261D93" w:rsidP="0036620F">
      <w:pPr>
        <w:numPr>
          <w:ilvl w:val="0"/>
          <w:numId w:val="19"/>
        </w:numPr>
        <w:ind w:left="1080"/>
      </w:pPr>
      <w:r>
        <w:t>Baseline Diversion Limit (BDL) which is the limit of groundwater use under existing water management arrangements.</w:t>
      </w:r>
    </w:p>
    <w:p w:rsidR="00261D93" w:rsidRDefault="00261D93" w:rsidP="00261D93"/>
    <w:p w:rsidR="00261D93" w:rsidRDefault="0036620F" w:rsidP="00261D93">
      <w:r w:rsidRPr="0036620F">
        <w:fldChar w:fldCharType="begin"/>
      </w:r>
      <w:r w:rsidRPr="0036620F">
        <w:instrText xml:space="preserve"> REF _Ref327266759 \h  \* MERGEFORMAT </w:instrText>
      </w:r>
      <w:r w:rsidRPr="0036620F">
        <w:fldChar w:fldCharType="separate"/>
      </w:r>
      <w:r w:rsidR="00966532" w:rsidRPr="00966532">
        <w:t xml:space="preserve">Table </w:t>
      </w:r>
      <w:r w:rsidR="00966532" w:rsidRPr="00966532">
        <w:rPr>
          <w:noProof/>
        </w:rPr>
        <w:t>11</w:t>
      </w:r>
      <w:r w:rsidR="00966532" w:rsidRPr="00966532">
        <w:rPr>
          <w:noProof/>
        </w:rPr>
        <w:noBreakHyphen/>
        <w:t>2</w:t>
      </w:r>
      <w:r w:rsidRPr="0036620F">
        <w:fldChar w:fldCharType="end"/>
      </w:r>
      <w:r w:rsidRPr="0036620F">
        <w:t xml:space="preserve"> </w:t>
      </w:r>
      <w:r w:rsidR="00261D93" w:rsidRPr="0036620F">
        <w:t>s</w:t>
      </w:r>
      <w:r w:rsidR="00261D93">
        <w:t xml:space="preserve">ummarises these limits for the groundwater resource units relevant to the BHMAR project. Where numerical models are not available (as is the case for the study area), a recharge risk assessment method (RRAM) was used (CSIRO </w:t>
      </w:r>
      <w:r w:rsidR="009E14A2">
        <w:t xml:space="preserve">&amp; </w:t>
      </w:r>
      <w:r w:rsidR="00261D93">
        <w:t>SKM, 2010; 2011</w:t>
      </w:r>
      <w:r w:rsidR="00AC1388">
        <w:t>; MDBA, 2012b</w:t>
      </w:r>
      <w:r w:rsidR="00261D93">
        <w:t>) to derive a preliminary extraction limit (PEL). This involved:</w:t>
      </w:r>
    </w:p>
    <w:p w:rsidR="00261D93" w:rsidRPr="0036620F" w:rsidRDefault="00261D93" w:rsidP="0036620F">
      <w:pPr>
        <w:numPr>
          <w:ilvl w:val="0"/>
          <w:numId w:val="19"/>
        </w:numPr>
        <w:ind w:left="1080"/>
      </w:pPr>
      <w:r>
        <w:lastRenderedPageBreak/>
        <w:t xml:space="preserve">Using the Water Vegetation Energy and Solute (WAVES) model to determine basin-wide dryland diffuse (rainfall) recharge. </w:t>
      </w:r>
    </w:p>
    <w:p w:rsidR="00261D93" w:rsidRPr="0036620F" w:rsidRDefault="00261D93" w:rsidP="0036620F">
      <w:pPr>
        <w:numPr>
          <w:ilvl w:val="0"/>
          <w:numId w:val="19"/>
        </w:numPr>
        <w:ind w:left="1080"/>
      </w:pPr>
      <w:r>
        <w:t>Applying a risk matrix approach to assess risks in terms of the key environment assets, key ecosystem functions, the productive base and the key environmental outcomes. The level of uncertainty was also assessed.</w:t>
      </w:r>
    </w:p>
    <w:p w:rsidR="00261D93" w:rsidRPr="0036620F" w:rsidRDefault="00261D93" w:rsidP="0036620F">
      <w:pPr>
        <w:numPr>
          <w:ilvl w:val="0"/>
          <w:numId w:val="19"/>
        </w:numPr>
        <w:ind w:left="1080"/>
      </w:pPr>
      <w:r>
        <w:t>Defining a sustainability factor (SF) based on the assigned risk and uncertainty which was the proportion applied to the recharge volume to derive the PEL.</w:t>
      </w:r>
    </w:p>
    <w:p w:rsidR="00261D93" w:rsidRDefault="00261D93" w:rsidP="00261D93"/>
    <w:p w:rsidR="00261D93" w:rsidRDefault="00261D93" w:rsidP="00261D93">
      <w:r>
        <w:t xml:space="preserve">The RRAM risk matrix approach is similar in concept to the approach taken at a State level to define the NSW groundwater sharing plans for the area. River leakage is not a component of the WAVES model, so is not explicitly factored into the estimation of recharge. River leakage during flood events is acknowledged as the key recharge process for the Upper Darling Alluvium, although not explicitly incorporated into the analysis (CSIRO </w:t>
      </w:r>
      <w:r w:rsidR="009E14A2">
        <w:t xml:space="preserve">&amp; </w:t>
      </w:r>
      <w:r>
        <w:t>SKM, 2010).</w:t>
      </w:r>
    </w:p>
    <w:p w:rsidR="00261D93" w:rsidRDefault="00261D93" w:rsidP="00261D93"/>
    <w:p w:rsidR="00261D93" w:rsidRPr="00414FE8" w:rsidRDefault="0036620F" w:rsidP="000D653B">
      <w:pPr>
        <w:pStyle w:val="Caption"/>
        <w:keepNext/>
      </w:pPr>
      <w:bookmarkStart w:id="752" w:name="_Ref327266759"/>
      <w:r w:rsidRPr="000D653B">
        <w:rPr>
          <w:b/>
        </w:rPr>
        <w:t xml:space="preserve">Table </w:t>
      </w:r>
      <w:r w:rsidR="00B96C96" w:rsidRPr="000D653B">
        <w:rPr>
          <w:b/>
        </w:rPr>
        <w:fldChar w:fldCharType="begin"/>
      </w:r>
      <w:r w:rsidR="00B96C96" w:rsidRPr="000D653B">
        <w:rPr>
          <w:b/>
        </w:rPr>
        <w:instrText xml:space="preserve"> STYLEREF 1 \s </w:instrText>
      </w:r>
      <w:r w:rsidR="00B96C96" w:rsidRPr="000D653B">
        <w:rPr>
          <w:b/>
        </w:rPr>
        <w:fldChar w:fldCharType="separate"/>
      </w:r>
      <w:r w:rsidR="00966532">
        <w:rPr>
          <w:b/>
          <w:noProof/>
        </w:rPr>
        <w:t>11</w:t>
      </w:r>
      <w:r w:rsidR="00B96C96" w:rsidRPr="000D653B">
        <w:rPr>
          <w:b/>
        </w:rPr>
        <w:fldChar w:fldCharType="end"/>
      </w:r>
      <w:r w:rsidR="00B96C96" w:rsidRPr="000D653B">
        <w:rPr>
          <w:b/>
        </w:rPr>
        <w:noBreakHyphen/>
      </w:r>
      <w:r w:rsidR="00B96C96" w:rsidRPr="000D653B">
        <w:rPr>
          <w:b/>
        </w:rPr>
        <w:fldChar w:fldCharType="begin"/>
      </w:r>
      <w:r w:rsidR="00B96C96" w:rsidRPr="000D653B">
        <w:rPr>
          <w:b/>
        </w:rPr>
        <w:instrText xml:space="preserve"> SEQ Table \* ARABIC \s 1 </w:instrText>
      </w:r>
      <w:r w:rsidR="00B96C96" w:rsidRPr="000D653B">
        <w:rPr>
          <w:b/>
        </w:rPr>
        <w:fldChar w:fldCharType="separate"/>
      </w:r>
      <w:r w:rsidR="00966532">
        <w:rPr>
          <w:b/>
          <w:noProof/>
        </w:rPr>
        <w:t>2</w:t>
      </w:r>
      <w:r w:rsidR="00B96C96" w:rsidRPr="000D653B">
        <w:rPr>
          <w:b/>
        </w:rPr>
        <w:fldChar w:fldCharType="end"/>
      </w:r>
      <w:bookmarkEnd w:id="752"/>
      <w:r w:rsidRPr="000D653B">
        <w:rPr>
          <w:b/>
        </w:rPr>
        <w:t xml:space="preserve">. </w:t>
      </w:r>
      <w:r w:rsidR="00261D93">
        <w:t xml:space="preserve">Diversion Limits for BHMAR groundwater resource units under the Basin Plan (MDBA, </w:t>
      </w:r>
      <w:r w:rsidR="00364F6D">
        <w:t>2012</w:t>
      </w:r>
      <w:r w:rsidR="007B3AB4">
        <w:t>c</w:t>
      </w:r>
      <w:r w:rsidR="00261D93">
        <w:t>)</w:t>
      </w:r>
      <w:r w:rsidR="007960BF">
        <w:t xml:space="preserve">. </w:t>
      </w:r>
      <w:r w:rsidR="007960BF" w:rsidRPr="000D653B">
        <w:fldChar w:fldCharType="begin"/>
      </w:r>
      <w:r w:rsidR="007960BF" w:rsidRPr="000D653B">
        <w:instrText xml:space="preserve"> TC "</w:instrText>
      </w:r>
      <w:bookmarkStart w:id="753" w:name="_Toc390690312"/>
      <w:r w:rsidR="007960BF" w:rsidRPr="000D653B">
        <w:instrText xml:space="preserve">Table </w:instrText>
      </w:r>
      <w:r w:rsidR="000D653B">
        <w:instrText>11-2</w:instrText>
      </w:r>
      <w:r w:rsidR="00DE0DFA" w:rsidRPr="000D653B">
        <w:instrText>.</w:instrText>
      </w:r>
      <w:r w:rsidR="007960BF" w:rsidRPr="000D653B">
        <w:instrText xml:space="preserve"> Diversion Limits for BHMAR groundwater resource units under the Basin Plan (MDBA, 2012</w:instrText>
      </w:r>
      <w:r w:rsidR="007B3AB4">
        <w:instrText>c</w:instrText>
      </w:r>
      <w:r w:rsidR="007960BF" w:rsidRPr="000D653B">
        <w:instrText>)</w:instrText>
      </w:r>
      <w:r w:rsidR="003721DD" w:rsidRPr="000D653B">
        <w:instrText>.</w:instrText>
      </w:r>
      <w:bookmarkEnd w:id="753"/>
      <w:r w:rsidR="007960BF" w:rsidRPr="000D653B">
        <w:instrText xml:space="preserve">" \f B \l "4" </w:instrText>
      </w:r>
      <w:r w:rsidR="007960BF" w:rsidRPr="000D653B">
        <w:fldChar w:fldCharType="end"/>
      </w:r>
    </w:p>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900"/>
        <w:gridCol w:w="2700"/>
        <w:gridCol w:w="1800"/>
        <w:gridCol w:w="1800"/>
      </w:tblGrid>
      <w:tr w:rsidR="007B3AB4" w:rsidRPr="000D653B" w:rsidTr="007B3AB4">
        <w:tc>
          <w:tcPr>
            <w:tcW w:w="2160" w:type="dxa"/>
            <w:shd w:val="clear" w:color="auto" w:fill="CCCCCC"/>
          </w:tcPr>
          <w:p w:rsidR="00261D93" w:rsidRPr="000D653B" w:rsidRDefault="00261D93" w:rsidP="003E5EE5">
            <w:pPr>
              <w:spacing w:before="60" w:after="60"/>
              <w:rPr>
                <w:b/>
                <w:sz w:val="20"/>
                <w:szCs w:val="20"/>
              </w:rPr>
            </w:pPr>
            <w:r w:rsidRPr="000D653B">
              <w:rPr>
                <w:b/>
                <w:sz w:val="20"/>
                <w:szCs w:val="20"/>
              </w:rPr>
              <w:t>Name</w:t>
            </w:r>
          </w:p>
        </w:tc>
        <w:tc>
          <w:tcPr>
            <w:tcW w:w="900" w:type="dxa"/>
            <w:shd w:val="clear" w:color="auto" w:fill="CCCCCC"/>
          </w:tcPr>
          <w:p w:rsidR="00261D93" w:rsidRPr="000D653B" w:rsidRDefault="00261D93" w:rsidP="003E5EE5">
            <w:pPr>
              <w:spacing w:before="60" w:after="60"/>
              <w:jc w:val="center"/>
              <w:rPr>
                <w:b/>
                <w:sz w:val="20"/>
                <w:szCs w:val="20"/>
              </w:rPr>
            </w:pPr>
            <w:r w:rsidRPr="000D653B">
              <w:rPr>
                <w:b/>
                <w:sz w:val="20"/>
                <w:szCs w:val="20"/>
              </w:rPr>
              <w:t>SDL ID</w:t>
            </w:r>
          </w:p>
        </w:tc>
        <w:tc>
          <w:tcPr>
            <w:tcW w:w="2700" w:type="dxa"/>
            <w:shd w:val="clear" w:color="auto" w:fill="CCCCCC"/>
          </w:tcPr>
          <w:p w:rsidR="00261D93" w:rsidRPr="000D653B" w:rsidRDefault="00261D93" w:rsidP="003E5EE5">
            <w:pPr>
              <w:spacing w:before="60" w:after="60"/>
              <w:jc w:val="center"/>
              <w:rPr>
                <w:b/>
                <w:sz w:val="20"/>
                <w:szCs w:val="20"/>
              </w:rPr>
            </w:pPr>
            <w:r w:rsidRPr="000D653B">
              <w:rPr>
                <w:b/>
                <w:sz w:val="20"/>
                <w:szCs w:val="20"/>
              </w:rPr>
              <w:t>Category</w:t>
            </w:r>
          </w:p>
        </w:tc>
        <w:tc>
          <w:tcPr>
            <w:tcW w:w="1800" w:type="dxa"/>
            <w:shd w:val="clear" w:color="auto" w:fill="CCCCCC"/>
          </w:tcPr>
          <w:p w:rsidR="007B3AB4" w:rsidRDefault="007B3AB4" w:rsidP="003E5EE5">
            <w:pPr>
              <w:spacing w:before="60" w:after="60"/>
              <w:jc w:val="center"/>
              <w:rPr>
                <w:b/>
                <w:sz w:val="20"/>
                <w:szCs w:val="20"/>
              </w:rPr>
            </w:pPr>
            <w:r>
              <w:rPr>
                <w:b/>
                <w:sz w:val="20"/>
                <w:szCs w:val="20"/>
              </w:rPr>
              <w:t xml:space="preserve">Baseline Diversion Limit </w:t>
            </w:r>
          </w:p>
          <w:p w:rsidR="007B3AB4" w:rsidRDefault="00261D93" w:rsidP="003E5EE5">
            <w:pPr>
              <w:spacing w:before="60" w:after="60"/>
              <w:jc w:val="center"/>
              <w:rPr>
                <w:b/>
                <w:sz w:val="20"/>
                <w:szCs w:val="20"/>
              </w:rPr>
            </w:pPr>
            <w:r w:rsidRPr="000D653B">
              <w:rPr>
                <w:b/>
                <w:sz w:val="20"/>
                <w:szCs w:val="20"/>
              </w:rPr>
              <w:t>BDL</w:t>
            </w:r>
          </w:p>
          <w:p w:rsidR="00261D93" w:rsidRPr="000D653B" w:rsidRDefault="00261D93" w:rsidP="007B3AB4">
            <w:pPr>
              <w:spacing w:before="60" w:after="60"/>
              <w:jc w:val="center"/>
              <w:rPr>
                <w:b/>
                <w:sz w:val="20"/>
                <w:szCs w:val="20"/>
              </w:rPr>
            </w:pPr>
            <w:r w:rsidRPr="000D653B">
              <w:rPr>
                <w:b/>
                <w:sz w:val="20"/>
                <w:szCs w:val="20"/>
              </w:rPr>
              <w:t>(GL/yr)</w:t>
            </w:r>
          </w:p>
        </w:tc>
        <w:tc>
          <w:tcPr>
            <w:tcW w:w="1800" w:type="dxa"/>
            <w:shd w:val="clear" w:color="auto" w:fill="CCCCCC"/>
          </w:tcPr>
          <w:p w:rsidR="007B3AB4" w:rsidRDefault="007B3AB4" w:rsidP="003E5EE5">
            <w:pPr>
              <w:spacing w:before="60" w:after="60"/>
              <w:jc w:val="center"/>
              <w:rPr>
                <w:b/>
                <w:sz w:val="20"/>
                <w:szCs w:val="20"/>
              </w:rPr>
            </w:pPr>
            <w:r>
              <w:rPr>
                <w:b/>
                <w:sz w:val="20"/>
                <w:szCs w:val="20"/>
              </w:rPr>
              <w:t xml:space="preserve">Sustainable Diversion Limit </w:t>
            </w:r>
            <w:r w:rsidR="00261D93" w:rsidRPr="000D653B">
              <w:rPr>
                <w:b/>
                <w:sz w:val="20"/>
                <w:szCs w:val="20"/>
              </w:rPr>
              <w:t>SDL</w:t>
            </w:r>
          </w:p>
          <w:p w:rsidR="00261D93" w:rsidRPr="000D653B" w:rsidRDefault="00261D93" w:rsidP="003E5EE5">
            <w:pPr>
              <w:spacing w:before="60" w:after="60"/>
              <w:jc w:val="center"/>
              <w:rPr>
                <w:b/>
                <w:sz w:val="20"/>
                <w:szCs w:val="20"/>
              </w:rPr>
            </w:pPr>
            <w:r w:rsidRPr="000D653B">
              <w:rPr>
                <w:b/>
                <w:sz w:val="20"/>
                <w:szCs w:val="20"/>
              </w:rPr>
              <w:t>(GL/yr)</w:t>
            </w:r>
          </w:p>
        </w:tc>
      </w:tr>
      <w:tr w:rsidR="007B3AB4" w:rsidRPr="000D653B" w:rsidTr="007B3AB4">
        <w:tc>
          <w:tcPr>
            <w:tcW w:w="2160" w:type="dxa"/>
            <w:shd w:val="clear" w:color="auto" w:fill="auto"/>
          </w:tcPr>
          <w:p w:rsidR="00261D93" w:rsidRPr="000D653B" w:rsidRDefault="00261D93" w:rsidP="00DA40F0">
            <w:pPr>
              <w:spacing w:before="60" w:after="60"/>
              <w:rPr>
                <w:sz w:val="20"/>
                <w:szCs w:val="20"/>
              </w:rPr>
            </w:pPr>
            <w:r w:rsidRPr="000D653B">
              <w:rPr>
                <w:sz w:val="20"/>
                <w:szCs w:val="20"/>
              </w:rPr>
              <w:t>Lower Darling Alluvium</w:t>
            </w:r>
          </w:p>
        </w:tc>
        <w:tc>
          <w:tcPr>
            <w:tcW w:w="900" w:type="dxa"/>
            <w:shd w:val="clear" w:color="auto" w:fill="auto"/>
          </w:tcPr>
          <w:p w:rsidR="00261D93" w:rsidRPr="000D653B" w:rsidRDefault="00261D93" w:rsidP="00DA40F0">
            <w:pPr>
              <w:spacing w:before="60" w:after="60"/>
              <w:rPr>
                <w:sz w:val="20"/>
                <w:szCs w:val="20"/>
              </w:rPr>
            </w:pPr>
            <w:r w:rsidRPr="000D653B">
              <w:rPr>
                <w:sz w:val="20"/>
                <w:szCs w:val="20"/>
              </w:rPr>
              <w:t>GS2</w:t>
            </w:r>
            <w:r w:rsidR="007B3AB4">
              <w:rPr>
                <w:sz w:val="20"/>
                <w:szCs w:val="20"/>
              </w:rPr>
              <w:t>3</w:t>
            </w:r>
          </w:p>
        </w:tc>
        <w:tc>
          <w:tcPr>
            <w:tcW w:w="2700" w:type="dxa"/>
            <w:shd w:val="clear" w:color="auto" w:fill="auto"/>
          </w:tcPr>
          <w:p w:rsidR="00261D93" w:rsidRPr="000D653B" w:rsidRDefault="007B3AB4" w:rsidP="00DA40F0">
            <w:pPr>
              <w:spacing w:before="60" w:after="60"/>
              <w:rPr>
                <w:sz w:val="20"/>
                <w:szCs w:val="20"/>
              </w:rPr>
            </w:pPr>
            <w:r>
              <w:rPr>
                <w:sz w:val="20"/>
                <w:szCs w:val="20"/>
              </w:rPr>
              <w:t>All groundwater</w:t>
            </w:r>
          </w:p>
        </w:tc>
        <w:tc>
          <w:tcPr>
            <w:tcW w:w="1800" w:type="dxa"/>
            <w:shd w:val="clear" w:color="auto" w:fill="auto"/>
          </w:tcPr>
          <w:p w:rsidR="00261D93" w:rsidRPr="000D653B" w:rsidRDefault="007B3AB4" w:rsidP="00DA40F0">
            <w:pPr>
              <w:spacing w:before="60" w:after="60"/>
              <w:rPr>
                <w:sz w:val="20"/>
                <w:szCs w:val="20"/>
              </w:rPr>
            </w:pPr>
            <w:r>
              <w:rPr>
                <w:sz w:val="20"/>
                <w:szCs w:val="20"/>
              </w:rPr>
              <w:t>2.23</w:t>
            </w:r>
          </w:p>
        </w:tc>
        <w:tc>
          <w:tcPr>
            <w:tcW w:w="1800" w:type="dxa"/>
            <w:shd w:val="clear" w:color="auto" w:fill="auto"/>
          </w:tcPr>
          <w:p w:rsidR="00261D93" w:rsidRPr="000D653B" w:rsidRDefault="007B3AB4" w:rsidP="00DA40F0">
            <w:pPr>
              <w:spacing w:before="60" w:after="60"/>
              <w:rPr>
                <w:sz w:val="20"/>
                <w:szCs w:val="20"/>
              </w:rPr>
            </w:pPr>
            <w:r>
              <w:rPr>
                <w:sz w:val="20"/>
                <w:szCs w:val="20"/>
              </w:rPr>
              <w:t>2.23</w:t>
            </w:r>
          </w:p>
        </w:tc>
      </w:tr>
      <w:tr w:rsidR="007B3AB4" w:rsidRPr="000D653B" w:rsidTr="007B3AB4">
        <w:tc>
          <w:tcPr>
            <w:tcW w:w="2160" w:type="dxa"/>
            <w:shd w:val="clear" w:color="auto" w:fill="auto"/>
          </w:tcPr>
          <w:p w:rsidR="00261D93" w:rsidRPr="000D653B" w:rsidRDefault="00261D93" w:rsidP="00DA40F0">
            <w:pPr>
              <w:spacing w:before="60" w:after="60"/>
              <w:rPr>
                <w:sz w:val="20"/>
                <w:szCs w:val="20"/>
              </w:rPr>
            </w:pPr>
            <w:r w:rsidRPr="000D653B">
              <w:rPr>
                <w:sz w:val="20"/>
                <w:szCs w:val="20"/>
              </w:rPr>
              <w:t>Upper Darling Alluvium</w:t>
            </w:r>
          </w:p>
        </w:tc>
        <w:tc>
          <w:tcPr>
            <w:tcW w:w="900" w:type="dxa"/>
            <w:shd w:val="clear" w:color="auto" w:fill="auto"/>
          </w:tcPr>
          <w:p w:rsidR="00261D93" w:rsidRPr="000D653B" w:rsidRDefault="00261D93" w:rsidP="00DA40F0">
            <w:pPr>
              <w:spacing w:before="60" w:after="60"/>
              <w:rPr>
                <w:sz w:val="20"/>
                <w:szCs w:val="20"/>
              </w:rPr>
            </w:pPr>
            <w:r w:rsidRPr="000D653B">
              <w:rPr>
                <w:sz w:val="20"/>
                <w:szCs w:val="20"/>
              </w:rPr>
              <w:t>G</w:t>
            </w:r>
            <w:r w:rsidR="00021680">
              <w:rPr>
                <w:sz w:val="20"/>
                <w:szCs w:val="20"/>
              </w:rPr>
              <w:t>W7</w:t>
            </w:r>
          </w:p>
        </w:tc>
        <w:tc>
          <w:tcPr>
            <w:tcW w:w="2700" w:type="dxa"/>
            <w:shd w:val="clear" w:color="auto" w:fill="auto"/>
          </w:tcPr>
          <w:p w:rsidR="00261D93" w:rsidRPr="000D653B" w:rsidRDefault="00021680" w:rsidP="00DA40F0">
            <w:pPr>
              <w:spacing w:before="60" w:after="60"/>
              <w:rPr>
                <w:sz w:val="20"/>
                <w:szCs w:val="20"/>
              </w:rPr>
            </w:pPr>
            <w:r>
              <w:rPr>
                <w:sz w:val="20"/>
                <w:szCs w:val="20"/>
              </w:rPr>
              <w:t>All groundwater</w:t>
            </w:r>
          </w:p>
        </w:tc>
        <w:tc>
          <w:tcPr>
            <w:tcW w:w="1800" w:type="dxa"/>
            <w:shd w:val="clear" w:color="auto" w:fill="auto"/>
          </w:tcPr>
          <w:p w:rsidR="00261D93" w:rsidRPr="000D653B" w:rsidRDefault="00261D93" w:rsidP="00DA40F0">
            <w:pPr>
              <w:spacing w:before="60" w:after="60"/>
              <w:rPr>
                <w:sz w:val="20"/>
                <w:szCs w:val="20"/>
              </w:rPr>
            </w:pPr>
            <w:r w:rsidRPr="000D653B">
              <w:rPr>
                <w:sz w:val="20"/>
                <w:szCs w:val="20"/>
              </w:rPr>
              <w:t>6.</w:t>
            </w:r>
            <w:r w:rsidR="00021680">
              <w:rPr>
                <w:sz w:val="20"/>
                <w:szCs w:val="20"/>
              </w:rPr>
              <w:t>29</w:t>
            </w:r>
          </w:p>
        </w:tc>
        <w:tc>
          <w:tcPr>
            <w:tcW w:w="1800" w:type="dxa"/>
            <w:shd w:val="clear" w:color="auto" w:fill="auto"/>
          </w:tcPr>
          <w:p w:rsidR="00261D93" w:rsidRPr="000D653B" w:rsidRDefault="00021680" w:rsidP="00DA40F0">
            <w:pPr>
              <w:spacing w:before="60" w:after="60"/>
              <w:rPr>
                <w:sz w:val="20"/>
                <w:szCs w:val="20"/>
              </w:rPr>
            </w:pPr>
            <w:r>
              <w:rPr>
                <w:sz w:val="20"/>
                <w:szCs w:val="20"/>
              </w:rPr>
              <w:t>6.59</w:t>
            </w:r>
          </w:p>
        </w:tc>
      </w:tr>
      <w:tr w:rsidR="007B3AB4" w:rsidRPr="000D653B" w:rsidTr="007B3AB4">
        <w:tc>
          <w:tcPr>
            <w:tcW w:w="2160" w:type="dxa"/>
            <w:shd w:val="clear" w:color="auto" w:fill="auto"/>
          </w:tcPr>
          <w:p w:rsidR="00261D93" w:rsidRPr="000D653B" w:rsidRDefault="00261D93" w:rsidP="00DA40F0">
            <w:pPr>
              <w:spacing w:before="60" w:after="60"/>
              <w:rPr>
                <w:sz w:val="20"/>
                <w:szCs w:val="20"/>
              </w:rPr>
            </w:pPr>
            <w:r w:rsidRPr="000D653B">
              <w:rPr>
                <w:sz w:val="20"/>
                <w:szCs w:val="20"/>
              </w:rPr>
              <w:t>Western Porous Rock</w:t>
            </w:r>
          </w:p>
        </w:tc>
        <w:tc>
          <w:tcPr>
            <w:tcW w:w="900" w:type="dxa"/>
            <w:shd w:val="clear" w:color="auto" w:fill="auto"/>
          </w:tcPr>
          <w:p w:rsidR="00261D93" w:rsidRPr="000D653B" w:rsidRDefault="00261D93" w:rsidP="00DA40F0">
            <w:pPr>
              <w:spacing w:before="60" w:after="60"/>
              <w:rPr>
                <w:sz w:val="20"/>
                <w:szCs w:val="20"/>
              </w:rPr>
            </w:pPr>
            <w:r w:rsidRPr="000D653B">
              <w:rPr>
                <w:sz w:val="20"/>
                <w:szCs w:val="20"/>
              </w:rPr>
              <w:t>GS5</w:t>
            </w:r>
            <w:r w:rsidR="00021680">
              <w:rPr>
                <w:sz w:val="20"/>
                <w:szCs w:val="20"/>
              </w:rPr>
              <w:t>0</w:t>
            </w:r>
          </w:p>
        </w:tc>
        <w:tc>
          <w:tcPr>
            <w:tcW w:w="2700" w:type="dxa"/>
            <w:shd w:val="clear" w:color="auto" w:fill="auto"/>
          </w:tcPr>
          <w:p w:rsidR="00261D93" w:rsidRPr="000D653B" w:rsidRDefault="00021680" w:rsidP="00DA40F0">
            <w:pPr>
              <w:spacing w:before="60" w:after="60"/>
              <w:rPr>
                <w:sz w:val="20"/>
                <w:szCs w:val="20"/>
              </w:rPr>
            </w:pPr>
            <w:r>
              <w:rPr>
                <w:sz w:val="20"/>
                <w:szCs w:val="20"/>
              </w:rPr>
              <w:t>All groundwater</w:t>
            </w:r>
          </w:p>
        </w:tc>
        <w:tc>
          <w:tcPr>
            <w:tcW w:w="1800" w:type="dxa"/>
            <w:shd w:val="clear" w:color="auto" w:fill="auto"/>
          </w:tcPr>
          <w:p w:rsidR="00261D93" w:rsidRPr="000D653B" w:rsidRDefault="00021680" w:rsidP="00DA40F0">
            <w:pPr>
              <w:spacing w:before="60" w:after="60"/>
              <w:rPr>
                <w:sz w:val="20"/>
                <w:szCs w:val="20"/>
              </w:rPr>
            </w:pPr>
            <w:r>
              <w:rPr>
                <w:sz w:val="20"/>
                <w:szCs w:val="20"/>
              </w:rPr>
              <w:t>63.1</w:t>
            </w:r>
          </w:p>
        </w:tc>
        <w:tc>
          <w:tcPr>
            <w:tcW w:w="1800" w:type="dxa"/>
            <w:shd w:val="clear" w:color="auto" w:fill="auto"/>
          </w:tcPr>
          <w:p w:rsidR="00261D93" w:rsidRPr="000D653B" w:rsidRDefault="00021680" w:rsidP="00DA40F0">
            <w:pPr>
              <w:spacing w:before="60" w:after="60"/>
              <w:rPr>
                <w:sz w:val="20"/>
                <w:szCs w:val="20"/>
              </w:rPr>
            </w:pPr>
            <w:r>
              <w:rPr>
                <w:sz w:val="20"/>
                <w:szCs w:val="20"/>
              </w:rPr>
              <w:t>116.6</w:t>
            </w:r>
          </w:p>
        </w:tc>
      </w:tr>
    </w:tbl>
    <w:p w:rsidR="00261D93" w:rsidRDefault="00261D93" w:rsidP="00261D93"/>
    <w:p w:rsidR="00261D93" w:rsidRPr="006B2AA4" w:rsidRDefault="00261D93" w:rsidP="006B2AA4">
      <w:pPr>
        <w:pStyle w:val="Heading3"/>
        <w:tabs>
          <w:tab w:val="clear" w:pos="907"/>
          <w:tab w:val="num" w:pos="900"/>
        </w:tabs>
        <w:spacing w:before="320"/>
        <w:ind w:left="900" w:hanging="900"/>
        <w:rPr>
          <w:bCs/>
        </w:rPr>
      </w:pPr>
      <w:bookmarkStart w:id="754" w:name="_Toc355866821"/>
      <w:bookmarkStart w:id="755" w:name="_Toc355866822"/>
      <w:bookmarkStart w:id="756" w:name="_Toc390690180"/>
      <w:bookmarkEnd w:id="754"/>
      <w:bookmarkEnd w:id="755"/>
      <w:r w:rsidRPr="006B2AA4">
        <w:rPr>
          <w:bCs/>
        </w:rPr>
        <w:t>Implicati</w:t>
      </w:r>
      <w:r w:rsidR="00DA40F0">
        <w:rPr>
          <w:bCs/>
        </w:rPr>
        <w:t>ons of the BHMAR S</w:t>
      </w:r>
      <w:r w:rsidRPr="006B2AA4">
        <w:rPr>
          <w:bCs/>
        </w:rPr>
        <w:t xml:space="preserve">tudy to </w:t>
      </w:r>
      <w:r w:rsidR="00DA40F0">
        <w:rPr>
          <w:bCs/>
        </w:rPr>
        <w:t>R</w:t>
      </w:r>
      <w:r w:rsidRPr="006B2AA4">
        <w:rPr>
          <w:bCs/>
        </w:rPr>
        <w:t xml:space="preserve">egional </w:t>
      </w:r>
      <w:smartTag w:uri="urn:schemas-microsoft-com:office:smarttags" w:element="PersonName">
        <w:r w:rsidR="00DA40F0">
          <w:rPr>
            <w:bCs/>
          </w:rPr>
          <w:t>G</w:t>
        </w:r>
        <w:r w:rsidRPr="006B2AA4">
          <w:rPr>
            <w:bCs/>
          </w:rPr>
          <w:t>roundwater</w:t>
        </w:r>
      </w:smartTag>
      <w:r w:rsidRPr="006B2AA4">
        <w:rPr>
          <w:bCs/>
        </w:rPr>
        <w:t xml:space="preserve"> </w:t>
      </w:r>
      <w:r w:rsidR="00DA40F0">
        <w:rPr>
          <w:bCs/>
        </w:rPr>
        <w:t>M</w:t>
      </w:r>
      <w:r w:rsidRPr="006B2AA4">
        <w:rPr>
          <w:bCs/>
        </w:rPr>
        <w:t>anagement</w:t>
      </w:r>
      <w:bookmarkEnd w:id="756"/>
    </w:p>
    <w:p w:rsidR="00261D93" w:rsidRDefault="00261D93" w:rsidP="00261D93">
      <w:r>
        <w:t>The BHMAR project outputs will provide a significant scientific base to support groundwater management in</w:t>
      </w:r>
      <w:r w:rsidR="006524A0">
        <w:t xml:space="preserve"> the region. The various project</w:t>
      </w:r>
      <w:r>
        <w:t xml:space="preserve"> products vastly improve the mapping of aquifer architecture and hydraulic properties as well as understanding of key groundwater processes, such as recharge.</w:t>
      </w:r>
    </w:p>
    <w:p w:rsidR="00261D93" w:rsidRDefault="00261D93" w:rsidP="00261D93"/>
    <w:p w:rsidR="00261D93" w:rsidRDefault="00261D93" w:rsidP="00261D93">
      <w:r>
        <w:t xml:space="preserve">For the Lower Darling Alluvial </w:t>
      </w:r>
      <w:smartTag w:uri="urn:schemas-microsoft-com:office:smarttags" w:element="PersonName">
        <w:r>
          <w:t>Groundwater</w:t>
        </w:r>
      </w:smartTag>
      <w:r>
        <w:t xml:space="preserve"> Source, the BHMAR project will greatly assist with:</w:t>
      </w:r>
    </w:p>
    <w:p w:rsidR="00261D93" w:rsidRPr="001A76F3" w:rsidRDefault="00261D93" w:rsidP="001A76F3">
      <w:pPr>
        <w:numPr>
          <w:ilvl w:val="0"/>
          <w:numId w:val="19"/>
        </w:numPr>
        <w:ind w:left="1080"/>
      </w:pPr>
      <w:r>
        <w:t xml:space="preserve">Improved definition of the shallow fresh groundwater lens that defines the </w:t>
      </w:r>
      <w:smartTag w:uri="urn:schemas-microsoft-com:office:smarttags" w:element="PersonName">
        <w:r>
          <w:t>Groundwater</w:t>
        </w:r>
      </w:smartTag>
      <w:r>
        <w:t xml:space="preserve"> Source.</w:t>
      </w:r>
    </w:p>
    <w:p w:rsidR="00261D93" w:rsidRPr="001A76F3" w:rsidRDefault="00261D93" w:rsidP="001A76F3">
      <w:pPr>
        <w:numPr>
          <w:ilvl w:val="0"/>
          <w:numId w:val="19"/>
        </w:numPr>
        <w:ind w:left="1080"/>
      </w:pPr>
      <w:r>
        <w:t>Mapping of analogous shallow fresh groundwater lenses in other parts of the Darling floodplain, such as the Talyawalka and Anabranch systems.</w:t>
      </w:r>
    </w:p>
    <w:p w:rsidR="00261D93" w:rsidRPr="001A76F3" w:rsidRDefault="00261D93" w:rsidP="001A76F3">
      <w:pPr>
        <w:numPr>
          <w:ilvl w:val="0"/>
          <w:numId w:val="19"/>
        </w:numPr>
        <w:ind w:left="1080"/>
      </w:pPr>
      <w:r>
        <w:t xml:space="preserve">Better definition of the stratigraphic, structural and hydrogeological framework of the shallow alluvial groundwater systems. For example, there is no stratigraphic definition (e.g. </w:t>
      </w:r>
      <w:r w:rsidR="00C217F0">
        <w:t>Coonambidgal Formation</w:t>
      </w:r>
      <w:r>
        <w:t>), geomorphic mapping or a nominal aquifer depth criterion in the existing NSW plan.</w:t>
      </w:r>
    </w:p>
    <w:p w:rsidR="00261D93" w:rsidRPr="001A76F3" w:rsidRDefault="00261D93" w:rsidP="001A76F3">
      <w:pPr>
        <w:numPr>
          <w:ilvl w:val="0"/>
          <w:numId w:val="19"/>
        </w:numPr>
        <w:ind w:left="1080"/>
      </w:pPr>
      <w:r>
        <w:t>Improved understanding of the magnitude and frequency of shallow groundwater recharge, associated with high-flow events in the Darling system. The current extraction limits are based on an estimate of demand, rather than the rate of groundwater replenishment.</w:t>
      </w:r>
    </w:p>
    <w:p w:rsidR="00261D93" w:rsidRDefault="00261D93" w:rsidP="001A76F3">
      <w:pPr>
        <w:numPr>
          <w:ilvl w:val="0"/>
          <w:numId w:val="19"/>
        </w:numPr>
        <w:ind w:left="1080"/>
      </w:pPr>
      <w:r>
        <w:t>Improved risk assessment of the potential for ingress of saline groundwater.</w:t>
      </w:r>
    </w:p>
    <w:p w:rsidR="00F57D24" w:rsidRPr="001A76F3" w:rsidRDefault="00F57D24" w:rsidP="001A76F3">
      <w:pPr>
        <w:numPr>
          <w:ilvl w:val="0"/>
          <w:numId w:val="19"/>
        </w:numPr>
        <w:ind w:left="1080"/>
      </w:pPr>
      <w:r>
        <w:t>Improved understanding of the hydraulic connectivity between this shallow Groundwater Source and the deeper Pliocene aquifers of the WMPRGS.</w:t>
      </w:r>
    </w:p>
    <w:p w:rsidR="00261D93" w:rsidRPr="001A76F3" w:rsidRDefault="00261D93" w:rsidP="001A76F3">
      <w:pPr>
        <w:numPr>
          <w:ilvl w:val="0"/>
          <w:numId w:val="19"/>
        </w:numPr>
        <w:ind w:left="1080"/>
      </w:pPr>
      <w:r>
        <w:t>Improved siting of appropriate borehole monitoring.</w:t>
      </w:r>
    </w:p>
    <w:p w:rsidR="00261D93" w:rsidRDefault="00261D93" w:rsidP="00261D93">
      <w:pPr>
        <w:ind w:left="360"/>
      </w:pPr>
    </w:p>
    <w:p w:rsidR="00261D93" w:rsidRDefault="00261D93" w:rsidP="00261D93">
      <w:r>
        <w:t xml:space="preserve">The data and understanding of Darling floodplain hydrogeology from the BHMAR project can equally be applied to the Upper Darling Alluvial </w:t>
      </w:r>
      <w:smartTag w:uri="urn:schemas-microsoft-com:office:smarttags" w:element="PersonName">
        <w:r>
          <w:t>Groundwater</w:t>
        </w:r>
      </w:smartTag>
      <w:r>
        <w:t xml:space="preserve"> Source. This includes:</w:t>
      </w:r>
    </w:p>
    <w:p w:rsidR="00261D93" w:rsidRPr="001A76F3" w:rsidRDefault="00261D93" w:rsidP="001A76F3">
      <w:pPr>
        <w:numPr>
          <w:ilvl w:val="0"/>
          <w:numId w:val="19"/>
        </w:numPr>
        <w:ind w:left="1080"/>
      </w:pPr>
      <w:r>
        <w:t xml:space="preserve">Clarification of the geomorphological and stratigraphic relationships for the fluvial aquifers (and aquitards). The NSW plan encompasses potential aquifers to depths of 50 metres, which can include lateral equivalents of the </w:t>
      </w:r>
      <w:r w:rsidR="00C217F0">
        <w:t>Calivil Formation</w:t>
      </w:r>
      <w:r w:rsidR="00670511">
        <w:t xml:space="preserve"> </w:t>
      </w:r>
      <w:r>
        <w:t xml:space="preserve">target aquifer identified in the BHMAR </w:t>
      </w:r>
      <w:r w:rsidR="00A56C85">
        <w:lastRenderedPageBreak/>
        <w:t>project</w:t>
      </w:r>
      <w:r>
        <w:t xml:space="preserve"> area.</w:t>
      </w:r>
      <w:r w:rsidR="00826226" w:rsidRPr="00826226">
        <w:t xml:space="preserve"> T</w:t>
      </w:r>
      <w:r w:rsidR="00826226">
        <w:t xml:space="preserve">he project has also identified </w:t>
      </w:r>
      <w:r w:rsidR="00826226" w:rsidRPr="00826226">
        <w:t>the Blanchetown Clay and a near-surface aquitard as being more extensive than previously mapped.</w:t>
      </w:r>
    </w:p>
    <w:p w:rsidR="00261D93" w:rsidRPr="001A76F3" w:rsidRDefault="00261D93" w:rsidP="001A76F3">
      <w:pPr>
        <w:numPr>
          <w:ilvl w:val="0"/>
          <w:numId w:val="19"/>
        </w:numPr>
        <w:ind w:left="1080"/>
      </w:pPr>
      <w:r>
        <w:t>Defining recharge (and extraction limits) based on an understanding of river leakage processes, identified as a recharge process that is dominant over diffuse rainfall recharge used in the plan.</w:t>
      </w:r>
    </w:p>
    <w:p w:rsidR="00261D93" w:rsidRPr="001A76F3" w:rsidRDefault="00261D93" w:rsidP="001A76F3">
      <w:pPr>
        <w:numPr>
          <w:ilvl w:val="0"/>
          <w:numId w:val="19"/>
        </w:numPr>
        <w:ind w:left="1080"/>
      </w:pPr>
      <w:r>
        <w:t>Providing criteria to aid targeting of potential zones of fresh groundwater in a very data-poor region.</w:t>
      </w:r>
      <w:r w:rsidR="00826226" w:rsidRPr="00826226">
        <w:t xml:space="preserve"> In combination with improved hydrostratigraphy, the structural geology framework defined by the project can be used to help target field investigations.</w:t>
      </w:r>
    </w:p>
    <w:p w:rsidR="00261D93" w:rsidRDefault="00261D93" w:rsidP="00261D93"/>
    <w:p w:rsidR="00261D93" w:rsidRDefault="00261D93" w:rsidP="00261D93">
      <w:r>
        <w:t xml:space="preserve">There are also significant opportunities to take advantage of the BHMAR project outputs in any future revision of the </w:t>
      </w:r>
      <w:r w:rsidRPr="007A1A3C">
        <w:t xml:space="preserve">Western Murray Porous Rock </w:t>
      </w:r>
      <w:smartTag w:uri="urn:schemas-microsoft-com:office:smarttags" w:element="PersonName">
        <w:r w:rsidRPr="007A1A3C">
          <w:t>Groundwater</w:t>
        </w:r>
      </w:smartTag>
      <w:r w:rsidRPr="007A1A3C">
        <w:t xml:space="preserve"> Source</w:t>
      </w:r>
      <w:r>
        <w:t xml:space="preserve"> </w:t>
      </w:r>
      <w:r w:rsidR="006E269E">
        <w:t xml:space="preserve">(WMPRGS) </w:t>
      </w:r>
      <w:r>
        <w:t xml:space="preserve">plan, which incorporates the </w:t>
      </w:r>
      <w:r w:rsidR="00C217F0">
        <w:t>Calivil Formation</w:t>
      </w:r>
      <w:r w:rsidR="006E269E">
        <w:t>, Loxton-Parilla Sands</w:t>
      </w:r>
      <w:r w:rsidR="00670511">
        <w:t xml:space="preserve"> </w:t>
      </w:r>
      <w:r>
        <w:t xml:space="preserve">and </w:t>
      </w:r>
      <w:r w:rsidR="00C217F0">
        <w:t>Renmark Group</w:t>
      </w:r>
      <w:r w:rsidR="00670511">
        <w:t xml:space="preserve"> </w:t>
      </w:r>
      <w:r>
        <w:t>aquifers. The BHMAR outputs could be used to:</w:t>
      </w:r>
    </w:p>
    <w:p w:rsidR="00261D93" w:rsidRPr="001A76F3" w:rsidRDefault="00261D93" w:rsidP="001A76F3">
      <w:pPr>
        <w:numPr>
          <w:ilvl w:val="0"/>
          <w:numId w:val="19"/>
        </w:numPr>
        <w:ind w:left="1080"/>
      </w:pPr>
      <w:r>
        <w:t xml:space="preserve">Derive more robust estimates of recharge and therefore limits to groundwater extraction. Existing extraction limits for these aquifers, in both State and Basin plans, are based on the assumption that rainfall is the key recharge mechanism. However, the BHMAR project provides several lines of evidence that </w:t>
      </w:r>
      <w:r w:rsidR="00BE3DE3">
        <w:t>episodic</w:t>
      </w:r>
      <w:r w:rsidR="00725341">
        <w:t xml:space="preserve"> </w:t>
      </w:r>
      <w:r>
        <w:t xml:space="preserve">leakage from the river (and lakes) is the dominant mechanism of active recharge to the </w:t>
      </w:r>
      <w:r w:rsidR="006E269E">
        <w:t>Pliocene Sands</w:t>
      </w:r>
      <w:r>
        <w:t xml:space="preserve">. There is also evidence of fresh </w:t>
      </w:r>
      <w:r w:rsidR="00C217F0">
        <w:t>Calivil Formation</w:t>
      </w:r>
      <w:r w:rsidR="00670511">
        <w:t xml:space="preserve"> </w:t>
      </w:r>
      <w:r>
        <w:t>palaeo-resources distal from the rivers and lakes that have no indicators of modern recharge. This means that the current management paradigm for recharge</w:t>
      </w:r>
      <w:r w:rsidR="006E269E">
        <w:t xml:space="preserve"> being dominantly sourced from rainfall</w:t>
      </w:r>
      <w:r>
        <w:t xml:space="preserve"> is not valid. Using a recharge volume based on a</w:t>
      </w:r>
      <w:r w:rsidR="00BE3DE3">
        <w:t xml:space="preserve"> proportion of</w:t>
      </w:r>
      <w:r>
        <w:t xml:space="preserve"> annual rainfall across the entire management area does not take into account the salinity range evident in the </w:t>
      </w:r>
      <w:r w:rsidR="00C217F0">
        <w:t>Calivil Formation</w:t>
      </w:r>
      <w:r w:rsidR="00670511">
        <w:t xml:space="preserve"> </w:t>
      </w:r>
      <w:r>
        <w:t xml:space="preserve">(and </w:t>
      </w:r>
      <w:r w:rsidR="00C217F0">
        <w:t>Renmark Group</w:t>
      </w:r>
      <w:r>
        <w:t>) aquifer</w:t>
      </w:r>
      <w:r w:rsidR="00BE3DE3">
        <w:t xml:space="preserve"> </w:t>
      </w:r>
      <w:r w:rsidR="00BE3DE3" w:rsidRPr="00BE3DE3">
        <w:t>(</w:t>
      </w:r>
      <w:r w:rsidR="00BE3DE3" w:rsidRPr="00BE3DE3">
        <w:fldChar w:fldCharType="begin"/>
      </w:r>
      <w:r w:rsidR="00BE3DE3" w:rsidRPr="00BE3DE3">
        <w:instrText xml:space="preserve"> REF _Ref356148882 \h  \* MERGEFORMAT </w:instrText>
      </w:r>
      <w:r w:rsidR="00BE3DE3" w:rsidRPr="00BE3DE3">
        <w:fldChar w:fldCharType="separate"/>
      </w:r>
      <w:r w:rsidR="00966532" w:rsidRPr="00966532">
        <w:t xml:space="preserve">Figure </w:t>
      </w:r>
      <w:r w:rsidR="00966532" w:rsidRPr="00966532">
        <w:rPr>
          <w:noProof/>
        </w:rPr>
        <w:t>11</w:t>
      </w:r>
      <w:r w:rsidR="00966532" w:rsidRPr="00966532">
        <w:rPr>
          <w:noProof/>
        </w:rPr>
        <w:noBreakHyphen/>
        <w:t>1</w:t>
      </w:r>
      <w:r w:rsidR="00BE3DE3" w:rsidRPr="00BE3DE3">
        <w:fldChar w:fldCharType="end"/>
      </w:r>
      <w:r w:rsidR="00BE3DE3">
        <w:t>)</w:t>
      </w:r>
      <w:r>
        <w:t>. There is provision for review of recharge and extraction limits during the 5</w:t>
      </w:r>
      <w:r w:rsidRPr="001E481C">
        <w:rPr>
          <w:vertAlign w:val="superscript"/>
        </w:rPr>
        <w:t>th</w:t>
      </w:r>
      <w:r>
        <w:t xml:space="preserve"> year of the NSW management plan.</w:t>
      </w:r>
    </w:p>
    <w:p w:rsidR="00261D93" w:rsidRPr="001A76F3" w:rsidRDefault="00261D93" w:rsidP="001A76F3">
      <w:pPr>
        <w:numPr>
          <w:ilvl w:val="0"/>
          <w:numId w:val="19"/>
        </w:numPr>
        <w:ind w:left="1080"/>
      </w:pPr>
      <w:r>
        <w:t xml:space="preserve">Better define the extent and geometry of the </w:t>
      </w:r>
      <w:r w:rsidR="00C217F0">
        <w:t>Calivil Formation</w:t>
      </w:r>
      <w:r w:rsidR="00670511">
        <w:t xml:space="preserve"> </w:t>
      </w:r>
      <w:r>
        <w:t xml:space="preserve">aquifer, as well as the level of confinement defined by the overlying Blanchetown Clay and the potentiometric surface. </w:t>
      </w:r>
      <w:r w:rsidR="00C43323">
        <w:t xml:space="preserve">The BHMAR project has identified </w:t>
      </w:r>
      <w:r w:rsidR="00534656">
        <w:t xml:space="preserve">areas with </w:t>
      </w:r>
      <w:r w:rsidR="00C43323">
        <w:t>higher-yielding coarse sands hosted in pal</w:t>
      </w:r>
      <w:r w:rsidR="00534656">
        <w:t>a</w:t>
      </w:r>
      <w:r w:rsidR="00C43323">
        <w:t xml:space="preserve">eochannel deposits in the sequence. </w:t>
      </w:r>
      <w:r w:rsidR="00534656">
        <w:t>Th</w:t>
      </w:r>
      <w:r w:rsidR="00C43323">
        <w:t xml:space="preserve">e </w:t>
      </w:r>
      <w:r w:rsidR="00534656">
        <w:t xml:space="preserve">overlying </w:t>
      </w:r>
      <w:r w:rsidR="00C43323">
        <w:t xml:space="preserve">Blanchetown Clay and also a near-surface </w:t>
      </w:r>
      <w:r w:rsidR="00534656">
        <w:t>aquitard</w:t>
      </w:r>
      <w:r w:rsidR="00C43323">
        <w:t xml:space="preserve"> </w:t>
      </w:r>
      <w:r w:rsidR="00534656">
        <w:t>have been found to be</w:t>
      </w:r>
      <w:r w:rsidR="00C43323">
        <w:t xml:space="preserve"> more regionally </w:t>
      </w:r>
      <w:r w:rsidR="00534656">
        <w:t>extensive than previously mapped</w:t>
      </w:r>
      <w:r w:rsidR="00C43323">
        <w:t>, which would reduce the potential for diffuse rainfall recharge to the aquifer.</w:t>
      </w:r>
    </w:p>
    <w:p w:rsidR="00261D93" w:rsidRPr="001A76F3" w:rsidRDefault="00261D93" w:rsidP="001A76F3">
      <w:pPr>
        <w:numPr>
          <w:ilvl w:val="0"/>
          <w:numId w:val="19"/>
        </w:numPr>
        <w:ind w:left="1080"/>
      </w:pPr>
      <w:r>
        <w:t xml:space="preserve">Identify the beneficial uses of the </w:t>
      </w:r>
      <w:r w:rsidR="00C217F0">
        <w:t>Calivil Formation</w:t>
      </w:r>
      <w:r w:rsidR="00670511">
        <w:t xml:space="preserve"> </w:t>
      </w:r>
      <w:r>
        <w:t>aquifer, particularly mapping of the zones of fresh to brackish groundwater resources. Such mapping helps target future areas of development, the siting of monitoring bores and other infrastructure, and the assessment of potential risks associated with groundwater pumping (such as ingress of saline groundwater).</w:t>
      </w:r>
      <w:r w:rsidR="006E269E" w:rsidRPr="006E269E">
        <w:t xml:space="preserve"> The BHMAR project area covers the majority of the better quality groundwater reso</w:t>
      </w:r>
      <w:r w:rsidR="001107E4">
        <w:t xml:space="preserve">urce previously mapped for </w:t>
      </w:r>
      <w:r w:rsidR="00320627">
        <w:t>Calivil Formation</w:t>
      </w:r>
      <w:r w:rsidR="00320627" w:rsidRPr="00320627">
        <w:t xml:space="preserve"> </w:t>
      </w:r>
      <w:r w:rsidR="001107E4">
        <w:t xml:space="preserve">in the WMPRGS </w:t>
      </w:r>
      <w:r w:rsidR="00320627" w:rsidRPr="00320627">
        <w:t>(</w:t>
      </w:r>
      <w:r w:rsidR="00320627" w:rsidRPr="00320627">
        <w:fldChar w:fldCharType="begin"/>
      </w:r>
      <w:r w:rsidR="00320627" w:rsidRPr="00CF7613">
        <w:instrText xml:space="preserve"> REF _Ref356148882 \h  \* MERGEFORMAT </w:instrText>
      </w:r>
      <w:r w:rsidR="00320627" w:rsidRPr="00320627">
        <w:fldChar w:fldCharType="separate"/>
      </w:r>
      <w:r w:rsidR="00966532" w:rsidRPr="00966532">
        <w:t xml:space="preserve">Figure </w:t>
      </w:r>
      <w:r w:rsidR="00966532" w:rsidRPr="00966532">
        <w:rPr>
          <w:noProof/>
        </w:rPr>
        <w:t>11</w:t>
      </w:r>
      <w:r w:rsidR="00966532" w:rsidRPr="00966532">
        <w:rPr>
          <w:noProof/>
        </w:rPr>
        <w:noBreakHyphen/>
        <w:t>1</w:t>
      </w:r>
      <w:r w:rsidR="00320627" w:rsidRPr="00320627">
        <w:fldChar w:fldCharType="end"/>
      </w:r>
      <w:r w:rsidR="006E269E" w:rsidRPr="006E269E">
        <w:t>).</w:t>
      </w:r>
    </w:p>
    <w:p w:rsidR="00320627" w:rsidRDefault="00320627" w:rsidP="006524A0">
      <w:pPr>
        <w:numPr>
          <w:ilvl w:val="0"/>
          <w:numId w:val="19"/>
        </w:numPr>
        <w:ind w:left="1080"/>
      </w:pPr>
      <w:r>
        <w:t xml:space="preserve">To </w:t>
      </w:r>
      <w:r w:rsidRPr="00320627">
        <w:t xml:space="preserve">establish a specific management regime for the better quality groundwater located near the </w:t>
      </w:r>
      <w:smartTag w:uri="urn:schemas-microsoft-com:office:smarttags" w:element="place">
        <w:r w:rsidRPr="00320627">
          <w:t>Darling River</w:t>
        </w:r>
      </w:smartTag>
      <w:r w:rsidRPr="00320627">
        <w:t xml:space="preserve"> and other surface water features. The contrast in groundwater salinity across the Groundwater Source (</w:t>
      </w:r>
      <w:r w:rsidRPr="00320627">
        <w:fldChar w:fldCharType="begin"/>
      </w:r>
      <w:r w:rsidRPr="00320627">
        <w:instrText xml:space="preserve"> REF _Ref356148882 \h  \* MERGEFORMAT </w:instrText>
      </w:r>
      <w:r w:rsidRPr="00320627">
        <w:fldChar w:fldCharType="separate"/>
      </w:r>
      <w:r w:rsidR="00966532" w:rsidRPr="00966532">
        <w:t xml:space="preserve">Figure </w:t>
      </w:r>
      <w:r w:rsidR="00966532" w:rsidRPr="00966532">
        <w:rPr>
          <w:noProof/>
        </w:rPr>
        <w:t>11</w:t>
      </w:r>
      <w:r w:rsidR="00966532" w:rsidRPr="00966532">
        <w:rPr>
          <w:noProof/>
        </w:rPr>
        <w:noBreakHyphen/>
        <w:t>1</w:t>
      </w:r>
      <w:r w:rsidRPr="00320627">
        <w:fldChar w:fldCharType="end"/>
      </w:r>
      <w:r w:rsidR="003B14B6">
        <w:t xml:space="preserve">) </w:t>
      </w:r>
      <w:r w:rsidRPr="00320627">
        <w:t xml:space="preserve">creates a management issue, as the current extraction limit is based on a diffuse rainfall recharge estimate aggregated over the entire management area, whilst the most beneficial resource is limited to a much smaller area. Project outputs could be used to construct groundwater flow and solute transport models to support the allocation and management regime for these </w:t>
      </w:r>
      <w:r>
        <w:t xml:space="preserve">specific </w:t>
      </w:r>
      <w:r w:rsidRPr="00320627">
        <w:t>fresh groundwater resources.</w:t>
      </w:r>
    </w:p>
    <w:p w:rsidR="005B17B0" w:rsidRDefault="00261D93" w:rsidP="006524A0">
      <w:pPr>
        <w:numPr>
          <w:ilvl w:val="0"/>
          <w:numId w:val="19"/>
        </w:numPr>
        <w:ind w:left="1080"/>
      </w:pPr>
      <w:r>
        <w:t xml:space="preserve">Progress towards a more conjunctive management approach that recognises potential for hydraulic connection between the </w:t>
      </w:r>
      <w:r w:rsidR="00C217F0">
        <w:t>Calivil Formation</w:t>
      </w:r>
      <w:r w:rsidR="00670511">
        <w:t xml:space="preserve"> </w:t>
      </w:r>
      <w:r>
        <w:t>aquifer and the surface water resources of the region.</w:t>
      </w:r>
    </w:p>
    <w:p w:rsidR="009822A9" w:rsidRDefault="009822A9" w:rsidP="009822A9"/>
    <w:p w:rsidR="000D2D68" w:rsidRDefault="000D2D68" w:rsidP="009822A9">
      <w:pPr>
        <w:sectPr w:rsidR="000D2D68" w:rsidSect="00C6706D">
          <w:pgSz w:w="11906" w:h="16838"/>
          <w:pgMar w:top="1134" w:right="1134" w:bottom="1134" w:left="1134" w:header="709" w:footer="709" w:gutter="0"/>
          <w:cols w:space="708"/>
          <w:docGrid w:linePitch="360"/>
        </w:sectPr>
      </w:pPr>
    </w:p>
    <w:p w:rsidR="009822A9" w:rsidRDefault="00706A3B" w:rsidP="003764CE">
      <w:pPr>
        <w:spacing w:after="60"/>
        <w:jc w:val="center"/>
      </w:pPr>
      <w:r>
        <w:rPr>
          <w:noProof/>
        </w:rPr>
        <w:lastRenderedPageBreak/>
        <w:drawing>
          <wp:inline distT="0" distB="0" distL="0" distR="0" wp14:anchorId="13B820A9" wp14:editId="19C9A154">
            <wp:extent cx="8259044" cy="5436000"/>
            <wp:effectExtent l="0" t="0" r="889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Fig4_14HydrogeolMappingPlioceneSands_gmu"/>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6190" t="8950" r="7287" b="10506"/>
                    <a:stretch/>
                  </pic:blipFill>
                  <pic:spPr bwMode="auto">
                    <a:xfrm>
                      <a:off x="0" y="0"/>
                      <a:ext cx="8259044" cy="5436000"/>
                    </a:xfrm>
                    <a:prstGeom prst="rect">
                      <a:avLst/>
                    </a:prstGeom>
                    <a:noFill/>
                    <a:ln>
                      <a:noFill/>
                    </a:ln>
                    <a:extLst>
                      <a:ext uri="{53640926-AAD7-44D8-BBD7-CCE9431645EC}">
                        <a14:shadowObscured xmlns:a14="http://schemas.microsoft.com/office/drawing/2010/main"/>
                      </a:ext>
                    </a:extLst>
                  </pic:spPr>
                </pic:pic>
              </a:graphicData>
            </a:graphic>
          </wp:inline>
        </w:drawing>
      </w:r>
    </w:p>
    <w:p w:rsidR="009822A9" w:rsidRDefault="00A23C59" w:rsidP="00A23C59">
      <w:pPr>
        <w:pStyle w:val="Caption"/>
        <w:rPr>
          <w:i w:val="0"/>
        </w:rPr>
      </w:pPr>
      <w:bookmarkStart w:id="757" w:name="_Ref356148882"/>
      <w:r w:rsidRPr="007F2659">
        <w:rPr>
          <w:b/>
        </w:rPr>
        <w:t xml:space="preserve">Figure </w:t>
      </w:r>
      <w:r w:rsidRPr="007F2659">
        <w:rPr>
          <w:b/>
        </w:rPr>
        <w:fldChar w:fldCharType="begin"/>
      </w:r>
      <w:r w:rsidRPr="007F2659">
        <w:rPr>
          <w:b/>
        </w:rPr>
        <w:instrText xml:space="preserve"> STYLEREF 1 \s </w:instrText>
      </w:r>
      <w:r w:rsidRPr="007F2659">
        <w:rPr>
          <w:b/>
        </w:rPr>
        <w:fldChar w:fldCharType="separate"/>
      </w:r>
      <w:r w:rsidR="00966532">
        <w:rPr>
          <w:b/>
          <w:noProof/>
        </w:rPr>
        <w:t>11</w:t>
      </w:r>
      <w:r w:rsidRPr="007F2659">
        <w:rPr>
          <w:b/>
        </w:rPr>
        <w:fldChar w:fldCharType="end"/>
      </w:r>
      <w:r w:rsidRPr="007F2659">
        <w:rPr>
          <w:b/>
        </w:rPr>
        <w:noBreakHyphen/>
      </w:r>
      <w:r w:rsidRPr="007F2659">
        <w:rPr>
          <w:b/>
        </w:rPr>
        <w:fldChar w:fldCharType="begin"/>
      </w:r>
      <w:r w:rsidRPr="007F2659">
        <w:rPr>
          <w:b/>
        </w:rPr>
        <w:instrText xml:space="preserve"> SEQ Figure \* ARABIC \s 1 </w:instrText>
      </w:r>
      <w:r w:rsidRPr="007F2659">
        <w:rPr>
          <w:b/>
        </w:rPr>
        <w:fldChar w:fldCharType="separate"/>
      </w:r>
      <w:r w:rsidR="00966532">
        <w:rPr>
          <w:b/>
          <w:noProof/>
        </w:rPr>
        <w:t>1</w:t>
      </w:r>
      <w:r w:rsidRPr="007F2659">
        <w:rPr>
          <w:b/>
        </w:rPr>
        <w:fldChar w:fldCharType="end"/>
      </w:r>
      <w:bookmarkEnd w:id="757"/>
      <w:r w:rsidRPr="007F2659">
        <w:rPr>
          <w:b/>
        </w:rPr>
        <w:t>.</w:t>
      </w:r>
      <w:r w:rsidR="00953BC1">
        <w:t xml:space="preserve"> Regional s</w:t>
      </w:r>
      <w:r>
        <w:t xml:space="preserve">alinity-yield mapping for the Pliocene Sands (Calivil Formation and Loxton-Parilla Sands) aquifer from the 1:250,000 scale </w:t>
      </w:r>
      <w:smartTag w:uri="urn:schemas-microsoft-com:office:smarttags" w:element="place">
        <w:smartTag w:uri="urn:schemas-microsoft-com:office:smarttags" w:element="PlaceName">
          <w:r>
            <w:t>Murray</w:t>
          </w:r>
        </w:smartTag>
        <w:r>
          <w:t xml:space="preserve"> </w:t>
        </w:r>
        <w:smartTag w:uri="urn:schemas-microsoft-com:office:smarttags" w:element="PlaceType">
          <w:r>
            <w:t>Basin</w:t>
          </w:r>
        </w:smartTag>
      </w:smartTag>
      <w:r>
        <w:t xml:space="preserve"> Hydrogeological Map Series. The BHMAR project and groundwater management unit (GMU) boundaries are also shown.</w:t>
      </w:r>
      <w:r w:rsidR="00575C39" w:rsidRPr="00575C39">
        <w:t xml:space="preserve"> </w:t>
      </w:r>
      <w:r w:rsidR="00575C39" w:rsidRPr="00575C39">
        <w:rPr>
          <w:i w:val="0"/>
        </w:rPr>
        <w:fldChar w:fldCharType="begin"/>
      </w:r>
      <w:r w:rsidR="00575C39" w:rsidRPr="00575C39">
        <w:rPr>
          <w:i w:val="0"/>
        </w:rPr>
        <w:instrText xml:space="preserve"> TC "</w:instrText>
      </w:r>
      <w:bookmarkStart w:id="758" w:name="_Toc390690277"/>
      <w:r w:rsidR="00575C39" w:rsidRPr="00575C39">
        <w:rPr>
          <w:i w:val="0"/>
        </w:rPr>
        <w:instrText xml:space="preserve">Figure 11-1. </w:instrText>
      </w:r>
      <w:r w:rsidR="00953BC1">
        <w:rPr>
          <w:i w:val="0"/>
        </w:rPr>
        <w:instrText>Regional s</w:instrText>
      </w:r>
      <w:r w:rsidR="00575C39" w:rsidRPr="00575C39">
        <w:rPr>
          <w:i w:val="0"/>
        </w:rPr>
        <w:instrText>alinity-yield mapping for the Pliocene Sands (Calivil Formation and Loxton-Parilla Sands) aquifer.</w:instrText>
      </w:r>
      <w:bookmarkEnd w:id="758"/>
      <w:r w:rsidR="00575C39" w:rsidRPr="00575C39">
        <w:rPr>
          <w:i w:val="0"/>
        </w:rPr>
        <w:instrText xml:space="preserve">" \f A \l “4” </w:instrText>
      </w:r>
      <w:r w:rsidR="00575C39" w:rsidRPr="00575C39">
        <w:rPr>
          <w:i w:val="0"/>
        </w:rPr>
        <w:fldChar w:fldCharType="end"/>
      </w:r>
    </w:p>
    <w:p w:rsidR="000D2D68" w:rsidRDefault="000D2D68" w:rsidP="000D2D68">
      <w:pPr>
        <w:pStyle w:val="BodyText1"/>
        <w:sectPr w:rsidR="000D2D68" w:rsidSect="000D2D68">
          <w:pgSz w:w="16838" w:h="11906" w:orient="landscape"/>
          <w:pgMar w:top="1134" w:right="1134" w:bottom="1134" w:left="1134" w:header="709" w:footer="709" w:gutter="0"/>
          <w:cols w:space="708"/>
          <w:docGrid w:linePitch="360"/>
        </w:sectPr>
      </w:pPr>
    </w:p>
    <w:p w:rsidR="0035360F" w:rsidRPr="00021090" w:rsidRDefault="0035360F" w:rsidP="00021090">
      <w:pPr>
        <w:pStyle w:val="Heading2"/>
        <w:tabs>
          <w:tab w:val="left" w:pos="720"/>
        </w:tabs>
        <w:spacing w:before="320"/>
      </w:pPr>
      <w:bookmarkStart w:id="759" w:name="_Toc327316349"/>
      <w:bookmarkStart w:id="760" w:name="_Toc327316351"/>
      <w:bookmarkStart w:id="761" w:name="_Toc327316352"/>
      <w:bookmarkStart w:id="762" w:name="_Toc325700150"/>
      <w:bookmarkStart w:id="763" w:name="_Toc325700493"/>
      <w:bookmarkStart w:id="764" w:name="_Toc325975178"/>
      <w:bookmarkStart w:id="765" w:name="_Toc390690181"/>
      <w:bookmarkEnd w:id="759"/>
      <w:bookmarkEnd w:id="760"/>
      <w:bookmarkEnd w:id="761"/>
      <w:r w:rsidRPr="00021090">
        <w:lastRenderedPageBreak/>
        <w:t xml:space="preserve">Upper Darling </w:t>
      </w:r>
      <w:r w:rsidR="00C6655F" w:rsidRPr="00021090">
        <w:t>G</w:t>
      </w:r>
      <w:r w:rsidRPr="00021090">
        <w:t xml:space="preserve">roundwater </w:t>
      </w:r>
      <w:r w:rsidR="00C6655F" w:rsidRPr="00021090">
        <w:t>Resource P</w:t>
      </w:r>
      <w:r w:rsidRPr="00021090">
        <w:t>otential</w:t>
      </w:r>
      <w:bookmarkEnd w:id="762"/>
      <w:bookmarkEnd w:id="763"/>
      <w:bookmarkEnd w:id="764"/>
      <w:bookmarkEnd w:id="765"/>
    </w:p>
    <w:p w:rsidR="006524A0" w:rsidRPr="007000DB" w:rsidRDefault="006524A0" w:rsidP="006524A0">
      <w:pPr>
        <w:rPr>
          <w:szCs w:val="22"/>
        </w:rPr>
      </w:pPr>
      <w:r w:rsidRPr="00935679">
        <w:rPr>
          <w:szCs w:val="22"/>
        </w:rPr>
        <w:t>The identification of significant volumes of good quality, largely un</w:t>
      </w:r>
      <w:r w:rsidR="009822A9">
        <w:rPr>
          <w:szCs w:val="22"/>
        </w:rPr>
        <w:t>utilised</w:t>
      </w:r>
      <w:r w:rsidRPr="00935679">
        <w:rPr>
          <w:szCs w:val="22"/>
        </w:rPr>
        <w:t xml:space="preserve"> groundwater resources (Lawrie</w:t>
      </w:r>
      <w:r w:rsidR="008A5F7D" w:rsidRPr="00CF7613">
        <w:rPr>
          <w:rStyle w:val="StyleItalic"/>
        </w:rPr>
        <w:t xml:space="preserve"> et al</w:t>
      </w:r>
      <w:r w:rsidRPr="00935679">
        <w:rPr>
          <w:szCs w:val="22"/>
        </w:rPr>
        <w:t xml:space="preserve">., 2012b, d) in the BHMAR </w:t>
      </w:r>
      <w:r w:rsidR="00A56C85">
        <w:rPr>
          <w:szCs w:val="22"/>
        </w:rPr>
        <w:t>project</w:t>
      </w:r>
      <w:r w:rsidRPr="00935679">
        <w:rPr>
          <w:szCs w:val="22"/>
        </w:rPr>
        <w:t xml:space="preserve"> area</w:t>
      </w:r>
      <w:r w:rsidRPr="00935679" w:rsidDel="004E466D">
        <w:rPr>
          <w:szCs w:val="22"/>
        </w:rPr>
        <w:t xml:space="preserve"> </w:t>
      </w:r>
      <w:r w:rsidRPr="00935679">
        <w:rPr>
          <w:szCs w:val="22"/>
        </w:rPr>
        <w:t>highlights the likelihood of similar opportunities further upstream in the Darling-Barwon system, and in other data-poor river systems within the Basin. The key drivers are increasing drought security for</w:t>
      </w:r>
      <w:r>
        <w:rPr>
          <w:szCs w:val="22"/>
        </w:rPr>
        <w:t xml:space="preserve"> regional communities and industries </w:t>
      </w:r>
      <w:r w:rsidRPr="007000DB">
        <w:rPr>
          <w:szCs w:val="22"/>
        </w:rPr>
        <w:t xml:space="preserve">such as mining or </w:t>
      </w:r>
      <w:r>
        <w:rPr>
          <w:szCs w:val="22"/>
        </w:rPr>
        <w:t>agriculture and increasing</w:t>
      </w:r>
      <w:r w:rsidRPr="007000DB">
        <w:rPr>
          <w:szCs w:val="22"/>
        </w:rPr>
        <w:t xml:space="preserve"> local employment opportunities. </w:t>
      </w:r>
    </w:p>
    <w:p w:rsidR="006524A0" w:rsidRDefault="006524A0" w:rsidP="006524A0">
      <w:pPr>
        <w:rPr>
          <w:szCs w:val="22"/>
        </w:rPr>
      </w:pPr>
    </w:p>
    <w:p w:rsidR="006524A0" w:rsidRPr="00306885" w:rsidRDefault="006524A0" w:rsidP="006524A0">
      <w:pPr>
        <w:rPr>
          <w:szCs w:val="22"/>
        </w:rPr>
      </w:pPr>
      <w:r w:rsidRPr="00306885">
        <w:rPr>
          <w:szCs w:val="22"/>
        </w:rPr>
        <w:t xml:space="preserve">To this end, a rapid assessment was applied to the </w:t>
      </w:r>
      <w:smartTag w:uri="urn:schemas-microsoft-com:office:smarttags" w:element="place">
        <w:r w:rsidRPr="00306885">
          <w:rPr>
            <w:szCs w:val="22"/>
          </w:rPr>
          <w:t>Upper Darling River</w:t>
        </w:r>
      </w:smartTag>
      <w:r w:rsidRPr="00306885">
        <w:rPr>
          <w:szCs w:val="22"/>
        </w:rPr>
        <w:t xml:space="preserve"> between Bourke and Wilcannia. Current estimates of groundwater availability in this area do not account for potential recharge by river leakage. Significant generic losses from the river system have been predicted by river modelling under average conditions (CSIRO, 2008), although the proportion attributable to leakage has not been determined due to lack of data. The BHMAR study has demonstrated that river leakage is significantly enhanced during high-flow events, so an average river budget may significantly underestimate potential transfers from the river to the shallow groundwater resource. A comparison of annual flows for specific wet years show examples of large (and unattributed) downstream reduction of flows between gauging stations, much greater than for average conditions. Recent mapping of stream-aquifer connectivity has identified medium to high losing reaches (CSIRO, 2008).</w:t>
      </w:r>
    </w:p>
    <w:p w:rsidR="006524A0" w:rsidRPr="00306885" w:rsidRDefault="006524A0" w:rsidP="006524A0">
      <w:pPr>
        <w:rPr>
          <w:szCs w:val="22"/>
        </w:rPr>
      </w:pPr>
    </w:p>
    <w:p w:rsidR="006524A0" w:rsidRDefault="006524A0" w:rsidP="006524A0">
      <w:pPr>
        <w:rPr>
          <w:szCs w:val="22"/>
        </w:rPr>
      </w:pPr>
      <w:r w:rsidRPr="00306885">
        <w:rPr>
          <w:szCs w:val="22"/>
        </w:rPr>
        <w:t xml:space="preserve">In addition, there are a number of similarities in geomorphology, tectonics and stratigraphy between the </w:t>
      </w:r>
      <w:smartTag w:uri="urn:schemas-microsoft-com:office:smarttags" w:element="place">
        <w:smartTag w:uri="urn:schemas-microsoft-com:office:smarttags" w:element="PlaceName">
          <w:r w:rsidR="007D1583">
            <w:rPr>
              <w:szCs w:val="22"/>
            </w:rPr>
            <w:t>Menindee</w:t>
          </w:r>
        </w:smartTag>
        <w:r w:rsidR="007D1583">
          <w:rPr>
            <w:szCs w:val="22"/>
          </w:rPr>
          <w:t xml:space="preserve"> </w:t>
        </w:r>
        <w:smartTag w:uri="urn:schemas-microsoft-com:office:smarttags" w:element="PlaceType">
          <w:r w:rsidR="007D1583">
            <w:rPr>
              <w:szCs w:val="22"/>
            </w:rPr>
            <w:t>Lakes</w:t>
          </w:r>
        </w:smartTag>
      </w:smartTag>
      <w:r w:rsidRPr="00306885">
        <w:rPr>
          <w:szCs w:val="22"/>
        </w:rPr>
        <w:t xml:space="preserve"> region and the Upper Darling. </w:t>
      </w:r>
      <w:smartTag w:uri="urn:schemas-microsoft-com:office:smarttags" w:element="PersonName">
        <w:r w:rsidRPr="00306885">
          <w:rPr>
            <w:szCs w:val="22"/>
          </w:rPr>
          <w:t>Groundwater</w:t>
        </w:r>
      </w:smartTag>
      <w:r w:rsidRPr="00306885">
        <w:rPr>
          <w:szCs w:val="22"/>
        </w:rPr>
        <w:t xml:space="preserve"> resources within the Darling Floodplain alluvium are likely to occur where recharge pathways (i.e. faults or holes in the upper confining aquitard) connect scroll-plain tracts to suitable (i.e. </w:t>
      </w:r>
      <w:r w:rsidR="00C217F0">
        <w:rPr>
          <w:szCs w:val="22"/>
        </w:rPr>
        <w:t>Calivil Formation</w:t>
      </w:r>
      <w:r w:rsidRPr="00306885">
        <w:rPr>
          <w:szCs w:val="22"/>
        </w:rPr>
        <w:t xml:space="preserve"> equivalent) aquifer cells. Accordingly, groundwater investigations in the Darling upstream of </w:t>
      </w:r>
      <w:r w:rsidR="00C217F0">
        <w:rPr>
          <w:szCs w:val="22"/>
        </w:rPr>
        <w:t xml:space="preserve">Menindee </w:t>
      </w:r>
      <w:r w:rsidRPr="00306885">
        <w:rPr>
          <w:szCs w:val="22"/>
        </w:rPr>
        <w:t>should be concentrated along both coincident and separate scroll-plain tracts, in particular where the two scroll plain tracts intersect. Fundamental data acquisition is required to characterise confining aquitards, semi-confined and surficial unconfined aquifers and zones of preferential river leakage</w:t>
      </w:r>
      <w:r>
        <w:rPr>
          <w:szCs w:val="22"/>
        </w:rPr>
        <w:t>.</w:t>
      </w:r>
    </w:p>
    <w:p w:rsidR="006524A0" w:rsidRPr="00306885" w:rsidRDefault="006524A0" w:rsidP="006524A0">
      <w:pPr>
        <w:rPr>
          <w:szCs w:val="22"/>
        </w:rPr>
      </w:pPr>
    </w:p>
    <w:p w:rsidR="00F44F92" w:rsidRDefault="00F44F92" w:rsidP="00F44F92">
      <w:r>
        <w:t xml:space="preserve">Understanding of the nature and extent of the groundwater resources of the </w:t>
      </w:r>
      <w:r w:rsidR="007B61E9">
        <w:t>U</w:t>
      </w:r>
      <w:r>
        <w:t xml:space="preserve">pper Darling is limited. The long-term average annual extraction rate for the Upper Darling Alluvial </w:t>
      </w:r>
      <w:smartTag w:uri="urn:schemas-microsoft-com:office:smarttags" w:element="PersonName">
        <w:r>
          <w:t>Groundwater</w:t>
        </w:r>
      </w:smartTag>
      <w:r>
        <w:t xml:space="preserve"> Source is based on a </w:t>
      </w:r>
      <w:r w:rsidRPr="00935679">
        <w:t xml:space="preserve">proportion of recharge calculated as a percentage of long-term average annual rainfall. Therefore, river leakage, which has been identified as the dominant recharge process for the analogous aquifers at </w:t>
      </w:r>
      <w:r w:rsidR="00C217F0" w:rsidRPr="00935679">
        <w:t xml:space="preserve">Menindee </w:t>
      </w:r>
      <w:r w:rsidR="00187C17" w:rsidRPr="00935679">
        <w:t>(</w:t>
      </w:r>
      <w:r w:rsidR="00187C17" w:rsidRPr="00935679">
        <w:rPr>
          <w:szCs w:val="22"/>
        </w:rPr>
        <w:t>Lawrie</w:t>
      </w:r>
      <w:r w:rsidR="008A5F7D" w:rsidRPr="00CF7613">
        <w:rPr>
          <w:rStyle w:val="StyleItalic"/>
        </w:rPr>
        <w:t xml:space="preserve"> et al</w:t>
      </w:r>
      <w:r w:rsidR="00187C17" w:rsidRPr="00935679">
        <w:rPr>
          <w:szCs w:val="22"/>
        </w:rPr>
        <w:t>., 2012b</w:t>
      </w:r>
      <w:r w:rsidR="00187C17" w:rsidRPr="00935679">
        <w:t>)</w:t>
      </w:r>
      <w:r w:rsidRPr="00935679">
        <w:t>, is not included</w:t>
      </w:r>
      <w:r>
        <w:t xml:space="preserve"> in the groundwater resource estimates. Current groundwater extraction is also limited. At Wilcannia, the identification of low-salinity shallow groundwater resources has enabled the establishment of water supply bores for the town. This groundwater source is linked to river leakage and considered to be significant but further investigations and monitoring is required </w:t>
      </w:r>
      <w:r w:rsidRPr="00935679">
        <w:t>(Woolley</w:t>
      </w:r>
      <w:r w:rsidR="008A5F7D" w:rsidRPr="00CF7613">
        <w:rPr>
          <w:rStyle w:val="StyleItalic"/>
        </w:rPr>
        <w:t xml:space="preserve"> et al</w:t>
      </w:r>
      <w:r w:rsidR="00F81E70" w:rsidRPr="00CF7613">
        <w:rPr>
          <w:rStyle w:val="StyleItalic"/>
        </w:rPr>
        <w:t>.</w:t>
      </w:r>
      <w:r w:rsidRPr="00935679">
        <w:t>, 2004).</w:t>
      </w:r>
    </w:p>
    <w:p w:rsidR="00F44F92" w:rsidRDefault="00F44F92" w:rsidP="00F44F92"/>
    <w:p w:rsidR="00F44F92" w:rsidRDefault="00F44F92" w:rsidP="00F44F92">
      <w:r>
        <w:t xml:space="preserve">River system modelling and monthly river reach water accounting have been undertaken for the Barwon-Darling catchment as part of the CSIRO Murray-Darling Basin Sustainable Yields project (CSIRO, 2008). </w:t>
      </w:r>
      <w:r w:rsidR="005B1337" w:rsidRPr="00795774">
        <w:rPr>
          <w:highlight w:val="yellow"/>
        </w:rPr>
        <w:fldChar w:fldCharType="begin"/>
      </w:r>
      <w:r w:rsidR="005B1337" w:rsidRPr="00795774">
        <w:instrText xml:space="preserve"> REF _Ref325913934 \h </w:instrText>
      </w:r>
      <w:r w:rsidR="00795774" w:rsidRPr="00795774">
        <w:rPr>
          <w:highlight w:val="yellow"/>
        </w:rPr>
        <w:instrText xml:space="preserve"> \* MERGEFORMAT </w:instrText>
      </w:r>
      <w:r w:rsidR="005B1337" w:rsidRPr="00795774">
        <w:rPr>
          <w:highlight w:val="yellow"/>
        </w:rPr>
      </w:r>
      <w:r w:rsidR="005B1337" w:rsidRPr="00795774">
        <w:rPr>
          <w:highlight w:val="yellow"/>
        </w:rPr>
        <w:fldChar w:fldCharType="separate"/>
      </w:r>
      <w:r w:rsidR="00966532" w:rsidRPr="00966532">
        <w:t xml:space="preserve">Table </w:t>
      </w:r>
      <w:r w:rsidR="00966532" w:rsidRPr="00966532">
        <w:rPr>
          <w:noProof/>
        </w:rPr>
        <w:t>11</w:t>
      </w:r>
      <w:r w:rsidR="00966532" w:rsidRPr="00966532">
        <w:rPr>
          <w:noProof/>
        </w:rPr>
        <w:noBreakHyphen/>
        <w:t>3</w:t>
      </w:r>
      <w:r w:rsidR="005B1337" w:rsidRPr="00795774">
        <w:rPr>
          <w:highlight w:val="yellow"/>
        </w:rPr>
        <w:fldChar w:fldCharType="end"/>
      </w:r>
      <w:r w:rsidRPr="00795774">
        <w:t xml:space="preserve"> summarises</w:t>
      </w:r>
      <w:r>
        <w:t xml:space="preserve"> the results of these two approaches for the two </w:t>
      </w:r>
      <w:smartTag w:uri="urn:schemas-microsoft-com:office:smarttags" w:element="place">
        <w:r>
          <w:t>Darling River</w:t>
        </w:r>
      </w:smartTag>
      <w:r>
        <w:t xml:space="preserve"> reaches of Bourke to Louth and Louth to Wilcannia.</w:t>
      </w:r>
    </w:p>
    <w:p w:rsidR="00F44F92" w:rsidRDefault="00F44F92" w:rsidP="00F44F92"/>
    <w:p w:rsidR="00DD5B97" w:rsidRPr="007960BF" w:rsidRDefault="00CD2825" w:rsidP="002B69F0">
      <w:pPr>
        <w:pStyle w:val="Caption"/>
        <w:keepNext/>
        <w:rPr>
          <w:i w:val="0"/>
          <w:szCs w:val="20"/>
        </w:rPr>
      </w:pPr>
      <w:bookmarkStart w:id="766" w:name="_Ref325913934"/>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11</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3</w:t>
      </w:r>
      <w:r w:rsidR="00B96C96">
        <w:rPr>
          <w:b/>
        </w:rPr>
        <w:fldChar w:fldCharType="end"/>
      </w:r>
      <w:bookmarkEnd w:id="766"/>
      <w:r w:rsidRPr="00CD2825">
        <w:rPr>
          <w:b/>
        </w:rPr>
        <w:t>.</w:t>
      </w:r>
      <w:r w:rsidR="00453911">
        <w:rPr>
          <w:b/>
          <w:szCs w:val="20"/>
        </w:rPr>
        <w:t xml:space="preserve"> </w:t>
      </w:r>
      <w:r w:rsidR="00DD5B97" w:rsidRPr="00DD5B97">
        <w:t xml:space="preserve">Water balances using river system modelling and monthly accounting approaches for two </w:t>
      </w:r>
      <w:smartTag w:uri="urn:schemas-microsoft-com:office:smarttags" w:element="place">
        <w:r w:rsidR="00DD5B97" w:rsidRPr="00DD5B97">
          <w:t>Darling River</w:t>
        </w:r>
      </w:smartTag>
      <w:r w:rsidR="00DD5B97" w:rsidRPr="00DD5B97">
        <w:t xml:space="preserve"> reaches (from CSIRO, 2008)</w:t>
      </w:r>
      <w:r w:rsidR="00DD5B97" w:rsidRPr="00DD5B97">
        <w:rPr>
          <w:szCs w:val="20"/>
        </w:rPr>
        <w:t>.</w:t>
      </w:r>
      <w:r w:rsidR="00DD5B97" w:rsidRPr="00395AD1">
        <w:t xml:space="preserve"> </w:t>
      </w:r>
      <w:r w:rsidR="00DD5B97" w:rsidRPr="007960BF">
        <w:rPr>
          <w:i w:val="0"/>
        </w:rPr>
        <w:fldChar w:fldCharType="begin"/>
      </w:r>
      <w:r w:rsidR="00DD5B97" w:rsidRPr="007960BF">
        <w:rPr>
          <w:i w:val="0"/>
        </w:rPr>
        <w:instrText xml:space="preserve"> TC "</w:instrText>
      </w:r>
      <w:bookmarkStart w:id="767" w:name="_Toc325975322"/>
      <w:bookmarkStart w:id="768" w:name="_Toc390690313"/>
      <w:r w:rsidR="00DD5B97" w:rsidRPr="007960BF">
        <w:rPr>
          <w:i w:val="0"/>
        </w:rPr>
        <w:instrText xml:space="preserve">Table </w:instrText>
      </w:r>
      <w:r w:rsidR="000D653B">
        <w:rPr>
          <w:i w:val="0"/>
        </w:rPr>
        <w:instrText>11-3</w:instrText>
      </w:r>
      <w:r w:rsidR="00DE0DFA">
        <w:rPr>
          <w:i w:val="0"/>
        </w:rPr>
        <w:instrText>.</w:instrText>
      </w:r>
      <w:r w:rsidR="00DD5B97" w:rsidRPr="007960BF">
        <w:rPr>
          <w:i w:val="0"/>
        </w:rPr>
        <w:instrText xml:space="preserve"> Water balances using river system modelling and monthly accounting approaches for two </w:instrText>
      </w:r>
      <w:smartTag w:uri="urn:schemas-microsoft-com:office:smarttags" w:element="place">
        <w:r w:rsidR="00DD5B97" w:rsidRPr="007960BF">
          <w:rPr>
            <w:i w:val="0"/>
          </w:rPr>
          <w:instrText>Darling River</w:instrText>
        </w:r>
      </w:smartTag>
      <w:r w:rsidR="00DD5B97" w:rsidRPr="007960BF">
        <w:rPr>
          <w:i w:val="0"/>
        </w:rPr>
        <w:instrText xml:space="preserve"> reaches</w:instrText>
      </w:r>
      <w:bookmarkEnd w:id="767"/>
      <w:r w:rsidR="003721DD">
        <w:rPr>
          <w:i w:val="0"/>
        </w:rPr>
        <w:instrText>.</w:instrText>
      </w:r>
      <w:bookmarkEnd w:id="768"/>
      <w:r w:rsidR="00DD5B97" w:rsidRPr="007960BF">
        <w:rPr>
          <w:i w:val="0"/>
        </w:rPr>
        <w:instrText xml:space="preserve">" \f B \l "4" </w:instrText>
      </w:r>
      <w:r w:rsidR="00DD5B97" w:rsidRPr="007960BF">
        <w:rPr>
          <w:i w:val="0"/>
        </w:rPr>
        <w:fldChar w:fldCharType="end"/>
      </w:r>
      <w:r w:rsidR="00DD5B97" w:rsidRPr="007960BF">
        <w:rPr>
          <w:i w:val="0"/>
        </w:rPr>
        <w:t xml:space="preserve"> </w:t>
      </w:r>
    </w:p>
    <w:tbl>
      <w:tblPr>
        <w:tblW w:w="9214" w:type="dxa"/>
        <w:jc w:val="center"/>
        <w:tblInd w:w="-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3"/>
        <w:gridCol w:w="872"/>
        <w:gridCol w:w="1128"/>
        <w:gridCol w:w="1195"/>
        <w:gridCol w:w="1023"/>
        <w:gridCol w:w="1128"/>
        <w:gridCol w:w="1195"/>
      </w:tblGrid>
      <w:tr w:rsidR="00F44F92" w:rsidRPr="000D653B" w:rsidTr="00672844">
        <w:trPr>
          <w:jc w:val="center"/>
        </w:trPr>
        <w:tc>
          <w:tcPr>
            <w:tcW w:w="2673" w:type="dxa"/>
            <w:tcBorders>
              <w:top w:val="nil"/>
              <w:left w:val="nil"/>
            </w:tcBorders>
            <w:shd w:val="clear" w:color="auto" w:fill="auto"/>
          </w:tcPr>
          <w:p w:rsidR="00F44F92" w:rsidRPr="000D653B" w:rsidRDefault="00F44F92" w:rsidP="00672844">
            <w:pPr>
              <w:keepNext/>
              <w:spacing w:before="60" w:after="60"/>
              <w:rPr>
                <w:b/>
                <w:sz w:val="20"/>
                <w:szCs w:val="20"/>
              </w:rPr>
            </w:pPr>
          </w:p>
        </w:tc>
        <w:tc>
          <w:tcPr>
            <w:tcW w:w="3195" w:type="dxa"/>
            <w:gridSpan w:val="3"/>
            <w:tcBorders>
              <w:right w:val="double" w:sz="4" w:space="0" w:color="auto"/>
            </w:tcBorders>
            <w:shd w:val="clear" w:color="auto" w:fill="C0C0C0"/>
          </w:tcPr>
          <w:p w:rsidR="00F44F92" w:rsidRPr="000D653B" w:rsidRDefault="00F44F92" w:rsidP="00672844">
            <w:pPr>
              <w:keepNext/>
              <w:spacing w:before="60" w:after="60"/>
              <w:rPr>
                <w:b/>
                <w:sz w:val="20"/>
                <w:szCs w:val="20"/>
              </w:rPr>
            </w:pPr>
            <w:r w:rsidRPr="000D653B">
              <w:rPr>
                <w:b/>
                <w:sz w:val="20"/>
                <w:szCs w:val="20"/>
              </w:rPr>
              <w:t>Bourke to Louth</w:t>
            </w:r>
          </w:p>
        </w:tc>
        <w:tc>
          <w:tcPr>
            <w:tcW w:w="3346" w:type="dxa"/>
            <w:gridSpan w:val="3"/>
            <w:tcBorders>
              <w:left w:val="double" w:sz="4" w:space="0" w:color="auto"/>
            </w:tcBorders>
            <w:shd w:val="clear" w:color="auto" w:fill="C0C0C0"/>
          </w:tcPr>
          <w:p w:rsidR="00F44F92" w:rsidRPr="000D653B" w:rsidRDefault="00F44F92" w:rsidP="00672844">
            <w:pPr>
              <w:keepNext/>
              <w:spacing w:before="60" w:after="60"/>
              <w:rPr>
                <w:b/>
                <w:sz w:val="20"/>
                <w:szCs w:val="20"/>
              </w:rPr>
            </w:pPr>
            <w:r w:rsidRPr="000D653B">
              <w:rPr>
                <w:b/>
                <w:sz w:val="20"/>
                <w:szCs w:val="20"/>
              </w:rPr>
              <w:t>Louth to Wilcannia</w:t>
            </w:r>
          </w:p>
        </w:tc>
      </w:tr>
      <w:tr w:rsidR="00F44F92" w:rsidRPr="000D653B" w:rsidTr="00672844">
        <w:trPr>
          <w:jc w:val="center"/>
        </w:trPr>
        <w:tc>
          <w:tcPr>
            <w:tcW w:w="2673" w:type="dxa"/>
            <w:shd w:val="clear" w:color="auto" w:fill="CCCCCC"/>
          </w:tcPr>
          <w:p w:rsidR="00F44F92" w:rsidRPr="000D653B" w:rsidRDefault="00F44F92" w:rsidP="00672844">
            <w:pPr>
              <w:keepNext/>
              <w:spacing w:before="60" w:after="60"/>
              <w:rPr>
                <w:b/>
                <w:sz w:val="20"/>
                <w:szCs w:val="20"/>
              </w:rPr>
            </w:pPr>
            <w:r w:rsidRPr="000D653B">
              <w:rPr>
                <w:b/>
                <w:sz w:val="20"/>
                <w:szCs w:val="20"/>
              </w:rPr>
              <w:t>Water Balance</w:t>
            </w:r>
          </w:p>
        </w:tc>
        <w:tc>
          <w:tcPr>
            <w:tcW w:w="872" w:type="dxa"/>
            <w:shd w:val="clear" w:color="auto" w:fill="CCCCCC"/>
          </w:tcPr>
          <w:p w:rsidR="00F44F92" w:rsidRPr="000D653B" w:rsidRDefault="00F44F92" w:rsidP="00672844">
            <w:pPr>
              <w:keepNext/>
              <w:spacing w:before="60" w:after="60"/>
              <w:rPr>
                <w:b/>
                <w:sz w:val="20"/>
                <w:szCs w:val="20"/>
              </w:rPr>
            </w:pPr>
            <w:r w:rsidRPr="000D653B">
              <w:rPr>
                <w:b/>
                <w:sz w:val="20"/>
                <w:szCs w:val="20"/>
              </w:rPr>
              <w:t>Model</w:t>
            </w:r>
          </w:p>
        </w:tc>
        <w:tc>
          <w:tcPr>
            <w:tcW w:w="1128" w:type="dxa"/>
            <w:shd w:val="clear" w:color="auto" w:fill="CCCCCC"/>
          </w:tcPr>
          <w:p w:rsidR="00F44F92" w:rsidRPr="000D653B" w:rsidRDefault="00F44F92" w:rsidP="00672844">
            <w:pPr>
              <w:keepNext/>
              <w:spacing w:before="60" w:after="60"/>
              <w:rPr>
                <w:b/>
                <w:sz w:val="20"/>
                <w:szCs w:val="20"/>
              </w:rPr>
            </w:pPr>
            <w:r w:rsidRPr="000D653B">
              <w:rPr>
                <w:b/>
                <w:sz w:val="20"/>
                <w:szCs w:val="20"/>
              </w:rPr>
              <w:t>Accounts</w:t>
            </w:r>
          </w:p>
        </w:tc>
        <w:tc>
          <w:tcPr>
            <w:tcW w:w="1195" w:type="dxa"/>
            <w:tcBorders>
              <w:right w:val="double" w:sz="4" w:space="0" w:color="auto"/>
            </w:tcBorders>
            <w:shd w:val="clear" w:color="auto" w:fill="CCCCCC"/>
          </w:tcPr>
          <w:p w:rsidR="00F44F92" w:rsidRPr="000D653B" w:rsidRDefault="00F44F92" w:rsidP="00672844">
            <w:pPr>
              <w:keepNext/>
              <w:spacing w:before="60" w:after="60"/>
              <w:rPr>
                <w:b/>
                <w:sz w:val="20"/>
                <w:szCs w:val="20"/>
              </w:rPr>
            </w:pPr>
            <w:r w:rsidRPr="000D653B">
              <w:rPr>
                <w:b/>
                <w:sz w:val="20"/>
                <w:szCs w:val="20"/>
              </w:rPr>
              <w:t>Difference</w:t>
            </w:r>
          </w:p>
        </w:tc>
        <w:tc>
          <w:tcPr>
            <w:tcW w:w="1023" w:type="dxa"/>
            <w:tcBorders>
              <w:left w:val="double" w:sz="4" w:space="0" w:color="auto"/>
            </w:tcBorders>
            <w:shd w:val="clear" w:color="auto" w:fill="CCCCCC"/>
          </w:tcPr>
          <w:p w:rsidR="00F44F92" w:rsidRPr="000D653B" w:rsidRDefault="00F44F92" w:rsidP="00672844">
            <w:pPr>
              <w:keepNext/>
              <w:spacing w:before="60" w:after="60"/>
              <w:rPr>
                <w:b/>
                <w:sz w:val="20"/>
                <w:szCs w:val="20"/>
              </w:rPr>
            </w:pPr>
            <w:r w:rsidRPr="000D653B">
              <w:rPr>
                <w:b/>
                <w:sz w:val="20"/>
                <w:szCs w:val="20"/>
              </w:rPr>
              <w:t>Model</w:t>
            </w:r>
          </w:p>
        </w:tc>
        <w:tc>
          <w:tcPr>
            <w:tcW w:w="1128" w:type="dxa"/>
            <w:shd w:val="clear" w:color="auto" w:fill="CCCCCC"/>
          </w:tcPr>
          <w:p w:rsidR="00F44F92" w:rsidRPr="000D653B" w:rsidRDefault="00F44F92" w:rsidP="00672844">
            <w:pPr>
              <w:keepNext/>
              <w:spacing w:before="60" w:after="60"/>
              <w:rPr>
                <w:b/>
                <w:sz w:val="20"/>
                <w:szCs w:val="20"/>
              </w:rPr>
            </w:pPr>
            <w:r w:rsidRPr="000D653B">
              <w:rPr>
                <w:b/>
                <w:sz w:val="20"/>
                <w:szCs w:val="20"/>
              </w:rPr>
              <w:t>Accounts</w:t>
            </w:r>
          </w:p>
        </w:tc>
        <w:tc>
          <w:tcPr>
            <w:tcW w:w="1195" w:type="dxa"/>
            <w:shd w:val="clear" w:color="auto" w:fill="CCCCCC"/>
          </w:tcPr>
          <w:p w:rsidR="00F44F92" w:rsidRPr="000D653B" w:rsidRDefault="00F44F92" w:rsidP="00672844">
            <w:pPr>
              <w:keepNext/>
              <w:spacing w:before="60" w:after="60"/>
              <w:rPr>
                <w:b/>
                <w:sz w:val="20"/>
                <w:szCs w:val="20"/>
              </w:rPr>
            </w:pPr>
            <w:r w:rsidRPr="000D653B">
              <w:rPr>
                <w:b/>
                <w:sz w:val="20"/>
                <w:szCs w:val="20"/>
              </w:rPr>
              <w:t>Difference</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b/>
                <w:sz w:val="20"/>
                <w:szCs w:val="20"/>
              </w:rPr>
            </w:pPr>
            <w:r w:rsidRPr="000D653B">
              <w:rPr>
                <w:b/>
                <w:sz w:val="20"/>
                <w:szCs w:val="20"/>
              </w:rPr>
              <w:t>Gains</w:t>
            </w:r>
          </w:p>
        </w:tc>
        <w:tc>
          <w:tcPr>
            <w:tcW w:w="872"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28"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95" w:type="dxa"/>
            <w:tcBorders>
              <w:right w:val="double" w:sz="4" w:space="0" w:color="auto"/>
            </w:tcBorders>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023" w:type="dxa"/>
            <w:tcBorders>
              <w:left w:val="double" w:sz="4" w:space="0" w:color="auto"/>
            </w:tcBorders>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28"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95"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Main stream flows</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1978</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1870</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108</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1855</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1769</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86</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Tributary flows</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39</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-39</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0</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Local inflows</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0</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Unattributed gains and noise</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213</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-213</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154</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-154</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b/>
                <w:sz w:val="20"/>
                <w:szCs w:val="20"/>
              </w:rPr>
            </w:pPr>
            <w:r w:rsidRPr="000D653B">
              <w:rPr>
                <w:b/>
                <w:sz w:val="20"/>
                <w:szCs w:val="20"/>
              </w:rPr>
              <w:t>Losses</w:t>
            </w:r>
          </w:p>
        </w:tc>
        <w:tc>
          <w:tcPr>
            <w:tcW w:w="872"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28"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95" w:type="dxa"/>
            <w:tcBorders>
              <w:right w:val="double" w:sz="4" w:space="0" w:color="auto"/>
            </w:tcBorders>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023" w:type="dxa"/>
            <w:tcBorders>
              <w:left w:val="double" w:sz="4" w:space="0" w:color="auto"/>
            </w:tcBorders>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28"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c>
          <w:tcPr>
            <w:tcW w:w="1195" w:type="dxa"/>
            <w:shd w:val="clear" w:color="auto" w:fill="E6E6E6"/>
          </w:tcPr>
          <w:p w:rsidR="00F44F92" w:rsidRPr="000D653B" w:rsidRDefault="00F44F92" w:rsidP="00672844">
            <w:pPr>
              <w:keepNext/>
              <w:spacing w:before="60" w:after="60"/>
              <w:rPr>
                <w:b/>
                <w:sz w:val="20"/>
                <w:szCs w:val="20"/>
              </w:rPr>
            </w:pPr>
            <w:r w:rsidRPr="000D653B">
              <w:rPr>
                <w:b/>
                <w:sz w:val="20"/>
                <w:szCs w:val="20"/>
              </w:rPr>
              <w:t>GL/yr</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Main stem outflows</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1855</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1769</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86</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1558</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1242</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315</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Distributary outflows</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0</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Net diversions</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43</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61</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-19</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1</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1</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2</w:t>
            </w:r>
          </w:p>
        </w:tc>
      </w:tr>
      <w:tr w:rsidR="00F44F92" w:rsidRPr="000D653B" w:rsidTr="00672844">
        <w:trPr>
          <w:jc w:val="center"/>
        </w:trPr>
        <w:tc>
          <w:tcPr>
            <w:tcW w:w="2673" w:type="dxa"/>
            <w:shd w:val="clear" w:color="auto" w:fill="E6E6E6"/>
          </w:tcPr>
          <w:p w:rsidR="00F44F92" w:rsidRPr="000D653B" w:rsidRDefault="00F44F92" w:rsidP="00672844">
            <w:pPr>
              <w:keepNext/>
              <w:spacing w:before="60" w:after="60"/>
              <w:rPr>
                <w:sz w:val="20"/>
                <w:szCs w:val="20"/>
              </w:rPr>
            </w:pPr>
            <w:r w:rsidRPr="000D653B">
              <w:rPr>
                <w:sz w:val="20"/>
                <w:szCs w:val="20"/>
              </w:rPr>
              <w:t>River flux to groundwater</w:t>
            </w:r>
          </w:p>
        </w:tc>
        <w:tc>
          <w:tcPr>
            <w:tcW w:w="872" w:type="dxa"/>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w:t>
            </w:r>
          </w:p>
        </w:tc>
        <w:tc>
          <w:tcPr>
            <w:tcW w:w="1195" w:type="dxa"/>
            <w:tcBorders>
              <w:righ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0</w:t>
            </w:r>
          </w:p>
        </w:tc>
        <w:tc>
          <w:tcPr>
            <w:tcW w:w="1023" w:type="dxa"/>
            <w:tcBorders>
              <w:left w:val="double" w:sz="4" w:space="0" w:color="auto"/>
            </w:tcBorders>
            <w:shd w:val="clear" w:color="auto" w:fill="auto"/>
          </w:tcPr>
          <w:p w:rsidR="00F44F92" w:rsidRPr="000D653B" w:rsidRDefault="00F44F92" w:rsidP="00672844">
            <w:pPr>
              <w:keepNext/>
              <w:spacing w:before="60" w:after="60"/>
              <w:rPr>
                <w:sz w:val="20"/>
                <w:szCs w:val="20"/>
              </w:rPr>
            </w:pPr>
            <w:r w:rsidRPr="000D653B">
              <w:rPr>
                <w:sz w:val="20"/>
                <w:szCs w:val="20"/>
              </w:rPr>
              <w:t>-</w:t>
            </w:r>
          </w:p>
        </w:tc>
        <w:tc>
          <w:tcPr>
            <w:tcW w:w="1128" w:type="dxa"/>
            <w:shd w:val="clear" w:color="auto" w:fill="auto"/>
          </w:tcPr>
          <w:p w:rsidR="00F44F92" w:rsidRPr="000D653B" w:rsidRDefault="00F44F92" w:rsidP="00672844">
            <w:pPr>
              <w:keepNext/>
              <w:spacing w:before="60" w:after="60"/>
              <w:rPr>
                <w:sz w:val="20"/>
                <w:szCs w:val="20"/>
              </w:rPr>
            </w:pPr>
            <w:r w:rsidRPr="000D653B">
              <w:rPr>
                <w:sz w:val="20"/>
                <w:szCs w:val="20"/>
              </w:rPr>
              <w:t>-</w:t>
            </w:r>
          </w:p>
        </w:tc>
        <w:tc>
          <w:tcPr>
            <w:tcW w:w="1195" w:type="dxa"/>
            <w:shd w:val="clear" w:color="auto" w:fill="auto"/>
          </w:tcPr>
          <w:p w:rsidR="00F44F92" w:rsidRPr="000D653B" w:rsidRDefault="00F44F92" w:rsidP="00672844">
            <w:pPr>
              <w:keepNext/>
              <w:spacing w:before="60" w:after="60"/>
              <w:rPr>
                <w:sz w:val="20"/>
                <w:szCs w:val="20"/>
              </w:rPr>
            </w:pPr>
            <w:r w:rsidRPr="000D653B">
              <w:rPr>
                <w:sz w:val="20"/>
                <w:szCs w:val="20"/>
              </w:rPr>
              <w:t>0</w:t>
            </w:r>
          </w:p>
        </w:tc>
      </w:tr>
      <w:tr w:rsidR="00F44F92" w:rsidRPr="000D653B" w:rsidTr="00672844">
        <w:trPr>
          <w:jc w:val="center"/>
        </w:trPr>
        <w:tc>
          <w:tcPr>
            <w:tcW w:w="2673" w:type="dxa"/>
            <w:shd w:val="clear" w:color="auto" w:fill="E6E6E6"/>
          </w:tcPr>
          <w:p w:rsidR="00F44F92" w:rsidRPr="000D653B" w:rsidRDefault="00F44F92" w:rsidP="00672844">
            <w:pPr>
              <w:spacing w:before="60" w:after="60"/>
              <w:rPr>
                <w:sz w:val="20"/>
                <w:szCs w:val="20"/>
              </w:rPr>
            </w:pPr>
            <w:r w:rsidRPr="000D653B">
              <w:rPr>
                <w:sz w:val="20"/>
                <w:szCs w:val="20"/>
              </w:rPr>
              <w:t>River and floodplain losses</w:t>
            </w:r>
          </w:p>
        </w:tc>
        <w:tc>
          <w:tcPr>
            <w:tcW w:w="872" w:type="dxa"/>
            <w:shd w:val="clear" w:color="auto" w:fill="auto"/>
          </w:tcPr>
          <w:p w:rsidR="00F44F92" w:rsidRPr="000D653B" w:rsidRDefault="00F44F92" w:rsidP="00672844">
            <w:pPr>
              <w:spacing w:before="60" w:after="60"/>
              <w:rPr>
                <w:sz w:val="20"/>
                <w:szCs w:val="20"/>
              </w:rPr>
            </w:pPr>
            <w:r w:rsidRPr="000D653B">
              <w:rPr>
                <w:sz w:val="20"/>
                <w:szCs w:val="20"/>
              </w:rPr>
              <w:t>40</w:t>
            </w:r>
          </w:p>
        </w:tc>
        <w:tc>
          <w:tcPr>
            <w:tcW w:w="1128" w:type="dxa"/>
            <w:shd w:val="clear" w:color="auto" w:fill="auto"/>
          </w:tcPr>
          <w:p w:rsidR="00F44F92" w:rsidRPr="000D653B" w:rsidRDefault="00F44F92" w:rsidP="00672844">
            <w:pPr>
              <w:spacing w:before="60" w:after="60"/>
              <w:rPr>
                <w:sz w:val="20"/>
                <w:szCs w:val="20"/>
              </w:rPr>
            </w:pPr>
            <w:r w:rsidRPr="000D653B">
              <w:rPr>
                <w:sz w:val="20"/>
                <w:szCs w:val="20"/>
              </w:rPr>
              <w:t>95</w:t>
            </w:r>
          </w:p>
        </w:tc>
        <w:tc>
          <w:tcPr>
            <w:tcW w:w="1195" w:type="dxa"/>
            <w:tcBorders>
              <w:right w:val="double" w:sz="4" w:space="0" w:color="auto"/>
            </w:tcBorders>
            <w:shd w:val="clear" w:color="auto" w:fill="auto"/>
          </w:tcPr>
          <w:p w:rsidR="00F44F92" w:rsidRPr="000D653B" w:rsidRDefault="00F44F92" w:rsidP="00672844">
            <w:pPr>
              <w:spacing w:before="60" w:after="60"/>
              <w:rPr>
                <w:sz w:val="20"/>
                <w:szCs w:val="20"/>
              </w:rPr>
            </w:pPr>
            <w:r w:rsidRPr="000D653B">
              <w:rPr>
                <w:sz w:val="20"/>
                <w:szCs w:val="20"/>
              </w:rPr>
              <w:t>-55</w:t>
            </w:r>
          </w:p>
        </w:tc>
        <w:tc>
          <w:tcPr>
            <w:tcW w:w="1023" w:type="dxa"/>
            <w:tcBorders>
              <w:left w:val="double" w:sz="4" w:space="0" w:color="auto"/>
            </w:tcBorders>
            <w:shd w:val="clear" w:color="auto" w:fill="auto"/>
          </w:tcPr>
          <w:p w:rsidR="00F44F92" w:rsidRPr="000D653B" w:rsidRDefault="00F44F92" w:rsidP="00672844">
            <w:pPr>
              <w:spacing w:before="60" w:after="60"/>
              <w:rPr>
                <w:sz w:val="20"/>
                <w:szCs w:val="20"/>
              </w:rPr>
            </w:pPr>
            <w:r w:rsidRPr="000D653B">
              <w:rPr>
                <w:sz w:val="20"/>
                <w:szCs w:val="20"/>
              </w:rPr>
              <w:t>78</w:t>
            </w:r>
          </w:p>
        </w:tc>
        <w:tc>
          <w:tcPr>
            <w:tcW w:w="1128" w:type="dxa"/>
            <w:shd w:val="clear" w:color="auto" w:fill="auto"/>
          </w:tcPr>
          <w:p w:rsidR="00F44F92" w:rsidRPr="000D653B" w:rsidRDefault="00F44F92" w:rsidP="00672844">
            <w:pPr>
              <w:spacing w:before="60" w:after="60"/>
              <w:rPr>
                <w:sz w:val="20"/>
                <w:szCs w:val="20"/>
              </w:rPr>
            </w:pPr>
            <w:r w:rsidRPr="000D653B">
              <w:rPr>
                <w:sz w:val="20"/>
                <w:szCs w:val="20"/>
              </w:rPr>
              <w:t>464</w:t>
            </w:r>
          </w:p>
        </w:tc>
        <w:tc>
          <w:tcPr>
            <w:tcW w:w="1195" w:type="dxa"/>
            <w:shd w:val="clear" w:color="auto" w:fill="auto"/>
          </w:tcPr>
          <w:p w:rsidR="00F44F92" w:rsidRPr="000D653B" w:rsidRDefault="00F44F92" w:rsidP="00672844">
            <w:pPr>
              <w:spacing w:before="60" w:after="60"/>
              <w:rPr>
                <w:sz w:val="20"/>
                <w:szCs w:val="20"/>
              </w:rPr>
            </w:pPr>
            <w:r w:rsidRPr="000D653B">
              <w:rPr>
                <w:sz w:val="20"/>
                <w:szCs w:val="20"/>
              </w:rPr>
              <w:t>-386</w:t>
            </w:r>
          </w:p>
        </w:tc>
      </w:tr>
      <w:tr w:rsidR="00F44F92" w:rsidRPr="000D653B" w:rsidTr="00672844">
        <w:trPr>
          <w:jc w:val="center"/>
        </w:trPr>
        <w:tc>
          <w:tcPr>
            <w:tcW w:w="2673" w:type="dxa"/>
            <w:shd w:val="clear" w:color="auto" w:fill="E6E6E6"/>
          </w:tcPr>
          <w:p w:rsidR="00F44F92" w:rsidRPr="000D653B" w:rsidRDefault="00F44F92" w:rsidP="00672844">
            <w:pPr>
              <w:spacing w:before="60" w:after="60"/>
              <w:rPr>
                <w:sz w:val="20"/>
                <w:szCs w:val="20"/>
              </w:rPr>
            </w:pPr>
            <w:r w:rsidRPr="000D653B">
              <w:rPr>
                <w:sz w:val="20"/>
                <w:szCs w:val="20"/>
              </w:rPr>
              <w:t>Unspecified losses</w:t>
            </w:r>
          </w:p>
        </w:tc>
        <w:tc>
          <w:tcPr>
            <w:tcW w:w="872" w:type="dxa"/>
            <w:shd w:val="clear" w:color="auto" w:fill="auto"/>
          </w:tcPr>
          <w:p w:rsidR="00F44F92" w:rsidRPr="000D653B" w:rsidRDefault="00F44F92" w:rsidP="00672844">
            <w:pPr>
              <w:spacing w:before="60" w:after="60"/>
              <w:rPr>
                <w:sz w:val="20"/>
                <w:szCs w:val="20"/>
              </w:rPr>
            </w:pPr>
            <w:r w:rsidRPr="000D653B">
              <w:rPr>
                <w:sz w:val="20"/>
                <w:szCs w:val="20"/>
              </w:rPr>
              <w:t>39</w:t>
            </w:r>
          </w:p>
        </w:tc>
        <w:tc>
          <w:tcPr>
            <w:tcW w:w="1128" w:type="dxa"/>
            <w:shd w:val="clear" w:color="auto" w:fill="auto"/>
          </w:tcPr>
          <w:p w:rsidR="00F44F92" w:rsidRPr="000D653B" w:rsidRDefault="00F44F92" w:rsidP="00672844">
            <w:pPr>
              <w:spacing w:before="60" w:after="60"/>
              <w:rPr>
                <w:sz w:val="20"/>
                <w:szCs w:val="20"/>
              </w:rPr>
            </w:pPr>
            <w:r w:rsidRPr="000D653B">
              <w:rPr>
                <w:sz w:val="20"/>
                <w:szCs w:val="20"/>
              </w:rPr>
              <w:t>-</w:t>
            </w:r>
          </w:p>
        </w:tc>
        <w:tc>
          <w:tcPr>
            <w:tcW w:w="1195" w:type="dxa"/>
            <w:tcBorders>
              <w:right w:val="double" w:sz="4" w:space="0" w:color="auto"/>
            </w:tcBorders>
            <w:shd w:val="clear" w:color="auto" w:fill="auto"/>
          </w:tcPr>
          <w:p w:rsidR="00F44F92" w:rsidRPr="000D653B" w:rsidRDefault="00F44F92" w:rsidP="00672844">
            <w:pPr>
              <w:spacing w:before="60" w:after="60"/>
              <w:rPr>
                <w:sz w:val="20"/>
                <w:szCs w:val="20"/>
              </w:rPr>
            </w:pPr>
            <w:r w:rsidRPr="000D653B">
              <w:rPr>
                <w:sz w:val="20"/>
                <w:szCs w:val="20"/>
              </w:rPr>
              <w:t>39</w:t>
            </w:r>
          </w:p>
        </w:tc>
        <w:tc>
          <w:tcPr>
            <w:tcW w:w="1023" w:type="dxa"/>
            <w:tcBorders>
              <w:left w:val="double" w:sz="4" w:space="0" w:color="auto"/>
            </w:tcBorders>
            <w:shd w:val="clear" w:color="auto" w:fill="auto"/>
          </w:tcPr>
          <w:p w:rsidR="00F44F92" w:rsidRPr="000D653B" w:rsidRDefault="00F44F92" w:rsidP="00672844">
            <w:pPr>
              <w:spacing w:before="60" w:after="60"/>
              <w:rPr>
                <w:sz w:val="20"/>
                <w:szCs w:val="20"/>
              </w:rPr>
            </w:pPr>
            <w:r w:rsidRPr="000D653B">
              <w:rPr>
                <w:sz w:val="20"/>
                <w:szCs w:val="20"/>
              </w:rPr>
              <w:t>217</w:t>
            </w:r>
          </w:p>
        </w:tc>
        <w:tc>
          <w:tcPr>
            <w:tcW w:w="1128" w:type="dxa"/>
            <w:shd w:val="clear" w:color="auto" w:fill="auto"/>
          </w:tcPr>
          <w:p w:rsidR="00F44F92" w:rsidRPr="000D653B" w:rsidRDefault="00F44F92" w:rsidP="00672844">
            <w:pPr>
              <w:spacing w:before="60" w:after="60"/>
              <w:rPr>
                <w:sz w:val="20"/>
                <w:szCs w:val="20"/>
              </w:rPr>
            </w:pPr>
            <w:r w:rsidRPr="000D653B">
              <w:rPr>
                <w:sz w:val="20"/>
                <w:szCs w:val="20"/>
              </w:rPr>
              <w:t>-</w:t>
            </w:r>
          </w:p>
        </w:tc>
        <w:tc>
          <w:tcPr>
            <w:tcW w:w="1195" w:type="dxa"/>
            <w:shd w:val="clear" w:color="auto" w:fill="auto"/>
          </w:tcPr>
          <w:p w:rsidR="00F44F92" w:rsidRPr="000D653B" w:rsidRDefault="00F44F92" w:rsidP="00672844">
            <w:pPr>
              <w:spacing w:before="60" w:after="60"/>
              <w:rPr>
                <w:sz w:val="20"/>
                <w:szCs w:val="20"/>
              </w:rPr>
            </w:pPr>
            <w:r w:rsidRPr="000D653B">
              <w:rPr>
                <w:sz w:val="20"/>
                <w:szCs w:val="20"/>
              </w:rPr>
              <w:t>217</w:t>
            </w:r>
          </w:p>
        </w:tc>
      </w:tr>
      <w:tr w:rsidR="00F44F92" w:rsidRPr="000D653B" w:rsidTr="00672844">
        <w:trPr>
          <w:jc w:val="center"/>
        </w:trPr>
        <w:tc>
          <w:tcPr>
            <w:tcW w:w="2673" w:type="dxa"/>
            <w:shd w:val="clear" w:color="auto" w:fill="E6E6E6"/>
          </w:tcPr>
          <w:p w:rsidR="00F44F92" w:rsidRPr="000D653B" w:rsidRDefault="00F44F92" w:rsidP="00672844">
            <w:pPr>
              <w:spacing w:before="60" w:after="60"/>
              <w:rPr>
                <w:sz w:val="20"/>
                <w:szCs w:val="20"/>
              </w:rPr>
            </w:pPr>
            <w:r w:rsidRPr="000D653B">
              <w:rPr>
                <w:sz w:val="20"/>
                <w:szCs w:val="20"/>
              </w:rPr>
              <w:t>Unattributed losses and noise</w:t>
            </w:r>
          </w:p>
        </w:tc>
        <w:tc>
          <w:tcPr>
            <w:tcW w:w="872" w:type="dxa"/>
            <w:shd w:val="clear" w:color="auto" w:fill="auto"/>
          </w:tcPr>
          <w:p w:rsidR="00F44F92" w:rsidRPr="000D653B" w:rsidRDefault="00F44F92" w:rsidP="00672844">
            <w:pPr>
              <w:spacing w:before="60" w:after="60"/>
              <w:rPr>
                <w:sz w:val="20"/>
                <w:szCs w:val="20"/>
              </w:rPr>
            </w:pPr>
            <w:r w:rsidRPr="000D653B">
              <w:rPr>
                <w:sz w:val="20"/>
                <w:szCs w:val="20"/>
              </w:rPr>
              <w:t>-</w:t>
            </w:r>
          </w:p>
        </w:tc>
        <w:tc>
          <w:tcPr>
            <w:tcW w:w="1128" w:type="dxa"/>
            <w:shd w:val="clear" w:color="auto" w:fill="auto"/>
          </w:tcPr>
          <w:p w:rsidR="00F44F92" w:rsidRPr="000D653B" w:rsidRDefault="00F44F92" w:rsidP="00672844">
            <w:pPr>
              <w:spacing w:before="60" w:after="60"/>
              <w:rPr>
                <w:sz w:val="20"/>
                <w:szCs w:val="20"/>
              </w:rPr>
            </w:pPr>
            <w:r w:rsidRPr="000D653B">
              <w:rPr>
                <w:sz w:val="20"/>
                <w:szCs w:val="20"/>
              </w:rPr>
              <w:t>197</w:t>
            </w:r>
          </w:p>
        </w:tc>
        <w:tc>
          <w:tcPr>
            <w:tcW w:w="1195" w:type="dxa"/>
            <w:tcBorders>
              <w:right w:val="double" w:sz="4" w:space="0" w:color="auto"/>
            </w:tcBorders>
            <w:shd w:val="clear" w:color="auto" w:fill="auto"/>
          </w:tcPr>
          <w:p w:rsidR="00F44F92" w:rsidRPr="000D653B" w:rsidRDefault="00F44F92" w:rsidP="00672844">
            <w:pPr>
              <w:spacing w:before="60" w:after="60"/>
              <w:rPr>
                <w:sz w:val="20"/>
                <w:szCs w:val="20"/>
              </w:rPr>
            </w:pPr>
            <w:r w:rsidRPr="000D653B">
              <w:rPr>
                <w:sz w:val="20"/>
                <w:szCs w:val="20"/>
              </w:rPr>
              <w:t>-197</w:t>
            </w:r>
          </w:p>
        </w:tc>
        <w:tc>
          <w:tcPr>
            <w:tcW w:w="1023" w:type="dxa"/>
            <w:tcBorders>
              <w:left w:val="double" w:sz="4" w:space="0" w:color="auto"/>
            </w:tcBorders>
            <w:shd w:val="clear" w:color="auto" w:fill="auto"/>
          </w:tcPr>
          <w:p w:rsidR="00F44F92" w:rsidRPr="000D653B" w:rsidRDefault="00F44F92" w:rsidP="00672844">
            <w:pPr>
              <w:spacing w:before="60" w:after="60"/>
              <w:rPr>
                <w:sz w:val="20"/>
                <w:szCs w:val="20"/>
              </w:rPr>
            </w:pPr>
            <w:r w:rsidRPr="000D653B">
              <w:rPr>
                <w:sz w:val="20"/>
                <w:szCs w:val="20"/>
              </w:rPr>
              <w:t>-</w:t>
            </w:r>
          </w:p>
        </w:tc>
        <w:tc>
          <w:tcPr>
            <w:tcW w:w="1128" w:type="dxa"/>
            <w:shd w:val="clear" w:color="auto" w:fill="auto"/>
          </w:tcPr>
          <w:p w:rsidR="00F44F92" w:rsidRPr="000D653B" w:rsidRDefault="00F44F92" w:rsidP="00672844">
            <w:pPr>
              <w:spacing w:before="60" w:after="60"/>
              <w:rPr>
                <w:sz w:val="20"/>
                <w:szCs w:val="20"/>
              </w:rPr>
            </w:pPr>
            <w:r w:rsidRPr="000D653B">
              <w:rPr>
                <w:sz w:val="20"/>
                <w:szCs w:val="20"/>
              </w:rPr>
              <w:t>215</w:t>
            </w:r>
          </w:p>
        </w:tc>
        <w:tc>
          <w:tcPr>
            <w:tcW w:w="1195" w:type="dxa"/>
            <w:shd w:val="clear" w:color="auto" w:fill="auto"/>
          </w:tcPr>
          <w:p w:rsidR="00F44F92" w:rsidRPr="000D653B" w:rsidRDefault="00F44F92" w:rsidP="00672844">
            <w:pPr>
              <w:spacing w:before="60" w:after="60"/>
              <w:rPr>
                <w:sz w:val="20"/>
                <w:szCs w:val="20"/>
              </w:rPr>
            </w:pPr>
            <w:r w:rsidRPr="000D653B">
              <w:rPr>
                <w:sz w:val="20"/>
                <w:szCs w:val="20"/>
              </w:rPr>
              <w:t>-215</w:t>
            </w:r>
          </w:p>
        </w:tc>
      </w:tr>
    </w:tbl>
    <w:p w:rsidR="00F44F92" w:rsidRDefault="00F44F92" w:rsidP="00F44F92">
      <w:pPr>
        <w:rPr>
          <w:sz w:val="20"/>
          <w:szCs w:val="20"/>
        </w:rPr>
      </w:pPr>
    </w:p>
    <w:p w:rsidR="00F44F92" w:rsidRDefault="00F44F92" w:rsidP="00F44F92">
      <w:r>
        <w:t>The modelling and accounting provide estimates of the river water balance on an average annual basis, including the scale of potential losses from the river system. For the Bourke to Louth reach, estimates for the total losses from the two methods used are 79 and 292 GL/yr. For the Louth to Wilcannia reach, the estimates for total river losses are 295 and 679 GL/yr. These are the losses assigned as river and floodplain losses, unspecified or unattributed losses and noise. It is important to note that a zero (or null) river leakage to groundwater has been assigned, not because that no leakage is occurring, but because groundwater exchanges were not simulated in the river model nor incorporated in the water accounting due to the lack of data.</w:t>
      </w:r>
    </w:p>
    <w:p w:rsidR="00F44F92" w:rsidRDefault="00F44F92" w:rsidP="00F44F92"/>
    <w:p w:rsidR="00F44F92" w:rsidRDefault="00F44F92" w:rsidP="00F44F92">
      <w:r>
        <w:t xml:space="preserve">These estimates are based on average annual conditions. Investigations at </w:t>
      </w:r>
      <w:r w:rsidR="00C217F0">
        <w:t xml:space="preserve">Menindee </w:t>
      </w:r>
      <w:r>
        <w:t xml:space="preserve">infer that river leakage to the shallow </w:t>
      </w:r>
      <w:r w:rsidRPr="00935679">
        <w:t>groundwater system is most apparent during high-flow events, rather than during low-flow or average river conditions</w:t>
      </w:r>
      <w:r w:rsidR="00187C17" w:rsidRPr="00935679">
        <w:t xml:space="preserve"> (</w:t>
      </w:r>
      <w:r w:rsidR="00187C17" w:rsidRPr="00935679">
        <w:rPr>
          <w:szCs w:val="22"/>
        </w:rPr>
        <w:t>Lawrie</w:t>
      </w:r>
      <w:r w:rsidR="008A5F7D" w:rsidRPr="00CF7613">
        <w:rPr>
          <w:rStyle w:val="StyleItalic"/>
        </w:rPr>
        <w:t xml:space="preserve"> et al</w:t>
      </w:r>
      <w:r w:rsidR="00187C17" w:rsidRPr="00935679">
        <w:rPr>
          <w:szCs w:val="22"/>
        </w:rPr>
        <w:t>., 2012b</w:t>
      </w:r>
      <w:r w:rsidR="00187C17" w:rsidRPr="00935679">
        <w:t>)</w:t>
      </w:r>
      <w:r w:rsidRPr="00935679">
        <w:t xml:space="preserve">. This recognises that there is huge variability in the </w:t>
      </w:r>
      <w:smartTag w:uri="urn:schemas-microsoft-com:office:smarttags" w:element="place">
        <w:r w:rsidRPr="00935679">
          <w:t>Darling River</w:t>
        </w:r>
      </w:smartTag>
      <w:r w:rsidRPr="00935679">
        <w:t xml:space="preserve"> flow regime. For example, the minimum annual discharges</w:t>
      </w:r>
      <w:r>
        <w:t xml:space="preserve"> of the three major tributaries of the Darling (Namoi, Culgoa and Border Rivers) are all significantly below 10</w:t>
      </w:r>
      <w:r w:rsidR="00187C17">
        <w:t xml:space="preserve"> </w:t>
      </w:r>
      <w:r>
        <w:t>% of their average annual flows, whilst their maximum annual flows are 400-800</w:t>
      </w:r>
      <w:r w:rsidR="00187C17">
        <w:t xml:space="preserve"> </w:t>
      </w:r>
      <w:r>
        <w:t>% of average annual flows (MDBC, 2007).</w:t>
      </w:r>
      <w:r w:rsidR="00465915">
        <w:t xml:space="preserve"> </w:t>
      </w:r>
      <w:r>
        <w:t xml:space="preserve">The relatively large but episodic flooding events drive groundwater recharge by river leakage. Hence, an average river budget may not be truly indicative of potential river transfers to the shallow groundwater resource. </w:t>
      </w:r>
    </w:p>
    <w:p w:rsidR="00F44F92" w:rsidRDefault="00F44F92" w:rsidP="00F44F92"/>
    <w:p w:rsidR="00F44F92" w:rsidRDefault="00F44F92" w:rsidP="00F44F92">
      <w:r>
        <w:t xml:space="preserve">To this end, a comparison was made of the annual inflows and outflows for specific wet years, for the two </w:t>
      </w:r>
      <w:smartTag w:uri="urn:schemas-microsoft-com:office:smarttags" w:element="place">
        <w:r>
          <w:t>Darling River</w:t>
        </w:r>
      </w:smartTag>
      <w:r>
        <w:t xml:space="preserve"> reaches being </w:t>
      </w:r>
      <w:r w:rsidRPr="00795774">
        <w:t>considered (</w:t>
      </w:r>
      <w:r w:rsidR="005B1337" w:rsidRPr="00795774">
        <w:rPr>
          <w:highlight w:val="yellow"/>
        </w:rPr>
        <w:fldChar w:fldCharType="begin"/>
      </w:r>
      <w:r w:rsidR="005B1337" w:rsidRPr="00795774">
        <w:instrText xml:space="preserve"> REF _Ref325913949 \h </w:instrText>
      </w:r>
      <w:r w:rsidR="00795774" w:rsidRPr="00795774">
        <w:rPr>
          <w:highlight w:val="yellow"/>
        </w:rPr>
        <w:instrText xml:space="preserve"> \* MERGEFORMAT </w:instrText>
      </w:r>
      <w:r w:rsidR="005B1337" w:rsidRPr="00795774">
        <w:rPr>
          <w:highlight w:val="yellow"/>
        </w:rPr>
      </w:r>
      <w:r w:rsidR="005B1337" w:rsidRPr="00795774">
        <w:rPr>
          <w:highlight w:val="yellow"/>
        </w:rPr>
        <w:fldChar w:fldCharType="separate"/>
      </w:r>
      <w:r w:rsidR="00966532" w:rsidRPr="00966532">
        <w:t xml:space="preserve">Table </w:t>
      </w:r>
      <w:r w:rsidR="00966532" w:rsidRPr="00966532">
        <w:rPr>
          <w:noProof/>
        </w:rPr>
        <w:t>11</w:t>
      </w:r>
      <w:r w:rsidR="00966532" w:rsidRPr="00966532">
        <w:rPr>
          <w:noProof/>
        </w:rPr>
        <w:noBreakHyphen/>
        <w:t>4</w:t>
      </w:r>
      <w:r w:rsidR="005B1337" w:rsidRPr="00795774">
        <w:rPr>
          <w:highlight w:val="yellow"/>
        </w:rPr>
        <w:fldChar w:fldCharType="end"/>
      </w:r>
      <w:r w:rsidRPr="00795774">
        <w:t xml:space="preserve">). This shows the flow change over these reaches during relatively high-flow conditions as compared to average conditions. Attributing these differences is difficult as potential tributary flow gains need to be incorporated as well as distributary flow losses. For example, the Bourke to Louth reach includes potential input from flooding of the </w:t>
      </w:r>
      <w:smartTag w:uri="urn:schemas-microsoft-com:office:smarttags" w:element="place">
        <w:smartTag w:uri="urn:schemas-microsoft-com:office:smarttags" w:element="PlaceName">
          <w:r w:rsidRPr="00795774">
            <w:t>Warrego</w:t>
          </w:r>
        </w:smartTag>
        <w:r w:rsidRPr="00795774">
          <w:t xml:space="preserve"> </w:t>
        </w:r>
        <w:smartTag w:uri="urn:schemas-microsoft-com:office:smarttags" w:element="PlaceType">
          <w:r w:rsidRPr="00795774">
            <w:t>River</w:t>
          </w:r>
        </w:smartTag>
      </w:smartTag>
      <w:r w:rsidRPr="00795774">
        <w:t xml:space="preserve">. This is the most likely explanation for an overall gain in flow over the reach in the years 1978, 2000 and 2011. For the Louth to Wilcannia reach, outflow to the Talyawalka system during high flow needs to be considered. This also is highly variable – in 2011 this was measured as 1088 GL/yr but only 11 GL/yr in 2010. More detailed water accounting is required to better define the water balance during these wet years, but </w:t>
      </w:r>
      <w:r w:rsidR="005B1337" w:rsidRPr="00795774">
        <w:rPr>
          <w:highlight w:val="yellow"/>
        </w:rPr>
        <w:fldChar w:fldCharType="begin"/>
      </w:r>
      <w:r w:rsidR="005B1337" w:rsidRPr="00795774">
        <w:instrText xml:space="preserve"> REF _Ref325913949 \h </w:instrText>
      </w:r>
      <w:r w:rsidR="00795774" w:rsidRPr="00795774">
        <w:rPr>
          <w:highlight w:val="yellow"/>
        </w:rPr>
        <w:instrText xml:space="preserve"> \* MERGEFORMAT </w:instrText>
      </w:r>
      <w:r w:rsidR="005B1337" w:rsidRPr="00795774">
        <w:rPr>
          <w:highlight w:val="yellow"/>
        </w:rPr>
      </w:r>
      <w:r w:rsidR="005B1337" w:rsidRPr="00795774">
        <w:rPr>
          <w:highlight w:val="yellow"/>
        </w:rPr>
        <w:fldChar w:fldCharType="separate"/>
      </w:r>
      <w:r w:rsidR="00966532" w:rsidRPr="00966532">
        <w:t xml:space="preserve">Table </w:t>
      </w:r>
      <w:r w:rsidR="00966532" w:rsidRPr="00966532">
        <w:rPr>
          <w:noProof/>
        </w:rPr>
        <w:t>11</w:t>
      </w:r>
      <w:r w:rsidR="00966532" w:rsidRPr="00966532">
        <w:rPr>
          <w:noProof/>
        </w:rPr>
        <w:noBreakHyphen/>
        <w:t>4</w:t>
      </w:r>
      <w:r w:rsidR="005B1337" w:rsidRPr="00795774">
        <w:rPr>
          <w:highlight w:val="yellow"/>
        </w:rPr>
        <w:fldChar w:fldCharType="end"/>
      </w:r>
      <w:r w:rsidRPr="00795774">
        <w:t xml:space="preserve"> indicates</w:t>
      </w:r>
      <w:r>
        <w:t xml:space="preserve"> the potential magnitude of overall losses over these river reaches.</w:t>
      </w:r>
    </w:p>
    <w:p w:rsidR="00F44F92" w:rsidRDefault="00F44F92" w:rsidP="00F44F92"/>
    <w:p w:rsidR="00DD5B97" w:rsidRPr="004D407E" w:rsidRDefault="00CD2825" w:rsidP="00700573">
      <w:pPr>
        <w:pStyle w:val="Caption"/>
        <w:keepNext/>
        <w:rPr>
          <w:i w:val="0"/>
          <w:szCs w:val="20"/>
        </w:rPr>
      </w:pPr>
      <w:bookmarkStart w:id="769" w:name="_Ref325913949"/>
      <w:r w:rsidRPr="00CD2825">
        <w:rPr>
          <w:b/>
        </w:rPr>
        <w:lastRenderedPageBreak/>
        <w:t xml:space="preserve">Table </w:t>
      </w:r>
      <w:r w:rsidR="00B96C96">
        <w:rPr>
          <w:b/>
        </w:rPr>
        <w:fldChar w:fldCharType="begin"/>
      </w:r>
      <w:r w:rsidR="00B96C96">
        <w:rPr>
          <w:b/>
        </w:rPr>
        <w:instrText xml:space="preserve"> STYLEREF 1 \s </w:instrText>
      </w:r>
      <w:r w:rsidR="00B96C96">
        <w:rPr>
          <w:b/>
        </w:rPr>
        <w:fldChar w:fldCharType="separate"/>
      </w:r>
      <w:r w:rsidR="00966532">
        <w:rPr>
          <w:b/>
          <w:noProof/>
        </w:rPr>
        <w:t>11</w:t>
      </w:r>
      <w:r w:rsidR="00B96C96">
        <w:rPr>
          <w:b/>
        </w:rPr>
        <w:fldChar w:fldCharType="end"/>
      </w:r>
      <w:r w:rsidR="00B96C96">
        <w:rPr>
          <w:b/>
        </w:rPr>
        <w:noBreakHyphen/>
      </w:r>
      <w:r w:rsidR="00B96C96">
        <w:rPr>
          <w:b/>
        </w:rPr>
        <w:fldChar w:fldCharType="begin"/>
      </w:r>
      <w:r w:rsidR="00B96C96">
        <w:rPr>
          <w:b/>
        </w:rPr>
        <w:instrText xml:space="preserve"> SEQ Table \* ARABIC \s 1 </w:instrText>
      </w:r>
      <w:r w:rsidR="00B96C96">
        <w:rPr>
          <w:b/>
        </w:rPr>
        <w:fldChar w:fldCharType="separate"/>
      </w:r>
      <w:r w:rsidR="00966532">
        <w:rPr>
          <w:b/>
          <w:noProof/>
        </w:rPr>
        <w:t>4</w:t>
      </w:r>
      <w:r w:rsidR="00B96C96">
        <w:rPr>
          <w:b/>
        </w:rPr>
        <w:fldChar w:fldCharType="end"/>
      </w:r>
      <w:bookmarkEnd w:id="769"/>
      <w:r w:rsidRPr="00CD2825">
        <w:rPr>
          <w:b/>
        </w:rPr>
        <w:t>.</w:t>
      </w:r>
      <w:r>
        <w:t xml:space="preserve"> </w:t>
      </w:r>
      <w:r w:rsidR="00B0020D" w:rsidRPr="00B0020D">
        <w:t xml:space="preserve">Comparison of </w:t>
      </w:r>
      <w:smartTag w:uri="urn:schemas-microsoft-com:office:smarttags" w:element="place">
        <w:r w:rsidR="00B0020D" w:rsidRPr="00B0020D">
          <w:t>Darling River</w:t>
        </w:r>
      </w:smartTag>
      <w:r w:rsidR="00B0020D" w:rsidRPr="00B0020D">
        <w:t xml:space="preserve"> main stem inflows and outflows for specific wet years</w:t>
      </w:r>
      <w:r w:rsidR="00DD5B97" w:rsidRPr="00B0020D">
        <w:rPr>
          <w:szCs w:val="20"/>
        </w:rPr>
        <w:t>.</w:t>
      </w:r>
      <w:r w:rsidR="00DD5B97" w:rsidRPr="00395AD1">
        <w:t xml:space="preserve"> </w:t>
      </w:r>
      <w:r w:rsidR="00DD5B97" w:rsidRPr="007960BF">
        <w:rPr>
          <w:i w:val="0"/>
        </w:rPr>
        <w:fldChar w:fldCharType="begin"/>
      </w:r>
      <w:r w:rsidR="00DD5B97" w:rsidRPr="007960BF">
        <w:rPr>
          <w:i w:val="0"/>
        </w:rPr>
        <w:instrText xml:space="preserve"> TC "</w:instrText>
      </w:r>
      <w:bookmarkStart w:id="770" w:name="_Toc325975323"/>
      <w:bookmarkStart w:id="771" w:name="_Toc390690314"/>
      <w:r w:rsidR="00DD5B97" w:rsidRPr="007960BF">
        <w:rPr>
          <w:i w:val="0"/>
        </w:rPr>
        <w:instrText xml:space="preserve">Table </w:instrText>
      </w:r>
      <w:r w:rsidR="000D653B">
        <w:rPr>
          <w:i w:val="0"/>
        </w:rPr>
        <w:instrText>11-4.</w:instrText>
      </w:r>
      <w:r w:rsidR="00DD5B97" w:rsidRPr="007960BF">
        <w:rPr>
          <w:i w:val="0"/>
        </w:rPr>
        <w:instrText xml:space="preserve"> </w:instrText>
      </w:r>
      <w:r w:rsidR="00B0020D" w:rsidRPr="007960BF">
        <w:rPr>
          <w:i w:val="0"/>
        </w:rPr>
        <w:instrText xml:space="preserve">Comparison of </w:instrText>
      </w:r>
      <w:smartTag w:uri="urn:schemas-microsoft-com:office:smarttags" w:element="place">
        <w:r w:rsidR="00B0020D" w:rsidRPr="007960BF">
          <w:rPr>
            <w:i w:val="0"/>
          </w:rPr>
          <w:instrText>Darling River</w:instrText>
        </w:r>
      </w:smartTag>
      <w:r w:rsidR="00B0020D" w:rsidRPr="007960BF">
        <w:rPr>
          <w:i w:val="0"/>
        </w:rPr>
        <w:instrText xml:space="preserve"> main stem inflows and outflows for specific wet years</w:instrText>
      </w:r>
      <w:bookmarkEnd w:id="770"/>
      <w:r w:rsidR="003721DD">
        <w:rPr>
          <w:i w:val="0"/>
        </w:rPr>
        <w:instrText>.</w:instrText>
      </w:r>
      <w:bookmarkEnd w:id="771"/>
      <w:r w:rsidR="00DD5B97" w:rsidRPr="007960BF">
        <w:rPr>
          <w:i w:val="0"/>
        </w:rPr>
        <w:instrText xml:space="preserve">" \f B \l "4" </w:instrText>
      </w:r>
      <w:r w:rsidR="00DD5B97" w:rsidRPr="007960BF">
        <w:rPr>
          <w:i w:val="0"/>
        </w:rPr>
        <w:fldChar w:fldCharType="end"/>
      </w:r>
      <w:r w:rsidR="00DD5B97">
        <w:t xml:space="preserve"> </w:t>
      </w:r>
    </w:p>
    <w:tbl>
      <w:tblPr>
        <w:tblW w:w="8494" w:type="dxa"/>
        <w:jc w:val="center"/>
        <w:tblInd w:w="-272" w:type="dxa"/>
        <w:tblLayout w:type="fixed"/>
        <w:tblCellMar>
          <w:left w:w="0" w:type="dxa"/>
          <w:right w:w="0" w:type="dxa"/>
        </w:tblCellMar>
        <w:tblLook w:val="0000" w:firstRow="0" w:lastRow="0" w:firstColumn="0" w:lastColumn="0" w:noHBand="0" w:noVBand="0"/>
      </w:tblPr>
      <w:tblGrid>
        <w:gridCol w:w="1151"/>
        <w:gridCol w:w="1337"/>
        <w:gridCol w:w="1080"/>
        <w:gridCol w:w="1146"/>
        <w:gridCol w:w="1194"/>
        <w:gridCol w:w="1260"/>
        <w:gridCol w:w="1326"/>
      </w:tblGrid>
      <w:tr w:rsidR="00F44F92" w:rsidRPr="000D653B" w:rsidTr="00B82CED">
        <w:trPr>
          <w:trHeight w:val="270"/>
          <w:jc w:val="center"/>
        </w:trPr>
        <w:tc>
          <w:tcPr>
            <w:tcW w:w="1151" w:type="dxa"/>
            <w:shd w:val="clear" w:color="auto" w:fill="auto"/>
            <w:noWrap/>
            <w:tcMar>
              <w:top w:w="0" w:type="dxa"/>
              <w:left w:w="108" w:type="dxa"/>
              <w:bottom w:w="0" w:type="dxa"/>
              <w:right w:w="108" w:type="dxa"/>
            </w:tcMar>
            <w:vAlign w:val="bottom"/>
          </w:tcPr>
          <w:p w:rsidR="00F44F92" w:rsidRPr="000D653B" w:rsidRDefault="00F44F92" w:rsidP="00700573">
            <w:pPr>
              <w:keepNext/>
              <w:spacing w:before="60" w:after="60"/>
              <w:rPr>
                <w:sz w:val="20"/>
                <w:szCs w:val="20"/>
              </w:rPr>
            </w:pPr>
          </w:p>
        </w:tc>
        <w:tc>
          <w:tcPr>
            <w:tcW w:w="3563" w:type="dxa"/>
            <w:gridSpan w:val="3"/>
            <w:tcBorders>
              <w:top w:val="single" w:sz="8" w:space="0" w:color="auto"/>
              <w:left w:val="single" w:sz="8" w:space="0" w:color="auto"/>
              <w:bottom w:val="single" w:sz="8" w:space="0" w:color="auto"/>
              <w:right w:val="double" w:sz="4" w:space="0" w:color="auto"/>
            </w:tcBorders>
            <w:shd w:val="clear" w:color="auto" w:fill="C0C0C0"/>
            <w:noWrap/>
            <w:tcMar>
              <w:top w:w="0" w:type="dxa"/>
              <w:left w:w="108" w:type="dxa"/>
              <w:bottom w:w="0" w:type="dxa"/>
              <w:right w:w="108" w:type="dxa"/>
            </w:tcMar>
            <w:vAlign w:val="bottom"/>
          </w:tcPr>
          <w:p w:rsidR="00F44F92" w:rsidRPr="000D653B" w:rsidRDefault="00F44F92" w:rsidP="00700573">
            <w:pPr>
              <w:keepNext/>
              <w:spacing w:before="60" w:after="60"/>
              <w:jc w:val="center"/>
              <w:rPr>
                <w:b/>
                <w:sz w:val="20"/>
                <w:szCs w:val="20"/>
              </w:rPr>
            </w:pPr>
            <w:r w:rsidRPr="000D653B">
              <w:rPr>
                <w:b/>
                <w:sz w:val="20"/>
                <w:szCs w:val="20"/>
              </w:rPr>
              <w:t>Bourke to Louth</w:t>
            </w:r>
          </w:p>
        </w:tc>
        <w:tc>
          <w:tcPr>
            <w:tcW w:w="3780" w:type="dxa"/>
            <w:gridSpan w:val="3"/>
            <w:tcBorders>
              <w:top w:val="single" w:sz="8" w:space="0" w:color="auto"/>
              <w:left w:val="double" w:sz="4" w:space="0" w:color="auto"/>
              <w:bottom w:val="single" w:sz="8" w:space="0" w:color="auto"/>
              <w:right w:val="single" w:sz="8" w:space="0" w:color="000000"/>
            </w:tcBorders>
            <w:shd w:val="clear" w:color="auto" w:fill="C0C0C0"/>
            <w:noWrap/>
            <w:tcMar>
              <w:top w:w="0" w:type="dxa"/>
              <w:left w:w="108" w:type="dxa"/>
              <w:bottom w:w="0" w:type="dxa"/>
              <w:right w:w="108" w:type="dxa"/>
            </w:tcMar>
            <w:vAlign w:val="bottom"/>
          </w:tcPr>
          <w:p w:rsidR="00F44F92" w:rsidRPr="000D653B" w:rsidRDefault="00F44F92" w:rsidP="00700573">
            <w:pPr>
              <w:keepNext/>
              <w:spacing w:before="60" w:after="60"/>
              <w:jc w:val="center"/>
              <w:rPr>
                <w:b/>
                <w:sz w:val="20"/>
                <w:szCs w:val="20"/>
              </w:rPr>
            </w:pPr>
            <w:r w:rsidRPr="000D653B">
              <w:rPr>
                <w:b/>
                <w:sz w:val="20"/>
                <w:szCs w:val="20"/>
              </w:rPr>
              <w:t>Louth to Wilcannia</w:t>
            </w:r>
          </w:p>
        </w:tc>
      </w:tr>
      <w:tr w:rsidR="00B82CED" w:rsidRPr="000D653B" w:rsidTr="00B82CED">
        <w:trPr>
          <w:trHeight w:val="765"/>
          <w:jc w:val="center"/>
        </w:trPr>
        <w:tc>
          <w:tcPr>
            <w:tcW w:w="1151" w:type="dxa"/>
            <w:tcBorders>
              <w:top w:val="single" w:sz="8" w:space="0" w:color="auto"/>
              <w:left w:val="single" w:sz="8" w:space="0" w:color="auto"/>
              <w:bottom w:val="single" w:sz="8" w:space="0" w:color="auto"/>
              <w:right w:val="nil"/>
            </w:tcBorders>
            <w:shd w:val="clear" w:color="auto" w:fill="E6E6E6"/>
            <w:tcMar>
              <w:top w:w="0" w:type="dxa"/>
              <w:left w:w="108" w:type="dxa"/>
              <w:bottom w:w="0" w:type="dxa"/>
              <w:right w:w="108" w:type="dxa"/>
            </w:tcMar>
            <w:vAlign w:val="bottom"/>
          </w:tcPr>
          <w:p w:rsidR="00F44F92" w:rsidRPr="000D653B" w:rsidRDefault="00F44F92" w:rsidP="00700573">
            <w:pPr>
              <w:keepNext/>
              <w:spacing w:before="60" w:after="60"/>
              <w:jc w:val="center"/>
              <w:rPr>
                <w:sz w:val="20"/>
                <w:szCs w:val="20"/>
              </w:rPr>
            </w:pPr>
            <w:r w:rsidRPr="000D653B">
              <w:rPr>
                <w:sz w:val="20"/>
                <w:szCs w:val="20"/>
              </w:rPr>
              <w:t>Year</w:t>
            </w:r>
          </w:p>
        </w:tc>
        <w:tc>
          <w:tcPr>
            <w:tcW w:w="1337"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bottom"/>
          </w:tcPr>
          <w:p w:rsidR="00F44F92" w:rsidRPr="000D653B" w:rsidRDefault="00F44F92" w:rsidP="00700573">
            <w:pPr>
              <w:keepNext/>
              <w:spacing w:before="60" w:after="60"/>
              <w:jc w:val="center"/>
              <w:rPr>
                <w:sz w:val="20"/>
                <w:szCs w:val="20"/>
              </w:rPr>
            </w:pPr>
            <w:r w:rsidRPr="000D653B">
              <w:rPr>
                <w:sz w:val="20"/>
                <w:szCs w:val="20"/>
              </w:rPr>
              <w:t>Main Stem Inflows</w:t>
            </w:r>
            <w:r w:rsidRPr="000D653B">
              <w:rPr>
                <w:sz w:val="20"/>
                <w:szCs w:val="20"/>
                <w:vertAlign w:val="superscript"/>
              </w:rPr>
              <w:t>#</w:t>
            </w:r>
            <w:r w:rsidRPr="000D653B">
              <w:rPr>
                <w:sz w:val="20"/>
                <w:szCs w:val="20"/>
              </w:rPr>
              <w:t xml:space="preserve"> (GL/yr)</w:t>
            </w:r>
          </w:p>
        </w:tc>
        <w:tc>
          <w:tcPr>
            <w:tcW w:w="1080" w:type="dxa"/>
            <w:tcBorders>
              <w:top w:val="nil"/>
              <w:left w:val="nil"/>
              <w:bottom w:val="single" w:sz="8" w:space="0" w:color="auto"/>
              <w:right w:val="single" w:sz="8" w:space="0" w:color="auto"/>
            </w:tcBorders>
            <w:shd w:val="clear" w:color="auto" w:fill="E6E6E6"/>
            <w:tcMar>
              <w:top w:w="0" w:type="dxa"/>
              <w:left w:w="108" w:type="dxa"/>
              <w:bottom w:w="0" w:type="dxa"/>
              <w:right w:w="108" w:type="dxa"/>
            </w:tcMar>
            <w:vAlign w:val="bottom"/>
          </w:tcPr>
          <w:p w:rsidR="00F44F92" w:rsidRPr="000D653B" w:rsidRDefault="00F44F92" w:rsidP="00700573">
            <w:pPr>
              <w:keepNext/>
              <w:spacing w:before="60" w:after="60"/>
              <w:jc w:val="center"/>
              <w:rPr>
                <w:sz w:val="20"/>
                <w:szCs w:val="20"/>
              </w:rPr>
            </w:pPr>
            <w:r w:rsidRPr="000D653B">
              <w:rPr>
                <w:sz w:val="20"/>
                <w:szCs w:val="20"/>
              </w:rPr>
              <w:t>Main Stem Outflows (GL/yr)</w:t>
            </w:r>
          </w:p>
        </w:tc>
        <w:tc>
          <w:tcPr>
            <w:tcW w:w="1146" w:type="dxa"/>
            <w:tcBorders>
              <w:top w:val="nil"/>
              <w:left w:val="nil"/>
              <w:bottom w:val="single" w:sz="8" w:space="0" w:color="auto"/>
              <w:right w:val="double" w:sz="4" w:space="0" w:color="auto"/>
            </w:tcBorders>
            <w:shd w:val="clear" w:color="auto" w:fill="E6E6E6"/>
            <w:tcMar>
              <w:top w:w="0" w:type="dxa"/>
              <w:left w:w="108" w:type="dxa"/>
              <w:bottom w:w="0" w:type="dxa"/>
              <w:right w:w="108" w:type="dxa"/>
            </w:tcMar>
            <w:vAlign w:val="bottom"/>
          </w:tcPr>
          <w:p w:rsidR="00F44F92" w:rsidRPr="000D653B" w:rsidRDefault="00F44F92" w:rsidP="00700573">
            <w:pPr>
              <w:keepNext/>
              <w:spacing w:before="60" w:after="60"/>
              <w:jc w:val="center"/>
              <w:rPr>
                <w:sz w:val="20"/>
                <w:szCs w:val="20"/>
              </w:rPr>
            </w:pPr>
            <w:r w:rsidRPr="000D653B">
              <w:rPr>
                <w:sz w:val="20"/>
                <w:szCs w:val="20"/>
              </w:rPr>
              <w:t>Difference</w:t>
            </w:r>
            <w:r w:rsidR="00465915">
              <w:rPr>
                <w:sz w:val="20"/>
                <w:szCs w:val="20"/>
              </w:rPr>
              <w:t xml:space="preserve"> </w:t>
            </w:r>
            <w:r w:rsidRPr="000D653B">
              <w:rPr>
                <w:sz w:val="20"/>
                <w:szCs w:val="20"/>
              </w:rPr>
              <w:t>(GL/yr)</w:t>
            </w:r>
          </w:p>
        </w:tc>
        <w:tc>
          <w:tcPr>
            <w:tcW w:w="1194" w:type="dxa"/>
            <w:tcBorders>
              <w:top w:val="nil"/>
              <w:left w:val="double" w:sz="4" w:space="0" w:color="auto"/>
              <w:bottom w:val="single" w:sz="8" w:space="0" w:color="auto"/>
              <w:right w:val="single" w:sz="8" w:space="0" w:color="auto"/>
            </w:tcBorders>
            <w:shd w:val="clear" w:color="auto" w:fill="E6E6E6"/>
            <w:tcMar>
              <w:top w:w="0" w:type="dxa"/>
              <w:left w:w="108" w:type="dxa"/>
              <w:bottom w:w="0" w:type="dxa"/>
              <w:right w:w="108" w:type="dxa"/>
            </w:tcMar>
            <w:vAlign w:val="bottom"/>
          </w:tcPr>
          <w:p w:rsidR="00F44F92" w:rsidRPr="000D653B" w:rsidRDefault="00F44F92" w:rsidP="00700573">
            <w:pPr>
              <w:keepNext/>
              <w:spacing w:before="60" w:after="60"/>
              <w:jc w:val="center"/>
              <w:rPr>
                <w:sz w:val="20"/>
                <w:szCs w:val="20"/>
              </w:rPr>
            </w:pPr>
            <w:r w:rsidRPr="000D653B">
              <w:rPr>
                <w:sz w:val="20"/>
                <w:szCs w:val="20"/>
              </w:rPr>
              <w:t>Main Stem Inflows</w:t>
            </w:r>
            <w:r w:rsidR="00465915">
              <w:rPr>
                <w:sz w:val="20"/>
                <w:szCs w:val="20"/>
              </w:rPr>
              <w:t xml:space="preserve"> </w:t>
            </w:r>
            <w:r w:rsidRPr="000D653B">
              <w:rPr>
                <w:sz w:val="20"/>
                <w:szCs w:val="20"/>
              </w:rPr>
              <w:t>(GL/yr)</w:t>
            </w:r>
          </w:p>
        </w:tc>
        <w:tc>
          <w:tcPr>
            <w:tcW w:w="1260" w:type="dxa"/>
            <w:tcBorders>
              <w:top w:val="nil"/>
              <w:left w:val="nil"/>
              <w:bottom w:val="single" w:sz="8" w:space="0" w:color="auto"/>
              <w:right w:val="single" w:sz="8" w:space="0" w:color="auto"/>
            </w:tcBorders>
            <w:shd w:val="clear" w:color="auto" w:fill="E6E6E6"/>
            <w:tcMar>
              <w:top w:w="0" w:type="dxa"/>
              <w:left w:w="108" w:type="dxa"/>
              <w:bottom w:w="0" w:type="dxa"/>
              <w:right w:w="108" w:type="dxa"/>
            </w:tcMar>
            <w:vAlign w:val="bottom"/>
          </w:tcPr>
          <w:p w:rsidR="00F44F92" w:rsidRPr="000D653B" w:rsidRDefault="00F44F92" w:rsidP="00700573">
            <w:pPr>
              <w:keepNext/>
              <w:spacing w:before="60" w:after="60"/>
              <w:jc w:val="center"/>
              <w:rPr>
                <w:sz w:val="20"/>
                <w:szCs w:val="20"/>
              </w:rPr>
            </w:pPr>
            <w:r w:rsidRPr="000D653B">
              <w:rPr>
                <w:sz w:val="20"/>
                <w:szCs w:val="20"/>
              </w:rPr>
              <w:t>Main Stem Outflows (GL/yr)</w:t>
            </w:r>
          </w:p>
        </w:tc>
        <w:tc>
          <w:tcPr>
            <w:tcW w:w="1326" w:type="dxa"/>
            <w:tcBorders>
              <w:top w:val="nil"/>
              <w:left w:val="nil"/>
              <w:bottom w:val="single" w:sz="8" w:space="0" w:color="auto"/>
              <w:right w:val="single" w:sz="8" w:space="0" w:color="auto"/>
            </w:tcBorders>
            <w:shd w:val="clear" w:color="auto" w:fill="E6E6E6"/>
            <w:tcMar>
              <w:top w:w="0" w:type="dxa"/>
              <w:left w:w="108" w:type="dxa"/>
              <w:bottom w:w="0" w:type="dxa"/>
              <w:right w:w="108" w:type="dxa"/>
            </w:tcMar>
            <w:vAlign w:val="bottom"/>
          </w:tcPr>
          <w:p w:rsidR="00F44F92" w:rsidRPr="000D653B" w:rsidRDefault="00F44F92" w:rsidP="00700573">
            <w:pPr>
              <w:keepNext/>
              <w:spacing w:before="60" w:after="60"/>
              <w:jc w:val="center"/>
              <w:rPr>
                <w:sz w:val="20"/>
                <w:szCs w:val="20"/>
              </w:rPr>
            </w:pPr>
            <w:r w:rsidRPr="000D653B">
              <w:rPr>
                <w:sz w:val="20"/>
                <w:szCs w:val="20"/>
              </w:rPr>
              <w:t>Difference (GL/yr)</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700573">
            <w:pPr>
              <w:keepNext/>
              <w:spacing w:before="60" w:after="60"/>
              <w:rPr>
                <w:sz w:val="20"/>
                <w:szCs w:val="20"/>
              </w:rPr>
            </w:pPr>
            <w:r w:rsidRPr="000D653B">
              <w:rPr>
                <w:sz w:val="20"/>
                <w:szCs w:val="20"/>
              </w:rPr>
              <w:t>CSIRO Average Annual</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700573">
            <w:pPr>
              <w:keepNext/>
              <w:spacing w:before="60" w:after="60"/>
              <w:jc w:val="right"/>
              <w:rPr>
                <w:sz w:val="20"/>
                <w:szCs w:val="20"/>
              </w:rPr>
            </w:pPr>
            <w:r w:rsidRPr="000D653B">
              <w:rPr>
                <w:sz w:val="20"/>
                <w:szCs w:val="20"/>
              </w:rPr>
              <w:t>1978</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700573">
            <w:pPr>
              <w:keepNext/>
              <w:spacing w:before="60" w:after="60"/>
              <w:jc w:val="right"/>
              <w:rPr>
                <w:sz w:val="20"/>
                <w:szCs w:val="20"/>
              </w:rPr>
            </w:pPr>
            <w:r w:rsidRPr="000D653B">
              <w:rPr>
                <w:sz w:val="20"/>
                <w:szCs w:val="20"/>
              </w:rPr>
              <w:t>1855</w:t>
            </w:r>
          </w:p>
        </w:tc>
        <w:tc>
          <w:tcPr>
            <w:tcW w:w="1146" w:type="dxa"/>
            <w:tcBorders>
              <w:top w:val="nil"/>
              <w:left w:val="nil"/>
              <w:bottom w:val="single" w:sz="8" w:space="0" w:color="auto"/>
              <w:right w:val="double" w:sz="4" w:space="0" w:color="auto"/>
            </w:tcBorders>
            <w:noWrap/>
            <w:tcMar>
              <w:top w:w="0" w:type="dxa"/>
              <w:left w:w="108" w:type="dxa"/>
              <w:bottom w:w="0" w:type="dxa"/>
              <w:right w:w="108" w:type="dxa"/>
            </w:tcMar>
            <w:vAlign w:val="bottom"/>
          </w:tcPr>
          <w:p w:rsidR="00F44F92" w:rsidRPr="000D653B" w:rsidRDefault="00F44F92" w:rsidP="00700573">
            <w:pPr>
              <w:keepNext/>
              <w:spacing w:before="60" w:after="60"/>
              <w:jc w:val="right"/>
              <w:rPr>
                <w:sz w:val="20"/>
                <w:szCs w:val="20"/>
              </w:rPr>
            </w:pPr>
            <w:r w:rsidRPr="000D653B">
              <w:rPr>
                <w:sz w:val="20"/>
                <w:szCs w:val="20"/>
              </w:rPr>
              <w:t>-123</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700573">
            <w:pPr>
              <w:keepNext/>
              <w:spacing w:before="60" w:after="60"/>
              <w:jc w:val="right"/>
              <w:rPr>
                <w:sz w:val="20"/>
                <w:szCs w:val="20"/>
              </w:rPr>
            </w:pPr>
            <w:r w:rsidRPr="000D653B">
              <w:rPr>
                <w:sz w:val="20"/>
                <w:szCs w:val="20"/>
              </w:rPr>
              <w:t>1855</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700573">
            <w:pPr>
              <w:keepNext/>
              <w:spacing w:before="60" w:after="60"/>
              <w:jc w:val="right"/>
              <w:rPr>
                <w:sz w:val="20"/>
                <w:szCs w:val="20"/>
              </w:rPr>
            </w:pPr>
            <w:r w:rsidRPr="000D653B">
              <w:rPr>
                <w:sz w:val="20"/>
                <w:szCs w:val="20"/>
              </w:rPr>
              <w:t>1558</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700573">
            <w:pPr>
              <w:keepNext/>
              <w:spacing w:before="60" w:after="60"/>
              <w:jc w:val="right"/>
              <w:rPr>
                <w:sz w:val="20"/>
                <w:szCs w:val="20"/>
              </w:rPr>
            </w:pPr>
            <w:r w:rsidRPr="000D653B">
              <w:rPr>
                <w:sz w:val="20"/>
                <w:szCs w:val="20"/>
              </w:rPr>
              <w:t>-297</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2000</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1553</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1973</w:t>
            </w:r>
          </w:p>
        </w:tc>
        <w:tc>
          <w:tcPr>
            <w:tcW w:w="1146" w:type="dxa"/>
            <w:tcBorders>
              <w:top w:val="single" w:sz="8" w:space="0" w:color="auto"/>
              <w:left w:val="nil"/>
              <w:bottom w:val="single" w:sz="8" w:space="0" w:color="auto"/>
              <w:right w:val="double" w:sz="4" w:space="0" w:color="auto"/>
            </w:tcBorders>
            <w:shd w:val="clear" w:color="auto" w:fill="auto"/>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420</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1973</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1913</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-60</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2001</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3075</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2717</w:t>
            </w:r>
          </w:p>
        </w:tc>
        <w:tc>
          <w:tcPr>
            <w:tcW w:w="1146" w:type="dxa"/>
            <w:tcBorders>
              <w:top w:val="single" w:sz="8" w:space="0" w:color="auto"/>
              <w:left w:val="nil"/>
              <w:bottom w:val="single" w:sz="8" w:space="0" w:color="auto"/>
              <w:right w:val="double" w:sz="4" w:space="0" w:color="auto"/>
            </w:tcBorders>
            <w:shd w:val="clear" w:color="auto" w:fill="auto"/>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-358</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2717</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2348</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-369</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1996</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4218</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4070</w:t>
            </w:r>
          </w:p>
        </w:tc>
        <w:tc>
          <w:tcPr>
            <w:tcW w:w="1146" w:type="dxa"/>
            <w:tcBorders>
              <w:top w:val="single" w:sz="8" w:space="0" w:color="auto"/>
              <w:left w:val="nil"/>
              <w:bottom w:val="single" w:sz="8" w:space="0" w:color="auto"/>
              <w:right w:val="double" w:sz="4" w:space="0" w:color="auto"/>
            </w:tcBorders>
            <w:shd w:val="clear" w:color="auto" w:fill="auto"/>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-148</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4070</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3312</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-758</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1978</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4506</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4539</w:t>
            </w:r>
          </w:p>
        </w:tc>
        <w:tc>
          <w:tcPr>
            <w:tcW w:w="1146" w:type="dxa"/>
            <w:tcBorders>
              <w:top w:val="single" w:sz="8" w:space="0" w:color="auto"/>
              <w:left w:val="nil"/>
              <w:bottom w:val="single" w:sz="8" w:space="0" w:color="auto"/>
              <w:right w:val="double" w:sz="4" w:space="0" w:color="auto"/>
            </w:tcBorders>
            <w:shd w:val="clear" w:color="auto" w:fill="auto"/>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33</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4539</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4134</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-405</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2010</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4901</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4854</w:t>
            </w:r>
          </w:p>
        </w:tc>
        <w:tc>
          <w:tcPr>
            <w:tcW w:w="1146" w:type="dxa"/>
            <w:tcBorders>
              <w:top w:val="single" w:sz="8" w:space="0" w:color="auto"/>
              <w:left w:val="nil"/>
              <w:bottom w:val="single" w:sz="8" w:space="0" w:color="auto"/>
              <w:right w:val="double" w:sz="4" w:space="0" w:color="auto"/>
            </w:tcBorders>
            <w:shd w:val="clear" w:color="auto" w:fill="auto"/>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-47</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4854</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4390</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-453</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1977</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5219</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4506</w:t>
            </w:r>
          </w:p>
        </w:tc>
        <w:tc>
          <w:tcPr>
            <w:tcW w:w="1146" w:type="dxa"/>
            <w:tcBorders>
              <w:top w:val="single" w:sz="8" w:space="0" w:color="auto"/>
              <w:left w:val="nil"/>
              <w:bottom w:val="single" w:sz="8" w:space="0" w:color="auto"/>
              <w:right w:val="double" w:sz="4" w:space="0" w:color="auto"/>
            </w:tcBorders>
            <w:shd w:val="clear" w:color="auto" w:fill="auto"/>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-713</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4506</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4432</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-74</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2011</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6205</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6297</w:t>
            </w:r>
          </w:p>
        </w:tc>
        <w:tc>
          <w:tcPr>
            <w:tcW w:w="1146" w:type="dxa"/>
            <w:tcBorders>
              <w:top w:val="single" w:sz="8" w:space="0" w:color="auto"/>
              <w:left w:val="nil"/>
              <w:bottom w:val="single" w:sz="8" w:space="0" w:color="auto"/>
              <w:right w:val="double" w:sz="4" w:space="0" w:color="auto"/>
            </w:tcBorders>
            <w:shd w:val="clear" w:color="auto" w:fill="auto"/>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92</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6297</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4034</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-1175</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1983</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9333</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8303</w:t>
            </w:r>
          </w:p>
        </w:tc>
        <w:tc>
          <w:tcPr>
            <w:tcW w:w="1146" w:type="dxa"/>
            <w:tcBorders>
              <w:top w:val="nil"/>
              <w:left w:val="nil"/>
              <w:bottom w:val="single" w:sz="8" w:space="0" w:color="auto"/>
              <w:right w:val="double" w:sz="4"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-1030</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8303</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5433</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-1096</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1998</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9518</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4718</w:t>
            </w:r>
          </w:p>
        </w:tc>
        <w:tc>
          <w:tcPr>
            <w:tcW w:w="1146" w:type="dxa"/>
            <w:tcBorders>
              <w:top w:val="nil"/>
              <w:left w:val="nil"/>
              <w:bottom w:val="single" w:sz="8" w:space="0" w:color="auto"/>
              <w:right w:val="double" w:sz="4"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-4800</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4718</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4307</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-411</w:t>
            </w:r>
          </w:p>
        </w:tc>
      </w:tr>
      <w:tr w:rsidR="00B82CED" w:rsidRPr="000D653B" w:rsidTr="00B82CED">
        <w:trPr>
          <w:trHeight w:val="255"/>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1974</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9743</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8896</w:t>
            </w:r>
          </w:p>
        </w:tc>
        <w:tc>
          <w:tcPr>
            <w:tcW w:w="1146" w:type="dxa"/>
            <w:tcBorders>
              <w:top w:val="nil"/>
              <w:left w:val="nil"/>
              <w:bottom w:val="single" w:sz="8" w:space="0" w:color="auto"/>
              <w:right w:val="double" w:sz="4"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-847</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8896</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5491</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-3405</w:t>
            </w:r>
          </w:p>
        </w:tc>
      </w:tr>
      <w:tr w:rsidR="00B82CED" w:rsidRPr="000D653B" w:rsidTr="00B82CED">
        <w:trPr>
          <w:trHeight w:val="270"/>
          <w:jc w:val="center"/>
        </w:trPr>
        <w:tc>
          <w:tcPr>
            <w:tcW w:w="1151" w:type="dxa"/>
            <w:tcBorders>
              <w:top w:val="nil"/>
              <w:left w:val="single" w:sz="8" w:space="0" w:color="auto"/>
              <w:bottom w:val="single" w:sz="8" w:space="0" w:color="auto"/>
              <w:right w:val="nil"/>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1976</w:t>
            </w:r>
          </w:p>
        </w:tc>
        <w:tc>
          <w:tcPr>
            <w:tcW w:w="133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14942</w:t>
            </w:r>
          </w:p>
        </w:tc>
        <w:tc>
          <w:tcPr>
            <w:tcW w:w="108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14206</w:t>
            </w:r>
          </w:p>
        </w:tc>
        <w:tc>
          <w:tcPr>
            <w:tcW w:w="1146" w:type="dxa"/>
            <w:tcBorders>
              <w:top w:val="nil"/>
              <w:left w:val="nil"/>
              <w:bottom w:val="single" w:sz="8" w:space="0" w:color="auto"/>
              <w:right w:val="double" w:sz="4"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-736</w:t>
            </w:r>
          </w:p>
        </w:tc>
        <w:tc>
          <w:tcPr>
            <w:tcW w:w="1194" w:type="dxa"/>
            <w:tcBorders>
              <w:top w:val="nil"/>
              <w:left w:val="double" w:sz="4" w:space="0" w:color="auto"/>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14206</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6047</w:t>
            </w:r>
          </w:p>
        </w:tc>
        <w:tc>
          <w:tcPr>
            <w:tcW w:w="1326" w:type="dxa"/>
            <w:tcBorders>
              <w:top w:val="nil"/>
              <w:left w:val="nil"/>
              <w:bottom w:val="single" w:sz="8" w:space="0" w:color="auto"/>
              <w:right w:val="single" w:sz="8" w:space="0" w:color="auto"/>
            </w:tcBorders>
            <w:noWrap/>
            <w:tcMar>
              <w:top w:w="0" w:type="dxa"/>
              <w:left w:w="108" w:type="dxa"/>
              <w:bottom w:w="0" w:type="dxa"/>
              <w:right w:w="108" w:type="dxa"/>
            </w:tcMar>
            <w:vAlign w:val="bottom"/>
          </w:tcPr>
          <w:p w:rsidR="00F44F92" w:rsidRPr="000D653B" w:rsidRDefault="00F44F92" w:rsidP="00F44F92">
            <w:pPr>
              <w:spacing w:before="60" w:after="60"/>
              <w:jc w:val="right"/>
              <w:rPr>
                <w:sz w:val="20"/>
                <w:szCs w:val="20"/>
              </w:rPr>
            </w:pPr>
            <w:r w:rsidRPr="000D653B">
              <w:rPr>
                <w:sz w:val="20"/>
                <w:szCs w:val="20"/>
              </w:rPr>
              <w:t>-8159</w:t>
            </w:r>
          </w:p>
        </w:tc>
      </w:tr>
    </w:tbl>
    <w:p w:rsidR="00F44F92" w:rsidRPr="00EB22D7" w:rsidRDefault="00F44F92" w:rsidP="00F44F92">
      <w:pPr>
        <w:rPr>
          <w:rFonts w:ascii="Arial" w:hAnsi="Arial" w:cs="Arial"/>
          <w:color w:val="000080"/>
          <w:sz w:val="20"/>
          <w:szCs w:val="20"/>
        </w:rPr>
      </w:pPr>
    </w:p>
    <w:p w:rsidR="00F44F92" w:rsidRDefault="00F44F92" w:rsidP="00F44F92">
      <w:r>
        <w:t xml:space="preserve">As </w:t>
      </w:r>
      <w:r w:rsidRPr="00795774">
        <w:t>shown in</w:t>
      </w:r>
      <w:r w:rsidR="000B4790" w:rsidRPr="00795774">
        <w:t xml:space="preserve"> </w:t>
      </w:r>
      <w:r w:rsidR="000B4790" w:rsidRPr="00795774">
        <w:fldChar w:fldCharType="begin"/>
      </w:r>
      <w:r w:rsidR="000B4790" w:rsidRPr="00795774">
        <w:instrText xml:space="preserve"> REF _Ref325913260 \h </w:instrText>
      </w:r>
      <w:r w:rsidR="00795774" w:rsidRPr="00795774">
        <w:instrText xml:space="preserve"> \* MERGEFORMAT </w:instrText>
      </w:r>
      <w:r w:rsidR="000B4790" w:rsidRPr="00795774">
        <w:fldChar w:fldCharType="separate"/>
      </w:r>
      <w:r w:rsidR="00966532" w:rsidRPr="00966532">
        <w:t xml:space="preserve">Figure </w:t>
      </w:r>
      <w:r w:rsidR="00966532" w:rsidRPr="00966532">
        <w:rPr>
          <w:noProof/>
        </w:rPr>
        <w:t>11</w:t>
      </w:r>
      <w:r w:rsidR="00966532" w:rsidRPr="00966532">
        <w:rPr>
          <w:noProof/>
        </w:rPr>
        <w:noBreakHyphen/>
        <w:t>2</w:t>
      </w:r>
      <w:r w:rsidR="000B4790" w:rsidRPr="00795774">
        <w:fldChar w:fldCharType="end"/>
      </w:r>
      <w:r w:rsidR="00F90070">
        <w:t>,</w:t>
      </w:r>
      <w:r w:rsidRPr="00795774">
        <w:t xml:space="preserve"> mapping of surface-groundwater connectivity was also part of the assessment of water availability for the Barwon</w:t>
      </w:r>
      <w:r w:rsidR="00187C17">
        <w:t>-</w:t>
      </w:r>
      <w:r w:rsidRPr="00795774">
        <w:t>Darling</w:t>
      </w:r>
      <w:r>
        <w:t xml:space="preserve"> catchment (CSIRO, 2008). This shows variability in connectivity</w:t>
      </w:r>
      <w:r w:rsidR="00F9160A">
        <w:t>,</w:t>
      </w:r>
      <w:r>
        <w:t xml:space="preserve"> but importantly</w:t>
      </w:r>
      <w:r w:rsidR="00F9160A">
        <w:t>,</w:t>
      </w:r>
      <w:r>
        <w:t xml:space="preserve"> the mapping of medium to high losing river reaches, particularly between Brewarrina and Bourke and a downstream section of the Louth to Wilcannia reach. The mapping is based on stream gauging and groundwater level data during low-flow conditions (June 2006), but highlights and targets the potential for river leakage. The CSIRO (2008) report also includes examples of borehole hydrographs showing groundwater level response to flood events, reinforcing the importance of river leakage to groundwater recharge.</w:t>
      </w:r>
    </w:p>
    <w:p w:rsidR="00376613" w:rsidRDefault="00376613" w:rsidP="00F44F92"/>
    <w:p w:rsidR="00376613" w:rsidRDefault="00376613" w:rsidP="00376613">
      <w:r>
        <w:t xml:space="preserve">In summary, the understanding of the nature and extent of groundwater resources in the </w:t>
      </w:r>
      <w:r w:rsidR="00222B84">
        <w:t>U</w:t>
      </w:r>
      <w:r>
        <w:t xml:space="preserve">pper Darling is severely constrained by lack of baseline data. Current estimates of groundwater availability do not account for potential recharge by river leakage. Significant losses have been estimated for </w:t>
      </w:r>
      <w:smartTag w:uri="urn:schemas-microsoft-com:office:smarttags" w:element="place">
        <w:r w:rsidR="00222B84">
          <w:t>U</w:t>
        </w:r>
        <w:r>
          <w:t>pper Darling River</w:t>
        </w:r>
      </w:smartTag>
      <w:r>
        <w:t xml:space="preserve"> reaches even under average conditions. The proportion of these generic losses that can be attributed to leakage to shallow aquifers has not been determined, however connectivity mapping has identified medium to high losing river reaches. Based on investigations at </w:t>
      </w:r>
      <w:r w:rsidR="00C217F0">
        <w:t>Menindee</w:t>
      </w:r>
      <w:r>
        <w:t xml:space="preserve">, the understanding and quantification of leakage processes during episodic high-flow events is a priority. It is considered likely that similarities in the hydrogeological </w:t>
      </w:r>
      <w:r w:rsidR="00C43508">
        <w:t>system</w:t>
      </w:r>
      <w:r>
        <w:t xml:space="preserve"> will also provide opportunities for MAR in the </w:t>
      </w:r>
      <w:r w:rsidR="00222B84">
        <w:t>U</w:t>
      </w:r>
      <w:r>
        <w:t>pper Darling reaches.</w:t>
      </w:r>
    </w:p>
    <w:p w:rsidR="00F44F92" w:rsidRPr="00F44F92" w:rsidRDefault="00706A3B" w:rsidP="003764CE">
      <w:pPr>
        <w:spacing w:after="60"/>
        <w:jc w:val="center"/>
        <w:rPr>
          <w:szCs w:val="22"/>
        </w:rPr>
      </w:pPr>
      <w:r>
        <w:rPr>
          <w:noProof/>
          <w:szCs w:val="22"/>
        </w:rPr>
        <w:lastRenderedPageBreak/>
        <w:drawing>
          <wp:inline distT="0" distB="0" distL="0" distR="0">
            <wp:extent cx="5858510" cy="4327525"/>
            <wp:effectExtent l="19050" t="19050" r="8890" b="0"/>
            <wp:docPr id="110" name="Picture 110" descr="Darling reache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arling reaches 4"/>
                    <pic:cNvPicPr>
                      <a:picLocks noChangeAspect="1" noChangeArrowheads="1"/>
                    </pic:cNvPicPr>
                  </pic:nvPicPr>
                  <pic:blipFill>
                    <a:blip r:embed="rId156" cstate="print">
                      <a:extLst>
                        <a:ext uri="{28A0092B-C50C-407E-A947-70E740481C1C}">
                          <a14:useLocalDpi xmlns:a14="http://schemas.microsoft.com/office/drawing/2010/main" val="0"/>
                        </a:ext>
                      </a:extLst>
                    </a:blip>
                    <a:srcRect b="2870"/>
                    <a:stretch>
                      <a:fillRect/>
                    </a:stretch>
                  </pic:blipFill>
                  <pic:spPr bwMode="auto">
                    <a:xfrm>
                      <a:off x="0" y="0"/>
                      <a:ext cx="5858510" cy="4327525"/>
                    </a:xfrm>
                    <a:prstGeom prst="rect">
                      <a:avLst/>
                    </a:prstGeom>
                    <a:noFill/>
                    <a:ln w="6350" cmpd="sng">
                      <a:solidFill>
                        <a:srgbClr val="000000"/>
                      </a:solidFill>
                      <a:miter lim="800000"/>
                      <a:headEnd/>
                      <a:tailEnd/>
                    </a:ln>
                    <a:effectLst/>
                  </pic:spPr>
                </pic:pic>
              </a:graphicData>
            </a:graphic>
          </wp:inline>
        </w:drawing>
      </w:r>
    </w:p>
    <w:p w:rsidR="00F44F92" w:rsidRPr="00F44F92" w:rsidRDefault="001741E7" w:rsidP="00214146">
      <w:pPr>
        <w:pStyle w:val="Caption"/>
        <w:spacing w:after="0"/>
      </w:pPr>
      <w:bookmarkStart w:id="772" w:name="_Ref325913260"/>
      <w:r w:rsidRPr="001741E7">
        <w:rPr>
          <w:b/>
        </w:rPr>
        <w:t xml:space="preserve">Figure </w:t>
      </w:r>
      <w:r w:rsidR="00A23C59">
        <w:rPr>
          <w:b/>
        </w:rPr>
        <w:fldChar w:fldCharType="begin"/>
      </w:r>
      <w:r w:rsidR="00A23C59">
        <w:rPr>
          <w:b/>
        </w:rPr>
        <w:instrText xml:space="preserve"> STYLEREF 1 \s </w:instrText>
      </w:r>
      <w:r w:rsidR="00A23C59">
        <w:rPr>
          <w:b/>
        </w:rPr>
        <w:fldChar w:fldCharType="separate"/>
      </w:r>
      <w:r w:rsidR="00966532">
        <w:rPr>
          <w:b/>
          <w:noProof/>
        </w:rPr>
        <w:t>11</w:t>
      </w:r>
      <w:r w:rsidR="00A23C59">
        <w:rPr>
          <w:b/>
        </w:rPr>
        <w:fldChar w:fldCharType="end"/>
      </w:r>
      <w:r w:rsidR="00A23C59">
        <w:rPr>
          <w:b/>
        </w:rPr>
        <w:noBreakHyphen/>
      </w:r>
      <w:r w:rsidR="00A23C59">
        <w:rPr>
          <w:b/>
        </w:rPr>
        <w:fldChar w:fldCharType="begin"/>
      </w:r>
      <w:r w:rsidR="00A23C59">
        <w:rPr>
          <w:b/>
        </w:rPr>
        <w:instrText xml:space="preserve"> SEQ Figure \* ARABIC \s 1 </w:instrText>
      </w:r>
      <w:r w:rsidR="00A23C59">
        <w:rPr>
          <w:b/>
        </w:rPr>
        <w:fldChar w:fldCharType="separate"/>
      </w:r>
      <w:r w:rsidR="00966532">
        <w:rPr>
          <w:b/>
          <w:noProof/>
        </w:rPr>
        <w:t>2</w:t>
      </w:r>
      <w:r w:rsidR="00A23C59">
        <w:rPr>
          <w:b/>
        </w:rPr>
        <w:fldChar w:fldCharType="end"/>
      </w:r>
      <w:bookmarkEnd w:id="772"/>
      <w:r w:rsidR="00B0020D" w:rsidRPr="00DD5B97">
        <w:rPr>
          <w:b/>
        </w:rPr>
        <w:t>.</w:t>
      </w:r>
      <w:r w:rsidR="00B0020D" w:rsidRPr="00DD5B97">
        <w:t xml:space="preserve"> </w:t>
      </w:r>
      <w:r w:rsidR="00F9160A">
        <w:t xml:space="preserve">Image showing the upper reaches of the </w:t>
      </w:r>
      <w:smartTag w:uri="urn:schemas-microsoft-com:office:smarttags" w:element="place">
        <w:r w:rsidR="00F9160A">
          <w:t>Darling River</w:t>
        </w:r>
      </w:smartTag>
      <w:r w:rsidR="00F9160A">
        <w:t>, marked to show the gaining and losing reaches (from CSIRO, 2008). These match consistently with major differences in floodplain morphology</w:t>
      </w:r>
      <w:r w:rsidR="00B0020D" w:rsidRPr="00E823BA">
        <w:t>.</w:t>
      </w:r>
      <w:r w:rsidR="00B0020D" w:rsidRPr="00BE08AB">
        <w:t xml:space="preserve"> </w:t>
      </w:r>
      <w:r w:rsidR="00376613">
        <w:t>Image from Google E</w:t>
      </w:r>
      <w:r w:rsidR="00F9160A">
        <w:t>arth.</w:t>
      </w:r>
      <w:r w:rsidR="00B0020D" w:rsidRPr="006B2AA4">
        <w:rPr>
          <w:i w:val="0"/>
        </w:rPr>
        <w:fldChar w:fldCharType="begin"/>
      </w:r>
      <w:r w:rsidR="00B0020D" w:rsidRPr="006B2AA4">
        <w:rPr>
          <w:i w:val="0"/>
        </w:rPr>
        <w:instrText xml:space="preserve"> TC "</w:instrText>
      </w:r>
      <w:bookmarkStart w:id="773" w:name="_Toc325975257"/>
      <w:bookmarkStart w:id="774" w:name="_Toc390690278"/>
      <w:r w:rsidR="00B0020D" w:rsidRPr="006B2AA4">
        <w:rPr>
          <w:i w:val="0"/>
        </w:rPr>
        <w:instrText xml:space="preserve">Figure </w:instrText>
      </w:r>
      <w:r w:rsidR="000D653B">
        <w:rPr>
          <w:i w:val="0"/>
        </w:rPr>
        <w:instrText>11-</w:instrText>
      </w:r>
      <w:r w:rsidR="00575C39">
        <w:rPr>
          <w:i w:val="0"/>
        </w:rPr>
        <w:instrText>2</w:instrText>
      </w:r>
      <w:r w:rsidR="00DE0DFA">
        <w:rPr>
          <w:i w:val="0"/>
        </w:rPr>
        <w:instrText>.</w:instrText>
      </w:r>
      <w:r w:rsidR="00B0020D" w:rsidRPr="006B2AA4">
        <w:rPr>
          <w:i w:val="0"/>
        </w:rPr>
        <w:instrText xml:space="preserve"> </w:instrText>
      </w:r>
      <w:r w:rsidR="00F9160A" w:rsidRPr="006B2AA4">
        <w:rPr>
          <w:i w:val="0"/>
        </w:rPr>
        <w:instrText>Image showing the upper reaches of the Darling River, marked to show the gaining and losing reaches (from CSIRO, 2008).</w:instrText>
      </w:r>
      <w:bookmarkEnd w:id="773"/>
      <w:bookmarkEnd w:id="774"/>
      <w:r w:rsidR="00B0020D" w:rsidRPr="006B2AA4">
        <w:rPr>
          <w:i w:val="0"/>
        </w:rPr>
        <w:instrText xml:space="preserve">" \f A \l “4” </w:instrText>
      </w:r>
      <w:r w:rsidR="00B0020D" w:rsidRPr="006B2AA4">
        <w:rPr>
          <w:i w:val="0"/>
        </w:rPr>
        <w:fldChar w:fldCharType="end"/>
      </w:r>
      <w:r w:rsidR="00F44F92">
        <w:t xml:space="preserve"> </w:t>
      </w:r>
    </w:p>
    <w:p w:rsidR="00F44F92" w:rsidRPr="00021090" w:rsidRDefault="0035360F" w:rsidP="00021090">
      <w:pPr>
        <w:pStyle w:val="Heading2"/>
        <w:tabs>
          <w:tab w:val="left" w:pos="720"/>
        </w:tabs>
        <w:spacing w:before="320"/>
      </w:pPr>
      <w:bookmarkStart w:id="775" w:name="_Toc325700152"/>
      <w:bookmarkStart w:id="776" w:name="_Toc325700495"/>
      <w:bookmarkStart w:id="777" w:name="_Toc325975179"/>
      <w:bookmarkStart w:id="778" w:name="_Toc390690182"/>
      <w:r w:rsidRPr="00021090">
        <w:t xml:space="preserve">Broader </w:t>
      </w:r>
      <w:r w:rsidR="00C6655F" w:rsidRPr="00021090">
        <w:t>I</w:t>
      </w:r>
      <w:r w:rsidRPr="00021090">
        <w:t>mplications</w:t>
      </w:r>
      <w:bookmarkEnd w:id="775"/>
      <w:bookmarkEnd w:id="776"/>
      <w:bookmarkEnd w:id="777"/>
      <w:bookmarkEnd w:id="778"/>
    </w:p>
    <w:p w:rsidR="00376613" w:rsidRDefault="00376613" w:rsidP="00376613">
      <w:pPr>
        <w:rPr>
          <w:szCs w:val="22"/>
        </w:rPr>
      </w:pPr>
      <w:r>
        <w:rPr>
          <w:szCs w:val="22"/>
        </w:rPr>
        <w:t xml:space="preserve">The BHMAR study has demonstrated that a </w:t>
      </w:r>
      <w:r w:rsidR="00884690">
        <w:rPr>
          <w:szCs w:val="22"/>
        </w:rPr>
        <w:t>trans-</w:t>
      </w:r>
      <w:r>
        <w:rPr>
          <w:szCs w:val="22"/>
        </w:rPr>
        <w:t xml:space="preserve">disciplinary </w:t>
      </w:r>
      <w:r w:rsidRPr="00306885">
        <w:rPr>
          <w:szCs w:val="22"/>
        </w:rPr>
        <w:t>systems approach</w:t>
      </w:r>
      <w:r>
        <w:rPr>
          <w:szCs w:val="22"/>
        </w:rPr>
        <w:t>,</w:t>
      </w:r>
      <w:r w:rsidRPr="00306885">
        <w:rPr>
          <w:szCs w:val="22"/>
        </w:rPr>
        <w:t xml:space="preserve"> and </w:t>
      </w:r>
      <w:r>
        <w:rPr>
          <w:szCs w:val="22"/>
        </w:rPr>
        <w:t xml:space="preserve">the </w:t>
      </w:r>
      <w:r w:rsidRPr="00306885">
        <w:rPr>
          <w:szCs w:val="22"/>
        </w:rPr>
        <w:t>integrated workflows developed in the BHMAR Project</w:t>
      </w:r>
      <w:r>
        <w:rPr>
          <w:szCs w:val="22"/>
        </w:rPr>
        <w:t>,</w:t>
      </w:r>
      <w:r w:rsidRPr="00306885">
        <w:rPr>
          <w:szCs w:val="22"/>
        </w:rPr>
        <w:t xml:space="preserve"> </w:t>
      </w:r>
      <w:r>
        <w:rPr>
          <w:szCs w:val="22"/>
        </w:rPr>
        <w:t>can</w:t>
      </w:r>
      <w:r w:rsidRPr="00306885">
        <w:rPr>
          <w:szCs w:val="22"/>
        </w:rPr>
        <w:t xml:space="preserve"> </w:t>
      </w:r>
      <w:r>
        <w:rPr>
          <w:szCs w:val="22"/>
        </w:rPr>
        <w:t xml:space="preserve">provide rapid and comprehensive assessments of groundwater resources and </w:t>
      </w:r>
      <w:r w:rsidRPr="00306885">
        <w:rPr>
          <w:szCs w:val="22"/>
        </w:rPr>
        <w:t>MAR options</w:t>
      </w:r>
      <w:r>
        <w:rPr>
          <w:szCs w:val="22"/>
        </w:rPr>
        <w:t>, in comparison with more traditional methods</w:t>
      </w:r>
      <w:r w:rsidRPr="00306885">
        <w:rPr>
          <w:szCs w:val="22"/>
        </w:rPr>
        <w:t>.</w:t>
      </w:r>
      <w:r>
        <w:rPr>
          <w:szCs w:val="22"/>
        </w:rPr>
        <w:t xml:space="preserve"> In particular, the integrated use of AEM, ground electrical methods, and borehole NMR, enables the rapid characterisation of complex hydrogeological systems, including the key groundwater storage parameters necessary for assessing MAR options. This methodology has the potential for application in many </w:t>
      </w:r>
      <w:r w:rsidR="00C43508">
        <w:rPr>
          <w:szCs w:val="22"/>
        </w:rPr>
        <w:t>Australian</w:t>
      </w:r>
      <w:r>
        <w:rPr>
          <w:szCs w:val="22"/>
        </w:rPr>
        <w:t xml:space="preserve"> landscapes (and more broadly). </w:t>
      </w:r>
    </w:p>
    <w:p w:rsidR="00376613" w:rsidRDefault="00376613" w:rsidP="00376613">
      <w:pPr>
        <w:rPr>
          <w:szCs w:val="22"/>
        </w:rPr>
      </w:pPr>
    </w:p>
    <w:p w:rsidR="00376613" w:rsidRDefault="00376613" w:rsidP="00376613">
      <w:r w:rsidRPr="00935679">
        <w:rPr>
          <w:szCs w:val="22"/>
        </w:rPr>
        <w:t xml:space="preserve">The new understanding of recharge mechanisms during flood events </w:t>
      </w:r>
      <w:r w:rsidR="00187C17" w:rsidRPr="00935679">
        <w:rPr>
          <w:szCs w:val="22"/>
        </w:rPr>
        <w:t>(Lawrie</w:t>
      </w:r>
      <w:r w:rsidR="008A5F7D" w:rsidRPr="00CF7613">
        <w:rPr>
          <w:rStyle w:val="StyleItalic"/>
        </w:rPr>
        <w:t xml:space="preserve"> et al</w:t>
      </w:r>
      <w:r w:rsidR="00187C17" w:rsidRPr="00935679">
        <w:rPr>
          <w:szCs w:val="22"/>
        </w:rPr>
        <w:t xml:space="preserve">., 2012b) </w:t>
      </w:r>
      <w:r w:rsidRPr="00935679">
        <w:rPr>
          <w:szCs w:val="22"/>
        </w:rPr>
        <w:t xml:space="preserve">has broader implications for the modelling and assessment of surface-groundwater interaction in many rivers in the Basin, and more broadly. </w:t>
      </w:r>
      <w:r w:rsidRPr="00935679">
        <w:t>The new geological, geophysical, geochemical and hydrogeological</w:t>
      </w:r>
      <w:r>
        <w:t xml:space="preserve"> datasets and understanding acquired in this project also have broader implications for fundamental geological</w:t>
      </w:r>
      <w:r w:rsidR="008C2768">
        <w:t xml:space="preserve"> studies and</w:t>
      </w:r>
      <w:r>
        <w:t xml:space="preserve"> mineral exploration. </w:t>
      </w:r>
    </w:p>
    <w:p w:rsidR="000F1185" w:rsidRDefault="00F44F92" w:rsidP="00D35ACA">
      <w:pPr>
        <w:pStyle w:val="Heading1"/>
        <w:tabs>
          <w:tab w:val="clear" w:pos="360"/>
          <w:tab w:val="num" w:pos="720"/>
        </w:tabs>
        <w:ind w:left="720" w:hanging="720"/>
      </w:pPr>
      <w:r>
        <w:br w:type="page"/>
      </w:r>
      <w:bookmarkStart w:id="779" w:name="_Toc325700153"/>
      <w:bookmarkStart w:id="780" w:name="_Toc325700496"/>
      <w:bookmarkStart w:id="781" w:name="_Toc325975180"/>
      <w:bookmarkStart w:id="782" w:name="_Toc390690183"/>
      <w:r w:rsidR="002E3EF9">
        <w:lastRenderedPageBreak/>
        <w:t>Conclusion</w:t>
      </w:r>
      <w:r w:rsidR="00904686">
        <w:t>s</w:t>
      </w:r>
      <w:bookmarkEnd w:id="779"/>
      <w:bookmarkEnd w:id="780"/>
      <w:bookmarkEnd w:id="781"/>
      <w:bookmarkEnd w:id="782"/>
    </w:p>
    <w:p w:rsidR="00AD0D61" w:rsidRPr="00AD0D61" w:rsidRDefault="00AD0D61" w:rsidP="00AD0D61">
      <w:pPr>
        <w:pStyle w:val="Heading2"/>
        <w:tabs>
          <w:tab w:val="left" w:pos="720"/>
        </w:tabs>
        <w:spacing w:before="320"/>
      </w:pPr>
      <w:bookmarkStart w:id="783" w:name="_Toc390690184"/>
      <w:r w:rsidRPr="00AD0D61">
        <w:t>BHMAR Study</w:t>
      </w:r>
      <w:bookmarkEnd w:id="783"/>
    </w:p>
    <w:p w:rsidR="004E4BC4" w:rsidRPr="00935679" w:rsidRDefault="004E4BC4" w:rsidP="002F227D">
      <w:pPr>
        <w:rPr>
          <w:szCs w:val="22"/>
        </w:rPr>
      </w:pPr>
      <w:r w:rsidRPr="004A4E17">
        <w:rPr>
          <w:szCs w:val="22"/>
        </w:rPr>
        <w:t xml:space="preserve">The BHMAR project </w:t>
      </w:r>
      <w:r>
        <w:rPr>
          <w:szCs w:val="22"/>
        </w:rPr>
        <w:t>is</w:t>
      </w:r>
      <w:r w:rsidRPr="004A4E17">
        <w:rPr>
          <w:szCs w:val="22"/>
        </w:rPr>
        <w:t xml:space="preserve"> the largest single hydrogeological investigative project funded by the Australian </w:t>
      </w:r>
      <w:r w:rsidRPr="00935679">
        <w:rPr>
          <w:szCs w:val="22"/>
        </w:rPr>
        <w:t xml:space="preserve">Government in the past 30 years. Scientific investigations to </w:t>
      </w:r>
      <w:r w:rsidR="00C43508" w:rsidRPr="00935679">
        <w:rPr>
          <w:szCs w:val="22"/>
        </w:rPr>
        <w:t>identify</w:t>
      </w:r>
      <w:r w:rsidRPr="00935679">
        <w:rPr>
          <w:szCs w:val="22"/>
        </w:rPr>
        <w:t xml:space="preserve"> and assess potential MAR opportunities in a data-poor catchment are pioneering and without precedent in </w:t>
      </w:r>
      <w:smartTag w:uri="urn:schemas-microsoft-com:office:smarttags" w:element="place">
        <w:smartTag w:uri="urn:schemas-microsoft-com:office:smarttags" w:element="country-region">
          <w:r w:rsidRPr="00935679">
            <w:rPr>
              <w:szCs w:val="22"/>
            </w:rPr>
            <w:t>Australia</w:t>
          </w:r>
        </w:smartTag>
      </w:smartTag>
      <w:r w:rsidRPr="00935679">
        <w:rPr>
          <w:szCs w:val="22"/>
        </w:rPr>
        <w:t xml:space="preserve">. These investigations have focussed primarily on </w:t>
      </w:r>
      <w:r w:rsidRPr="00935679">
        <w:t>identifying</w:t>
      </w:r>
      <w:r w:rsidRPr="00935679">
        <w:rPr>
          <w:szCs w:val="22"/>
        </w:rPr>
        <w:t xml:space="preserve"> alternative groundwater-related options to enhance the drought security for Broken Hill</w:t>
      </w:r>
      <w:r w:rsidR="00BE068E" w:rsidRPr="00935679">
        <w:rPr>
          <w:szCs w:val="22"/>
        </w:rPr>
        <w:t xml:space="preserve"> (Lawrie</w:t>
      </w:r>
      <w:r w:rsidR="008A5F7D" w:rsidRPr="00CF7613">
        <w:rPr>
          <w:rStyle w:val="StyleItalic"/>
        </w:rPr>
        <w:t xml:space="preserve"> et al</w:t>
      </w:r>
      <w:r w:rsidR="00BE068E" w:rsidRPr="00935679">
        <w:rPr>
          <w:szCs w:val="22"/>
        </w:rPr>
        <w:t>., 2012c)</w:t>
      </w:r>
      <w:r w:rsidRPr="00935679">
        <w:rPr>
          <w:szCs w:val="22"/>
        </w:rPr>
        <w:t>, as well as regional communities and industries</w:t>
      </w:r>
      <w:r w:rsidR="00BE068E" w:rsidRPr="00935679">
        <w:rPr>
          <w:szCs w:val="22"/>
        </w:rPr>
        <w:t xml:space="preserve"> (Lawrie</w:t>
      </w:r>
      <w:r w:rsidR="008A5F7D" w:rsidRPr="00CF7613">
        <w:rPr>
          <w:rStyle w:val="StyleItalic"/>
        </w:rPr>
        <w:t xml:space="preserve"> et al</w:t>
      </w:r>
      <w:r w:rsidR="00BE068E" w:rsidRPr="00935679">
        <w:rPr>
          <w:szCs w:val="22"/>
        </w:rPr>
        <w:t>., 2012d)</w:t>
      </w:r>
      <w:r w:rsidRPr="00935679">
        <w:rPr>
          <w:szCs w:val="22"/>
        </w:rPr>
        <w:t>.</w:t>
      </w:r>
    </w:p>
    <w:p w:rsidR="002F227D" w:rsidRPr="00935679" w:rsidRDefault="002F227D" w:rsidP="002F227D">
      <w:pPr>
        <w:rPr>
          <w:szCs w:val="22"/>
        </w:rPr>
      </w:pPr>
    </w:p>
    <w:p w:rsidR="004E4BC4" w:rsidRPr="00935679" w:rsidRDefault="004E4BC4" w:rsidP="002F227D">
      <w:pPr>
        <w:rPr>
          <w:szCs w:val="22"/>
        </w:rPr>
      </w:pPr>
      <w:r w:rsidRPr="00935679">
        <w:rPr>
          <w:szCs w:val="22"/>
        </w:rPr>
        <w:t>The MLS is a critical component of the Basin’s water management infrastructure, providing important water storage for downstream users, as well as the local community. However, the MLS has also had a number of adverse impacts, with 99</w:t>
      </w:r>
      <w:r w:rsidR="00BE068E" w:rsidRPr="00935679">
        <w:rPr>
          <w:szCs w:val="22"/>
        </w:rPr>
        <w:t xml:space="preserve"> </w:t>
      </w:r>
      <w:r w:rsidRPr="00935679">
        <w:rPr>
          <w:szCs w:val="22"/>
        </w:rPr>
        <w:t xml:space="preserve">% of the wetlands degraded, with depauperate ecosystems and a reduction in previous water bird populations. Moreover, </w:t>
      </w:r>
      <w:r w:rsidRPr="00935679">
        <w:t>existing</w:t>
      </w:r>
      <w:r w:rsidRPr="00935679">
        <w:rPr>
          <w:szCs w:val="22"/>
        </w:rPr>
        <w:t xml:space="preserve"> surface water storages at the MLS are highly inefficient, with huge evaporative losses recorded, as well as losses to the groundwater system</w:t>
      </w:r>
      <w:r w:rsidR="003721DD" w:rsidRPr="00935679">
        <w:rPr>
          <w:szCs w:val="22"/>
        </w:rPr>
        <w:t xml:space="preserve"> (SKM, 2009,</w:t>
      </w:r>
      <w:r w:rsidR="00BE068E" w:rsidRPr="00935679">
        <w:rPr>
          <w:szCs w:val="22"/>
        </w:rPr>
        <w:t xml:space="preserve"> 2010)</w:t>
      </w:r>
      <w:r w:rsidRPr="00935679">
        <w:rPr>
          <w:szCs w:val="22"/>
        </w:rPr>
        <w:t xml:space="preserve">. Yet the MLS remain an important environmental and community asset in a semi-arid environment. </w:t>
      </w:r>
    </w:p>
    <w:p w:rsidR="002F227D" w:rsidRPr="00935679" w:rsidRDefault="002F227D" w:rsidP="002F227D">
      <w:pPr>
        <w:rPr>
          <w:szCs w:val="22"/>
        </w:rPr>
      </w:pPr>
    </w:p>
    <w:p w:rsidR="004E4BC4" w:rsidRPr="00935679" w:rsidRDefault="004E4BC4" w:rsidP="002F227D">
      <w:pPr>
        <w:rPr>
          <w:szCs w:val="22"/>
        </w:rPr>
      </w:pPr>
      <w:r w:rsidRPr="00935679">
        <w:rPr>
          <w:szCs w:val="22"/>
        </w:rPr>
        <w:t xml:space="preserve">A shift to a reliance on groundwater-related options during drought would provide significant water quality benefits for the </w:t>
      </w:r>
      <w:smartTag w:uri="urn:schemas-microsoft-com:office:smarttags" w:element="place">
        <w:r w:rsidRPr="00935679">
          <w:rPr>
            <w:szCs w:val="22"/>
          </w:rPr>
          <w:t>Darling River</w:t>
        </w:r>
      </w:smartTag>
      <w:r w:rsidRPr="00935679">
        <w:rPr>
          <w:szCs w:val="22"/>
        </w:rPr>
        <w:t xml:space="preserve"> system and water supplies for Broken Hill and </w:t>
      </w:r>
      <w:r w:rsidR="00C217F0" w:rsidRPr="00935679">
        <w:rPr>
          <w:szCs w:val="22"/>
        </w:rPr>
        <w:t xml:space="preserve">Menindee </w:t>
      </w:r>
      <w:r w:rsidRPr="00935679">
        <w:rPr>
          <w:szCs w:val="22"/>
        </w:rPr>
        <w:t xml:space="preserve">during drought periods, while enabling changes to the MLS that would provide </w:t>
      </w:r>
      <w:r w:rsidR="003B3C54">
        <w:rPr>
          <w:szCs w:val="22"/>
        </w:rPr>
        <w:t xml:space="preserve">substantial </w:t>
      </w:r>
      <w:r w:rsidRPr="00935679">
        <w:rPr>
          <w:szCs w:val="22"/>
        </w:rPr>
        <w:t xml:space="preserve">water savings </w:t>
      </w:r>
      <w:r w:rsidR="003F79ED" w:rsidRPr="00935679">
        <w:rPr>
          <w:szCs w:val="22"/>
        </w:rPr>
        <w:t xml:space="preserve">(Podger, </w:t>
      </w:r>
      <w:r w:rsidRPr="00935679">
        <w:rPr>
          <w:szCs w:val="22"/>
        </w:rPr>
        <w:t>2011). This would have significant downstrea</w:t>
      </w:r>
      <w:r w:rsidR="003F79ED" w:rsidRPr="00935679">
        <w:rPr>
          <w:szCs w:val="22"/>
        </w:rPr>
        <w:t xml:space="preserve">m benefits in dry years (Podger, </w:t>
      </w:r>
      <w:r w:rsidRPr="00935679">
        <w:rPr>
          <w:szCs w:val="22"/>
        </w:rPr>
        <w:t>2010, 2011).</w:t>
      </w:r>
    </w:p>
    <w:p w:rsidR="002F227D" w:rsidRPr="00935679" w:rsidRDefault="002F227D" w:rsidP="002F227D">
      <w:pPr>
        <w:rPr>
          <w:szCs w:val="22"/>
        </w:rPr>
      </w:pPr>
    </w:p>
    <w:p w:rsidR="00260648" w:rsidRDefault="004E4BC4" w:rsidP="002F227D">
      <w:pPr>
        <w:rPr>
          <w:szCs w:val="22"/>
        </w:rPr>
      </w:pPr>
      <w:r w:rsidRPr="00935679">
        <w:rPr>
          <w:szCs w:val="22"/>
        </w:rPr>
        <w:t xml:space="preserve">The </w:t>
      </w:r>
      <w:r w:rsidR="003E5EE5">
        <w:rPr>
          <w:szCs w:val="22"/>
        </w:rPr>
        <w:t>trans</w:t>
      </w:r>
      <w:r w:rsidRPr="00935679">
        <w:rPr>
          <w:szCs w:val="22"/>
        </w:rPr>
        <w:t xml:space="preserve">-disciplinary investigative approach adopted in this project has substantially revised the understanding of the geomorphology, geology and </w:t>
      </w:r>
      <w:r w:rsidRPr="00935679">
        <w:t>hydrogeology</w:t>
      </w:r>
      <w:r w:rsidRPr="00935679">
        <w:rPr>
          <w:szCs w:val="22"/>
        </w:rPr>
        <w:t xml:space="preserve"> of the lower Darling Floodplain</w:t>
      </w:r>
      <w:r w:rsidR="00BE068E" w:rsidRPr="00935679">
        <w:rPr>
          <w:szCs w:val="22"/>
        </w:rPr>
        <w:t xml:space="preserve"> (Lawrie</w:t>
      </w:r>
      <w:r w:rsidR="008A5F7D" w:rsidRPr="00CF7613">
        <w:rPr>
          <w:rStyle w:val="StyleItalic"/>
        </w:rPr>
        <w:t xml:space="preserve"> et al</w:t>
      </w:r>
      <w:r w:rsidR="00BE068E" w:rsidRPr="00935679">
        <w:rPr>
          <w:szCs w:val="22"/>
        </w:rPr>
        <w:t>., 2012b)</w:t>
      </w:r>
      <w:r w:rsidRPr="00935679">
        <w:rPr>
          <w:szCs w:val="22"/>
        </w:rPr>
        <w:t xml:space="preserve">. The 3D systems mapping </w:t>
      </w:r>
      <w:r w:rsidR="003F79ED" w:rsidRPr="00935679">
        <w:rPr>
          <w:szCs w:val="22"/>
        </w:rPr>
        <w:t xml:space="preserve">approach </w:t>
      </w:r>
      <w:r w:rsidR="00470BA3" w:rsidRPr="00935679">
        <w:rPr>
          <w:szCs w:val="22"/>
        </w:rPr>
        <w:t xml:space="preserve">has </w:t>
      </w:r>
      <w:r w:rsidR="003F79ED" w:rsidRPr="00935679">
        <w:rPr>
          <w:szCs w:val="22"/>
        </w:rPr>
        <w:t>successfully delineated</w:t>
      </w:r>
      <w:r w:rsidR="00470BA3" w:rsidRPr="00935679">
        <w:rPr>
          <w:szCs w:val="22"/>
        </w:rPr>
        <w:t xml:space="preserve"> key functional elements of the D</w:t>
      </w:r>
      <w:r w:rsidR="003F79ED" w:rsidRPr="00935679">
        <w:rPr>
          <w:szCs w:val="22"/>
        </w:rPr>
        <w:t>arling Floodplain hydrogeological sy</w:t>
      </w:r>
      <w:r w:rsidR="001E44D8" w:rsidRPr="00935679">
        <w:rPr>
          <w:szCs w:val="22"/>
        </w:rPr>
        <w:t xml:space="preserve">stem (e.g. aquifers, aquitards and </w:t>
      </w:r>
      <w:r w:rsidR="003F79ED" w:rsidRPr="00935679">
        <w:rPr>
          <w:szCs w:val="22"/>
        </w:rPr>
        <w:t xml:space="preserve">faults), </w:t>
      </w:r>
      <w:r w:rsidR="001E44D8" w:rsidRPr="00935679">
        <w:rPr>
          <w:szCs w:val="22"/>
        </w:rPr>
        <w:t>mapped</w:t>
      </w:r>
      <w:r w:rsidR="003F79ED" w:rsidRPr="00935679">
        <w:rPr>
          <w:szCs w:val="22"/>
        </w:rPr>
        <w:t xml:space="preserve"> </w:t>
      </w:r>
      <w:r w:rsidR="001E44D8" w:rsidRPr="00935679">
        <w:rPr>
          <w:szCs w:val="22"/>
        </w:rPr>
        <w:t xml:space="preserve">heterogeneity (and ‘holes’) within the aquitards, and hydraulic classes </w:t>
      </w:r>
      <w:r w:rsidR="003F79ED" w:rsidRPr="00935679">
        <w:rPr>
          <w:szCs w:val="22"/>
        </w:rPr>
        <w:t>and transmissivitie</w:t>
      </w:r>
      <w:r w:rsidR="001E44D8" w:rsidRPr="00935679">
        <w:rPr>
          <w:szCs w:val="22"/>
        </w:rPr>
        <w:t>s</w:t>
      </w:r>
      <w:r w:rsidR="003F79ED" w:rsidRPr="00935679">
        <w:rPr>
          <w:szCs w:val="22"/>
        </w:rPr>
        <w:t xml:space="preserve"> within </w:t>
      </w:r>
      <w:r w:rsidR="00E61CC2" w:rsidRPr="00935679">
        <w:rPr>
          <w:szCs w:val="22"/>
        </w:rPr>
        <w:t xml:space="preserve">the main </w:t>
      </w:r>
      <w:r w:rsidR="003F79ED" w:rsidRPr="00935679">
        <w:rPr>
          <w:szCs w:val="22"/>
        </w:rPr>
        <w:t xml:space="preserve">aquifers, </w:t>
      </w:r>
      <w:r w:rsidR="001E44D8" w:rsidRPr="00935679">
        <w:rPr>
          <w:szCs w:val="22"/>
        </w:rPr>
        <w:t xml:space="preserve">as well as </w:t>
      </w:r>
      <w:r w:rsidR="00E61CC2" w:rsidRPr="00935679">
        <w:rPr>
          <w:szCs w:val="22"/>
        </w:rPr>
        <w:t>groundwater salinities</w:t>
      </w:r>
      <w:r w:rsidR="00BE068E" w:rsidRPr="00935679">
        <w:rPr>
          <w:szCs w:val="22"/>
        </w:rPr>
        <w:t xml:space="preserve"> (Lawrie</w:t>
      </w:r>
      <w:r w:rsidR="008A5F7D" w:rsidRPr="00CF7613">
        <w:rPr>
          <w:rStyle w:val="StyleItalic"/>
        </w:rPr>
        <w:t xml:space="preserve"> et al</w:t>
      </w:r>
      <w:r w:rsidR="00BE068E" w:rsidRPr="00935679">
        <w:rPr>
          <w:szCs w:val="22"/>
        </w:rPr>
        <w:t>., 2012b)</w:t>
      </w:r>
      <w:r w:rsidR="00E61CC2" w:rsidRPr="00935679">
        <w:rPr>
          <w:szCs w:val="22"/>
        </w:rPr>
        <w:t xml:space="preserve">. </w:t>
      </w:r>
      <w:r w:rsidR="001E44D8" w:rsidRPr="00935679">
        <w:rPr>
          <w:szCs w:val="22"/>
        </w:rPr>
        <w:t>An even greater</w:t>
      </w:r>
      <w:r w:rsidR="00E61CC2" w:rsidRPr="00935679">
        <w:rPr>
          <w:szCs w:val="22"/>
        </w:rPr>
        <w:t xml:space="preserve"> heterogeneity of the </w:t>
      </w:r>
      <w:r w:rsidR="001E44D8" w:rsidRPr="00935679">
        <w:rPr>
          <w:szCs w:val="22"/>
        </w:rPr>
        <w:t xml:space="preserve">hydrogeological </w:t>
      </w:r>
      <w:r w:rsidR="00E61CC2" w:rsidRPr="00935679">
        <w:rPr>
          <w:szCs w:val="22"/>
        </w:rPr>
        <w:t xml:space="preserve">system </w:t>
      </w:r>
      <w:r w:rsidR="001E44D8" w:rsidRPr="00935679">
        <w:rPr>
          <w:szCs w:val="22"/>
        </w:rPr>
        <w:t>is revealed by</w:t>
      </w:r>
      <w:r w:rsidR="00E61CC2" w:rsidRPr="00935679">
        <w:rPr>
          <w:szCs w:val="22"/>
        </w:rPr>
        <w:t xml:space="preserve"> ground geophysics and drilling data at a borefield scale. </w:t>
      </w:r>
      <w:r w:rsidR="00260648" w:rsidRPr="00935679">
        <w:rPr>
          <w:szCs w:val="22"/>
        </w:rPr>
        <w:t>Recovery of high quality core using the sonic drilling technique has enabled confident interpretation of the hydrostratigraphy, and detailed hydrogeochemical analysis</w:t>
      </w:r>
      <w:r w:rsidR="00BE068E" w:rsidRPr="00935679">
        <w:rPr>
          <w:szCs w:val="22"/>
        </w:rPr>
        <w:t xml:space="preserve"> (Lawrie</w:t>
      </w:r>
      <w:r w:rsidR="008A5F7D" w:rsidRPr="00CF7613">
        <w:rPr>
          <w:rStyle w:val="StyleItalic"/>
        </w:rPr>
        <w:t xml:space="preserve"> et al</w:t>
      </w:r>
      <w:r w:rsidR="00BE068E" w:rsidRPr="00935679">
        <w:rPr>
          <w:szCs w:val="22"/>
        </w:rPr>
        <w:t>., 2012</w:t>
      </w:r>
      <w:r w:rsidR="00935679" w:rsidRPr="00935679">
        <w:rPr>
          <w:szCs w:val="22"/>
        </w:rPr>
        <w:t>a, b, c, d</w:t>
      </w:r>
      <w:r w:rsidR="00BE068E" w:rsidRPr="00935679">
        <w:rPr>
          <w:szCs w:val="22"/>
        </w:rPr>
        <w:t>)</w:t>
      </w:r>
      <w:r w:rsidR="00260648" w:rsidRPr="00935679">
        <w:rPr>
          <w:szCs w:val="22"/>
        </w:rPr>
        <w:t>.</w:t>
      </w:r>
    </w:p>
    <w:p w:rsidR="002F227D" w:rsidRDefault="002F227D" w:rsidP="002F227D">
      <w:pPr>
        <w:rPr>
          <w:szCs w:val="22"/>
        </w:rPr>
      </w:pPr>
    </w:p>
    <w:p w:rsidR="004E4BC4" w:rsidRPr="00935679" w:rsidRDefault="00E61CC2" w:rsidP="002F227D">
      <w:pPr>
        <w:rPr>
          <w:szCs w:val="22"/>
        </w:rPr>
      </w:pPr>
      <w:r>
        <w:rPr>
          <w:szCs w:val="22"/>
        </w:rPr>
        <w:t xml:space="preserve">Overall, a </w:t>
      </w:r>
      <w:r w:rsidRPr="00935679">
        <w:rPr>
          <w:szCs w:val="22"/>
        </w:rPr>
        <w:t>multi-scale approach provides</w:t>
      </w:r>
      <w:r w:rsidR="004E4BC4" w:rsidRPr="00935679">
        <w:rPr>
          <w:szCs w:val="22"/>
        </w:rPr>
        <w:t xml:space="preserve"> a reliable platform for the development of new geological and hydrogeological conceptual models, and a framework for understanding complex hydrogeological and hydrogeochemical processes</w:t>
      </w:r>
      <w:r w:rsidR="00BE068E" w:rsidRPr="00935679">
        <w:rPr>
          <w:szCs w:val="22"/>
        </w:rPr>
        <w:t xml:space="preserve"> (Lawrie</w:t>
      </w:r>
      <w:r w:rsidR="008A5F7D" w:rsidRPr="00CF7613">
        <w:rPr>
          <w:rStyle w:val="StyleItalic"/>
        </w:rPr>
        <w:t xml:space="preserve"> et al</w:t>
      </w:r>
      <w:r w:rsidR="00BE068E" w:rsidRPr="00935679">
        <w:rPr>
          <w:szCs w:val="22"/>
        </w:rPr>
        <w:t>., 2012b)</w:t>
      </w:r>
      <w:r w:rsidR="004E4BC4" w:rsidRPr="00935679">
        <w:rPr>
          <w:szCs w:val="22"/>
        </w:rPr>
        <w:t xml:space="preserve">. Using a holistic </w:t>
      </w:r>
      <w:r w:rsidR="004E4BC4" w:rsidRPr="00935679">
        <w:t>systems</w:t>
      </w:r>
      <w:r w:rsidR="004E4BC4" w:rsidRPr="00935679">
        <w:rPr>
          <w:szCs w:val="22"/>
        </w:rPr>
        <w:t xml:space="preserve"> analysis approach, integration of the 3D mapping with hydrochemical and hydrodynamic data provides critical new insights into surface-groundwater interactions. This approach has been fundamental to developing a new understanding of recharge processes, and the identification of potential recharg</w:t>
      </w:r>
      <w:r w:rsidR="00260648" w:rsidRPr="00935679">
        <w:rPr>
          <w:szCs w:val="22"/>
        </w:rPr>
        <w:t>e and groundwater flow pathways</w:t>
      </w:r>
      <w:r w:rsidRPr="00935679">
        <w:rPr>
          <w:szCs w:val="22"/>
        </w:rPr>
        <w:t xml:space="preserve">. </w:t>
      </w:r>
    </w:p>
    <w:p w:rsidR="002F227D" w:rsidRPr="00935679" w:rsidRDefault="002F227D" w:rsidP="002F227D">
      <w:pPr>
        <w:rPr>
          <w:szCs w:val="22"/>
        </w:rPr>
      </w:pPr>
    </w:p>
    <w:p w:rsidR="004E4BC4" w:rsidRDefault="001E44D8" w:rsidP="002F227D">
      <w:pPr>
        <w:rPr>
          <w:szCs w:val="22"/>
        </w:rPr>
      </w:pPr>
      <w:r w:rsidRPr="00935679">
        <w:rPr>
          <w:szCs w:val="22"/>
        </w:rPr>
        <w:t xml:space="preserve">The BHMAR survey would appear to be the first use of </w:t>
      </w:r>
      <w:smartTag w:uri="urn:schemas-microsoft-com:office:smarttags" w:element="stockticker">
        <w:r w:rsidRPr="00935679">
          <w:rPr>
            <w:szCs w:val="22"/>
          </w:rPr>
          <w:t>AEM</w:t>
        </w:r>
      </w:smartTag>
      <w:r w:rsidRPr="00935679">
        <w:rPr>
          <w:szCs w:val="22"/>
        </w:rPr>
        <w:t xml:space="preserve"> methods in </w:t>
      </w:r>
      <w:smartTag w:uri="urn:schemas-microsoft-com:office:smarttags" w:element="stockticker">
        <w:r w:rsidRPr="00935679">
          <w:rPr>
            <w:szCs w:val="22"/>
          </w:rPr>
          <w:t>MAR</w:t>
        </w:r>
      </w:smartTag>
      <w:r w:rsidRPr="00935679">
        <w:rPr>
          <w:szCs w:val="22"/>
        </w:rPr>
        <w:t xml:space="preserve"> investi</w:t>
      </w:r>
      <w:smartTag w:uri="urn:schemas-microsoft-com:office:smarttags" w:element="PersonName">
        <w:r w:rsidRPr="00935679">
          <w:rPr>
            <w:szCs w:val="22"/>
          </w:rPr>
          <w:t>ga</w:t>
        </w:r>
      </w:smartTag>
      <w:r w:rsidRPr="00935679">
        <w:rPr>
          <w:szCs w:val="22"/>
        </w:rPr>
        <w:t xml:space="preserve">tion and assessment. </w:t>
      </w:r>
      <w:r w:rsidR="004E4BC4" w:rsidRPr="00935679">
        <w:rPr>
          <w:szCs w:val="22"/>
        </w:rPr>
        <w:t xml:space="preserve">The new datasets, knowledge and </w:t>
      </w:r>
      <w:r w:rsidR="004E4BC4" w:rsidRPr="00935679">
        <w:t>hydrogeological</w:t>
      </w:r>
      <w:r w:rsidR="004E4BC4" w:rsidRPr="00935679">
        <w:rPr>
          <w:szCs w:val="22"/>
        </w:rPr>
        <w:t xml:space="preserve"> conceptual models provide a reliable basis for the </w:t>
      </w:r>
      <w:r w:rsidR="00CF637B" w:rsidRPr="00935679">
        <w:rPr>
          <w:szCs w:val="22"/>
        </w:rPr>
        <w:t xml:space="preserve">rapid </w:t>
      </w:r>
      <w:r w:rsidR="004E4BC4" w:rsidRPr="00935679">
        <w:rPr>
          <w:szCs w:val="22"/>
        </w:rPr>
        <w:t>identification, characterisation and assessment of groundwater resources and MAR options</w:t>
      </w:r>
      <w:r w:rsidR="00BE068E" w:rsidRPr="00935679">
        <w:rPr>
          <w:szCs w:val="22"/>
        </w:rPr>
        <w:t xml:space="preserve"> (Lawrie</w:t>
      </w:r>
      <w:r w:rsidR="008A5F7D" w:rsidRPr="00CF7613">
        <w:rPr>
          <w:rStyle w:val="StyleItalic"/>
        </w:rPr>
        <w:t xml:space="preserve"> et al</w:t>
      </w:r>
      <w:r w:rsidR="00BE068E" w:rsidRPr="00935679">
        <w:rPr>
          <w:szCs w:val="22"/>
        </w:rPr>
        <w:t>., 2012</w:t>
      </w:r>
      <w:r w:rsidR="00935679" w:rsidRPr="00935679">
        <w:rPr>
          <w:szCs w:val="22"/>
        </w:rPr>
        <w:t>c, d</w:t>
      </w:r>
      <w:r w:rsidR="00BE068E" w:rsidRPr="00935679">
        <w:rPr>
          <w:szCs w:val="22"/>
        </w:rPr>
        <w:t>)</w:t>
      </w:r>
      <w:r w:rsidR="004E4BC4" w:rsidRPr="00935679">
        <w:rPr>
          <w:szCs w:val="22"/>
        </w:rPr>
        <w:t xml:space="preserve">. </w:t>
      </w:r>
      <w:r w:rsidR="003E5EE5">
        <w:rPr>
          <w:szCs w:val="22"/>
        </w:rPr>
        <w:t>Trans</w:t>
      </w:r>
      <w:r w:rsidR="004E4BC4" w:rsidRPr="00935679">
        <w:rPr>
          <w:szCs w:val="22"/>
        </w:rPr>
        <w:t>-disciplinary field and laboratory studies, allied with comprehensive risk assessments carried out using national drinking water quality and MAR guidelines, have identified a number of potential groundwater extraction and MAR options at sites within 20</w:t>
      </w:r>
      <w:r w:rsidR="00BE068E" w:rsidRPr="00935679">
        <w:rPr>
          <w:szCs w:val="22"/>
        </w:rPr>
        <w:t xml:space="preserve"> </w:t>
      </w:r>
      <w:r w:rsidR="004E4BC4" w:rsidRPr="00935679">
        <w:rPr>
          <w:szCs w:val="22"/>
        </w:rPr>
        <w:t xml:space="preserve">km of </w:t>
      </w:r>
      <w:r w:rsidR="00C217F0" w:rsidRPr="00935679">
        <w:rPr>
          <w:szCs w:val="22"/>
        </w:rPr>
        <w:t xml:space="preserve">Menindee </w:t>
      </w:r>
      <w:r w:rsidR="004E4BC4" w:rsidRPr="00935679">
        <w:rPr>
          <w:szCs w:val="22"/>
        </w:rPr>
        <w:t>township, as well as more regionally</w:t>
      </w:r>
      <w:r w:rsidR="00BE068E" w:rsidRPr="00935679">
        <w:rPr>
          <w:szCs w:val="22"/>
        </w:rPr>
        <w:t xml:space="preserve"> (Lawrie</w:t>
      </w:r>
      <w:r w:rsidR="008A5F7D" w:rsidRPr="00CF7613">
        <w:rPr>
          <w:rStyle w:val="StyleItalic"/>
        </w:rPr>
        <w:t xml:space="preserve"> et al</w:t>
      </w:r>
      <w:r w:rsidR="00BE068E" w:rsidRPr="00935679">
        <w:rPr>
          <w:szCs w:val="22"/>
        </w:rPr>
        <w:t>., 2012c, d)</w:t>
      </w:r>
      <w:r w:rsidR="004E4BC4" w:rsidRPr="00935679">
        <w:rPr>
          <w:szCs w:val="22"/>
        </w:rPr>
        <w:t>.</w:t>
      </w:r>
      <w:r w:rsidR="004E4BC4">
        <w:rPr>
          <w:szCs w:val="22"/>
        </w:rPr>
        <w:t xml:space="preserve"> </w:t>
      </w:r>
    </w:p>
    <w:p w:rsidR="002F227D" w:rsidRDefault="002F227D" w:rsidP="002F227D">
      <w:pPr>
        <w:rPr>
          <w:szCs w:val="22"/>
        </w:rPr>
      </w:pPr>
    </w:p>
    <w:p w:rsidR="004E4BC4" w:rsidRDefault="004E4BC4" w:rsidP="002F227D">
      <w:pPr>
        <w:rPr>
          <w:szCs w:val="22"/>
        </w:rPr>
      </w:pPr>
      <w:r>
        <w:rPr>
          <w:szCs w:val="22"/>
        </w:rPr>
        <w:t xml:space="preserve">Specifically, </w:t>
      </w:r>
      <w:r w:rsidRPr="00935679">
        <w:rPr>
          <w:szCs w:val="22"/>
        </w:rPr>
        <w:t>the project has identified a priority site (Jimargil), 10-15</w:t>
      </w:r>
      <w:r w:rsidR="00BE068E" w:rsidRPr="00935679">
        <w:rPr>
          <w:szCs w:val="22"/>
        </w:rPr>
        <w:t xml:space="preserve"> </w:t>
      </w:r>
      <w:r w:rsidRPr="00935679">
        <w:rPr>
          <w:szCs w:val="22"/>
        </w:rPr>
        <w:t xml:space="preserve">km SSW of </w:t>
      </w:r>
      <w:r w:rsidR="00C217F0" w:rsidRPr="00935679">
        <w:rPr>
          <w:szCs w:val="22"/>
        </w:rPr>
        <w:t>Menindee</w:t>
      </w:r>
      <w:r w:rsidRPr="00935679">
        <w:rPr>
          <w:szCs w:val="22"/>
        </w:rPr>
        <w:t xml:space="preserve">, which has the potential to provide enhanced drought security for Broken </w:t>
      </w:r>
      <w:r w:rsidRPr="00935679">
        <w:t>Hill</w:t>
      </w:r>
      <w:r w:rsidR="00187C17" w:rsidRPr="00935679">
        <w:t xml:space="preserve"> (</w:t>
      </w:r>
      <w:r w:rsidR="00187C17" w:rsidRPr="00935679">
        <w:rPr>
          <w:szCs w:val="22"/>
        </w:rPr>
        <w:t>Lawrie</w:t>
      </w:r>
      <w:r w:rsidR="008A5F7D" w:rsidRPr="00CF7613">
        <w:rPr>
          <w:rStyle w:val="StyleItalic"/>
        </w:rPr>
        <w:t xml:space="preserve"> et al</w:t>
      </w:r>
      <w:r w:rsidR="00187C17" w:rsidRPr="00935679">
        <w:rPr>
          <w:szCs w:val="22"/>
        </w:rPr>
        <w:t>., 2012c</w:t>
      </w:r>
      <w:r w:rsidR="00187C17" w:rsidRPr="00935679">
        <w:t>)</w:t>
      </w:r>
      <w:r w:rsidRPr="00935679">
        <w:rPr>
          <w:szCs w:val="22"/>
        </w:rPr>
        <w:t xml:space="preserve">. Three potential water supply options are identified at this site: Aquifer Storage and Recovery (ASR), </w:t>
      </w:r>
      <w:r w:rsidR="00187C17" w:rsidRPr="00935679">
        <w:rPr>
          <w:szCs w:val="22"/>
        </w:rPr>
        <w:t xml:space="preserve">a combination of ASR and </w:t>
      </w:r>
      <w:r w:rsidRPr="00935679">
        <w:rPr>
          <w:szCs w:val="22"/>
        </w:rPr>
        <w:t>bank filtration</w:t>
      </w:r>
      <w:r w:rsidRPr="003D0EEA">
        <w:rPr>
          <w:szCs w:val="22"/>
        </w:rPr>
        <w:t xml:space="preserve">, and groundwater extraction. All options utilise the </w:t>
      </w:r>
      <w:r w:rsidR="00C217F0">
        <w:rPr>
          <w:szCs w:val="22"/>
        </w:rPr>
        <w:t>Calivil Formation</w:t>
      </w:r>
      <w:r w:rsidRPr="003D0EEA">
        <w:rPr>
          <w:szCs w:val="22"/>
        </w:rPr>
        <w:t xml:space="preserve"> aquifer.</w:t>
      </w:r>
      <w:r>
        <w:rPr>
          <w:szCs w:val="22"/>
        </w:rPr>
        <w:t xml:space="preserve"> </w:t>
      </w:r>
      <w:r w:rsidRPr="003D0EEA">
        <w:rPr>
          <w:szCs w:val="22"/>
        </w:rPr>
        <w:t>Cost-benefit and technical feasibility studies are required to confirm which options would be the most appropriate at this site. However, risk assessments using national MAR and drinking water quality guidelines have found that ASR would provide significant long-term drought security (&gt; 3 years), with high recovery efficiencies (&gt;90</w:t>
      </w:r>
      <w:r w:rsidR="00187C17">
        <w:rPr>
          <w:szCs w:val="22"/>
        </w:rPr>
        <w:t xml:space="preserve"> </w:t>
      </w:r>
      <w:r w:rsidRPr="003D0EEA">
        <w:rPr>
          <w:szCs w:val="22"/>
        </w:rPr>
        <w:t xml:space="preserve">%) achieved. The main risks associated with ASR are biological, physical and chemical clogging related to the mixing of oxygenated river source water with more reduced ambient groundwater. ASR at this site has a </w:t>
      </w:r>
      <w:r w:rsidRPr="003D0EEA">
        <w:rPr>
          <w:szCs w:val="22"/>
        </w:rPr>
        <w:lastRenderedPageBreak/>
        <w:t xml:space="preserve">moderate to high technical risk due to the pioneering nature of the project, which is without precedent in </w:t>
      </w:r>
      <w:smartTag w:uri="urn:schemas-microsoft-com:office:smarttags" w:element="place">
        <w:smartTag w:uri="urn:schemas-microsoft-com:office:smarttags" w:element="country-region">
          <w:r w:rsidRPr="003D0EEA">
            <w:rPr>
              <w:szCs w:val="22"/>
            </w:rPr>
            <w:t>Australia</w:t>
          </w:r>
        </w:smartTag>
      </w:smartTag>
      <w:r w:rsidRPr="003D0EEA">
        <w:rPr>
          <w:szCs w:val="22"/>
        </w:rPr>
        <w:t>. However, residual risks have been assessed as low for human health and the environment if the supplementary treatment trains are included.</w:t>
      </w:r>
    </w:p>
    <w:p w:rsidR="00187C17" w:rsidRDefault="00187C17" w:rsidP="002F227D">
      <w:pPr>
        <w:rPr>
          <w:szCs w:val="22"/>
        </w:rPr>
      </w:pPr>
    </w:p>
    <w:p w:rsidR="004E4BC4" w:rsidRDefault="003F79ED" w:rsidP="002F227D">
      <w:pPr>
        <w:rPr>
          <w:szCs w:val="22"/>
        </w:rPr>
      </w:pPr>
      <w:r>
        <w:rPr>
          <w:szCs w:val="22"/>
        </w:rPr>
        <w:t>An</w:t>
      </w:r>
      <w:r w:rsidR="004E4BC4" w:rsidRPr="003D0EEA">
        <w:rPr>
          <w:szCs w:val="22"/>
        </w:rPr>
        <w:t xml:space="preserve"> alternative MAR option at this site would utilise bank filtration to enhance natural recharge. Costs associated with this </w:t>
      </w:r>
      <w:r w:rsidR="004E4BC4" w:rsidRPr="002F227D">
        <w:t>option</w:t>
      </w:r>
      <w:r w:rsidR="004E4BC4" w:rsidRPr="003D0EEA">
        <w:rPr>
          <w:szCs w:val="22"/>
        </w:rPr>
        <w:t xml:space="preserve"> would be lower than ASR due to the reliance on natural filtration processes to treat the water, however, risks of negative environmental consequences </w:t>
      </w:r>
      <w:r w:rsidR="004E4BC4">
        <w:rPr>
          <w:szCs w:val="22"/>
        </w:rPr>
        <w:t>would be</w:t>
      </w:r>
      <w:r w:rsidR="004E4BC4" w:rsidRPr="003D0EEA">
        <w:rPr>
          <w:szCs w:val="22"/>
        </w:rPr>
        <w:t xml:space="preserve"> higher due to potential impacts on the overlying unconfined aquifer and groundwater dependent vegetation. Further aquifer testing and numerical groundwater modelling are required to evaluate this option fully. </w:t>
      </w:r>
    </w:p>
    <w:p w:rsidR="002F227D" w:rsidRPr="003D0EEA" w:rsidRDefault="002F227D" w:rsidP="002F227D">
      <w:pPr>
        <w:rPr>
          <w:szCs w:val="22"/>
        </w:rPr>
      </w:pPr>
    </w:p>
    <w:p w:rsidR="004E4BC4" w:rsidRDefault="004E4BC4" w:rsidP="002F227D">
      <w:pPr>
        <w:rPr>
          <w:szCs w:val="22"/>
        </w:rPr>
      </w:pPr>
      <w:r w:rsidRPr="003D0EEA">
        <w:rPr>
          <w:szCs w:val="22"/>
        </w:rPr>
        <w:t xml:space="preserve">Groundwater extraction would deliver a measure of drought security, and may have lower capital and initial treatment costs than ASR or bank filtration. However, numerical groundwater </w:t>
      </w:r>
      <w:r w:rsidR="003E5EE5">
        <w:rPr>
          <w:szCs w:val="22"/>
        </w:rPr>
        <w:t xml:space="preserve">flow </w:t>
      </w:r>
      <w:r w:rsidRPr="003D0EEA">
        <w:rPr>
          <w:szCs w:val="22"/>
        </w:rPr>
        <w:t>modelling is required to determine the duration and rates of supply possible from this site, and to assess potential environmental impacts from prolonged extraction during drought conditions. Borefield design and operation would need to be optimised in order to delay the onset of salinity ingress and up-coning, with solute trans</w:t>
      </w:r>
      <w:r w:rsidR="003E5EE5">
        <w:rPr>
          <w:szCs w:val="22"/>
        </w:rPr>
        <w:t>port</w:t>
      </w:r>
      <w:r w:rsidRPr="003D0EEA">
        <w:rPr>
          <w:szCs w:val="22"/>
        </w:rPr>
        <w:t xml:space="preserve"> and groundwater </w:t>
      </w:r>
      <w:r w:rsidR="003E5EE5">
        <w:rPr>
          <w:szCs w:val="22"/>
        </w:rPr>
        <w:t xml:space="preserve">flow </w:t>
      </w:r>
      <w:r w:rsidRPr="003D0EEA">
        <w:rPr>
          <w:szCs w:val="22"/>
        </w:rPr>
        <w:t>modelling required to predict salinisation and exceed</w:t>
      </w:r>
      <w:r w:rsidR="00C43508">
        <w:rPr>
          <w:szCs w:val="22"/>
        </w:rPr>
        <w:t>a</w:t>
      </w:r>
      <w:r w:rsidRPr="003D0EEA">
        <w:rPr>
          <w:szCs w:val="22"/>
        </w:rPr>
        <w:t>nces of metals and metalloids with respect to ADWG</w:t>
      </w:r>
      <w:r w:rsidR="00B81A6B">
        <w:rPr>
          <w:szCs w:val="22"/>
        </w:rPr>
        <w:t>2011</w:t>
      </w:r>
      <w:r w:rsidRPr="003D0EEA">
        <w:rPr>
          <w:szCs w:val="22"/>
        </w:rPr>
        <w:t xml:space="preserve"> thresholds.</w:t>
      </w:r>
    </w:p>
    <w:p w:rsidR="002F227D" w:rsidRDefault="002F227D" w:rsidP="002F227D">
      <w:pPr>
        <w:rPr>
          <w:szCs w:val="22"/>
        </w:rPr>
      </w:pPr>
    </w:p>
    <w:p w:rsidR="00CF637B" w:rsidRDefault="00001EDC" w:rsidP="00CF637B">
      <w:pPr>
        <w:rPr>
          <w:szCs w:val="22"/>
        </w:rPr>
      </w:pPr>
      <w:r>
        <w:rPr>
          <w:szCs w:val="22"/>
        </w:rPr>
        <w:t>Importantly</w:t>
      </w:r>
      <w:r w:rsidR="00CF637B" w:rsidRPr="004A4E17">
        <w:rPr>
          <w:szCs w:val="22"/>
        </w:rPr>
        <w:t xml:space="preserve">, the conjunctive management of surface </w:t>
      </w:r>
      <w:r w:rsidR="003E5EE5">
        <w:rPr>
          <w:szCs w:val="22"/>
        </w:rPr>
        <w:t xml:space="preserve">water </w:t>
      </w:r>
      <w:r w:rsidR="00CF637B" w:rsidRPr="004A4E17">
        <w:rPr>
          <w:szCs w:val="22"/>
        </w:rPr>
        <w:t xml:space="preserve">and groundwater involving </w:t>
      </w:r>
      <w:r w:rsidR="00CF637B">
        <w:rPr>
          <w:szCs w:val="22"/>
        </w:rPr>
        <w:t>managed aquifer</w:t>
      </w:r>
      <w:r w:rsidR="00CF637B" w:rsidRPr="004A4E17">
        <w:rPr>
          <w:szCs w:val="22"/>
        </w:rPr>
        <w:t xml:space="preserve"> </w:t>
      </w:r>
      <w:r w:rsidR="003E5EE5">
        <w:rPr>
          <w:szCs w:val="22"/>
        </w:rPr>
        <w:t xml:space="preserve">recharge </w:t>
      </w:r>
      <w:r w:rsidR="00CF637B" w:rsidRPr="004A4E17">
        <w:rPr>
          <w:szCs w:val="22"/>
        </w:rPr>
        <w:t>options at the Jimargil site would provide the greatest drought security for Broken Hill. M</w:t>
      </w:r>
      <w:r w:rsidR="00CF637B">
        <w:rPr>
          <w:szCs w:val="22"/>
        </w:rPr>
        <w:t>anaged aquifer</w:t>
      </w:r>
      <w:r w:rsidR="00CF637B" w:rsidRPr="004A4E17">
        <w:rPr>
          <w:szCs w:val="22"/>
        </w:rPr>
        <w:t xml:space="preserve"> </w:t>
      </w:r>
      <w:r w:rsidR="003E5EE5">
        <w:rPr>
          <w:szCs w:val="22"/>
        </w:rPr>
        <w:t xml:space="preserve">recharge </w:t>
      </w:r>
      <w:r w:rsidR="00CF637B" w:rsidRPr="004A4E17">
        <w:rPr>
          <w:szCs w:val="22"/>
        </w:rPr>
        <w:t xml:space="preserve">options are far superior to </w:t>
      </w:r>
      <w:r w:rsidR="00CF637B" w:rsidRPr="002F227D">
        <w:t>existing</w:t>
      </w:r>
      <w:r w:rsidR="00CF637B" w:rsidRPr="004A4E17">
        <w:rPr>
          <w:szCs w:val="22"/>
        </w:rPr>
        <w:t xml:space="preserve"> surface storage options, with security of supply of a known quantity of high and consistent water quality from underground storage. High recovery efficiencies will be obtained by injecting fresh surface water into areas of the </w:t>
      </w:r>
      <w:r w:rsidR="00C217F0">
        <w:rPr>
          <w:szCs w:val="22"/>
        </w:rPr>
        <w:t>Calivil Formation</w:t>
      </w:r>
      <w:r w:rsidR="00CF637B" w:rsidRPr="004A4E17">
        <w:rPr>
          <w:szCs w:val="22"/>
        </w:rPr>
        <w:t xml:space="preserve"> containing low salinity groundwater. The ASR option would provide a significant buffer against future climate variability and change, deliver significant water savings, improve source water quality over time, have minimal environmental impact, preserve some local water amenities for community use, and enable key elements of the engineered </w:t>
      </w:r>
      <w:smartTag w:uri="urn:schemas-microsoft-com:office:smarttags" w:element="stockticker">
        <w:r w:rsidR="00CF637B" w:rsidRPr="004A4E17">
          <w:rPr>
            <w:szCs w:val="22"/>
          </w:rPr>
          <w:t>MLS</w:t>
        </w:r>
      </w:smartTag>
      <w:r w:rsidR="00CF637B" w:rsidRPr="004A4E17">
        <w:rPr>
          <w:szCs w:val="22"/>
        </w:rPr>
        <w:t xml:space="preserve"> to be returned to a more natural condition.</w:t>
      </w:r>
    </w:p>
    <w:p w:rsidR="00CF637B" w:rsidRPr="003D0EEA" w:rsidRDefault="00CF637B" w:rsidP="002F227D">
      <w:pPr>
        <w:rPr>
          <w:szCs w:val="22"/>
        </w:rPr>
      </w:pPr>
    </w:p>
    <w:p w:rsidR="004E4BC4" w:rsidRPr="00935679" w:rsidRDefault="004E4BC4" w:rsidP="002F227D">
      <w:pPr>
        <w:rPr>
          <w:szCs w:val="22"/>
        </w:rPr>
      </w:pPr>
      <w:r w:rsidRPr="00F749D3">
        <w:rPr>
          <w:szCs w:val="22"/>
        </w:rPr>
        <w:t xml:space="preserve">Investigations more broadly within the BHMAR </w:t>
      </w:r>
      <w:r w:rsidR="00A56C85">
        <w:rPr>
          <w:szCs w:val="22"/>
        </w:rPr>
        <w:t>project</w:t>
      </w:r>
      <w:r w:rsidRPr="00F749D3">
        <w:rPr>
          <w:szCs w:val="22"/>
        </w:rPr>
        <w:t xml:space="preserve"> area have </w:t>
      </w:r>
      <w:r>
        <w:rPr>
          <w:szCs w:val="22"/>
        </w:rPr>
        <w:t xml:space="preserve">also </w:t>
      </w:r>
      <w:r w:rsidRPr="00F749D3">
        <w:rPr>
          <w:szCs w:val="22"/>
        </w:rPr>
        <w:t>revealed there are substantial quantities (~2</w:t>
      </w:r>
      <w:r w:rsidR="00E4773C">
        <w:rPr>
          <w:szCs w:val="22"/>
        </w:rPr>
        <w:t>100</w:t>
      </w:r>
      <w:r w:rsidRPr="00F749D3">
        <w:rPr>
          <w:szCs w:val="22"/>
        </w:rPr>
        <w:t>-</w:t>
      </w:r>
      <w:r w:rsidR="0028588D">
        <w:rPr>
          <w:szCs w:val="22"/>
        </w:rPr>
        <w:t>44</w:t>
      </w:r>
      <w:r w:rsidRPr="00F749D3">
        <w:rPr>
          <w:szCs w:val="22"/>
        </w:rPr>
        <w:t>00</w:t>
      </w:r>
      <w:r w:rsidR="00187C17">
        <w:rPr>
          <w:szCs w:val="22"/>
        </w:rPr>
        <w:t xml:space="preserve"> </w:t>
      </w:r>
      <w:r w:rsidRPr="00F749D3">
        <w:rPr>
          <w:szCs w:val="22"/>
        </w:rPr>
        <w:t>GL) of fresh to acceptable quality groundwater, as well as significant quantities (</w:t>
      </w:r>
      <w:r w:rsidR="0028588D">
        <w:rPr>
          <w:szCs w:val="22"/>
        </w:rPr>
        <w:t>900</w:t>
      </w:r>
      <w:r w:rsidRPr="00F749D3">
        <w:rPr>
          <w:szCs w:val="22"/>
        </w:rPr>
        <w:t>-</w:t>
      </w:r>
      <w:r w:rsidR="0028588D">
        <w:rPr>
          <w:szCs w:val="22"/>
        </w:rPr>
        <w:t>20</w:t>
      </w:r>
      <w:r w:rsidRPr="00F749D3">
        <w:rPr>
          <w:szCs w:val="22"/>
        </w:rPr>
        <w:t>00</w:t>
      </w:r>
      <w:r w:rsidR="00187C17">
        <w:rPr>
          <w:szCs w:val="22"/>
        </w:rPr>
        <w:t xml:space="preserve"> </w:t>
      </w:r>
      <w:r w:rsidRPr="00F749D3">
        <w:rPr>
          <w:szCs w:val="22"/>
        </w:rPr>
        <w:t>GL) of brackish groundwater, stored in 14 discrete targets within semi-confined Pliocene aquifers (</w:t>
      </w:r>
      <w:r w:rsidR="00C217F0">
        <w:rPr>
          <w:szCs w:val="22"/>
        </w:rPr>
        <w:t>Calivil Formation</w:t>
      </w:r>
      <w:r w:rsidRPr="00F749D3">
        <w:rPr>
          <w:szCs w:val="22"/>
        </w:rPr>
        <w:t xml:space="preserve"> </w:t>
      </w:r>
      <w:r w:rsidRPr="00935679">
        <w:rPr>
          <w:szCs w:val="22"/>
        </w:rPr>
        <w:t>and Loxton-Parilla Sands)</w:t>
      </w:r>
      <w:r w:rsidR="000F7A6F" w:rsidRPr="00935679">
        <w:rPr>
          <w:szCs w:val="22"/>
        </w:rPr>
        <w:t>. These targets occur</w:t>
      </w:r>
      <w:r w:rsidRPr="00935679">
        <w:rPr>
          <w:szCs w:val="22"/>
        </w:rPr>
        <w:t xml:space="preserve"> at depths of 25-100</w:t>
      </w:r>
      <w:r w:rsidR="00187C17" w:rsidRPr="00935679">
        <w:rPr>
          <w:szCs w:val="22"/>
        </w:rPr>
        <w:t xml:space="preserve"> </w:t>
      </w:r>
      <w:r w:rsidRPr="00935679">
        <w:rPr>
          <w:szCs w:val="22"/>
        </w:rPr>
        <w:t xml:space="preserve">m beneath the Darling Floodplain </w:t>
      </w:r>
      <w:r w:rsidR="00187C17" w:rsidRPr="00935679">
        <w:rPr>
          <w:szCs w:val="22"/>
        </w:rPr>
        <w:t>(Lawrie</w:t>
      </w:r>
      <w:r w:rsidR="008A5F7D" w:rsidRPr="00CF7613">
        <w:rPr>
          <w:rStyle w:val="StyleItalic"/>
        </w:rPr>
        <w:t xml:space="preserve"> et al</w:t>
      </w:r>
      <w:r w:rsidR="00187C17" w:rsidRPr="00935679">
        <w:rPr>
          <w:szCs w:val="22"/>
        </w:rPr>
        <w:t>., 2012b, d)</w:t>
      </w:r>
      <w:r w:rsidRPr="00935679">
        <w:rPr>
          <w:szCs w:val="22"/>
        </w:rPr>
        <w:t xml:space="preserve">. The identified groundwater storage volumes in these targets are </w:t>
      </w:r>
      <w:r w:rsidR="00592641" w:rsidRPr="00CF7613">
        <w:rPr>
          <w:szCs w:val="22"/>
        </w:rPr>
        <w:t xml:space="preserve">only indicative and </w:t>
      </w:r>
      <w:r w:rsidRPr="00935679">
        <w:rPr>
          <w:szCs w:val="22"/>
        </w:rPr>
        <w:t>not equivalent to the extractable groundwater volumes</w:t>
      </w:r>
      <w:r w:rsidR="003E5EE5">
        <w:rPr>
          <w:szCs w:val="22"/>
        </w:rPr>
        <w:t xml:space="preserve"> which will be significantly smaller</w:t>
      </w:r>
      <w:r w:rsidRPr="00935679">
        <w:rPr>
          <w:szCs w:val="22"/>
        </w:rPr>
        <w:t xml:space="preserve">. Apart from the Jimargil site, many of the targets have only been validated and tested with one borehole, while some targets have yet to be drilled. For most of the targets, several factors require further investigation, including quantifying natural recharge and discharge processes, identifying the negative impacts associated with groundwater pumping, delineating the more transmissive parts of the formation, and assessing the economics and logistics of borefield and water supply design. Calibrated, transient numerical groundwater </w:t>
      </w:r>
      <w:r w:rsidR="003E5EE5">
        <w:rPr>
          <w:szCs w:val="22"/>
        </w:rPr>
        <w:t xml:space="preserve">flow and solute transport </w:t>
      </w:r>
      <w:r w:rsidRPr="00935679">
        <w:rPr>
          <w:szCs w:val="22"/>
        </w:rPr>
        <w:t>models are needed to determine the appropriate groundwater extraction rates</w:t>
      </w:r>
      <w:r w:rsidR="003E5EE5">
        <w:rPr>
          <w:szCs w:val="22"/>
        </w:rPr>
        <w:t xml:space="preserve"> or MAR </w:t>
      </w:r>
      <w:r w:rsidR="007C45E4">
        <w:rPr>
          <w:szCs w:val="22"/>
        </w:rPr>
        <w:t>strategies</w:t>
      </w:r>
      <w:r w:rsidRPr="00935679">
        <w:rPr>
          <w:szCs w:val="22"/>
        </w:rPr>
        <w:t>. These resources, which were largely unknown prior to this study, and are currently un</w:t>
      </w:r>
      <w:r w:rsidR="003E5EE5">
        <w:rPr>
          <w:szCs w:val="22"/>
        </w:rPr>
        <w:t>derutilised</w:t>
      </w:r>
      <w:r w:rsidRPr="00935679">
        <w:rPr>
          <w:szCs w:val="22"/>
        </w:rPr>
        <w:t xml:space="preserve">, have the potential to provide drought security for regional communities and industries, and assist regional development. </w:t>
      </w:r>
    </w:p>
    <w:p w:rsidR="002F227D" w:rsidRPr="00935679" w:rsidRDefault="002F227D" w:rsidP="002F227D">
      <w:pPr>
        <w:rPr>
          <w:szCs w:val="22"/>
        </w:rPr>
      </w:pPr>
    </w:p>
    <w:p w:rsidR="004E4BC4" w:rsidRDefault="004E4BC4" w:rsidP="002F227D">
      <w:pPr>
        <w:rPr>
          <w:szCs w:val="22"/>
        </w:rPr>
      </w:pPr>
      <w:r w:rsidRPr="00935679">
        <w:rPr>
          <w:szCs w:val="22"/>
        </w:rPr>
        <w:t xml:space="preserve">Drilling and testing of the Pliocene aquifers in these </w:t>
      </w:r>
      <w:r w:rsidR="00CF637B" w:rsidRPr="00935679">
        <w:rPr>
          <w:szCs w:val="22"/>
        </w:rPr>
        <w:t xml:space="preserve">regional </w:t>
      </w:r>
      <w:r w:rsidRPr="00935679">
        <w:rPr>
          <w:szCs w:val="22"/>
        </w:rPr>
        <w:t>targets show that in general they have moderate to excellent hydraulic properties and</w:t>
      </w:r>
      <w:r w:rsidR="003E5EE5">
        <w:rPr>
          <w:szCs w:val="22"/>
        </w:rPr>
        <w:t xml:space="preserve"> sites have been identified with</w:t>
      </w:r>
      <w:r w:rsidRPr="00935679">
        <w:rPr>
          <w:szCs w:val="22"/>
        </w:rPr>
        <w:t xml:space="preserve"> overall characteristics suitable for groundwater extraction and/or MAR</w:t>
      </w:r>
      <w:r w:rsidR="00187C17" w:rsidRPr="00935679">
        <w:rPr>
          <w:szCs w:val="22"/>
        </w:rPr>
        <w:t xml:space="preserve"> (Lawrie</w:t>
      </w:r>
      <w:r w:rsidR="008A5F7D" w:rsidRPr="00CF7613">
        <w:rPr>
          <w:rStyle w:val="StyleItalic"/>
        </w:rPr>
        <w:t xml:space="preserve"> et al</w:t>
      </w:r>
      <w:r w:rsidR="00187C17" w:rsidRPr="00935679">
        <w:rPr>
          <w:szCs w:val="22"/>
        </w:rPr>
        <w:t>., 2012a, b)</w:t>
      </w:r>
      <w:r w:rsidRPr="00935679">
        <w:rPr>
          <w:szCs w:val="22"/>
        </w:rPr>
        <w:t xml:space="preserve">. </w:t>
      </w:r>
      <w:r w:rsidR="003E5EE5">
        <w:rPr>
          <w:szCs w:val="22"/>
        </w:rPr>
        <w:t>At these sites, t</w:t>
      </w:r>
      <w:r w:rsidRPr="00935679">
        <w:rPr>
          <w:szCs w:val="22"/>
        </w:rPr>
        <w:t xml:space="preserve">he aquifers have been found to have high storage capacity, moderate to very high transmissivities, and are sandwiched between mud aquitards. </w:t>
      </w:r>
      <w:r w:rsidR="003E5EE5">
        <w:rPr>
          <w:szCs w:val="22"/>
        </w:rPr>
        <w:t xml:space="preserve">Groundwater quality with respect to ADWG2011 guidelines varies across the targets however the more common elements found in exceedance </w:t>
      </w:r>
      <w:r w:rsidRPr="00935679">
        <w:rPr>
          <w:szCs w:val="22"/>
        </w:rPr>
        <w:t>(e.g. manganese, iron and ammonia)</w:t>
      </w:r>
      <w:r w:rsidR="003E5EE5">
        <w:rPr>
          <w:szCs w:val="22"/>
        </w:rPr>
        <w:t xml:space="preserve"> are </w:t>
      </w:r>
      <w:r w:rsidRPr="00935679">
        <w:rPr>
          <w:szCs w:val="22"/>
        </w:rPr>
        <w:t xml:space="preserve">treatable using standard processes. At least </w:t>
      </w:r>
      <w:r w:rsidR="00C4624A">
        <w:rPr>
          <w:szCs w:val="22"/>
        </w:rPr>
        <w:t>four</w:t>
      </w:r>
      <w:r w:rsidRPr="00935679">
        <w:rPr>
          <w:szCs w:val="22"/>
        </w:rPr>
        <w:t xml:space="preserve"> of the 14 groundwater targets would be considered a</w:t>
      </w:r>
      <w:r w:rsidR="00625945">
        <w:rPr>
          <w:szCs w:val="22"/>
        </w:rPr>
        <w:t xml:space="preserve">s </w:t>
      </w:r>
      <w:r w:rsidRPr="00935679">
        <w:rPr>
          <w:szCs w:val="22"/>
        </w:rPr>
        <w:t>fossil resource</w:t>
      </w:r>
      <w:r w:rsidR="00625945">
        <w:rPr>
          <w:szCs w:val="22"/>
        </w:rPr>
        <w:t>s</w:t>
      </w:r>
      <w:r w:rsidRPr="00935679">
        <w:rPr>
          <w:szCs w:val="22"/>
        </w:rPr>
        <w:t xml:space="preserve"> as </w:t>
      </w:r>
      <w:r w:rsidR="001107E4">
        <w:rPr>
          <w:szCs w:val="22"/>
        </w:rPr>
        <w:t>they are</w:t>
      </w:r>
      <w:r w:rsidRPr="00935679">
        <w:rPr>
          <w:szCs w:val="22"/>
        </w:rPr>
        <w:t xml:space="preserve"> not being actively recharged by modern river leakage or rainfall</w:t>
      </w:r>
      <w:r w:rsidR="00187C17" w:rsidRPr="00935679">
        <w:rPr>
          <w:szCs w:val="22"/>
        </w:rPr>
        <w:t xml:space="preserve"> (Lawrie</w:t>
      </w:r>
      <w:r w:rsidR="008A5F7D" w:rsidRPr="00CF7613">
        <w:rPr>
          <w:rStyle w:val="StyleItalic"/>
        </w:rPr>
        <w:t xml:space="preserve"> et al</w:t>
      </w:r>
      <w:r w:rsidR="00187C17" w:rsidRPr="00935679">
        <w:rPr>
          <w:szCs w:val="22"/>
        </w:rPr>
        <w:t>., 2012b)</w:t>
      </w:r>
      <w:r w:rsidRPr="00935679">
        <w:rPr>
          <w:szCs w:val="22"/>
        </w:rPr>
        <w:t>. Higher recharge rates probably occurred during earlier wetter climatic phases in the Holocene. Additional fresh groundwater also occurs within shallow (&lt;30</w:t>
      </w:r>
      <w:r w:rsidR="00187C17" w:rsidRPr="00935679">
        <w:rPr>
          <w:szCs w:val="22"/>
        </w:rPr>
        <w:t xml:space="preserve"> </w:t>
      </w:r>
      <w:r w:rsidRPr="00935679">
        <w:rPr>
          <w:szCs w:val="22"/>
        </w:rPr>
        <w:t>m) unconfined Holocene-Pleistocene (</w:t>
      </w:r>
      <w:r w:rsidR="00C217F0" w:rsidRPr="00935679">
        <w:rPr>
          <w:szCs w:val="22"/>
        </w:rPr>
        <w:t>Coonambidgal Formation</w:t>
      </w:r>
      <w:r w:rsidRPr="00935679">
        <w:rPr>
          <w:szCs w:val="22"/>
        </w:rPr>
        <w:t xml:space="preserve"> and </w:t>
      </w:r>
      <w:r w:rsidR="00C217F0" w:rsidRPr="00935679">
        <w:rPr>
          <w:szCs w:val="22"/>
        </w:rPr>
        <w:t>Menindee Formation</w:t>
      </w:r>
      <w:r w:rsidRPr="00935679">
        <w:rPr>
          <w:szCs w:val="22"/>
        </w:rPr>
        <w:t>) aquifers.</w:t>
      </w:r>
    </w:p>
    <w:p w:rsidR="002F227D" w:rsidRPr="00F749D3" w:rsidRDefault="002F227D" w:rsidP="002F227D">
      <w:pPr>
        <w:rPr>
          <w:szCs w:val="22"/>
        </w:rPr>
      </w:pPr>
    </w:p>
    <w:p w:rsidR="00222B84" w:rsidRDefault="004E4BC4" w:rsidP="002F227D">
      <w:pPr>
        <w:rPr>
          <w:szCs w:val="22"/>
        </w:rPr>
      </w:pPr>
      <w:r>
        <w:rPr>
          <w:szCs w:val="22"/>
        </w:rPr>
        <w:lastRenderedPageBreak/>
        <w:t>In summary, the datasets, derived products, knowledge</w:t>
      </w:r>
      <w:r w:rsidRPr="004A4E17">
        <w:rPr>
          <w:szCs w:val="22"/>
        </w:rPr>
        <w:t xml:space="preserve"> </w:t>
      </w:r>
      <w:r>
        <w:rPr>
          <w:szCs w:val="22"/>
        </w:rPr>
        <w:t xml:space="preserve">and risk assessments </w:t>
      </w:r>
      <w:r w:rsidRPr="004A4E17">
        <w:rPr>
          <w:szCs w:val="22"/>
        </w:rPr>
        <w:t xml:space="preserve">generated </w:t>
      </w:r>
      <w:r>
        <w:rPr>
          <w:szCs w:val="22"/>
        </w:rPr>
        <w:t xml:space="preserve">in this project </w:t>
      </w:r>
      <w:r w:rsidRPr="004A4E17">
        <w:rPr>
          <w:szCs w:val="22"/>
        </w:rPr>
        <w:t xml:space="preserve">provide </w:t>
      </w:r>
      <w:r>
        <w:rPr>
          <w:szCs w:val="22"/>
        </w:rPr>
        <w:t xml:space="preserve">a solid scientific and </w:t>
      </w:r>
      <w:r w:rsidRPr="002F227D">
        <w:t>technical</w:t>
      </w:r>
      <w:r>
        <w:rPr>
          <w:szCs w:val="22"/>
        </w:rPr>
        <w:t xml:space="preserve"> framework for future decisions on groundwater-related options to secure the water supplies for Broken Hill, regional communities and industries. </w:t>
      </w:r>
      <w:r w:rsidR="00187C17">
        <w:rPr>
          <w:szCs w:val="22"/>
        </w:rPr>
        <w:t xml:space="preserve">Furthermore, this information </w:t>
      </w:r>
      <w:r>
        <w:rPr>
          <w:szCs w:val="22"/>
        </w:rPr>
        <w:t xml:space="preserve">will assist with the </w:t>
      </w:r>
      <w:r w:rsidRPr="004A4E17">
        <w:rPr>
          <w:szCs w:val="22"/>
        </w:rPr>
        <w:t xml:space="preserve">parameterisation of </w:t>
      </w:r>
      <w:r>
        <w:rPr>
          <w:szCs w:val="22"/>
        </w:rPr>
        <w:t xml:space="preserve">the </w:t>
      </w:r>
      <w:r w:rsidRPr="004A4E17">
        <w:rPr>
          <w:szCs w:val="22"/>
        </w:rPr>
        <w:t xml:space="preserve">groundwater </w:t>
      </w:r>
      <w:r w:rsidR="00625945">
        <w:rPr>
          <w:szCs w:val="22"/>
        </w:rPr>
        <w:t xml:space="preserve">flow </w:t>
      </w:r>
      <w:r w:rsidRPr="004A4E17">
        <w:rPr>
          <w:szCs w:val="22"/>
        </w:rPr>
        <w:t>and solute trans</w:t>
      </w:r>
      <w:r w:rsidR="00625945">
        <w:rPr>
          <w:szCs w:val="22"/>
        </w:rPr>
        <w:t>port</w:t>
      </w:r>
      <w:r w:rsidRPr="004A4E17">
        <w:rPr>
          <w:szCs w:val="22"/>
        </w:rPr>
        <w:t xml:space="preserve"> models that </w:t>
      </w:r>
      <w:r>
        <w:rPr>
          <w:szCs w:val="22"/>
        </w:rPr>
        <w:t>will be required to assess the most appropriate option and guide development at the Jimar</w:t>
      </w:r>
      <w:r w:rsidR="00C43508">
        <w:rPr>
          <w:szCs w:val="22"/>
        </w:rPr>
        <w:t>g</w:t>
      </w:r>
      <w:r>
        <w:rPr>
          <w:szCs w:val="22"/>
        </w:rPr>
        <w:t>il site, and any of the regional groundwater targets</w:t>
      </w:r>
      <w:r w:rsidRPr="004A4E17">
        <w:rPr>
          <w:szCs w:val="22"/>
        </w:rPr>
        <w:t>.</w:t>
      </w:r>
      <w:r>
        <w:rPr>
          <w:szCs w:val="22"/>
        </w:rPr>
        <w:t xml:space="preserve"> </w:t>
      </w:r>
    </w:p>
    <w:p w:rsidR="002F227D" w:rsidRDefault="002F227D" w:rsidP="00222B84">
      <w:pPr>
        <w:rPr>
          <w:szCs w:val="22"/>
        </w:rPr>
      </w:pPr>
    </w:p>
    <w:p w:rsidR="00E158E2" w:rsidRDefault="004E4BC4" w:rsidP="002F227D">
      <w:pPr>
        <w:rPr>
          <w:szCs w:val="22"/>
        </w:rPr>
      </w:pPr>
      <w:r w:rsidRPr="001E44D8">
        <w:rPr>
          <w:szCs w:val="22"/>
        </w:rPr>
        <w:t xml:space="preserve">The new understanding of recharge mechanisms </w:t>
      </w:r>
      <w:r w:rsidRPr="00935679">
        <w:rPr>
          <w:szCs w:val="22"/>
        </w:rPr>
        <w:t xml:space="preserve">during flood events </w:t>
      </w:r>
      <w:r w:rsidR="00187C17" w:rsidRPr="00935679">
        <w:rPr>
          <w:szCs w:val="22"/>
        </w:rPr>
        <w:t>(Lawrie</w:t>
      </w:r>
      <w:r w:rsidR="008A5F7D" w:rsidRPr="00CF7613">
        <w:rPr>
          <w:rStyle w:val="StyleItalic"/>
        </w:rPr>
        <w:t xml:space="preserve"> et al</w:t>
      </w:r>
      <w:r w:rsidR="00187C17" w:rsidRPr="00935679">
        <w:rPr>
          <w:szCs w:val="22"/>
        </w:rPr>
        <w:t xml:space="preserve">., 2012b) </w:t>
      </w:r>
      <w:r w:rsidRPr="00935679">
        <w:t>has</w:t>
      </w:r>
      <w:r w:rsidRPr="00935679">
        <w:rPr>
          <w:szCs w:val="22"/>
        </w:rPr>
        <w:t xml:space="preserve"> broader implications for the modelling and assessment of surface-groundwater interaction in many rivers in the Basin, and more broadly. </w:t>
      </w:r>
      <w:r w:rsidR="00E158E2" w:rsidRPr="00935679">
        <w:rPr>
          <w:szCs w:val="22"/>
        </w:rPr>
        <w:t xml:space="preserve">The BHMAR study has also demonstrated </w:t>
      </w:r>
      <w:r w:rsidR="001E44D8" w:rsidRPr="00935679">
        <w:rPr>
          <w:szCs w:val="22"/>
        </w:rPr>
        <w:t xml:space="preserve">the benefits of </w:t>
      </w:r>
      <w:r w:rsidR="00E158E2" w:rsidRPr="00935679">
        <w:rPr>
          <w:szCs w:val="22"/>
        </w:rPr>
        <w:t xml:space="preserve">a </w:t>
      </w:r>
      <w:r w:rsidR="003E5EE5">
        <w:rPr>
          <w:szCs w:val="22"/>
        </w:rPr>
        <w:t>trans</w:t>
      </w:r>
      <w:r w:rsidR="00E158E2" w:rsidRPr="00935679">
        <w:rPr>
          <w:szCs w:val="22"/>
        </w:rPr>
        <w:t xml:space="preserve">-disciplinary hydrogeological systems mapping and risk assessment approach </w:t>
      </w:r>
      <w:r w:rsidR="001E44D8" w:rsidRPr="00935679">
        <w:rPr>
          <w:szCs w:val="22"/>
        </w:rPr>
        <w:t xml:space="preserve">to identify and assess MAR options for </w:t>
      </w:r>
      <w:r w:rsidR="00E158E2" w:rsidRPr="00935679">
        <w:rPr>
          <w:szCs w:val="22"/>
        </w:rPr>
        <w:t>pioneering projects in new and/or more remote locations.</w:t>
      </w:r>
    </w:p>
    <w:p w:rsidR="002F227D" w:rsidRPr="001E44D8" w:rsidRDefault="002F227D" w:rsidP="002F227D">
      <w:pPr>
        <w:rPr>
          <w:szCs w:val="22"/>
        </w:rPr>
      </w:pPr>
    </w:p>
    <w:p w:rsidR="0088363D" w:rsidRDefault="0088363D" w:rsidP="00CF7613">
      <w:pPr>
        <w:spacing w:before="60"/>
        <w:rPr>
          <w:szCs w:val="22"/>
        </w:rPr>
      </w:pPr>
      <w:r>
        <w:rPr>
          <w:szCs w:val="22"/>
        </w:rPr>
        <w:t xml:space="preserve">Recognition that Neogene-to-Recent deformation is more extensive than previously recognised in the Murray-Darling Basin Catchment, has significance for the identification and assessment of unconventional oil and gas resources in the underlying geological basins. In these areas, studies of Neogene-to-Recent intraplate deformation are recommended to identify and characterise key structures that might play an important role in recharge and inter-aquifer leakage processes. These studies are also required to refine models of present-day and neotectonic palaeostress trends and partitioning. These studies should include the Darling River Lineament and related structures in </w:t>
      </w:r>
      <w:smartTag w:uri="urn:schemas-microsoft-com:office:smarttags" w:element="place">
        <w:r>
          <w:rPr>
            <w:szCs w:val="22"/>
          </w:rPr>
          <w:t>Eastern Australia</w:t>
        </w:r>
      </w:smartTag>
      <w:r>
        <w:rPr>
          <w:szCs w:val="22"/>
        </w:rPr>
        <w:t>, with Neogene-to-Recent deformation studies also recommended more generally for other geological basins where there is exploration for unconventional oil and gas deposits.</w:t>
      </w:r>
    </w:p>
    <w:p w:rsidR="0088363D" w:rsidRDefault="0088363D" w:rsidP="002F227D">
      <w:pPr>
        <w:rPr>
          <w:szCs w:val="22"/>
        </w:rPr>
      </w:pPr>
    </w:p>
    <w:p w:rsidR="0091460F" w:rsidRDefault="001E44D8" w:rsidP="002F227D">
      <w:r w:rsidRPr="001E44D8">
        <w:t>T</w:t>
      </w:r>
      <w:r w:rsidR="004E4BC4" w:rsidRPr="001E44D8">
        <w:t>he new geological, geophysical, geochemical and hydrogeological datasets and understanding acquired in this project also have broader implications for fundamental geological</w:t>
      </w:r>
      <w:r w:rsidR="008C2768">
        <w:t xml:space="preserve"> studies, including neotectonic</w:t>
      </w:r>
      <w:r w:rsidR="004E4BC4" w:rsidRPr="001E44D8">
        <w:t xml:space="preserve"> risk assessment</w:t>
      </w:r>
      <w:r w:rsidR="008C2768">
        <w:t>s</w:t>
      </w:r>
      <w:r w:rsidR="004E4BC4" w:rsidRPr="001E44D8">
        <w:t>, as well as mineral exploration.</w:t>
      </w:r>
    </w:p>
    <w:p w:rsidR="00AD0D61" w:rsidRDefault="00AD0D61" w:rsidP="002F227D"/>
    <w:p w:rsidR="00AD0D61" w:rsidRDefault="00AD0D61" w:rsidP="00AD0D61">
      <w:pPr>
        <w:pStyle w:val="Heading2"/>
        <w:tabs>
          <w:tab w:val="left" w:pos="720"/>
        </w:tabs>
        <w:spacing w:before="320"/>
      </w:pPr>
      <w:bookmarkStart w:id="784" w:name="_Toc390690185"/>
      <w:r>
        <w:rPr>
          <w:noProof/>
        </w:rPr>
        <w:t xml:space="preserve">Managed Aquifer Recharge </w:t>
      </w:r>
      <w:r w:rsidR="00DD705F">
        <w:rPr>
          <w:noProof/>
        </w:rPr>
        <w:t>M</w:t>
      </w:r>
      <w:smartTag w:uri="urn:schemas-microsoft-com:office:smarttags" w:element="State">
        <w:r>
          <w:rPr>
            <w:noProof/>
          </w:rPr>
          <w:t>ore</w:t>
        </w:r>
      </w:smartTag>
      <w:r>
        <w:rPr>
          <w:noProof/>
        </w:rPr>
        <w:t xml:space="preserve"> </w:t>
      </w:r>
      <w:r w:rsidR="00DD705F">
        <w:rPr>
          <w:noProof/>
        </w:rPr>
        <w:t>B</w:t>
      </w:r>
      <w:r>
        <w:rPr>
          <w:noProof/>
        </w:rPr>
        <w:t xml:space="preserve">roadly in Inland </w:t>
      </w:r>
      <w:smartTag w:uri="urn:schemas-microsoft-com:office:smarttags" w:element="place">
        <w:smartTag w:uri="urn:schemas-microsoft-com:office:smarttags" w:element="country-region">
          <w:r>
            <w:rPr>
              <w:noProof/>
            </w:rPr>
            <w:t>Australia</w:t>
          </w:r>
        </w:smartTag>
      </w:smartTag>
      <w:r>
        <w:rPr>
          <w:noProof/>
        </w:rPr>
        <w:t>: Some Opportunities and Challenges</w:t>
      </w:r>
      <w:bookmarkEnd w:id="784"/>
    </w:p>
    <w:p w:rsidR="00AD0D61" w:rsidRDefault="00AD0D61" w:rsidP="00AD0D61">
      <w:pPr>
        <w:rPr>
          <w:rFonts w:cs="Arial"/>
          <w:color w:val="000000"/>
          <w:szCs w:val="18"/>
        </w:rPr>
      </w:pPr>
      <w:r>
        <w:rPr>
          <w:rFonts w:cs="Arial"/>
          <w:color w:val="000000"/>
          <w:szCs w:val="18"/>
        </w:rPr>
        <w:t xml:space="preserve">Surface water availability limits managed aquifer recharge (MAR) opportunities in inland Australia, however new mining and energy developments (e.g. coal seam gas and shale gas) have increased the range of </w:t>
      </w:r>
      <w:r w:rsidR="003E5EE5">
        <w:rPr>
          <w:rFonts w:cs="Arial"/>
          <w:color w:val="000000"/>
          <w:szCs w:val="18"/>
        </w:rPr>
        <w:t xml:space="preserve">potential </w:t>
      </w:r>
      <w:r>
        <w:rPr>
          <w:rFonts w:cs="Arial"/>
          <w:color w:val="000000"/>
          <w:szCs w:val="18"/>
        </w:rPr>
        <w:t xml:space="preserve">available source waters for MAR. Furthermore, in northern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 recent studies have shown that shallow aquifers may not experience seasonal ‘fill and spill”, and hence have greater potential for enhanced recharge than previously realised.</w:t>
      </w:r>
    </w:p>
    <w:p w:rsidR="00AD0D61" w:rsidRDefault="00AD0D61" w:rsidP="00AD0D61">
      <w:pPr>
        <w:rPr>
          <w:rFonts w:cs="Arial"/>
          <w:color w:val="000000"/>
          <w:szCs w:val="18"/>
        </w:rPr>
      </w:pPr>
    </w:p>
    <w:p w:rsidR="00AD0D61" w:rsidRDefault="00AD0D61" w:rsidP="00AD0D61">
      <w:pPr>
        <w:rPr>
          <w:rFonts w:cs="Arial"/>
          <w:color w:val="000000"/>
          <w:szCs w:val="18"/>
        </w:rPr>
      </w:pPr>
      <w:r>
        <w:rPr>
          <w:rFonts w:cs="Arial"/>
          <w:color w:val="000000"/>
          <w:szCs w:val="18"/>
        </w:rPr>
        <w:t xml:space="preserve">This study has shown that </w:t>
      </w:r>
      <w:r w:rsidR="007C45E4">
        <w:rPr>
          <w:rFonts w:cs="Arial"/>
          <w:color w:val="000000"/>
          <w:szCs w:val="18"/>
        </w:rPr>
        <w:t>economic</w:t>
      </w:r>
      <w:r>
        <w:rPr>
          <w:rFonts w:cs="Arial"/>
          <w:color w:val="000000"/>
          <w:szCs w:val="18"/>
        </w:rPr>
        <w:t xml:space="preserve"> factors generally limit MAR investigations to shallow (&lt;200</w:t>
      </w:r>
      <w:r w:rsidR="003E5EE5">
        <w:rPr>
          <w:rFonts w:cs="Arial"/>
          <w:color w:val="000000"/>
          <w:szCs w:val="18"/>
        </w:rPr>
        <w:t xml:space="preserve"> </w:t>
      </w:r>
      <w:r>
        <w:rPr>
          <w:rFonts w:cs="Arial"/>
          <w:color w:val="000000"/>
          <w:szCs w:val="18"/>
        </w:rPr>
        <w:t xml:space="preserve">m depth) groundwater systems near existing infrastructure. In the near-surface environment in inland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 xml:space="preserve">, MAR storage potential lies primarily in shallow palaeo-channel and alluvial fans systems. Sands deposited in marine environments have a more restricted distribution, but generally have more consistent hydraulic properties. </w:t>
      </w:r>
    </w:p>
    <w:p w:rsidR="003B3C54" w:rsidRDefault="003B3C54" w:rsidP="003B3C54">
      <w:pPr>
        <w:rPr>
          <w:rFonts w:cs="Arial"/>
          <w:color w:val="000000"/>
          <w:szCs w:val="18"/>
        </w:rPr>
      </w:pPr>
    </w:p>
    <w:p w:rsidR="003B3C54" w:rsidRPr="00FF7DC6" w:rsidRDefault="003B3C54" w:rsidP="003B3C54">
      <w:pPr>
        <w:rPr>
          <w:rFonts w:cs="Arial"/>
          <w:color w:val="000000"/>
          <w:szCs w:val="18"/>
        </w:rPr>
      </w:pPr>
      <w:r>
        <w:rPr>
          <w:rFonts w:cs="Arial"/>
          <w:szCs w:val="18"/>
        </w:rPr>
        <w:t xml:space="preserve">Some of the challenges for </w:t>
      </w:r>
      <w:r>
        <w:rPr>
          <w:rFonts w:cs="Arial"/>
          <w:color w:val="000000"/>
          <w:szCs w:val="18"/>
        </w:rPr>
        <w:t xml:space="preserve">MAR projects in inland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 xml:space="preserve"> include:</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t>There is a general paucity of relevant spatial and temporal hydrogeological data;</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t xml:space="preserve">Hydrogeological and hydrogeochemical processes in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’s shallow aquifer systems are generally poorly understood at all scales relevant to MAR assessments;</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t xml:space="preserve">Many of </w:t>
      </w:r>
      <w:smartTag w:uri="urn:schemas-microsoft-com:office:smarttags" w:element="place">
        <w:smartTag w:uri="urn:schemas-microsoft-com:office:smarttags" w:element="country-region">
          <w:r>
            <w:rPr>
              <w:rFonts w:cs="Arial"/>
              <w:color w:val="000000"/>
              <w:szCs w:val="18"/>
            </w:rPr>
            <w:t>Australia</w:t>
          </w:r>
        </w:smartTag>
      </w:smartTag>
      <w:r>
        <w:rPr>
          <w:rFonts w:cs="Arial"/>
          <w:color w:val="000000"/>
          <w:szCs w:val="18"/>
        </w:rPr>
        <w:t xml:space="preserve">’s inland depositional landscapes are characterised by fining-upwards sedimentary systems, limiting surface infiltration options; </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t xml:space="preserve">Palaeo-channel systems are difficult investigative targets, with highly variable hydraulic properties; </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t>Confining aquitards (lacustrine or marine clays) have a restricted distribution, and are poorly understood;</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t xml:space="preserve">Post-depositional weathering of sedimentary sequences is significant but highly variable, modifying hydraulic and geochemical properties, with implications for aquifer clogging potential; </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lastRenderedPageBreak/>
        <w:t>Faults in sediments and geological basement may be MAR targets and/or play a role in recharge, but their distribution and hydraulic properties are poorly understood;</w:t>
      </w:r>
    </w:p>
    <w:p w:rsidR="003B3C54" w:rsidRDefault="003B3C54" w:rsidP="003B3C54">
      <w:pPr>
        <w:numPr>
          <w:ilvl w:val="0"/>
          <w:numId w:val="70"/>
        </w:numPr>
        <w:tabs>
          <w:tab w:val="clear" w:pos="901"/>
          <w:tab w:val="num" w:pos="540"/>
        </w:tabs>
        <w:overflowPunct w:val="0"/>
        <w:autoSpaceDE w:val="0"/>
        <w:autoSpaceDN w:val="0"/>
        <w:adjustRightInd w:val="0"/>
        <w:spacing w:before="60"/>
        <w:ind w:left="540"/>
        <w:jc w:val="both"/>
        <w:textAlignment w:val="baseline"/>
        <w:rPr>
          <w:rFonts w:cs="Arial"/>
          <w:color w:val="000000"/>
          <w:szCs w:val="18"/>
        </w:rPr>
      </w:pPr>
      <w:r>
        <w:rPr>
          <w:rFonts w:cs="Arial"/>
          <w:color w:val="000000"/>
          <w:szCs w:val="18"/>
        </w:rPr>
        <w:t>Water quality in aquifers (e.g. salinities and trace metals), important for recovery efficiencies, is poorly understood.</w:t>
      </w:r>
    </w:p>
    <w:p w:rsidR="003B3C54" w:rsidRDefault="003B3C54" w:rsidP="003B3C54">
      <w:pPr>
        <w:rPr>
          <w:rFonts w:cs="Arial"/>
          <w:color w:val="000000"/>
          <w:szCs w:val="18"/>
        </w:rPr>
      </w:pPr>
    </w:p>
    <w:p w:rsidR="003B3C54" w:rsidRPr="00CF7613" w:rsidRDefault="003B3C54" w:rsidP="00CF7613">
      <w:pPr>
        <w:rPr>
          <w:rFonts w:cs="Arial"/>
          <w:color w:val="000000"/>
          <w:szCs w:val="18"/>
        </w:rPr>
      </w:pPr>
      <w:r w:rsidRPr="00CF7613">
        <w:rPr>
          <w:rFonts w:cs="Arial"/>
          <w:color w:val="000000"/>
          <w:szCs w:val="18"/>
        </w:rPr>
        <w:t xml:space="preserve">Overall, the science expertise, capacity, </w:t>
      </w:r>
      <w:r w:rsidR="00971C9D" w:rsidRPr="00CF7613">
        <w:rPr>
          <w:rFonts w:cs="Arial"/>
          <w:color w:val="000000"/>
          <w:szCs w:val="18"/>
        </w:rPr>
        <w:t>workflows</w:t>
      </w:r>
      <w:r w:rsidRPr="00CF7613">
        <w:rPr>
          <w:rFonts w:cs="Arial"/>
          <w:color w:val="000000"/>
          <w:szCs w:val="18"/>
        </w:rPr>
        <w:t xml:space="preserve"> and methodologies developed in this project have the potential to inform the re-imagining and re-design of water storages in </w:t>
      </w:r>
      <w:smartTag w:uri="urn:schemas-microsoft-com:office:smarttags" w:element="place">
        <w:smartTag w:uri="urn:schemas-microsoft-com:office:smarttags" w:element="country-region">
          <w:r w:rsidRPr="00CF7613">
            <w:rPr>
              <w:rFonts w:cs="Arial"/>
              <w:color w:val="000000"/>
              <w:szCs w:val="18"/>
            </w:rPr>
            <w:t>Australia</w:t>
          </w:r>
        </w:smartTag>
      </w:smartTag>
      <w:r w:rsidRPr="00CF7613">
        <w:rPr>
          <w:rFonts w:cs="Arial"/>
          <w:color w:val="000000"/>
          <w:szCs w:val="18"/>
        </w:rPr>
        <w:t xml:space="preserve">. Conjunctive water supply schemes that incorporate managed aquifer recharge have the potential to provide greater drought security for regional communities and industries, facilitate regional development, and deliver significant environmental benefits for the long term. However, this study has shown there are significant scientific, technical, economic and social challenges will need to be overcome to realise this vision, and to develop MAR options in groundwater data-poor areas of inland </w:t>
      </w:r>
      <w:smartTag w:uri="urn:schemas-microsoft-com:office:smarttags" w:element="place">
        <w:smartTag w:uri="urn:schemas-microsoft-com:office:smarttags" w:element="country-region">
          <w:r w:rsidRPr="00CF7613">
            <w:rPr>
              <w:rFonts w:cs="Arial"/>
              <w:color w:val="000000"/>
              <w:szCs w:val="18"/>
            </w:rPr>
            <w:t>Australia</w:t>
          </w:r>
        </w:smartTag>
      </w:smartTag>
      <w:r w:rsidRPr="00CF7613">
        <w:rPr>
          <w:rFonts w:cs="Arial"/>
          <w:color w:val="000000"/>
          <w:szCs w:val="18"/>
        </w:rPr>
        <w:t xml:space="preserve"> in particular. </w:t>
      </w:r>
    </w:p>
    <w:p w:rsidR="00A236E0" w:rsidRPr="00CF7613" w:rsidRDefault="00A236E0" w:rsidP="00CF7613">
      <w:pPr>
        <w:rPr>
          <w:rFonts w:cs="Arial"/>
          <w:color w:val="000000"/>
          <w:szCs w:val="18"/>
        </w:rPr>
      </w:pPr>
    </w:p>
    <w:p w:rsidR="003B3C54" w:rsidRPr="00CF7613" w:rsidRDefault="003B3C54" w:rsidP="00CF7613">
      <w:pPr>
        <w:rPr>
          <w:rFonts w:cs="Arial"/>
          <w:color w:val="000000"/>
          <w:szCs w:val="18"/>
        </w:rPr>
      </w:pPr>
      <w:r w:rsidRPr="00CF7613">
        <w:rPr>
          <w:rFonts w:cs="Arial"/>
          <w:color w:val="000000"/>
          <w:szCs w:val="18"/>
        </w:rPr>
        <w:t xml:space="preserve">A number of lessons learned from this study have the potential to significantly reduce scientific investigative costs for both MAR and groundwater resource identification and assessment, even in data-poor areas. There are also several high-level science findings of regional and national significance that may lead to the modification of hydrological conceptual models for surface-groundwater interaction and the management of this joint resource in several of </w:t>
      </w:r>
      <w:smartTag w:uri="urn:schemas-microsoft-com:office:smarttags" w:element="place">
        <w:smartTag w:uri="urn:schemas-microsoft-com:office:smarttags" w:element="country-region">
          <w:r w:rsidRPr="00CF7613">
            <w:rPr>
              <w:rFonts w:cs="Arial"/>
              <w:color w:val="000000"/>
              <w:szCs w:val="18"/>
            </w:rPr>
            <w:t>Australia</w:t>
          </w:r>
        </w:smartTag>
      </w:smartTag>
      <w:r w:rsidRPr="00CF7613">
        <w:rPr>
          <w:rFonts w:cs="Arial"/>
          <w:color w:val="000000"/>
          <w:szCs w:val="18"/>
        </w:rPr>
        <w:t>’s river basins. A stringent national risk assessment framework greatly assists with guiding the investigative effort required to assess proposed schemes.</w:t>
      </w:r>
    </w:p>
    <w:p w:rsidR="00AD0D61" w:rsidRPr="00CF7613" w:rsidRDefault="00AD0D61" w:rsidP="002F227D">
      <w:pPr>
        <w:rPr>
          <w:rFonts w:cs="Arial"/>
          <w:color w:val="000000"/>
          <w:szCs w:val="18"/>
        </w:rPr>
      </w:pPr>
    </w:p>
    <w:p w:rsidR="00BA6F9A" w:rsidRDefault="00B36F6E" w:rsidP="00D35ACA">
      <w:pPr>
        <w:pStyle w:val="Heading1"/>
        <w:tabs>
          <w:tab w:val="clear" w:pos="360"/>
          <w:tab w:val="num" w:pos="720"/>
        </w:tabs>
        <w:ind w:left="720" w:hanging="720"/>
      </w:pPr>
      <w:r w:rsidRPr="00B36F6E">
        <w:rPr>
          <w:rFonts w:ascii="Times New Roman" w:eastAsia="Times New Roman" w:hAnsi="Times New Roman"/>
          <w:kern w:val="0"/>
          <w:sz w:val="22"/>
          <w:szCs w:val="24"/>
        </w:rPr>
        <w:br w:type="page"/>
      </w:r>
      <w:bookmarkStart w:id="785" w:name="_Toc325700154"/>
      <w:bookmarkStart w:id="786" w:name="_Toc325700497"/>
      <w:bookmarkStart w:id="787" w:name="_Toc325975181"/>
      <w:bookmarkStart w:id="788" w:name="_Toc390690186"/>
      <w:r w:rsidR="00BA6F9A">
        <w:lastRenderedPageBreak/>
        <w:t>Recommendations</w:t>
      </w:r>
      <w:bookmarkEnd w:id="785"/>
      <w:bookmarkEnd w:id="786"/>
      <w:bookmarkEnd w:id="787"/>
      <w:bookmarkEnd w:id="788"/>
    </w:p>
    <w:p w:rsidR="00577F09" w:rsidRPr="00B7606B" w:rsidRDefault="00577F09" w:rsidP="00577F09">
      <w:pPr>
        <w:tabs>
          <w:tab w:val="num" w:pos="1797"/>
        </w:tabs>
        <w:spacing w:before="120" w:after="120"/>
        <w:rPr>
          <w:b/>
          <w:szCs w:val="22"/>
        </w:rPr>
      </w:pPr>
      <w:r w:rsidRPr="00B7606B">
        <w:rPr>
          <w:b/>
          <w:szCs w:val="22"/>
        </w:rPr>
        <w:t>Project Specific Recommendations</w:t>
      </w:r>
    </w:p>
    <w:p w:rsidR="00577F09" w:rsidRPr="00834708" w:rsidRDefault="00577F09" w:rsidP="00A75725">
      <w:pPr>
        <w:numPr>
          <w:ilvl w:val="0"/>
          <w:numId w:val="45"/>
        </w:numPr>
        <w:spacing w:before="120" w:after="120"/>
        <w:ind w:left="357" w:hanging="357"/>
        <w:rPr>
          <w:szCs w:val="22"/>
        </w:rPr>
      </w:pPr>
      <w:r w:rsidRPr="00834708">
        <w:rPr>
          <w:szCs w:val="22"/>
        </w:rPr>
        <w:t>If an alternative water supply option for Broken Hill involving groundwater extraction or MAR is pursued, then it is recommended that planning should proceed to develop the Jimargil borefield as the most suitable site. Specifically, the next steps to develop this site include:</w:t>
      </w:r>
    </w:p>
    <w:p w:rsidR="00577F09" w:rsidRPr="00834708" w:rsidRDefault="00577F09" w:rsidP="00A75725">
      <w:pPr>
        <w:numPr>
          <w:ilvl w:val="2"/>
          <w:numId w:val="45"/>
        </w:numPr>
        <w:tabs>
          <w:tab w:val="clear" w:pos="540"/>
          <w:tab w:val="num" w:pos="900"/>
          <w:tab w:val="num" w:pos="1800"/>
        </w:tabs>
        <w:spacing w:before="120" w:after="120"/>
        <w:ind w:left="896" w:hanging="357"/>
        <w:rPr>
          <w:szCs w:val="22"/>
        </w:rPr>
      </w:pPr>
      <w:r w:rsidRPr="00834708">
        <w:rPr>
          <w:szCs w:val="22"/>
        </w:rPr>
        <w:t xml:space="preserve">Costing of all options, as well as technical feasibility, geotechnical, and engineering assessments to determine the most appropriate option to enhance Broken Hill’s drought security. This should include assessment and costing of relevant infrastructure and treatment options, and the planning of borefields and pipeline routes. Options to minimise capital and operating costs and greenhouse gas emissions, should be considered. </w:t>
      </w:r>
    </w:p>
    <w:p w:rsidR="00505281" w:rsidRDefault="00505281" w:rsidP="00505281">
      <w:pPr>
        <w:numPr>
          <w:ilvl w:val="2"/>
          <w:numId w:val="45"/>
        </w:numPr>
        <w:tabs>
          <w:tab w:val="clear" w:pos="540"/>
          <w:tab w:val="num" w:pos="900"/>
        </w:tabs>
        <w:spacing w:before="60"/>
        <w:ind w:left="900" w:hanging="360"/>
        <w:rPr>
          <w:szCs w:val="22"/>
        </w:rPr>
      </w:pPr>
      <w:r>
        <w:rPr>
          <w:szCs w:val="22"/>
        </w:rPr>
        <w:t>Additional drilling, sampling and ground geophysics to validate the interpretation of aquifer properties and groundwater quality, particularly in the central part of the borefield target area where existing data is limited.</w:t>
      </w:r>
      <w:r w:rsidRPr="00505281">
        <w:rPr>
          <w:szCs w:val="22"/>
        </w:rPr>
        <w:t xml:space="preserve"> </w:t>
      </w:r>
      <w:r>
        <w:rPr>
          <w:szCs w:val="22"/>
        </w:rPr>
        <w:t xml:space="preserve">Understanding </w:t>
      </w:r>
      <w:r w:rsidRPr="00834708">
        <w:rPr>
          <w:szCs w:val="22"/>
        </w:rPr>
        <w:t>the heterogeneity of</w:t>
      </w:r>
      <w:r>
        <w:rPr>
          <w:szCs w:val="22"/>
        </w:rPr>
        <w:t xml:space="preserve"> the hydrogeological system at the borefield scale </w:t>
      </w:r>
      <w:r w:rsidRPr="00834708">
        <w:rPr>
          <w:szCs w:val="22"/>
        </w:rPr>
        <w:t>is essential for optimising borefield design</w:t>
      </w:r>
      <w:r>
        <w:rPr>
          <w:szCs w:val="22"/>
        </w:rPr>
        <w:t>.</w:t>
      </w:r>
    </w:p>
    <w:p w:rsidR="00505281" w:rsidRPr="006F626A" w:rsidRDefault="00505281" w:rsidP="00505281">
      <w:pPr>
        <w:numPr>
          <w:ilvl w:val="2"/>
          <w:numId w:val="45"/>
        </w:numPr>
        <w:tabs>
          <w:tab w:val="clear" w:pos="540"/>
          <w:tab w:val="num" w:pos="900"/>
        </w:tabs>
        <w:spacing w:before="60"/>
        <w:ind w:left="900" w:hanging="360"/>
        <w:rPr>
          <w:szCs w:val="22"/>
        </w:rPr>
      </w:pPr>
      <w:r>
        <w:rPr>
          <w:szCs w:val="22"/>
        </w:rPr>
        <w:t>Long-term aquifer pump tests to (1) derive key aquifer hydraulic parameters for the target Calivil Formation, (2) assess leakage between the Calivil Formation aquifer and the overlying Quaternary aquifers, including the potential impact on the shallow watertable and (3) assess the potential for ingress of more saline or lower quality groundwater into the pumped aquifer, either laterally from within the Calivil Formation or vertically, particularly from the underlying Renmark Formation.</w:t>
      </w:r>
    </w:p>
    <w:p w:rsidR="009B58FB" w:rsidRPr="00834708" w:rsidRDefault="00577F09" w:rsidP="00A75725">
      <w:pPr>
        <w:numPr>
          <w:ilvl w:val="2"/>
          <w:numId w:val="45"/>
        </w:numPr>
        <w:tabs>
          <w:tab w:val="clear" w:pos="540"/>
          <w:tab w:val="num" w:pos="900"/>
          <w:tab w:val="num" w:pos="1800"/>
        </w:tabs>
        <w:spacing w:before="120" w:after="120"/>
        <w:ind w:left="896" w:hanging="357"/>
        <w:rPr>
          <w:szCs w:val="22"/>
        </w:rPr>
      </w:pPr>
      <w:r w:rsidRPr="00834708">
        <w:rPr>
          <w:szCs w:val="22"/>
        </w:rPr>
        <w:t xml:space="preserve">A calibrated, transient numerical groundwater </w:t>
      </w:r>
      <w:r w:rsidR="00505281">
        <w:rPr>
          <w:szCs w:val="22"/>
        </w:rPr>
        <w:t xml:space="preserve">flow and solute transport </w:t>
      </w:r>
      <w:r w:rsidRPr="00834708">
        <w:rPr>
          <w:szCs w:val="22"/>
        </w:rPr>
        <w:t>model to optimise borefield design and assess potential negative impacts, regardless of the option selected at the Jimargil site.</w:t>
      </w:r>
    </w:p>
    <w:p w:rsidR="00577F09" w:rsidRPr="00834708" w:rsidRDefault="00577F09" w:rsidP="00A75725">
      <w:pPr>
        <w:numPr>
          <w:ilvl w:val="0"/>
          <w:numId w:val="45"/>
        </w:numPr>
        <w:spacing w:before="120" w:after="120"/>
        <w:ind w:left="357" w:hanging="357"/>
        <w:rPr>
          <w:szCs w:val="22"/>
        </w:rPr>
      </w:pPr>
      <w:r w:rsidRPr="00834708">
        <w:rPr>
          <w:szCs w:val="22"/>
        </w:rPr>
        <w:t xml:space="preserve">At the Jimargil site, assessment of the ASR option is most advanced, with additional groundwater modelling required to assess the viability of bank filtration and groundwater extraction options. </w:t>
      </w:r>
    </w:p>
    <w:p w:rsidR="00577F09" w:rsidRPr="00834708" w:rsidRDefault="00577F09" w:rsidP="00A75725">
      <w:pPr>
        <w:numPr>
          <w:ilvl w:val="2"/>
          <w:numId w:val="45"/>
        </w:numPr>
        <w:tabs>
          <w:tab w:val="clear" w:pos="540"/>
          <w:tab w:val="num" w:pos="900"/>
          <w:tab w:val="num" w:pos="1800"/>
        </w:tabs>
        <w:spacing w:before="120" w:after="120"/>
        <w:ind w:left="896" w:hanging="357"/>
        <w:rPr>
          <w:szCs w:val="22"/>
        </w:rPr>
      </w:pPr>
      <w:r w:rsidRPr="00834708">
        <w:rPr>
          <w:szCs w:val="22"/>
        </w:rPr>
        <w:t xml:space="preserve">If an ASR option is selected, work could begin to operationalise the site quickly, with the residual operational risk assessment conducted in pilot testing mode. This would entail initial operation in a smaller capacity mode, with cycle-testing to ensure that all the treatment barriers are appropriate. </w:t>
      </w:r>
    </w:p>
    <w:p w:rsidR="00834708" w:rsidRPr="00834708" w:rsidRDefault="00834708" w:rsidP="00A75725">
      <w:pPr>
        <w:numPr>
          <w:ilvl w:val="2"/>
          <w:numId w:val="45"/>
        </w:numPr>
        <w:tabs>
          <w:tab w:val="clear" w:pos="540"/>
          <w:tab w:val="num" w:pos="900"/>
          <w:tab w:val="num" w:pos="1800"/>
        </w:tabs>
        <w:spacing w:before="120" w:after="120"/>
        <w:ind w:left="896" w:hanging="357"/>
        <w:rPr>
          <w:szCs w:val="22"/>
        </w:rPr>
      </w:pPr>
      <w:r w:rsidRPr="00834708">
        <w:rPr>
          <w:szCs w:val="22"/>
        </w:rPr>
        <w:t>Validation of the treatment barriers (including the aquifer)</w:t>
      </w:r>
      <w:r>
        <w:rPr>
          <w:szCs w:val="22"/>
        </w:rPr>
        <w:t>,</w:t>
      </w:r>
      <w:r w:rsidRPr="00834708">
        <w:rPr>
          <w:szCs w:val="22"/>
        </w:rPr>
        <w:t xml:space="preserve"> and verification that the risks are low will be a central component of commissioning trials and will form the basis of an operational residual risk assessment for the BHMAR scheme. All of the risks described in this report would need to be verified as low and a risk management plan will need to be developed prior to recovery of MAR water to the mains supply.</w:t>
      </w:r>
    </w:p>
    <w:p w:rsidR="00834708" w:rsidRPr="00834708" w:rsidRDefault="00834708" w:rsidP="00A75725">
      <w:pPr>
        <w:numPr>
          <w:ilvl w:val="2"/>
          <w:numId w:val="45"/>
        </w:numPr>
        <w:tabs>
          <w:tab w:val="clear" w:pos="540"/>
          <w:tab w:val="num" w:pos="900"/>
          <w:tab w:val="num" w:pos="1800"/>
        </w:tabs>
        <w:spacing w:before="120" w:after="120"/>
        <w:ind w:left="896" w:hanging="357"/>
        <w:rPr>
          <w:szCs w:val="22"/>
        </w:rPr>
      </w:pPr>
      <w:r w:rsidRPr="00834708">
        <w:rPr>
          <w:szCs w:val="22"/>
        </w:rPr>
        <w:t xml:space="preserve">Preliminary analytical modelling at </w:t>
      </w:r>
      <w:r>
        <w:rPr>
          <w:szCs w:val="22"/>
        </w:rPr>
        <w:t xml:space="preserve">the Jimargil </w:t>
      </w:r>
      <w:r w:rsidRPr="00834708">
        <w:rPr>
          <w:szCs w:val="22"/>
        </w:rPr>
        <w:t xml:space="preserve">site suggests that changes in groundwater levels in the </w:t>
      </w:r>
      <w:r w:rsidR="000F7A6F">
        <w:rPr>
          <w:szCs w:val="22"/>
        </w:rPr>
        <w:t>shallow</w:t>
      </w:r>
      <w:r w:rsidRPr="00834708">
        <w:rPr>
          <w:szCs w:val="22"/>
        </w:rPr>
        <w:t xml:space="preserve"> aquifer would not be deleterious to the health</w:t>
      </w:r>
      <w:r>
        <w:rPr>
          <w:szCs w:val="22"/>
        </w:rPr>
        <w:t xml:space="preserve"> of phreatophytic vegetation. However, f</w:t>
      </w:r>
      <w:r w:rsidRPr="00834708">
        <w:rPr>
          <w:szCs w:val="22"/>
        </w:rPr>
        <w:t xml:space="preserve">urther drilling and pumping tests of the aquifer will be needed to confirm this, and allow numerical groundwater flow and solute transport modelling to evaluate timing and location of exchange of water between the </w:t>
      </w:r>
      <w:smartTag w:uri="urn:schemas-microsoft-com:office:smarttags" w:element="place">
        <w:r w:rsidRPr="00834708">
          <w:rPr>
            <w:szCs w:val="22"/>
          </w:rPr>
          <w:t>Darling River</w:t>
        </w:r>
      </w:smartTag>
      <w:r w:rsidRPr="00834708">
        <w:rPr>
          <w:szCs w:val="22"/>
        </w:rPr>
        <w:t xml:space="preserve"> and the groundwater system. A surface water entitlement to all groundwater extracted would be a minimum requirement and environmental consequences with and without recharge </w:t>
      </w:r>
      <w:r w:rsidR="000F7A6F">
        <w:rPr>
          <w:szCs w:val="22"/>
        </w:rPr>
        <w:t xml:space="preserve">needs to be </w:t>
      </w:r>
      <w:r w:rsidRPr="00834708">
        <w:rPr>
          <w:szCs w:val="22"/>
        </w:rPr>
        <w:t xml:space="preserve">evaluated, </w:t>
      </w:r>
      <w:r w:rsidR="000F7A6F">
        <w:rPr>
          <w:szCs w:val="22"/>
        </w:rPr>
        <w:t>taking into account</w:t>
      </w:r>
      <w:r w:rsidRPr="00834708">
        <w:rPr>
          <w:szCs w:val="22"/>
        </w:rPr>
        <w:t xml:space="preserve"> the timing of groundwater demand in relation to river flows and on impacts on native vegetation health</w:t>
      </w:r>
      <w:r>
        <w:rPr>
          <w:szCs w:val="22"/>
        </w:rPr>
        <w:t>.</w:t>
      </w:r>
    </w:p>
    <w:p w:rsidR="00834708" w:rsidRPr="00834708" w:rsidRDefault="003E5EE5" w:rsidP="00A75725">
      <w:pPr>
        <w:numPr>
          <w:ilvl w:val="2"/>
          <w:numId w:val="45"/>
        </w:numPr>
        <w:tabs>
          <w:tab w:val="clear" w:pos="540"/>
          <w:tab w:val="num" w:pos="900"/>
          <w:tab w:val="num" w:pos="1800"/>
        </w:tabs>
        <w:spacing w:before="120" w:after="120"/>
        <w:ind w:left="896" w:hanging="357"/>
        <w:rPr>
          <w:szCs w:val="22"/>
        </w:rPr>
      </w:pPr>
      <w:r>
        <w:rPr>
          <w:szCs w:val="22"/>
        </w:rPr>
        <w:t>Trial i</w:t>
      </w:r>
      <w:r w:rsidR="00834708" w:rsidRPr="00834708">
        <w:rPr>
          <w:szCs w:val="22"/>
        </w:rPr>
        <w:t xml:space="preserve">njection of treated </w:t>
      </w:r>
      <w:smartTag w:uri="urn:schemas-microsoft-com:office:smarttags" w:element="place">
        <w:r w:rsidR="00834708" w:rsidRPr="00834708">
          <w:rPr>
            <w:szCs w:val="22"/>
          </w:rPr>
          <w:t>Darling River</w:t>
        </w:r>
      </w:smartTag>
      <w:r w:rsidR="00834708" w:rsidRPr="00834708">
        <w:rPr>
          <w:szCs w:val="22"/>
        </w:rPr>
        <w:t xml:space="preserve"> water is necessary to assess the impact </w:t>
      </w:r>
      <w:r w:rsidR="000F7A6F">
        <w:rPr>
          <w:szCs w:val="22"/>
        </w:rPr>
        <w:t xml:space="preserve">of sub-surface processes </w:t>
      </w:r>
      <w:r w:rsidR="00834708" w:rsidRPr="00834708">
        <w:rPr>
          <w:szCs w:val="22"/>
        </w:rPr>
        <w:t>on the quality of recovered water, particularly redox reactions and the aquifer’s capacity to remove turbidity, pathogens and organic chemicals such as those produced by cyanobacteria. Aquifer tests by pumping should be undertaken on each prospective ASR well to determine the competence and confinement of the storage zone followed by commissioning trials for the preferred set of ASR wells to determine the water quality of recovered water prior to use of recovered water in drinking water supplies.</w:t>
      </w:r>
      <w:r w:rsidR="00465915">
        <w:rPr>
          <w:szCs w:val="22"/>
        </w:rPr>
        <w:t xml:space="preserve"> </w:t>
      </w:r>
    </w:p>
    <w:p w:rsidR="00834708" w:rsidRDefault="00834708" w:rsidP="00A75725">
      <w:pPr>
        <w:numPr>
          <w:ilvl w:val="2"/>
          <w:numId w:val="45"/>
        </w:numPr>
        <w:tabs>
          <w:tab w:val="clear" w:pos="540"/>
          <w:tab w:val="num" w:pos="900"/>
          <w:tab w:val="num" w:pos="1800"/>
        </w:tabs>
        <w:spacing w:before="120" w:after="120"/>
        <w:ind w:left="896" w:hanging="357"/>
        <w:rPr>
          <w:szCs w:val="22"/>
        </w:rPr>
      </w:pPr>
      <w:r w:rsidRPr="00834708">
        <w:rPr>
          <w:szCs w:val="22"/>
        </w:rPr>
        <w:t xml:space="preserve">It is recommended that monitoring and acquiring information to refine the risk assessment </w:t>
      </w:r>
      <w:r w:rsidR="00E57182">
        <w:rPr>
          <w:szCs w:val="22"/>
        </w:rPr>
        <w:t>is</w:t>
      </w:r>
      <w:r w:rsidRPr="00834708">
        <w:rPr>
          <w:szCs w:val="22"/>
        </w:rPr>
        <w:t xml:space="preserve"> undertaken during construction and testing of additional wells to characterise the groundwater system and design the layout of ASR wells. Establishing, testing and commissioning of ASR wells </w:t>
      </w:r>
      <w:r w:rsidRPr="00834708">
        <w:rPr>
          <w:szCs w:val="22"/>
        </w:rPr>
        <w:lastRenderedPageBreak/>
        <w:t>will allow evaluation of their combined operation on the groundwater system, and a calibrated groundwater model used to define operations so that pressures in the area of influence remain in an acceptable range. This would need to be verified b</w:t>
      </w:r>
      <w:r>
        <w:rPr>
          <w:szCs w:val="22"/>
        </w:rPr>
        <w:t xml:space="preserve">y monitoring during operation. </w:t>
      </w:r>
    </w:p>
    <w:p w:rsidR="00834708" w:rsidRDefault="00834708" w:rsidP="00A75725">
      <w:pPr>
        <w:numPr>
          <w:ilvl w:val="2"/>
          <w:numId w:val="45"/>
        </w:numPr>
        <w:tabs>
          <w:tab w:val="clear" w:pos="540"/>
          <w:tab w:val="num" w:pos="900"/>
          <w:tab w:val="num" w:pos="1800"/>
        </w:tabs>
        <w:spacing w:before="120" w:after="120"/>
        <w:ind w:left="896" w:hanging="357"/>
        <w:rPr>
          <w:szCs w:val="22"/>
        </w:rPr>
      </w:pPr>
      <w:r w:rsidRPr="00834708">
        <w:rPr>
          <w:szCs w:val="22"/>
        </w:rPr>
        <w:t>The treatment steps identified are expected to ensure drinking water quality requirements are met</w:t>
      </w:r>
      <w:r w:rsidR="000F7A6F">
        <w:rPr>
          <w:szCs w:val="22"/>
        </w:rPr>
        <w:t>,</w:t>
      </w:r>
      <w:r w:rsidRPr="00834708">
        <w:rPr>
          <w:szCs w:val="22"/>
        </w:rPr>
        <w:t xml:space="preserve"> </w:t>
      </w:r>
      <w:r w:rsidR="000F7A6F">
        <w:rPr>
          <w:szCs w:val="22"/>
        </w:rPr>
        <w:t>but</w:t>
      </w:r>
      <w:r w:rsidRPr="00834708">
        <w:rPr>
          <w:szCs w:val="22"/>
        </w:rPr>
        <w:t xml:space="preserve"> verification monitoring w</w:t>
      </w:r>
      <w:r>
        <w:rPr>
          <w:szCs w:val="22"/>
        </w:rPr>
        <w:t xml:space="preserve">ill be required. </w:t>
      </w:r>
      <w:r w:rsidRPr="00834708">
        <w:rPr>
          <w:szCs w:val="22"/>
        </w:rPr>
        <w:t xml:space="preserve">Unless otherwise indicated by further geochemical assessment and modelling of native groundwater, provision should be made for iron removal in recovered water. Additionally, an evaluation of recovered water quality during commissioning will determine whether such treatment is required before this water is used in drinking water supplies. The identified treatment processes for source water, </w:t>
      </w:r>
      <w:r w:rsidR="000F7A6F">
        <w:rPr>
          <w:szCs w:val="22"/>
        </w:rPr>
        <w:t xml:space="preserve">e.g. </w:t>
      </w:r>
      <w:r w:rsidRPr="00834708">
        <w:rPr>
          <w:szCs w:val="22"/>
        </w:rPr>
        <w:t xml:space="preserve">coagulation/flocculation and activated carbon filtration systems, will be required to reduce the risk of physical clogging of the injection wells. This could involve use of the existing treatment system at </w:t>
      </w:r>
      <w:r w:rsidR="00C217F0">
        <w:rPr>
          <w:szCs w:val="22"/>
        </w:rPr>
        <w:t>Menindee</w:t>
      </w:r>
      <w:r w:rsidRPr="00834708">
        <w:rPr>
          <w:szCs w:val="22"/>
        </w:rPr>
        <w:t>, supplemented by activated carbon filtration.</w:t>
      </w:r>
    </w:p>
    <w:p w:rsidR="00577F09" w:rsidRPr="00834708" w:rsidRDefault="00834708" w:rsidP="00A75725">
      <w:pPr>
        <w:numPr>
          <w:ilvl w:val="0"/>
          <w:numId w:val="45"/>
        </w:numPr>
        <w:spacing w:before="120" w:after="120"/>
        <w:ind w:left="357" w:hanging="357"/>
        <w:rPr>
          <w:szCs w:val="22"/>
        </w:rPr>
      </w:pPr>
      <w:r>
        <w:rPr>
          <w:szCs w:val="22"/>
        </w:rPr>
        <w:t>At the Jimargil site, the</w:t>
      </w:r>
      <w:r w:rsidR="00577F09" w:rsidRPr="00834708">
        <w:rPr>
          <w:szCs w:val="22"/>
        </w:rPr>
        <w:t xml:space="preserve"> bank filtration option requires maximal and pre-commissioning risk assessments to assess scheme viability. Particular attention would need to be paid to assessing the effectiveness of pumping to enhance river leakage during high flow events, with numerical groundwater modelling required to assess the potential negative impacts of bank filtration on riparian and floodplain vegetation health, and </w:t>
      </w:r>
      <w:r w:rsidR="003E5EE5">
        <w:rPr>
          <w:szCs w:val="22"/>
        </w:rPr>
        <w:t xml:space="preserve">on </w:t>
      </w:r>
      <w:r w:rsidR="00577F09" w:rsidRPr="00834708">
        <w:rPr>
          <w:szCs w:val="22"/>
        </w:rPr>
        <w:t>other users of groundwater in the unconfined aquifers.</w:t>
      </w:r>
    </w:p>
    <w:p w:rsidR="00577F09" w:rsidRPr="00834708" w:rsidRDefault="00834708" w:rsidP="00B81A6B">
      <w:pPr>
        <w:numPr>
          <w:ilvl w:val="0"/>
          <w:numId w:val="45"/>
        </w:numPr>
        <w:tabs>
          <w:tab w:val="left" w:pos="3960"/>
        </w:tabs>
        <w:spacing w:before="120" w:after="120"/>
        <w:ind w:left="357" w:hanging="357"/>
        <w:rPr>
          <w:szCs w:val="22"/>
        </w:rPr>
      </w:pPr>
      <w:r>
        <w:rPr>
          <w:szCs w:val="22"/>
        </w:rPr>
        <w:t>At Jimargil, the</w:t>
      </w:r>
      <w:r w:rsidR="00577F09" w:rsidRPr="00834708">
        <w:rPr>
          <w:szCs w:val="22"/>
        </w:rPr>
        <w:t xml:space="preserve"> groundwater extraction option requires a calibrated, transient numerical groundwater </w:t>
      </w:r>
      <w:r w:rsidR="00B27074">
        <w:rPr>
          <w:szCs w:val="22"/>
        </w:rPr>
        <w:t xml:space="preserve">flow </w:t>
      </w:r>
      <w:r w:rsidR="00577F09" w:rsidRPr="00834708">
        <w:rPr>
          <w:szCs w:val="22"/>
        </w:rPr>
        <w:t>model to assess the duration and rates of supply possible from the Jimargil site, and to assess potential environmental impacts. Solute transfer modelling is also required to assess the potential for borefield salinisation as a consequence of extraction during drought conditions</w:t>
      </w:r>
      <w:r w:rsidR="00B27074">
        <w:rPr>
          <w:szCs w:val="22"/>
        </w:rPr>
        <w:t xml:space="preserve"> when recharge is minimal</w:t>
      </w:r>
      <w:r w:rsidR="00577F09" w:rsidRPr="00834708">
        <w:rPr>
          <w:szCs w:val="22"/>
        </w:rPr>
        <w:t>, and to predict associated exceed</w:t>
      </w:r>
      <w:r w:rsidR="00C43508">
        <w:rPr>
          <w:szCs w:val="22"/>
        </w:rPr>
        <w:t>a</w:t>
      </w:r>
      <w:r w:rsidR="00577F09" w:rsidRPr="00834708">
        <w:rPr>
          <w:szCs w:val="22"/>
        </w:rPr>
        <w:t>nces with respect to ADWG</w:t>
      </w:r>
      <w:r w:rsidR="00B81A6B">
        <w:rPr>
          <w:szCs w:val="22"/>
        </w:rPr>
        <w:t>2011</w:t>
      </w:r>
      <w:r w:rsidR="00577F09" w:rsidRPr="00834708">
        <w:rPr>
          <w:szCs w:val="22"/>
        </w:rPr>
        <w:t xml:space="preserve"> water quality thresholds.</w:t>
      </w:r>
    </w:p>
    <w:p w:rsidR="00577F09" w:rsidRPr="00834708" w:rsidRDefault="00577F09" w:rsidP="00A75725">
      <w:pPr>
        <w:numPr>
          <w:ilvl w:val="0"/>
          <w:numId w:val="45"/>
        </w:numPr>
        <w:spacing w:before="120" w:after="120"/>
        <w:ind w:left="357" w:hanging="357"/>
        <w:rPr>
          <w:szCs w:val="22"/>
        </w:rPr>
      </w:pPr>
      <w:r w:rsidRPr="00834708">
        <w:rPr>
          <w:szCs w:val="22"/>
        </w:rPr>
        <w:t>Similar assessments and calibrated transient numerical models are required if development of any newly identified groundwater resource targets is pursued. The models are required to determine the sustainable or allowable groundwater extraction limits for the individual groundwater targets.</w:t>
      </w:r>
    </w:p>
    <w:p w:rsidR="00577F09" w:rsidRPr="00834708" w:rsidRDefault="00577F09" w:rsidP="00A75725">
      <w:pPr>
        <w:numPr>
          <w:ilvl w:val="0"/>
          <w:numId w:val="45"/>
        </w:numPr>
        <w:spacing w:before="120" w:after="120"/>
        <w:ind w:left="357" w:hanging="357"/>
        <w:rPr>
          <w:szCs w:val="22"/>
        </w:rPr>
      </w:pPr>
      <w:r w:rsidRPr="00834708">
        <w:rPr>
          <w:szCs w:val="22"/>
        </w:rPr>
        <w:t xml:space="preserve">In addition to the Jimargil site, other identified groundwater targets have the potential to be developed as MAR schemes to underpin regional development. The target beneath </w:t>
      </w:r>
      <w:smartTag w:uri="urn:schemas-microsoft-com:office:smarttags" w:element="place">
        <w:smartTag w:uri="urn:schemas-microsoft-com:office:smarttags" w:element="PlaceType">
          <w:r w:rsidR="00C217F0">
            <w:rPr>
              <w:szCs w:val="22"/>
            </w:rPr>
            <w:t>Lake</w:t>
          </w:r>
        </w:smartTag>
        <w:r w:rsidR="00C217F0">
          <w:rPr>
            <w:szCs w:val="22"/>
          </w:rPr>
          <w:t xml:space="preserve"> </w:t>
        </w:r>
        <w:smartTag w:uri="urn:schemas-microsoft-com:office:smarttags" w:element="PlaceName">
          <w:r w:rsidR="00C217F0">
            <w:rPr>
              <w:szCs w:val="22"/>
            </w:rPr>
            <w:t>Menindee</w:t>
          </w:r>
        </w:smartTag>
      </w:smartTag>
      <w:r w:rsidRPr="00834708">
        <w:rPr>
          <w:szCs w:val="22"/>
        </w:rPr>
        <w:t xml:space="preserve"> is one such option that could be developed to improve the drought security for local agriculture. For groundwater resource targets at distances &gt;20</w:t>
      </w:r>
      <w:r w:rsidR="003E5EE5">
        <w:rPr>
          <w:szCs w:val="22"/>
        </w:rPr>
        <w:t xml:space="preserve"> </w:t>
      </w:r>
      <w:r w:rsidRPr="00834708">
        <w:rPr>
          <w:szCs w:val="22"/>
        </w:rPr>
        <w:t xml:space="preserve">km from </w:t>
      </w:r>
      <w:r w:rsidR="00C217F0">
        <w:rPr>
          <w:szCs w:val="22"/>
        </w:rPr>
        <w:t>Menindee</w:t>
      </w:r>
      <w:r w:rsidRPr="00834708">
        <w:rPr>
          <w:szCs w:val="22"/>
        </w:rPr>
        <w:t xml:space="preserve">, the cost of providing infrastructure </w:t>
      </w:r>
      <w:r w:rsidR="009B58FB" w:rsidRPr="00834708">
        <w:rPr>
          <w:szCs w:val="22"/>
        </w:rPr>
        <w:t>may</w:t>
      </w:r>
      <w:r w:rsidRPr="00834708">
        <w:rPr>
          <w:szCs w:val="22"/>
        </w:rPr>
        <w:t xml:space="preserve"> be prohibitive for connection to the pipeline to Broken Hill. However, in these more remote locations, MAR schemes could provide enhanced drought security for local agriculture and/or potable supplies for smaller regional communities. </w:t>
      </w:r>
    </w:p>
    <w:p w:rsidR="00577F09" w:rsidRPr="00B7606B" w:rsidRDefault="00577F09" w:rsidP="00577F09">
      <w:pPr>
        <w:tabs>
          <w:tab w:val="num" w:pos="1797"/>
        </w:tabs>
        <w:spacing w:before="120" w:after="120"/>
        <w:rPr>
          <w:b/>
          <w:szCs w:val="22"/>
        </w:rPr>
      </w:pPr>
      <w:r w:rsidRPr="00B7606B">
        <w:rPr>
          <w:b/>
          <w:szCs w:val="22"/>
        </w:rPr>
        <w:t>Broader Recommendations</w:t>
      </w:r>
    </w:p>
    <w:p w:rsidR="00577F09" w:rsidRPr="00834708" w:rsidRDefault="00577F09" w:rsidP="00834708">
      <w:pPr>
        <w:numPr>
          <w:ilvl w:val="0"/>
          <w:numId w:val="51"/>
        </w:numPr>
        <w:spacing w:before="120" w:after="120"/>
        <w:rPr>
          <w:szCs w:val="22"/>
        </w:rPr>
      </w:pPr>
      <w:r w:rsidRPr="00834708">
        <w:rPr>
          <w:szCs w:val="22"/>
        </w:rPr>
        <w:t xml:space="preserve">Future assessments and models of surface-groundwater interaction in similar environments in the Basin need to take into account possible linkages between high volume floods and episodic recharge events. </w:t>
      </w:r>
    </w:p>
    <w:p w:rsidR="00577F09" w:rsidRPr="00834708" w:rsidRDefault="00577F09" w:rsidP="00834708">
      <w:pPr>
        <w:numPr>
          <w:ilvl w:val="0"/>
          <w:numId w:val="51"/>
        </w:numPr>
        <w:spacing w:before="120" w:after="120"/>
        <w:rPr>
          <w:szCs w:val="22"/>
        </w:rPr>
      </w:pPr>
      <w:r w:rsidRPr="00834708">
        <w:rPr>
          <w:szCs w:val="22"/>
        </w:rPr>
        <w:t xml:space="preserve">Based on the </w:t>
      </w:r>
      <w:r w:rsidR="00E158E2" w:rsidRPr="00834708">
        <w:rPr>
          <w:szCs w:val="22"/>
        </w:rPr>
        <w:t xml:space="preserve">new </w:t>
      </w:r>
      <w:r w:rsidRPr="00834708">
        <w:rPr>
          <w:szCs w:val="22"/>
        </w:rPr>
        <w:t xml:space="preserve">conceptual understanding of key groundwater processes, it is recommended that a broader assessment be carried out in the Basin to identify other </w:t>
      </w:r>
      <w:r w:rsidR="00E158E2" w:rsidRPr="00834708">
        <w:rPr>
          <w:szCs w:val="22"/>
        </w:rPr>
        <w:t>rivers</w:t>
      </w:r>
      <w:r w:rsidRPr="00834708">
        <w:rPr>
          <w:szCs w:val="22"/>
        </w:rPr>
        <w:t xml:space="preserve"> where additional groundwater resources may exist, and/or MAR options may provide enhanced drought security and regional development opportunities.</w:t>
      </w:r>
    </w:p>
    <w:p w:rsidR="00E158E2" w:rsidRPr="00834708" w:rsidRDefault="00577F09" w:rsidP="000F7A6F">
      <w:pPr>
        <w:numPr>
          <w:ilvl w:val="0"/>
          <w:numId w:val="51"/>
        </w:numPr>
        <w:spacing w:before="120" w:after="120"/>
        <w:rPr>
          <w:szCs w:val="22"/>
        </w:rPr>
      </w:pPr>
      <w:r w:rsidRPr="00834708">
        <w:rPr>
          <w:szCs w:val="22"/>
        </w:rPr>
        <w:t xml:space="preserve">The </w:t>
      </w:r>
      <w:r w:rsidR="003E5EE5">
        <w:rPr>
          <w:szCs w:val="22"/>
        </w:rPr>
        <w:t>trans</w:t>
      </w:r>
      <w:r w:rsidRPr="00834708">
        <w:rPr>
          <w:szCs w:val="22"/>
        </w:rPr>
        <w:t xml:space="preserve">-disciplinary systems approach and integrated workflows developed in the BHMAR Project should be </w:t>
      </w:r>
      <w:r w:rsidR="009B58FB" w:rsidRPr="00834708">
        <w:rPr>
          <w:szCs w:val="22"/>
        </w:rPr>
        <w:t>considered in</w:t>
      </w:r>
      <w:r w:rsidRPr="00834708">
        <w:rPr>
          <w:szCs w:val="22"/>
        </w:rPr>
        <w:t xml:space="preserve"> future hydrogeological investigations an</w:t>
      </w:r>
      <w:r w:rsidR="000F7A6F">
        <w:rPr>
          <w:szCs w:val="22"/>
        </w:rPr>
        <w:t xml:space="preserve">d the assessment of MAR options. </w:t>
      </w:r>
      <w:r w:rsidR="00E158E2" w:rsidRPr="00834708">
        <w:rPr>
          <w:szCs w:val="22"/>
        </w:rPr>
        <w:t>Previously, the high cost of investi</w:t>
      </w:r>
      <w:smartTag w:uri="urn:schemas-microsoft-com:office:smarttags" w:element="PersonName">
        <w:r w:rsidR="00E158E2" w:rsidRPr="00834708">
          <w:rPr>
            <w:szCs w:val="22"/>
          </w:rPr>
          <w:t>ga</w:t>
        </w:r>
      </w:smartTag>
      <w:r w:rsidR="00E158E2" w:rsidRPr="00834708">
        <w:rPr>
          <w:szCs w:val="22"/>
        </w:rPr>
        <w:t xml:space="preserve">tions, low level of knowledge of risk, and time taken to fill hydrogeological knowledge </w:t>
      </w:r>
      <w:smartTag w:uri="urn:schemas-microsoft-com:office:smarttags" w:element="PersonName">
        <w:r w:rsidR="00E158E2" w:rsidRPr="00834708">
          <w:rPr>
            <w:szCs w:val="22"/>
          </w:rPr>
          <w:t>ga</w:t>
        </w:r>
      </w:smartTag>
      <w:r w:rsidR="00E158E2" w:rsidRPr="00834708">
        <w:rPr>
          <w:szCs w:val="22"/>
        </w:rPr>
        <w:t xml:space="preserve">ps have been a deterrent to development of </w:t>
      </w:r>
      <w:smartTag w:uri="urn:schemas-microsoft-com:office:smarttags" w:element="stockticker">
        <w:r w:rsidR="00E158E2" w:rsidRPr="00834708">
          <w:rPr>
            <w:szCs w:val="22"/>
          </w:rPr>
          <w:t>MAR</w:t>
        </w:r>
      </w:smartTag>
      <w:r w:rsidR="00E158E2" w:rsidRPr="00834708">
        <w:rPr>
          <w:szCs w:val="22"/>
        </w:rPr>
        <w:t xml:space="preserve"> options, especially in pioneering projects in new and/or more remote locations. </w:t>
      </w:r>
    </w:p>
    <w:p w:rsidR="006B69B1" w:rsidRDefault="00577F09" w:rsidP="00834708">
      <w:pPr>
        <w:numPr>
          <w:ilvl w:val="0"/>
          <w:numId w:val="51"/>
        </w:numPr>
        <w:spacing w:before="120" w:after="120"/>
        <w:rPr>
          <w:szCs w:val="22"/>
        </w:rPr>
      </w:pPr>
      <w:r w:rsidRPr="00834708">
        <w:rPr>
          <w:szCs w:val="22"/>
        </w:rPr>
        <w:t>The National MAR Guidelines have provided a useful guide to assessments during this project, however some modifications are recommended, based on the experiences in this project of applying the guidelines in a relatively remote, data-poor, but geologically complex area. Details of proposed amendments are contained in accompanying technical reports.</w:t>
      </w:r>
    </w:p>
    <w:p w:rsidR="0088363D" w:rsidRPr="00834708" w:rsidRDefault="0088363D" w:rsidP="00834708">
      <w:pPr>
        <w:numPr>
          <w:ilvl w:val="0"/>
          <w:numId w:val="51"/>
        </w:numPr>
        <w:spacing w:before="120" w:after="120"/>
        <w:rPr>
          <w:szCs w:val="22"/>
        </w:rPr>
      </w:pPr>
      <w:r>
        <w:rPr>
          <w:szCs w:val="22"/>
        </w:rPr>
        <w:t>Studies of Neogene-to-Recent intraplate deformation are recommended to identify and characterise key structures (including the Darling River Lineament and related structures), and to refine models of present-day and neotectonic palaeostress trends and partitioning.</w:t>
      </w:r>
    </w:p>
    <w:p w:rsidR="00913817" w:rsidRDefault="00904686" w:rsidP="00D35ACA">
      <w:pPr>
        <w:pStyle w:val="Heading1"/>
        <w:tabs>
          <w:tab w:val="clear" w:pos="360"/>
          <w:tab w:val="num" w:pos="720"/>
        </w:tabs>
        <w:ind w:left="720" w:hanging="720"/>
      </w:pPr>
      <w:r>
        <w:br w:type="page"/>
      </w:r>
      <w:bookmarkStart w:id="789" w:name="_Toc325700155"/>
      <w:bookmarkStart w:id="790" w:name="_Toc325700498"/>
      <w:bookmarkStart w:id="791" w:name="_Toc325975182"/>
      <w:bookmarkStart w:id="792" w:name="_Toc390690187"/>
      <w:r>
        <w:lastRenderedPageBreak/>
        <w:t>References</w:t>
      </w:r>
      <w:bookmarkEnd w:id="789"/>
      <w:bookmarkEnd w:id="790"/>
      <w:bookmarkEnd w:id="791"/>
      <w:bookmarkEnd w:id="792"/>
    </w:p>
    <w:p w:rsidR="000F7173" w:rsidRPr="005C716E" w:rsidRDefault="000F7173" w:rsidP="000F7173">
      <w:pPr>
        <w:pStyle w:val="References"/>
        <w:spacing w:line="240" w:lineRule="auto"/>
        <w:jc w:val="left"/>
        <w:rPr>
          <w:sz w:val="22"/>
          <w:szCs w:val="22"/>
        </w:rPr>
      </w:pPr>
      <w:r w:rsidRPr="005C716E">
        <w:rPr>
          <w:sz w:val="22"/>
          <w:szCs w:val="22"/>
        </w:rPr>
        <w:t xml:space="preserve">Abraham, J.D., Cannia, J.C, Bedrosian, P.A., Johnson, M.R., Ball, L.B., </w:t>
      </w:r>
      <w:r>
        <w:rPr>
          <w:sz w:val="22"/>
          <w:szCs w:val="22"/>
        </w:rPr>
        <w:t>&amp;</w:t>
      </w:r>
      <w:r w:rsidRPr="005C716E">
        <w:rPr>
          <w:sz w:val="22"/>
          <w:szCs w:val="22"/>
        </w:rPr>
        <w:t xml:space="preserve"> Sibray, S.S. 2011. Airborne </w:t>
      </w:r>
      <w:r>
        <w:rPr>
          <w:sz w:val="22"/>
          <w:szCs w:val="22"/>
        </w:rPr>
        <w:t>e</w:t>
      </w:r>
      <w:r w:rsidRPr="005C716E">
        <w:rPr>
          <w:sz w:val="22"/>
          <w:szCs w:val="22"/>
        </w:rPr>
        <w:t xml:space="preserve">lectromagnetic </w:t>
      </w:r>
      <w:r>
        <w:rPr>
          <w:sz w:val="22"/>
          <w:szCs w:val="22"/>
        </w:rPr>
        <w:t>m</w:t>
      </w:r>
      <w:r w:rsidRPr="005C716E">
        <w:rPr>
          <w:sz w:val="22"/>
          <w:szCs w:val="22"/>
        </w:rPr>
        <w:t xml:space="preserve">apping of the </w:t>
      </w:r>
      <w:r>
        <w:rPr>
          <w:sz w:val="22"/>
          <w:szCs w:val="22"/>
        </w:rPr>
        <w:t>b</w:t>
      </w:r>
      <w:r w:rsidRPr="005C716E">
        <w:rPr>
          <w:sz w:val="22"/>
          <w:szCs w:val="22"/>
        </w:rPr>
        <w:t xml:space="preserve">ase of the </w:t>
      </w:r>
      <w:r>
        <w:rPr>
          <w:sz w:val="22"/>
          <w:szCs w:val="22"/>
        </w:rPr>
        <w:t>a</w:t>
      </w:r>
      <w:r w:rsidRPr="005C716E">
        <w:rPr>
          <w:sz w:val="22"/>
          <w:szCs w:val="22"/>
        </w:rPr>
        <w:t xml:space="preserve">quifer in </w:t>
      </w:r>
      <w:r>
        <w:rPr>
          <w:sz w:val="22"/>
          <w:szCs w:val="22"/>
        </w:rPr>
        <w:t>a</w:t>
      </w:r>
      <w:r w:rsidRPr="005C716E">
        <w:rPr>
          <w:sz w:val="22"/>
          <w:szCs w:val="22"/>
        </w:rPr>
        <w:t xml:space="preserve">reas of </w:t>
      </w:r>
      <w:smartTag w:uri="urn:schemas-microsoft-com:office:smarttags" w:element="place">
        <w:r w:rsidRPr="005C716E">
          <w:rPr>
            <w:sz w:val="22"/>
            <w:szCs w:val="22"/>
          </w:rPr>
          <w:t>Western Nebraska</w:t>
        </w:r>
      </w:smartTag>
      <w:r>
        <w:rPr>
          <w:sz w:val="22"/>
          <w:szCs w:val="22"/>
        </w:rPr>
        <w:t>.</w:t>
      </w:r>
      <w:r w:rsidRPr="005C716E">
        <w:rPr>
          <w:sz w:val="22"/>
          <w:szCs w:val="22"/>
        </w:rPr>
        <w:t xml:space="preserve"> </w:t>
      </w:r>
      <w:smartTag w:uri="urn:schemas-microsoft-com:office:smarttags" w:element="place">
        <w:smartTag w:uri="urn:schemas-microsoft-com:office:smarttags" w:element="country-region">
          <w:r w:rsidRPr="005C716E">
            <w:rPr>
              <w:sz w:val="22"/>
              <w:szCs w:val="22"/>
            </w:rPr>
            <w:t>U.S.</w:t>
          </w:r>
        </w:smartTag>
      </w:smartTag>
      <w:r w:rsidRPr="005C716E">
        <w:rPr>
          <w:sz w:val="22"/>
          <w:szCs w:val="22"/>
        </w:rPr>
        <w:t xml:space="preserve"> Geological Survey Scientific Investigations Report 2011-5219. </w:t>
      </w:r>
    </w:p>
    <w:p w:rsidR="000F7173" w:rsidRPr="005C716E" w:rsidRDefault="000F7173" w:rsidP="000F7173">
      <w:pPr>
        <w:pStyle w:val="References"/>
        <w:spacing w:line="240" w:lineRule="auto"/>
        <w:jc w:val="left"/>
        <w:rPr>
          <w:sz w:val="22"/>
          <w:szCs w:val="22"/>
        </w:rPr>
      </w:pPr>
      <w:r w:rsidRPr="005C716E">
        <w:rPr>
          <w:sz w:val="22"/>
          <w:szCs w:val="22"/>
        </w:rPr>
        <w:t xml:space="preserve">Abraham, J.D., Minsley, B.J., Bedorsian, P.A., Smith, B.D. &amp; Cannia, J.C. 2012. Airborne </w:t>
      </w:r>
      <w:r>
        <w:rPr>
          <w:sz w:val="22"/>
          <w:szCs w:val="22"/>
        </w:rPr>
        <w:t>e</w:t>
      </w:r>
      <w:r w:rsidRPr="005C716E">
        <w:rPr>
          <w:sz w:val="22"/>
          <w:szCs w:val="22"/>
        </w:rPr>
        <w:t>lectromagnetic survey for groundwater characterization</w:t>
      </w:r>
      <w:r>
        <w:rPr>
          <w:sz w:val="22"/>
          <w:szCs w:val="22"/>
        </w:rPr>
        <w:t>.</w:t>
      </w:r>
      <w:r w:rsidRPr="005C716E">
        <w:rPr>
          <w:sz w:val="22"/>
          <w:szCs w:val="22"/>
        </w:rPr>
        <w:t xml:space="preserve"> Australian Society of Exploration Geophysicists 22</w:t>
      </w:r>
      <w:r w:rsidRPr="005837B2">
        <w:rPr>
          <w:sz w:val="22"/>
          <w:szCs w:val="22"/>
          <w:vertAlign w:val="superscript"/>
        </w:rPr>
        <w:t xml:space="preserve">nd </w:t>
      </w:r>
      <w:r w:rsidRPr="005C716E">
        <w:rPr>
          <w:sz w:val="22"/>
          <w:szCs w:val="22"/>
        </w:rPr>
        <w:t xml:space="preserve">International Conference and Exhibition, February 26-29, 2012, </w:t>
      </w:r>
      <w:smartTag w:uri="urn:schemas-microsoft-com:office:smarttags" w:element="place">
        <w:smartTag w:uri="urn:schemas-microsoft-com:office:smarttags" w:element="City">
          <w:r w:rsidRPr="005C716E">
            <w:rPr>
              <w:sz w:val="22"/>
              <w:szCs w:val="22"/>
            </w:rPr>
            <w:t>Brisbane</w:t>
          </w:r>
        </w:smartTag>
        <w:r w:rsidRPr="005C716E">
          <w:rPr>
            <w:sz w:val="22"/>
            <w:szCs w:val="22"/>
          </w:rPr>
          <w:t xml:space="preserve">, </w:t>
        </w:r>
        <w:smartTag w:uri="urn:schemas-microsoft-com:office:smarttags" w:element="country-region">
          <w:r w:rsidRPr="005C716E">
            <w:rPr>
              <w:sz w:val="22"/>
              <w:szCs w:val="22"/>
            </w:rPr>
            <w:t>Australia</w:t>
          </w:r>
        </w:smartTag>
      </w:smartTag>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Apps, H.E. &amp; Gibson, D. 2012. BHMAR Project Appendix 12: Drilling construction, location and remediation data and reports.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Apps, H.E. &amp; Lawrie, K.C. 2012. BHMAR Project Appendix 11: CSIRO MAR reports.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Apps, H.E., Clarke, J.D.A., Gow, L. &amp; Halas, L. 2012f. BHMAR Project Appendix 8: Recharge models and data.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Apps, H.E., Halas, L., Knox, K., Cook, B., Beaudreau, D., Tan, K.P., Gibson, D., Smith, M., Lawrie, K.C., Brodie, R.S., Brodie, R.C., Abraham, J., Christensen, N.B., Gow, L., Magee, J. &amp; Clarke, J.D.A. 2012d. BHMAR Project Appendix 5: AEM-based interpretation products: maps and cross-sections.</w:t>
      </w:r>
      <w:r w:rsidR="00465915">
        <w:rPr>
          <w:sz w:val="22"/>
          <w:szCs w:val="22"/>
        </w:rPr>
        <w:t xml:space="preserve"> </w:t>
      </w:r>
      <w:r w:rsidRPr="005C716E">
        <w:rPr>
          <w:sz w:val="22"/>
          <w:szCs w:val="22"/>
        </w:rPr>
        <w:t xml:space="preserve">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Apps, H.E., Lawrie, K.C., Christensen, N.B., Brodie, R.C., Smith, M. &amp; Knox, K. 2012c. BHMAR Project Appendix 4: AEM data: acquisition reports, inversion and calibration, and basic conductivity map and cross-section products.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Apps, H.E., Lawrie, K.C., Halas, L., Atkinson, I., Clarke, J.D.A., Wintle, C. &amp; Wilson, O. 2012g. BHMAR Project Appendix 10: Ground and in-river geophysics and supporting data.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Apps, H.E., Magee, J. &amp; Clarke, J.D.A. 2012e. BHMAR Project Appendix 7: Age dating (contractor reports).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Apps, H.E., Schoning, G., Tan, K.P., Clarke, J.D.A., Magee, J., Gibson, D., Halas, L., Gow, L. &amp; Davies, A. 2012b. BHMAR Project Appendix 3: Borehole geophysical and geological data.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Apps, H.E., Tan, K.P. &amp; Brodie, R.S. 2012h. </w:t>
      </w:r>
      <w:r w:rsidRPr="0061581B">
        <w:rPr>
          <w:sz w:val="22"/>
          <w:szCs w:val="22"/>
        </w:rPr>
        <w:t>BHMAR Project Appendix 13</w:t>
      </w:r>
      <w:r>
        <w:rPr>
          <w:sz w:val="22"/>
          <w:szCs w:val="22"/>
        </w:rPr>
        <w:t xml:space="preserve">: Borehole hydraulic data contractor reports. </w:t>
      </w:r>
      <w:r w:rsidRPr="005C716E">
        <w:rPr>
          <w:sz w:val="22"/>
          <w:szCs w:val="22"/>
        </w:rPr>
        <w:t xml:space="preserve">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021090" w:rsidRDefault="000F7173" w:rsidP="000F7173">
      <w:pPr>
        <w:autoSpaceDE w:val="0"/>
        <w:autoSpaceDN w:val="0"/>
        <w:adjustRightInd w:val="0"/>
        <w:ind w:left="567" w:hanging="567"/>
        <w:rPr>
          <w:szCs w:val="22"/>
        </w:rPr>
      </w:pPr>
      <w:r w:rsidRPr="00703CF3">
        <w:t>Auken, E., Pellerin, L., Christensen, N.B. &amp; Sørensen, K. 2006. A survey of current trends in near-surface electrical and electromagnetic methods. Geophysics,</w:t>
      </w:r>
      <w:r>
        <w:t xml:space="preserve"> </w:t>
      </w:r>
      <w:r w:rsidRPr="00703CF3">
        <w:t>71, No. 5, September-October 2006; p. G249–G260.</w:t>
      </w:r>
    </w:p>
    <w:p w:rsidR="000F7173" w:rsidRPr="005C716E" w:rsidRDefault="000F7173" w:rsidP="000F7173">
      <w:pPr>
        <w:pStyle w:val="References"/>
        <w:spacing w:line="240" w:lineRule="auto"/>
        <w:jc w:val="left"/>
        <w:rPr>
          <w:sz w:val="22"/>
          <w:szCs w:val="22"/>
        </w:rPr>
      </w:pPr>
      <w:r w:rsidRPr="005C716E">
        <w:rPr>
          <w:sz w:val="22"/>
          <w:szCs w:val="22"/>
        </w:rPr>
        <w:t xml:space="preserve">Auld, T.D. &amp; Denham, A.J. 2001. Flora conservation issues at </w:t>
      </w:r>
      <w:smartTag w:uri="urn:schemas-microsoft-com:office:smarttags" w:element="place">
        <w:smartTag w:uri="urn:schemas-microsoft-com:office:smarttags" w:element="PlaceName">
          <w:r w:rsidRPr="005C716E">
            <w:rPr>
              <w:sz w:val="22"/>
              <w:szCs w:val="22"/>
            </w:rPr>
            <w:t>Kinchega</w:t>
          </w:r>
        </w:smartTag>
        <w:r w:rsidRPr="005C716E">
          <w:rPr>
            <w:sz w:val="22"/>
            <w:szCs w:val="22"/>
          </w:rPr>
          <w:t xml:space="preserve"> </w:t>
        </w:r>
        <w:smartTag w:uri="urn:schemas-microsoft-com:office:smarttags" w:element="PlaceType">
          <w:r w:rsidRPr="005C716E">
            <w:rPr>
              <w:sz w:val="22"/>
              <w:szCs w:val="22"/>
            </w:rPr>
            <w:t>National Park</w:t>
          </w:r>
        </w:smartTag>
      </w:smartTag>
      <w:r w:rsidRPr="005C716E">
        <w:rPr>
          <w:sz w:val="22"/>
          <w:szCs w:val="22"/>
        </w:rPr>
        <w:t>, western NSW.</w:t>
      </w:r>
      <w:r w:rsidR="00465915">
        <w:rPr>
          <w:sz w:val="22"/>
          <w:szCs w:val="22"/>
        </w:rPr>
        <w:t xml:space="preserve"> </w:t>
      </w:r>
      <w:r w:rsidRPr="005C716E">
        <w:rPr>
          <w:sz w:val="22"/>
          <w:szCs w:val="22"/>
        </w:rPr>
        <w:t>Cunninghamia 7</w:t>
      </w:r>
      <w:r>
        <w:rPr>
          <w:sz w:val="22"/>
          <w:szCs w:val="22"/>
        </w:rPr>
        <w:t>, 1,</w:t>
      </w:r>
      <w:r w:rsidRPr="005C716E">
        <w:rPr>
          <w:sz w:val="22"/>
          <w:szCs w:val="22"/>
        </w:rPr>
        <w:t xml:space="preserve"> 27-41.</w:t>
      </w:r>
    </w:p>
    <w:p w:rsidR="003B3C54" w:rsidRPr="003B3C54" w:rsidRDefault="003B3C54" w:rsidP="003B3C54">
      <w:pPr>
        <w:pStyle w:val="References"/>
        <w:spacing w:line="240" w:lineRule="auto"/>
        <w:jc w:val="left"/>
        <w:rPr>
          <w:sz w:val="22"/>
          <w:szCs w:val="22"/>
        </w:rPr>
      </w:pPr>
      <w:r w:rsidRPr="003B3C54">
        <w:rPr>
          <w:sz w:val="22"/>
          <w:szCs w:val="22"/>
        </w:rPr>
        <w:t>Aydin, A.A. &amp; Nur, A. 1982. Evolution of pull-apart basins and their scale independence. Tectonics, v. 1, p. 11-21.</w:t>
      </w:r>
    </w:p>
    <w:p w:rsidR="003B3C54" w:rsidRPr="003B3C54" w:rsidRDefault="003B3C54" w:rsidP="003B3C54">
      <w:pPr>
        <w:pStyle w:val="References"/>
        <w:spacing w:line="240" w:lineRule="auto"/>
        <w:jc w:val="left"/>
        <w:rPr>
          <w:sz w:val="22"/>
          <w:szCs w:val="22"/>
        </w:rPr>
      </w:pPr>
      <w:r w:rsidRPr="003B3C54">
        <w:rPr>
          <w:sz w:val="22"/>
          <w:szCs w:val="22"/>
        </w:rPr>
        <w:t>Aydin, A. A., and Nur, A. 1985. The types and roles of stepovers in strikeslip tectonics</w:t>
      </w:r>
      <w:r>
        <w:rPr>
          <w:sz w:val="22"/>
          <w:szCs w:val="22"/>
        </w:rPr>
        <w:t>. I</w:t>
      </w:r>
      <w:r w:rsidRPr="003B3C54">
        <w:rPr>
          <w:sz w:val="22"/>
          <w:szCs w:val="22"/>
        </w:rPr>
        <w:t>n</w:t>
      </w:r>
      <w:r>
        <w:rPr>
          <w:sz w:val="22"/>
          <w:szCs w:val="22"/>
        </w:rPr>
        <w:t>:</w:t>
      </w:r>
      <w:r w:rsidRPr="003B3C54">
        <w:rPr>
          <w:sz w:val="22"/>
          <w:szCs w:val="22"/>
        </w:rPr>
        <w:t xml:space="preserve"> Biddle, K. T. </w:t>
      </w:r>
      <w:r>
        <w:rPr>
          <w:sz w:val="22"/>
          <w:szCs w:val="22"/>
        </w:rPr>
        <w:t>&amp;</w:t>
      </w:r>
      <w:r w:rsidRPr="003B3C54">
        <w:rPr>
          <w:sz w:val="22"/>
          <w:szCs w:val="22"/>
        </w:rPr>
        <w:t xml:space="preserve"> Christie-Blick, N. </w:t>
      </w:r>
      <w:r>
        <w:rPr>
          <w:sz w:val="22"/>
          <w:szCs w:val="22"/>
        </w:rPr>
        <w:t>(</w:t>
      </w:r>
      <w:r w:rsidRPr="003B3C54">
        <w:rPr>
          <w:sz w:val="22"/>
          <w:szCs w:val="22"/>
        </w:rPr>
        <w:t>eds</w:t>
      </w:r>
      <w:r>
        <w:rPr>
          <w:sz w:val="22"/>
          <w:szCs w:val="22"/>
        </w:rPr>
        <w:t>).</w:t>
      </w:r>
      <w:r w:rsidRPr="003B3C54">
        <w:rPr>
          <w:sz w:val="22"/>
          <w:szCs w:val="22"/>
        </w:rPr>
        <w:t xml:space="preserve"> Strike-slip deformation, basin formation, and sedimentation: Society of Economic Paleontologists and Mineralogists Special Publication 37, p. 35–45.1 </w:t>
      </w:r>
    </w:p>
    <w:p w:rsidR="000F7173" w:rsidRPr="005C716E" w:rsidRDefault="000F7173" w:rsidP="000F7173">
      <w:pPr>
        <w:pStyle w:val="References"/>
        <w:spacing w:line="240" w:lineRule="auto"/>
        <w:jc w:val="left"/>
        <w:rPr>
          <w:sz w:val="22"/>
          <w:szCs w:val="22"/>
        </w:rPr>
      </w:pPr>
      <w:r w:rsidRPr="005C716E">
        <w:rPr>
          <w:sz w:val="22"/>
          <w:szCs w:val="22"/>
        </w:rPr>
        <w:t xml:space="preserve">Barma, D. 2010. Hydrological </w:t>
      </w:r>
      <w:r>
        <w:rPr>
          <w:sz w:val="22"/>
          <w:szCs w:val="22"/>
        </w:rPr>
        <w:t>a</w:t>
      </w:r>
      <w:r w:rsidRPr="005C716E">
        <w:rPr>
          <w:sz w:val="22"/>
          <w:szCs w:val="22"/>
        </w:rPr>
        <w:t xml:space="preserve">ssessment of </w:t>
      </w:r>
      <w:r>
        <w:rPr>
          <w:sz w:val="22"/>
          <w:szCs w:val="22"/>
        </w:rPr>
        <w:t>w</w:t>
      </w:r>
      <w:r w:rsidRPr="005C716E">
        <w:rPr>
          <w:sz w:val="22"/>
          <w:szCs w:val="22"/>
        </w:rPr>
        <w:t xml:space="preserve">ater </w:t>
      </w:r>
      <w:r>
        <w:rPr>
          <w:sz w:val="22"/>
          <w:szCs w:val="22"/>
        </w:rPr>
        <w:t>s</w:t>
      </w:r>
      <w:r w:rsidRPr="005C716E">
        <w:rPr>
          <w:sz w:val="22"/>
          <w:szCs w:val="22"/>
        </w:rPr>
        <w:t xml:space="preserve">aving </w:t>
      </w:r>
      <w:r>
        <w:rPr>
          <w:sz w:val="22"/>
          <w:szCs w:val="22"/>
        </w:rPr>
        <w:t>s</w:t>
      </w:r>
      <w:r w:rsidRPr="005C716E">
        <w:rPr>
          <w:sz w:val="22"/>
          <w:szCs w:val="22"/>
        </w:rPr>
        <w:t xml:space="preserve">trategies for the Menindee Scheme and </w:t>
      </w:r>
      <w:smartTag w:uri="urn:schemas-microsoft-com:office:smarttags" w:element="place">
        <w:smartTag w:uri="urn:schemas-microsoft-com:office:smarttags" w:element="PlaceName">
          <w:r w:rsidRPr="005C716E">
            <w:rPr>
              <w:sz w:val="22"/>
              <w:szCs w:val="22"/>
            </w:rPr>
            <w:t>Upper</w:t>
          </w:r>
        </w:smartTag>
        <w:r w:rsidRPr="005C716E">
          <w:rPr>
            <w:sz w:val="22"/>
            <w:szCs w:val="22"/>
          </w:rPr>
          <w:t xml:space="preserve"> </w:t>
        </w:r>
        <w:smartTag w:uri="urn:schemas-microsoft-com:office:smarttags" w:element="PlaceName">
          <w:r w:rsidRPr="005C716E">
            <w:rPr>
              <w:sz w:val="22"/>
              <w:szCs w:val="22"/>
            </w:rPr>
            <w:t>Darling</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Darling River Water Savings Project – Final Report Part B, Barma Water Resources, </w:t>
      </w:r>
      <w:smartTag w:uri="urn:schemas-microsoft-com:office:smarttags" w:element="place">
        <w:smartTag w:uri="urn:schemas-microsoft-com:office:smarttags" w:element="City">
          <w:r w:rsidRPr="005C716E">
            <w:rPr>
              <w:sz w:val="22"/>
              <w:szCs w:val="22"/>
            </w:rPr>
            <w:t>Sydney</w:t>
          </w:r>
        </w:smartTag>
      </w:smartTag>
      <w:r w:rsidRPr="005C716E">
        <w:rPr>
          <w:sz w:val="22"/>
          <w:szCs w:val="22"/>
        </w:rPr>
        <w:t>, February.</w:t>
      </w:r>
    </w:p>
    <w:p w:rsidR="000F7173" w:rsidRPr="005C716E" w:rsidRDefault="000F7173" w:rsidP="000F7173">
      <w:pPr>
        <w:pStyle w:val="References"/>
        <w:spacing w:line="240" w:lineRule="auto"/>
        <w:jc w:val="left"/>
        <w:rPr>
          <w:sz w:val="22"/>
          <w:szCs w:val="22"/>
        </w:rPr>
      </w:pPr>
      <w:r w:rsidRPr="005C716E">
        <w:rPr>
          <w:sz w:val="22"/>
          <w:szCs w:val="22"/>
        </w:rPr>
        <w:t xml:space="preserve">Barron, O.V., Crosbie, R.S., Charles, S.P., Dawes, W.R., Ali, A., Evans, W.R., Cresswell, R., Pollock, D., Hodgson, G., Currie, D., Mpelasoka, F., Pickett, T., Aryal, S., Donn, M. &amp; Wurcker, B. 2011. Climate change impact on groundwater resources in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In: Waterlines Report.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 National Water Commission.</w:t>
      </w:r>
    </w:p>
    <w:p w:rsidR="000F7173" w:rsidRPr="005C716E" w:rsidRDefault="000F7173" w:rsidP="000F7173">
      <w:pPr>
        <w:pStyle w:val="References"/>
        <w:spacing w:line="240" w:lineRule="auto"/>
        <w:jc w:val="left"/>
        <w:rPr>
          <w:sz w:val="22"/>
          <w:szCs w:val="22"/>
        </w:rPr>
      </w:pPr>
      <w:r w:rsidRPr="005C716E">
        <w:rPr>
          <w:sz w:val="22"/>
          <w:szCs w:val="22"/>
        </w:rPr>
        <w:t>Bastiaanssen, W.G.M., Menenti, M., Feddes, R.A. &amp; Holtslag, A.A.M. 1998. A remote sensing surface energy balance algorithm for land (SEBAL) - 1. Formulation. Journal of Hydrology, 212-213, 198-212.</w:t>
      </w:r>
    </w:p>
    <w:p w:rsidR="000F7173" w:rsidRPr="005C716E" w:rsidRDefault="000F7173" w:rsidP="000F7173">
      <w:pPr>
        <w:pStyle w:val="References"/>
        <w:spacing w:line="240" w:lineRule="auto"/>
        <w:jc w:val="left"/>
        <w:rPr>
          <w:sz w:val="22"/>
          <w:szCs w:val="22"/>
        </w:rPr>
      </w:pPr>
      <w:r w:rsidRPr="005C716E">
        <w:rPr>
          <w:sz w:val="22"/>
          <w:szCs w:val="22"/>
        </w:rPr>
        <w:t>Bastiaanssen, W.G.M., Pelgrum, H., Wang, J., Ma, Y., Mereno, J. F., Roerink, G.J. &amp; van der Wal, T. 1998. A remote sensing surface energy balance algorithm for land (SEBAL) - 2. Validation. Journal of Hydrology, 212-213, 213-229.</w:t>
      </w:r>
    </w:p>
    <w:p w:rsidR="000F7173" w:rsidRPr="005C716E" w:rsidRDefault="000F7173" w:rsidP="000F7173">
      <w:pPr>
        <w:pStyle w:val="References"/>
        <w:spacing w:line="240" w:lineRule="auto"/>
        <w:jc w:val="left"/>
        <w:rPr>
          <w:sz w:val="22"/>
          <w:szCs w:val="22"/>
        </w:rPr>
      </w:pPr>
      <w:r w:rsidRPr="005C716E">
        <w:rPr>
          <w:sz w:val="22"/>
          <w:szCs w:val="22"/>
        </w:rPr>
        <w:t xml:space="preserve">Bedrosian, P.A., Densmore-Judy, J., Martin, P., Burgess, M., Langenheim, V. &amp; Jachens, R. 2012. Faulting and </w:t>
      </w:r>
      <w:r>
        <w:rPr>
          <w:sz w:val="22"/>
          <w:szCs w:val="22"/>
        </w:rPr>
        <w:t>g</w:t>
      </w:r>
      <w:r w:rsidRPr="005C716E">
        <w:rPr>
          <w:sz w:val="22"/>
          <w:szCs w:val="22"/>
        </w:rPr>
        <w:t xml:space="preserve">roundwater in </w:t>
      </w:r>
      <w:r>
        <w:rPr>
          <w:sz w:val="22"/>
          <w:szCs w:val="22"/>
        </w:rPr>
        <w:t>a</w:t>
      </w:r>
      <w:r w:rsidRPr="005C716E">
        <w:rPr>
          <w:sz w:val="22"/>
          <w:szCs w:val="22"/>
        </w:rPr>
        <w:t xml:space="preserve">rid </w:t>
      </w:r>
      <w:r>
        <w:rPr>
          <w:sz w:val="22"/>
          <w:szCs w:val="22"/>
        </w:rPr>
        <w:t>e</w:t>
      </w:r>
      <w:r w:rsidRPr="005C716E">
        <w:rPr>
          <w:sz w:val="22"/>
          <w:szCs w:val="22"/>
        </w:rPr>
        <w:t xml:space="preserve">nvironments: Airborne </w:t>
      </w:r>
      <w:r>
        <w:rPr>
          <w:sz w:val="22"/>
          <w:szCs w:val="22"/>
        </w:rPr>
        <w:t>e</w:t>
      </w:r>
      <w:r w:rsidRPr="005C716E">
        <w:rPr>
          <w:sz w:val="22"/>
          <w:szCs w:val="22"/>
        </w:rPr>
        <w:t xml:space="preserve">lectromagnetics in </w:t>
      </w:r>
      <w:r>
        <w:rPr>
          <w:sz w:val="22"/>
          <w:szCs w:val="22"/>
        </w:rPr>
        <w:t>s</w:t>
      </w:r>
      <w:r w:rsidRPr="005C716E">
        <w:rPr>
          <w:sz w:val="22"/>
          <w:szCs w:val="22"/>
        </w:rPr>
        <w:t xml:space="preserve">upport of </w:t>
      </w:r>
      <w:r>
        <w:rPr>
          <w:sz w:val="22"/>
          <w:szCs w:val="22"/>
        </w:rPr>
        <w:t>f</w:t>
      </w:r>
      <w:r w:rsidRPr="005C716E">
        <w:rPr>
          <w:sz w:val="22"/>
          <w:szCs w:val="22"/>
        </w:rPr>
        <w:t xml:space="preserve">ramework </w:t>
      </w:r>
      <w:r>
        <w:rPr>
          <w:sz w:val="22"/>
          <w:szCs w:val="22"/>
        </w:rPr>
        <w:t>h</w:t>
      </w:r>
      <w:r w:rsidRPr="005C716E">
        <w:rPr>
          <w:sz w:val="22"/>
          <w:szCs w:val="22"/>
        </w:rPr>
        <w:t xml:space="preserve">ydrology </w:t>
      </w:r>
      <w:r w:rsidRPr="005C716E">
        <w:rPr>
          <w:sz w:val="22"/>
          <w:szCs w:val="22"/>
        </w:rPr>
        <w:lastRenderedPageBreak/>
        <w:t xml:space="preserve">in the northern Mojave Desert, southern </w:t>
      </w:r>
      <w:smartTag w:uri="urn:schemas-microsoft-com:office:smarttags" w:element="place">
        <w:smartTag w:uri="urn:schemas-microsoft-com:office:smarttags" w:element="State">
          <w:r w:rsidRPr="005C716E">
            <w:rPr>
              <w:sz w:val="22"/>
              <w:szCs w:val="22"/>
            </w:rPr>
            <w:t>California</w:t>
          </w:r>
        </w:smartTag>
      </w:smartTag>
      <w:r w:rsidRPr="005C716E">
        <w:rPr>
          <w:sz w:val="22"/>
          <w:szCs w:val="22"/>
        </w:rPr>
        <w:t>. 22</w:t>
      </w:r>
      <w:r w:rsidRPr="005C716E">
        <w:rPr>
          <w:sz w:val="22"/>
          <w:szCs w:val="22"/>
          <w:vertAlign w:val="superscript"/>
        </w:rPr>
        <w:t>nd</w:t>
      </w:r>
      <w:r w:rsidRPr="005C716E">
        <w:rPr>
          <w:sz w:val="22"/>
          <w:szCs w:val="22"/>
        </w:rPr>
        <w:t xml:space="preserve"> ASEG Conference, </w:t>
      </w:r>
      <w:smartTag w:uri="urn:schemas-microsoft-com:office:smarttags" w:element="place">
        <w:smartTag w:uri="urn:schemas-microsoft-com:office:smarttags" w:element="City">
          <w:r w:rsidRPr="005C716E">
            <w:rPr>
              <w:sz w:val="22"/>
              <w:szCs w:val="22"/>
            </w:rPr>
            <w:t>Brisbane</w:t>
          </w:r>
        </w:smartTag>
        <w:r w:rsidRPr="005C716E">
          <w:rPr>
            <w:sz w:val="22"/>
            <w:szCs w:val="22"/>
          </w:rPr>
          <w:t xml:space="preserve">, </w:t>
        </w:r>
        <w:smartTag w:uri="urn:schemas-microsoft-com:office:smarttags" w:element="country-region">
          <w:r w:rsidRPr="005C716E">
            <w:rPr>
              <w:sz w:val="22"/>
              <w:szCs w:val="22"/>
            </w:rPr>
            <w:t>Australia</w:t>
          </w:r>
        </w:smartTag>
      </w:smartTag>
      <w:r w:rsidRPr="005C716E">
        <w:rPr>
          <w:sz w:val="22"/>
          <w:szCs w:val="22"/>
        </w:rPr>
        <w:t>. (Ext. Abs.).</w:t>
      </w:r>
    </w:p>
    <w:p w:rsidR="000F7173" w:rsidRPr="005C716E" w:rsidRDefault="000F7173" w:rsidP="000F7173">
      <w:pPr>
        <w:pStyle w:val="References"/>
        <w:spacing w:line="240" w:lineRule="auto"/>
        <w:jc w:val="left"/>
        <w:rPr>
          <w:sz w:val="22"/>
          <w:szCs w:val="22"/>
        </w:rPr>
      </w:pPr>
      <w:r w:rsidRPr="005C716E">
        <w:rPr>
          <w:sz w:val="22"/>
          <w:szCs w:val="22"/>
        </w:rPr>
        <w:t xml:space="preserve">Blevin, J., </w:t>
      </w:r>
      <w:r>
        <w:rPr>
          <w:sz w:val="22"/>
          <w:szCs w:val="22"/>
        </w:rPr>
        <w:t xml:space="preserve">Pryer, L., </w:t>
      </w:r>
      <w:smartTag w:uri="urn:schemas-microsoft-com:office:smarttags" w:element="place">
        <w:r>
          <w:rPr>
            <w:sz w:val="22"/>
            <w:szCs w:val="22"/>
          </w:rPr>
          <w:t>Henley</w:t>
        </w:r>
      </w:smartTag>
      <w:r>
        <w:rPr>
          <w:sz w:val="22"/>
          <w:szCs w:val="22"/>
        </w:rPr>
        <w:t>, P. &amp; Cathro, D.</w:t>
      </w:r>
      <w:r w:rsidRPr="005C716E">
        <w:rPr>
          <w:sz w:val="22"/>
          <w:szCs w:val="22"/>
        </w:rPr>
        <w:t xml:space="preserve"> 2007. </w:t>
      </w:r>
      <w:smartTag w:uri="urn:schemas-microsoft-com:office:smarttags" w:element="place">
        <w:smartTag w:uri="urn:schemas-microsoft-com:office:smarttags" w:element="PlaceName">
          <w:r w:rsidRPr="005C716E">
            <w:rPr>
              <w:sz w:val="22"/>
              <w:szCs w:val="22"/>
            </w:rPr>
            <w:t>Darling</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reservoir prediction study and GIS. Project Code MR 706. Confidential report to NSW-DPI. Eraring Energy, </w:t>
      </w:r>
      <w:smartTag w:uri="urn:schemas-microsoft-com:office:smarttags" w:element="place">
        <w:r w:rsidRPr="005C716E">
          <w:rPr>
            <w:sz w:val="22"/>
            <w:szCs w:val="22"/>
          </w:rPr>
          <w:t>Macquarie</w:t>
        </w:r>
      </w:smartTag>
      <w:r w:rsidRPr="005C716E">
        <w:rPr>
          <w:sz w:val="22"/>
          <w:szCs w:val="22"/>
        </w:rPr>
        <w:t xml:space="preserve"> Generation &amp; Delta Electricity by FROG Tech. Pty. Ltd. (Unpub.).</w:t>
      </w:r>
    </w:p>
    <w:p w:rsidR="000F7173" w:rsidRPr="005C716E" w:rsidRDefault="000F7173" w:rsidP="000F7173">
      <w:pPr>
        <w:pStyle w:val="References"/>
        <w:spacing w:line="240" w:lineRule="auto"/>
        <w:jc w:val="left"/>
        <w:rPr>
          <w:sz w:val="22"/>
          <w:szCs w:val="22"/>
        </w:rPr>
      </w:pPr>
      <w:r w:rsidRPr="005C716E">
        <w:rPr>
          <w:sz w:val="22"/>
          <w:szCs w:val="22"/>
        </w:rPr>
        <w:t>Bouwer, H. 2002. Artificial recharge of groundwater: hydrogeology and engineering. Hydrogeology Journal 10, 121-142.</w:t>
      </w:r>
    </w:p>
    <w:p w:rsidR="000F7173" w:rsidRPr="005C716E" w:rsidRDefault="000F7173" w:rsidP="000F7173">
      <w:pPr>
        <w:pStyle w:val="References"/>
        <w:spacing w:line="240" w:lineRule="auto"/>
        <w:jc w:val="left"/>
        <w:rPr>
          <w:sz w:val="22"/>
          <w:szCs w:val="22"/>
        </w:rPr>
      </w:pPr>
      <w:r w:rsidRPr="005C716E">
        <w:rPr>
          <w:sz w:val="22"/>
          <w:szCs w:val="22"/>
        </w:rPr>
        <w:t>Bowler, J.M. 1973. Clay dunes: Their occurrence, formation and environmental significance. Earth-Science Reviews 9, 315–338.</w:t>
      </w:r>
    </w:p>
    <w:p w:rsidR="000F7173" w:rsidRPr="005C716E" w:rsidRDefault="000F7173" w:rsidP="000F7173">
      <w:pPr>
        <w:pStyle w:val="References"/>
        <w:spacing w:line="240" w:lineRule="auto"/>
        <w:jc w:val="left"/>
        <w:rPr>
          <w:sz w:val="22"/>
          <w:szCs w:val="22"/>
        </w:rPr>
      </w:pPr>
      <w:r w:rsidRPr="005C716E">
        <w:rPr>
          <w:sz w:val="22"/>
          <w:szCs w:val="22"/>
        </w:rPr>
        <w:t>Bowler, J.M. 1980. Quaternary chronology and palaeohydrology in the evolution of the Mallee landscapes. In: Storrier</w:t>
      </w:r>
      <w:r>
        <w:rPr>
          <w:sz w:val="22"/>
          <w:szCs w:val="22"/>
        </w:rPr>
        <w:t xml:space="preserve">, </w:t>
      </w:r>
      <w:smartTag w:uri="urn:schemas-microsoft-com:office:smarttags" w:element="City">
        <w:r w:rsidRPr="005C716E">
          <w:rPr>
            <w:sz w:val="22"/>
            <w:szCs w:val="22"/>
          </w:rPr>
          <w:t>R.R.</w:t>
        </w:r>
      </w:smartTag>
      <w:r w:rsidRPr="005C716E">
        <w:rPr>
          <w:sz w:val="22"/>
          <w:szCs w:val="22"/>
        </w:rPr>
        <w:t xml:space="preserve"> </w:t>
      </w:r>
      <w:smartTag w:uri="urn:schemas-microsoft-com:office:smarttags" w:element="State">
        <w:r w:rsidRPr="005C716E">
          <w:rPr>
            <w:sz w:val="22"/>
            <w:szCs w:val="22"/>
          </w:rPr>
          <w:t>&amp;</w:t>
        </w:r>
      </w:smartTag>
      <w:r w:rsidRPr="005C716E">
        <w:rPr>
          <w:sz w:val="22"/>
          <w:szCs w:val="22"/>
        </w:rPr>
        <w:t xml:space="preserve"> </w:t>
      </w:r>
      <w:smartTag w:uri="urn:schemas-microsoft-com:office:smarttags" w:element="State">
        <w:r w:rsidRPr="005C716E">
          <w:rPr>
            <w:sz w:val="22"/>
            <w:szCs w:val="22"/>
          </w:rPr>
          <w:t>Stannard</w:t>
        </w:r>
      </w:smartTag>
      <w:r w:rsidRPr="005C716E">
        <w:rPr>
          <w:sz w:val="22"/>
          <w:szCs w:val="22"/>
        </w:rPr>
        <w:t>,</w:t>
      </w:r>
      <w:r>
        <w:rPr>
          <w:sz w:val="22"/>
          <w:szCs w:val="22"/>
        </w:rPr>
        <w:t xml:space="preserve"> </w:t>
      </w:r>
      <w:smartTag w:uri="urn:schemas-microsoft-com:office:smarttags" w:element="State">
        <w:r w:rsidRPr="005C716E">
          <w:rPr>
            <w:sz w:val="22"/>
            <w:szCs w:val="22"/>
          </w:rPr>
          <w:t>M.E.</w:t>
        </w:r>
      </w:smartTag>
      <w:r w:rsidR="00465915">
        <w:rPr>
          <w:sz w:val="22"/>
          <w:szCs w:val="22"/>
        </w:rPr>
        <w:t xml:space="preserve"> </w:t>
      </w:r>
      <w:r>
        <w:rPr>
          <w:sz w:val="22"/>
          <w:szCs w:val="22"/>
        </w:rPr>
        <w:t>(e</w:t>
      </w:r>
      <w:r w:rsidRPr="005C716E">
        <w:rPr>
          <w:sz w:val="22"/>
          <w:szCs w:val="22"/>
        </w:rPr>
        <w:t>ds</w:t>
      </w:r>
      <w:r>
        <w:rPr>
          <w:sz w:val="22"/>
          <w:szCs w:val="22"/>
        </w:rPr>
        <w:t>)</w:t>
      </w:r>
      <w:r w:rsidRPr="005C716E">
        <w:rPr>
          <w:sz w:val="22"/>
          <w:szCs w:val="22"/>
        </w:rPr>
        <w:t xml:space="preserve"> Aeolian landscapes in the semi-arid zone of southeastern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Australian Society of Soil Science, Inc., Riverina Branch, 17-36.</w:t>
      </w:r>
    </w:p>
    <w:p w:rsidR="000F7173" w:rsidRPr="005C716E" w:rsidRDefault="000F7173" w:rsidP="000F7173">
      <w:pPr>
        <w:pStyle w:val="References"/>
        <w:spacing w:line="240" w:lineRule="auto"/>
        <w:jc w:val="left"/>
        <w:rPr>
          <w:sz w:val="22"/>
          <w:szCs w:val="22"/>
        </w:rPr>
      </w:pPr>
      <w:r w:rsidRPr="005C716E">
        <w:rPr>
          <w:sz w:val="22"/>
          <w:szCs w:val="22"/>
        </w:rPr>
        <w:t xml:space="preserve">Bowler, J.M. 1983. Lunettes as indices of hydrologic change: a review of Australian evidence. Proceedings of the Royal Society of </w:t>
      </w:r>
      <w:smartTag w:uri="urn:schemas-microsoft-com:office:smarttags" w:element="place">
        <w:smartTag w:uri="urn:schemas-microsoft-com:office:smarttags" w:element="State">
          <w:r w:rsidRPr="005C716E">
            <w:rPr>
              <w:sz w:val="22"/>
              <w:szCs w:val="22"/>
            </w:rPr>
            <w:t>Victoria</w:t>
          </w:r>
        </w:smartTag>
      </w:smartTag>
      <w:r w:rsidRPr="005C716E">
        <w:rPr>
          <w:sz w:val="22"/>
          <w:szCs w:val="22"/>
        </w:rPr>
        <w:t>, 95</w:t>
      </w:r>
      <w:r>
        <w:rPr>
          <w:sz w:val="22"/>
          <w:szCs w:val="22"/>
        </w:rPr>
        <w:t>,</w:t>
      </w:r>
      <w:r w:rsidRPr="005C716E">
        <w:rPr>
          <w:sz w:val="22"/>
          <w:szCs w:val="22"/>
        </w:rPr>
        <w:t xml:space="preserve"> 147-68.</w:t>
      </w:r>
    </w:p>
    <w:p w:rsidR="000F7173" w:rsidRPr="005C716E" w:rsidRDefault="000F7173" w:rsidP="000F7173">
      <w:pPr>
        <w:pStyle w:val="References"/>
        <w:spacing w:line="240" w:lineRule="auto"/>
        <w:jc w:val="left"/>
        <w:rPr>
          <w:sz w:val="22"/>
          <w:szCs w:val="22"/>
        </w:rPr>
      </w:pPr>
      <w:r w:rsidRPr="005C716E">
        <w:rPr>
          <w:sz w:val="22"/>
          <w:szCs w:val="22"/>
        </w:rPr>
        <w:t xml:space="preserve">Bowler, J.M. &amp; Magee, J.W. 1978. Geomorphology of the Mallee Region in semi-arid northern </w:t>
      </w:r>
      <w:smartTag w:uri="urn:schemas-microsoft-com:office:smarttags" w:element="State">
        <w:r w:rsidRPr="005C716E">
          <w:rPr>
            <w:sz w:val="22"/>
            <w:szCs w:val="22"/>
          </w:rPr>
          <w:t>Victoria</w:t>
        </w:r>
      </w:smartTag>
      <w:r w:rsidRPr="005C716E">
        <w:rPr>
          <w:sz w:val="22"/>
          <w:szCs w:val="22"/>
        </w:rPr>
        <w:t xml:space="preserve"> and western </w:t>
      </w:r>
      <w:smartTag w:uri="urn:schemas-microsoft-com:office:smarttags" w:element="place">
        <w:smartTag w:uri="urn:schemas-microsoft-com:office:smarttags" w:element="State">
          <w:r w:rsidRPr="005C716E">
            <w:rPr>
              <w:sz w:val="22"/>
              <w:szCs w:val="22"/>
            </w:rPr>
            <w:t>New South Wales</w:t>
          </w:r>
        </w:smartTag>
      </w:smartTag>
      <w:r w:rsidRPr="005C716E">
        <w:rPr>
          <w:sz w:val="22"/>
          <w:szCs w:val="22"/>
        </w:rPr>
        <w:t xml:space="preserve">. Proceedings of the Royal Society of </w:t>
      </w:r>
      <w:smartTag w:uri="urn:schemas-microsoft-com:office:smarttags" w:element="place">
        <w:smartTag w:uri="urn:schemas-microsoft-com:office:smarttags" w:element="State">
          <w:r w:rsidRPr="005C716E">
            <w:rPr>
              <w:sz w:val="22"/>
              <w:szCs w:val="22"/>
            </w:rPr>
            <w:t>Victoria</w:t>
          </w:r>
        </w:smartTag>
      </w:smartTag>
      <w:r w:rsidRPr="005C716E">
        <w:rPr>
          <w:sz w:val="22"/>
          <w:szCs w:val="22"/>
        </w:rPr>
        <w:t xml:space="preserve"> 90, 5–21.</w:t>
      </w:r>
    </w:p>
    <w:p w:rsidR="000F7173" w:rsidRPr="005C716E" w:rsidRDefault="000F7173" w:rsidP="000F7173">
      <w:pPr>
        <w:pStyle w:val="References"/>
        <w:spacing w:line="240" w:lineRule="auto"/>
        <w:jc w:val="left"/>
        <w:rPr>
          <w:sz w:val="22"/>
          <w:szCs w:val="22"/>
        </w:rPr>
      </w:pPr>
      <w:r w:rsidRPr="005C716E">
        <w:rPr>
          <w:sz w:val="22"/>
          <w:szCs w:val="22"/>
        </w:rPr>
        <w:t>Brodie, R.C. &amp; Sambridge, M. 2006. A holistic approach to inversion of fre</w:t>
      </w:r>
      <w:r>
        <w:rPr>
          <w:sz w:val="22"/>
          <w:szCs w:val="22"/>
        </w:rPr>
        <w:t xml:space="preserve">quency domain airborne EM data. </w:t>
      </w:r>
      <w:r w:rsidRPr="005C716E">
        <w:rPr>
          <w:sz w:val="22"/>
          <w:szCs w:val="22"/>
        </w:rPr>
        <w:t>Geophysics 71</w:t>
      </w:r>
      <w:r>
        <w:rPr>
          <w:sz w:val="22"/>
          <w:szCs w:val="22"/>
        </w:rPr>
        <w:t xml:space="preserve">, </w:t>
      </w:r>
      <w:r w:rsidRPr="005C716E">
        <w:rPr>
          <w:sz w:val="22"/>
          <w:szCs w:val="22"/>
        </w:rPr>
        <w:t>6, G301-G312.</w:t>
      </w:r>
    </w:p>
    <w:p w:rsidR="000F7173" w:rsidRPr="005C716E" w:rsidRDefault="000F7173" w:rsidP="000F7173">
      <w:pPr>
        <w:pStyle w:val="References"/>
        <w:spacing w:line="240" w:lineRule="auto"/>
        <w:jc w:val="left"/>
        <w:rPr>
          <w:sz w:val="22"/>
          <w:szCs w:val="22"/>
        </w:rPr>
      </w:pPr>
      <w:r>
        <w:rPr>
          <w:sz w:val="22"/>
          <w:szCs w:val="22"/>
        </w:rPr>
        <w:t xml:space="preserve">Brodie, R.C. &amp; </w:t>
      </w:r>
      <w:r w:rsidRPr="005C716E">
        <w:rPr>
          <w:sz w:val="22"/>
          <w:szCs w:val="22"/>
        </w:rPr>
        <w:t>Sambridge, M. 2012. Transdimensional Monte Carlo</w:t>
      </w:r>
      <w:r>
        <w:rPr>
          <w:sz w:val="22"/>
          <w:szCs w:val="22"/>
        </w:rPr>
        <w:t xml:space="preserve"> inversion of AEM Data.</w:t>
      </w:r>
      <w:r w:rsidRPr="005C716E">
        <w:rPr>
          <w:sz w:val="22"/>
          <w:szCs w:val="22"/>
        </w:rPr>
        <w:t xml:space="preserve"> 22</w:t>
      </w:r>
      <w:r w:rsidR="00971C9D">
        <w:rPr>
          <w:sz w:val="22"/>
          <w:szCs w:val="22"/>
          <w:vertAlign w:val="superscript"/>
        </w:rPr>
        <w:t>nd</w:t>
      </w:r>
      <w:r w:rsidRPr="005C716E">
        <w:rPr>
          <w:sz w:val="22"/>
          <w:szCs w:val="22"/>
        </w:rPr>
        <w:t xml:space="preserve"> International Geophysical Conference and Exhibition, Australian Society of Exploration Geophysicists, Extended Abstracts.</w:t>
      </w:r>
    </w:p>
    <w:p w:rsidR="000F7173" w:rsidRPr="005C716E" w:rsidRDefault="000F7173" w:rsidP="000F7173">
      <w:pPr>
        <w:pStyle w:val="References"/>
        <w:spacing w:line="240" w:lineRule="auto"/>
        <w:jc w:val="left"/>
        <w:rPr>
          <w:sz w:val="22"/>
          <w:szCs w:val="22"/>
        </w:rPr>
      </w:pPr>
      <w:r w:rsidRPr="005C716E">
        <w:rPr>
          <w:sz w:val="22"/>
          <w:szCs w:val="22"/>
        </w:rPr>
        <w:t>Brodie, R.S. 1994. M</w:t>
      </w:r>
      <w:r>
        <w:rPr>
          <w:sz w:val="22"/>
          <w:szCs w:val="22"/>
        </w:rPr>
        <w:t>ENINDEE</w:t>
      </w:r>
      <w:r w:rsidRPr="005C716E">
        <w:rPr>
          <w:sz w:val="22"/>
          <w:szCs w:val="22"/>
        </w:rPr>
        <w:t xml:space="preserve"> Hydrogeological Map (1:250</w:t>
      </w:r>
      <w:r>
        <w:rPr>
          <w:sz w:val="22"/>
          <w:szCs w:val="22"/>
        </w:rPr>
        <w:t xml:space="preserve"> </w:t>
      </w:r>
      <w:r w:rsidRPr="005C716E">
        <w:rPr>
          <w:sz w:val="22"/>
          <w:szCs w:val="22"/>
        </w:rPr>
        <w:t xml:space="preserve">000 scale). </w:t>
      </w:r>
      <w:smartTag w:uri="urn:schemas-microsoft-com:office:smarttags" w:element="place">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Hydrogeological Map Series.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 Australian Geological Survey.</w:t>
      </w:r>
    </w:p>
    <w:p w:rsidR="000F7173" w:rsidRPr="005C716E" w:rsidRDefault="000F7173" w:rsidP="000F7173">
      <w:pPr>
        <w:pStyle w:val="References"/>
        <w:spacing w:line="240" w:lineRule="auto"/>
        <w:jc w:val="left"/>
        <w:rPr>
          <w:sz w:val="22"/>
          <w:szCs w:val="22"/>
        </w:rPr>
      </w:pPr>
      <w:r w:rsidRPr="005C716E">
        <w:rPr>
          <w:sz w:val="22"/>
          <w:szCs w:val="22"/>
        </w:rPr>
        <w:t>Brodie, R.S. 1998. The Lower Darling regional steady state groundwater flow model. AGSO Record 1998/19. Australian Geological Survey Organisation.</w:t>
      </w:r>
    </w:p>
    <w:p w:rsidR="000F7173" w:rsidRPr="005C716E" w:rsidRDefault="000F7173" w:rsidP="000F7173">
      <w:pPr>
        <w:pStyle w:val="References"/>
        <w:spacing w:line="240" w:lineRule="auto"/>
        <w:jc w:val="left"/>
        <w:rPr>
          <w:sz w:val="22"/>
          <w:szCs w:val="22"/>
        </w:rPr>
      </w:pPr>
      <w:r w:rsidRPr="005C716E">
        <w:rPr>
          <w:sz w:val="22"/>
          <w:szCs w:val="22"/>
        </w:rPr>
        <w:t xml:space="preserve">Brown, C.M. 1989. Structural and stratigraphic framework of groundwater occurrence and surface discharge in the </w:t>
      </w:r>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r>
        <w:rPr>
          <w:sz w:val="22"/>
          <w:szCs w:val="22"/>
        </w:rPr>
        <w:t>,</w:t>
      </w:r>
      <w:r w:rsidRPr="005C716E">
        <w:rPr>
          <w:sz w:val="22"/>
          <w:szCs w:val="22"/>
        </w:rPr>
        <w:t xml:space="preserve"> southeastern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BMR Journal of Australian Geology and Geophysics, 11, 127-146.</w:t>
      </w:r>
    </w:p>
    <w:p w:rsidR="000F7173" w:rsidRPr="005C716E" w:rsidRDefault="000F7173" w:rsidP="000F7173">
      <w:pPr>
        <w:pStyle w:val="References"/>
        <w:spacing w:line="240" w:lineRule="auto"/>
        <w:jc w:val="left"/>
        <w:rPr>
          <w:sz w:val="22"/>
          <w:szCs w:val="22"/>
        </w:rPr>
      </w:pPr>
      <w:r w:rsidRPr="005C716E">
        <w:rPr>
          <w:sz w:val="22"/>
          <w:szCs w:val="22"/>
        </w:rPr>
        <w:t xml:space="preserve">Brown, C.M. &amp; Stephenson, A.E. 1991. Geology of the </w:t>
      </w:r>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South </w:t>
      </w:r>
      <w:smartTag w:uri="urn:schemas-microsoft-com:office:smarttags" w:element="place">
        <w:r w:rsidRPr="005C716E">
          <w:rPr>
            <w:sz w:val="22"/>
            <w:szCs w:val="22"/>
          </w:rPr>
          <w:t>Eastern Australia</w:t>
        </w:r>
      </w:smartTag>
      <w:r w:rsidRPr="005C716E">
        <w:rPr>
          <w:sz w:val="22"/>
          <w:szCs w:val="22"/>
        </w:rPr>
        <w:t>.</w:t>
      </w:r>
      <w:r w:rsidR="00465915">
        <w:rPr>
          <w:sz w:val="22"/>
          <w:szCs w:val="22"/>
        </w:rPr>
        <w:t xml:space="preserve"> </w:t>
      </w:r>
      <w:r w:rsidRPr="005C716E">
        <w:rPr>
          <w:sz w:val="22"/>
          <w:szCs w:val="22"/>
        </w:rPr>
        <w:t>BMR Bulletin 235.</w:t>
      </w:r>
    </w:p>
    <w:p w:rsidR="000F7173" w:rsidRPr="005C716E" w:rsidRDefault="000F7173" w:rsidP="000F7173">
      <w:pPr>
        <w:pStyle w:val="References"/>
        <w:spacing w:line="240" w:lineRule="auto"/>
        <w:jc w:val="left"/>
        <w:rPr>
          <w:sz w:val="22"/>
          <w:szCs w:val="22"/>
        </w:rPr>
      </w:pPr>
      <w:smartTag w:uri="urn:schemas-microsoft-com:office:smarttags" w:element="City">
        <w:smartTag w:uri="urn:schemas-microsoft-com:office:smarttags" w:element="place">
          <w:r w:rsidRPr="005C716E">
            <w:rPr>
              <w:sz w:val="22"/>
              <w:szCs w:val="22"/>
            </w:rPr>
            <w:t>Butler</w:t>
          </w:r>
        </w:smartTag>
      </w:smartTag>
      <w:r w:rsidRPr="005C716E">
        <w:rPr>
          <w:sz w:val="22"/>
          <w:szCs w:val="22"/>
        </w:rPr>
        <w:t>, J.J. 1998. The design, performance and analysis of slug tests. Lewis Publishers, 252 pp.</w:t>
      </w:r>
    </w:p>
    <w:p w:rsidR="000F7173" w:rsidRPr="005C716E" w:rsidRDefault="000F7173" w:rsidP="000F7173">
      <w:pPr>
        <w:pStyle w:val="References"/>
        <w:spacing w:line="240" w:lineRule="auto"/>
        <w:jc w:val="left"/>
        <w:rPr>
          <w:sz w:val="22"/>
          <w:szCs w:val="22"/>
        </w:rPr>
      </w:pPr>
      <w:smartTag w:uri="urn:schemas-microsoft-com:office:smarttags" w:element="place">
        <w:smartTag w:uri="urn:schemas-microsoft-com:office:smarttags" w:element="City">
          <w:r w:rsidRPr="005C716E">
            <w:rPr>
              <w:sz w:val="22"/>
              <w:szCs w:val="22"/>
            </w:rPr>
            <w:t>Butler</w:t>
          </w:r>
        </w:smartTag>
      </w:smartTag>
      <w:r w:rsidRPr="005C716E">
        <w:rPr>
          <w:sz w:val="22"/>
          <w:szCs w:val="22"/>
        </w:rPr>
        <w:t>, J.J., Duffield, G.M. &amp; Kelleher, D.L. 2007. Field guide for slug testing and data analysis. Midwest Geosciences Group.</w:t>
      </w:r>
    </w:p>
    <w:p w:rsidR="000F7173" w:rsidRPr="005C716E" w:rsidRDefault="000F7173" w:rsidP="000F7173">
      <w:pPr>
        <w:pStyle w:val="References"/>
        <w:spacing w:line="240" w:lineRule="auto"/>
        <w:jc w:val="left"/>
        <w:rPr>
          <w:sz w:val="22"/>
          <w:szCs w:val="22"/>
        </w:rPr>
      </w:pPr>
      <w:smartTag w:uri="urn:schemas-microsoft-com:office:smarttags" w:element="place">
        <w:smartTag w:uri="urn:schemas-microsoft-com:office:smarttags" w:element="City">
          <w:r w:rsidRPr="005C716E">
            <w:rPr>
              <w:sz w:val="22"/>
              <w:szCs w:val="22"/>
            </w:rPr>
            <w:t>Caldwell</w:t>
          </w:r>
        </w:smartTag>
      </w:smartTag>
      <w:r w:rsidRPr="005C716E">
        <w:rPr>
          <w:sz w:val="22"/>
          <w:szCs w:val="22"/>
        </w:rPr>
        <w:t>, N., de Hoog, M., Navin, J., Lawrie, K., Brodie, R.S., Apps, H. &amp; Halas, L. 2012. Fly-through movie. Broken Hill Managed Aquifer Recharge Project, Geocat 63827.</w:t>
      </w:r>
    </w:p>
    <w:p w:rsidR="000F7173" w:rsidRPr="005C716E" w:rsidRDefault="000F7173" w:rsidP="000F7173">
      <w:pPr>
        <w:pStyle w:val="References"/>
        <w:spacing w:line="240" w:lineRule="auto"/>
        <w:jc w:val="left"/>
        <w:rPr>
          <w:sz w:val="22"/>
          <w:szCs w:val="22"/>
        </w:rPr>
      </w:pPr>
      <w:r w:rsidRPr="005C716E">
        <w:rPr>
          <w:sz w:val="22"/>
          <w:szCs w:val="22"/>
        </w:rPr>
        <w:t>Chamberlain, T. &amp; Wilkinson, K. (eds)</w:t>
      </w:r>
      <w:r w:rsidR="00625945">
        <w:rPr>
          <w:sz w:val="22"/>
          <w:szCs w:val="22"/>
        </w:rPr>
        <w:t>.</w:t>
      </w:r>
      <w:r w:rsidRPr="005C716E">
        <w:rPr>
          <w:sz w:val="22"/>
          <w:szCs w:val="22"/>
        </w:rPr>
        <w:t xml:space="preserve"> 2004. Salinity investi</w:t>
      </w:r>
      <w:smartTag w:uri="urn:schemas-microsoft-com:office:smarttags" w:element="PersonName">
        <w:r w:rsidRPr="005C716E">
          <w:rPr>
            <w:sz w:val="22"/>
            <w:szCs w:val="22"/>
          </w:rPr>
          <w:t>ga</w:t>
        </w:r>
      </w:smartTag>
      <w:r w:rsidRPr="005C716E">
        <w:rPr>
          <w:sz w:val="22"/>
          <w:szCs w:val="22"/>
        </w:rPr>
        <w:t xml:space="preserve">tions using airborne geophysics in the Lower Balonne area, </w:t>
      </w:r>
      <w:smartTag w:uri="urn:schemas-microsoft-com:office:smarttags" w:element="place">
        <w:r w:rsidRPr="005C716E">
          <w:rPr>
            <w:sz w:val="22"/>
            <w:szCs w:val="22"/>
          </w:rPr>
          <w:t>Southern Queensland</w:t>
        </w:r>
      </w:smartTag>
      <w:r w:rsidRPr="005C716E">
        <w:rPr>
          <w:sz w:val="22"/>
          <w:szCs w:val="22"/>
        </w:rPr>
        <w:t>. Queensland</w:t>
      </w:r>
      <w:r w:rsidR="00465915">
        <w:rPr>
          <w:sz w:val="22"/>
          <w:szCs w:val="22"/>
        </w:rPr>
        <w:t xml:space="preserve"> </w:t>
      </w:r>
      <w:r w:rsidRPr="005C716E">
        <w:rPr>
          <w:sz w:val="22"/>
          <w:szCs w:val="22"/>
        </w:rPr>
        <w:t>Department of Natural Resources and Mines, 257</w:t>
      </w:r>
      <w:r w:rsidR="00DB488F">
        <w:rPr>
          <w:sz w:val="22"/>
          <w:szCs w:val="22"/>
        </w:rPr>
        <w:t xml:space="preserve"> </w:t>
      </w:r>
      <w:r w:rsidRPr="005C716E">
        <w:rPr>
          <w:sz w:val="22"/>
          <w:szCs w:val="22"/>
        </w:rPr>
        <w:t>p.</w:t>
      </w:r>
    </w:p>
    <w:p w:rsidR="000F7173" w:rsidRPr="005C716E" w:rsidRDefault="000F7173" w:rsidP="000F7173">
      <w:pPr>
        <w:pStyle w:val="References"/>
        <w:spacing w:line="240" w:lineRule="auto"/>
        <w:jc w:val="left"/>
        <w:rPr>
          <w:sz w:val="22"/>
          <w:szCs w:val="22"/>
        </w:rPr>
      </w:pPr>
      <w:r w:rsidRPr="005C716E">
        <w:rPr>
          <w:sz w:val="22"/>
          <w:szCs w:val="22"/>
        </w:rPr>
        <w:t xml:space="preserve">Christensen, N.B. 2011. Integrated geophysical inversion and interpretation in the Broken Hill Area. </w:t>
      </w:r>
      <w:smartTag w:uri="urn:schemas-microsoft-com:office:smarttags" w:element="PlaceName">
        <w:r w:rsidRPr="005C716E">
          <w:rPr>
            <w:sz w:val="22"/>
            <w:szCs w:val="22"/>
          </w:rPr>
          <w:t>Aarhus</w:t>
        </w:r>
      </w:smartTag>
      <w:r w:rsidRPr="005C716E">
        <w:rPr>
          <w:sz w:val="22"/>
          <w:szCs w:val="22"/>
        </w:rPr>
        <w:t xml:space="preserve"> </w:t>
      </w:r>
      <w:smartTag w:uri="urn:schemas-microsoft-com:office:smarttags" w:element="PlaceType">
        <w:r w:rsidRPr="005C716E">
          <w:rPr>
            <w:sz w:val="22"/>
            <w:szCs w:val="22"/>
          </w:rPr>
          <w:t>University</w:t>
        </w:r>
      </w:smartTag>
      <w:r w:rsidRPr="005C716E">
        <w:rPr>
          <w:sz w:val="22"/>
          <w:szCs w:val="22"/>
        </w:rPr>
        <w:t xml:space="preserve"> Report to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(Unpublished). </w:t>
      </w:r>
    </w:p>
    <w:p w:rsidR="000F7173" w:rsidRPr="005C716E" w:rsidRDefault="000F7173" w:rsidP="000F7173">
      <w:pPr>
        <w:pStyle w:val="References"/>
        <w:spacing w:line="240" w:lineRule="auto"/>
        <w:jc w:val="left"/>
        <w:rPr>
          <w:sz w:val="22"/>
          <w:szCs w:val="22"/>
        </w:rPr>
      </w:pPr>
      <w:r w:rsidRPr="005C716E">
        <w:rPr>
          <w:sz w:val="22"/>
          <w:szCs w:val="22"/>
        </w:rPr>
        <w:t xml:space="preserve">Christensen, N.B. 2012. Wave Number Domain Approximate Inversion procedure. </w:t>
      </w:r>
      <w:smartTag w:uri="urn:schemas-microsoft-com:office:smarttags" w:element="PlaceName">
        <w:r w:rsidRPr="005C716E">
          <w:rPr>
            <w:sz w:val="22"/>
            <w:szCs w:val="22"/>
          </w:rPr>
          <w:t>Aarhus</w:t>
        </w:r>
      </w:smartTag>
      <w:r w:rsidRPr="005C716E">
        <w:rPr>
          <w:sz w:val="22"/>
          <w:szCs w:val="22"/>
        </w:rPr>
        <w:t xml:space="preserve"> </w:t>
      </w:r>
      <w:smartTag w:uri="urn:schemas-microsoft-com:office:smarttags" w:element="PlaceType">
        <w:r w:rsidRPr="005C716E">
          <w:rPr>
            <w:sz w:val="22"/>
            <w:szCs w:val="22"/>
          </w:rPr>
          <w:t>University</w:t>
        </w:r>
      </w:smartTag>
      <w:r w:rsidRPr="005C716E">
        <w:rPr>
          <w:sz w:val="22"/>
          <w:szCs w:val="22"/>
        </w:rPr>
        <w:t xml:space="preserve"> Report to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(Unpublished). </w:t>
      </w:r>
    </w:p>
    <w:p w:rsidR="000F7173" w:rsidRPr="00816D04" w:rsidRDefault="000F7173" w:rsidP="000F7173">
      <w:pPr>
        <w:ind w:left="360" w:hanging="360"/>
        <w:rPr>
          <w:szCs w:val="22"/>
        </w:rPr>
      </w:pPr>
      <w:r w:rsidRPr="00816D04">
        <w:rPr>
          <w:szCs w:val="22"/>
        </w:rPr>
        <w:t>Christensen, N.B. &amp; Lawrie, K.C. 2012. Resolution analyses for selecting an appropriate airborne electromagnetic (AEM) system. Exploration Geophysics, 43, 213–227.</w:t>
      </w:r>
    </w:p>
    <w:p w:rsidR="000F7173" w:rsidRPr="005C716E" w:rsidRDefault="000F7173" w:rsidP="000F7173">
      <w:pPr>
        <w:pStyle w:val="References"/>
        <w:spacing w:line="240" w:lineRule="auto"/>
        <w:jc w:val="left"/>
        <w:rPr>
          <w:sz w:val="22"/>
          <w:szCs w:val="22"/>
        </w:rPr>
      </w:pPr>
      <w:r w:rsidRPr="005C716E">
        <w:rPr>
          <w:sz w:val="22"/>
          <w:szCs w:val="22"/>
        </w:rPr>
        <w:t xml:space="preserve">Cook P.G., Kennett-Smith A.K., </w:t>
      </w:r>
      <w:smartTag w:uri="urn:schemas-microsoft-com:office:smarttags" w:element="place">
        <w:smartTag w:uri="urn:schemas-microsoft-com:office:smarttags" w:element="City">
          <w:r w:rsidRPr="005C716E">
            <w:rPr>
              <w:sz w:val="22"/>
              <w:szCs w:val="22"/>
            </w:rPr>
            <w:t>Walker</w:t>
          </w:r>
        </w:smartTag>
      </w:smartTag>
      <w:r w:rsidRPr="005C716E">
        <w:rPr>
          <w:sz w:val="22"/>
          <w:szCs w:val="22"/>
        </w:rPr>
        <w:t xml:space="preserve"> G.R., Budd G.R., Williams R.M. &amp; Anderson R.,1996. Impact of dryland agriculture on land and river salinisation in the Western Lands, </w:t>
      </w:r>
      <w:smartTag w:uri="urn:schemas-microsoft-com:office:smarttags" w:element="place">
        <w:smartTag w:uri="urn:schemas-microsoft-com:office:smarttags" w:element="State">
          <w:r w:rsidRPr="005C716E">
            <w:rPr>
              <w:sz w:val="22"/>
              <w:szCs w:val="22"/>
            </w:rPr>
            <w:t>New South Wales</w:t>
          </w:r>
        </w:smartTag>
      </w:smartTag>
      <w:r w:rsidRPr="005C716E">
        <w:rPr>
          <w:sz w:val="22"/>
          <w:szCs w:val="22"/>
        </w:rPr>
        <w:t>. CSIRO Technical Memorandum 96.16.</w:t>
      </w:r>
    </w:p>
    <w:p w:rsidR="000F7173" w:rsidRPr="005C716E" w:rsidRDefault="000F7173" w:rsidP="000F7173">
      <w:pPr>
        <w:pStyle w:val="References"/>
        <w:spacing w:line="240" w:lineRule="auto"/>
        <w:jc w:val="left"/>
        <w:rPr>
          <w:sz w:val="22"/>
          <w:szCs w:val="22"/>
        </w:rPr>
      </w:pPr>
      <w:r w:rsidRPr="005C716E">
        <w:rPr>
          <w:sz w:val="22"/>
          <w:szCs w:val="22"/>
        </w:rPr>
        <w:t>Cook P.G. &amp; Bohlke, J-K. 2000. Determining timescales for groundwater flow and transport. In</w:t>
      </w:r>
      <w:r>
        <w:rPr>
          <w:sz w:val="22"/>
          <w:szCs w:val="22"/>
        </w:rPr>
        <w:t>:</w:t>
      </w:r>
      <w:r w:rsidRPr="005C716E">
        <w:rPr>
          <w:sz w:val="22"/>
          <w:szCs w:val="22"/>
        </w:rPr>
        <w:t xml:space="preserve"> Cook P.G </w:t>
      </w:r>
      <w:r>
        <w:rPr>
          <w:sz w:val="22"/>
          <w:szCs w:val="22"/>
        </w:rPr>
        <w:t>&amp;</w:t>
      </w:r>
      <w:r w:rsidRPr="005C716E">
        <w:rPr>
          <w:sz w:val="22"/>
          <w:szCs w:val="22"/>
        </w:rPr>
        <w:t xml:space="preserve"> Herczeg A.L (eds), Environmental tracers in subsurface hydrology, Kluwer.</w:t>
      </w:r>
    </w:p>
    <w:p w:rsidR="000F7173" w:rsidRPr="005C716E" w:rsidRDefault="000F7173" w:rsidP="000F7173">
      <w:pPr>
        <w:pStyle w:val="References"/>
        <w:spacing w:line="240" w:lineRule="auto"/>
        <w:jc w:val="left"/>
        <w:rPr>
          <w:sz w:val="22"/>
          <w:szCs w:val="22"/>
        </w:rPr>
      </w:pPr>
      <w:r w:rsidRPr="005C716E">
        <w:rPr>
          <w:sz w:val="22"/>
          <w:szCs w:val="22"/>
        </w:rPr>
        <w:t>Craig,</w:t>
      </w:r>
      <w:r>
        <w:rPr>
          <w:sz w:val="22"/>
          <w:szCs w:val="22"/>
        </w:rPr>
        <w:t xml:space="preserve"> H.</w:t>
      </w:r>
      <w:r w:rsidRPr="005C716E">
        <w:rPr>
          <w:sz w:val="22"/>
          <w:szCs w:val="22"/>
        </w:rPr>
        <w:t xml:space="preserve"> 1961. Isotopic </w:t>
      </w:r>
      <w:r>
        <w:rPr>
          <w:sz w:val="22"/>
          <w:szCs w:val="22"/>
        </w:rPr>
        <w:t>v</w:t>
      </w:r>
      <w:r w:rsidRPr="005C716E">
        <w:rPr>
          <w:sz w:val="22"/>
          <w:szCs w:val="22"/>
        </w:rPr>
        <w:t xml:space="preserve">ariations in </w:t>
      </w:r>
      <w:r>
        <w:rPr>
          <w:sz w:val="22"/>
          <w:szCs w:val="22"/>
        </w:rPr>
        <w:t>m</w:t>
      </w:r>
      <w:r w:rsidRPr="005C716E">
        <w:rPr>
          <w:sz w:val="22"/>
          <w:szCs w:val="22"/>
        </w:rPr>
        <w:t xml:space="preserve">eteoric </w:t>
      </w:r>
      <w:r>
        <w:rPr>
          <w:sz w:val="22"/>
          <w:szCs w:val="22"/>
        </w:rPr>
        <w:t>w</w:t>
      </w:r>
      <w:r w:rsidRPr="005C716E">
        <w:rPr>
          <w:sz w:val="22"/>
          <w:szCs w:val="22"/>
        </w:rPr>
        <w:t>aters</w:t>
      </w:r>
      <w:r>
        <w:rPr>
          <w:sz w:val="22"/>
          <w:szCs w:val="22"/>
        </w:rPr>
        <w:t>.</w:t>
      </w:r>
      <w:r w:rsidRPr="005C716E">
        <w:rPr>
          <w:sz w:val="22"/>
          <w:szCs w:val="22"/>
        </w:rPr>
        <w:t xml:space="preserve"> Science, 133</w:t>
      </w:r>
      <w:r>
        <w:rPr>
          <w:sz w:val="22"/>
          <w:szCs w:val="22"/>
        </w:rPr>
        <w:t>,</w:t>
      </w:r>
      <w:r w:rsidRPr="005C716E">
        <w:rPr>
          <w:sz w:val="22"/>
          <w:szCs w:val="22"/>
        </w:rPr>
        <w:t xml:space="preserve"> 1702-1703.</w:t>
      </w:r>
    </w:p>
    <w:p w:rsidR="000F7173" w:rsidRPr="005C716E" w:rsidRDefault="000F7173" w:rsidP="000F7173">
      <w:pPr>
        <w:pStyle w:val="References"/>
        <w:spacing w:line="240" w:lineRule="auto"/>
        <w:jc w:val="left"/>
        <w:rPr>
          <w:sz w:val="22"/>
          <w:szCs w:val="22"/>
        </w:rPr>
      </w:pPr>
      <w:r w:rsidRPr="005C716E">
        <w:rPr>
          <w:sz w:val="22"/>
          <w:szCs w:val="22"/>
        </w:rPr>
        <w:t xml:space="preserve">Cresswell R.G., Mullen, I.C., Kingham, R. Kellett, J., Dent, D.L., </w:t>
      </w:r>
      <w:r>
        <w:rPr>
          <w:sz w:val="22"/>
          <w:szCs w:val="22"/>
        </w:rPr>
        <w:t>&amp;</w:t>
      </w:r>
      <w:r w:rsidRPr="005C716E">
        <w:rPr>
          <w:sz w:val="22"/>
          <w:szCs w:val="22"/>
        </w:rPr>
        <w:t xml:space="preserve"> Jones, G.L. 2007. Airborne electromagnetics supporting salinity and natural resource management decisions at the field scale in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International Journal of Applied Earth Observation and Geoinformation 9</w:t>
      </w:r>
      <w:r>
        <w:rPr>
          <w:sz w:val="22"/>
          <w:szCs w:val="22"/>
        </w:rPr>
        <w:t xml:space="preserve">, </w:t>
      </w:r>
      <w:r w:rsidRPr="005C716E">
        <w:rPr>
          <w:sz w:val="22"/>
          <w:szCs w:val="22"/>
        </w:rPr>
        <w:t>2, 91-102.</w:t>
      </w:r>
    </w:p>
    <w:p w:rsidR="000F7173" w:rsidRPr="005C716E" w:rsidRDefault="000F7173" w:rsidP="000F7173">
      <w:pPr>
        <w:pStyle w:val="References"/>
        <w:spacing w:line="240" w:lineRule="auto"/>
        <w:jc w:val="left"/>
        <w:rPr>
          <w:sz w:val="22"/>
          <w:szCs w:val="22"/>
        </w:rPr>
      </w:pPr>
      <w:r w:rsidRPr="005C716E">
        <w:rPr>
          <w:sz w:val="22"/>
          <w:szCs w:val="22"/>
        </w:rPr>
        <w:t>Crosbie, R., Jolly</w:t>
      </w:r>
      <w:r>
        <w:rPr>
          <w:sz w:val="22"/>
          <w:szCs w:val="22"/>
        </w:rPr>
        <w:t>,</w:t>
      </w:r>
      <w:r w:rsidRPr="005C716E">
        <w:rPr>
          <w:sz w:val="22"/>
          <w:szCs w:val="22"/>
        </w:rPr>
        <w:t xml:space="preserve"> </w:t>
      </w:r>
      <w:smartTag w:uri="urn:schemas-microsoft-com:office:smarttags" w:element="place">
        <w:r w:rsidRPr="005C716E">
          <w:rPr>
            <w:sz w:val="22"/>
            <w:szCs w:val="22"/>
          </w:rPr>
          <w:t>I.</w:t>
        </w:r>
      </w:smartTag>
      <w:r w:rsidRPr="005C716E">
        <w:rPr>
          <w:sz w:val="22"/>
          <w:szCs w:val="22"/>
        </w:rPr>
        <w:t>, Leaney</w:t>
      </w:r>
      <w:r>
        <w:rPr>
          <w:sz w:val="22"/>
          <w:szCs w:val="22"/>
        </w:rPr>
        <w:t>,</w:t>
      </w:r>
      <w:r w:rsidRPr="005C716E">
        <w:rPr>
          <w:sz w:val="22"/>
          <w:szCs w:val="22"/>
        </w:rPr>
        <w:t xml:space="preserve"> F., Petheram</w:t>
      </w:r>
      <w:r>
        <w:rPr>
          <w:sz w:val="22"/>
          <w:szCs w:val="22"/>
        </w:rPr>
        <w:t>,</w:t>
      </w:r>
      <w:r w:rsidRPr="005C716E">
        <w:rPr>
          <w:sz w:val="22"/>
          <w:szCs w:val="22"/>
        </w:rPr>
        <w:t xml:space="preserve"> C. &amp; Wohling</w:t>
      </w:r>
      <w:r>
        <w:rPr>
          <w:sz w:val="22"/>
          <w:szCs w:val="22"/>
        </w:rPr>
        <w:t>,</w:t>
      </w:r>
      <w:r w:rsidRPr="005C716E">
        <w:rPr>
          <w:sz w:val="22"/>
          <w:szCs w:val="22"/>
        </w:rPr>
        <w:t xml:space="preserve"> D. 2010. </w:t>
      </w:r>
      <w:r>
        <w:rPr>
          <w:sz w:val="22"/>
          <w:szCs w:val="22"/>
        </w:rPr>
        <w:t>R</w:t>
      </w:r>
      <w:r w:rsidRPr="005C716E">
        <w:rPr>
          <w:sz w:val="22"/>
          <w:szCs w:val="22"/>
        </w:rPr>
        <w:t xml:space="preserve">eview of Australian groundwater recharge studies. CSIRO: Water for a </w:t>
      </w:r>
      <w:r>
        <w:rPr>
          <w:sz w:val="22"/>
          <w:szCs w:val="22"/>
        </w:rPr>
        <w:t>H</w:t>
      </w:r>
      <w:r w:rsidRPr="005C716E">
        <w:rPr>
          <w:sz w:val="22"/>
          <w:szCs w:val="22"/>
        </w:rPr>
        <w:t>ealthy Country National Research Flagship, 81 pp.</w:t>
      </w:r>
    </w:p>
    <w:p w:rsidR="003B3C54" w:rsidRPr="003B3C54" w:rsidRDefault="003B3C54" w:rsidP="003B3C54">
      <w:pPr>
        <w:pStyle w:val="References"/>
        <w:spacing w:line="240" w:lineRule="auto"/>
        <w:jc w:val="left"/>
        <w:rPr>
          <w:sz w:val="22"/>
          <w:szCs w:val="22"/>
        </w:rPr>
      </w:pPr>
      <w:r w:rsidRPr="003B3C54">
        <w:rPr>
          <w:sz w:val="22"/>
          <w:szCs w:val="22"/>
        </w:rPr>
        <w:t>Crowell, J. C. 1974</w:t>
      </w:r>
      <w:r>
        <w:rPr>
          <w:sz w:val="22"/>
          <w:szCs w:val="22"/>
        </w:rPr>
        <w:t>.</w:t>
      </w:r>
      <w:r w:rsidRPr="003B3C54">
        <w:rPr>
          <w:sz w:val="22"/>
          <w:szCs w:val="22"/>
        </w:rPr>
        <w:t xml:space="preserve"> Origin of late Cenozoic basins in southern </w:t>
      </w:r>
      <w:smartTag w:uri="urn:schemas-microsoft-com:office:smarttags" w:element="place">
        <w:smartTag w:uri="urn:schemas-microsoft-com:office:smarttags" w:element="State">
          <w:r w:rsidRPr="003B3C54">
            <w:rPr>
              <w:sz w:val="22"/>
              <w:szCs w:val="22"/>
            </w:rPr>
            <w:t>California</w:t>
          </w:r>
        </w:smartTag>
      </w:smartTag>
      <w:r>
        <w:rPr>
          <w:sz w:val="22"/>
          <w:szCs w:val="22"/>
        </w:rPr>
        <w:t>. I</w:t>
      </w:r>
      <w:r w:rsidRPr="003B3C54">
        <w:rPr>
          <w:sz w:val="22"/>
          <w:szCs w:val="22"/>
        </w:rPr>
        <w:t>n</w:t>
      </w:r>
      <w:r>
        <w:rPr>
          <w:sz w:val="22"/>
          <w:szCs w:val="22"/>
        </w:rPr>
        <w:t xml:space="preserve">: </w:t>
      </w:r>
      <w:r w:rsidRPr="003B3C54">
        <w:rPr>
          <w:sz w:val="22"/>
          <w:szCs w:val="22"/>
        </w:rPr>
        <w:t>Dott, R. H.</w:t>
      </w:r>
      <w:r>
        <w:rPr>
          <w:sz w:val="22"/>
          <w:szCs w:val="22"/>
        </w:rPr>
        <w:t xml:space="preserve"> &amp;</w:t>
      </w:r>
      <w:r w:rsidRPr="003B3C54">
        <w:rPr>
          <w:sz w:val="22"/>
          <w:szCs w:val="22"/>
        </w:rPr>
        <w:t xml:space="preserve"> Shaver, R. H., </w:t>
      </w:r>
      <w:r>
        <w:rPr>
          <w:sz w:val="22"/>
          <w:szCs w:val="22"/>
        </w:rPr>
        <w:t>(</w:t>
      </w:r>
      <w:r w:rsidRPr="003B3C54">
        <w:rPr>
          <w:sz w:val="22"/>
          <w:szCs w:val="22"/>
        </w:rPr>
        <w:t>eds</w:t>
      </w:r>
      <w:r>
        <w:rPr>
          <w:sz w:val="22"/>
          <w:szCs w:val="22"/>
        </w:rPr>
        <w:t>).</w:t>
      </w:r>
      <w:r w:rsidRPr="003B3C54">
        <w:rPr>
          <w:sz w:val="22"/>
          <w:szCs w:val="22"/>
        </w:rPr>
        <w:t xml:space="preserve"> Modern and ancient geosynclinals sedimentation: Society of Economic Palaeontologists and Mineralogists.</w:t>
      </w:r>
      <w:r w:rsidR="00971C9D">
        <w:rPr>
          <w:sz w:val="22"/>
          <w:szCs w:val="22"/>
        </w:rPr>
        <w:t xml:space="preserve"> </w:t>
      </w:r>
      <w:r w:rsidRPr="003B3C54">
        <w:rPr>
          <w:sz w:val="22"/>
          <w:szCs w:val="22"/>
        </w:rPr>
        <w:t>Special Publication 19, p. 292–303.</w:t>
      </w:r>
    </w:p>
    <w:p w:rsidR="000F7173" w:rsidRPr="005C716E" w:rsidRDefault="000F7173" w:rsidP="000F7173">
      <w:pPr>
        <w:pStyle w:val="References"/>
        <w:spacing w:line="240" w:lineRule="auto"/>
        <w:jc w:val="left"/>
        <w:rPr>
          <w:sz w:val="22"/>
          <w:szCs w:val="22"/>
        </w:rPr>
      </w:pPr>
      <w:r w:rsidRPr="005C716E">
        <w:rPr>
          <w:sz w:val="22"/>
          <w:szCs w:val="22"/>
        </w:rPr>
        <w:lastRenderedPageBreak/>
        <w:t>CSIRO</w:t>
      </w:r>
      <w:r w:rsidR="00625945">
        <w:rPr>
          <w:sz w:val="22"/>
          <w:szCs w:val="22"/>
        </w:rPr>
        <w:t>.</w:t>
      </w:r>
      <w:r w:rsidRPr="005C716E">
        <w:rPr>
          <w:sz w:val="22"/>
          <w:szCs w:val="22"/>
        </w:rPr>
        <w:t xml:space="preserve"> 2008. Water availability in the </w:t>
      </w:r>
      <w:smartTag w:uri="urn:schemas-microsoft-com:office:smarttags" w:element="place">
        <w:smartTag w:uri="urn:schemas-microsoft-com:office:smarttags" w:element="City">
          <w:r w:rsidRPr="005C716E">
            <w:rPr>
              <w:sz w:val="22"/>
              <w:szCs w:val="22"/>
            </w:rPr>
            <w:t>Murray</w:t>
          </w:r>
        </w:smartTag>
      </w:smartTag>
      <w:r w:rsidRPr="005C716E">
        <w:rPr>
          <w:sz w:val="22"/>
          <w:szCs w:val="22"/>
        </w:rPr>
        <w:t>. A report to the Australian Government from the CSIRO Murray-Darling Basin Sustainable Yields Project.</w:t>
      </w:r>
    </w:p>
    <w:p w:rsidR="000F7173" w:rsidRPr="005C716E" w:rsidRDefault="000F7173" w:rsidP="000F7173">
      <w:pPr>
        <w:pStyle w:val="References"/>
        <w:spacing w:line="240" w:lineRule="auto"/>
        <w:jc w:val="left"/>
        <w:rPr>
          <w:sz w:val="22"/>
          <w:szCs w:val="22"/>
        </w:rPr>
      </w:pPr>
      <w:r w:rsidRPr="005C716E">
        <w:rPr>
          <w:sz w:val="22"/>
          <w:szCs w:val="22"/>
        </w:rPr>
        <w:t>CSIRO &amp; SKM</w:t>
      </w:r>
      <w:r w:rsidR="00625945">
        <w:rPr>
          <w:sz w:val="22"/>
          <w:szCs w:val="22"/>
        </w:rPr>
        <w:t>.</w:t>
      </w:r>
      <w:r w:rsidRPr="005C716E">
        <w:rPr>
          <w:sz w:val="22"/>
          <w:szCs w:val="22"/>
        </w:rPr>
        <w:t xml:space="preserve"> 2010. Sustainable Extraction Limits derived from the Recharge Risk Assessment Method – </w:t>
      </w:r>
      <w:smartTag w:uri="urn:schemas-microsoft-com:office:smarttags" w:element="place">
        <w:smartTag w:uri="urn:schemas-microsoft-com:office:smarttags" w:element="State">
          <w:r w:rsidRPr="005C716E">
            <w:rPr>
              <w:sz w:val="22"/>
              <w:szCs w:val="22"/>
            </w:rPr>
            <w:t>New South Wales</w:t>
          </w:r>
        </w:smartTag>
      </w:smartTag>
      <w:r w:rsidRPr="005C716E">
        <w:rPr>
          <w:sz w:val="22"/>
          <w:szCs w:val="22"/>
        </w:rPr>
        <w:t xml:space="preserve"> (Part 3). Report to the </w:t>
      </w:r>
      <w:smartTag w:uri="urn:schemas-microsoft-com:office:smarttags" w:element="place">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Authority. CSIRO Water for a Healthy Country National Research Flagship.</w:t>
      </w:r>
    </w:p>
    <w:p w:rsidR="000F7173" w:rsidRPr="005C716E" w:rsidRDefault="000F7173" w:rsidP="000F7173">
      <w:pPr>
        <w:pStyle w:val="References"/>
        <w:spacing w:line="240" w:lineRule="auto"/>
        <w:jc w:val="left"/>
        <w:rPr>
          <w:sz w:val="22"/>
          <w:szCs w:val="22"/>
        </w:rPr>
      </w:pPr>
      <w:r w:rsidRPr="005C716E">
        <w:rPr>
          <w:sz w:val="22"/>
          <w:szCs w:val="22"/>
        </w:rPr>
        <w:t xml:space="preserve">CSIRO </w:t>
      </w:r>
      <w:r>
        <w:rPr>
          <w:sz w:val="22"/>
          <w:szCs w:val="22"/>
        </w:rPr>
        <w:t>&amp;</w:t>
      </w:r>
      <w:r w:rsidRPr="005C716E">
        <w:rPr>
          <w:sz w:val="22"/>
          <w:szCs w:val="22"/>
        </w:rPr>
        <w:t xml:space="preserve"> SKM</w:t>
      </w:r>
      <w:r w:rsidR="00625945">
        <w:rPr>
          <w:sz w:val="22"/>
          <w:szCs w:val="22"/>
        </w:rPr>
        <w:t>.</w:t>
      </w:r>
      <w:r w:rsidRPr="005C716E">
        <w:rPr>
          <w:sz w:val="22"/>
          <w:szCs w:val="22"/>
        </w:rPr>
        <w:t xml:space="preserve"> 2011. The groundwater SDL methodology for the Murray-Darling Basin Plan. Report to the </w:t>
      </w:r>
      <w:smartTag w:uri="urn:schemas-microsoft-com:office:smarttags" w:element="place">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Authority. CSIRO Water for a Healthy Country National Research Flagship.</w:t>
      </w:r>
    </w:p>
    <w:p w:rsidR="003B3C54" w:rsidRPr="003B3C54" w:rsidRDefault="003B3C54" w:rsidP="003B3C54">
      <w:pPr>
        <w:pStyle w:val="References"/>
        <w:spacing w:line="240" w:lineRule="auto"/>
        <w:jc w:val="left"/>
        <w:rPr>
          <w:sz w:val="22"/>
          <w:szCs w:val="22"/>
        </w:rPr>
      </w:pPr>
      <w:r w:rsidRPr="003B3C54">
        <w:rPr>
          <w:sz w:val="22"/>
          <w:szCs w:val="22"/>
        </w:rPr>
        <w:t>Cunningham</w:t>
      </w:r>
      <w:r>
        <w:rPr>
          <w:sz w:val="22"/>
          <w:szCs w:val="22"/>
        </w:rPr>
        <w:t>, W.D.</w:t>
      </w:r>
      <w:r w:rsidRPr="003B3C54">
        <w:rPr>
          <w:sz w:val="22"/>
          <w:szCs w:val="22"/>
        </w:rPr>
        <w:t xml:space="preserve"> &amp; Mann, P. 2007. Tectonics of strike-slip restraining and releasing bends. Geol. Soc. Lond. Spec. Publ. 290</w:t>
      </w:r>
      <w:r>
        <w:rPr>
          <w:sz w:val="22"/>
          <w:szCs w:val="22"/>
        </w:rPr>
        <w:t>,</w:t>
      </w:r>
      <w:r w:rsidRPr="003B3C54">
        <w:rPr>
          <w:sz w:val="22"/>
          <w:szCs w:val="22"/>
        </w:rPr>
        <w:t xml:space="preserve"> 1-12. </w:t>
      </w:r>
    </w:p>
    <w:p w:rsidR="000F7173" w:rsidRPr="005C716E" w:rsidRDefault="000F7173" w:rsidP="000F7173">
      <w:pPr>
        <w:pStyle w:val="References"/>
        <w:spacing w:line="240" w:lineRule="auto"/>
        <w:jc w:val="left"/>
        <w:rPr>
          <w:sz w:val="22"/>
          <w:szCs w:val="22"/>
        </w:rPr>
      </w:pPr>
      <w:r w:rsidRPr="005C716E">
        <w:rPr>
          <w:sz w:val="22"/>
          <w:szCs w:val="22"/>
        </w:rPr>
        <w:t>de Hoog, M., Navin, J., Lawrie, K., Apps, H., Halas, L.</w:t>
      </w:r>
      <w:r>
        <w:rPr>
          <w:sz w:val="22"/>
          <w:szCs w:val="22"/>
        </w:rPr>
        <w:t xml:space="preserve"> &amp;</w:t>
      </w:r>
      <w:r w:rsidRPr="005C716E">
        <w:rPr>
          <w:sz w:val="22"/>
          <w:szCs w:val="22"/>
        </w:rPr>
        <w:t xml:space="preserve"> Brodie, R.S. 2012</w:t>
      </w:r>
      <w:r>
        <w:rPr>
          <w:sz w:val="22"/>
          <w:szCs w:val="22"/>
        </w:rPr>
        <w:t>.</w:t>
      </w:r>
      <w:r w:rsidRPr="005C716E">
        <w:rPr>
          <w:sz w:val="22"/>
          <w:szCs w:val="22"/>
        </w:rPr>
        <w:t xml:space="preserve"> WORLDWIND virtual globe model. Broken Hill Managed Aquifer Recharge Project, Geocat 63827.</w:t>
      </w:r>
    </w:p>
    <w:p w:rsidR="000F7173" w:rsidRPr="005C716E" w:rsidRDefault="000F7173" w:rsidP="000F7173">
      <w:pPr>
        <w:pStyle w:val="References"/>
        <w:spacing w:line="240" w:lineRule="auto"/>
        <w:jc w:val="left"/>
        <w:rPr>
          <w:sz w:val="22"/>
          <w:szCs w:val="22"/>
        </w:rPr>
      </w:pPr>
      <w:r w:rsidRPr="005C716E">
        <w:rPr>
          <w:sz w:val="22"/>
          <w:szCs w:val="22"/>
        </w:rPr>
        <w:t>Dillon P.J. 2005. Future management of aquifer recharge. Hydrogeology Journal, 13, 113-316.</w:t>
      </w:r>
    </w:p>
    <w:p w:rsidR="000F7173" w:rsidRPr="005C716E" w:rsidRDefault="000F7173" w:rsidP="000F7173">
      <w:pPr>
        <w:pStyle w:val="References"/>
        <w:spacing w:line="240" w:lineRule="auto"/>
        <w:jc w:val="left"/>
        <w:rPr>
          <w:sz w:val="22"/>
          <w:szCs w:val="22"/>
        </w:rPr>
      </w:pPr>
      <w:r w:rsidRPr="005C716E">
        <w:rPr>
          <w:sz w:val="22"/>
          <w:szCs w:val="22"/>
        </w:rPr>
        <w:t>Dillon</w:t>
      </w:r>
      <w:r>
        <w:rPr>
          <w:sz w:val="22"/>
          <w:szCs w:val="22"/>
        </w:rPr>
        <w:t>,</w:t>
      </w:r>
      <w:r w:rsidRPr="005C716E">
        <w:rPr>
          <w:sz w:val="22"/>
          <w:szCs w:val="22"/>
        </w:rPr>
        <w:t xml:space="preserve"> P., Toze</w:t>
      </w:r>
      <w:r>
        <w:rPr>
          <w:sz w:val="22"/>
          <w:szCs w:val="22"/>
        </w:rPr>
        <w:t>,</w:t>
      </w:r>
      <w:r w:rsidRPr="005C716E">
        <w:rPr>
          <w:sz w:val="22"/>
          <w:szCs w:val="22"/>
        </w:rPr>
        <w:t xml:space="preserve"> S., Pavelic</w:t>
      </w:r>
      <w:r>
        <w:rPr>
          <w:sz w:val="22"/>
          <w:szCs w:val="22"/>
        </w:rPr>
        <w:t>,</w:t>
      </w:r>
      <w:r w:rsidRPr="005C716E">
        <w:rPr>
          <w:sz w:val="22"/>
          <w:szCs w:val="22"/>
        </w:rPr>
        <w:t xml:space="preserve"> P., Vanderzalm</w:t>
      </w:r>
      <w:r>
        <w:rPr>
          <w:sz w:val="22"/>
          <w:szCs w:val="22"/>
        </w:rPr>
        <w:t>,</w:t>
      </w:r>
      <w:r w:rsidRPr="005C716E">
        <w:rPr>
          <w:sz w:val="22"/>
          <w:szCs w:val="22"/>
        </w:rPr>
        <w:t xml:space="preserve"> J., Barry</w:t>
      </w:r>
      <w:r>
        <w:rPr>
          <w:sz w:val="22"/>
          <w:szCs w:val="22"/>
        </w:rPr>
        <w:t>,</w:t>
      </w:r>
      <w:r w:rsidRPr="005C716E">
        <w:rPr>
          <w:sz w:val="22"/>
          <w:szCs w:val="22"/>
        </w:rPr>
        <w:t xml:space="preserve"> K., Ying</w:t>
      </w:r>
      <w:r>
        <w:rPr>
          <w:sz w:val="22"/>
          <w:szCs w:val="22"/>
        </w:rPr>
        <w:t>,</w:t>
      </w:r>
      <w:r w:rsidRPr="005C716E">
        <w:rPr>
          <w:sz w:val="22"/>
          <w:szCs w:val="22"/>
        </w:rPr>
        <w:t xml:space="preserve"> G-G., Kookana</w:t>
      </w:r>
      <w:r>
        <w:rPr>
          <w:sz w:val="22"/>
          <w:szCs w:val="22"/>
        </w:rPr>
        <w:t>,</w:t>
      </w:r>
      <w:r w:rsidRPr="005C716E">
        <w:rPr>
          <w:sz w:val="22"/>
          <w:szCs w:val="22"/>
        </w:rPr>
        <w:t xml:space="preserve"> R., Skjemstad</w:t>
      </w:r>
      <w:r>
        <w:rPr>
          <w:sz w:val="22"/>
          <w:szCs w:val="22"/>
        </w:rPr>
        <w:t xml:space="preserve">, </w:t>
      </w:r>
      <w:r w:rsidRPr="005C716E">
        <w:rPr>
          <w:sz w:val="22"/>
          <w:szCs w:val="22"/>
        </w:rPr>
        <w:t>J., Nicholson</w:t>
      </w:r>
      <w:r>
        <w:rPr>
          <w:sz w:val="22"/>
          <w:szCs w:val="22"/>
        </w:rPr>
        <w:t>,</w:t>
      </w:r>
      <w:r w:rsidRPr="005C716E">
        <w:rPr>
          <w:sz w:val="22"/>
          <w:szCs w:val="22"/>
        </w:rPr>
        <w:t xml:space="preserve"> B., Miller</w:t>
      </w:r>
      <w:r>
        <w:rPr>
          <w:sz w:val="22"/>
          <w:szCs w:val="22"/>
        </w:rPr>
        <w:t>,</w:t>
      </w:r>
      <w:r w:rsidRPr="005C716E">
        <w:rPr>
          <w:sz w:val="22"/>
          <w:szCs w:val="22"/>
        </w:rPr>
        <w:t xml:space="preserve"> R., Correll</w:t>
      </w:r>
      <w:r>
        <w:rPr>
          <w:sz w:val="22"/>
          <w:szCs w:val="22"/>
        </w:rPr>
        <w:t>,</w:t>
      </w:r>
      <w:r w:rsidRPr="005C716E">
        <w:rPr>
          <w:sz w:val="22"/>
          <w:szCs w:val="22"/>
        </w:rPr>
        <w:t xml:space="preserve"> R., Prommer</w:t>
      </w:r>
      <w:r>
        <w:rPr>
          <w:sz w:val="22"/>
          <w:szCs w:val="22"/>
        </w:rPr>
        <w:t>,</w:t>
      </w:r>
      <w:r w:rsidRPr="005C716E">
        <w:rPr>
          <w:sz w:val="22"/>
          <w:szCs w:val="22"/>
        </w:rPr>
        <w:t xml:space="preserve"> H., Greskowiak</w:t>
      </w:r>
      <w:r>
        <w:rPr>
          <w:sz w:val="22"/>
          <w:szCs w:val="22"/>
        </w:rPr>
        <w:t>,</w:t>
      </w:r>
      <w:r w:rsidRPr="005C716E">
        <w:rPr>
          <w:sz w:val="22"/>
          <w:szCs w:val="22"/>
        </w:rPr>
        <w:t xml:space="preserve"> J. &amp; Stuyfzand, P. 2005. Water quality improvements during aquifer storage and recovery at ten sites. In: UNESCO (eds)</w:t>
      </w:r>
      <w:r>
        <w:rPr>
          <w:sz w:val="22"/>
          <w:szCs w:val="22"/>
        </w:rPr>
        <w:t xml:space="preserve">, </w:t>
      </w:r>
      <w:r w:rsidRPr="005C716E">
        <w:rPr>
          <w:sz w:val="22"/>
          <w:szCs w:val="22"/>
        </w:rPr>
        <w:t>Recharge systems for protecting and enhancing groundwater resources</w:t>
      </w:r>
      <w:r w:rsidR="00625945">
        <w:rPr>
          <w:sz w:val="22"/>
          <w:szCs w:val="22"/>
        </w:rPr>
        <w:t xml:space="preserve">. </w:t>
      </w:r>
      <w:r w:rsidRPr="005C716E">
        <w:rPr>
          <w:sz w:val="22"/>
          <w:szCs w:val="22"/>
        </w:rPr>
        <w:t>Proceedings of the 5</w:t>
      </w:r>
      <w:r w:rsidRPr="005837B2">
        <w:rPr>
          <w:sz w:val="22"/>
          <w:szCs w:val="22"/>
          <w:vertAlign w:val="superscript"/>
        </w:rPr>
        <w:t>th</w:t>
      </w:r>
      <w:r w:rsidRPr="005C716E">
        <w:rPr>
          <w:sz w:val="22"/>
          <w:szCs w:val="22"/>
        </w:rPr>
        <w:t xml:space="preserve"> International Symposium on Management of Aquifer Recharge (ISMAR5), </w:t>
      </w:r>
      <w:smartTag w:uri="urn:schemas-microsoft-com:office:smarttags" w:element="State">
        <w:smartTag w:uri="urn:schemas-microsoft-com:office:smarttags" w:element="place">
          <w:r w:rsidRPr="005C716E">
            <w:rPr>
              <w:sz w:val="22"/>
              <w:szCs w:val="22"/>
            </w:rPr>
            <w:t>Berlin</w:t>
          </w:r>
        </w:smartTag>
      </w:smartTag>
      <w:r w:rsidRPr="005C716E">
        <w:rPr>
          <w:sz w:val="22"/>
          <w:szCs w:val="22"/>
        </w:rPr>
        <w:t xml:space="preserve">, 11–16 June 2005, 85–94. </w:t>
      </w:r>
    </w:p>
    <w:p w:rsidR="000F7173" w:rsidRPr="005C716E" w:rsidRDefault="000F7173" w:rsidP="000F7173">
      <w:pPr>
        <w:pStyle w:val="References"/>
        <w:spacing w:line="240" w:lineRule="auto"/>
        <w:jc w:val="left"/>
        <w:rPr>
          <w:sz w:val="22"/>
          <w:szCs w:val="22"/>
        </w:rPr>
      </w:pPr>
      <w:r w:rsidRPr="005C716E">
        <w:rPr>
          <w:sz w:val="22"/>
          <w:szCs w:val="22"/>
        </w:rPr>
        <w:tab/>
      </w:r>
      <w:hyperlink r:id="rId157" w:history="1">
        <w:r w:rsidRPr="00386B01">
          <w:rPr>
            <w:rStyle w:val="Hyperlink"/>
          </w:rPr>
          <w:t>http://unesdoc.unesco.org/images/0014/001492/149210e.pdf</w:t>
        </w:r>
      </w:hyperlink>
    </w:p>
    <w:p w:rsidR="000F7173" w:rsidRPr="005C716E" w:rsidRDefault="000F7173" w:rsidP="000F7173">
      <w:pPr>
        <w:pStyle w:val="References"/>
        <w:spacing w:line="240" w:lineRule="auto"/>
        <w:jc w:val="left"/>
        <w:rPr>
          <w:sz w:val="22"/>
          <w:szCs w:val="22"/>
        </w:rPr>
      </w:pPr>
      <w:r w:rsidRPr="005C716E">
        <w:rPr>
          <w:sz w:val="22"/>
          <w:szCs w:val="22"/>
        </w:rPr>
        <w:t>Dillon</w:t>
      </w:r>
      <w:r>
        <w:rPr>
          <w:sz w:val="22"/>
          <w:szCs w:val="22"/>
        </w:rPr>
        <w:t>,</w:t>
      </w:r>
      <w:r w:rsidRPr="005C716E">
        <w:rPr>
          <w:sz w:val="22"/>
          <w:szCs w:val="22"/>
        </w:rPr>
        <w:t xml:space="preserve"> P., Pavelic, P., Page, D., Beringen, H. &amp; Ward, J. 2009. Managed Aquifer Recharge. Waterlines Report Series No. 13, February 2009.</w:t>
      </w:r>
    </w:p>
    <w:p w:rsidR="000F7173" w:rsidRPr="00593B52" w:rsidRDefault="000F7173" w:rsidP="000F7173">
      <w:pPr>
        <w:pStyle w:val="References"/>
        <w:spacing w:line="240" w:lineRule="auto"/>
        <w:jc w:val="left"/>
        <w:rPr>
          <w:sz w:val="22"/>
          <w:szCs w:val="22"/>
          <w:lang w:val="fr-FR"/>
        </w:rPr>
      </w:pPr>
      <w:r w:rsidRPr="004F6B9C">
        <w:rPr>
          <w:sz w:val="22"/>
          <w:szCs w:val="22"/>
        </w:rPr>
        <w:t>Doll, W.E., Nyquist, J.E., Beard, L.P. &amp; Gamey, T.J. 2000</w:t>
      </w:r>
      <w:r>
        <w:rPr>
          <w:sz w:val="22"/>
          <w:szCs w:val="22"/>
        </w:rPr>
        <w:t xml:space="preserve">. </w:t>
      </w:r>
      <w:r w:rsidRPr="004F6B9C">
        <w:rPr>
          <w:sz w:val="22"/>
          <w:szCs w:val="22"/>
        </w:rPr>
        <w:t xml:space="preserve">Airborne geophysical surveying for hazardous waste site characterization on the Oak Ridge Reservation, </w:t>
      </w:r>
      <w:smartTag w:uri="urn:schemas-microsoft-com:office:smarttags" w:element="place">
        <w:smartTag w:uri="urn:schemas-microsoft-com:office:smarttags" w:element="State">
          <w:r w:rsidRPr="004F6B9C">
            <w:rPr>
              <w:sz w:val="22"/>
              <w:szCs w:val="22"/>
            </w:rPr>
            <w:t>Tennessee</w:t>
          </w:r>
        </w:smartTag>
      </w:smartTag>
      <w:r>
        <w:rPr>
          <w:sz w:val="22"/>
          <w:szCs w:val="22"/>
        </w:rPr>
        <w:t>.</w:t>
      </w:r>
      <w:r w:rsidRPr="004F6B9C">
        <w:rPr>
          <w:sz w:val="22"/>
          <w:szCs w:val="22"/>
        </w:rPr>
        <w:t xml:space="preserve"> </w:t>
      </w:r>
      <w:r w:rsidRPr="00593B52">
        <w:rPr>
          <w:sz w:val="22"/>
          <w:szCs w:val="22"/>
          <w:lang w:val="fr-FR"/>
        </w:rPr>
        <w:t>Geophysics 65, 5, 1372-1387.</w:t>
      </w:r>
    </w:p>
    <w:p w:rsidR="000F7173" w:rsidRPr="004F6B9C" w:rsidRDefault="000F7173" w:rsidP="000F7173">
      <w:pPr>
        <w:pStyle w:val="References"/>
        <w:rPr>
          <w:sz w:val="22"/>
          <w:szCs w:val="22"/>
        </w:rPr>
      </w:pPr>
      <w:bookmarkStart w:id="793" w:name="_ENREF_18"/>
      <w:r w:rsidRPr="00593B52">
        <w:rPr>
          <w:sz w:val="22"/>
          <w:szCs w:val="22"/>
          <w:lang w:val="fr-FR"/>
        </w:rPr>
        <w:t xml:space="preserve">d'Ozouville, N., Auken, E., Sorensen, K., Violette, S., Marsily, G. de, Deffontaines, B. &amp; Merlen, G. 2008. </w:t>
      </w:r>
      <w:r w:rsidRPr="004F6B9C">
        <w:rPr>
          <w:sz w:val="22"/>
          <w:szCs w:val="22"/>
        </w:rPr>
        <w:t>Extensive perched aquifer and structural implications revealed by 3D resistivity mapping in a Galapagos volcano. Earth and Planetary Science Letters 269</w:t>
      </w:r>
      <w:r>
        <w:rPr>
          <w:sz w:val="22"/>
          <w:szCs w:val="22"/>
        </w:rPr>
        <w:t xml:space="preserve">, </w:t>
      </w:r>
      <w:r w:rsidRPr="004F6B9C">
        <w:rPr>
          <w:sz w:val="22"/>
          <w:szCs w:val="22"/>
        </w:rPr>
        <w:t>3</w:t>
      </w:r>
      <w:r>
        <w:rPr>
          <w:sz w:val="22"/>
          <w:szCs w:val="22"/>
        </w:rPr>
        <w:t>,</w:t>
      </w:r>
      <w:r w:rsidRPr="004F6B9C">
        <w:rPr>
          <w:sz w:val="22"/>
          <w:szCs w:val="22"/>
        </w:rPr>
        <w:t xml:space="preserve"> 518-522.</w:t>
      </w:r>
      <w:bookmarkEnd w:id="793"/>
    </w:p>
    <w:p w:rsidR="000F7173" w:rsidRPr="005C716E" w:rsidRDefault="000F7173" w:rsidP="000F7173">
      <w:pPr>
        <w:pStyle w:val="References"/>
        <w:spacing w:line="240" w:lineRule="auto"/>
        <w:jc w:val="left"/>
        <w:rPr>
          <w:sz w:val="22"/>
          <w:szCs w:val="22"/>
        </w:rPr>
      </w:pPr>
      <w:r w:rsidRPr="005C716E">
        <w:rPr>
          <w:sz w:val="22"/>
          <w:szCs w:val="22"/>
        </w:rPr>
        <w:t xml:space="preserve">Edmunds, W.M. 2009. Geochemistry’s </w:t>
      </w:r>
      <w:r>
        <w:rPr>
          <w:sz w:val="22"/>
          <w:szCs w:val="22"/>
        </w:rPr>
        <w:t>v</w:t>
      </w:r>
      <w:r w:rsidRPr="005C716E">
        <w:rPr>
          <w:sz w:val="22"/>
          <w:szCs w:val="22"/>
        </w:rPr>
        <w:t xml:space="preserve">ital </w:t>
      </w:r>
      <w:r>
        <w:rPr>
          <w:sz w:val="22"/>
          <w:szCs w:val="22"/>
        </w:rPr>
        <w:t>c</w:t>
      </w:r>
      <w:r w:rsidRPr="005C716E">
        <w:rPr>
          <w:sz w:val="22"/>
          <w:szCs w:val="22"/>
        </w:rPr>
        <w:t xml:space="preserve">ontribution to </w:t>
      </w:r>
      <w:r>
        <w:rPr>
          <w:sz w:val="22"/>
          <w:szCs w:val="22"/>
        </w:rPr>
        <w:t>s</w:t>
      </w:r>
      <w:r w:rsidRPr="005C716E">
        <w:rPr>
          <w:sz w:val="22"/>
          <w:szCs w:val="22"/>
        </w:rPr>
        <w:t xml:space="preserve">olving </w:t>
      </w:r>
      <w:r>
        <w:rPr>
          <w:sz w:val="22"/>
          <w:szCs w:val="22"/>
        </w:rPr>
        <w:t>w</w:t>
      </w:r>
      <w:r w:rsidRPr="005C716E">
        <w:rPr>
          <w:sz w:val="22"/>
          <w:szCs w:val="22"/>
        </w:rPr>
        <w:t xml:space="preserve">ater </w:t>
      </w:r>
      <w:r>
        <w:rPr>
          <w:sz w:val="22"/>
          <w:szCs w:val="22"/>
        </w:rPr>
        <w:t>r</w:t>
      </w:r>
      <w:r w:rsidRPr="005C716E">
        <w:rPr>
          <w:sz w:val="22"/>
          <w:szCs w:val="22"/>
        </w:rPr>
        <w:t xml:space="preserve">esource </w:t>
      </w:r>
      <w:r>
        <w:rPr>
          <w:sz w:val="22"/>
          <w:szCs w:val="22"/>
        </w:rPr>
        <w:t>p</w:t>
      </w:r>
      <w:r w:rsidRPr="005C716E">
        <w:rPr>
          <w:sz w:val="22"/>
          <w:szCs w:val="22"/>
        </w:rPr>
        <w:t>roblems. Applied Geochemistry, 24, 1058-1073.</w:t>
      </w:r>
    </w:p>
    <w:p w:rsidR="000F7173" w:rsidRPr="005C716E" w:rsidRDefault="000F7173" w:rsidP="000F7173">
      <w:pPr>
        <w:pStyle w:val="References"/>
        <w:spacing w:line="240" w:lineRule="auto"/>
        <w:jc w:val="left"/>
        <w:rPr>
          <w:sz w:val="22"/>
          <w:szCs w:val="22"/>
        </w:rPr>
      </w:pPr>
      <w:r w:rsidRPr="005C716E">
        <w:rPr>
          <w:sz w:val="22"/>
          <w:szCs w:val="22"/>
        </w:rPr>
        <w:t xml:space="preserve">Edwards, D. &amp; MacAuley, S. 2008. Airborne </w:t>
      </w:r>
      <w:r>
        <w:rPr>
          <w:sz w:val="22"/>
          <w:szCs w:val="22"/>
        </w:rPr>
        <w:t>e</w:t>
      </w:r>
      <w:r w:rsidRPr="005C716E">
        <w:rPr>
          <w:sz w:val="22"/>
          <w:szCs w:val="22"/>
        </w:rPr>
        <w:t xml:space="preserve">lectromagnetic </w:t>
      </w:r>
      <w:r>
        <w:rPr>
          <w:sz w:val="22"/>
          <w:szCs w:val="22"/>
        </w:rPr>
        <w:t>s</w:t>
      </w:r>
      <w:r w:rsidRPr="005C716E">
        <w:rPr>
          <w:sz w:val="22"/>
          <w:szCs w:val="22"/>
        </w:rPr>
        <w:t xml:space="preserve">urveying for answering environmental /land management questions: a case study from the Lower Macquarie </w:t>
      </w:r>
      <w:r>
        <w:rPr>
          <w:sz w:val="22"/>
          <w:szCs w:val="22"/>
        </w:rPr>
        <w:t>c</w:t>
      </w:r>
      <w:r w:rsidRPr="005C716E">
        <w:rPr>
          <w:sz w:val="22"/>
          <w:szCs w:val="22"/>
        </w:rPr>
        <w:t xml:space="preserve">atchment, NSW,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AEM 08, </w:t>
      </w:r>
      <w:smartTag w:uri="urn:schemas-microsoft-com:office:smarttags" w:element="place">
        <w:smartTag w:uri="urn:schemas-microsoft-com:office:smarttags" w:element="City">
          <w:r w:rsidRPr="005C716E">
            <w:rPr>
              <w:sz w:val="22"/>
              <w:szCs w:val="22"/>
            </w:rPr>
            <w:t>Helsinki</w:t>
          </w:r>
        </w:smartTag>
        <w:r w:rsidRPr="005C716E">
          <w:rPr>
            <w:sz w:val="22"/>
            <w:szCs w:val="22"/>
          </w:rPr>
          <w:t xml:space="preserve">, </w:t>
        </w:r>
        <w:smartTag w:uri="urn:schemas-microsoft-com:office:smarttags" w:element="country-region">
          <w:r w:rsidRPr="005C716E">
            <w:rPr>
              <w:sz w:val="22"/>
              <w:szCs w:val="22"/>
            </w:rPr>
            <w:t>Finland</w:t>
          </w:r>
        </w:smartTag>
      </w:smartTag>
      <w:r w:rsidRPr="005C716E">
        <w:rPr>
          <w:sz w:val="22"/>
          <w:szCs w:val="22"/>
        </w:rPr>
        <w:t>. Ext Abs 08-05, 2</w:t>
      </w:r>
      <w:r w:rsidR="00DB488F">
        <w:rPr>
          <w:sz w:val="22"/>
          <w:szCs w:val="22"/>
        </w:rPr>
        <w:t xml:space="preserve"> </w:t>
      </w:r>
      <w:r w:rsidRPr="005C716E">
        <w:rPr>
          <w:sz w:val="22"/>
          <w:szCs w:val="22"/>
        </w:rPr>
        <w:t>p.</w:t>
      </w:r>
    </w:p>
    <w:p w:rsidR="000F7173" w:rsidRPr="005C716E" w:rsidRDefault="000F7173" w:rsidP="000F7173">
      <w:pPr>
        <w:pStyle w:val="References"/>
        <w:spacing w:line="240" w:lineRule="auto"/>
        <w:jc w:val="left"/>
        <w:rPr>
          <w:sz w:val="22"/>
          <w:szCs w:val="22"/>
        </w:rPr>
      </w:pPr>
      <w:r w:rsidRPr="005C716E">
        <w:rPr>
          <w:sz w:val="22"/>
          <w:szCs w:val="22"/>
        </w:rPr>
        <w:t xml:space="preserve">Evans, R., Murrihy, E., Bastiaanssen, W. &amp; Molloy, R. 2009. Using </w:t>
      </w:r>
      <w:r>
        <w:rPr>
          <w:sz w:val="22"/>
          <w:szCs w:val="22"/>
        </w:rPr>
        <w:t>s</w:t>
      </w:r>
      <w:r w:rsidRPr="005C716E">
        <w:rPr>
          <w:sz w:val="22"/>
          <w:szCs w:val="22"/>
        </w:rPr>
        <w:t xml:space="preserve">atellite </w:t>
      </w:r>
      <w:r>
        <w:rPr>
          <w:sz w:val="22"/>
          <w:szCs w:val="22"/>
        </w:rPr>
        <w:t>i</w:t>
      </w:r>
      <w:r w:rsidRPr="005C716E">
        <w:rPr>
          <w:sz w:val="22"/>
          <w:szCs w:val="22"/>
        </w:rPr>
        <w:t xml:space="preserve">magery to </w:t>
      </w:r>
      <w:r>
        <w:rPr>
          <w:sz w:val="22"/>
          <w:szCs w:val="22"/>
        </w:rPr>
        <w:t>m</w:t>
      </w:r>
      <w:r w:rsidRPr="005C716E">
        <w:rPr>
          <w:sz w:val="22"/>
          <w:szCs w:val="22"/>
        </w:rPr>
        <w:t xml:space="preserve">easure </w:t>
      </w:r>
      <w:r>
        <w:rPr>
          <w:sz w:val="22"/>
          <w:szCs w:val="22"/>
        </w:rPr>
        <w:t>e</w:t>
      </w:r>
      <w:r w:rsidRPr="005C716E">
        <w:rPr>
          <w:sz w:val="22"/>
          <w:szCs w:val="22"/>
        </w:rPr>
        <w:t xml:space="preserve">vaporation from </w:t>
      </w:r>
      <w:r>
        <w:rPr>
          <w:sz w:val="22"/>
          <w:szCs w:val="22"/>
        </w:rPr>
        <w:t>s</w:t>
      </w:r>
      <w:r w:rsidRPr="005C716E">
        <w:rPr>
          <w:sz w:val="22"/>
          <w:szCs w:val="22"/>
        </w:rPr>
        <w:t xml:space="preserve">torages- Solving the </w:t>
      </w:r>
      <w:r>
        <w:rPr>
          <w:sz w:val="22"/>
          <w:szCs w:val="22"/>
        </w:rPr>
        <w:t>g</w:t>
      </w:r>
      <w:r w:rsidRPr="005C716E">
        <w:rPr>
          <w:sz w:val="22"/>
          <w:szCs w:val="22"/>
        </w:rPr>
        <w:t xml:space="preserve">reat </w:t>
      </w:r>
      <w:r>
        <w:rPr>
          <w:sz w:val="22"/>
          <w:szCs w:val="22"/>
        </w:rPr>
        <w:t>u</w:t>
      </w:r>
      <w:r w:rsidRPr="005C716E">
        <w:rPr>
          <w:sz w:val="22"/>
          <w:szCs w:val="22"/>
        </w:rPr>
        <w:t xml:space="preserve">nknown in </w:t>
      </w:r>
      <w:r>
        <w:rPr>
          <w:sz w:val="22"/>
          <w:szCs w:val="22"/>
        </w:rPr>
        <w:t>w</w:t>
      </w:r>
      <w:r w:rsidRPr="005C716E">
        <w:rPr>
          <w:sz w:val="22"/>
          <w:szCs w:val="22"/>
        </w:rPr>
        <w:t xml:space="preserve">ater </w:t>
      </w:r>
      <w:r>
        <w:rPr>
          <w:sz w:val="22"/>
          <w:szCs w:val="22"/>
        </w:rPr>
        <w:t>a</w:t>
      </w:r>
      <w:r w:rsidRPr="005C716E">
        <w:rPr>
          <w:sz w:val="22"/>
          <w:szCs w:val="22"/>
        </w:rPr>
        <w:t>ccounting</w:t>
      </w:r>
      <w:r>
        <w:rPr>
          <w:sz w:val="22"/>
          <w:szCs w:val="22"/>
        </w:rPr>
        <w:t>.</w:t>
      </w:r>
      <w:r w:rsidRPr="005C716E">
        <w:rPr>
          <w:sz w:val="22"/>
          <w:szCs w:val="22"/>
        </w:rPr>
        <w:t xml:space="preserve"> Irrigation and Drainage Conference 2009, Irrigation Australia Ltd, Swan Hill, Vic, Australia, 18 – 21 Oct. </w:t>
      </w:r>
    </w:p>
    <w:p w:rsidR="000F7173" w:rsidRPr="005C716E" w:rsidRDefault="000F7173" w:rsidP="000F7173">
      <w:pPr>
        <w:pStyle w:val="References"/>
        <w:spacing w:line="240" w:lineRule="auto"/>
        <w:jc w:val="left"/>
        <w:rPr>
          <w:sz w:val="22"/>
          <w:szCs w:val="22"/>
        </w:rPr>
      </w:pPr>
      <w:r w:rsidRPr="005C716E">
        <w:rPr>
          <w:sz w:val="22"/>
          <w:szCs w:val="22"/>
        </w:rPr>
        <w:t xml:space="preserve">Firman, J.B. 1965. Late Cainozoic lacustrine deposits in the Murray Basin, South Australia. Geological Survey </w:t>
      </w:r>
      <w:smartTag w:uri="urn:schemas-microsoft-com:office:smarttags" w:element="place">
        <w:smartTag w:uri="urn:schemas-microsoft-com:office:smarttags" w:element="State">
          <w:r w:rsidRPr="005C716E">
            <w:rPr>
              <w:sz w:val="22"/>
              <w:szCs w:val="22"/>
            </w:rPr>
            <w:t>South Australia</w:t>
          </w:r>
        </w:smartTag>
      </w:smartTag>
      <w:r w:rsidRPr="005C716E">
        <w:rPr>
          <w:sz w:val="22"/>
          <w:szCs w:val="22"/>
        </w:rPr>
        <w:t>, Quarterly Geological Notes 16</w:t>
      </w:r>
      <w:r>
        <w:rPr>
          <w:sz w:val="22"/>
          <w:szCs w:val="22"/>
        </w:rPr>
        <w:t>,</w:t>
      </w:r>
      <w:r w:rsidRPr="005C716E">
        <w:rPr>
          <w:sz w:val="22"/>
          <w:szCs w:val="22"/>
        </w:rPr>
        <w:t xml:space="preserve"> 1-2.</w:t>
      </w:r>
    </w:p>
    <w:p w:rsidR="000F7173" w:rsidRDefault="000F7173" w:rsidP="000F7173">
      <w:pPr>
        <w:pStyle w:val="References"/>
        <w:spacing w:line="240" w:lineRule="auto"/>
        <w:jc w:val="left"/>
        <w:rPr>
          <w:sz w:val="22"/>
          <w:szCs w:val="22"/>
        </w:rPr>
      </w:pPr>
      <w:bookmarkStart w:id="794" w:name="_ENREF_29"/>
      <w:r w:rsidRPr="004F6B9C">
        <w:rPr>
          <w:sz w:val="22"/>
          <w:szCs w:val="22"/>
        </w:rPr>
        <w:t>Fitterman, D.V. &amp; Deszcz-Pan, M. 1998</w:t>
      </w:r>
      <w:r>
        <w:rPr>
          <w:sz w:val="22"/>
          <w:szCs w:val="22"/>
        </w:rPr>
        <w:t xml:space="preserve">. </w:t>
      </w:r>
      <w:r w:rsidRPr="004F6B9C">
        <w:rPr>
          <w:sz w:val="22"/>
          <w:szCs w:val="22"/>
        </w:rPr>
        <w:t xml:space="preserve">Helicopter EM mapping of saltwater intrusion in </w:t>
      </w:r>
      <w:smartTag w:uri="urn:schemas-microsoft-com:office:smarttags" w:element="place">
        <w:smartTag w:uri="urn:schemas-microsoft-com:office:smarttags" w:element="City">
          <w:r w:rsidRPr="004F6B9C">
            <w:rPr>
              <w:sz w:val="22"/>
              <w:szCs w:val="22"/>
            </w:rPr>
            <w:t>Everglades National Park</w:t>
          </w:r>
        </w:smartTag>
        <w:r w:rsidRPr="004F6B9C">
          <w:rPr>
            <w:sz w:val="22"/>
            <w:szCs w:val="22"/>
          </w:rPr>
          <w:t xml:space="preserve">, </w:t>
        </w:r>
        <w:smartTag w:uri="urn:schemas-microsoft-com:office:smarttags" w:element="State">
          <w:r w:rsidRPr="004F6B9C">
            <w:rPr>
              <w:sz w:val="22"/>
              <w:szCs w:val="22"/>
            </w:rPr>
            <w:t>Florida</w:t>
          </w:r>
        </w:smartTag>
      </w:smartTag>
      <w:r>
        <w:rPr>
          <w:sz w:val="22"/>
          <w:szCs w:val="22"/>
        </w:rPr>
        <w:t>.</w:t>
      </w:r>
      <w:r w:rsidRPr="004F6B9C">
        <w:rPr>
          <w:sz w:val="22"/>
          <w:szCs w:val="22"/>
        </w:rPr>
        <w:t xml:space="preserve"> Exploration Geophysics 29</w:t>
      </w:r>
      <w:r>
        <w:rPr>
          <w:sz w:val="22"/>
          <w:szCs w:val="22"/>
        </w:rPr>
        <w:t xml:space="preserve">, </w:t>
      </w:r>
      <w:r w:rsidRPr="004F6B9C">
        <w:rPr>
          <w:sz w:val="22"/>
          <w:szCs w:val="22"/>
        </w:rPr>
        <w:t>2</w:t>
      </w:r>
      <w:r>
        <w:rPr>
          <w:sz w:val="22"/>
          <w:szCs w:val="22"/>
        </w:rPr>
        <w:t>,</w:t>
      </w:r>
      <w:r w:rsidRPr="004F6B9C">
        <w:rPr>
          <w:sz w:val="22"/>
          <w:szCs w:val="22"/>
        </w:rPr>
        <w:t xml:space="preserve"> 240-243.</w:t>
      </w:r>
      <w:bookmarkEnd w:id="794"/>
    </w:p>
    <w:p w:rsidR="000F7173" w:rsidRPr="005C716E" w:rsidRDefault="000F7173" w:rsidP="000F7173">
      <w:pPr>
        <w:pStyle w:val="References"/>
        <w:spacing w:line="240" w:lineRule="auto"/>
        <w:jc w:val="left"/>
        <w:rPr>
          <w:sz w:val="22"/>
          <w:szCs w:val="22"/>
        </w:rPr>
      </w:pPr>
      <w:r w:rsidRPr="005C716E">
        <w:rPr>
          <w:sz w:val="22"/>
          <w:szCs w:val="22"/>
        </w:rPr>
        <w:t xml:space="preserve">Fitzpatrick, A. &amp; Munday, T. 2006. </w:t>
      </w:r>
      <w:smartTag w:uri="urn:schemas-microsoft-com:office:smarttags" w:element="place">
        <w:smartTag w:uri="urn:schemas-microsoft-com:office:smarttags" w:element="PlaceName">
          <w:r w:rsidRPr="005C716E">
            <w:rPr>
              <w:sz w:val="22"/>
              <w:szCs w:val="22"/>
            </w:rPr>
            <w:t>Coffin</w:t>
          </w:r>
        </w:smartTag>
        <w:r w:rsidRPr="005C716E">
          <w:rPr>
            <w:sz w:val="22"/>
            <w:szCs w:val="22"/>
          </w:rPr>
          <w:t xml:space="preserve"> </w:t>
        </w:r>
        <w:smartTag w:uri="urn:schemas-microsoft-com:office:smarttags" w:element="PlaceType">
          <w:r w:rsidRPr="005C716E">
            <w:rPr>
              <w:sz w:val="22"/>
              <w:szCs w:val="22"/>
            </w:rPr>
            <w:t>Bay</w:t>
          </w:r>
        </w:smartTag>
      </w:smartTag>
      <w:r w:rsidRPr="005C716E">
        <w:rPr>
          <w:sz w:val="22"/>
          <w:szCs w:val="22"/>
        </w:rPr>
        <w:t xml:space="preserve"> TEMPEST Survey: Final Report CRC LEME Report 255R. Prepared for SA Water, November 2006.</w:t>
      </w:r>
    </w:p>
    <w:p w:rsidR="000F7173" w:rsidRPr="005C716E" w:rsidRDefault="000F7173" w:rsidP="000F7173">
      <w:pPr>
        <w:pStyle w:val="References"/>
        <w:spacing w:line="240" w:lineRule="auto"/>
        <w:jc w:val="left"/>
        <w:rPr>
          <w:sz w:val="22"/>
          <w:szCs w:val="22"/>
        </w:rPr>
      </w:pPr>
      <w:r w:rsidRPr="005C716E">
        <w:rPr>
          <w:sz w:val="22"/>
          <w:szCs w:val="22"/>
        </w:rPr>
        <w:t xml:space="preserve">Fitzpatrick, A., Munday, T., Cahill, K. &amp; Berens, V. 2010. Redefining the </w:t>
      </w:r>
      <w:r>
        <w:rPr>
          <w:sz w:val="22"/>
          <w:szCs w:val="22"/>
        </w:rPr>
        <w:t>g</w:t>
      </w:r>
      <w:r w:rsidRPr="005C716E">
        <w:rPr>
          <w:sz w:val="22"/>
          <w:szCs w:val="22"/>
        </w:rPr>
        <w:t xml:space="preserve">roundwater </w:t>
      </w:r>
      <w:r>
        <w:rPr>
          <w:sz w:val="22"/>
          <w:szCs w:val="22"/>
        </w:rPr>
        <w:t>r</w:t>
      </w:r>
      <w:r w:rsidRPr="005C716E">
        <w:rPr>
          <w:sz w:val="22"/>
          <w:szCs w:val="22"/>
        </w:rPr>
        <w:t xml:space="preserve">esource of the Eyre Peninsula, </w:t>
      </w:r>
      <w:smartTag w:uri="urn:schemas-microsoft-com:office:smarttags" w:element="place">
        <w:smartTag w:uri="urn:schemas-microsoft-com:office:smarttags" w:element="State">
          <w:r w:rsidRPr="005C716E">
            <w:rPr>
              <w:sz w:val="22"/>
              <w:szCs w:val="22"/>
            </w:rPr>
            <w:t>South Australia</w:t>
          </w:r>
        </w:smartTag>
      </w:smartTag>
      <w:r w:rsidRPr="005C716E">
        <w:rPr>
          <w:sz w:val="22"/>
          <w:szCs w:val="22"/>
        </w:rPr>
        <w:t xml:space="preserve"> </w:t>
      </w:r>
      <w:r>
        <w:rPr>
          <w:sz w:val="22"/>
          <w:szCs w:val="22"/>
        </w:rPr>
        <w:t>u</w:t>
      </w:r>
      <w:r w:rsidRPr="005C716E">
        <w:rPr>
          <w:sz w:val="22"/>
          <w:szCs w:val="22"/>
        </w:rPr>
        <w:t>sing A</w:t>
      </w:r>
      <w:r>
        <w:rPr>
          <w:sz w:val="22"/>
          <w:szCs w:val="22"/>
        </w:rPr>
        <w:t>EM</w:t>
      </w:r>
      <w:r w:rsidRPr="005C716E">
        <w:rPr>
          <w:sz w:val="22"/>
          <w:szCs w:val="22"/>
        </w:rPr>
        <w:t xml:space="preserve"> </w:t>
      </w:r>
      <w:r>
        <w:rPr>
          <w:sz w:val="22"/>
          <w:szCs w:val="22"/>
        </w:rPr>
        <w:t>d</w:t>
      </w:r>
      <w:r w:rsidRPr="005C716E">
        <w:rPr>
          <w:sz w:val="22"/>
          <w:szCs w:val="22"/>
        </w:rPr>
        <w:t xml:space="preserve">ata. </w:t>
      </w:r>
      <w:r w:rsidRPr="005B133A">
        <w:rPr>
          <w:sz w:val="22"/>
          <w:szCs w:val="22"/>
        </w:rPr>
        <w:t>In</w:t>
      </w:r>
      <w:r>
        <w:rPr>
          <w:i/>
          <w:sz w:val="22"/>
          <w:szCs w:val="22"/>
        </w:rPr>
        <w:t>:</w:t>
      </w:r>
      <w:r w:rsidRPr="005C716E">
        <w:rPr>
          <w:i/>
          <w:sz w:val="22"/>
          <w:szCs w:val="22"/>
        </w:rPr>
        <w:t xml:space="preserve"> </w:t>
      </w:r>
      <w:r w:rsidRPr="005C716E">
        <w:rPr>
          <w:sz w:val="22"/>
          <w:szCs w:val="22"/>
        </w:rPr>
        <w:t xml:space="preserve">Proceedings of SAGEEP 2010, Keystone, </w:t>
      </w:r>
      <w:smartTag w:uri="urn:schemas-microsoft-com:office:smarttags" w:element="place">
        <w:smartTag w:uri="urn:schemas-microsoft-com:office:smarttags" w:element="State">
          <w:r w:rsidRPr="005C716E">
            <w:rPr>
              <w:sz w:val="22"/>
              <w:szCs w:val="22"/>
            </w:rPr>
            <w:t>Colorado</w:t>
          </w:r>
        </w:smartTag>
      </w:smartTag>
      <w:r>
        <w:rPr>
          <w:sz w:val="22"/>
          <w:szCs w:val="22"/>
        </w:rPr>
        <w:t>,</w:t>
      </w:r>
      <w:r w:rsidRPr="005C716E">
        <w:rPr>
          <w:sz w:val="22"/>
          <w:szCs w:val="22"/>
        </w:rPr>
        <w:t xml:space="preserve"> 287-293.</w:t>
      </w:r>
    </w:p>
    <w:p w:rsidR="000F7173" w:rsidRPr="005C716E" w:rsidRDefault="000F7173" w:rsidP="000F7173">
      <w:pPr>
        <w:pStyle w:val="References"/>
        <w:spacing w:line="240" w:lineRule="auto"/>
        <w:jc w:val="left"/>
        <w:rPr>
          <w:sz w:val="22"/>
          <w:szCs w:val="22"/>
        </w:rPr>
      </w:pPr>
      <w:r w:rsidRPr="005C716E">
        <w:rPr>
          <w:sz w:val="22"/>
          <w:szCs w:val="22"/>
        </w:rPr>
        <w:t xml:space="preserve">Freeman P. 2002. </w:t>
      </w:r>
      <w:smartTag w:uri="urn:schemas-microsoft-com:office:smarttags" w:element="place">
        <w:smartTag w:uri="urn:schemas-microsoft-com:office:smarttags" w:element="PlaceName">
          <w:r w:rsidRPr="005C716E">
            <w:rPr>
              <w:sz w:val="22"/>
              <w:szCs w:val="22"/>
            </w:rPr>
            <w:t>Kinchega</w:t>
          </w:r>
        </w:smartTag>
        <w:r w:rsidRPr="005C716E">
          <w:rPr>
            <w:sz w:val="22"/>
            <w:szCs w:val="22"/>
          </w:rPr>
          <w:t xml:space="preserve"> </w:t>
        </w:r>
        <w:smartTag w:uri="urn:schemas-microsoft-com:office:smarttags" w:element="PlaceType">
          <w:r w:rsidRPr="005C716E">
            <w:rPr>
              <w:sz w:val="22"/>
              <w:szCs w:val="22"/>
            </w:rPr>
            <w:t>National Park</w:t>
          </w:r>
        </w:smartTag>
      </w:smartTag>
      <w:r w:rsidRPr="005C716E">
        <w:rPr>
          <w:sz w:val="22"/>
          <w:szCs w:val="22"/>
        </w:rPr>
        <w:t xml:space="preserve"> Conservation Management and Cultural Tourism Plan. </w:t>
      </w:r>
      <w:smartTag w:uri="urn:schemas-microsoft-com:office:smarttags" w:element="place">
        <w:smartTag w:uri="urn:schemas-microsoft-com:office:smarttags" w:element="PlaceName">
          <w:r w:rsidRPr="005C716E">
            <w:rPr>
              <w:sz w:val="22"/>
              <w:szCs w:val="22"/>
            </w:rPr>
            <w:t>NSW</w:t>
          </w:r>
        </w:smartTag>
        <w:r w:rsidRPr="005C716E">
          <w:rPr>
            <w:sz w:val="22"/>
            <w:szCs w:val="22"/>
          </w:rPr>
          <w:t xml:space="preserve"> </w:t>
        </w:r>
        <w:smartTag w:uri="urn:schemas-microsoft-com:office:smarttags" w:element="PlaceType">
          <w:r w:rsidRPr="005C716E">
            <w:rPr>
              <w:sz w:val="22"/>
              <w:szCs w:val="22"/>
            </w:rPr>
            <w:t>National Parks</w:t>
          </w:r>
        </w:smartTag>
      </w:smartTag>
      <w:r w:rsidRPr="005C716E">
        <w:rPr>
          <w:sz w:val="22"/>
          <w:szCs w:val="22"/>
        </w:rPr>
        <w:t xml:space="preserve"> and Wildlife Service.</w:t>
      </w:r>
    </w:p>
    <w:p w:rsidR="000F7173" w:rsidRPr="005C716E" w:rsidRDefault="000F7173" w:rsidP="000F7173">
      <w:pPr>
        <w:pStyle w:val="References"/>
        <w:spacing w:line="240" w:lineRule="auto"/>
        <w:jc w:val="left"/>
        <w:rPr>
          <w:sz w:val="22"/>
          <w:szCs w:val="22"/>
        </w:rPr>
      </w:pPr>
      <w:r w:rsidRPr="005C716E">
        <w:rPr>
          <w:sz w:val="22"/>
          <w:szCs w:val="22"/>
        </w:rPr>
        <w:t xml:space="preserve">George, R.J., Beasley, </w:t>
      </w:r>
      <w:smartTag w:uri="urn:schemas-microsoft-com:office:smarttags" w:element="place">
        <w:r w:rsidRPr="005C716E">
          <w:rPr>
            <w:sz w:val="22"/>
            <w:szCs w:val="22"/>
          </w:rPr>
          <w:t>I.</w:t>
        </w:r>
      </w:smartTag>
      <w:r w:rsidRPr="005C716E">
        <w:rPr>
          <w:sz w:val="22"/>
          <w:szCs w:val="22"/>
        </w:rPr>
        <w:t>, Gordon, D., Heislers, D., Speed, R., Brodie, R., McConnell, C. &amp; Wood</w:t>
      </w:r>
      <w:smartTag w:uri="urn:schemas-microsoft-com:office:smarttags" w:element="PersonName">
        <w:r w:rsidRPr="005C716E">
          <w:rPr>
            <w:sz w:val="22"/>
            <w:szCs w:val="22"/>
          </w:rPr>
          <w:t>ga</w:t>
        </w:r>
      </w:smartTag>
      <w:r w:rsidRPr="005C716E">
        <w:rPr>
          <w:sz w:val="22"/>
          <w:szCs w:val="22"/>
        </w:rPr>
        <w:t>te, P.,1998. Evaluation of airborne geophysics for catchment management. National Report to AFFA on National Airborne Geophysics Project (unpublished).</w:t>
      </w:r>
    </w:p>
    <w:p w:rsidR="000F7173" w:rsidRPr="00E74DB1" w:rsidRDefault="000F7173" w:rsidP="000F7173">
      <w:pPr>
        <w:ind w:left="360" w:hanging="360"/>
        <w:rPr>
          <w:szCs w:val="22"/>
        </w:rPr>
      </w:pPr>
      <w:r w:rsidRPr="00E74DB1">
        <w:rPr>
          <w:szCs w:val="22"/>
        </w:rPr>
        <w:t>George, R., Lawrie, K. C., &amp; Woodgate, P. 2003. “Convince me all your bloody data and maps are going to help me manage salinity any better?” A review of remote sensing methodologies for salinity mapping. 9</w:t>
      </w:r>
      <w:r w:rsidRPr="005837B2">
        <w:rPr>
          <w:szCs w:val="22"/>
          <w:vertAlign w:val="superscript"/>
        </w:rPr>
        <w:t>th</w:t>
      </w:r>
      <w:r w:rsidRPr="00E74DB1">
        <w:rPr>
          <w:szCs w:val="22"/>
        </w:rPr>
        <w:t xml:space="preserve"> PURSL Conference, Yep</w:t>
      </w:r>
      <w:r w:rsidR="007151B9">
        <w:rPr>
          <w:szCs w:val="22"/>
        </w:rPr>
        <w:t>p</w:t>
      </w:r>
      <w:r w:rsidRPr="00E74DB1">
        <w:rPr>
          <w:szCs w:val="22"/>
        </w:rPr>
        <w:t>oon, Qld (Invited paper).</w:t>
      </w:r>
    </w:p>
    <w:p w:rsidR="000F7173" w:rsidRPr="005C716E" w:rsidRDefault="000F7173" w:rsidP="000F7173">
      <w:pPr>
        <w:pStyle w:val="References"/>
        <w:spacing w:line="240" w:lineRule="auto"/>
        <w:jc w:val="left"/>
        <w:rPr>
          <w:sz w:val="22"/>
          <w:szCs w:val="22"/>
        </w:rPr>
      </w:pPr>
      <w:r w:rsidRPr="005C716E">
        <w:rPr>
          <w:sz w:val="22"/>
          <w:szCs w:val="22"/>
        </w:rPr>
        <w:t>Gibson</w:t>
      </w:r>
      <w:r>
        <w:rPr>
          <w:sz w:val="22"/>
          <w:szCs w:val="22"/>
        </w:rPr>
        <w:t>,</w:t>
      </w:r>
      <w:r w:rsidRPr="005C716E">
        <w:rPr>
          <w:sz w:val="22"/>
          <w:szCs w:val="22"/>
        </w:rPr>
        <w:t xml:space="preserve"> J.J, Sadek</w:t>
      </w:r>
      <w:r>
        <w:rPr>
          <w:sz w:val="22"/>
          <w:szCs w:val="22"/>
        </w:rPr>
        <w:t>,</w:t>
      </w:r>
      <w:r w:rsidRPr="005C716E">
        <w:rPr>
          <w:sz w:val="22"/>
          <w:szCs w:val="22"/>
        </w:rPr>
        <w:t xml:space="preserve"> M.A., Stone</w:t>
      </w:r>
      <w:r>
        <w:rPr>
          <w:sz w:val="22"/>
          <w:szCs w:val="22"/>
        </w:rPr>
        <w:t>,</w:t>
      </w:r>
      <w:r w:rsidRPr="005C716E">
        <w:rPr>
          <w:sz w:val="22"/>
          <w:szCs w:val="22"/>
        </w:rPr>
        <w:t xml:space="preserve"> D.J.M, Hughes</w:t>
      </w:r>
      <w:r>
        <w:rPr>
          <w:sz w:val="22"/>
          <w:szCs w:val="22"/>
        </w:rPr>
        <w:t>,</w:t>
      </w:r>
      <w:r w:rsidRPr="005C716E">
        <w:rPr>
          <w:sz w:val="22"/>
          <w:szCs w:val="22"/>
        </w:rPr>
        <w:t xml:space="preserve"> C.E., Hankin, S., Cendon, D.I. &amp; Hollins, S.E. 2008. Evaporative isotope enrichment as a constraint on reach water balance along a dryland river. Isotopes in Environmental and Health Studies, 44</w:t>
      </w:r>
      <w:r>
        <w:rPr>
          <w:sz w:val="22"/>
          <w:szCs w:val="22"/>
        </w:rPr>
        <w:t xml:space="preserve">, </w:t>
      </w:r>
      <w:r w:rsidRPr="005C716E">
        <w:rPr>
          <w:sz w:val="22"/>
          <w:szCs w:val="22"/>
        </w:rPr>
        <w:t>1, 83-98.</w:t>
      </w:r>
    </w:p>
    <w:p w:rsidR="000F7173" w:rsidRDefault="000F7173" w:rsidP="000F7173">
      <w:pPr>
        <w:pStyle w:val="References"/>
        <w:spacing w:line="240" w:lineRule="auto"/>
        <w:jc w:val="left"/>
        <w:rPr>
          <w:sz w:val="22"/>
          <w:szCs w:val="22"/>
        </w:rPr>
      </w:pPr>
      <w:r w:rsidRPr="005C716E">
        <w:rPr>
          <w:sz w:val="22"/>
          <w:szCs w:val="22"/>
        </w:rPr>
        <w:t xml:space="preserve">Glen, R.A., Clare, A. &amp; Spencer, R. 1996. Extrapolating the </w:t>
      </w:r>
      <w:smartTag w:uri="urn:schemas-microsoft-com:office:smarttags" w:element="PlaceType">
        <w:r w:rsidRPr="005C716E">
          <w:rPr>
            <w:sz w:val="22"/>
            <w:szCs w:val="22"/>
          </w:rPr>
          <w:t>Cobar</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w:t>
      </w:r>
      <w:r>
        <w:rPr>
          <w:sz w:val="22"/>
          <w:szCs w:val="22"/>
        </w:rPr>
        <w:t>m</w:t>
      </w:r>
      <w:r w:rsidRPr="005C716E">
        <w:rPr>
          <w:sz w:val="22"/>
          <w:szCs w:val="22"/>
        </w:rPr>
        <w:t xml:space="preserve">odel to the </w:t>
      </w:r>
      <w:r>
        <w:rPr>
          <w:sz w:val="22"/>
          <w:szCs w:val="22"/>
        </w:rPr>
        <w:t>r</w:t>
      </w:r>
      <w:r w:rsidRPr="005C716E">
        <w:rPr>
          <w:sz w:val="22"/>
          <w:szCs w:val="22"/>
        </w:rPr>
        <w:t xml:space="preserve">egional </w:t>
      </w:r>
      <w:r>
        <w:rPr>
          <w:sz w:val="22"/>
          <w:szCs w:val="22"/>
        </w:rPr>
        <w:t>s</w:t>
      </w:r>
      <w:r w:rsidRPr="005C716E">
        <w:rPr>
          <w:sz w:val="22"/>
          <w:szCs w:val="22"/>
        </w:rPr>
        <w:t xml:space="preserve">cale; Devonian </w:t>
      </w:r>
      <w:r>
        <w:rPr>
          <w:sz w:val="22"/>
          <w:szCs w:val="22"/>
        </w:rPr>
        <w:t>b</w:t>
      </w:r>
      <w:r w:rsidRPr="005C716E">
        <w:rPr>
          <w:sz w:val="22"/>
          <w:szCs w:val="22"/>
        </w:rPr>
        <w:t xml:space="preserve">asin </w:t>
      </w:r>
      <w:r>
        <w:rPr>
          <w:sz w:val="22"/>
          <w:szCs w:val="22"/>
        </w:rPr>
        <w:t>f</w:t>
      </w:r>
      <w:r w:rsidRPr="005C716E">
        <w:rPr>
          <w:sz w:val="22"/>
          <w:szCs w:val="22"/>
        </w:rPr>
        <w:t xml:space="preserve">ormation and </w:t>
      </w:r>
      <w:r>
        <w:rPr>
          <w:sz w:val="22"/>
          <w:szCs w:val="22"/>
        </w:rPr>
        <w:t>i</w:t>
      </w:r>
      <w:r w:rsidRPr="005C716E">
        <w:rPr>
          <w:sz w:val="22"/>
          <w:szCs w:val="22"/>
        </w:rPr>
        <w:t xml:space="preserve">nversion in </w:t>
      </w:r>
      <w:smartTag w:uri="urn:schemas-microsoft-com:office:smarttags" w:element="place">
        <w:r w:rsidRPr="005C716E">
          <w:rPr>
            <w:sz w:val="22"/>
            <w:szCs w:val="22"/>
          </w:rPr>
          <w:t>Western NSW</w:t>
        </w:r>
      </w:smartTag>
      <w:r w:rsidRPr="005C716E">
        <w:rPr>
          <w:sz w:val="22"/>
          <w:szCs w:val="22"/>
        </w:rPr>
        <w:t>; Figure 2</w:t>
      </w:r>
      <w:r>
        <w:rPr>
          <w:sz w:val="22"/>
          <w:szCs w:val="22"/>
        </w:rPr>
        <w:t xml:space="preserve">. </w:t>
      </w:r>
      <w:r w:rsidRPr="005C716E">
        <w:rPr>
          <w:sz w:val="22"/>
          <w:szCs w:val="22"/>
        </w:rPr>
        <w:t>The Cobar Mineral Field - A 1996 Perspective</w:t>
      </w:r>
      <w:r>
        <w:rPr>
          <w:sz w:val="22"/>
          <w:szCs w:val="22"/>
        </w:rPr>
        <w:t>.</w:t>
      </w:r>
      <w:r w:rsidRPr="005C716E">
        <w:rPr>
          <w:sz w:val="22"/>
          <w:szCs w:val="22"/>
        </w:rPr>
        <w:t xml:space="preserve"> AusIMM Spectrum Series no 3/96.</w:t>
      </w:r>
    </w:p>
    <w:p w:rsidR="000F7173" w:rsidRPr="00625945" w:rsidRDefault="000F7173" w:rsidP="000F7173">
      <w:pPr>
        <w:pStyle w:val="References"/>
        <w:spacing w:line="240" w:lineRule="auto"/>
        <w:jc w:val="left"/>
        <w:rPr>
          <w:sz w:val="22"/>
          <w:szCs w:val="22"/>
        </w:rPr>
      </w:pPr>
      <w:r w:rsidRPr="00CF7613">
        <w:rPr>
          <w:sz w:val="22"/>
          <w:szCs w:val="22"/>
          <w:lang w:eastAsia="en-US"/>
        </w:rPr>
        <w:lastRenderedPageBreak/>
        <w:t>Gow</w:t>
      </w:r>
      <w:r w:rsidR="007F15E5">
        <w:rPr>
          <w:sz w:val="22"/>
          <w:szCs w:val="22"/>
          <w:lang w:eastAsia="en-US"/>
        </w:rPr>
        <w:t>,</w:t>
      </w:r>
      <w:r w:rsidRPr="00CF7613">
        <w:rPr>
          <w:sz w:val="22"/>
          <w:szCs w:val="22"/>
          <w:lang w:eastAsia="en-US"/>
        </w:rPr>
        <w:t xml:space="preserve"> L., Apps</w:t>
      </w:r>
      <w:r w:rsidR="007F15E5">
        <w:rPr>
          <w:sz w:val="22"/>
          <w:szCs w:val="22"/>
          <w:lang w:eastAsia="en-US"/>
        </w:rPr>
        <w:t>,</w:t>
      </w:r>
      <w:r w:rsidRPr="00CF7613">
        <w:rPr>
          <w:sz w:val="22"/>
          <w:szCs w:val="22"/>
          <w:lang w:eastAsia="en-US"/>
        </w:rPr>
        <w:t xml:space="preserve"> H.E., Halas</w:t>
      </w:r>
      <w:r w:rsidR="007F15E5">
        <w:rPr>
          <w:sz w:val="22"/>
          <w:szCs w:val="22"/>
          <w:lang w:eastAsia="en-US"/>
        </w:rPr>
        <w:t>,</w:t>
      </w:r>
      <w:r w:rsidRPr="00CF7613">
        <w:rPr>
          <w:sz w:val="22"/>
          <w:szCs w:val="22"/>
          <w:lang w:eastAsia="en-US"/>
        </w:rPr>
        <w:t xml:space="preserve"> L., Tan</w:t>
      </w:r>
      <w:r w:rsidR="007F15E5">
        <w:rPr>
          <w:sz w:val="22"/>
          <w:szCs w:val="22"/>
          <w:lang w:eastAsia="en-US"/>
        </w:rPr>
        <w:t>,</w:t>
      </w:r>
      <w:r w:rsidRPr="00CF7613">
        <w:rPr>
          <w:sz w:val="22"/>
          <w:szCs w:val="22"/>
          <w:lang w:eastAsia="en-US"/>
        </w:rPr>
        <w:t xml:space="preserve"> K.P., Lawrie</w:t>
      </w:r>
      <w:r w:rsidR="007F15E5">
        <w:rPr>
          <w:sz w:val="22"/>
          <w:szCs w:val="22"/>
          <w:lang w:eastAsia="en-US"/>
        </w:rPr>
        <w:t>,</w:t>
      </w:r>
      <w:r w:rsidRPr="00CF7613">
        <w:rPr>
          <w:sz w:val="22"/>
          <w:szCs w:val="22"/>
          <w:lang w:eastAsia="en-US"/>
        </w:rPr>
        <w:t xml:space="preserve"> K.C., Brodie</w:t>
      </w:r>
      <w:r w:rsidR="007F15E5">
        <w:rPr>
          <w:sz w:val="22"/>
          <w:szCs w:val="22"/>
          <w:lang w:eastAsia="en-US"/>
        </w:rPr>
        <w:t>,</w:t>
      </w:r>
      <w:r w:rsidRPr="00CF7613">
        <w:rPr>
          <w:sz w:val="22"/>
          <w:szCs w:val="22"/>
          <w:lang w:eastAsia="en-US"/>
        </w:rPr>
        <w:t xml:space="preserve"> R.S., Gibson</w:t>
      </w:r>
      <w:r w:rsidR="007F15E5">
        <w:rPr>
          <w:sz w:val="22"/>
          <w:szCs w:val="22"/>
          <w:lang w:eastAsia="en-US"/>
        </w:rPr>
        <w:t>,</w:t>
      </w:r>
      <w:r w:rsidRPr="00CF7613">
        <w:rPr>
          <w:sz w:val="22"/>
          <w:szCs w:val="22"/>
          <w:lang w:eastAsia="en-US"/>
        </w:rPr>
        <w:t xml:space="preserve"> D., Magee</w:t>
      </w:r>
      <w:r w:rsidR="007F15E5">
        <w:rPr>
          <w:sz w:val="22"/>
          <w:szCs w:val="22"/>
          <w:lang w:eastAsia="en-US"/>
        </w:rPr>
        <w:t>,</w:t>
      </w:r>
      <w:r w:rsidRPr="00CF7613">
        <w:rPr>
          <w:sz w:val="22"/>
          <w:szCs w:val="22"/>
          <w:lang w:eastAsia="en-US"/>
        </w:rPr>
        <w:t xml:space="preserve"> J., Somerville</w:t>
      </w:r>
      <w:r w:rsidR="007F15E5">
        <w:rPr>
          <w:sz w:val="22"/>
          <w:szCs w:val="22"/>
          <w:lang w:eastAsia="en-US"/>
        </w:rPr>
        <w:t>,</w:t>
      </w:r>
      <w:r w:rsidRPr="00CF7613">
        <w:rPr>
          <w:sz w:val="22"/>
          <w:szCs w:val="22"/>
          <w:lang w:eastAsia="en-US"/>
        </w:rPr>
        <w:t xml:space="preserve"> P., Smith</w:t>
      </w:r>
      <w:r w:rsidR="007F15E5">
        <w:rPr>
          <w:sz w:val="22"/>
          <w:szCs w:val="22"/>
          <w:lang w:eastAsia="en-US"/>
        </w:rPr>
        <w:t>,</w:t>
      </w:r>
      <w:r w:rsidRPr="00CF7613">
        <w:rPr>
          <w:sz w:val="22"/>
          <w:szCs w:val="22"/>
          <w:lang w:eastAsia="en-US"/>
        </w:rPr>
        <w:t xml:space="preserve"> M., Clarke</w:t>
      </w:r>
      <w:r w:rsidR="007F15E5">
        <w:rPr>
          <w:sz w:val="22"/>
          <w:szCs w:val="22"/>
          <w:lang w:eastAsia="en-US"/>
        </w:rPr>
        <w:t>,</w:t>
      </w:r>
      <w:r w:rsidRPr="00CF7613">
        <w:rPr>
          <w:sz w:val="22"/>
          <w:szCs w:val="22"/>
          <w:lang w:eastAsia="en-US"/>
        </w:rPr>
        <w:t xml:space="preserve"> J.D.A., Schoning</w:t>
      </w:r>
      <w:r w:rsidR="007F15E5">
        <w:rPr>
          <w:sz w:val="22"/>
          <w:szCs w:val="22"/>
          <w:lang w:eastAsia="en-US"/>
        </w:rPr>
        <w:t>,</w:t>
      </w:r>
      <w:r w:rsidRPr="00CF7613">
        <w:rPr>
          <w:sz w:val="22"/>
          <w:szCs w:val="22"/>
          <w:lang w:eastAsia="en-US"/>
        </w:rPr>
        <w:t xml:space="preserve"> G., Halas</w:t>
      </w:r>
      <w:r w:rsidR="007F15E5">
        <w:rPr>
          <w:sz w:val="22"/>
          <w:szCs w:val="22"/>
          <w:lang w:eastAsia="en-US"/>
        </w:rPr>
        <w:t>,</w:t>
      </w:r>
      <w:r w:rsidRPr="00CF7613">
        <w:rPr>
          <w:sz w:val="22"/>
          <w:szCs w:val="22"/>
          <w:lang w:eastAsia="en-US"/>
        </w:rPr>
        <w:t xml:space="preserve"> V., Spulak</w:t>
      </w:r>
      <w:r w:rsidR="007F15E5">
        <w:rPr>
          <w:sz w:val="22"/>
          <w:szCs w:val="22"/>
          <w:lang w:eastAsia="en-US"/>
        </w:rPr>
        <w:t>,</w:t>
      </w:r>
      <w:r w:rsidRPr="00CF7613">
        <w:rPr>
          <w:sz w:val="22"/>
          <w:szCs w:val="22"/>
          <w:lang w:eastAsia="en-US"/>
        </w:rPr>
        <w:t xml:space="preserve"> R., Beudreau</w:t>
      </w:r>
      <w:r w:rsidR="007F15E5">
        <w:rPr>
          <w:sz w:val="22"/>
          <w:szCs w:val="22"/>
          <w:lang w:eastAsia="en-US"/>
        </w:rPr>
        <w:t>,</w:t>
      </w:r>
      <w:r w:rsidRPr="00CF7613">
        <w:rPr>
          <w:sz w:val="22"/>
          <w:szCs w:val="22"/>
          <w:lang w:eastAsia="en-US"/>
        </w:rPr>
        <w:t xml:space="preserve"> D., Cook</w:t>
      </w:r>
      <w:r w:rsidR="007F15E5">
        <w:rPr>
          <w:sz w:val="22"/>
          <w:szCs w:val="22"/>
          <w:lang w:eastAsia="en-US"/>
        </w:rPr>
        <w:t>,</w:t>
      </w:r>
      <w:r w:rsidRPr="00CF7613">
        <w:rPr>
          <w:sz w:val="22"/>
          <w:szCs w:val="22"/>
          <w:lang w:eastAsia="en-US"/>
        </w:rPr>
        <w:t xml:space="preserve"> B., Knox</w:t>
      </w:r>
      <w:r w:rsidR="007F15E5">
        <w:rPr>
          <w:sz w:val="22"/>
          <w:szCs w:val="22"/>
          <w:lang w:eastAsia="en-US"/>
        </w:rPr>
        <w:t>,</w:t>
      </w:r>
      <w:r w:rsidRPr="00CF7613">
        <w:rPr>
          <w:sz w:val="22"/>
          <w:szCs w:val="22"/>
          <w:lang w:eastAsia="en-US"/>
        </w:rPr>
        <w:t xml:space="preserve"> K., Lymburner</w:t>
      </w:r>
      <w:r w:rsidR="007F15E5">
        <w:rPr>
          <w:sz w:val="22"/>
          <w:szCs w:val="22"/>
          <w:lang w:eastAsia="en-US"/>
        </w:rPr>
        <w:t>,</w:t>
      </w:r>
      <w:r w:rsidRPr="00CF7613">
        <w:rPr>
          <w:sz w:val="22"/>
          <w:szCs w:val="22"/>
          <w:lang w:eastAsia="en-US"/>
        </w:rPr>
        <w:t xml:space="preserve"> L., McIntyre</w:t>
      </w:r>
      <w:r w:rsidR="007F15E5">
        <w:rPr>
          <w:sz w:val="22"/>
          <w:szCs w:val="22"/>
          <w:lang w:eastAsia="en-US"/>
        </w:rPr>
        <w:t>,</w:t>
      </w:r>
      <w:r w:rsidRPr="00CF7613">
        <w:rPr>
          <w:sz w:val="22"/>
          <w:szCs w:val="22"/>
          <w:lang w:eastAsia="en-US"/>
        </w:rPr>
        <w:t xml:space="preserve"> A., Christensen</w:t>
      </w:r>
      <w:r w:rsidR="007F15E5">
        <w:rPr>
          <w:sz w:val="22"/>
          <w:szCs w:val="22"/>
          <w:lang w:eastAsia="en-US"/>
        </w:rPr>
        <w:t>,</w:t>
      </w:r>
      <w:r w:rsidRPr="00CF7613">
        <w:rPr>
          <w:sz w:val="22"/>
          <w:szCs w:val="22"/>
          <w:lang w:eastAsia="en-US"/>
        </w:rPr>
        <w:t xml:space="preserve"> N.B., Brodie</w:t>
      </w:r>
      <w:r w:rsidR="007F15E5">
        <w:rPr>
          <w:sz w:val="22"/>
          <w:szCs w:val="22"/>
          <w:lang w:eastAsia="en-US"/>
        </w:rPr>
        <w:t>,</w:t>
      </w:r>
      <w:r w:rsidRPr="00CF7613">
        <w:rPr>
          <w:sz w:val="22"/>
          <w:szCs w:val="22"/>
          <w:lang w:eastAsia="en-US"/>
        </w:rPr>
        <w:t xml:space="preserve"> R.C., Abraham</w:t>
      </w:r>
      <w:r w:rsidR="007F15E5">
        <w:rPr>
          <w:sz w:val="22"/>
          <w:szCs w:val="22"/>
          <w:lang w:eastAsia="en-US"/>
        </w:rPr>
        <w:t xml:space="preserve">, </w:t>
      </w:r>
      <w:r w:rsidRPr="00CF7613">
        <w:rPr>
          <w:sz w:val="22"/>
          <w:szCs w:val="22"/>
          <w:lang w:eastAsia="en-US"/>
        </w:rPr>
        <w:t>J., Jaycock</w:t>
      </w:r>
      <w:r w:rsidR="007F15E5">
        <w:rPr>
          <w:sz w:val="22"/>
          <w:szCs w:val="22"/>
          <w:lang w:eastAsia="en-US"/>
        </w:rPr>
        <w:t>,</w:t>
      </w:r>
      <w:r w:rsidRPr="00CF7613">
        <w:rPr>
          <w:sz w:val="22"/>
          <w:szCs w:val="22"/>
          <w:lang w:eastAsia="en-US"/>
        </w:rPr>
        <w:t xml:space="preserve"> J., Davies</w:t>
      </w:r>
      <w:r w:rsidR="007F15E5">
        <w:rPr>
          <w:sz w:val="22"/>
          <w:szCs w:val="22"/>
          <w:lang w:eastAsia="en-US"/>
        </w:rPr>
        <w:t>,</w:t>
      </w:r>
      <w:r w:rsidRPr="00CF7613">
        <w:rPr>
          <w:sz w:val="22"/>
          <w:szCs w:val="22"/>
          <w:lang w:eastAsia="en-US"/>
        </w:rPr>
        <w:t xml:space="preserve"> A. &amp; Ley-Cooper</w:t>
      </w:r>
      <w:r w:rsidR="007F15E5">
        <w:rPr>
          <w:sz w:val="22"/>
          <w:szCs w:val="22"/>
          <w:lang w:eastAsia="en-US"/>
        </w:rPr>
        <w:t>,</w:t>
      </w:r>
      <w:r w:rsidRPr="00CF7613">
        <w:rPr>
          <w:sz w:val="22"/>
          <w:szCs w:val="22"/>
          <w:lang w:eastAsia="en-US"/>
        </w:rPr>
        <w:t xml:space="preserve"> Y. 2012a. Broken Hill Managed Aquifer Recharge Project GIS. GeoCat no. 73825.</w:t>
      </w:r>
    </w:p>
    <w:p w:rsidR="000F7173" w:rsidRPr="005C716E" w:rsidRDefault="000F7173" w:rsidP="000F7173">
      <w:pPr>
        <w:pStyle w:val="References"/>
        <w:spacing w:line="240" w:lineRule="auto"/>
        <w:jc w:val="left"/>
        <w:rPr>
          <w:sz w:val="22"/>
          <w:szCs w:val="22"/>
        </w:rPr>
      </w:pPr>
      <w:r w:rsidRPr="005C716E">
        <w:rPr>
          <w:sz w:val="22"/>
          <w:szCs w:val="22"/>
        </w:rPr>
        <w:t>Gow, L., Lymburner, L., Halas, L., McIntyre, A., Magee, J. &amp; Beaudreau, D. 2012</w:t>
      </w:r>
      <w:r>
        <w:rPr>
          <w:sz w:val="22"/>
          <w:szCs w:val="22"/>
        </w:rPr>
        <w:t>b</w:t>
      </w:r>
      <w:r w:rsidRPr="005C716E">
        <w:rPr>
          <w:sz w:val="22"/>
          <w:szCs w:val="22"/>
        </w:rPr>
        <w:t xml:space="preserve">. BHMAR Project Appendix 9: Remote sensing /vegetation health analysis background data and intermediate products.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Green, A.A. &amp; Munday, T. 2004. Forward modelling airborne electromagnetic data for the Riverland, S.A. </w:t>
      </w:r>
      <w:smartTag w:uri="urn:schemas-microsoft-com:office:smarttags" w:element="stockticker">
        <w:r w:rsidRPr="005C716E">
          <w:rPr>
            <w:sz w:val="22"/>
            <w:szCs w:val="22"/>
          </w:rPr>
          <w:t>CRC</w:t>
        </w:r>
      </w:smartTag>
      <w:r w:rsidRPr="005C716E">
        <w:rPr>
          <w:sz w:val="22"/>
          <w:szCs w:val="22"/>
        </w:rPr>
        <w:t xml:space="preserve"> LEME Open File Report 171.</w:t>
      </w:r>
    </w:p>
    <w:p w:rsidR="000F7173" w:rsidRPr="005C716E" w:rsidRDefault="000F7173" w:rsidP="000F7173">
      <w:pPr>
        <w:pStyle w:val="References"/>
        <w:spacing w:line="240" w:lineRule="auto"/>
        <w:jc w:val="left"/>
        <w:rPr>
          <w:sz w:val="22"/>
          <w:szCs w:val="22"/>
        </w:rPr>
      </w:pPr>
      <w:r w:rsidRPr="005C716E">
        <w:rPr>
          <w:sz w:val="22"/>
          <w:szCs w:val="22"/>
        </w:rPr>
        <w:t xml:space="preserve">Halas, L., Halas, V., Schoning, G., Tan, K.P., Clarke, J.D.A., Gibson, D., </w:t>
      </w:r>
      <w:smartTag w:uri="urn:schemas-microsoft-com:office:smarttags" w:element="City">
        <w:r w:rsidRPr="005C716E">
          <w:rPr>
            <w:sz w:val="22"/>
            <w:szCs w:val="22"/>
          </w:rPr>
          <w:t>Somerville</w:t>
        </w:r>
      </w:smartTag>
      <w:r w:rsidRPr="005C716E">
        <w:rPr>
          <w:sz w:val="22"/>
          <w:szCs w:val="22"/>
        </w:rPr>
        <w:t xml:space="preserve">, P., Spulak, R., Magee, J., Smith, M., Smith, M., </w:t>
      </w:r>
      <w:smartTag w:uri="urn:schemas-microsoft-com:office:smarttags" w:element="place">
        <w:smartTag w:uri="urn:schemas-microsoft-com:office:smarttags" w:element="City">
          <w:r w:rsidRPr="005C716E">
            <w:rPr>
              <w:sz w:val="22"/>
              <w:szCs w:val="22"/>
            </w:rPr>
            <w:t>Boston</w:t>
          </w:r>
        </w:smartTag>
      </w:smartTag>
      <w:r w:rsidRPr="005C716E">
        <w:rPr>
          <w:sz w:val="22"/>
          <w:szCs w:val="22"/>
        </w:rPr>
        <w:t xml:space="preserve">, K., Brodie, R.S., Lawrie, K.C. &amp; Apps, H.E. 2012. BHMAR Project Appendix 1: Graphical display of borehole geological and geophysical logs and hydrogeochemical data.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Halas, L., Apps, H., Lawrie, K., Brodie, R.S. &amp; Tan, K.P. 2012b. 3D GoCAD Model. Broken Hill Managed Aquifer Recharge Project. Geocat, 63827.</w:t>
      </w:r>
    </w:p>
    <w:p w:rsidR="003B3C54" w:rsidRDefault="003B3C54" w:rsidP="003B3C54">
      <w:pPr>
        <w:pStyle w:val="References"/>
        <w:spacing w:line="240" w:lineRule="auto"/>
        <w:jc w:val="left"/>
        <w:rPr>
          <w:sz w:val="22"/>
          <w:szCs w:val="22"/>
        </w:rPr>
      </w:pPr>
      <w:r w:rsidRPr="003B3C54">
        <w:rPr>
          <w:sz w:val="22"/>
          <w:szCs w:val="22"/>
        </w:rPr>
        <w:t xml:space="preserve">Harding, T.P. &amp; Lowell, J.D. 1974. Structural styles, their plate tectonic habitats, and hydrocarbon traps in petroleum provinces. Bull. Am. Assoc. </w:t>
      </w:r>
      <w:r w:rsidR="00E23E12">
        <w:rPr>
          <w:sz w:val="22"/>
          <w:szCs w:val="22"/>
        </w:rPr>
        <w:t>P</w:t>
      </w:r>
      <w:r w:rsidRPr="003B3C54">
        <w:rPr>
          <w:sz w:val="22"/>
          <w:szCs w:val="22"/>
        </w:rPr>
        <w:t>etrol. Geol. 63, 1016-1058.</w:t>
      </w:r>
    </w:p>
    <w:p w:rsidR="000F7173" w:rsidRPr="005C716E" w:rsidRDefault="000F7173" w:rsidP="000F7173">
      <w:pPr>
        <w:pStyle w:val="References"/>
        <w:spacing w:line="240" w:lineRule="auto"/>
        <w:jc w:val="left"/>
        <w:rPr>
          <w:sz w:val="22"/>
          <w:szCs w:val="22"/>
        </w:rPr>
      </w:pPr>
      <w:r w:rsidRPr="005C716E">
        <w:rPr>
          <w:sz w:val="22"/>
          <w:szCs w:val="22"/>
        </w:rPr>
        <w:t>Harrington</w:t>
      </w:r>
      <w:r>
        <w:rPr>
          <w:sz w:val="22"/>
          <w:szCs w:val="22"/>
        </w:rPr>
        <w:t>,</w:t>
      </w:r>
      <w:r w:rsidRPr="005C716E">
        <w:rPr>
          <w:sz w:val="22"/>
          <w:szCs w:val="22"/>
        </w:rPr>
        <w:t xml:space="preserve"> G. &amp; Cook, P. 2011. Mechanical loading and unloading of confined aquifers: implications for the assessment of long-term trends in potentiometric levels. Waterlines Report 51, National Water Commission,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Healy, R.W. &amp; Cook, P.G. 2002. Using groundwater levels to estimate recharge. Hydrogeology Journal. 10</w:t>
      </w:r>
      <w:r>
        <w:rPr>
          <w:sz w:val="22"/>
          <w:szCs w:val="22"/>
        </w:rPr>
        <w:t xml:space="preserve">, </w:t>
      </w:r>
      <w:r w:rsidRPr="005C716E">
        <w:rPr>
          <w:sz w:val="22"/>
          <w:szCs w:val="22"/>
        </w:rPr>
        <w:t>1</w:t>
      </w:r>
      <w:r>
        <w:rPr>
          <w:sz w:val="22"/>
          <w:szCs w:val="22"/>
        </w:rPr>
        <w:t>,</w:t>
      </w:r>
      <w:r w:rsidRPr="005C716E">
        <w:rPr>
          <w:sz w:val="22"/>
          <w:szCs w:val="22"/>
        </w:rPr>
        <w:t xml:space="preserve"> 91-109.</w:t>
      </w:r>
    </w:p>
    <w:p w:rsidR="000F7173" w:rsidRPr="005C716E" w:rsidRDefault="000F7173" w:rsidP="000F7173">
      <w:pPr>
        <w:pStyle w:val="References"/>
        <w:spacing w:line="240" w:lineRule="auto"/>
        <w:jc w:val="left"/>
        <w:rPr>
          <w:sz w:val="22"/>
          <w:szCs w:val="22"/>
        </w:rPr>
      </w:pPr>
      <w:r w:rsidRPr="005C716E">
        <w:rPr>
          <w:sz w:val="22"/>
          <w:szCs w:val="22"/>
        </w:rPr>
        <w:t xml:space="preserve">Hill, S.M., Eggleton, R.A. &amp; Taylor, G. 2003. Neotectonic disruption of silicified palaeovalley systems in an intraplate, cratonic landscape: Regolith and landscape evolution of the Mulculca range-front, Broken Hill Domain, </w:t>
      </w:r>
      <w:smartTag w:uri="urn:schemas-microsoft-com:office:smarttags" w:element="place">
        <w:smartTag w:uri="urn:schemas-microsoft-com:office:smarttags" w:element="State">
          <w:r w:rsidRPr="005C716E">
            <w:rPr>
              <w:sz w:val="22"/>
              <w:szCs w:val="22"/>
            </w:rPr>
            <w:t>New South Wales</w:t>
          </w:r>
        </w:smartTag>
      </w:smartTag>
      <w:r w:rsidRPr="005C716E">
        <w:rPr>
          <w:sz w:val="22"/>
          <w:szCs w:val="22"/>
        </w:rPr>
        <w:t>. Australian Journal of Earth Sciences, 50, 691-707.</w:t>
      </w:r>
    </w:p>
    <w:p w:rsidR="003B3C54" w:rsidRDefault="003B3C54" w:rsidP="003B3C54">
      <w:pPr>
        <w:pStyle w:val="References"/>
        <w:spacing w:line="240" w:lineRule="auto"/>
        <w:jc w:val="left"/>
        <w:rPr>
          <w:sz w:val="22"/>
          <w:szCs w:val="22"/>
        </w:rPr>
      </w:pPr>
      <w:r>
        <w:rPr>
          <w:sz w:val="22"/>
          <w:szCs w:val="22"/>
        </w:rPr>
        <w:t xml:space="preserve">Hillis, R.R., Sandiford, M., </w:t>
      </w:r>
      <w:smartTag w:uri="urn:schemas-microsoft-com:office:smarttags" w:element="place">
        <w:smartTag w:uri="urn:schemas-microsoft-com:office:smarttags" w:element="City">
          <w:r>
            <w:rPr>
              <w:sz w:val="22"/>
              <w:szCs w:val="22"/>
            </w:rPr>
            <w:t>Reynolds</w:t>
          </w:r>
        </w:smartTag>
        <w:r>
          <w:rPr>
            <w:sz w:val="22"/>
            <w:szCs w:val="22"/>
          </w:rPr>
          <w:t xml:space="preserve">, </w:t>
        </w:r>
        <w:smartTag w:uri="urn:schemas-microsoft-com:office:smarttags" w:element="State">
          <w:r>
            <w:rPr>
              <w:sz w:val="22"/>
              <w:szCs w:val="22"/>
            </w:rPr>
            <w:t>S.D.</w:t>
          </w:r>
        </w:smartTag>
      </w:smartTag>
      <w:r>
        <w:rPr>
          <w:sz w:val="22"/>
          <w:szCs w:val="22"/>
        </w:rPr>
        <w:t xml:space="preserve"> &amp; Quigley, M.C. 2008. Present-day stresses, seismicity and Neogene-to-Recent tectonics of </w:t>
      </w:r>
      <w:smartTag w:uri="urn:schemas-microsoft-com:office:smarttags" w:element="place">
        <w:smartTag w:uri="urn:schemas-microsoft-com:office:smarttags" w:element="country-region">
          <w:r>
            <w:rPr>
              <w:sz w:val="22"/>
              <w:szCs w:val="22"/>
            </w:rPr>
            <w:t>Australia</w:t>
          </w:r>
        </w:smartTag>
      </w:smartTag>
      <w:r>
        <w:rPr>
          <w:sz w:val="22"/>
          <w:szCs w:val="22"/>
        </w:rPr>
        <w:t>’s ‘passive’ margins: intr</w:t>
      </w:r>
      <w:r w:rsidR="00971C9D">
        <w:rPr>
          <w:sz w:val="22"/>
          <w:szCs w:val="22"/>
        </w:rPr>
        <w:t>aplate deformation controlled by</w:t>
      </w:r>
      <w:r>
        <w:rPr>
          <w:sz w:val="22"/>
          <w:szCs w:val="22"/>
        </w:rPr>
        <w:t xml:space="preserve"> plate boundary forces. Geol. Soc. Lond. Spec. Pub. 306, 71-90.</w:t>
      </w:r>
    </w:p>
    <w:p w:rsidR="000F7173" w:rsidRPr="005C716E" w:rsidRDefault="000F7173" w:rsidP="000F7173">
      <w:pPr>
        <w:pStyle w:val="References"/>
        <w:spacing w:line="240" w:lineRule="auto"/>
        <w:jc w:val="left"/>
        <w:rPr>
          <w:sz w:val="22"/>
          <w:szCs w:val="22"/>
        </w:rPr>
      </w:pPr>
      <w:r w:rsidRPr="005C716E">
        <w:rPr>
          <w:sz w:val="22"/>
          <w:szCs w:val="22"/>
        </w:rPr>
        <w:t xml:space="preserve">Hills, E.S. 1955. A contribution to the morphotectonics of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Journal of the Geological Society of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3</w:t>
      </w:r>
      <w:r>
        <w:rPr>
          <w:sz w:val="22"/>
          <w:szCs w:val="22"/>
        </w:rPr>
        <w:t xml:space="preserve">, </w:t>
      </w:r>
      <w:r w:rsidRPr="005C716E">
        <w:rPr>
          <w:sz w:val="22"/>
          <w:szCs w:val="22"/>
        </w:rPr>
        <w:t>1</w:t>
      </w:r>
      <w:r>
        <w:rPr>
          <w:sz w:val="22"/>
          <w:szCs w:val="22"/>
        </w:rPr>
        <w:t>,</w:t>
      </w:r>
      <w:r w:rsidRPr="005C716E">
        <w:rPr>
          <w:sz w:val="22"/>
          <w:szCs w:val="22"/>
        </w:rPr>
        <w:t xml:space="preserve"> 1-15.</w:t>
      </w:r>
    </w:p>
    <w:p w:rsidR="000F7173" w:rsidRPr="005F1EE9" w:rsidRDefault="00080A18" w:rsidP="000F7173">
      <w:pPr>
        <w:ind w:left="360" w:hanging="360"/>
        <w:rPr>
          <w:szCs w:val="22"/>
        </w:rPr>
      </w:pPr>
      <w:r w:rsidRPr="005F1EE9">
        <w:rPr>
          <w:szCs w:val="22"/>
        </w:rPr>
        <w:t>Hirsch, H.G</w:t>
      </w:r>
      <w:r>
        <w:rPr>
          <w:szCs w:val="22"/>
        </w:rPr>
        <w:t>.</w:t>
      </w:r>
      <w:r w:rsidRPr="005F1EE9">
        <w:rPr>
          <w:szCs w:val="22"/>
        </w:rPr>
        <w:t>, Hoffmann-Riem</w:t>
      </w:r>
      <w:r w:rsidR="00E23E12">
        <w:rPr>
          <w:szCs w:val="22"/>
        </w:rPr>
        <w:t>,</w:t>
      </w:r>
      <w:r w:rsidRPr="005F1EE9">
        <w:rPr>
          <w:szCs w:val="22"/>
        </w:rPr>
        <w:t xml:space="preserve"> H., Biber-Klemm, S., </w:t>
      </w:r>
      <w:r>
        <w:rPr>
          <w:szCs w:val="22"/>
        </w:rPr>
        <w:t xml:space="preserve">Grossenbacher-Mansuy, W., Joye, D., Pohl, C., Wiesmann, U. &amp; Zemp, E. </w:t>
      </w:r>
      <w:r w:rsidRPr="005F1EE9">
        <w:rPr>
          <w:szCs w:val="22"/>
        </w:rPr>
        <w:t xml:space="preserve">(eds) 2008. Handbook of </w:t>
      </w:r>
      <w:r>
        <w:rPr>
          <w:szCs w:val="22"/>
        </w:rPr>
        <w:t>trans-disciplinar</w:t>
      </w:r>
      <w:r w:rsidRPr="005F1EE9">
        <w:rPr>
          <w:szCs w:val="22"/>
        </w:rPr>
        <w:t xml:space="preserve">y research. </w:t>
      </w:r>
      <w:smartTag w:uri="urn:schemas-microsoft-com:office:smarttags" w:element="place">
        <w:smartTag w:uri="urn:schemas-microsoft-com:office:smarttags" w:element="State">
          <w:r w:rsidRPr="005F1EE9">
            <w:rPr>
              <w:szCs w:val="22"/>
            </w:rPr>
            <w:t>New York</w:t>
          </w:r>
        </w:smartTag>
      </w:smartTag>
      <w:r>
        <w:rPr>
          <w:szCs w:val="22"/>
        </w:rPr>
        <w:t>, Springer</w:t>
      </w:r>
      <w:r w:rsidRPr="005F1EE9">
        <w:rPr>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Hughes, C.E., Meredith, K.T., Cendon, D.I. &amp; Hollins, S.E. 2009. Evaporative losses from the </w:t>
      </w:r>
      <w:smartTag w:uri="urn:schemas-microsoft-com:office:smarttags" w:element="place">
        <w:r w:rsidRPr="005C716E">
          <w:rPr>
            <w:sz w:val="22"/>
            <w:szCs w:val="22"/>
          </w:rPr>
          <w:t>Darling River</w:t>
        </w:r>
      </w:smartTag>
      <w:r w:rsidRPr="005C716E">
        <w:rPr>
          <w:sz w:val="22"/>
          <w:szCs w:val="22"/>
        </w:rPr>
        <w:t>, NSW, during drought from 200</w:t>
      </w:r>
      <w:r w:rsidR="00E23E12">
        <w:rPr>
          <w:sz w:val="22"/>
          <w:szCs w:val="22"/>
        </w:rPr>
        <w:t>2</w:t>
      </w:r>
      <w:r w:rsidRPr="005C716E">
        <w:rPr>
          <w:sz w:val="22"/>
          <w:szCs w:val="22"/>
        </w:rPr>
        <w:t xml:space="preserve">-2005. 10th Australian Environmental Hydrology Research Conference, </w:t>
      </w:r>
      <w:smartTag w:uri="urn:schemas-microsoft-com:office:smarttags" w:element="place">
        <w:smartTag w:uri="urn:schemas-microsoft-com:office:smarttags" w:element="City">
          <w:r w:rsidRPr="005C716E">
            <w:rPr>
              <w:sz w:val="22"/>
              <w:szCs w:val="22"/>
            </w:rPr>
            <w:t>Perth</w:t>
          </w:r>
        </w:smartTag>
      </w:smartTag>
      <w:r w:rsidRPr="005C716E">
        <w:rPr>
          <w:sz w:val="22"/>
          <w:szCs w:val="22"/>
        </w:rPr>
        <w:t>. W.A. Abstract Volume.</w:t>
      </w:r>
    </w:p>
    <w:p w:rsidR="000F7173" w:rsidRPr="005C716E" w:rsidRDefault="000F7173" w:rsidP="000F7173">
      <w:pPr>
        <w:pStyle w:val="References"/>
        <w:spacing w:line="240" w:lineRule="auto"/>
        <w:jc w:val="left"/>
        <w:rPr>
          <w:sz w:val="22"/>
          <w:szCs w:val="22"/>
        </w:rPr>
      </w:pPr>
      <w:r w:rsidRPr="005C716E">
        <w:rPr>
          <w:sz w:val="22"/>
          <w:szCs w:val="22"/>
        </w:rPr>
        <w:t>Jewell</w:t>
      </w:r>
      <w:r>
        <w:rPr>
          <w:sz w:val="22"/>
          <w:szCs w:val="22"/>
        </w:rPr>
        <w:t>,</w:t>
      </w:r>
      <w:r w:rsidRPr="005C716E">
        <w:rPr>
          <w:sz w:val="22"/>
          <w:szCs w:val="22"/>
        </w:rPr>
        <w:t xml:space="preserve"> C.M.J. 2007. Options for use of the Menindee and Broken Hill aquifers. Consultants report for Country Energy. Wentworth Falls, C.M Jewell &amp; Associates Pty Ltd.</w:t>
      </w:r>
    </w:p>
    <w:p w:rsidR="000F7173" w:rsidRPr="005C716E" w:rsidRDefault="000F7173" w:rsidP="000F7173">
      <w:pPr>
        <w:pStyle w:val="References"/>
        <w:spacing w:line="240" w:lineRule="auto"/>
        <w:jc w:val="left"/>
        <w:rPr>
          <w:sz w:val="22"/>
          <w:szCs w:val="22"/>
        </w:rPr>
      </w:pPr>
      <w:r w:rsidRPr="005C716E">
        <w:rPr>
          <w:sz w:val="22"/>
          <w:szCs w:val="22"/>
          <w:lang w:val="it-IT"/>
        </w:rPr>
        <w:t xml:space="preserve">Kellett, J.R. 1994. MANARA Hydrogeological Map (1:250 000 scale). </w:t>
      </w:r>
      <w:smartTag w:uri="urn:schemas-microsoft-com:office:smarttags" w:element="place">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Hydrogeological Map Series.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 Australian Geological Survey Or</w:t>
      </w:r>
      <w:smartTag w:uri="urn:schemas-microsoft-com:office:smarttags" w:element="PersonName">
        <w:r w:rsidRPr="005C716E">
          <w:rPr>
            <w:sz w:val="22"/>
            <w:szCs w:val="22"/>
          </w:rPr>
          <w:t>ga</w:t>
        </w:r>
      </w:smartTag>
      <w:r w:rsidRPr="005C716E">
        <w:rPr>
          <w:sz w:val="22"/>
          <w:szCs w:val="22"/>
        </w:rPr>
        <w:t>nisation.</w:t>
      </w:r>
    </w:p>
    <w:p w:rsidR="000F7173" w:rsidRPr="005C716E" w:rsidRDefault="000F7173" w:rsidP="000F7173">
      <w:pPr>
        <w:pStyle w:val="References"/>
        <w:spacing w:line="240" w:lineRule="auto"/>
        <w:jc w:val="left"/>
        <w:rPr>
          <w:sz w:val="22"/>
          <w:szCs w:val="22"/>
        </w:rPr>
      </w:pPr>
      <w:r w:rsidRPr="005C716E">
        <w:rPr>
          <w:sz w:val="22"/>
          <w:szCs w:val="22"/>
        </w:rPr>
        <w:t xml:space="preserve">Kingsford, R.T., Jenkins, K.M. &amp; Porter, J.L. 2002. Waterbirds and effects of river regulation on </w:t>
      </w:r>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r w:rsidRPr="005C716E">
        <w:rPr>
          <w:sz w:val="22"/>
          <w:szCs w:val="22"/>
        </w:rPr>
        <w:t xml:space="preserve"> of the </w:t>
      </w:r>
      <w:smartTag w:uri="urn:schemas-microsoft-com:office:smarttags" w:element="place">
        <w:r w:rsidRPr="005C716E">
          <w:rPr>
            <w:sz w:val="22"/>
            <w:szCs w:val="22"/>
          </w:rPr>
          <w:t>Darling River</w:t>
        </w:r>
      </w:smartTag>
      <w:r>
        <w:rPr>
          <w:sz w:val="22"/>
          <w:szCs w:val="22"/>
        </w:rPr>
        <w:t xml:space="preserve">. </w:t>
      </w:r>
      <w:smartTag w:uri="urn:schemas-microsoft-com:office:smarttags" w:element="place">
        <w:smartTag w:uri="urn:schemas-microsoft-com:office:smarttags" w:element="PlaceName">
          <w:r w:rsidRPr="005C716E">
            <w:rPr>
              <w:sz w:val="22"/>
              <w:szCs w:val="22"/>
            </w:rPr>
            <w:t>New South Wales</w:t>
          </w:r>
        </w:smartTag>
        <w:r w:rsidRPr="005C716E">
          <w:rPr>
            <w:sz w:val="22"/>
            <w:szCs w:val="22"/>
          </w:rPr>
          <w:t xml:space="preserve"> </w:t>
        </w:r>
        <w:smartTag w:uri="urn:schemas-microsoft-com:office:smarttags" w:element="PlaceType">
          <w:r w:rsidRPr="005C716E">
            <w:rPr>
              <w:sz w:val="22"/>
              <w:szCs w:val="22"/>
            </w:rPr>
            <w:t>National Parks</w:t>
          </w:r>
        </w:smartTag>
      </w:smartTag>
      <w:r w:rsidRPr="005C716E">
        <w:rPr>
          <w:sz w:val="22"/>
          <w:szCs w:val="22"/>
        </w:rPr>
        <w:t xml:space="preserve"> and Wildlife Service</w:t>
      </w:r>
      <w:r>
        <w:rPr>
          <w:sz w:val="22"/>
          <w:szCs w:val="22"/>
        </w:rPr>
        <w:t xml:space="preserve">, </w:t>
      </w:r>
      <w:r w:rsidRPr="005C716E">
        <w:rPr>
          <w:sz w:val="22"/>
          <w:szCs w:val="22"/>
        </w:rPr>
        <w:t>Hurstville</w:t>
      </w:r>
      <w:r>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Kingsford, R.T., Jenkins, K.M. &amp; Porter, J.L. 2004. Imposed hydrological stability on lakes in arid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and effects on waterbirds. </w:t>
      </w:r>
      <w:hyperlink r:id="rId158" w:history="1">
        <w:r w:rsidRPr="005C716E">
          <w:rPr>
            <w:sz w:val="22"/>
            <w:szCs w:val="22"/>
          </w:rPr>
          <w:t>Ecology</w:t>
        </w:r>
      </w:hyperlink>
      <w:r w:rsidRPr="005C716E">
        <w:rPr>
          <w:sz w:val="22"/>
          <w:szCs w:val="22"/>
        </w:rPr>
        <w:t>, 85</w:t>
      </w:r>
      <w:r>
        <w:rPr>
          <w:sz w:val="22"/>
          <w:szCs w:val="22"/>
        </w:rPr>
        <w:t xml:space="preserve">, </w:t>
      </w:r>
      <w:r w:rsidRPr="005C716E">
        <w:rPr>
          <w:sz w:val="22"/>
          <w:szCs w:val="22"/>
        </w:rPr>
        <w:t>9</w:t>
      </w:r>
      <w:r>
        <w:rPr>
          <w:sz w:val="22"/>
          <w:szCs w:val="22"/>
        </w:rPr>
        <w:t>,</w:t>
      </w:r>
      <w:r w:rsidRPr="005C716E">
        <w:rPr>
          <w:sz w:val="22"/>
          <w:szCs w:val="22"/>
        </w:rPr>
        <w:t xml:space="preserve"> 2478-2492.</w:t>
      </w:r>
    </w:p>
    <w:p w:rsidR="00C941F3" w:rsidRPr="00C941F3" w:rsidRDefault="000F7173" w:rsidP="00C941F3">
      <w:pPr>
        <w:pStyle w:val="References"/>
        <w:spacing w:line="240" w:lineRule="auto"/>
        <w:jc w:val="left"/>
        <w:rPr>
          <w:rStyle w:val="Hyperlink"/>
        </w:rPr>
      </w:pPr>
      <w:r w:rsidRPr="005C716E">
        <w:rPr>
          <w:sz w:val="22"/>
          <w:szCs w:val="22"/>
        </w:rPr>
        <w:t xml:space="preserve">Kingsford, R.T. &amp; Porter, J.L. 2006. Waterbirds and wetlands across </w:t>
      </w:r>
      <w:smartTag w:uri="urn:schemas-microsoft-com:office:smarttags" w:element="place">
        <w:r w:rsidRPr="005C716E">
          <w:rPr>
            <w:sz w:val="22"/>
            <w:szCs w:val="22"/>
          </w:rPr>
          <w:t>Eastern Australia</w:t>
        </w:r>
      </w:smartTag>
      <w:r>
        <w:rPr>
          <w:sz w:val="22"/>
          <w:szCs w:val="22"/>
        </w:rPr>
        <w:t>. T</w:t>
      </w:r>
      <w:r w:rsidRPr="005C716E">
        <w:rPr>
          <w:sz w:val="22"/>
          <w:szCs w:val="22"/>
        </w:rPr>
        <w:t xml:space="preserve">echnical report prepared for the Department of the Environment and Heritage, Canberra, </w:t>
      </w:r>
      <w:hyperlink r:id="rId159" w:history="1">
        <w:r w:rsidRPr="00C941F3">
          <w:rPr>
            <w:rStyle w:val="Hyperlink"/>
          </w:rPr>
          <w:t>http://www.deh.gov.au/soe/2006/techncial/waterbirds/index.html</w:t>
        </w:r>
      </w:hyperlink>
    </w:p>
    <w:p w:rsidR="000F7173" w:rsidRPr="00CF7613" w:rsidRDefault="000F7173" w:rsidP="000F7173">
      <w:pPr>
        <w:pStyle w:val="References"/>
        <w:spacing w:line="240" w:lineRule="auto"/>
        <w:jc w:val="left"/>
        <w:rPr>
          <w:sz w:val="22"/>
          <w:szCs w:val="22"/>
        </w:rPr>
      </w:pPr>
      <w:r w:rsidRPr="00CF7613">
        <w:rPr>
          <w:sz w:val="22"/>
          <w:szCs w:val="22"/>
        </w:rPr>
        <w:t>Klein, J.T. 2008. Evaluation of inter-disciplinary and trans-disciplinary research: a literature review. American Journal of Preventive Medicine, 35,2S, S116 –S123.</w:t>
      </w:r>
    </w:p>
    <w:p w:rsidR="000F7173" w:rsidRPr="005C716E" w:rsidRDefault="000F7173" w:rsidP="000F7173">
      <w:pPr>
        <w:pStyle w:val="References"/>
        <w:spacing w:line="240" w:lineRule="auto"/>
        <w:jc w:val="left"/>
        <w:rPr>
          <w:sz w:val="22"/>
          <w:szCs w:val="22"/>
        </w:rPr>
      </w:pPr>
      <w:r w:rsidRPr="005C716E">
        <w:rPr>
          <w:sz w:val="22"/>
          <w:szCs w:val="22"/>
        </w:rPr>
        <w:t xml:space="preserve">Kotsonis, A. 1999. Tertiary shorelines of the western </w:t>
      </w:r>
      <w:smartTag w:uri="urn:schemas-microsoft-com:office:smarttags" w:element="place">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weathering, sedimentology and exploration potential. In</w:t>
      </w:r>
      <w:r>
        <w:rPr>
          <w:sz w:val="22"/>
          <w:szCs w:val="22"/>
        </w:rPr>
        <w:t>:</w:t>
      </w:r>
      <w:r w:rsidRPr="005C716E">
        <w:rPr>
          <w:sz w:val="22"/>
          <w:szCs w:val="22"/>
        </w:rPr>
        <w:t xml:space="preserve"> Stuart, R. (ed.) </w:t>
      </w:r>
      <w:smartTag w:uri="urn:schemas-microsoft-com:office:smarttags" w:element="place">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Mineral Sands Conference Extended Abstracts. Australian Institute of Geosciences Bulletin 26, 57–63.</w:t>
      </w:r>
    </w:p>
    <w:p w:rsidR="000F7173" w:rsidRDefault="000F7173" w:rsidP="000F7173">
      <w:pPr>
        <w:pStyle w:val="References"/>
        <w:spacing w:line="240" w:lineRule="auto"/>
        <w:jc w:val="left"/>
        <w:rPr>
          <w:sz w:val="22"/>
          <w:szCs w:val="22"/>
        </w:rPr>
      </w:pPr>
      <w:r>
        <w:rPr>
          <w:sz w:val="22"/>
          <w:szCs w:val="22"/>
        </w:rPr>
        <w:t>Lane, R. 2000. Conductive Unit Parameters: Summarising complex conductivity distributions. 70</w:t>
      </w:r>
      <w:r w:rsidRPr="007A223C">
        <w:rPr>
          <w:sz w:val="22"/>
          <w:szCs w:val="22"/>
          <w:vertAlign w:val="superscript"/>
        </w:rPr>
        <w:t>th</w:t>
      </w:r>
      <w:r>
        <w:rPr>
          <w:sz w:val="22"/>
          <w:szCs w:val="22"/>
        </w:rPr>
        <w:t xml:space="preserve"> Meeting, SEG, </w:t>
      </w:r>
      <w:smartTag w:uri="urn:schemas-microsoft-com:office:smarttags" w:element="place">
        <w:smartTag w:uri="urn:schemas-microsoft-com:office:smarttags" w:element="City">
          <w:r>
            <w:rPr>
              <w:sz w:val="22"/>
              <w:szCs w:val="22"/>
            </w:rPr>
            <w:t>Calgary</w:t>
          </w:r>
        </w:smartTag>
      </w:smartTag>
      <w:r>
        <w:rPr>
          <w:sz w:val="22"/>
          <w:szCs w:val="22"/>
        </w:rPr>
        <w:t xml:space="preserve">, Vol. 1, Section EM 4.2, 328-331. Society of Exploration Geophysicists, </w:t>
      </w:r>
      <w:smartTag w:uri="urn:schemas-microsoft-com:office:smarttags" w:element="place">
        <w:smartTag w:uri="urn:schemas-microsoft-com:office:smarttags" w:element="City">
          <w:r>
            <w:rPr>
              <w:sz w:val="22"/>
              <w:szCs w:val="22"/>
            </w:rPr>
            <w:t>Tulsa</w:t>
          </w:r>
        </w:smartTag>
        <w:r>
          <w:rPr>
            <w:sz w:val="22"/>
            <w:szCs w:val="22"/>
          </w:rPr>
          <w:t xml:space="preserve">, </w:t>
        </w:r>
        <w:smartTag w:uri="urn:schemas-microsoft-com:office:smarttags" w:element="State">
          <w:r>
            <w:rPr>
              <w:sz w:val="22"/>
              <w:szCs w:val="22"/>
            </w:rPr>
            <w:t>Oklahoma</w:t>
          </w:r>
        </w:smartTag>
      </w:smartTag>
      <w:r>
        <w:rPr>
          <w:sz w:val="22"/>
          <w:szCs w:val="22"/>
        </w:rPr>
        <w:t>.</w:t>
      </w:r>
    </w:p>
    <w:p w:rsidR="000F7173" w:rsidRDefault="000F7173" w:rsidP="000F7173">
      <w:pPr>
        <w:pStyle w:val="References"/>
        <w:spacing w:line="240" w:lineRule="auto"/>
        <w:jc w:val="left"/>
        <w:rPr>
          <w:sz w:val="22"/>
          <w:szCs w:val="22"/>
        </w:rPr>
      </w:pPr>
      <w:r>
        <w:rPr>
          <w:sz w:val="22"/>
          <w:szCs w:val="22"/>
        </w:rPr>
        <w:t xml:space="preserve">Lane, R. 2002. Ground and airborne electromagnetic methods. Open File Report, 144. CRC LEME, </w:t>
      </w:r>
      <w:smartTag w:uri="urn:schemas-microsoft-com:office:smarttags" w:element="place">
        <w:smartTag w:uri="urn:schemas-microsoft-com:office:smarttags" w:element="City">
          <w:r>
            <w:rPr>
              <w:sz w:val="22"/>
              <w:szCs w:val="22"/>
            </w:rPr>
            <w:t>Perth</w:t>
          </w:r>
        </w:smartTag>
      </w:smartTag>
      <w:r>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Lane, R., Brodie R. &amp; Fitzpatrick A. 2004. Constrained inversion of AEM data from St </w:t>
      </w:r>
      <w:smartTag w:uri="urn:schemas-microsoft-com:office:smarttags" w:element="place">
        <w:smartTag w:uri="urn:schemas-microsoft-com:office:smarttags" w:element="City">
          <w:r w:rsidRPr="005C716E">
            <w:rPr>
              <w:sz w:val="22"/>
              <w:szCs w:val="22"/>
            </w:rPr>
            <w:t>George</w:t>
          </w:r>
        </w:smartTag>
        <w:r w:rsidRPr="005C716E">
          <w:rPr>
            <w:sz w:val="22"/>
            <w:szCs w:val="22"/>
          </w:rPr>
          <w:t xml:space="preserve">, </w:t>
        </w:r>
        <w:smartTag w:uri="urn:schemas-microsoft-com:office:smarttags" w:element="State">
          <w:r w:rsidRPr="005C716E">
            <w:rPr>
              <w:sz w:val="22"/>
              <w:szCs w:val="22"/>
            </w:rPr>
            <w:t>Queensland</w:t>
          </w:r>
        </w:smartTag>
        <w:r w:rsidRPr="005C716E">
          <w:rPr>
            <w:sz w:val="22"/>
            <w:szCs w:val="22"/>
          </w:rPr>
          <w:t xml:space="preserve">, </w:t>
        </w:r>
        <w:smartTag w:uri="urn:schemas-microsoft-com:office:smarttags" w:element="country-region">
          <w:r w:rsidRPr="005C716E">
            <w:rPr>
              <w:sz w:val="22"/>
              <w:szCs w:val="22"/>
            </w:rPr>
            <w:t>Australia</w:t>
          </w:r>
        </w:smartTag>
      </w:smartTag>
      <w:r w:rsidRPr="005C716E">
        <w:rPr>
          <w:sz w:val="22"/>
          <w:szCs w:val="22"/>
        </w:rPr>
        <w:t>, CRCLEME Open File Report 163.</w:t>
      </w:r>
    </w:p>
    <w:p w:rsidR="000F7173" w:rsidRPr="005C716E" w:rsidRDefault="000F7173" w:rsidP="000F7173">
      <w:pPr>
        <w:pStyle w:val="References"/>
        <w:spacing w:line="240" w:lineRule="auto"/>
        <w:jc w:val="left"/>
        <w:rPr>
          <w:sz w:val="22"/>
          <w:szCs w:val="22"/>
        </w:rPr>
      </w:pPr>
      <w:r w:rsidRPr="005C716E">
        <w:rPr>
          <w:sz w:val="22"/>
          <w:szCs w:val="22"/>
        </w:rPr>
        <w:lastRenderedPageBreak/>
        <w:t>Lawrie, K.C. 2006. Land use questions and models of AEM targets</w:t>
      </w:r>
      <w:r>
        <w:rPr>
          <w:sz w:val="22"/>
          <w:szCs w:val="22"/>
        </w:rPr>
        <w:t>.</w:t>
      </w:r>
      <w:r w:rsidRPr="005C716E">
        <w:rPr>
          <w:sz w:val="22"/>
          <w:szCs w:val="22"/>
        </w:rPr>
        <w:t xml:space="preserve"> </w:t>
      </w:r>
      <w:r>
        <w:rPr>
          <w:sz w:val="22"/>
          <w:szCs w:val="22"/>
        </w:rPr>
        <w:t>R</w:t>
      </w:r>
      <w:r w:rsidRPr="005C716E">
        <w:rPr>
          <w:sz w:val="22"/>
          <w:szCs w:val="22"/>
        </w:rPr>
        <w:t>eport by technical working group chair on proposed River Murray Corridor (South Australian border to Gunbower) Victorian AEM mapping project. CRC LEME Restricted Report 265r. 27</w:t>
      </w:r>
      <w:r w:rsidR="00DB488F">
        <w:rPr>
          <w:sz w:val="22"/>
          <w:szCs w:val="22"/>
        </w:rPr>
        <w:t xml:space="preserve"> </w:t>
      </w:r>
      <w:r w:rsidRPr="005C716E">
        <w:rPr>
          <w:sz w:val="22"/>
          <w:szCs w:val="22"/>
        </w:rPr>
        <w:t>p.</w:t>
      </w:r>
    </w:p>
    <w:p w:rsidR="000F7173" w:rsidRPr="005C716E" w:rsidRDefault="000F7173" w:rsidP="000F7173">
      <w:pPr>
        <w:pStyle w:val="References"/>
        <w:spacing w:line="240" w:lineRule="auto"/>
        <w:jc w:val="left"/>
        <w:rPr>
          <w:sz w:val="22"/>
          <w:szCs w:val="22"/>
        </w:rPr>
      </w:pPr>
      <w:r w:rsidRPr="005C716E">
        <w:rPr>
          <w:sz w:val="22"/>
          <w:szCs w:val="22"/>
        </w:rPr>
        <w:t>Lawrie, K.C., Munday, T.J., Dent, D.L., Gibson, D.L., Brodie, R.C., Wilford, J., Reilly, N.S., Chan, R.A. &amp; Baker, P. 2000. A ‘Geological Systems’ approach to understanding the processes involved in land and water salinisation in areas of complex regolith- the Gilmore Project, central-west NSW. AGSO Research Newsletter, May 2000</w:t>
      </w:r>
      <w:r>
        <w:rPr>
          <w:sz w:val="22"/>
          <w:szCs w:val="22"/>
        </w:rPr>
        <w:t>,</w:t>
      </w:r>
      <w:r w:rsidRPr="005C716E">
        <w:rPr>
          <w:sz w:val="22"/>
          <w:szCs w:val="22"/>
        </w:rPr>
        <w:t xml:space="preserve"> 32, 13-32.</w:t>
      </w:r>
    </w:p>
    <w:p w:rsidR="000F7173" w:rsidRPr="005C716E" w:rsidRDefault="000F7173" w:rsidP="000F7173">
      <w:pPr>
        <w:pStyle w:val="References"/>
        <w:spacing w:line="240" w:lineRule="auto"/>
        <w:jc w:val="left"/>
        <w:rPr>
          <w:sz w:val="22"/>
          <w:szCs w:val="22"/>
        </w:rPr>
      </w:pPr>
      <w:r w:rsidRPr="005C716E">
        <w:rPr>
          <w:sz w:val="22"/>
          <w:szCs w:val="22"/>
        </w:rPr>
        <w:t>Lawrie, K.C., Gray, M. Fitzpatrick, A., Wilkes, P., Lane, R., Pain C. &amp; Lambert, I. 2003a. Assessing cost-effective salinity mapping strategies using a landscape- based approach for methodology and technology selection. Submission to National Review of Salinity Mapping Methods and Technologies in the Australian Context. CRC LEME Open File Report.</w:t>
      </w:r>
    </w:p>
    <w:p w:rsidR="000F7173" w:rsidRPr="005C716E" w:rsidRDefault="000F7173" w:rsidP="000F7173">
      <w:pPr>
        <w:pStyle w:val="References"/>
        <w:spacing w:line="240" w:lineRule="auto"/>
        <w:jc w:val="left"/>
        <w:rPr>
          <w:sz w:val="22"/>
          <w:szCs w:val="22"/>
        </w:rPr>
      </w:pPr>
      <w:r w:rsidRPr="005C716E">
        <w:rPr>
          <w:sz w:val="22"/>
          <w:szCs w:val="22"/>
        </w:rPr>
        <w:t>Lawrie, K.C., Gray, M., Fitzpatrick, A., Wilkes P.</w:t>
      </w:r>
      <w:r>
        <w:rPr>
          <w:sz w:val="22"/>
          <w:szCs w:val="22"/>
        </w:rPr>
        <w:t xml:space="preserve"> &amp;</w:t>
      </w:r>
      <w:r w:rsidRPr="005C716E">
        <w:rPr>
          <w:sz w:val="22"/>
          <w:szCs w:val="22"/>
        </w:rPr>
        <w:t xml:space="preserve"> Lane, R. 2003b. Reducing the </w:t>
      </w:r>
      <w:r>
        <w:rPr>
          <w:sz w:val="22"/>
          <w:szCs w:val="22"/>
        </w:rPr>
        <w:t>a</w:t>
      </w:r>
      <w:r w:rsidRPr="005C716E">
        <w:rPr>
          <w:sz w:val="22"/>
          <w:szCs w:val="22"/>
        </w:rPr>
        <w:t xml:space="preserve">cquisition </w:t>
      </w:r>
      <w:r>
        <w:rPr>
          <w:sz w:val="22"/>
          <w:szCs w:val="22"/>
        </w:rPr>
        <w:t>c</w:t>
      </w:r>
      <w:r w:rsidRPr="005C716E">
        <w:rPr>
          <w:sz w:val="22"/>
          <w:szCs w:val="22"/>
        </w:rPr>
        <w:t xml:space="preserve">osts of </w:t>
      </w:r>
      <w:r>
        <w:rPr>
          <w:sz w:val="22"/>
          <w:szCs w:val="22"/>
        </w:rPr>
        <w:t>a</w:t>
      </w:r>
      <w:r w:rsidRPr="005C716E">
        <w:rPr>
          <w:sz w:val="22"/>
          <w:szCs w:val="22"/>
        </w:rPr>
        <w:t xml:space="preserve">irborne </w:t>
      </w:r>
      <w:r>
        <w:rPr>
          <w:sz w:val="22"/>
          <w:szCs w:val="22"/>
        </w:rPr>
        <w:t>e</w:t>
      </w:r>
      <w:r w:rsidRPr="005C716E">
        <w:rPr>
          <w:sz w:val="22"/>
          <w:szCs w:val="22"/>
        </w:rPr>
        <w:t xml:space="preserve">lectromagnetics </w:t>
      </w:r>
      <w:r>
        <w:rPr>
          <w:sz w:val="22"/>
          <w:szCs w:val="22"/>
        </w:rPr>
        <w:t>s</w:t>
      </w:r>
      <w:r w:rsidRPr="005C716E">
        <w:rPr>
          <w:sz w:val="22"/>
          <w:szCs w:val="22"/>
        </w:rPr>
        <w:t xml:space="preserve">urveys for </w:t>
      </w:r>
      <w:r>
        <w:rPr>
          <w:sz w:val="22"/>
          <w:szCs w:val="22"/>
        </w:rPr>
        <w:t>s</w:t>
      </w:r>
      <w:r w:rsidRPr="005C716E">
        <w:rPr>
          <w:sz w:val="22"/>
          <w:szCs w:val="22"/>
        </w:rPr>
        <w:t xml:space="preserve">alinity and </w:t>
      </w:r>
      <w:r>
        <w:rPr>
          <w:sz w:val="22"/>
          <w:szCs w:val="22"/>
        </w:rPr>
        <w:t>g</w:t>
      </w:r>
      <w:r w:rsidRPr="005C716E">
        <w:rPr>
          <w:sz w:val="22"/>
          <w:szCs w:val="22"/>
        </w:rPr>
        <w:t xml:space="preserve">roundwater </w:t>
      </w:r>
      <w:r>
        <w:rPr>
          <w:sz w:val="22"/>
          <w:szCs w:val="22"/>
        </w:rPr>
        <w:t>m</w:t>
      </w:r>
      <w:r w:rsidRPr="005C716E">
        <w:rPr>
          <w:sz w:val="22"/>
          <w:szCs w:val="22"/>
        </w:rPr>
        <w:t>apping. Preview, October 2003.</w:t>
      </w:r>
    </w:p>
    <w:p w:rsidR="000F7173" w:rsidRPr="005C716E" w:rsidRDefault="000F7173" w:rsidP="000F7173">
      <w:pPr>
        <w:pStyle w:val="References"/>
        <w:spacing w:line="240" w:lineRule="auto"/>
        <w:jc w:val="left"/>
        <w:rPr>
          <w:sz w:val="22"/>
          <w:szCs w:val="22"/>
        </w:rPr>
      </w:pPr>
      <w:r w:rsidRPr="005C716E">
        <w:rPr>
          <w:sz w:val="22"/>
          <w:szCs w:val="22"/>
        </w:rPr>
        <w:t xml:space="preserve">Lawrie, K.C., Fitzpatrick, A., </w:t>
      </w:r>
      <w:smartTag w:uri="urn:schemas-microsoft-com:office:smarttags" w:element="place">
        <w:r w:rsidRPr="005C716E">
          <w:rPr>
            <w:sz w:val="22"/>
            <w:szCs w:val="22"/>
          </w:rPr>
          <w:t>Clark</w:t>
        </w:r>
      </w:smartTag>
      <w:r w:rsidRPr="005C716E">
        <w:rPr>
          <w:sz w:val="22"/>
          <w:szCs w:val="22"/>
        </w:rPr>
        <w:t>, J.</w:t>
      </w:r>
      <w:r>
        <w:rPr>
          <w:sz w:val="22"/>
          <w:szCs w:val="22"/>
        </w:rPr>
        <w:t>,</w:t>
      </w:r>
      <w:r w:rsidRPr="005C716E">
        <w:rPr>
          <w:sz w:val="22"/>
          <w:szCs w:val="22"/>
        </w:rPr>
        <w:t xml:space="preserve"> Kernich, A., Pain, C., Coram, J., Please, P., Wilkinson, K. &amp; Pearce, B</w:t>
      </w:r>
      <w:r w:rsidRPr="00077D42">
        <w:rPr>
          <w:sz w:val="22"/>
          <w:szCs w:val="22"/>
        </w:rPr>
        <w:t xml:space="preserve">. 2004. </w:t>
      </w:r>
      <w:r w:rsidR="00080A18" w:rsidRPr="003C6D2C">
        <w:rPr>
          <w:color w:val="383A3B"/>
          <w:sz w:val="22"/>
          <w:szCs w:val="22"/>
        </w:rPr>
        <w:t xml:space="preserve">Mapping ‘nested’ groundwater flow systems, aquifers and salinity systems in the lower Balonne, </w:t>
      </w:r>
      <w:smartTag w:uri="urn:schemas-microsoft-com:office:smarttags" w:element="place">
        <w:r w:rsidR="00080A18" w:rsidRPr="003C6D2C">
          <w:rPr>
            <w:color w:val="383A3B"/>
            <w:sz w:val="22"/>
            <w:szCs w:val="22"/>
          </w:rPr>
          <w:t>SW Queensland</w:t>
        </w:r>
      </w:smartTag>
      <w:r w:rsidR="00080A18" w:rsidRPr="003C6D2C">
        <w:rPr>
          <w:color w:val="383A3B"/>
          <w:sz w:val="22"/>
          <w:szCs w:val="22"/>
        </w:rPr>
        <w:t>.</w:t>
      </w:r>
      <w:r w:rsidR="00080A18">
        <w:rPr>
          <w:color w:val="383A3B"/>
          <w:sz w:val="22"/>
          <w:szCs w:val="22"/>
        </w:rPr>
        <w:t xml:space="preserve"> </w:t>
      </w:r>
      <w:r w:rsidRPr="00077D42">
        <w:rPr>
          <w:sz w:val="22"/>
          <w:szCs w:val="22"/>
        </w:rPr>
        <w:t>Preview, 111, 102</w:t>
      </w:r>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Lawrie, K.C., Clarke, J.D.A., Cullen, K., Brodie, R.S., Munday, T., Hatch, M., Apps, H.E, Fitzpatrick, A., Cahill, K., Lane, R., </w:t>
      </w:r>
      <w:smartTag w:uri="urn:schemas-microsoft-com:office:smarttags" w:element="place">
        <w:smartTag w:uri="urn:schemas-microsoft-com:office:smarttags" w:element="City">
          <w:r w:rsidRPr="005C716E">
            <w:rPr>
              <w:sz w:val="22"/>
              <w:szCs w:val="22"/>
            </w:rPr>
            <w:t>Richardson</w:t>
          </w:r>
        </w:smartTag>
      </w:smartTag>
      <w:r w:rsidRPr="005C716E">
        <w:rPr>
          <w:sz w:val="22"/>
          <w:szCs w:val="22"/>
        </w:rPr>
        <w:t>, M., Ransley, T. &amp; English, P. 2008a. Broken Hill Managed Aquifer Recharge Project, Phase 1: Progress report a</w:t>
      </w:r>
      <w:smartTag w:uri="urn:schemas-microsoft-com:office:smarttags" w:element="PersonName">
        <w:r w:rsidRPr="005C716E">
          <w:rPr>
            <w:sz w:val="22"/>
            <w:szCs w:val="22"/>
          </w:rPr>
          <w:t>ga</w:t>
        </w:r>
      </w:smartTag>
      <w:r w:rsidRPr="005C716E">
        <w:rPr>
          <w:sz w:val="22"/>
          <w:szCs w:val="22"/>
        </w:rPr>
        <w:t xml:space="preserve">inst the Project Plan and Project Scope.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Professional Opinion 2008/06.</w:t>
      </w:r>
    </w:p>
    <w:p w:rsidR="000F7173" w:rsidRPr="005C716E" w:rsidRDefault="000F7173" w:rsidP="000F7173">
      <w:pPr>
        <w:pStyle w:val="References"/>
        <w:spacing w:line="240" w:lineRule="auto"/>
        <w:jc w:val="left"/>
        <w:rPr>
          <w:sz w:val="22"/>
          <w:szCs w:val="22"/>
        </w:rPr>
      </w:pPr>
      <w:r w:rsidRPr="005C716E">
        <w:rPr>
          <w:sz w:val="22"/>
          <w:szCs w:val="22"/>
        </w:rPr>
        <w:t>Lawrie, K.C. 2008b. Recent advances in the application of hydrogeophysics and regolith geoscience for groundwater and salinity mapping and management. AESC 2008. (Ext. Abs.).</w:t>
      </w:r>
    </w:p>
    <w:p w:rsidR="000F7173" w:rsidRPr="005C716E" w:rsidRDefault="000F7173" w:rsidP="000F7173">
      <w:pPr>
        <w:pStyle w:val="References"/>
        <w:spacing w:line="240" w:lineRule="auto"/>
        <w:jc w:val="left"/>
        <w:rPr>
          <w:sz w:val="22"/>
          <w:szCs w:val="22"/>
        </w:rPr>
      </w:pPr>
      <w:r w:rsidRPr="005C716E">
        <w:rPr>
          <w:sz w:val="22"/>
          <w:szCs w:val="22"/>
        </w:rPr>
        <w:t>Lawrie, K.C., Munday, T., Clarke, J.D.A., Fitzpatrick, A., Cullen, K., Apps, H.E., Brodie</w:t>
      </w:r>
      <w:r w:rsidR="003835B0">
        <w:rPr>
          <w:sz w:val="22"/>
          <w:szCs w:val="22"/>
        </w:rPr>
        <w:t>,</w:t>
      </w:r>
      <w:r w:rsidRPr="005C716E">
        <w:rPr>
          <w:sz w:val="22"/>
          <w:szCs w:val="22"/>
        </w:rPr>
        <w:t xml:space="preserve"> R.S., Ransley, T., Cahill, K., Lane, R., </w:t>
      </w:r>
      <w:smartTag w:uri="urn:schemas-microsoft-com:office:smarttags" w:element="place">
        <w:smartTag w:uri="urn:schemas-microsoft-com:office:smarttags" w:element="City">
          <w:r w:rsidRPr="005C716E">
            <w:rPr>
              <w:sz w:val="22"/>
              <w:szCs w:val="22"/>
            </w:rPr>
            <w:t>Richardson</w:t>
          </w:r>
        </w:smartTag>
      </w:smartTag>
      <w:r w:rsidRPr="005C716E">
        <w:rPr>
          <w:sz w:val="22"/>
          <w:szCs w:val="22"/>
        </w:rPr>
        <w:t>, M., English, P. &amp; Hatch, M</w:t>
      </w:r>
      <w:r w:rsidR="003835B0">
        <w:rPr>
          <w:sz w:val="22"/>
          <w:szCs w:val="22"/>
        </w:rPr>
        <w:t>.</w:t>
      </w:r>
      <w:r w:rsidRPr="005C716E">
        <w:rPr>
          <w:sz w:val="22"/>
          <w:szCs w:val="22"/>
        </w:rPr>
        <w:t xml:space="preserve"> 2009a. Broken Hill Managed Aquifer Recharge Project, Phase 1: Final Report.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Professional Opinion 2009/03.</w:t>
      </w:r>
    </w:p>
    <w:p w:rsidR="000F7173" w:rsidRPr="005C716E" w:rsidRDefault="000F7173" w:rsidP="000F7173">
      <w:pPr>
        <w:pStyle w:val="References"/>
        <w:spacing w:line="240" w:lineRule="auto"/>
        <w:jc w:val="left"/>
        <w:rPr>
          <w:sz w:val="22"/>
          <w:szCs w:val="22"/>
        </w:rPr>
      </w:pPr>
      <w:r w:rsidRPr="005C716E">
        <w:rPr>
          <w:sz w:val="22"/>
          <w:szCs w:val="22"/>
        </w:rPr>
        <w:t>Lawrie, K.C., Brodie, R.C., Gibson, D., Kuske, T.J., Halas, L., Tan, K.P., Cullen, K., Brodie</w:t>
      </w:r>
      <w:r w:rsidR="003835B0">
        <w:rPr>
          <w:sz w:val="22"/>
          <w:szCs w:val="22"/>
        </w:rPr>
        <w:t>,</w:t>
      </w:r>
      <w:r w:rsidRPr="005C716E">
        <w:rPr>
          <w:sz w:val="22"/>
          <w:szCs w:val="22"/>
        </w:rPr>
        <w:t xml:space="preserve"> R.S., Hannah, A. &amp; Richardson, M. 2009b. Broken Hill Managed Aquifer Recharge Project, Phase 2: Report on </w:t>
      </w:r>
      <w:smartTag w:uri="urn:schemas-microsoft-com:office:smarttags" w:element="stockticker">
        <w:r w:rsidRPr="005C716E">
          <w:rPr>
            <w:sz w:val="22"/>
            <w:szCs w:val="22"/>
          </w:rPr>
          <w:t>AEM</w:t>
        </w:r>
      </w:smartTag>
      <w:r w:rsidRPr="005C716E">
        <w:rPr>
          <w:sz w:val="22"/>
          <w:szCs w:val="22"/>
        </w:rPr>
        <w:t xml:space="preserve"> System Selection.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Professional Opinion 2009. (Unpublished).</w:t>
      </w:r>
    </w:p>
    <w:p w:rsidR="000F7173" w:rsidRPr="005C716E" w:rsidRDefault="000F7173" w:rsidP="000F7173">
      <w:pPr>
        <w:pStyle w:val="References"/>
        <w:spacing w:line="240" w:lineRule="auto"/>
        <w:jc w:val="left"/>
        <w:rPr>
          <w:sz w:val="22"/>
          <w:szCs w:val="22"/>
        </w:rPr>
      </w:pPr>
      <w:r w:rsidRPr="005C716E">
        <w:rPr>
          <w:sz w:val="22"/>
          <w:szCs w:val="22"/>
        </w:rPr>
        <w:t xml:space="preserve">Lawrie, K.C., Tan, K.P., Halas, L., Cullen, K., Pain, C.F., Brodie, R.C., Apps, H., Wong, V., Reid, M., Clarke, J.C. &amp; Gibson, D. 2009c. River </w:t>
      </w:r>
      <w:smartTag w:uri="urn:schemas-microsoft-com:office:smarttags" w:element="City">
        <w:r w:rsidRPr="005C716E">
          <w:rPr>
            <w:sz w:val="22"/>
            <w:szCs w:val="22"/>
          </w:rPr>
          <w:t>Murray</w:t>
        </w:r>
      </w:smartTag>
      <w:r w:rsidRPr="005C716E">
        <w:rPr>
          <w:sz w:val="22"/>
          <w:szCs w:val="22"/>
        </w:rPr>
        <w:t xml:space="preserve"> Corridor (RMC) Salinity Mapping and Interpretation Project: Report on the Barr Creek to </w:t>
      </w:r>
      <w:smartTag w:uri="urn:schemas-microsoft-com:office:smarttags" w:element="place">
        <w:smartTag w:uri="urn:schemas-microsoft-com:office:smarttags" w:element="PlaceName">
          <w:r w:rsidRPr="005C716E">
            <w:rPr>
              <w:sz w:val="22"/>
              <w:szCs w:val="22"/>
            </w:rPr>
            <w:t>Gunbower</w:t>
          </w:r>
        </w:smartTag>
        <w:r w:rsidRPr="005C716E">
          <w:rPr>
            <w:sz w:val="22"/>
            <w:szCs w:val="22"/>
          </w:rPr>
          <w:t xml:space="preserve"> </w:t>
        </w:r>
        <w:smartTag w:uri="urn:schemas-microsoft-com:office:smarttags" w:element="PlaceType">
          <w:r w:rsidRPr="005C716E">
            <w:rPr>
              <w:sz w:val="22"/>
              <w:szCs w:val="22"/>
            </w:rPr>
            <w:t>Island</w:t>
          </w:r>
        </w:smartTag>
      </w:smartTag>
      <w:r w:rsidRPr="005C716E">
        <w:rPr>
          <w:sz w:val="22"/>
          <w:szCs w:val="22"/>
        </w:rPr>
        <w:t xml:space="preserve"> Region.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Professional Opinion 2009/13, 186 p.</w:t>
      </w:r>
    </w:p>
    <w:p w:rsidR="000F7173" w:rsidRPr="005C716E" w:rsidRDefault="000F7173" w:rsidP="000F7173">
      <w:pPr>
        <w:pStyle w:val="References"/>
        <w:spacing w:line="240" w:lineRule="auto"/>
        <w:jc w:val="left"/>
        <w:rPr>
          <w:sz w:val="22"/>
          <w:szCs w:val="22"/>
        </w:rPr>
      </w:pPr>
      <w:r w:rsidRPr="005C716E">
        <w:rPr>
          <w:sz w:val="22"/>
          <w:szCs w:val="22"/>
        </w:rPr>
        <w:t>Lawrie, K.C., Brodie</w:t>
      </w:r>
      <w:r w:rsidR="003835B0">
        <w:rPr>
          <w:sz w:val="22"/>
          <w:szCs w:val="22"/>
        </w:rPr>
        <w:t>,</w:t>
      </w:r>
      <w:r w:rsidRPr="005C716E">
        <w:rPr>
          <w:sz w:val="22"/>
          <w:szCs w:val="22"/>
        </w:rPr>
        <w:t xml:space="preserve"> R.S., Gibson, D., Tan, K.P., Magee, J., Davis, A., Halas, L., Clarke, J.D.A., Ley-Cooper, A.Y., Wallace, L., Smith, M.</w:t>
      </w:r>
      <w:r w:rsidR="00104868">
        <w:rPr>
          <w:sz w:val="22"/>
          <w:szCs w:val="22"/>
        </w:rPr>
        <w:t>, Apps, H.E.</w:t>
      </w:r>
      <w:r w:rsidRPr="005C716E">
        <w:rPr>
          <w:sz w:val="22"/>
          <w:szCs w:val="22"/>
        </w:rPr>
        <w:t xml:space="preserve">, Pain, C., Ransley, T., Gow, L., Brodie, R.C., Christensen, N.B., Cullen, K., Bastrakov, E., &amp; Mernagh, T. 2010a. Broken Hill Managed Aquifer Recharge Project, Phase 2: Interim Report.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Professional Opinion 2010/02. p. 472.</w:t>
      </w:r>
    </w:p>
    <w:p w:rsidR="000F7173" w:rsidRPr="005C716E" w:rsidRDefault="000F7173" w:rsidP="000F7173">
      <w:pPr>
        <w:pStyle w:val="References"/>
        <w:spacing w:line="240" w:lineRule="auto"/>
        <w:jc w:val="left"/>
        <w:rPr>
          <w:sz w:val="22"/>
          <w:szCs w:val="22"/>
        </w:rPr>
      </w:pPr>
      <w:r w:rsidRPr="005C716E">
        <w:rPr>
          <w:sz w:val="22"/>
          <w:szCs w:val="22"/>
        </w:rPr>
        <w:t>Lawrie, K.C., Brodie R.S., Dillon, P., Gibson, D., Clarke, J.D.A., Tan, K.P., Page, D., Magee, J., Halas, L., Vanderzalm, J., Apps, H.E., Davis, A., Ley-Cooper, A.Y., Smith, M.S.,</w:t>
      </w:r>
      <w:r w:rsidR="00104868">
        <w:rPr>
          <w:sz w:val="22"/>
          <w:szCs w:val="22"/>
        </w:rPr>
        <w:t xml:space="preserve"> Miotlinski, K., Somerville, P.</w:t>
      </w:r>
      <w:r w:rsidRPr="005C716E">
        <w:rPr>
          <w:sz w:val="22"/>
          <w:szCs w:val="22"/>
        </w:rPr>
        <w:t xml:space="preserve">, Gow, L., Boston, K., Smith, M., Barry, K., &amp; Levett, K. 2010b. Broken Hill Managed Aquifer Recharge Project Phase 3a: Assessment of </w:t>
      </w:r>
      <w:r>
        <w:rPr>
          <w:sz w:val="22"/>
          <w:szCs w:val="22"/>
        </w:rPr>
        <w:t>m</w:t>
      </w:r>
      <w:r w:rsidRPr="005C716E">
        <w:rPr>
          <w:sz w:val="22"/>
          <w:szCs w:val="22"/>
        </w:rPr>
        <w:t xml:space="preserve">anaged </w:t>
      </w:r>
      <w:r>
        <w:rPr>
          <w:sz w:val="22"/>
          <w:szCs w:val="22"/>
        </w:rPr>
        <w:t>a</w:t>
      </w:r>
      <w:r w:rsidRPr="005C716E">
        <w:rPr>
          <w:sz w:val="22"/>
          <w:szCs w:val="22"/>
        </w:rPr>
        <w:t xml:space="preserve">quifer </w:t>
      </w:r>
      <w:r>
        <w:rPr>
          <w:sz w:val="22"/>
          <w:szCs w:val="22"/>
        </w:rPr>
        <w:t>r</w:t>
      </w:r>
      <w:r w:rsidRPr="005C716E">
        <w:rPr>
          <w:sz w:val="22"/>
          <w:szCs w:val="22"/>
        </w:rPr>
        <w:t xml:space="preserve">echarge </w:t>
      </w:r>
      <w:r>
        <w:rPr>
          <w:sz w:val="22"/>
          <w:szCs w:val="22"/>
        </w:rPr>
        <w:t>v</w:t>
      </w:r>
      <w:r w:rsidRPr="005C716E">
        <w:rPr>
          <w:sz w:val="22"/>
          <w:szCs w:val="22"/>
        </w:rPr>
        <w:t xml:space="preserve">iability at </w:t>
      </w:r>
      <w:smartTag w:uri="urn:schemas-microsoft-com:office:smarttags" w:element="place">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smartTag>
      <w:r w:rsidRPr="005C716E">
        <w:rPr>
          <w:sz w:val="22"/>
          <w:szCs w:val="22"/>
        </w:rPr>
        <w:t xml:space="preserve">. Interim Report.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Professional Opinion 2010/08.</w:t>
      </w:r>
      <w:r w:rsidR="00465915">
        <w:rPr>
          <w:sz w:val="22"/>
          <w:szCs w:val="22"/>
        </w:rPr>
        <w:t xml:space="preserve"> </w:t>
      </w:r>
      <w:r w:rsidRPr="005C716E">
        <w:rPr>
          <w:sz w:val="22"/>
          <w:szCs w:val="22"/>
        </w:rPr>
        <w:t>p.468.</w:t>
      </w:r>
    </w:p>
    <w:p w:rsidR="000F7173" w:rsidRPr="005C716E" w:rsidRDefault="000F7173" w:rsidP="000F7173">
      <w:pPr>
        <w:pStyle w:val="References"/>
        <w:spacing w:line="240" w:lineRule="auto"/>
        <w:jc w:val="left"/>
        <w:rPr>
          <w:sz w:val="22"/>
          <w:szCs w:val="22"/>
        </w:rPr>
      </w:pPr>
      <w:r w:rsidRPr="005C716E">
        <w:rPr>
          <w:sz w:val="22"/>
          <w:szCs w:val="22"/>
        </w:rPr>
        <w:t>Lawrie, K.C., Tan, K.P., Clarke, J.C., Munday, T.J., Fitzpatrick, A., Brodie, R.S., Pain, C.F., Apps, H., Cullen, K., Halas, L., Kuske, T.J.</w:t>
      </w:r>
      <w:r>
        <w:rPr>
          <w:sz w:val="22"/>
          <w:szCs w:val="22"/>
        </w:rPr>
        <w:t xml:space="preserve">, </w:t>
      </w:r>
      <w:r w:rsidRPr="005C716E">
        <w:rPr>
          <w:sz w:val="22"/>
          <w:szCs w:val="22"/>
        </w:rPr>
        <w:t xml:space="preserve">Cahill, K. &amp; Davis, A. 2010c. Utilising </w:t>
      </w:r>
      <w:r>
        <w:rPr>
          <w:sz w:val="22"/>
          <w:szCs w:val="22"/>
        </w:rPr>
        <w:t>t</w:t>
      </w:r>
      <w:r w:rsidRPr="005C716E">
        <w:rPr>
          <w:sz w:val="22"/>
          <w:szCs w:val="22"/>
        </w:rPr>
        <w:t xml:space="preserve">ime </w:t>
      </w:r>
      <w:r>
        <w:rPr>
          <w:sz w:val="22"/>
          <w:szCs w:val="22"/>
        </w:rPr>
        <w:t>d</w:t>
      </w:r>
      <w:r w:rsidRPr="005C716E">
        <w:rPr>
          <w:sz w:val="22"/>
          <w:szCs w:val="22"/>
        </w:rPr>
        <w:t xml:space="preserve">omain </w:t>
      </w:r>
      <w:r>
        <w:rPr>
          <w:sz w:val="22"/>
          <w:szCs w:val="22"/>
        </w:rPr>
        <w:t>a</w:t>
      </w:r>
      <w:r w:rsidRPr="005C716E">
        <w:rPr>
          <w:sz w:val="22"/>
          <w:szCs w:val="22"/>
        </w:rPr>
        <w:t xml:space="preserve">irborne </w:t>
      </w:r>
      <w:r>
        <w:rPr>
          <w:sz w:val="22"/>
          <w:szCs w:val="22"/>
        </w:rPr>
        <w:t>e</w:t>
      </w:r>
      <w:r w:rsidRPr="005C716E">
        <w:rPr>
          <w:sz w:val="22"/>
          <w:szCs w:val="22"/>
        </w:rPr>
        <w:t>lectromagnetics (</w:t>
      </w:r>
      <w:smartTag w:uri="urn:schemas-microsoft-com:office:smarttags" w:element="stockticker">
        <w:r w:rsidRPr="005C716E">
          <w:rPr>
            <w:sz w:val="22"/>
            <w:szCs w:val="22"/>
          </w:rPr>
          <w:t>AEM</w:t>
        </w:r>
      </w:smartTag>
      <w:r w:rsidRPr="005C716E">
        <w:rPr>
          <w:sz w:val="22"/>
          <w:szCs w:val="22"/>
        </w:rPr>
        <w:t xml:space="preserve">) to </w:t>
      </w:r>
      <w:r>
        <w:rPr>
          <w:sz w:val="22"/>
          <w:szCs w:val="22"/>
        </w:rPr>
        <w:t>m</w:t>
      </w:r>
      <w:r w:rsidRPr="005C716E">
        <w:rPr>
          <w:sz w:val="22"/>
          <w:szCs w:val="22"/>
        </w:rPr>
        <w:t xml:space="preserve">ap </w:t>
      </w:r>
      <w:r>
        <w:rPr>
          <w:sz w:val="22"/>
          <w:szCs w:val="22"/>
        </w:rPr>
        <w:t>a</w:t>
      </w:r>
      <w:r w:rsidRPr="005C716E">
        <w:rPr>
          <w:sz w:val="22"/>
          <w:szCs w:val="22"/>
        </w:rPr>
        <w:t xml:space="preserve">quifer </w:t>
      </w:r>
      <w:r>
        <w:rPr>
          <w:sz w:val="22"/>
          <w:szCs w:val="22"/>
        </w:rPr>
        <w:t>s</w:t>
      </w:r>
      <w:r w:rsidRPr="005C716E">
        <w:rPr>
          <w:sz w:val="22"/>
          <w:szCs w:val="22"/>
        </w:rPr>
        <w:t xml:space="preserve">ystems and </w:t>
      </w:r>
      <w:r>
        <w:rPr>
          <w:sz w:val="22"/>
          <w:szCs w:val="22"/>
        </w:rPr>
        <w:t>s</w:t>
      </w:r>
      <w:r w:rsidRPr="005C716E">
        <w:rPr>
          <w:sz w:val="22"/>
          <w:szCs w:val="22"/>
        </w:rPr>
        <w:t xml:space="preserve">alinity </w:t>
      </w:r>
      <w:r>
        <w:rPr>
          <w:sz w:val="22"/>
          <w:szCs w:val="22"/>
        </w:rPr>
        <w:t>h</w:t>
      </w:r>
      <w:r w:rsidRPr="005C716E">
        <w:rPr>
          <w:sz w:val="22"/>
          <w:szCs w:val="22"/>
        </w:rPr>
        <w:t>azard in the Ord Valley, Western Australia. Geoscience Australia Professional Opinion 2009, 500</w:t>
      </w:r>
      <w:r w:rsidR="00DB488F">
        <w:rPr>
          <w:sz w:val="22"/>
          <w:szCs w:val="22"/>
        </w:rPr>
        <w:t xml:space="preserve"> </w:t>
      </w:r>
      <w:r w:rsidRPr="005C716E">
        <w:rPr>
          <w:sz w:val="22"/>
          <w:szCs w:val="22"/>
        </w:rPr>
        <w:t>p. Geocat No. 69583.</w:t>
      </w:r>
    </w:p>
    <w:p w:rsidR="000F7173" w:rsidRPr="005C716E" w:rsidRDefault="000F7173" w:rsidP="000F7173">
      <w:pPr>
        <w:pStyle w:val="References"/>
        <w:spacing w:line="240" w:lineRule="auto"/>
        <w:jc w:val="left"/>
        <w:rPr>
          <w:sz w:val="22"/>
          <w:szCs w:val="22"/>
        </w:rPr>
      </w:pPr>
      <w:r w:rsidRPr="005C716E">
        <w:rPr>
          <w:sz w:val="22"/>
          <w:szCs w:val="22"/>
        </w:rPr>
        <w:t>Lawrie, K.C., Brodie R.S., Dillon, P., Tan, K.P., Halas, L., Christensen, N.B., Ley-Cooper, A.Y., Davis, A., Somerville, P., Smith, M.S., Apps, H.E., Magee, J., Gibson, D., Clarke, J.D.A., Page, D., Vanderzalm, J., Miotlinski, K., Barry, K.</w:t>
      </w:r>
      <w:r>
        <w:rPr>
          <w:sz w:val="22"/>
          <w:szCs w:val="22"/>
        </w:rPr>
        <w:t>,</w:t>
      </w:r>
      <w:r w:rsidRPr="005C716E">
        <w:rPr>
          <w:sz w:val="22"/>
          <w:szCs w:val="22"/>
        </w:rPr>
        <w:t xml:space="preserve"> Levett, K.</w:t>
      </w:r>
      <w:r>
        <w:rPr>
          <w:sz w:val="22"/>
          <w:szCs w:val="22"/>
        </w:rPr>
        <w:t xml:space="preserve"> </w:t>
      </w:r>
      <w:r w:rsidRPr="005C716E">
        <w:rPr>
          <w:sz w:val="22"/>
          <w:szCs w:val="22"/>
        </w:rPr>
        <w:t xml:space="preserve">&amp; Gow, L. 2011. Securing Broken Hill’s </w:t>
      </w:r>
      <w:r>
        <w:rPr>
          <w:sz w:val="22"/>
          <w:szCs w:val="22"/>
        </w:rPr>
        <w:t>w</w:t>
      </w:r>
      <w:r w:rsidRPr="005C716E">
        <w:rPr>
          <w:sz w:val="22"/>
          <w:szCs w:val="22"/>
        </w:rPr>
        <w:t xml:space="preserve">ater </w:t>
      </w:r>
      <w:r>
        <w:rPr>
          <w:sz w:val="22"/>
          <w:szCs w:val="22"/>
        </w:rPr>
        <w:t>s</w:t>
      </w:r>
      <w:r w:rsidRPr="005C716E">
        <w:rPr>
          <w:sz w:val="22"/>
          <w:szCs w:val="22"/>
        </w:rPr>
        <w:t xml:space="preserve">upply: Assessment of </w:t>
      </w:r>
      <w:r>
        <w:rPr>
          <w:sz w:val="22"/>
          <w:szCs w:val="22"/>
        </w:rPr>
        <w:t>g</w:t>
      </w:r>
      <w:r w:rsidRPr="005C716E">
        <w:rPr>
          <w:sz w:val="22"/>
          <w:szCs w:val="22"/>
        </w:rPr>
        <w:t xml:space="preserve">roundwater </w:t>
      </w:r>
      <w:r>
        <w:rPr>
          <w:sz w:val="22"/>
          <w:szCs w:val="22"/>
        </w:rPr>
        <w:t>e</w:t>
      </w:r>
      <w:r w:rsidRPr="005C716E">
        <w:rPr>
          <w:sz w:val="22"/>
          <w:szCs w:val="22"/>
        </w:rPr>
        <w:t xml:space="preserve">xtraction and </w:t>
      </w:r>
      <w:r>
        <w:rPr>
          <w:sz w:val="22"/>
          <w:szCs w:val="22"/>
        </w:rPr>
        <w:t>c</w:t>
      </w:r>
      <w:r w:rsidRPr="005C716E">
        <w:rPr>
          <w:sz w:val="22"/>
          <w:szCs w:val="22"/>
        </w:rPr>
        <w:t xml:space="preserve">onjunctive </w:t>
      </w:r>
      <w:r>
        <w:rPr>
          <w:sz w:val="22"/>
          <w:szCs w:val="22"/>
        </w:rPr>
        <w:t>w</w:t>
      </w:r>
      <w:r w:rsidRPr="005C716E">
        <w:rPr>
          <w:sz w:val="22"/>
          <w:szCs w:val="22"/>
        </w:rPr>
        <w:t xml:space="preserve">ater </w:t>
      </w:r>
      <w:r>
        <w:rPr>
          <w:sz w:val="22"/>
          <w:szCs w:val="22"/>
        </w:rPr>
        <w:t>s</w:t>
      </w:r>
      <w:r w:rsidRPr="005C716E">
        <w:rPr>
          <w:sz w:val="22"/>
          <w:szCs w:val="22"/>
        </w:rPr>
        <w:t xml:space="preserve">upply </w:t>
      </w:r>
      <w:r>
        <w:rPr>
          <w:sz w:val="22"/>
          <w:szCs w:val="22"/>
        </w:rPr>
        <w:t>o</w:t>
      </w:r>
      <w:r w:rsidRPr="005C716E">
        <w:rPr>
          <w:sz w:val="22"/>
          <w:szCs w:val="22"/>
        </w:rPr>
        <w:t xml:space="preserve">ptions at </w:t>
      </w:r>
      <w:smartTag w:uri="urn:schemas-microsoft-com:office:smarttags" w:element="place">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smartTag>
      <w:r w:rsidRPr="005C716E">
        <w:rPr>
          <w:sz w:val="22"/>
          <w:szCs w:val="22"/>
        </w:rPr>
        <w:t>. Geoscience Australia Professional Opinion, 2011/02, p.55.</w:t>
      </w:r>
    </w:p>
    <w:p w:rsidR="000F7173" w:rsidRPr="005C716E" w:rsidRDefault="000F7173" w:rsidP="000F7173">
      <w:pPr>
        <w:pStyle w:val="References"/>
        <w:spacing w:line="240" w:lineRule="auto"/>
        <w:jc w:val="left"/>
        <w:rPr>
          <w:sz w:val="22"/>
          <w:szCs w:val="22"/>
        </w:rPr>
      </w:pPr>
      <w:r w:rsidRPr="005C716E">
        <w:rPr>
          <w:sz w:val="22"/>
          <w:szCs w:val="22"/>
        </w:rPr>
        <w:t>Lawrie, K.C., Brodie R.S., Tan, K.P., Gibson, D., Magee, J., Clarke, J.D.A., Halas, L., Gow, L, Somerville, P., Apps, H.E., Christensen, N.B., Brodie, R.C., Abraham, J., Smith, M</w:t>
      </w:r>
      <w:r>
        <w:rPr>
          <w:sz w:val="22"/>
          <w:szCs w:val="22"/>
        </w:rPr>
        <w:t>.</w:t>
      </w:r>
      <w:r w:rsidRPr="005C716E">
        <w:rPr>
          <w:sz w:val="22"/>
          <w:szCs w:val="22"/>
        </w:rPr>
        <w:t xml:space="preserve">, Page, D., Dillon, P., Vanderzalm, J., Miotlinski, K., Hostetler, S., Davis, A., Ley-Cooper, A.Y., Schoning, G., Barry, K. </w:t>
      </w:r>
      <w:r>
        <w:rPr>
          <w:sz w:val="22"/>
          <w:szCs w:val="22"/>
        </w:rPr>
        <w:t>&amp;</w:t>
      </w:r>
      <w:r w:rsidRPr="005C716E">
        <w:rPr>
          <w:sz w:val="22"/>
          <w:szCs w:val="22"/>
        </w:rPr>
        <w:t xml:space="preserve"> Levett, K. 2012a. BHMAR Project: Data </w:t>
      </w:r>
      <w:r>
        <w:rPr>
          <w:sz w:val="22"/>
          <w:szCs w:val="22"/>
        </w:rPr>
        <w:t>a</w:t>
      </w:r>
      <w:r w:rsidRPr="005C716E">
        <w:rPr>
          <w:sz w:val="22"/>
          <w:szCs w:val="22"/>
        </w:rPr>
        <w:t xml:space="preserve">cquisition, processing, analysis and interpretation methods.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2012/11. Geocat 73819. </w:t>
      </w:r>
    </w:p>
    <w:p w:rsidR="00DB488F" w:rsidRDefault="00DB488F" w:rsidP="000F7173">
      <w:pPr>
        <w:pStyle w:val="References"/>
        <w:spacing w:line="240" w:lineRule="auto"/>
        <w:jc w:val="left"/>
        <w:rPr>
          <w:sz w:val="22"/>
          <w:szCs w:val="22"/>
        </w:rPr>
      </w:pPr>
    </w:p>
    <w:p w:rsidR="000F7173" w:rsidRPr="005C716E" w:rsidRDefault="000F7173" w:rsidP="000F7173">
      <w:pPr>
        <w:pStyle w:val="References"/>
        <w:spacing w:line="240" w:lineRule="auto"/>
        <w:jc w:val="left"/>
        <w:rPr>
          <w:sz w:val="22"/>
          <w:szCs w:val="22"/>
        </w:rPr>
      </w:pPr>
      <w:r w:rsidRPr="005C716E">
        <w:rPr>
          <w:sz w:val="22"/>
          <w:szCs w:val="22"/>
        </w:rPr>
        <w:lastRenderedPageBreak/>
        <w:t>Lawrie, K.C., Brodie</w:t>
      </w:r>
      <w:r w:rsidR="003835B0">
        <w:rPr>
          <w:sz w:val="22"/>
          <w:szCs w:val="22"/>
        </w:rPr>
        <w:t>,</w:t>
      </w:r>
      <w:r w:rsidRPr="005C716E">
        <w:rPr>
          <w:sz w:val="22"/>
          <w:szCs w:val="22"/>
        </w:rPr>
        <w:t xml:space="preserve"> R.S., Tan, K.P., Gibson, D., Magee, J., Clarke, J.D.A., Halas, L., Gow, L</w:t>
      </w:r>
      <w:r>
        <w:rPr>
          <w:sz w:val="22"/>
          <w:szCs w:val="22"/>
        </w:rPr>
        <w:t>.</w:t>
      </w:r>
      <w:r w:rsidRPr="005C716E">
        <w:rPr>
          <w:sz w:val="22"/>
          <w:szCs w:val="22"/>
        </w:rPr>
        <w:t>, Somerville, P., Apps, H.E., Smith, M</w:t>
      </w:r>
      <w:r>
        <w:rPr>
          <w:sz w:val="22"/>
          <w:szCs w:val="22"/>
        </w:rPr>
        <w:t>.</w:t>
      </w:r>
      <w:r w:rsidRPr="005C716E">
        <w:rPr>
          <w:sz w:val="22"/>
          <w:szCs w:val="22"/>
        </w:rPr>
        <w:t xml:space="preserve">, Christensen, N.B., Abraham, J., Hostetler, S. </w:t>
      </w:r>
      <w:r>
        <w:rPr>
          <w:sz w:val="22"/>
          <w:szCs w:val="22"/>
        </w:rPr>
        <w:t>&amp;</w:t>
      </w:r>
      <w:r w:rsidRPr="005C716E">
        <w:rPr>
          <w:sz w:val="22"/>
          <w:szCs w:val="22"/>
        </w:rPr>
        <w:t xml:space="preserve"> Brodie, R.C. 2012b. BHMAR Project: Geological and </w:t>
      </w:r>
      <w:r>
        <w:rPr>
          <w:sz w:val="22"/>
          <w:szCs w:val="22"/>
        </w:rPr>
        <w:t>h</w:t>
      </w:r>
      <w:r w:rsidRPr="005C716E">
        <w:rPr>
          <w:sz w:val="22"/>
          <w:szCs w:val="22"/>
        </w:rPr>
        <w:t xml:space="preserve">ydrogeological </w:t>
      </w:r>
      <w:r>
        <w:rPr>
          <w:sz w:val="22"/>
          <w:szCs w:val="22"/>
        </w:rPr>
        <w:t>f</w:t>
      </w:r>
      <w:r w:rsidRPr="005C716E">
        <w:rPr>
          <w:sz w:val="22"/>
          <w:szCs w:val="22"/>
        </w:rPr>
        <w:t xml:space="preserve">ramework and </w:t>
      </w:r>
      <w:r>
        <w:rPr>
          <w:sz w:val="22"/>
          <w:szCs w:val="22"/>
        </w:rPr>
        <w:t>c</w:t>
      </w:r>
      <w:r w:rsidRPr="005C716E">
        <w:rPr>
          <w:sz w:val="22"/>
          <w:szCs w:val="22"/>
        </w:rPr>
        <w:t xml:space="preserve">onceptual </w:t>
      </w:r>
      <w:r>
        <w:rPr>
          <w:sz w:val="22"/>
          <w:szCs w:val="22"/>
        </w:rPr>
        <w:t>m</w:t>
      </w:r>
      <w:r w:rsidRPr="005C716E">
        <w:rPr>
          <w:sz w:val="22"/>
          <w:szCs w:val="22"/>
        </w:rPr>
        <w:t xml:space="preserve">odel.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2012/12. Geocat 73820.</w:t>
      </w:r>
    </w:p>
    <w:p w:rsidR="000F7173" w:rsidRPr="005C716E" w:rsidRDefault="000F7173" w:rsidP="000F7173">
      <w:pPr>
        <w:pStyle w:val="References"/>
        <w:spacing w:line="240" w:lineRule="auto"/>
        <w:jc w:val="left"/>
        <w:rPr>
          <w:sz w:val="22"/>
          <w:szCs w:val="22"/>
        </w:rPr>
      </w:pPr>
      <w:r w:rsidRPr="005C716E">
        <w:rPr>
          <w:sz w:val="22"/>
          <w:szCs w:val="22"/>
        </w:rPr>
        <w:t xml:space="preserve">Lawrie, K.C., Brodie R.S., Dillon, P., Tan, K.P., Gibson, D., Magee, J., Clarke, J.D.A., Somerville, P., Gow, L., Halas, L., Apps, H.E., Page, D., Vanderzalm, J., Abraham, J., Hostetler, S., Christensen, N.B., Miotlinski, K., Brodie, R.C., Smith, M., Schoning, G., Barry, K. &amp; Levett, K. 2012c. BHMAR Project: Assessment of </w:t>
      </w:r>
      <w:r>
        <w:rPr>
          <w:sz w:val="22"/>
          <w:szCs w:val="22"/>
        </w:rPr>
        <w:t>c</w:t>
      </w:r>
      <w:r w:rsidRPr="005C716E">
        <w:rPr>
          <w:sz w:val="22"/>
          <w:szCs w:val="22"/>
        </w:rPr>
        <w:t xml:space="preserve">onjunctive </w:t>
      </w:r>
      <w:r>
        <w:rPr>
          <w:sz w:val="22"/>
          <w:szCs w:val="22"/>
        </w:rPr>
        <w:t>w</w:t>
      </w:r>
      <w:r w:rsidRPr="005C716E">
        <w:rPr>
          <w:sz w:val="22"/>
          <w:szCs w:val="22"/>
        </w:rPr>
        <w:t xml:space="preserve">ater </w:t>
      </w:r>
      <w:r>
        <w:rPr>
          <w:sz w:val="22"/>
          <w:szCs w:val="22"/>
        </w:rPr>
        <w:t>s</w:t>
      </w:r>
      <w:r w:rsidRPr="005C716E">
        <w:rPr>
          <w:sz w:val="22"/>
          <w:szCs w:val="22"/>
        </w:rPr>
        <w:t xml:space="preserve">upply </w:t>
      </w:r>
      <w:r>
        <w:rPr>
          <w:sz w:val="22"/>
          <w:szCs w:val="22"/>
        </w:rPr>
        <w:t>o</w:t>
      </w:r>
      <w:r w:rsidRPr="005C716E">
        <w:rPr>
          <w:sz w:val="22"/>
          <w:szCs w:val="22"/>
        </w:rPr>
        <w:t xml:space="preserve">ptions </w:t>
      </w:r>
      <w:r>
        <w:rPr>
          <w:sz w:val="22"/>
          <w:szCs w:val="22"/>
        </w:rPr>
        <w:t>i</w:t>
      </w:r>
      <w:r w:rsidRPr="005C716E">
        <w:rPr>
          <w:sz w:val="22"/>
          <w:szCs w:val="22"/>
        </w:rPr>
        <w:t xml:space="preserve">nvolving </w:t>
      </w:r>
      <w:r>
        <w:rPr>
          <w:sz w:val="22"/>
          <w:szCs w:val="22"/>
        </w:rPr>
        <w:t>m</w:t>
      </w:r>
      <w:r w:rsidRPr="005C716E">
        <w:rPr>
          <w:sz w:val="22"/>
          <w:szCs w:val="22"/>
        </w:rPr>
        <w:t xml:space="preserve">anaged </w:t>
      </w:r>
      <w:r>
        <w:rPr>
          <w:sz w:val="22"/>
          <w:szCs w:val="22"/>
        </w:rPr>
        <w:t>a</w:t>
      </w:r>
      <w:r w:rsidRPr="005C716E">
        <w:rPr>
          <w:sz w:val="22"/>
          <w:szCs w:val="22"/>
        </w:rPr>
        <w:t xml:space="preserve">quifer </w:t>
      </w:r>
      <w:r>
        <w:rPr>
          <w:sz w:val="22"/>
          <w:szCs w:val="22"/>
        </w:rPr>
        <w:t>r</w:t>
      </w:r>
      <w:r w:rsidRPr="005C716E">
        <w:rPr>
          <w:sz w:val="22"/>
          <w:szCs w:val="22"/>
        </w:rPr>
        <w:t xml:space="preserve">echarge </w:t>
      </w:r>
      <w:r>
        <w:rPr>
          <w:sz w:val="22"/>
          <w:szCs w:val="22"/>
        </w:rPr>
        <w:t>o</w:t>
      </w:r>
      <w:r w:rsidRPr="005C716E">
        <w:rPr>
          <w:sz w:val="22"/>
          <w:szCs w:val="22"/>
        </w:rPr>
        <w:t xml:space="preserve">ptions at </w:t>
      </w:r>
      <w:smartTag w:uri="urn:schemas-microsoft-com:office:smarttags" w:element="place">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smartTag>
      <w:r w:rsidRPr="005C716E">
        <w:rPr>
          <w:sz w:val="22"/>
          <w:szCs w:val="22"/>
        </w:rPr>
        <w:t xml:space="preserve">.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2012/1</w:t>
      </w:r>
      <w:r>
        <w:rPr>
          <w:sz w:val="22"/>
          <w:szCs w:val="22"/>
        </w:rPr>
        <w:t>3</w:t>
      </w:r>
      <w:r w:rsidRPr="005C716E">
        <w:rPr>
          <w:sz w:val="22"/>
          <w:szCs w:val="22"/>
        </w:rPr>
        <w:t>. Geocat 73821.</w:t>
      </w:r>
    </w:p>
    <w:p w:rsidR="000F7173" w:rsidRPr="005C716E" w:rsidRDefault="000F7173" w:rsidP="000F7173">
      <w:pPr>
        <w:pStyle w:val="References"/>
        <w:spacing w:line="240" w:lineRule="auto"/>
        <w:jc w:val="left"/>
        <w:rPr>
          <w:sz w:val="22"/>
          <w:szCs w:val="22"/>
        </w:rPr>
      </w:pPr>
      <w:r w:rsidRPr="005C716E">
        <w:rPr>
          <w:sz w:val="22"/>
          <w:szCs w:val="22"/>
        </w:rPr>
        <w:t>Lawrie, K.C., Brodie</w:t>
      </w:r>
      <w:r w:rsidR="003835B0">
        <w:rPr>
          <w:sz w:val="22"/>
          <w:szCs w:val="22"/>
        </w:rPr>
        <w:t>,</w:t>
      </w:r>
      <w:r w:rsidRPr="005C716E">
        <w:rPr>
          <w:sz w:val="22"/>
          <w:szCs w:val="22"/>
        </w:rPr>
        <w:t xml:space="preserve"> R.S., Tan, K.P., Somerville, P., Gibson, D., Magee, J., Clarke, J.D.A., Abraham, J., Gow, L., Halas, L., Apps, H.E., Hostetler, S., Christensen, N.B., Smith, M., Brodie, R.C. &amp; Schoning, G. 2012d. BHMAR Project: </w:t>
      </w:r>
      <w:r w:rsidRPr="005C716E">
        <w:rPr>
          <w:rStyle w:val="StyleArial14ptAqua"/>
          <w:rFonts w:ascii="Times New Roman" w:eastAsia="Times" w:hAnsi="Times New Roman"/>
          <w:caps w:val="0"/>
          <w:color w:val="000000"/>
          <w:sz w:val="22"/>
          <w:szCs w:val="22"/>
        </w:rPr>
        <w:t xml:space="preserve">Assessment of </w:t>
      </w:r>
      <w:r>
        <w:rPr>
          <w:rStyle w:val="StyleArial14ptAqua"/>
          <w:rFonts w:ascii="Times New Roman" w:eastAsia="Times" w:hAnsi="Times New Roman"/>
          <w:caps w:val="0"/>
          <w:color w:val="000000"/>
          <w:sz w:val="22"/>
          <w:szCs w:val="22"/>
        </w:rPr>
        <w:t>p</w:t>
      </w:r>
      <w:r w:rsidRPr="005C716E">
        <w:rPr>
          <w:rStyle w:val="StyleArial14ptAqua"/>
          <w:rFonts w:ascii="Times New Roman" w:eastAsia="Times" w:hAnsi="Times New Roman"/>
          <w:caps w:val="0"/>
          <w:color w:val="000000"/>
          <w:sz w:val="22"/>
          <w:szCs w:val="22"/>
        </w:rPr>
        <w:t xml:space="preserve">otential </w:t>
      </w:r>
      <w:r>
        <w:rPr>
          <w:rStyle w:val="StyleArial14ptAqua"/>
          <w:rFonts w:ascii="Times New Roman" w:eastAsia="Times" w:hAnsi="Times New Roman"/>
          <w:caps w:val="0"/>
          <w:color w:val="000000"/>
          <w:sz w:val="22"/>
          <w:szCs w:val="22"/>
        </w:rPr>
        <w:t>g</w:t>
      </w:r>
      <w:r w:rsidRPr="005C716E">
        <w:rPr>
          <w:rStyle w:val="StyleArial14ptAqua"/>
          <w:rFonts w:ascii="Times New Roman" w:eastAsia="Times" w:hAnsi="Times New Roman"/>
          <w:caps w:val="0"/>
          <w:color w:val="000000"/>
          <w:sz w:val="22"/>
          <w:szCs w:val="22"/>
        </w:rPr>
        <w:t xml:space="preserve">roundwater </w:t>
      </w:r>
      <w:r>
        <w:rPr>
          <w:rStyle w:val="StyleArial14ptAqua"/>
          <w:rFonts w:ascii="Times New Roman" w:eastAsia="Times" w:hAnsi="Times New Roman"/>
          <w:caps w:val="0"/>
          <w:color w:val="000000"/>
          <w:sz w:val="22"/>
          <w:szCs w:val="22"/>
        </w:rPr>
        <w:t>r</w:t>
      </w:r>
      <w:r w:rsidRPr="005C716E">
        <w:rPr>
          <w:rStyle w:val="StyleArial14ptAqua"/>
          <w:rFonts w:ascii="Times New Roman" w:eastAsia="Times" w:hAnsi="Times New Roman"/>
          <w:caps w:val="0"/>
          <w:color w:val="000000"/>
          <w:sz w:val="22"/>
          <w:szCs w:val="22"/>
        </w:rPr>
        <w:t xml:space="preserve">esources and </w:t>
      </w:r>
      <w:r>
        <w:rPr>
          <w:rStyle w:val="StyleArial14ptAqua"/>
          <w:rFonts w:ascii="Times New Roman" w:eastAsia="Times" w:hAnsi="Times New Roman"/>
          <w:caps w:val="0"/>
          <w:color w:val="000000"/>
          <w:sz w:val="22"/>
          <w:szCs w:val="22"/>
        </w:rPr>
        <w:t>u</w:t>
      </w:r>
      <w:r w:rsidRPr="005C716E">
        <w:rPr>
          <w:rStyle w:val="StyleArial14ptAqua"/>
          <w:rFonts w:ascii="Times New Roman" w:eastAsia="Times" w:hAnsi="Times New Roman"/>
          <w:caps w:val="0"/>
          <w:color w:val="000000"/>
          <w:sz w:val="22"/>
          <w:szCs w:val="22"/>
        </w:rPr>
        <w:t xml:space="preserve">nderground </w:t>
      </w:r>
      <w:r>
        <w:rPr>
          <w:rStyle w:val="StyleArial14ptAqua"/>
          <w:rFonts w:ascii="Times New Roman" w:eastAsia="Times" w:hAnsi="Times New Roman"/>
          <w:caps w:val="0"/>
          <w:color w:val="000000"/>
          <w:sz w:val="22"/>
          <w:szCs w:val="22"/>
        </w:rPr>
        <w:t>s</w:t>
      </w:r>
      <w:r w:rsidRPr="005C716E">
        <w:rPr>
          <w:rStyle w:val="StyleArial14ptAqua"/>
          <w:rFonts w:ascii="Times New Roman" w:eastAsia="Times" w:hAnsi="Times New Roman"/>
          <w:caps w:val="0"/>
          <w:color w:val="000000"/>
          <w:sz w:val="22"/>
          <w:szCs w:val="22"/>
        </w:rPr>
        <w:t xml:space="preserve">torage </w:t>
      </w:r>
      <w:r>
        <w:rPr>
          <w:rStyle w:val="StyleArial14ptAqua"/>
          <w:rFonts w:ascii="Times New Roman" w:eastAsia="Times" w:hAnsi="Times New Roman"/>
          <w:caps w:val="0"/>
          <w:color w:val="000000"/>
          <w:sz w:val="22"/>
          <w:szCs w:val="22"/>
        </w:rPr>
        <w:t>o</w:t>
      </w:r>
      <w:r w:rsidRPr="005C716E">
        <w:rPr>
          <w:rStyle w:val="StyleArial14ptAqua"/>
          <w:rFonts w:ascii="Times New Roman" w:eastAsia="Times" w:hAnsi="Times New Roman"/>
          <w:caps w:val="0"/>
          <w:color w:val="000000"/>
          <w:sz w:val="22"/>
          <w:szCs w:val="22"/>
        </w:rPr>
        <w:t>ptions in the Darling Floodplain</w:t>
      </w:r>
      <w:r w:rsidRPr="005C716E">
        <w:rPr>
          <w:sz w:val="22"/>
          <w:szCs w:val="22"/>
        </w:rPr>
        <w:t xml:space="preserve">.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2012/1</w:t>
      </w:r>
      <w:r>
        <w:rPr>
          <w:sz w:val="22"/>
          <w:szCs w:val="22"/>
        </w:rPr>
        <w:t>4</w:t>
      </w:r>
      <w:r w:rsidRPr="005C716E">
        <w:rPr>
          <w:sz w:val="22"/>
          <w:szCs w:val="22"/>
        </w:rPr>
        <w:t>. Geocat 73822.</w:t>
      </w:r>
    </w:p>
    <w:p w:rsidR="00884690" w:rsidRPr="00CF7613" w:rsidRDefault="00884690" w:rsidP="00884690">
      <w:pPr>
        <w:pStyle w:val="References"/>
        <w:rPr>
          <w:sz w:val="22"/>
          <w:szCs w:val="22"/>
        </w:rPr>
      </w:pPr>
      <w:r w:rsidRPr="00CF7613">
        <w:rPr>
          <w:sz w:val="22"/>
          <w:szCs w:val="22"/>
        </w:rPr>
        <w:t>Lawrie, K.C., Brodie</w:t>
      </w:r>
      <w:r w:rsidR="003835B0">
        <w:rPr>
          <w:sz w:val="22"/>
          <w:szCs w:val="22"/>
        </w:rPr>
        <w:t>,</w:t>
      </w:r>
      <w:r w:rsidRPr="00CF7613">
        <w:rPr>
          <w:sz w:val="22"/>
          <w:szCs w:val="22"/>
        </w:rPr>
        <w:t xml:space="preserve"> R.S., Dillon, P., Tan, K.P., Gibson, D., Magee, J., Clarke, J.D.A., Somerville, P., Gow, L., Halas, L., Apps, H.E., Page, D., Vanderzalm, J., Abraham, J., Hostetler, S., Christensen, N.B., Miotlinski, K., Brodie, R.C., Smith, M., Schoning</w:t>
      </w:r>
      <w:r w:rsidR="003835B0">
        <w:rPr>
          <w:sz w:val="22"/>
          <w:szCs w:val="22"/>
        </w:rPr>
        <w:t xml:space="preserve">, </w:t>
      </w:r>
      <w:r w:rsidRPr="00CF7613">
        <w:rPr>
          <w:sz w:val="22"/>
          <w:szCs w:val="22"/>
        </w:rPr>
        <w:t xml:space="preserve">G., Barry, K. &amp; Levett, K. 2012e. BHMAR Project: Securing Broken Hill’s Water Supply: Assessment of </w:t>
      </w:r>
      <w:r w:rsidR="003835B0">
        <w:rPr>
          <w:sz w:val="22"/>
          <w:szCs w:val="22"/>
        </w:rPr>
        <w:t>c</w:t>
      </w:r>
      <w:r w:rsidRPr="00CF7613">
        <w:rPr>
          <w:sz w:val="22"/>
          <w:szCs w:val="22"/>
        </w:rPr>
        <w:t xml:space="preserve">onjunctive </w:t>
      </w:r>
      <w:r w:rsidR="003835B0">
        <w:rPr>
          <w:sz w:val="22"/>
          <w:szCs w:val="22"/>
        </w:rPr>
        <w:t>w</w:t>
      </w:r>
      <w:r w:rsidRPr="00CF7613">
        <w:rPr>
          <w:sz w:val="22"/>
          <w:szCs w:val="22"/>
        </w:rPr>
        <w:t xml:space="preserve">ater </w:t>
      </w:r>
      <w:r w:rsidR="003835B0">
        <w:rPr>
          <w:sz w:val="22"/>
          <w:szCs w:val="22"/>
        </w:rPr>
        <w:t>s</w:t>
      </w:r>
      <w:r w:rsidRPr="00CF7613">
        <w:rPr>
          <w:sz w:val="22"/>
          <w:szCs w:val="22"/>
        </w:rPr>
        <w:t xml:space="preserve">upply </w:t>
      </w:r>
      <w:r w:rsidR="003835B0">
        <w:rPr>
          <w:sz w:val="22"/>
          <w:szCs w:val="22"/>
        </w:rPr>
        <w:t>o</w:t>
      </w:r>
      <w:r w:rsidRPr="00CF7613">
        <w:rPr>
          <w:sz w:val="22"/>
          <w:szCs w:val="22"/>
        </w:rPr>
        <w:t xml:space="preserve">ptions </w:t>
      </w:r>
      <w:r w:rsidR="003835B0">
        <w:rPr>
          <w:sz w:val="22"/>
          <w:szCs w:val="22"/>
        </w:rPr>
        <w:t>i</w:t>
      </w:r>
      <w:r w:rsidRPr="00CF7613">
        <w:rPr>
          <w:sz w:val="22"/>
          <w:szCs w:val="22"/>
        </w:rPr>
        <w:t xml:space="preserve">nvolving </w:t>
      </w:r>
      <w:r w:rsidR="003835B0">
        <w:rPr>
          <w:sz w:val="22"/>
          <w:szCs w:val="22"/>
        </w:rPr>
        <w:t>m</w:t>
      </w:r>
      <w:r w:rsidRPr="00CF7613">
        <w:rPr>
          <w:sz w:val="22"/>
          <w:szCs w:val="22"/>
        </w:rPr>
        <w:t xml:space="preserve">anaged </w:t>
      </w:r>
      <w:r w:rsidR="003835B0">
        <w:rPr>
          <w:sz w:val="22"/>
          <w:szCs w:val="22"/>
        </w:rPr>
        <w:t>a</w:t>
      </w:r>
      <w:r w:rsidRPr="00CF7613">
        <w:rPr>
          <w:sz w:val="22"/>
          <w:szCs w:val="22"/>
        </w:rPr>
        <w:t xml:space="preserve">quifer </w:t>
      </w:r>
      <w:r w:rsidR="003835B0">
        <w:rPr>
          <w:sz w:val="22"/>
          <w:szCs w:val="22"/>
        </w:rPr>
        <w:t>r</w:t>
      </w:r>
      <w:r w:rsidRPr="00CF7613">
        <w:rPr>
          <w:sz w:val="22"/>
          <w:szCs w:val="22"/>
        </w:rPr>
        <w:t xml:space="preserve">echarge and/or </w:t>
      </w:r>
      <w:r w:rsidR="003835B0">
        <w:rPr>
          <w:sz w:val="22"/>
          <w:szCs w:val="22"/>
        </w:rPr>
        <w:t>g</w:t>
      </w:r>
      <w:r w:rsidRPr="00CF7613">
        <w:rPr>
          <w:sz w:val="22"/>
          <w:szCs w:val="22"/>
        </w:rPr>
        <w:t xml:space="preserve">roundwater </w:t>
      </w:r>
      <w:r w:rsidR="003835B0">
        <w:rPr>
          <w:sz w:val="22"/>
          <w:szCs w:val="22"/>
        </w:rPr>
        <w:t>e</w:t>
      </w:r>
      <w:r w:rsidRPr="00CF7613">
        <w:rPr>
          <w:sz w:val="22"/>
          <w:szCs w:val="22"/>
        </w:rPr>
        <w:t xml:space="preserve">xtraction at Menindee Lakes- Summary Report. Geoscience </w:t>
      </w:r>
      <w:smartTag w:uri="urn:schemas-microsoft-com:office:smarttags" w:element="place">
        <w:smartTag w:uri="urn:schemas-microsoft-com:office:smarttags" w:element="country-region">
          <w:r w:rsidRPr="00CF7613">
            <w:rPr>
              <w:sz w:val="22"/>
              <w:szCs w:val="22"/>
            </w:rPr>
            <w:t>Australia</w:t>
          </w:r>
        </w:smartTag>
      </w:smartTag>
      <w:r w:rsidRPr="00CF7613">
        <w:rPr>
          <w:sz w:val="22"/>
          <w:szCs w:val="22"/>
        </w:rPr>
        <w:t xml:space="preserve"> Record 2012/16. Geocat 73823.</w:t>
      </w:r>
    </w:p>
    <w:p w:rsidR="000F7173" w:rsidRPr="005C716E" w:rsidRDefault="000F7173" w:rsidP="000F7173">
      <w:pPr>
        <w:pStyle w:val="References"/>
        <w:spacing w:line="240" w:lineRule="auto"/>
        <w:jc w:val="left"/>
        <w:rPr>
          <w:sz w:val="22"/>
          <w:szCs w:val="22"/>
        </w:rPr>
      </w:pPr>
      <w:r w:rsidRPr="005C716E">
        <w:rPr>
          <w:sz w:val="22"/>
          <w:szCs w:val="22"/>
        </w:rPr>
        <w:t>Lawrie, K.C., Halas, L. &amp; Apps, H.E. 2012</w:t>
      </w:r>
      <w:r w:rsidR="00884690">
        <w:rPr>
          <w:sz w:val="22"/>
          <w:szCs w:val="22"/>
        </w:rPr>
        <w:t>f</w:t>
      </w:r>
      <w:r w:rsidRPr="005C716E">
        <w:rPr>
          <w:sz w:val="22"/>
          <w:szCs w:val="22"/>
        </w:rPr>
        <w:t>. BHMAR Project Appendix 14: L</w:t>
      </w:r>
      <w:r>
        <w:rPr>
          <w:sz w:val="22"/>
          <w:szCs w:val="22"/>
        </w:rPr>
        <w:t>i</w:t>
      </w:r>
      <w:r w:rsidRPr="005C716E">
        <w:rPr>
          <w:sz w:val="22"/>
          <w:szCs w:val="22"/>
        </w:rPr>
        <w:t xml:space="preserve">DAR acquisition and processing contractor reports.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2012/1</w:t>
      </w:r>
      <w:r>
        <w:rPr>
          <w:sz w:val="22"/>
          <w:szCs w:val="22"/>
        </w:rPr>
        <w:t>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Leopold, L.B., Wolman, M.G.</w:t>
      </w:r>
      <w:r>
        <w:rPr>
          <w:sz w:val="22"/>
          <w:szCs w:val="22"/>
        </w:rPr>
        <w:t xml:space="preserve"> &amp;</w:t>
      </w:r>
      <w:r w:rsidRPr="005C716E">
        <w:rPr>
          <w:sz w:val="22"/>
          <w:szCs w:val="22"/>
        </w:rPr>
        <w:t xml:space="preserve"> Miller, J.P. 1964. Fluvial processes in geomorphology. W.H. Freeman </w:t>
      </w:r>
      <w:r>
        <w:rPr>
          <w:sz w:val="22"/>
          <w:szCs w:val="22"/>
        </w:rPr>
        <w:t>&amp;</w:t>
      </w:r>
      <w:r w:rsidRPr="005C716E">
        <w:rPr>
          <w:sz w:val="22"/>
          <w:szCs w:val="22"/>
        </w:rPr>
        <w:t xml:space="preserve"> Co., </w:t>
      </w:r>
      <w:smartTag w:uri="urn:schemas-microsoft-com:office:smarttags" w:element="City">
        <w:r w:rsidRPr="005C716E">
          <w:rPr>
            <w:sz w:val="22"/>
            <w:szCs w:val="22"/>
          </w:rPr>
          <w:t>San Francisco</w:t>
        </w:r>
      </w:smartTag>
      <w:r w:rsidRPr="005C716E">
        <w:rPr>
          <w:sz w:val="22"/>
          <w:szCs w:val="22"/>
        </w:rPr>
        <w:t xml:space="preserve"> </w:t>
      </w:r>
      <w:r>
        <w:rPr>
          <w:sz w:val="22"/>
          <w:szCs w:val="22"/>
        </w:rPr>
        <w:t>&amp;</w:t>
      </w:r>
      <w:r w:rsidRPr="005C716E">
        <w:rPr>
          <w:sz w:val="22"/>
          <w:szCs w:val="22"/>
        </w:rPr>
        <w:t xml:space="preserve"> </w:t>
      </w:r>
      <w:smartTag w:uri="urn:schemas-microsoft-com:office:smarttags" w:element="place">
        <w:smartTag w:uri="urn:schemas-microsoft-com:office:smarttags" w:element="City">
          <w:r w:rsidRPr="005C716E">
            <w:rPr>
              <w:sz w:val="22"/>
              <w:szCs w:val="22"/>
            </w:rPr>
            <w:t>London</w:t>
          </w:r>
        </w:smartTag>
      </w:smartTag>
      <w:r w:rsidRPr="005C716E">
        <w:rPr>
          <w:sz w:val="22"/>
          <w:szCs w:val="22"/>
        </w:rPr>
        <w:t>, pp. 522.</w:t>
      </w:r>
    </w:p>
    <w:p w:rsidR="000F7173" w:rsidRPr="005C716E" w:rsidRDefault="000F7173" w:rsidP="000F7173">
      <w:pPr>
        <w:pStyle w:val="References"/>
        <w:spacing w:line="240" w:lineRule="auto"/>
        <w:jc w:val="left"/>
        <w:rPr>
          <w:sz w:val="22"/>
          <w:szCs w:val="22"/>
        </w:rPr>
      </w:pPr>
      <w:r w:rsidRPr="005C716E">
        <w:rPr>
          <w:sz w:val="22"/>
          <w:szCs w:val="22"/>
        </w:rPr>
        <w:t>Lewis, S.J., Roberts, J., Brodie, R.S., Gow, L., Kilgour, P., Ransley, T., Coram, J. E. &amp; Sundaram, B. 2008. Assessment of groundwater resources in the Broken Hill region, Geoscience Australia Professional Opinion 2008/05.</w:t>
      </w:r>
    </w:p>
    <w:p w:rsidR="000F7173" w:rsidRDefault="000F7173" w:rsidP="000F7173">
      <w:pPr>
        <w:pStyle w:val="References"/>
        <w:spacing w:line="240" w:lineRule="auto"/>
        <w:jc w:val="left"/>
        <w:rPr>
          <w:sz w:val="22"/>
          <w:szCs w:val="22"/>
        </w:rPr>
      </w:pPr>
      <w:r>
        <w:rPr>
          <w:sz w:val="22"/>
          <w:szCs w:val="22"/>
        </w:rPr>
        <w:t>Macnae, J.C. 2007. Developments in broadband airborne electromagnetics in the past decade. In: Milkereit, B</w:t>
      </w:r>
      <w:r w:rsidR="003835B0">
        <w:rPr>
          <w:sz w:val="22"/>
          <w:szCs w:val="22"/>
        </w:rPr>
        <w:t>.</w:t>
      </w:r>
      <w:r>
        <w:rPr>
          <w:sz w:val="22"/>
          <w:szCs w:val="22"/>
        </w:rPr>
        <w:t xml:space="preserve"> (ed) Proceedings of Exploration 07: Fifth Decennial International Conference on Mineral Exploration. 9-12 September, </w:t>
      </w:r>
      <w:smartTag w:uri="urn:schemas-microsoft-com:office:smarttags" w:element="place">
        <w:smartTag w:uri="urn:schemas-microsoft-com:office:smarttags" w:element="City">
          <w:r>
            <w:rPr>
              <w:sz w:val="22"/>
              <w:szCs w:val="22"/>
            </w:rPr>
            <w:t>Toronto</w:t>
          </w:r>
        </w:smartTag>
        <w:r>
          <w:rPr>
            <w:sz w:val="22"/>
            <w:szCs w:val="22"/>
          </w:rPr>
          <w:t xml:space="preserve">, </w:t>
        </w:r>
        <w:smartTag w:uri="urn:schemas-microsoft-com:office:smarttags" w:element="country-region">
          <w:r>
            <w:rPr>
              <w:sz w:val="22"/>
              <w:szCs w:val="22"/>
            </w:rPr>
            <w:t>Canada</w:t>
          </w:r>
        </w:smartTag>
      </w:smartTag>
      <w:r>
        <w:rPr>
          <w:sz w:val="22"/>
          <w:szCs w:val="22"/>
        </w:rPr>
        <w:t xml:space="preserve">. pp. 387-398. Prospectors and Developers Association of </w:t>
      </w:r>
      <w:smartTag w:uri="urn:schemas-microsoft-com:office:smarttags" w:element="country-region">
        <w:r>
          <w:rPr>
            <w:sz w:val="22"/>
            <w:szCs w:val="22"/>
          </w:rPr>
          <w:t>Canada</w:t>
        </w:r>
      </w:smartTag>
      <w:r>
        <w:rPr>
          <w:sz w:val="22"/>
          <w:szCs w:val="22"/>
        </w:rPr>
        <w:t xml:space="preserve">, </w:t>
      </w:r>
      <w:smartTag w:uri="urn:schemas-microsoft-com:office:smarttags" w:element="place">
        <w:smartTag w:uri="urn:schemas-microsoft-com:office:smarttags" w:element="City">
          <w:r>
            <w:rPr>
              <w:sz w:val="22"/>
              <w:szCs w:val="22"/>
            </w:rPr>
            <w:t>Toronto</w:t>
          </w:r>
        </w:smartTag>
        <w:r>
          <w:rPr>
            <w:sz w:val="22"/>
            <w:szCs w:val="22"/>
          </w:rPr>
          <w:t xml:space="preserve">, </w:t>
        </w:r>
        <w:smartTag w:uri="urn:schemas-microsoft-com:office:smarttags" w:element="country-region">
          <w:r>
            <w:rPr>
              <w:sz w:val="22"/>
              <w:szCs w:val="22"/>
            </w:rPr>
            <w:t>Canada</w:t>
          </w:r>
        </w:smartTag>
      </w:smartTag>
      <w:r>
        <w:rPr>
          <w:sz w:val="22"/>
          <w:szCs w:val="22"/>
        </w:rPr>
        <w:t xml:space="preserve">. </w:t>
      </w:r>
    </w:p>
    <w:p w:rsidR="000F7173" w:rsidRPr="005C716E" w:rsidRDefault="000F7173" w:rsidP="000F7173">
      <w:pPr>
        <w:pStyle w:val="References"/>
        <w:spacing w:line="240" w:lineRule="auto"/>
        <w:jc w:val="left"/>
        <w:rPr>
          <w:sz w:val="22"/>
          <w:szCs w:val="22"/>
        </w:rPr>
      </w:pPr>
      <w:r w:rsidRPr="005C716E">
        <w:rPr>
          <w:sz w:val="22"/>
          <w:szCs w:val="22"/>
        </w:rPr>
        <w:t xml:space="preserve">Magee, J.W. 1991. Late Quaternary lacustrine, groundwater, aeolian and pedogenic gypsum in the </w:t>
      </w:r>
      <w:smartTag w:uri="urn:schemas-microsoft-com:office:smarttags" w:element="PlaceName">
        <w:r w:rsidRPr="005C716E">
          <w:rPr>
            <w:sz w:val="22"/>
            <w:szCs w:val="22"/>
          </w:rPr>
          <w:t>Prungle</w:t>
        </w:r>
      </w:smartTag>
      <w:r w:rsidRPr="005C716E">
        <w:rPr>
          <w:sz w:val="22"/>
          <w:szCs w:val="22"/>
        </w:rPr>
        <w:t xml:space="preserve"> </w:t>
      </w:r>
      <w:smartTag w:uri="urn:schemas-microsoft-com:office:smarttags" w:element="PlaceType">
        <w:r w:rsidRPr="005C716E">
          <w:rPr>
            <w:sz w:val="22"/>
            <w:szCs w:val="22"/>
          </w:rPr>
          <w:t>Lakes</w:t>
        </w:r>
      </w:smartTag>
      <w:r w:rsidRPr="005C716E">
        <w:rPr>
          <w:sz w:val="22"/>
          <w:szCs w:val="22"/>
        </w:rPr>
        <w:t xml:space="preserve">, southwestern </w:t>
      </w:r>
      <w:smartTag w:uri="urn:schemas-microsoft-com:office:smarttags" w:element="State">
        <w:r w:rsidRPr="005C716E">
          <w:rPr>
            <w:sz w:val="22"/>
            <w:szCs w:val="22"/>
          </w:rPr>
          <w:t>New South Wales</w:t>
        </w:r>
      </w:smartTag>
      <w:r w:rsidRPr="005C716E">
        <w:rPr>
          <w:sz w:val="22"/>
          <w:szCs w:val="22"/>
        </w:rPr>
        <w:t xml:space="preserv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Palaeogeography, Palaeoclimatology, Palaeoecology 84, 3–42.</w:t>
      </w:r>
    </w:p>
    <w:p w:rsidR="000F7173" w:rsidRPr="005C716E" w:rsidRDefault="000F7173" w:rsidP="000F7173">
      <w:pPr>
        <w:pStyle w:val="References"/>
        <w:spacing w:line="240" w:lineRule="auto"/>
        <w:jc w:val="left"/>
        <w:rPr>
          <w:sz w:val="22"/>
          <w:szCs w:val="22"/>
        </w:rPr>
      </w:pPr>
      <w:r w:rsidRPr="005C716E">
        <w:rPr>
          <w:sz w:val="22"/>
          <w:szCs w:val="22"/>
        </w:rPr>
        <w:t xml:space="preserve">Magee, J., Apps, H.E. &amp; Knox, K. 2012. BHMAR Project Appendix 15: Cultural </w:t>
      </w:r>
      <w:r>
        <w:rPr>
          <w:sz w:val="22"/>
          <w:szCs w:val="22"/>
        </w:rPr>
        <w:t>h</w:t>
      </w:r>
      <w:r w:rsidRPr="005C716E">
        <w:rPr>
          <w:sz w:val="22"/>
          <w:szCs w:val="22"/>
        </w:rPr>
        <w:t xml:space="preserve">eritage and environmental clearance surveys.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 xml:space="preserve">Malinverno, A. 2002. Parsimonious Bayesian Markov chain </w:t>
      </w:r>
      <w:smartTag w:uri="urn:schemas-microsoft-com:office:smarttags" w:element="place">
        <w:r w:rsidRPr="005C716E">
          <w:rPr>
            <w:sz w:val="22"/>
            <w:szCs w:val="22"/>
          </w:rPr>
          <w:t>Monte Carlo</w:t>
        </w:r>
      </w:smartTag>
      <w:r w:rsidRPr="005C716E">
        <w:rPr>
          <w:sz w:val="22"/>
          <w:szCs w:val="22"/>
        </w:rPr>
        <w:t xml:space="preserve"> inversion in a nonlinear geophysical problem</w:t>
      </w:r>
      <w:r>
        <w:rPr>
          <w:sz w:val="22"/>
          <w:szCs w:val="22"/>
        </w:rPr>
        <w:t>.</w:t>
      </w:r>
      <w:r w:rsidRPr="005C716E">
        <w:rPr>
          <w:sz w:val="22"/>
          <w:szCs w:val="22"/>
        </w:rPr>
        <w:t xml:space="preserve"> Geophysical Journal International, 151, 675-688.</w:t>
      </w:r>
    </w:p>
    <w:p w:rsidR="000F7173" w:rsidRPr="005C716E" w:rsidRDefault="000F7173" w:rsidP="000F7173">
      <w:pPr>
        <w:pStyle w:val="References"/>
        <w:spacing w:line="240" w:lineRule="auto"/>
        <w:jc w:val="left"/>
        <w:rPr>
          <w:sz w:val="22"/>
          <w:szCs w:val="22"/>
        </w:rPr>
      </w:pPr>
      <w:r w:rsidRPr="005C716E">
        <w:rPr>
          <w:sz w:val="22"/>
          <w:szCs w:val="22"/>
        </w:rPr>
        <w:t xml:space="preserve">Martin, M., Costello, P., Higginson, S., Woods, R., Johnson, K., Kasperkiewicz, C., Wharton, P., Patterson, B., Descourvieres, C., Prommer, H. &amp; Harris, B. 2009. Site characterisation report – </w:t>
      </w:r>
      <w:smartTag w:uri="urn:schemas-microsoft-com:office:smarttags" w:element="PersonName">
        <w:r w:rsidRPr="005C716E">
          <w:rPr>
            <w:sz w:val="22"/>
            <w:szCs w:val="22"/>
          </w:rPr>
          <w:t>Groundwater</w:t>
        </w:r>
      </w:smartTag>
      <w:r w:rsidRPr="005C716E">
        <w:rPr>
          <w:sz w:val="22"/>
          <w:szCs w:val="22"/>
        </w:rPr>
        <w:t xml:space="preserve"> Replenishment Trial. Western Australia Water Corporation.</w:t>
      </w:r>
    </w:p>
    <w:p w:rsidR="00A655EB" w:rsidRPr="005C716E" w:rsidRDefault="00A655EB" w:rsidP="00A655EB">
      <w:pPr>
        <w:pStyle w:val="References"/>
        <w:spacing w:line="240" w:lineRule="auto"/>
        <w:jc w:val="left"/>
        <w:rPr>
          <w:sz w:val="22"/>
          <w:szCs w:val="22"/>
        </w:rPr>
      </w:pPr>
      <w:r w:rsidRPr="005C716E">
        <w:rPr>
          <w:sz w:val="22"/>
          <w:szCs w:val="22"/>
        </w:rPr>
        <w:t xml:space="preserve">Martin, S. 2001. Aboriginal </w:t>
      </w:r>
      <w:r>
        <w:rPr>
          <w:sz w:val="22"/>
          <w:szCs w:val="22"/>
        </w:rPr>
        <w:t>c</w:t>
      </w:r>
      <w:r w:rsidRPr="005C716E">
        <w:rPr>
          <w:sz w:val="22"/>
          <w:szCs w:val="22"/>
        </w:rPr>
        <w:t xml:space="preserve">ultural </w:t>
      </w:r>
      <w:r>
        <w:rPr>
          <w:sz w:val="22"/>
          <w:szCs w:val="22"/>
        </w:rPr>
        <w:t>h</w:t>
      </w:r>
      <w:r w:rsidRPr="005C716E">
        <w:rPr>
          <w:sz w:val="22"/>
          <w:szCs w:val="22"/>
        </w:rPr>
        <w:t xml:space="preserve">eritage of the </w:t>
      </w:r>
      <w:smartTag w:uri="urn:schemas-microsoft-com:office:smarttags" w:element="place">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smartTag>
      <w:r w:rsidRPr="005C716E">
        <w:rPr>
          <w:sz w:val="22"/>
          <w:szCs w:val="22"/>
        </w:rPr>
        <w:t xml:space="preserve"> </w:t>
      </w:r>
      <w:r>
        <w:rPr>
          <w:sz w:val="22"/>
          <w:szCs w:val="22"/>
        </w:rPr>
        <w:t>a</w:t>
      </w:r>
      <w:r w:rsidRPr="005C716E">
        <w:rPr>
          <w:sz w:val="22"/>
          <w:szCs w:val="22"/>
        </w:rPr>
        <w:t xml:space="preserve">rea, Part 1: Aboriginal </w:t>
      </w:r>
      <w:r>
        <w:rPr>
          <w:sz w:val="22"/>
          <w:szCs w:val="22"/>
        </w:rPr>
        <w:t>t</w:t>
      </w:r>
      <w:r w:rsidRPr="005C716E">
        <w:rPr>
          <w:sz w:val="22"/>
          <w:szCs w:val="22"/>
        </w:rPr>
        <w:t xml:space="preserve">ies to the </w:t>
      </w:r>
      <w:r>
        <w:rPr>
          <w:sz w:val="22"/>
          <w:szCs w:val="22"/>
        </w:rPr>
        <w:t>l</w:t>
      </w:r>
      <w:r w:rsidRPr="005C716E">
        <w:rPr>
          <w:sz w:val="22"/>
          <w:szCs w:val="22"/>
        </w:rPr>
        <w:t xml:space="preserve">and. Unpublished report to the </w:t>
      </w:r>
      <w:r>
        <w:rPr>
          <w:sz w:val="22"/>
          <w:szCs w:val="22"/>
        </w:rPr>
        <w:t>Menindee Lakes</w:t>
      </w:r>
      <w:r w:rsidRPr="005C716E">
        <w:rPr>
          <w:sz w:val="22"/>
          <w:szCs w:val="22"/>
        </w:rPr>
        <w:t xml:space="preserve"> Ecologically Sustainable Development Project steering committee, NSW DLWC.</w:t>
      </w:r>
    </w:p>
    <w:p w:rsidR="000F7173" w:rsidRDefault="000F7173" w:rsidP="000F7173">
      <w:pPr>
        <w:pStyle w:val="References"/>
        <w:spacing w:line="240" w:lineRule="auto"/>
        <w:jc w:val="left"/>
        <w:rPr>
          <w:sz w:val="22"/>
          <w:szCs w:val="22"/>
        </w:rPr>
      </w:pPr>
      <w:smartTag w:uri="urn:schemas-microsoft-com:office:smarttags" w:element="place">
        <w:smartTag w:uri="urn:schemas-microsoft-com:office:smarttags" w:element="City">
          <w:r>
            <w:rPr>
              <w:sz w:val="22"/>
              <w:szCs w:val="22"/>
            </w:rPr>
            <w:t>Martinez</w:t>
          </w:r>
        </w:smartTag>
      </w:smartTag>
      <w:r>
        <w:rPr>
          <w:sz w:val="22"/>
          <w:szCs w:val="22"/>
        </w:rPr>
        <w:t>, K. &amp; Pitcher, D., 2008. Water resources applications with the VTEM System. AEM 2008. 5</w:t>
      </w:r>
      <w:r w:rsidRPr="004053EE">
        <w:rPr>
          <w:sz w:val="22"/>
          <w:szCs w:val="22"/>
          <w:vertAlign w:val="superscript"/>
        </w:rPr>
        <w:t>th</w:t>
      </w:r>
      <w:r>
        <w:rPr>
          <w:sz w:val="22"/>
          <w:szCs w:val="22"/>
        </w:rPr>
        <w:t xml:space="preserve"> International Conference on Airborne </w:t>
      </w:r>
      <w:smartTag w:uri="urn:schemas-microsoft-com:office:smarttags" w:element="place">
        <w:smartTag w:uri="urn:schemas-microsoft-com:office:smarttags" w:element="City">
          <w:r>
            <w:rPr>
              <w:sz w:val="22"/>
              <w:szCs w:val="22"/>
            </w:rPr>
            <w:t>Electromagnetics</w:t>
          </w:r>
        </w:smartTag>
        <w:r>
          <w:rPr>
            <w:sz w:val="22"/>
            <w:szCs w:val="22"/>
          </w:rPr>
          <w:t xml:space="preserve">, </w:t>
        </w:r>
        <w:smartTag w:uri="urn:schemas-microsoft-com:office:smarttags" w:element="country-region">
          <w:r>
            <w:rPr>
              <w:sz w:val="22"/>
              <w:szCs w:val="22"/>
            </w:rPr>
            <w:t>Finland</w:t>
          </w:r>
        </w:smartTag>
      </w:smartTag>
      <w:r>
        <w:rPr>
          <w:sz w:val="22"/>
          <w:szCs w:val="22"/>
        </w:rPr>
        <w:t>, 28-30 May 2008. Ext. Abs.</w:t>
      </w:r>
    </w:p>
    <w:p w:rsidR="000F7173" w:rsidRPr="005C716E" w:rsidRDefault="000F7173" w:rsidP="000F7173">
      <w:pPr>
        <w:pStyle w:val="References"/>
        <w:spacing w:line="240" w:lineRule="auto"/>
        <w:jc w:val="left"/>
        <w:rPr>
          <w:sz w:val="22"/>
          <w:szCs w:val="22"/>
        </w:rPr>
      </w:pPr>
      <w:r w:rsidRPr="005C716E">
        <w:rPr>
          <w:sz w:val="22"/>
          <w:szCs w:val="22"/>
        </w:rPr>
        <w:t xml:space="preserve">Maunsell Australia Pty Ltd. 2007. </w:t>
      </w:r>
      <w:smartTag w:uri="urn:schemas-microsoft-com:office:smarttags" w:element="place">
        <w:r w:rsidRPr="005C716E">
          <w:rPr>
            <w:sz w:val="22"/>
            <w:szCs w:val="22"/>
          </w:rPr>
          <w:t>Darling River</w:t>
        </w:r>
      </w:smartTag>
      <w:r w:rsidRPr="005C716E">
        <w:rPr>
          <w:sz w:val="22"/>
          <w:szCs w:val="22"/>
        </w:rPr>
        <w:t xml:space="preserve"> Water Savings Project, Part A Report.</w:t>
      </w:r>
      <w:r w:rsidR="00465915">
        <w:rPr>
          <w:sz w:val="22"/>
          <w:szCs w:val="22"/>
        </w:rPr>
        <w:t xml:space="preserve"> </w:t>
      </w:r>
      <w:r w:rsidRPr="005C716E">
        <w:rPr>
          <w:sz w:val="22"/>
          <w:szCs w:val="22"/>
        </w:rPr>
        <w:t>Report to NSW Department of Natural Resources and National Water Commission, 62 pp.</w:t>
      </w:r>
    </w:p>
    <w:p w:rsidR="003B3C54" w:rsidRDefault="003B3C54" w:rsidP="003B3C54">
      <w:pPr>
        <w:pStyle w:val="References"/>
        <w:spacing w:line="240" w:lineRule="auto"/>
        <w:jc w:val="left"/>
        <w:rPr>
          <w:sz w:val="22"/>
          <w:szCs w:val="22"/>
        </w:rPr>
      </w:pPr>
      <w:r w:rsidRPr="003B3C54">
        <w:rPr>
          <w:sz w:val="22"/>
          <w:szCs w:val="22"/>
        </w:rPr>
        <w:t>McClay, K. &amp; Dooley, T.</w:t>
      </w:r>
      <w:r w:rsidR="002C4B51">
        <w:rPr>
          <w:sz w:val="22"/>
          <w:szCs w:val="22"/>
        </w:rPr>
        <w:t xml:space="preserve"> 1995.</w:t>
      </w:r>
      <w:r w:rsidRPr="003B3C54">
        <w:rPr>
          <w:sz w:val="22"/>
          <w:szCs w:val="22"/>
        </w:rPr>
        <w:t xml:space="preserve"> Analogue models of pull-apart basins. Geology 23, 8, 711-714.</w:t>
      </w:r>
    </w:p>
    <w:p w:rsidR="000F7173" w:rsidRPr="005C716E" w:rsidRDefault="000F7173" w:rsidP="000F7173">
      <w:pPr>
        <w:pStyle w:val="References"/>
        <w:spacing w:line="240" w:lineRule="auto"/>
        <w:jc w:val="left"/>
        <w:rPr>
          <w:sz w:val="22"/>
          <w:szCs w:val="22"/>
        </w:rPr>
      </w:pPr>
      <w:r w:rsidRPr="005C716E">
        <w:rPr>
          <w:sz w:val="22"/>
          <w:szCs w:val="22"/>
        </w:rPr>
        <w:t xml:space="preserve">McLaren, S., Wallace, M.W., Pillans, B.J., Gallagher, S.J., Miranda, J.A. &amp; Warne, M.T. 2009. Revised stratigraphy of the Blanchetown Clay, </w:t>
      </w:r>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age constraints on the evolution of </w:t>
      </w:r>
      <w:smartTag w:uri="urn:schemas-microsoft-com:office:smarttags" w:element="place">
        <w:smartTag w:uri="urn:schemas-microsoft-com:office:smarttags" w:element="PlaceName">
          <w:r w:rsidRPr="005C716E">
            <w:rPr>
              <w:sz w:val="22"/>
              <w:szCs w:val="22"/>
            </w:rPr>
            <w:t>paleo</w:t>
          </w:r>
        </w:smartTag>
        <w:r w:rsidRPr="005C716E">
          <w:rPr>
            <w:sz w:val="22"/>
            <w:szCs w:val="22"/>
          </w:rPr>
          <w:t xml:space="preserve"> </w:t>
        </w:r>
        <w:smartTag w:uri="urn:schemas-microsoft-com:office:smarttags" w:element="PlaceType">
          <w:r w:rsidRPr="005C716E">
            <w:rPr>
              <w:sz w:val="22"/>
              <w:szCs w:val="22"/>
            </w:rPr>
            <w:t>Lake</w:t>
          </w:r>
        </w:smartTag>
      </w:smartTag>
      <w:r w:rsidRPr="005C716E">
        <w:rPr>
          <w:sz w:val="22"/>
          <w:szCs w:val="22"/>
        </w:rPr>
        <w:t xml:space="preserve"> Bungunnia. Australian Journal of Earth Sciences, 56</w:t>
      </w:r>
      <w:r>
        <w:rPr>
          <w:sz w:val="22"/>
          <w:szCs w:val="22"/>
        </w:rPr>
        <w:t xml:space="preserve">, </w:t>
      </w:r>
      <w:r w:rsidRPr="005C716E">
        <w:rPr>
          <w:sz w:val="22"/>
          <w:szCs w:val="22"/>
        </w:rPr>
        <w:t>2</w:t>
      </w:r>
      <w:r>
        <w:rPr>
          <w:sz w:val="22"/>
          <w:szCs w:val="22"/>
        </w:rPr>
        <w:t>,</w:t>
      </w:r>
      <w:r w:rsidRPr="005C716E">
        <w:rPr>
          <w:sz w:val="22"/>
          <w:szCs w:val="22"/>
        </w:rPr>
        <w:t xml:space="preserve"> 259 – 270.</w:t>
      </w:r>
    </w:p>
    <w:p w:rsidR="000F7173" w:rsidRPr="005C716E" w:rsidRDefault="000F7173" w:rsidP="000F7173">
      <w:pPr>
        <w:pStyle w:val="References"/>
        <w:spacing w:line="240" w:lineRule="auto"/>
        <w:jc w:val="left"/>
        <w:rPr>
          <w:sz w:val="22"/>
          <w:szCs w:val="22"/>
        </w:rPr>
      </w:pPr>
      <w:r w:rsidRPr="005C716E">
        <w:rPr>
          <w:sz w:val="22"/>
          <w:szCs w:val="22"/>
        </w:rPr>
        <w:t xml:space="preserve">McLaren, S., Wallace, M.W. &amp; Reynolds, T. 2012. The Late Pleistocene evolution of palaeo megalake Bungunnia, southeastern </w:t>
      </w:r>
      <w:smartTag w:uri="urn:schemas-microsoft-com:office:smarttags" w:element="country-region">
        <w:r w:rsidRPr="005C716E">
          <w:rPr>
            <w:sz w:val="22"/>
            <w:szCs w:val="22"/>
          </w:rPr>
          <w:t>Australia</w:t>
        </w:r>
      </w:smartTag>
      <w:r w:rsidRPr="005C716E">
        <w:rPr>
          <w:sz w:val="22"/>
          <w:szCs w:val="22"/>
        </w:rPr>
        <w:t xml:space="preserve">: a sedimentary record of fluctuating lake dynamics, climate change and the formation of the modern </w:t>
      </w:r>
      <w:smartTag w:uri="urn:schemas-microsoft-com:office:smarttags" w:element="place">
        <w:r w:rsidRPr="005C716E">
          <w:rPr>
            <w:sz w:val="22"/>
            <w:szCs w:val="22"/>
          </w:rPr>
          <w:t>Murray River</w:t>
        </w:r>
      </w:smartTag>
      <w:r w:rsidRPr="005C716E">
        <w:rPr>
          <w:sz w:val="22"/>
          <w:szCs w:val="22"/>
        </w:rPr>
        <w:t>. Palaeogeography, Palaeoclimatology, Palaeoecology, 317-318, 114-127.</w:t>
      </w:r>
    </w:p>
    <w:p w:rsidR="000F7173" w:rsidRPr="005C716E" w:rsidRDefault="000F7173" w:rsidP="000F7173">
      <w:pPr>
        <w:pStyle w:val="References"/>
        <w:spacing w:line="240" w:lineRule="auto"/>
        <w:jc w:val="left"/>
        <w:rPr>
          <w:sz w:val="22"/>
          <w:szCs w:val="22"/>
        </w:rPr>
      </w:pPr>
      <w:r w:rsidRPr="005C716E">
        <w:rPr>
          <w:sz w:val="22"/>
          <w:szCs w:val="22"/>
        </w:rPr>
        <w:t>MDBA</w:t>
      </w:r>
      <w:r w:rsidR="003835B0">
        <w:rPr>
          <w:sz w:val="22"/>
          <w:szCs w:val="22"/>
        </w:rPr>
        <w:t>.</w:t>
      </w:r>
      <w:r w:rsidRPr="005C716E">
        <w:rPr>
          <w:sz w:val="22"/>
          <w:szCs w:val="22"/>
        </w:rPr>
        <w:t xml:space="preserve"> 2010a. Assessing environmental water requirements</w:t>
      </w:r>
      <w:r>
        <w:rPr>
          <w:sz w:val="22"/>
          <w:szCs w:val="22"/>
        </w:rPr>
        <w:t>:</w:t>
      </w:r>
      <w:r w:rsidRPr="005C716E">
        <w:rPr>
          <w:sz w:val="22"/>
          <w:szCs w:val="22"/>
        </w:rPr>
        <w:t xml:space="preserve"> Chapter 8 – </w:t>
      </w:r>
      <w:smartTag w:uri="urn:schemas-microsoft-com:office:smarttags" w:element="place">
        <w:r w:rsidRPr="005C716E">
          <w:rPr>
            <w:sz w:val="22"/>
            <w:szCs w:val="22"/>
          </w:rPr>
          <w:t xml:space="preserve">Lower Darling </w:t>
        </w:r>
        <w:r>
          <w:rPr>
            <w:sz w:val="22"/>
            <w:szCs w:val="22"/>
          </w:rPr>
          <w:t>r</w:t>
        </w:r>
        <w:r w:rsidRPr="005C716E">
          <w:rPr>
            <w:sz w:val="22"/>
            <w:szCs w:val="22"/>
          </w:rPr>
          <w:t>iver</w:t>
        </w:r>
      </w:smartTag>
      <w:r w:rsidRPr="005C716E">
        <w:rPr>
          <w:sz w:val="22"/>
          <w:szCs w:val="22"/>
        </w:rPr>
        <w:t xml:space="preserve"> </w:t>
      </w:r>
      <w:r>
        <w:rPr>
          <w:sz w:val="22"/>
          <w:szCs w:val="22"/>
        </w:rPr>
        <w:t>s</w:t>
      </w:r>
      <w:r w:rsidRPr="005C716E">
        <w:rPr>
          <w:sz w:val="22"/>
          <w:szCs w:val="22"/>
        </w:rPr>
        <w:t xml:space="preserve">ystem. </w:t>
      </w:r>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Authority,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lastRenderedPageBreak/>
        <w:t>MDBA</w:t>
      </w:r>
      <w:r w:rsidR="003835B0">
        <w:rPr>
          <w:sz w:val="22"/>
          <w:szCs w:val="22"/>
        </w:rPr>
        <w:t>.</w:t>
      </w:r>
      <w:r w:rsidRPr="005C716E">
        <w:rPr>
          <w:sz w:val="22"/>
          <w:szCs w:val="22"/>
        </w:rPr>
        <w:t xml:space="preserve"> 2010b. Guide to the proposed plan: overview. </w:t>
      </w:r>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Authority,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MDBA</w:t>
      </w:r>
      <w:r w:rsidR="003835B0">
        <w:rPr>
          <w:sz w:val="22"/>
          <w:szCs w:val="22"/>
        </w:rPr>
        <w:t>.</w:t>
      </w:r>
      <w:r w:rsidRPr="005C716E">
        <w:rPr>
          <w:sz w:val="22"/>
          <w:szCs w:val="22"/>
        </w:rPr>
        <w:t xml:space="preserve"> 2011. Proposed basin plan. </w:t>
      </w:r>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Authority,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 xml:space="preserve">. </w:t>
      </w:r>
    </w:p>
    <w:p w:rsidR="000F7173" w:rsidRPr="005C716E" w:rsidRDefault="000F7173" w:rsidP="000F7173">
      <w:pPr>
        <w:pStyle w:val="References"/>
        <w:spacing w:line="240" w:lineRule="auto"/>
        <w:jc w:val="left"/>
        <w:rPr>
          <w:sz w:val="22"/>
          <w:szCs w:val="22"/>
        </w:rPr>
      </w:pPr>
      <w:r w:rsidRPr="005C716E">
        <w:rPr>
          <w:sz w:val="22"/>
          <w:szCs w:val="22"/>
        </w:rPr>
        <w:t>MDBA</w:t>
      </w:r>
      <w:r w:rsidR="003835B0">
        <w:rPr>
          <w:sz w:val="22"/>
          <w:szCs w:val="22"/>
        </w:rPr>
        <w:t>.</w:t>
      </w:r>
      <w:r w:rsidRPr="005C716E">
        <w:rPr>
          <w:sz w:val="22"/>
          <w:szCs w:val="22"/>
        </w:rPr>
        <w:t xml:space="preserve"> 2012a. A proposed basin plan – A revised draft. May 2012. </w:t>
      </w:r>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Authority, </w:t>
      </w:r>
      <w:smartTag w:uri="urn:schemas-microsoft-com:office:smarttags" w:element="place">
        <w:smartTag w:uri="urn:schemas-microsoft-com:office:smarttags" w:element="City">
          <w:r w:rsidRPr="005C716E">
            <w:rPr>
              <w:sz w:val="22"/>
              <w:szCs w:val="22"/>
            </w:rPr>
            <w:t>Canberra</w:t>
          </w:r>
        </w:smartTag>
      </w:smartTag>
      <w:r>
        <w:rPr>
          <w:sz w:val="22"/>
          <w:szCs w:val="22"/>
        </w:rPr>
        <w:t>.</w:t>
      </w:r>
    </w:p>
    <w:p w:rsidR="000F7173" w:rsidRDefault="000F7173" w:rsidP="000F7173">
      <w:pPr>
        <w:pStyle w:val="References"/>
        <w:spacing w:line="240" w:lineRule="auto"/>
        <w:jc w:val="left"/>
        <w:rPr>
          <w:sz w:val="22"/>
          <w:szCs w:val="22"/>
        </w:rPr>
      </w:pPr>
      <w:r w:rsidRPr="005C716E">
        <w:rPr>
          <w:sz w:val="22"/>
          <w:szCs w:val="22"/>
        </w:rPr>
        <w:t>MDBA</w:t>
      </w:r>
      <w:r w:rsidR="003835B0">
        <w:rPr>
          <w:sz w:val="22"/>
          <w:szCs w:val="22"/>
        </w:rPr>
        <w:t>.</w:t>
      </w:r>
      <w:r w:rsidRPr="005C716E">
        <w:rPr>
          <w:sz w:val="22"/>
          <w:szCs w:val="22"/>
        </w:rPr>
        <w:t xml:space="preserve"> 2012b. The proposed groundwater baseline and sustainable diversion limits: methods report. MDBA publication no. 16/12. </w:t>
      </w:r>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Authority,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w:t>
      </w:r>
    </w:p>
    <w:p w:rsidR="00E30ECD" w:rsidRPr="005C716E" w:rsidRDefault="00E30ECD" w:rsidP="000F7173">
      <w:pPr>
        <w:pStyle w:val="References"/>
        <w:spacing w:line="240" w:lineRule="auto"/>
        <w:jc w:val="left"/>
        <w:rPr>
          <w:sz w:val="22"/>
          <w:szCs w:val="22"/>
        </w:rPr>
      </w:pPr>
      <w:r>
        <w:rPr>
          <w:sz w:val="22"/>
          <w:szCs w:val="22"/>
        </w:rPr>
        <w:t>MDBA</w:t>
      </w:r>
      <w:r w:rsidR="003835B0">
        <w:rPr>
          <w:sz w:val="22"/>
          <w:szCs w:val="22"/>
        </w:rPr>
        <w:t>.</w:t>
      </w:r>
      <w:r>
        <w:rPr>
          <w:sz w:val="22"/>
          <w:szCs w:val="22"/>
        </w:rPr>
        <w:t xml:space="preserve"> 2012c. Basin Plan – Water Act 2007. Commonwealth of </w:t>
      </w:r>
      <w:smartTag w:uri="urn:schemas-microsoft-com:office:smarttags" w:element="place">
        <w:smartTag w:uri="urn:schemas-microsoft-com:office:smarttags" w:element="country-region">
          <w:r>
            <w:rPr>
              <w:sz w:val="22"/>
              <w:szCs w:val="22"/>
            </w:rPr>
            <w:t>Australia</w:t>
          </w:r>
        </w:smartTag>
      </w:smartTag>
      <w:r>
        <w:rPr>
          <w:sz w:val="22"/>
          <w:szCs w:val="22"/>
        </w:rPr>
        <w:t xml:space="preserve">. </w:t>
      </w:r>
      <w:smartTag w:uri="urn:schemas-microsoft-com:office:smarttags" w:element="PlaceName">
        <w:r>
          <w:rPr>
            <w:sz w:val="22"/>
            <w:szCs w:val="22"/>
          </w:rPr>
          <w:t>Murray-Darling</w:t>
        </w:r>
      </w:smartTag>
      <w:r>
        <w:rPr>
          <w:sz w:val="22"/>
          <w:szCs w:val="22"/>
        </w:rPr>
        <w:t xml:space="preserve"> </w:t>
      </w:r>
      <w:smartTag w:uri="urn:schemas-microsoft-com:office:smarttags" w:element="PlaceType">
        <w:r>
          <w:rPr>
            <w:sz w:val="22"/>
            <w:szCs w:val="22"/>
          </w:rPr>
          <w:t>Basin</w:t>
        </w:r>
      </w:smartTag>
      <w:r>
        <w:rPr>
          <w:sz w:val="22"/>
          <w:szCs w:val="22"/>
        </w:rPr>
        <w:t xml:space="preserve"> Authority, </w:t>
      </w:r>
      <w:smartTag w:uri="urn:schemas-microsoft-com:office:smarttags" w:element="place">
        <w:smartTag w:uri="urn:schemas-microsoft-com:office:smarttags" w:element="City">
          <w:r>
            <w:rPr>
              <w:sz w:val="22"/>
              <w:szCs w:val="22"/>
            </w:rPr>
            <w:t>Canberra</w:t>
          </w:r>
        </w:smartTag>
      </w:smartTag>
      <w:r>
        <w:rPr>
          <w:sz w:val="22"/>
          <w:szCs w:val="22"/>
        </w:rPr>
        <w:t>.</w:t>
      </w:r>
    </w:p>
    <w:p w:rsidR="000F7173" w:rsidRPr="005C716E" w:rsidRDefault="000F7173" w:rsidP="000F7173">
      <w:pPr>
        <w:pStyle w:val="References"/>
        <w:spacing w:line="240" w:lineRule="auto"/>
        <w:jc w:val="left"/>
        <w:rPr>
          <w:bCs/>
          <w:sz w:val="22"/>
          <w:szCs w:val="22"/>
        </w:rPr>
      </w:pPr>
      <w:r w:rsidRPr="005C716E">
        <w:rPr>
          <w:bCs/>
          <w:sz w:val="22"/>
          <w:szCs w:val="22"/>
        </w:rPr>
        <w:t>Meredith, K.T., Hollins, S.E., Hughes, C.E., Cendon, D.I., Hankin, S. &amp; Stone, D.J.M. 2009. Temporal variation in stable isotopes (</w:t>
      </w:r>
      <w:r w:rsidRPr="005C716E">
        <w:rPr>
          <w:bCs/>
          <w:sz w:val="22"/>
          <w:szCs w:val="22"/>
          <w:vertAlign w:val="superscript"/>
        </w:rPr>
        <w:t>18</w:t>
      </w:r>
      <w:r w:rsidRPr="005C716E">
        <w:rPr>
          <w:bCs/>
          <w:sz w:val="22"/>
          <w:szCs w:val="22"/>
        </w:rPr>
        <w:t xml:space="preserve">O and </w:t>
      </w:r>
      <w:r w:rsidRPr="005C716E">
        <w:rPr>
          <w:bCs/>
          <w:sz w:val="22"/>
          <w:szCs w:val="22"/>
          <w:vertAlign w:val="superscript"/>
        </w:rPr>
        <w:t>2</w:t>
      </w:r>
      <w:r w:rsidRPr="005C716E">
        <w:rPr>
          <w:bCs/>
          <w:sz w:val="22"/>
          <w:szCs w:val="22"/>
        </w:rPr>
        <w:t xml:space="preserve">H) and major ion concentrations within the </w:t>
      </w:r>
      <w:smartTag w:uri="urn:schemas-microsoft-com:office:smarttags" w:element="place">
        <w:r w:rsidRPr="005C716E">
          <w:rPr>
            <w:bCs/>
            <w:sz w:val="22"/>
            <w:szCs w:val="22"/>
          </w:rPr>
          <w:t>Darling River</w:t>
        </w:r>
      </w:smartTag>
      <w:r w:rsidRPr="005C716E">
        <w:rPr>
          <w:bCs/>
          <w:sz w:val="22"/>
          <w:szCs w:val="22"/>
        </w:rPr>
        <w:t xml:space="preserve"> between Bourke and Wilcannia due to variable flows, saline groundwater influx and evaporation. Journal of Hydrology 378, 313-324.</w:t>
      </w:r>
    </w:p>
    <w:p w:rsidR="000F7173" w:rsidRPr="005C716E" w:rsidRDefault="000F7173" w:rsidP="000F7173">
      <w:pPr>
        <w:pStyle w:val="References"/>
        <w:spacing w:line="240" w:lineRule="auto"/>
        <w:jc w:val="left"/>
        <w:rPr>
          <w:sz w:val="22"/>
          <w:szCs w:val="22"/>
        </w:rPr>
      </w:pPr>
      <w:r w:rsidRPr="005C716E">
        <w:rPr>
          <w:sz w:val="22"/>
          <w:szCs w:val="22"/>
        </w:rPr>
        <w:t xml:space="preserve">Minsley, B.J. 2011. A trans-dimensional Bayesian Markov chain </w:t>
      </w:r>
      <w:smartTag w:uri="urn:schemas-microsoft-com:office:smarttags" w:element="place">
        <w:r w:rsidRPr="005C716E">
          <w:rPr>
            <w:sz w:val="22"/>
            <w:szCs w:val="22"/>
          </w:rPr>
          <w:t>Monte Carlo</w:t>
        </w:r>
      </w:smartTag>
      <w:r w:rsidRPr="005C716E">
        <w:rPr>
          <w:sz w:val="22"/>
          <w:szCs w:val="22"/>
        </w:rPr>
        <w:t xml:space="preserve"> algorithm for model assessment using frequency-domain electromagnetic data. Geophysical Journal International, 187, 252-272.</w:t>
      </w:r>
    </w:p>
    <w:p w:rsidR="000F7173" w:rsidRPr="005C716E" w:rsidRDefault="000F7173" w:rsidP="000F7173">
      <w:pPr>
        <w:pStyle w:val="References"/>
        <w:spacing w:line="240" w:lineRule="auto"/>
        <w:jc w:val="left"/>
        <w:rPr>
          <w:sz w:val="22"/>
          <w:szCs w:val="22"/>
        </w:rPr>
      </w:pPr>
      <w:r w:rsidRPr="005C716E">
        <w:rPr>
          <w:sz w:val="22"/>
          <w:szCs w:val="22"/>
        </w:rPr>
        <w:t>Mullen, I.C., Wilkinson, K.E., Cresswell, R.G. &amp; Kellett, J. 2007. Three-dimensional mapping of salt store in the Murray-Darling Basin, Australia 2. Calculating landscape salt loads from airborne electromagnetic and laboratory data. International Journal of Applied Earth Observation and Geoinformation 9, 103-115.</w:t>
      </w:r>
    </w:p>
    <w:p w:rsidR="000F7173" w:rsidRDefault="000F7173" w:rsidP="000F7173">
      <w:pPr>
        <w:pStyle w:val="References"/>
        <w:rPr>
          <w:sz w:val="22"/>
          <w:szCs w:val="22"/>
        </w:rPr>
      </w:pPr>
      <w:r>
        <w:rPr>
          <w:sz w:val="22"/>
          <w:szCs w:val="22"/>
        </w:rPr>
        <w:t xml:space="preserve">Munday, T.J. 2008. Regolith </w:t>
      </w:r>
      <w:r w:rsidR="009B4932">
        <w:rPr>
          <w:sz w:val="22"/>
          <w:szCs w:val="22"/>
        </w:rPr>
        <w:t>g</w:t>
      </w:r>
      <w:r>
        <w:rPr>
          <w:sz w:val="22"/>
          <w:szCs w:val="22"/>
        </w:rPr>
        <w:t xml:space="preserve">eophysics. In: Scott, K.M &amp; Pain, C.F. (eds) Regolith geology. pp. 219-250. CSIRO, 2008. </w:t>
      </w:r>
    </w:p>
    <w:p w:rsidR="000F7173" w:rsidRPr="005C716E" w:rsidRDefault="000F7173" w:rsidP="000F7173">
      <w:pPr>
        <w:ind w:left="540" w:hanging="540"/>
        <w:rPr>
          <w:szCs w:val="22"/>
        </w:rPr>
      </w:pPr>
      <w:r w:rsidRPr="005C716E">
        <w:rPr>
          <w:szCs w:val="22"/>
        </w:rPr>
        <w:t>Munday, T.</w:t>
      </w:r>
      <w:r>
        <w:rPr>
          <w:szCs w:val="22"/>
        </w:rPr>
        <w:t>J.</w:t>
      </w:r>
      <w:r w:rsidRPr="005C716E">
        <w:rPr>
          <w:szCs w:val="22"/>
        </w:rPr>
        <w:t xml:space="preserve"> 2010. Regional </w:t>
      </w:r>
      <w:r>
        <w:rPr>
          <w:szCs w:val="22"/>
        </w:rPr>
        <w:t>l</w:t>
      </w:r>
      <w:r w:rsidRPr="005C716E">
        <w:rPr>
          <w:szCs w:val="22"/>
        </w:rPr>
        <w:t xml:space="preserve">ines, </w:t>
      </w:r>
      <w:r>
        <w:rPr>
          <w:szCs w:val="22"/>
        </w:rPr>
        <w:t>s</w:t>
      </w:r>
      <w:r w:rsidRPr="005C716E">
        <w:rPr>
          <w:szCs w:val="22"/>
        </w:rPr>
        <w:t xml:space="preserve">elect </w:t>
      </w:r>
      <w:r>
        <w:rPr>
          <w:szCs w:val="22"/>
        </w:rPr>
        <w:t>t</w:t>
      </w:r>
      <w:r w:rsidRPr="005C716E">
        <w:rPr>
          <w:szCs w:val="22"/>
        </w:rPr>
        <w:t xml:space="preserve">raverses, </w:t>
      </w:r>
      <w:r>
        <w:rPr>
          <w:szCs w:val="22"/>
        </w:rPr>
        <w:t>c</w:t>
      </w:r>
      <w:r w:rsidRPr="005C716E">
        <w:rPr>
          <w:szCs w:val="22"/>
        </w:rPr>
        <w:t xml:space="preserve">alibrated </w:t>
      </w:r>
      <w:r>
        <w:rPr>
          <w:szCs w:val="22"/>
        </w:rPr>
        <w:t>d</w:t>
      </w:r>
      <w:r w:rsidRPr="005C716E">
        <w:rPr>
          <w:szCs w:val="22"/>
        </w:rPr>
        <w:t xml:space="preserve">ata- the </w:t>
      </w:r>
      <w:r>
        <w:rPr>
          <w:szCs w:val="22"/>
        </w:rPr>
        <w:t>f</w:t>
      </w:r>
      <w:r w:rsidRPr="005C716E">
        <w:rPr>
          <w:szCs w:val="22"/>
        </w:rPr>
        <w:t xml:space="preserve">uture for </w:t>
      </w:r>
      <w:r>
        <w:rPr>
          <w:szCs w:val="22"/>
        </w:rPr>
        <w:t>a</w:t>
      </w:r>
      <w:r w:rsidRPr="005C716E">
        <w:rPr>
          <w:szCs w:val="22"/>
        </w:rPr>
        <w:t xml:space="preserve">irborne EM in </w:t>
      </w:r>
      <w:r>
        <w:rPr>
          <w:szCs w:val="22"/>
        </w:rPr>
        <w:t>a</w:t>
      </w:r>
      <w:r w:rsidRPr="005C716E">
        <w:rPr>
          <w:szCs w:val="22"/>
        </w:rPr>
        <w:t xml:space="preserve">quifer and </w:t>
      </w:r>
      <w:r>
        <w:rPr>
          <w:szCs w:val="22"/>
        </w:rPr>
        <w:t>g</w:t>
      </w:r>
      <w:r w:rsidRPr="005C716E">
        <w:rPr>
          <w:szCs w:val="22"/>
        </w:rPr>
        <w:t xml:space="preserve">roundwater </w:t>
      </w:r>
      <w:r>
        <w:rPr>
          <w:szCs w:val="22"/>
        </w:rPr>
        <w:t>c</w:t>
      </w:r>
      <w:r w:rsidRPr="005C716E">
        <w:rPr>
          <w:szCs w:val="22"/>
        </w:rPr>
        <w:t>haracterisation. In</w:t>
      </w:r>
      <w:r w:rsidR="009B4932">
        <w:rPr>
          <w:szCs w:val="22"/>
        </w:rPr>
        <w:t>:</w:t>
      </w:r>
      <w:r w:rsidRPr="005C716E">
        <w:rPr>
          <w:szCs w:val="22"/>
        </w:rPr>
        <w:t xml:space="preserve"> Lawrie, K.C. (</w:t>
      </w:r>
      <w:r>
        <w:rPr>
          <w:szCs w:val="22"/>
        </w:rPr>
        <w:t>e</w:t>
      </w:r>
      <w:r w:rsidRPr="005C716E">
        <w:rPr>
          <w:szCs w:val="22"/>
        </w:rPr>
        <w:t xml:space="preserve">d.) Proceedings of the National Groundwater Conference, </w:t>
      </w:r>
      <w:smartTag w:uri="urn:schemas-microsoft-com:office:smarttags" w:element="place">
        <w:smartTag w:uri="urn:schemas-microsoft-com:office:smarttags" w:element="City">
          <w:r w:rsidRPr="005C716E">
            <w:rPr>
              <w:szCs w:val="22"/>
            </w:rPr>
            <w:t>Canberra</w:t>
          </w:r>
        </w:smartTag>
      </w:smartTag>
      <w:r w:rsidRPr="005C716E">
        <w:rPr>
          <w:szCs w:val="22"/>
        </w:rPr>
        <w:t xml:space="preserve"> (31</w:t>
      </w:r>
      <w:r w:rsidRPr="005837B2">
        <w:rPr>
          <w:szCs w:val="22"/>
          <w:vertAlign w:val="superscript"/>
        </w:rPr>
        <w:t>st</w:t>
      </w:r>
      <w:r w:rsidRPr="005C716E">
        <w:rPr>
          <w:szCs w:val="22"/>
        </w:rPr>
        <w:t xml:space="preserve"> Oct. - 4</w:t>
      </w:r>
      <w:r w:rsidRPr="005837B2">
        <w:rPr>
          <w:szCs w:val="22"/>
          <w:vertAlign w:val="superscript"/>
        </w:rPr>
        <w:t>th</w:t>
      </w:r>
      <w:r w:rsidRPr="005C716E">
        <w:rPr>
          <w:szCs w:val="22"/>
        </w:rPr>
        <w:t xml:space="preserve"> Nov.). p. 241 (Abs.). </w:t>
      </w:r>
      <w:hyperlink r:id="rId160" w:history="1">
        <w:r w:rsidRPr="005C716E">
          <w:rPr>
            <w:rStyle w:val="Hyperlink"/>
            <w:szCs w:val="22"/>
          </w:rPr>
          <w:t>www.groundwater2010.com</w:t>
        </w:r>
      </w:hyperlink>
      <w:r w:rsidRPr="00C941F3">
        <w:rPr>
          <w:rStyle w:val="Hyperlink"/>
        </w:rPr>
        <w:t xml:space="preserve">. </w:t>
      </w:r>
    </w:p>
    <w:p w:rsidR="000F7173" w:rsidRPr="005C716E" w:rsidRDefault="000F7173" w:rsidP="000F7173">
      <w:pPr>
        <w:pStyle w:val="References"/>
        <w:spacing w:line="240" w:lineRule="auto"/>
        <w:jc w:val="left"/>
        <w:rPr>
          <w:sz w:val="22"/>
          <w:szCs w:val="22"/>
        </w:rPr>
      </w:pPr>
      <w:r w:rsidRPr="005C716E">
        <w:rPr>
          <w:sz w:val="22"/>
          <w:szCs w:val="22"/>
        </w:rPr>
        <w:t>Munday</w:t>
      </w:r>
      <w:r w:rsidR="009B4932">
        <w:rPr>
          <w:sz w:val="22"/>
          <w:szCs w:val="22"/>
        </w:rPr>
        <w:t>,</w:t>
      </w:r>
      <w:r w:rsidRPr="005C716E">
        <w:rPr>
          <w:sz w:val="22"/>
          <w:szCs w:val="22"/>
        </w:rPr>
        <w:t xml:space="preserve"> T., Fitzpatrick, A., Noble, R., Berens, V., Hatch, M. &amp; Cahill, K. 2006. The combined use of air, gr</w:t>
      </w:r>
      <w:r>
        <w:rPr>
          <w:sz w:val="22"/>
          <w:szCs w:val="22"/>
        </w:rPr>
        <w:t>o</w:t>
      </w:r>
      <w:r w:rsidRPr="005C716E">
        <w:rPr>
          <w:sz w:val="22"/>
          <w:szCs w:val="22"/>
        </w:rPr>
        <w:t xml:space="preserve">und and 'in river' electromagnetics in defining spatial processes of salinisation across ecologically important floodplain areas - Lower River </w:t>
      </w:r>
      <w:smartTag w:uri="urn:schemas-microsoft-com:office:smarttags" w:element="place">
        <w:smartTag w:uri="urn:schemas-microsoft-com:office:smarttags" w:element="City">
          <w:r w:rsidRPr="005C716E">
            <w:rPr>
              <w:sz w:val="22"/>
              <w:szCs w:val="22"/>
            </w:rPr>
            <w:t>Murray</w:t>
          </w:r>
        </w:smartTag>
      </w:smartTag>
      <w:r>
        <w:rPr>
          <w:sz w:val="22"/>
          <w:szCs w:val="22"/>
        </w:rPr>
        <w:t>.</w:t>
      </w:r>
      <w:r w:rsidRPr="005C716E">
        <w:rPr>
          <w:sz w:val="22"/>
          <w:szCs w:val="22"/>
        </w:rPr>
        <w:t xml:space="preserve"> SA Regolith 2006: Consolidation and Dispersion of Ideas, Proceedings of the CRC LEME Regolith Symposium, November 2006, CRC LEME, Perth p. 249-255. </w:t>
      </w:r>
    </w:p>
    <w:p w:rsidR="000F7173" w:rsidRPr="005C716E" w:rsidRDefault="000F7173" w:rsidP="000F7173">
      <w:pPr>
        <w:pStyle w:val="References"/>
        <w:spacing w:line="240" w:lineRule="auto"/>
        <w:jc w:val="left"/>
        <w:rPr>
          <w:sz w:val="22"/>
          <w:szCs w:val="22"/>
        </w:rPr>
      </w:pPr>
      <w:r w:rsidRPr="005C716E">
        <w:rPr>
          <w:sz w:val="22"/>
          <w:szCs w:val="22"/>
        </w:rPr>
        <w:t>Munday, T., Fitzpatrick, A., Cahill, K., Hatch, M., Berens, V. &amp; Overton, I</w:t>
      </w:r>
      <w:r w:rsidR="009B4932">
        <w:rPr>
          <w:sz w:val="22"/>
          <w:szCs w:val="22"/>
        </w:rPr>
        <w:t>.</w:t>
      </w:r>
      <w:r w:rsidRPr="005C716E">
        <w:rPr>
          <w:sz w:val="22"/>
          <w:szCs w:val="22"/>
        </w:rPr>
        <w:t xml:space="preserve"> 2007. Spatio-</w:t>
      </w:r>
      <w:r>
        <w:rPr>
          <w:sz w:val="22"/>
          <w:szCs w:val="22"/>
        </w:rPr>
        <w:t>t</w:t>
      </w:r>
      <w:r w:rsidRPr="005C716E">
        <w:rPr>
          <w:sz w:val="22"/>
          <w:szCs w:val="22"/>
        </w:rPr>
        <w:t xml:space="preserve">emporal </w:t>
      </w:r>
      <w:r>
        <w:rPr>
          <w:sz w:val="22"/>
          <w:szCs w:val="22"/>
        </w:rPr>
        <w:t>m</w:t>
      </w:r>
      <w:r w:rsidRPr="005C716E">
        <w:rPr>
          <w:sz w:val="22"/>
          <w:szCs w:val="22"/>
        </w:rPr>
        <w:t xml:space="preserve">onitoring of </w:t>
      </w:r>
      <w:r>
        <w:rPr>
          <w:sz w:val="22"/>
          <w:szCs w:val="22"/>
        </w:rPr>
        <w:t>f</w:t>
      </w:r>
      <w:r w:rsidRPr="005C716E">
        <w:rPr>
          <w:sz w:val="22"/>
          <w:szCs w:val="22"/>
        </w:rPr>
        <w:t xml:space="preserve">loodplain </w:t>
      </w:r>
      <w:r>
        <w:rPr>
          <w:sz w:val="22"/>
          <w:szCs w:val="22"/>
        </w:rPr>
        <w:t>e</w:t>
      </w:r>
      <w:r w:rsidRPr="005C716E">
        <w:rPr>
          <w:sz w:val="22"/>
          <w:szCs w:val="22"/>
        </w:rPr>
        <w:t xml:space="preserve">nvironments </w:t>
      </w:r>
      <w:r>
        <w:rPr>
          <w:sz w:val="22"/>
          <w:szCs w:val="22"/>
        </w:rPr>
        <w:t>u</w:t>
      </w:r>
      <w:r w:rsidRPr="005C716E">
        <w:rPr>
          <w:sz w:val="22"/>
          <w:szCs w:val="22"/>
        </w:rPr>
        <w:t xml:space="preserve">sing </w:t>
      </w:r>
      <w:r>
        <w:rPr>
          <w:sz w:val="22"/>
          <w:szCs w:val="22"/>
        </w:rPr>
        <w:t>e</w:t>
      </w:r>
      <w:r w:rsidRPr="005C716E">
        <w:rPr>
          <w:sz w:val="22"/>
          <w:szCs w:val="22"/>
        </w:rPr>
        <w:t xml:space="preserve">lectromagnetic </w:t>
      </w:r>
      <w:r>
        <w:rPr>
          <w:sz w:val="22"/>
          <w:szCs w:val="22"/>
        </w:rPr>
        <w:t>m</w:t>
      </w:r>
      <w:r w:rsidRPr="005C716E">
        <w:rPr>
          <w:sz w:val="22"/>
          <w:szCs w:val="22"/>
        </w:rPr>
        <w:t xml:space="preserve">ethods: A </w:t>
      </w:r>
      <w:r>
        <w:rPr>
          <w:sz w:val="22"/>
          <w:szCs w:val="22"/>
        </w:rPr>
        <w:t>s</w:t>
      </w:r>
      <w:r w:rsidRPr="005C716E">
        <w:rPr>
          <w:sz w:val="22"/>
          <w:szCs w:val="22"/>
        </w:rPr>
        <w:t xml:space="preserve">caled </w:t>
      </w:r>
      <w:r>
        <w:rPr>
          <w:sz w:val="22"/>
          <w:szCs w:val="22"/>
        </w:rPr>
        <w:t>a</w:t>
      </w:r>
      <w:r w:rsidRPr="005C716E">
        <w:rPr>
          <w:sz w:val="22"/>
          <w:szCs w:val="22"/>
        </w:rPr>
        <w:t xml:space="preserve">pproach to </w:t>
      </w:r>
      <w:r>
        <w:rPr>
          <w:sz w:val="22"/>
          <w:szCs w:val="22"/>
        </w:rPr>
        <w:t>u</w:t>
      </w:r>
      <w:r w:rsidRPr="005C716E">
        <w:rPr>
          <w:sz w:val="22"/>
          <w:szCs w:val="22"/>
        </w:rPr>
        <w:t xml:space="preserve">nderstanding </w:t>
      </w:r>
      <w:r>
        <w:rPr>
          <w:sz w:val="22"/>
          <w:szCs w:val="22"/>
        </w:rPr>
        <w:t>s</w:t>
      </w:r>
      <w:r w:rsidRPr="005C716E">
        <w:rPr>
          <w:sz w:val="22"/>
          <w:szCs w:val="22"/>
        </w:rPr>
        <w:t xml:space="preserve">urface </w:t>
      </w:r>
      <w:r>
        <w:rPr>
          <w:sz w:val="22"/>
          <w:szCs w:val="22"/>
        </w:rPr>
        <w:t>w</w:t>
      </w:r>
      <w:r w:rsidRPr="005C716E">
        <w:rPr>
          <w:sz w:val="22"/>
          <w:szCs w:val="22"/>
        </w:rPr>
        <w:t xml:space="preserve">ater - </w:t>
      </w:r>
      <w:r>
        <w:rPr>
          <w:sz w:val="22"/>
          <w:szCs w:val="22"/>
        </w:rPr>
        <w:t>g</w:t>
      </w:r>
      <w:r w:rsidRPr="005C716E">
        <w:rPr>
          <w:sz w:val="22"/>
          <w:szCs w:val="22"/>
        </w:rPr>
        <w:t xml:space="preserve">round </w:t>
      </w:r>
      <w:r>
        <w:rPr>
          <w:sz w:val="22"/>
          <w:szCs w:val="22"/>
        </w:rPr>
        <w:t>w</w:t>
      </w:r>
      <w:r w:rsidRPr="005C716E">
        <w:rPr>
          <w:sz w:val="22"/>
          <w:szCs w:val="22"/>
        </w:rPr>
        <w:t xml:space="preserve">ater </w:t>
      </w:r>
      <w:r>
        <w:rPr>
          <w:sz w:val="22"/>
          <w:szCs w:val="22"/>
        </w:rPr>
        <w:t>i</w:t>
      </w:r>
      <w:r w:rsidRPr="005C716E">
        <w:rPr>
          <w:sz w:val="22"/>
          <w:szCs w:val="22"/>
        </w:rPr>
        <w:t>nteractions on the Chowilla Floodplain, SA</w:t>
      </w:r>
      <w:r>
        <w:rPr>
          <w:sz w:val="22"/>
          <w:szCs w:val="22"/>
        </w:rPr>
        <w:t>.</w:t>
      </w:r>
      <w:r w:rsidRPr="005C716E">
        <w:rPr>
          <w:sz w:val="22"/>
          <w:szCs w:val="22"/>
        </w:rPr>
        <w:t xml:space="preserve"> Proceedings Volume,</w:t>
      </w:r>
      <w:r w:rsidR="00465915">
        <w:rPr>
          <w:sz w:val="22"/>
          <w:szCs w:val="22"/>
        </w:rPr>
        <w:t xml:space="preserve"> </w:t>
      </w:r>
      <w:r w:rsidRPr="005C716E">
        <w:rPr>
          <w:sz w:val="22"/>
          <w:szCs w:val="22"/>
        </w:rPr>
        <w:t xml:space="preserve">Symposium on the Application of Geophysics to Engineering and Environmental Problems (20th SAGEEP). 1-5 April 2007, </w:t>
      </w:r>
      <w:smartTag w:uri="urn:schemas-microsoft-com:office:smarttags" w:element="place">
        <w:smartTag w:uri="urn:schemas-microsoft-com:office:smarttags" w:element="City">
          <w:r w:rsidRPr="005C716E">
            <w:rPr>
              <w:sz w:val="22"/>
              <w:szCs w:val="22"/>
            </w:rPr>
            <w:t>Denver</w:t>
          </w:r>
        </w:smartTag>
        <w:r w:rsidRPr="005C716E">
          <w:rPr>
            <w:sz w:val="22"/>
            <w:szCs w:val="22"/>
          </w:rPr>
          <w:t xml:space="preserve">, </w:t>
        </w:r>
        <w:smartTag w:uri="urn:schemas-microsoft-com:office:smarttags" w:element="State">
          <w:r w:rsidRPr="005C716E">
            <w:rPr>
              <w:sz w:val="22"/>
              <w:szCs w:val="22"/>
            </w:rPr>
            <w:t>Colorado</w:t>
          </w:r>
        </w:smartTag>
        <w:r w:rsidRPr="005C716E">
          <w:rPr>
            <w:sz w:val="22"/>
            <w:szCs w:val="22"/>
          </w:rPr>
          <w:t xml:space="preserve">, </w:t>
        </w:r>
        <w:smartTag w:uri="urn:schemas-microsoft-com:office:smarttags" w:element="country-region">
          <w:r w:rsidRPr="005C716E">
            <w:rPr>
              <w:sz w:val="22"/>
              <w:szCs w:val="22"/>
            </w:rPr>
            <w:t>USA</w:t>
          </w:r>
        </w:smartTag>
      </w:smartTag>
      <w:r w:rsidRPr="005C716E">
        <w:rPr>
          <w:sz w:val="22"/>
          <w:szCs w:val="22"/>
        </w:rPr>
        <w:t>.</w:t>
      </w:r>
    </w:p>
    <w:p w:rsidR="000F7173" w:rsidRDefault="000F7173" w:rsidP="000F7173">
      <w:pPr>
        <w:pStyle w:val="References"/>
        <w:spacing w:line="240" w:lineRule="auto"/>
        <w:jc w:val="left"/>
        <w:rPr>
          <w:sz w:val="22"/>
          <w:szCs w:val="22"/>
        </w:rPr>
      </w:pPr>
      <w:r w:rsidRPr="005C716E">
        <w:rPr>
          <w:sz w:val="22"/>
          <w:szCs w:val="22"/>
        </w:rPr>
        <w:t xml:space="preserve">Munday, </w:t>
      </w:r>
      <w:r>
        <w:rPr>
          <w:sz w:val="22"/>
          <w:szCs w:val="22"/>
        </w:rPr>
        <w:t xml:space="preserve">T., Fitzpatrick, A., Cahill, K &amp; Harrington, G. 2012. Elucidating the nature of surface-groundwater interactions beneath a large unregulated river system with the aid of AEM data. ASEG 2012, Brisbane. Ext. Abs. </w:t>
      </w:r>
    </w:p>
    <w:p w:rsidR="000F7173" w:rsidRPr="00CF7613" w:rsidRDefault="000F7173" w:rsidP="000F7173">
      <w:pPr>
        <w:pStyle w:val="References"/>
        <w:spacing w:line="240" w:lineRule="auto"/>
        <w:jc w:val="left"/>
        <w:rPr>
          <w:sz w:val="22"/>
          <w:szCs w:val="22"/>
        </w:rPr>
      </w:pPr>
      <w:r w:rsidRPr="00CF7613">
        <w:rPr>
          <w:sz w:val="22"/>
          <w:szCs w:val="22"/>
        </w:rPr>
        <w:t>Nash</w:t>
      </w:r>
      <w:r w:rsidR="009B4932">
        <w:rPr>
          <w:sz w:val="22"/>
          <w:szCs w:val="22"/>
        </w:rPr>
        <w:t>,</w:t>
      </w:r>
      <w:r w:rsidRPr="00CF7613">
        <w:rPr>
          <w:sz w:val="22"/>
          <w:szCs w:val="22"/>
        </w:rPr>
        <w:t xml:space="preserve"> J.M., Collins</w:t>
      </w:r>
      <w:r w:rsidR="009B4932">
        <w:rPr>
          <w:sz w:val="22"/>
          <w:szCs w:val="22"/>
        </w:rPr>
        <w:t>,</w:t>
      </w:r>
      <w:r w:rsidRPr="00CF7613">
        <w:rPr>
          <w:sz w:val="22"/>
          <w:szCs w:val="22"/>
        </w:rPr>
        <w:t xml:space="preserve"> B.N., Loughlin</w:t>
      </w:r>
      <w:r w:rsidR="009B4932">
        <w:rPr>
          <w:sz w:val="22"/>
          <w:szCs w:val="22"/>
        </w:rPr>
        <w:t>,</w:t>
      </w:r>
      <w:r w:rsidRPr="00CF7613">
        <w:rPr>
          <w:sz w:val="22"/>
          <w:szCs w:val="22"/>
        </w:rPr>
        <w:t xml:space="preserve"> S.E.</w:t>
      </w:r>
      <w:r w:rsidR="00D64674" w:rsidRPr="00CF7613">
        <w:rPr>
          <w:sz w:val="22"/>
          <w:szCs w:val="22"/>
        </w:rPr>
        <w:t xml:space="preserve">, </w:t>
      </w:r>
      <w:r w:rsidR="00080A18" w:rsidRPr="00CF7613">
        <w:rPr>
          <w:sz w:val="22"/>
          <w:szCs w:val="22"/>
        </w:rPr>
        <w:t xml:space="preserve">Soolbrig, M., </w:t>
      </w:r>
      <w:smartTag w:uri="urn:schemas-microsoft-com:office:smarttags" w:element="place">
        <w:smartTag w:uri="urn:schemas-microsoft-com:office:smarttags" w:element="City">
          <w:r w:rsidR="00080A18" w:rsidRPr="00CF7613">
            <w:rPr>
              <w:sz w:val="22"/>
              <w:szCs w:val="22"/>
            </w:rPr>
            <w:t>Harvey</w:t>
          </w:r>
        </w:smartTag>
      </w:smartTag>
      <w:r w:rsidR="00080A18" w:rsidRPr="00CF7613">
        <w:rPr>
          <w:sz w:val="22"/>
          <w:szCs w:val="22"/>
        </w:rPr>
        <w:t>, R., Krishnan-Sarin, S., Unger, J., Miner, C., Rukstalis, M., Shenassa, E., Dube, C. &amp; Spirito, A.</w:t>
      </w:r>
      <w:r w:rsidRPr="00CF7613">
        <w:rPr>
          <w:sz w:val="22"/>
          <w:szCs w:val="22"/>
        </w:rPr>
        <w:t xml:space="preserve"> 2003. Training the trans-disciplinary scientist: a general framework applied to tobacco use </w:t>
      </w:r>
      <w:r w:rsidR="00971C9D" w:rsidRPr="00CF7613">
        <w:rPr>
          <w:sz w:val="22"/>
          <w:szCs w:val="22"/>
        </w:rPr>
        <w:t>behaviour</w:t>
      </w:r>
      <w:r w:rsidRPr="00CF7613">
        <w:rPr>
          <w:sz w:val="22"/>
          <w:szCs w:val="22"/>
        </w:rPr>
        <w:t xml:space="preserve">. Nicotine </w:t>
      </w:r>
      <w:r w:rsidR="00080A18" w:rsidRPr="00CF7613">
        <w:rPr>
          <w:sz w:val="22"/>
          <w:szCs w:val="22"/>
        </w:rPr>
        <w:t xml:space="preserve">and </w:t>
      </w:r>
      <w:r w:rsidRPr="00CF7613">
        <w:rPr>
          <w:sz w:val="22"/>
          <w:szCs w:val="22"/>
        </w:rPr>
        <w:t>Tob</w:t>
      </w:r>
      <w:r w:rsidR="00080A18" w:rsidRPr="00CF7613">
        <w:rPr>
          <w:sz w:val="22"/>
          <w:szCs w:val="22"/>
        </w:rPr>
        <w:t xml:space="preserve">acco </w:t>
      </w:r>
      <w:r w:rsidRPr="00CF7613">
        <w:rPr>
          <w:sz w:val="22"/>
          <w:szCs w:val="22"/>
        </w:rPr>
        <w:t>Res</w:t>
      </w:r>
      <w:r w:rsidR="00080A18" w:rsidRPr="00CF7613">
        <w:rPr>
          <w:sz w:val="22"/>
          <w:szCs w:val="22"/>
        </w:rPr>
        <w:t xml:space="preserve">earch </w:t>
      </w:r>
      <w:r w:rsidRPr="00CF7613">
        <w:rPr>
          <w:sz w:val="22"/>
          <w:szCs w:val="22"/>
        </w:rPr>
        <w:t>5, 1S, S41–S53.</w:t>
      </w:r>
    </w:p>
    <w:p w:rsidR="003B3C54" w:rsidRDefault="003B3C54" w:rsidP="003B3C54">
      <w:pPr>
        <w:pStyle w:val="References"/>
        <w:spacing w:line="240" w:lineRule="auto"/>
        <w:jc w:val="left"/>
        <w:rPr>
          <w:sz w:val="22"/>
          <w:szCs w:val="22"/>
        </w:rPr>
      </w:pPr>
      <w:r w:rsidRPr="003B3C54">
        <w:rPr>
          <w:sz w:val="22"/>
          <w:szCs w:val="22"/>
        </w:rPr>
        <w:t>Naylor, M.A., Mandl, G. &amp; Sipjesteijn, C.H.G. 1986. Fault geometries in basement-induced wrench faulting under different initial s</w:t>
      </w:r>
      <w:r w:rsidR="00971C9D">
        <w:rPr>
          <w:sz w:val="22"/>
          <w:szCs w:val="22"/>
        </w:rPr>
        <w:t>tress states. Journal</w:t>
      </w:r>
      <w:r>
        <w:rPr>
          <w:sz w:val="22"/>
          <w:szCs w:val="22"/>
        </w:rPr>
        <w:t xml:space="preserve"> </w:t>
      </w:r>
      <w:r w:rsidR="00971C9D">
        <w:rPr>
          <w:sz w:val="22"/>
          <w:szCs w:val="22"/>
        </w:rPr>
        <w:t>of Structural</w:t>
      </w:r>
      <w:r>
        <w:rPr>
          <w:sz w:val="22"/>
          <w:szCs w:val="22"/>
        </w:rPr>
        <w:t xml:space="preserve"> Geol</w:t>
      </w:r>
      <w:r w:rsidR="00971C9D">
        <w:rPr>
          <w:sz w:val="22"/>
          <w:szCs w:val="22"/>
        </w:rPr>
        <w:t>ogy</w:t>
      </w:r>
      <w:r w:rsidRPr="003B3C54">
        <w:rPr>
          <w:sz w:val="22"/>
          <w:szCs w:val="22"/>
        </w:rPr>
        <w:t xml:space="preserve"> 8, 7, 737-752.</w:t>
      </w:r>
    </w:p>
    <w:p w:rsidR="000F7173" w:rsidRPr="005C716E" w:rsidRDefault="000F7173" w:rsidP="000F7173">
      <w:pPr>
        <w:pStyle w:val="References"/>
        <w:spacing w:line="240" w:lineRule="auto"/>
        <w:jc w:val="left"/>
        <w:rPr>
          <w:sz w:val="22"/>
          <w:szCs w:val="22"/>
        </w:rPr>
      </w:pPr>
      <w:r w:rsidRPr="005C716E">
        <w:rPr>
          <w:sz w:val="22"/>
          <w:szCs w:val="22"/>
        </w:rPr>
        <w:t xml:space="preserve">Neef, G. 2005. Devonian–Carboniferous structure at </w:t>
      </w:r>
      <w:smartTag w:uri="urn:schemas-microsoft-com:office:smarttags" w:element="place">
        <w:smartTag w:uri="urn:schemas-microsoft-com:office:smarttags" w:element="PlaceName">
          <w:r w:rsidRPr="005C716E">
            <w:rPr>
              <w:sz w:val="22"/>
              <w:szCs w:val="22"/>
            </w:rPr>
            <w:t>MacCullochs</w:t>
          </w:r>
        </w:smartTag>
        <w:r w:rsidRPr="005C716E">
          <w:rPr>
            <w:sz w:val="22"/>
            <w:szCs w:val="22"/>
          </w:rPr>
          <w:t xml:space="preserve"> </w:t>
        </w:r>
        <w:smartTag w:uri="urn:schemas-microsoft-com:office:smarttags" w:element="PlaceType">
          <w:r w:rsidRPr="005C716E">
            <w:rPr>
              <w:sz w:val="22"/>
              <w:szCs w:val="22"/>
            </w:rPr>
            <w:t>Range</w:t>
          </w:r>
        </w:smartTag>
      </w:smartTag>
      <w:r w:rsidRPr="005C716E">
        <w:rPr>
          <w:sz w:val="22"/>
          <w:szCs w:val="22"/>
        </w:rPr>
        <w:t>, and the recognition and tectonics of the Darling Basin Conjugate Fault System showing the switching of the directions of principal horizontal stress. Australian Journal of Earth Sciences 52, 315–326.</w:t>
      </w:r>
    </w:p>
    <w:p w:rsidR="000F7173" w:rsidRPr="005C716E" w:rsidRDefault="000F7173" w:rsidP="000F7173">
      <w:pPr>
        <w:pStyle w:val="References"/>
        <w:spacing w:line="240" w:lineRule="auto"/>
        <w:jc w:val="left"/>
        <w:rPr>
          <w:sz w:val="22"/>
          <w:szCs w:val="22"/>
        </w:rPr>
      </w:pPr>
      <w:r w:rsidRPr="005C716E">
        <w:rPr>
          <w:sz w:val="22"/>
          <w:szCs w:val="22"/>
        </w:rPr>
        <w:t xml:space="preserve">Neef, G. 2007. Early Devonian synorogenic alluvial fan deposits of the </w:t>
      </w:r>
      <w:smartTag w:uri="urn:schemas-microsoft-com:office:smarttags" w:element="PlaceName">
        <w:r w:rsidRPr="005C716E">
          <w:rPr>
            <w:sz w:val="22"/>
            <w:szCs w:val="22"/>
          </w:rPr>
          <w:t>Mac</w:t>
        </w:r>
        <w:r>
          <w:rPr>
            <w:sz w:val="22"/>
            <w:szCs w:val="22"/>
          </w:rPr>
          <w:t>C</w:t>
        </w:r>
        <w:r w:rsidRPr="005C716E">
          <w:rPr>
            <w:sz w:val="22"/>
            <w:szCs w:val="22"/>
          </w:rPr>
          <w:t>ullochs</w:t>
        </w:r>
      </w:smartTag>
      <w:r w:rsidRPr="005C716E">
        <w:rPr>
          <w:sz w:val="22"/>
          <w:szCs w:val="22"/>
        </w:rPr>
        <w:t xml:space="preserve"> </w:t>
      </w:r>
      <w:smartTag w:uri="urn:schemas-microsoft-com:office:smarttags" w:element="PlaceType">
        <w:r w:rsidRPr="005C716E">
          <w:rPr>
            <w:sz w:val="22"/>
            <w:szCs w:val="22"/>
          </w:rPr>
          <w:t>Range</w:t>
        </w:r>
      </w:smartTag>
      <w:r w:rsidRPr="005C716E">
        <w:rPr>
          <w:sz w:val="22"/>
          <w:szCs w:val="22"/>
        </w:rPr>
        <w:t xml:space="preserve">, western </w:t>
      </w:r>
      <w:smartTag w:uri="urn:schemas-microsoft-com:office:smarttags" w:element="place">
        <w:smartTag w:uri="urn:schemas-microsoft-com:office:smarttags" w:element="State">
          <w:r w:rsidRPr="005C716E">
            <w:rPr>
              <w:sz w:val="22"/>
              <w:szCs w:val="22"/>
            </w:rPr>
            <w:t>New South Wales</w:t>
          </w:r>
        </w:smartTag>
      </w:smartTag>
      <w:r w:rsidRPr="005C716E">
        <w:rPr>
          <w:sz w:val="22"/>
          <w:szCs w:val="22"/>
        </w:rPr>
        <w:t>. Australian Journal of Earth Sciences 54, 647–660.</w:t>
      </w:r>
    </w:p>
    <w:p w:rsidR="000F7173" w:rsidRPr="005C716E" w:rsidRDefault="000F7173" w:rsidP="000F7173">
      <w:pPr>
        <w:pStyle w:val="References"/>
        <w:spacing w:line="240" w:lineRule="auto"/>
        <w:jc w:val="left"/>
        <w:rPr>
          <w:sz w:val="22"/>
          <w:szCs w:val="22"/>
        </w:rPr>
      </w:pPr>
      <w:r w:rsidRPr="005C716E">
        <w:rPr>
          <w:sz w:val="22"/>
          <w:szCs w:val="22"/>
        </w:rPr>
        <w:t xml:space="preserve">Neef, G. 2012. Mid Silurian–Carboniferous tectonic and depositional history of the Darling Basin Conjugate Fault System, western </w:t>
      </w:r>
      <w:smartTag w:uri="urn:schemas-microsoft-com:office:smarttags" w:element="place">
        <w:smartTag w:uri="urn:schemas-microsoft-com:office:smarttags" w:element="State">
          <w:r w:rsidRPr="005C716E">
            <w:rPr>
              <w:sz w:val="22"/>
              <w:szCs w:val="22"/>
            </w:rPr>
            <w:t>New South Wales</w:t>
          </w:r>
        </w:smartTag>
      </w:smartTag>
      <w:r w:rsidRPr="005C716E">
        <w:rPr>
          <w:sz w:val="22"/>
          <w:szCs w:val="22"/>
        </w:rPr>
        <w:t>: Overview. Australian Journal of Earth Sciences, 59, 91-117</w:t>
      </w:r>
      <w:r>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Neef, G. 2011. Late Devonian–Early Carboniferous structure and tectonics of part of the northeast sector of the Darling Basin Conjugate Fault System, western </w:t>
      </w:r>
      <w:smartTag w:uri="urn:schemas-microsoft-com:office:smarttags" w:element="State">
        <w:r w:rsidRPr="005C716E">
          <w:rPr>
            <w:sz w:val="22"/>
            <w:szCs w:val="22"/>
          </w:rPr>
          <w:t>New South Wales</w:t>
        </w:r>
      </w:smartTag>
      <w:r w:rsidRPr="005C716E">
        <w:rPr>
          <w:sz w:val="22"/>
          <w:szCs w:val="22"/>
        </w:rPr>
        <w:t xml:space="preserv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Australian Journal of Earth Sciences 58, 223–233.</w:t>
      </w:r>
    </w:p>
    <w:p w:rsidR="000F7173" w:rsidRPr="005C716E" w:rsidRDefault="000F7173" w:rsidP="000F7173">
      <w:pPr>
        <w:pStyle w:val="References"/>
        <w:spacing w:line="240" w:lineRule="auto"/>
        <w:jc w:val="left"/>
        <w:rPr>
          <w:sz w:val="22"/>
          <w:szCs w:val="22"/>
        </w:rPr>
      </w:pPr>
      <w:r w:rsidRPr="005C716E">
        <w:rPr>
          <w:sz w:val="22"/>
          <w:szCs w:val="22"/>
        </w:rPr>
        <w:t>NHMRC-NRMMC</w:t>
      </w:r>
      <w:r w:rsidR="009B4932">
        <w:rPr>
          <w:sz w:val="22"/>
          <w:szCs w:val="22"/>
        </w:rPr>
        <w:t>.</w:t>
      </w:r>
      <w:r w:rsidRPr="005C716E">
        <w:rPr>
          <w:sz w:val="22"/>
          <w:szCs w:val="22"/>
        </w:rPr>
        <w:t xml:space="preserve"> 2011. Australian Drinking Water Guidelines Paper 6</w:t>
      </w:r>
      <w:r>
        <w:rPr>
          <w:sz w:val="22"/>
          <w:szCs w:val="22"/>
        </w:rPr>
        <w:t>.</w:t>
      </w:r>
      <w:r w:rsidRPr="005C716E">
        <w:rPr>
          <w:sz w:val="22"/>
          <w:szCs w:val="22"/>
        </w:rPr>
        <w:t xml:space="preserve"> National Water Quality Management Strategy. National Health and Medical Research Council, National Resource Management Ministerial Council, Commonwealth of </w:t>
      </w:r>
      <w:smartTag w:uri="urn:schemas-microsoft-com:office:smarttags" w:element="country-region">
        <w:r w:rsidRPr="005C716E">
          <w:rPr>
            <w:sz w:val="22"/>
            <w:szCs w:val="22"/>
          </w:rPr>
          <w:t>Australia</w:t>
        </w:r>
      </w:smartTag>
      <w:r w:rsidRPr="005C716E">
        <w:rPr>
          <w:sz w:val="22"/>
          <w:szCs w:val="22"/>
        </w:rPr>
        <w:t xml:space="preserve">,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Nicol, J.M. 2004. Vegetation dynamics of the </w:t>
      </w:r>
      <w:smartTag w:uri="urn:schemas-microsoft-com:office:smarttags" w:element="place">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smartTag>
      <w:r w:rsidRPr="005C716E">
        <w:rPr>
          <w:sz w:val="22"/>
          <w:szCs w:val="22"/>
        </w:rPr>
        <w:t xml:space="preserve"> with reference to the seed bank.</w:t>
      </w:r>
      <w:r w:rsidR="00465915">
        <w:rPr>
          <w:sz w:val="22"/>
          <w:szCs w:val="22"/>
        </w:rPr>
        <w:t xml:space="preserve"> </w:t>
      </w:r>
      <w:r w:rsidRPr="005C716E">
        <w:rPr>
          <w:sz w:val="22"/>
          <w:szCs w:val="22"/>
        </w:rPr>
        <w:t xml:space="preserve">PhD Thesis, </w:t>
      </w:r>
      <w:smartTag w:uri="urn:schemas-microsoft-com:office:smarttags" w:element="place">
        <w:smartTag w:uri="urn:schemas-microsoft-com:office:smarttags" w:element="PlaceType">
          <w:r w:rsidRPr="005C716E">
            <w:rPr>
              <w:sz w:val="22"/>
              <w:szCs w:val="22"/>
            </w:rPr>
            <w:t>University</w:t>
          </w:r>
        </w:smartTag>
        <w:r w:rsidRPr="005C716E">
          <w:rPr>
            <w:sz w:val="22"/>
            <w:szCs w:val="22"/>
          </w:rPr>
          <w:t xml:space="preserve"> of </w:t>
        </w:r>
        <w:smartTag w:uri="urn:schemas-microsoft-com:office:smarttags" w:element="PlaceName">
          <w:r w:rsidRPr="005C716E">
            <w:rPr>
              <w:sz w:val="22"/>
              <w:szCs w:val="22"/>
            </w:rPr>
            <w:t>Adelaide</w:t>
          </w:r>
        </w:smartTag>
      </w:smartTag>
      <w:r w:rsidRPr="005C716E">
        <w:rPr>
          <w:sz w:val="22"/>
          <w:szCs w:val="22"/>
        </w:rPr>
        <w:t xml:space="preserve">. </w:t>
      </w:r>
    </w:p>
    <w:p w:rsidR="000F7173" w:rsidRPr="005C716E" w:rsidRDefault="000F7173" w:rsidP="000F7173">
      <w:pPr>
        <w:pStyle w:val="References"/>
        <w:spacing w:line="240" w:lineRule="auto"/>
        <w:jc w:val="left"/>
        <w:rPr>
          <w:sz w:val="22"/>
          <w:szCs w:val="22"/>
        </w:rPr>
      </w:pPr>
      <w:r w:rsidRPr="005C716E">
        <w:rPr>
          <w:sz w:val="22"/>
          <w:szCs w:val="22"/>
        </w:rPr>
        <w:lastRenderedPageBreak/>
        <w:t>NOW</w:t>
      </w:r>
      <w:r w:rsidR="009B4932">
        <w:rPr>
          <w:sz w:val="22"/>
          <w:szCs w:val="22"/>
        </w:rPr>
        <w:t>.</w:t>
      </w:r>
      <w:r w:rsidRPr="005C716E">
        <w:rPr>
          <w:sz w:val="22"/>
          <w:szCs w:val="22"/>
        </w:rPr>
        <w:t xml:space="preserve"> 2010. An overview of water saving investigations at the </w:t>
      </w:r>
      <w:r>
        <w:rPr>
          <w:sz w:val="22"/>
          <w:szCs w:val="22"/>
        </w:rPr>
        <w:t>Menindee Lakes</w:t>
      </w:r>
      <w:r w:rsidRPr="005C716E">
        <w:rPr>
          <w:sz w:val="22"/>
          <w:szCs w:val="22"/>
        </w:rPr>
        <w:t xml:space="preserve"> - the proposed changes under the Memorandum of Understanding between the Commonwealth and NSW to the lakes and water supply to Broken Hill. NSW Office of Water</w:t>
      </w:r>
      <w:r>
        <w:rPr>
          <w:sz w:val="22"/>
          <w:szCs w:val="22"/>
        </w:rPr>
        <w:t xml:space="preserve">, </w:t>
      </w:r>
      <w:smartTag w:uri="urn:schemas-microsoft-com:office:smarttags" w:element="place">
        <w:smartTag w:uri="urn:schemas-microsoft-com:office:smarttags" w:element="City">
          <w:r w:rsidRPr="005C716E">
            <w:rPr>
              <w:sz w:val="22"/>
              <w:szCs w:val="22"/>
            </w:rPr>
            <w:t>Sydney</w:t>
          </w:r>
        </w:smartTag>
      </w:smartTag>
      <w:r>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NOW</w:t>
      </w:r>
      <w:r w:rsidR="009B4932">
        <w:rPr>
          <w:sz w:val="22"/>
          <w:szCs w:val="22"/>
        </w:rPr>
        <w:t>.</w:t>
      </w:r>
      <w:r w:rsidRPr="005C716E">
        <w:rPr>
          <w:sz w:val="22"/>
          <w:szCs w:val="22"/>
        </w:rPr>
        <w:t xml:space="preserve"> 2011, Upper Darling Alluvium Groundwater Source – Report Card. NSW Office of Water.</w:t>
      </w:r>
    </w:p>
    <w:p w:rsidR="000F7173" w:rsidRPr="005C716E" w:rsidRDefault="000F7173" w:rsidP="000F7173">
      <w:pPr>
        <w:pStyle w:val="References"/>
        <w:spacing w:line="240" w:lineRule="auto"/>
        <w:jc w:val="left"/>
        <w:rPr>
          <w:sz w:val="22"/>
          <w:szCs w:val="22"/>
        </w:rPr>
      </w:pPr>
      <w:r w:rsidRPr="005C716E">
        <w:rPr>
          <w:sz w:val="22"/>
          <w:szCs w:val="22"/>
        </w:rPr>
        <w:t>NOW</w:t>
      </w:r>
      <w:r w:rsidR="009B4932">
        <w:rPr>
          <w:sz w:val="22"/>
          <w:szCs w:val="22"/>
        </w:rPr>
        <w:t>.</w:t>
      </w:r>
      <w:r w:rsidRPr="005C716E">
        <w:rPr>
          <w:sz w:val="22"/>
          <w:szCs w:val="22"/>
        </w:rPr>
        <w:t xml:space="preserve"> 2012a. Water Sharing Plan for the Lower Murray-Darling Basin Unregulated and Alluvial Water Sources – Background document. NSW Office of Water.</w:t>
      </w:r>
    </w:p>
    <w:p w:rsidR="000F7173" w:rsidRPr="005C716E" w:rsidRDefault="000F7173" w:rsidP="000F7173">
      <w:pPr>
        <w:pStyle w:val="References"/>
        <w:spacing w:line="240" w:lineRule="auto"/>
        <w:jc w:val="left"/>
        <w:rPr>
          <w:sz w:val="22"/>
          <w:szCs w:val="22"/>
        </w:rPr>
      </w:pPr>
      <w:r w:rsidRPr="005C716E">
        <w:rPr>
          <w:sz w:val="22"/>
          <w:szCs w:val="22"/>
        </w:rPr>
        <w:t>NOW</w:t>
      </w:r>
      <w:r w:rsidR="009B4932">
        <w:rPr>
          <w:sz w:val="22"/>
          <w:szCs w:val="22"/>
        </w:rPr>
        <w:t>.</w:t>
      </w:r>
      <w:r w:rsidRPr="005C716E">
        <w:rPr>
          <w:sz w:val="22"/>
          <w:szCs w:val="22"/>
        </w:rPr>
        <w:t xml:space="preserve"> 2012b, Draft Water Sharing Plan for the Barwon-Darling Unregulated and Alluvial Water Sources – Order. NSW Office of Water.</w:t>
      </w:r>
    </w:p>
    <w:p w:rsidR="000F7173" w:rsidRPr="005C716E" w:rsidRDefault="000F7173" w:rsidP="000F7173">
      <w:pPr>
        <w:pStyle w:val="References"/>
        <w:spacing w:line="240" w:lineRule="auto"/>
        <w:jc w:val="left"/>
        <w:rPr>
          <w:sz w:val="22"/>
          <w:szCs w:val="22"/>
        </w:rPr>
      </w:pPr>
      <w:r w:rsidRPr="005C716E">
        <w:rPr>
          <w:sz w:val="22"/>
          <w:szCs w:val="22"/>
        </w:rPr>
        <w:t>NOW</w:t>
      </w:r>
      <w:r w:rsidR="009B4932">
        <w:rPr>
          <w:sz w:val="22"/>
          <w:szCs w:val="22"/>
        </w:rPr>
        <w:t>.</w:t>
      </w:r>
      <w:r>
        <w:rPr>
          <w:sz w:val="22"/>
          <w:szCs w:val="22"/>
        </w:rPr>
        <w:t xml:space="preserve"> </w:t>
      </w:r>
      <w:r w:rsidRPr="005C716E">
        <w:rPr>
          <w:sz w:val="22"/>
          <w:szCs w:val="22"/>
        </w:rPr>
        <w:t>2012c. Water Sharing Plan for the Murray-Darling Porous Rock Groundwater Sources – Background Document. NSW Office of Water.</w:t>
      </w:r>
    </w:p>
    <w:p w:rsidR="000F7173" w:rsidRPr="005C716E" w:rsidRDefault="000F7173" w:rsidP="000F7173">
      <w:pPr>
        <w:pStyle w:val="References"/>
        <w:spacing w:line="240" w:lineRule="auto"/>
        <w:jc w:val="left"/>
        <w:rPr>
          <w:sz w:val="22"/>
          <w:szCs w:val="22"/>
        </w:rPr>
      </w:pPr>
      <w:r w:rsidRPr="005C716E">
        <w:rPr>
          <w:sz w:val="22"/>
          <w:szCs w:val="22"/>
        </w:rPr>
        <w:t>NRMMC-EPHC-NHMRC</w:t>
      </w:r>
      <w:r w:rsidR="009B4932">
        <w:rPr>
          <w:sz w:val="22"/>
          <w:szCs w:val="22"/>
        </w:rPr>
        <w:t>.</w:t>
      </w:r>
      <w:r w:rsidRPr="005C716E">
        <w:rPr>
          <w:sz w:val="22"/>
          <w:szCs w:val="22"/>
        </w:rPr>
        <w:t xml:space="preserve"> 2008. Australian Guidelines for Water Recycling: Managing </w:t>
      </w:r>
      <w:r>
        <w:rPr>
          <w:sz w:val="22"/>
          <w:szCs w:val="22"/>
        </w:rPr>
        <w:t>h</w:t>
      </w:r>
      <w:r w:rsidRPr="005C716E">
        <w:rPr>
          <w:sz w:val="22"/>
          <w:szCs w:val="22"/>
        </w:rPr>
        <w:t xml:space="preserve">ealth and </w:t>
      </w:r>
      <w:r>
        <w:rPr>
          <w:sz w:val="22"/>
          <w:szCs w:val="22"/>
        </w:rPr>
        <w:t>e</w:t>
      </w:r>
      <w:r w:rsidRPr="005C716E">
        <w:rPr>
          <w:sz w:val="22"/>
          <w:szCs w:val="22"/>
        </w:rPr>
        <w:t xml:space="preserve">nvironmental </w:t>
      </w:r>
      <w:r>
        <w:rPr>
          <w:sz w:val="22"/>
          <w:szCs w:val="22"/>
        </w:rPr>
        <w:t>r</w:t>
      </w:r>
      <w:r w:rsidRPr="005C716E">
        <w:rPr>
          <w:sz w:val="22"/>
          <w:szCs w:val="22"/>
        </w:rPr>
        <w:t xml:space="preserve">isks. Phase 2A: Augmentation of </w:t>
      </w:r>
      <w:r>
        <w:rPr>
          <w:sz w:val="22"/>
          <w:szCs w:val="22"/>
        </w:rPr>
        <w:t>d</w:t>
      </w:r>
      <w:r w:rsidRPr="005C716E">
        <w:rPr>
          <w:sz w:val="22"/>
          <w:szCs w:val="22"/>
        </w:rPr>
        <w:t xml:space="preserve">rinking </w:t>
      </w:r>
      <w:r>
        <w:rPr>
          <w:sz w:val="22"/>
          <w:szCs w:val="22"/>
        </w:rPr>
        <w:t>w</w:t>
      </w:r>
      <w:r w:rsidRPr="005C716E">
        <w:rPr>
          <w:sz w:val="22"/>
          <w:szCs w:val="22"/>
        </w:rPr>
        <w:t xml:space="preserve">ater </w:t>
      </w:r>
      <w:r>
        <w:rPr>
          <w:sz w:val="22"/>
          <w:szCs w:val="22"/>
        </w:rPr>
        <w:t>s</w:t>
      </w:r>
      <w:r w:rsidRPr="005C716E">
        <w:rPr>
          <w:sz w:val="22"/>
          <w:szCs w:val="22"/>
        </w:rPr>
        <w:t>upplies</w:t>
      </w:r>
      <w:r>
        <w:rPr>
          <w:sz w:val="22"/>
          <w:szCs w:val="22"/>
        </w:rPr>
        <w:t xml:space="preserve">. </w:t>
      </w:r>
      <w:r w:rsidRPr="005C716E">
        <w:rPr>
          <w:sz w:val="22"/>
          <w:szCs w:val="22"/>
        </w:rPr>
        <w:t xml:space="preserve">Environment Protection and Heritage Council, National Health and Medical Research Council, and Natural Resource Management Ministerial Council. </w:t>
      </w:r>
      <w:hyperlink r:id="rId161" w:history="1">
        <w:r w:rsidRPr="005C716E">
          <w:rPr>
            <w:rStyle w:val="Hyperlink"/>
            <w:sz w:val="22"/>
            <w:szCs w:val="22"/>
          </w:rPr>
          <w:t>www.ephc.gov.au/taxonomy/term/39</w:t>
        </w:r>
      </w:hyperlink>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NRMMC-EPHC-NHMRC</w:t>
      </w:r>
      <w:r w:rsidR="009B4932">
        <w:rPr>
          <w:sz w:val="22"/>
          <w:szCs w:val="22"/>
        </w:rPr>
        <w:t>.</w:t>
      </w:r>
      <w:r w:rsidRPr="005C716E">
        <w:rPr>
          <w:sz w:val="22"/>
          <w:szCs w:val="22"/>
        </w:rPr>
        <w:t xml:space="preserve"> 2009. Australian Guidelines for Water Recycling: Managing </w:t>
      </w:r>
      <w:r>
        <w:rPr>
          <w:sz w:val="22"/>
          <w:szCs w:val="22"/>
        </w:rPr>
        <w:t>h</w:t>
      </w:r>
      <w:r w:rsidRPr="005C716E">
        <w:rPr>
          <w:sz w:val="22"/>
          <w:szCs w:val="22"/>
        </w:rPr>
        <w:t xml:space="preserve">ealth and </w:t>
      </w:r>
      <w:r>
        <w:rPr>
          <w:sz w:val="22"/>
          <w:szCs w:val="22"/>
        </w:rPr>
        <w:t>e</w:t>
      </w:r>
      <w:r w:rsidRPr="005C716E">
        <w:rPr>
          <w:sz w:val="22"/>
          <w:szCs w:val="22"/>
        </w:rPr>
        <w:t xml:space="preserve">nvironmental </w:t>
      </w:r>
      <w:r>
        <w:rPr>
          <w:sz w:val="22"/>
          <w:szCs w:val="22"/>
        </w:rPr>
        <w:t>r</w:t>
      </w:r>
      <w:r w:rsidRPr="005C716E">
        <w:rPr>
          <w:sz w:val="22"/>
          <w:szCs w:val="22"/>
        </w:rPr>
        <w:t xml:space="preserve">isks. Phase 2C: Managed </w:t>
      </w:r>
      <w:r>
        <w:rPr>
          <w:sz w:val="22"/>
          <w:szCs w:val="22"/>
        </w:rPr>
        <w:t>a</w:t>
      </w:r>
      <w:r w:rsidRPr="005C716E">
        <w:rPr>
          <w:sz w:val="22"/>
          <w:szCs w:val="22"/>
        </w:rPr>
        <w:t xml:space="preserve">quifer </w:t>
      </w:r>
      <w:r>
        <w:rPr>
          <w:sz w:val="22"/>
          <w:szCs w:val="22"/>
        </w:rPr>
        <w:t>r</w:t>
      </w:r>
      <w:r w:rsidRPr="005C716E">
        <w:rPr>
          <w:sz w:val="22"/>
          <w:szCs w:val="22"/>
        </w:rPr>
        <w:t xml:space="preserve">echarge. Environment Protection and Heritage Council, National Health and Medical Research Council, and Natural Resource Management Ministerial Council. </w:t>
      </w:r>
      <w:hyperlink r:id="rId162" w:history="1">
        <w:r w:rsidRPr="005C716E">
          <w:rPr>
            <w:rStyle w:val="Hyperlink"/>
            <w:sz w:val="22"/>
            <w:szCs w:val="22"/>
          </w:rPr>
          <w:t>www.ephc.gov.au/taxonomy/term/39</w:t>
        </w:r>
      </w:hyperlink>
      <w:r w:rsidRPr="005C716E">
        <w:rPr>
          <w:sz w:val="22"/>
          <w:szCs w:val="22"/>
        </w:rPr>
        <w:t>.</w:t>
      </w:r>
    </w:p>
    <w:p w:rsidR="000F7173" w:rsidRPr="005C716E" w:rsidRDefault="000F7173" w:rsidP="000F7173">
      <w:pPr>
        <w:pStyle w:val="References"/>
        <w:spacing w:line="240" w:lineRule="auto"/>
        <w:jc w:val="left"/>
        <w:rPr>
          <w:sz w:val="22"/>
          <w:szCs w:val="22"/>
        </w:rPr>
      </w:pPr>
      <w:r w:rsidRPr="005C716E">
        <w:rPr>
          <w:sz w:val="22"/>
          <w:szCs w:val="22"/>
        </w:rPr>
        <w:t xml:space="preserve">O’Sullivan, P.B., Kohn, B. &amp; Mitchell, M.M. 1998. Phanerozoic reactivation along a fundamental Proterozoic crustal fault, the Darling River </w:t>
      </w:r>
      <w:smartTag w:uri="urn:schemas-microsoft-com:office:smarttags" w:element="place">
        <w:smartTag w:uri="urn:schemas-microsoft-com:office:smarttags" w:element="City">
          <w:r w:rsidRPr="005C716E">
            <w:rPr>
              <w:sz w:val="22"/>
              <w:szCs w:val="22"/>
            </w:rPr>
            <w:t>Lineament</w:t>
          </w:r>
        </w:smartTag>
        <w:r w:rsidRPr="005C716E">
          <w:rPr>
            <w:sz w:val="22"/>
            <w:szCs w:val="22"/>
          </w:rPr>
          <w:t xml:space="preserve">, </w:t>
        </w:r>
        <w:smartTag w:uri="urn:schemas-microsoft-com:office:smarttags" w:element="country-region">
          <w:r w:rsidRPr="005C716E">
            <w:rPr>
              <w:sz w:val="22"/>
              <w:szCs w:val="22"/>
            </w:rPr>
            <w:t>Australia</w:t>
          </w:r>
        </w:smartTag>
      </w:smartTag>
      <w:r w:rsidRPr="005C716E">
        <w:rPr>
          <w:sz w:val="22"/>
          <w:szCs w:val="22"/>
        </w:rPr>
        <w:t xml:space="preserve">: </w:t>
      </w:r>
      <w:r>
        <w:rPr>
          <w:sz w:val="22"/>
          <w:szCs w:val="22"/>
        </w:rPr>
        <w:t>C</w:t>
      </w:r>
      <w:r w:rsidRPr="005C716E">
        <w:rPr>
          <w:sz w:val="22"/>
          <w:szCs w:val="22"/>
        </w:rPr>
        <w:t>onstraints from apatite fission track thermochronology. Earth and Planetary Science Letters, 164, 451-465.</w:t>
      </w:r>
    </w:p>
    <w:p w:rsidR="000F7173" w:rsidRPr="005C716E" w:rsidRDefault="000F7173" w:rsidP="000F7173">
      <w:pPr>
        <w:pStyle w:val="References"/>
        <w:spacing w:line="240" w:lineRule="auto"/>
        <w:jc w:val="left"/>
        <w:rPr>
          <w:sz w:val="22"/>
          <w:szCs w:val="22"/>
        </w:rPr>
      </w:pPr>
      <w:r w:rsidRPr="005C716E">
        <w:rPr>
          <w:sz w:val="22"/>
          <w:szCs w:val="22"/>
        </w:rPr>
        <w:t>Page, D., Dillon, P., Vanderzalm, J., Bekele, E., Barry, K., Miotlinski, K. &amp; Levett, K. 2010a. Managed aquifer recharge case study risk assessments. CSIRO Water for a Healthy Country Flagship Report, Dec 2010, 144</w:t>
      </w:r>
      <w:r w:rsidR="00DB488F">
        <w:rPr>
          <w:sz w:val="22"/>
          <w:szCs w:val="22"/>
        </w:rPr>
        <w:t xml:space="preserve"> </w:t>
      </w:r>
      <w:r w:rsidRPr="005C716E">
        <w:rPr>
          <w:sz w:val="22"/>
          <w:szCs w:val="22"/>
        </w:rPr>
        <w:t xml:space="preserve">p. </w:t>
      </w:r>
    </w:p>
    <w:p w:rsidR="000F7173" w:rsidRPr="005C716E" w:rsidRDefault="00F035E2" w:rsidP="000F7173">
      <w:pPr>
        <w:pStyle w:val="References"/>
        <w:spacing w:line="240" w:lineRule="auto"/>
        <w:ind w:firstLine="0"/>
        <w:jc w:val="left"/>
        <w:rPr>
          <w:sz w:val="22"/>
          <w:szCs w:val="22"/>
        </w:rPr>
      </w:pPr>
      <w:hyperlink r:id="rId163" w:history="1">
        <w:r w:rsidR="000F7173" w:rsidRPr="005C716E">
          <w:rPr>
            <w:rStyle w:val="Hyperlink"/>
            <w:sz w:val="22"/>
            <w:szCs w:val="22"/>
          </w:rPr>
          <w:t>http://www.clw.csiro.au/publications/waterforahealthycountry/2010/wfhc-MAR-case-study-risk-assessments.pdf</w:t>
        </w:r>
      </w:hyperlink>
    </w:p>
    <w:p w:rsidR="000F7173" w:rsidRPr="005C716E" w:rsidRDefault="000F7173" w:rsidP="000F7173">
      <w:pPr>
        <w:pStyle w:val="References"/>
        <w:spacing w:line="240" w:lineRule="auto"/>
        <w:jc w:val="left"/>
        <w:rPr>
          <w:sz w:val="22"/>
          <w:szCs w:val="22"/>
        </w:rPr>
      </w:pPr>
      <w:r w:rsidRPr="005C716E">
        <w:rPr>
          <w:sz w:val="22"/>
          <w:szCs w:val="22"/>
        </w:rPr>
        <w:t>Page, D., Barry, K., Levett, K., Vanderzalm, J., Miotlinski, K. &amp; Dillon, P.</w:t>
      </w:r>
      <w:r>
        <w:rPr>
          <w:sz w:val="22"/>
          <w:szCs w:val="22"/>
        </w:rPr>
        <w:t xml:space="preserve"> </w:t>
      </w:r>
      <w:r w:rsidRPr="005C716E">
        <w:rPr>
          <w:sz w:val="22"/>
          <w:szCs w:val="22"/>
        </w:rPr>
        <w:t>2010b. Broken Hill aquifer storage and recovery (ASR) and soil aquifer treatment (SAT) laboratory column studies. CSIRO Water for a Healthy Country Flagship Report, October 2010.</w:t>
      </w:r>
    </w:p>
    <w:p w:rsidR="000F7173" w:rsidRDefault="000F7173" w:rsidP="000F7173">
      <w:pPr>
        <w:pStyle w:val="References"/>
        <w:spacing w:line="240" w:lineRule="auto"/>
        <w:jc w:val="left"/>
        <w:rPr>
          <w:sz w:val="22"/>
          <w:szCs w:val="22"/>
        </w:rPr>
      </w:pPr>
      <w:r w:rsidRPr="002248EF">
        <w:rPr>
          <w:sz w:val="22"/>
          <w:szCs w:val="22"/>
          <w:lang w:val="it-IT"/>
        </w:rPr>
        <w:t xml:space="preserve">Page, D., Vanderzalm, J., Dillon, P., Miotlinski, K. &amp; Barry, K. 2012. </w:t>
      </w:r>
      <w:r w:rsidRPr="007A223C">
        <w:rPr>
          <w:sz w:val="22"/>
          <w:szCs w:val="22"/>
        </w:rPr>
        <w:t>Pre-commissioning risk assessment for the Broken Hill Managed Aquifer Recharge (MAR) project – March 2012 revision. CSIRO: Water for a Healthy Country National Research Flagship</w:t>
      </w:r>
      <w:r>
        <w:rPr>
          <w:sz w:val="22"/>
          <w:szCs w:val="22"/>
        </w:rPr>
        <w:t>. 63</w:t>
      </w:r>
      <w:r w:rsidR="00DB488F">
        <w:rPr>
          <w:sz w:val="22"/>
          <w:szCs w:val="22"/>
        </w:rPr>
        <w:t xml:space="preserve"> </w:t>
      </w:r>
      <w:r>
        <w:rPr>
          <w:sz w:val="22"/>
          <w:szCs w:val="22"/>
        </w:rPr>
        <w:t>p.</w:t>
      </w:r>
    </w:p>
    <w:p w:rsidR="00A655EB" w:rsidRPr="005C716E" w:rsidRDefault="00A655EB" w:rsidP="00A655EB">
      <w:pPr>
        <w:pStyle w:val="References"/>
        <w:spacing w:line="240" w:lineRule="auto"/>
        <w:jc w:val="left"/>
        <w:rPr>
          <w:sz w:val="22"/>
          <w:szCs w:val="22"/>
        </w:rPr>
      </w:pPr>
      <w:r w:rsidRPr="00593B52">
        <w:rPr>
          <w:sz w:val="22"/>
          <w:szCs w:val="22"/>
          <w:lang w:val="fr-FR"/>
        </w:rPr>
        <w:t xml:space="preserve">Page, K.J. &amp; Nanson, G.C. 1996. </w:t>
      </w:r>
      <w:r w:rsidRPr="005C716E">
        <w:rPr>
          <w:sz w:val="22"/>
          <w:szCs w:val="22"/>
        </w:rPr>
        <w:t xml:space="preserve">Stratigraphic architecture resulting from Late Quaternary evolution of the Riverine Plain, southeastern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Sedimentology, 43</w:t>
      </w:r>
      <w:r>
        <w:rPr>
          <w:sz w:val="22"/>
          <w:szCs w:val="22"/>
        </w:rPr>
        <w:t>,</w:t>
      </w:r>
      <w:r w:rsidRPr="005C716E">
        <w:rPr>
          <w:sz w:val="22"/>
          <w:szCs w:val="22"/>
        </w:rPr>
        <w:t xml:space="preserve"> 927–945.</w:t>
      </w:r>
    </w:p>
    <w:p w:rsidR="000F7173" w:rsidRPr="005C716E" w:rsidRDefault="000F7173" w:rsidP="000F7173">
      <w:pPr>
        <w:pStyle w:val="References"/>
        <w:spacing w:line="240" w:lineRule="auto"/>
        <w:jc w:val="left"/>
        <w:rPr>
          <w:sz w:val="22"/>
          <w:szCs w:val="22"/>
        </w:rPr>
      </w:pPr>
      <w:r w:rsidRPr="005C716E">
        <w:rPr>
          <w:sz w:val="22"/>
          <w:szCs w:val="22"/>
        </w:rPr>
        <w:t>Paine, J.G. 2003. Determining salinization extent, identifying salinity sources, and estimating chloride mass using surface, borehole, and airborne electromagnetic induction methods, Water Resour</w:t>
      </w:r>
      <w:r>
        <w:rPr>
          <w:sz w:val="22"/>
          <w:szCs w:val="22"/>
        </w:rPr>
        <w:t>ces</w:t>
      </w:r>
      <w:r w:rsidRPr="005C716E">
        <w:rPr>
          <w:sz w:val="22"/>
          <w:szCs w:val="22"/>
        </w:rPr>
        <w:t xml:space="preserve"> Res</w:t>
      </w:r>
      <w:r>
        <w:rPr>
          <w:sz w:val="22"/>
          <w:szCs w:val="22"/>
        </w:rPr>
        <w:t>earch</w:t>
      </w:r>
      <w:r w:rsidRPr="005C716E">
        <w:rPr>
          <w:sz w:val="22"/>
          <w:szCs w:val="22"/>
        </w:rPr>
        <w:t>, 39</w:t>
      </w:r>
      <w:r>
        <w:rPr>
          <w:sz w:val="22"/>
          <w:szCs w:val="22"/>
        </w:rPr>
        <w:t xml:space="preserve">, </w:t>
      </w:r>
      <w:r w:rsidRPr="005C716E">
        <w:rPr>
          <w:sz w:val="22"/>
          <w:szCs w:val="22"/>
        </w:rPr>
        <w:t>3, 1059.</w:t>
      </w:r>
    </w:p>
    <w:p w:rsidR="000F7173" w:rsidRPr="005C716E" w:rsidRDefault="000F7173" w:rsidP="000F7173">
      <w:pPr>
        <w:pStyle w:val="References"/>
        <w:spacing w:line="240" w:lineRule="auto"/>
        <w:jc w:val="left"/>
        <w:rPr>
          <w:sz w:val="22"/>
          <w:szCs w:val="22"/>
        </w:rPr>
      </w:pPr>
      <w:r w:rsidRPr="005C716E">
        <w:rPr>
          <w:sz w:val="22"/>
          <w:szCs w:val="22"/>
        </w:rPr>
        <w:t xml:space="preserve">Paine, J.G., Collins, E.W., Nance, H.S. &amp; Niemann, K.L. 2009. Combining airborne electromagnetic induction and hydrochemistry to quantify salinity contributions to a large basin stream, </w:t>
      </w:r>
      <w:smartTag w:uri="urn:schemas-microsoft-com:office:smarttags" w:element="place">
        <w:smartTag w:uri="urn:schemas-microsoft-com:office:smarttags" w:element="City">
          <w:r w:rsidRPr="005C716E">
            <w:rPr>
              <w:sz w:val="22"/>
              <w:szCs w:val="22"/>
            </w:rPr>
            <w:t>Colorado River</w:t>
          </w:r>
        </w:smartTag>
        <w:r w:rsidRPr="005C716E">
          <w:rPr>
            <w:sz w:val="22"/>
            <w:szCs w:val="22"/>
          </w:rPr>
          <w:t xml:space="preserve">, </w:t>
        </w:r>
        <w:smartTag w:uri="urn:schemas-microsoft-com:office:smarttags" w:element="State">
          <w:r w:rsidRPr="005C716E">
            <w:rPr>
              <w:sz w:val="22"/>
              <w:szCs w:val="22"/>
            </w:rPr>
            <w:t>Texas</w:t>
          </w:r>
        </w:smartTag>
        <w:r w:rsidRPr="005C716E">
          <w:rPr>
            <w:sz w:val="22"/>
            <w:szCs w:val="22"/>
          </w:rPr>
          <w:t xml:space="preserve">, </w:t>
        </w:r>
        <w:smartTag w:uri="urn:schemas-microsoft-com:office:smarttags" w:element="country-region">
          <w:r w:rsidRPr="005C716E">
            <w:rPr>
              <w:sz w:val="22"/>
              <w:szCs w:val="22"/>
            </w:rPr>
            <w:t>USA</w:t>
          </w:r>
        </w:smartTag>
      </w:smartTag>
      <w:r>
        <w:rPr>
          <w:sz w:val="22"/>
          <w:szCs w:val="22"/>
        </w:rPr>
        <w:t>.</w:t>
      </w:r>
      <w:r w:rsidRPr="005C716E">
        <w:rPr>
          <w:sz w:val="22"/>
          <w:szCs w:val="22"/>
        </w:rPr>
        <w:t xml:space="preserve"> Near Surface Geophysics, 7, 4, 271–284.</w:t>
      </w:r>
    </w:p>
    <w:p w:rsidR="000F7173" w:rsidRPr="005C716E" w:rsidRDefault="000F7173" w:rsidP="000F7173">
      <w:pPr>
        <w:pStyle w:val="References"/>
        <w:spacing w:line="240" w:lineRule="auto"/>
        <w:jc w:val="left"/>
        <w:rPr>
          <w:sz w:val="22"/>
          <w:szCs w:val="22"/>
        </w:rPr>
      </w:pPr>
      <w:r w:rsidRPr="00593B52">
        <w:rPr>
          <w:sz w:val="22"/>
          <w:szCs w:val="22"/>
        </w:rPr>
        <w:t xml:space="preserve">Palamara, D., Rodriguez, V., Kellett, J. &amp; Macaulay, S. 2010. </w:t>
      </w:r>
      <w:r w:rsidRPr="005C716E">
        <w:rPr>
          <w:sz w:val="22"/>
          <w:szCs w:val="22"/>
        </w:rPr>
        <w:t xml:space="preserve">Salt mapping in the Lower Macquarie area,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using airborne electromagnetic data. Environmental Earth Sciences. 11</w:t>
      </w:r>
      <w:r w:rsidR="00DB488F">
        <w:rPr>
          <w:sz w:val="22"/>
          <w:szCs w:val="22"/>
        </w:rPr>
        <w:t xml:space="preserve"> </w:t>
      </w:r>
      <w:r w:rsidRPr="005C716E">
        <w:rPr>
          <w:sz w:val="22"/>
          <w:szCs w:val="22"/>
        </w:rPr>
        <w:t>p.</w:t>
      </w:r>
    </w:p>
    <w:p w:rsidR="000F7173" w:rsidRPr="005C716E" w:rsidRDefault="000F7173" w:rsidP="000F7173">
      <w:pPr>
        <w:pStyle w:val="References"/>
        <w:spacing w:line="240" w:lineRule="auto"/>
        <w:jc w:val="left"/>
        <w:rPr>
          <w:sz w:val="22"/>
          <w:szCs w:val="22"/>
        </w:rPr>
      </w:pPr>
      <w:r w:rsidRPr="005C716E">
        <w:rPr>
          <w:sz w:val="22"/>
          <w:szCs w:val="22"/>
        </w:rPr>
        <w:t xml:space="preserve">Podger, G.M. 2010. Darling </w:t>
      </w:r>
      <w:r>
        <w:rPr>
          <w:sz w:val="22"/>
          <w:szCs w:val="22"/>
        </w:rPr>
        <w:t>W</w:t>
      </w:r>
      <w:r w:rsidRPr="005C716E">
        <w:rPr>
          <w:sz w:val="22"/>
          <w:szCs w:val="22"/>
        </w:rPr>
        <w:t xml:space="preserve">ater </w:t>
      </w:r>
      <w:r>
        <w:rPr>
          <w:sz w:val="22"/>
          <w:szCs w:val="22"/>
        </w:rPr>
        <w:t>S</w:t>
      </w:r>
      <w:r w:rsidRPr="005C716E">
        <w:rPr>
          <w:sz w:val="22"/>
          <w:szCs w:val="22"/>
        </w:rPr>
        <w:t>avings</w:t>
      </w:r>
      <w:r>
        <w:rPr>
          <w:sz w:val="22"/>
          <w:szCs w:val="22"/>
        </w:rPr>
        <w:t xml:space="preserve"> Project</w:t>
      </w:r>
      <w:r w:rsidRPr="005C716E">
        <w:rPr>
          <w:sz w:val="22"/>
          <w:szCs w:val="22"/>
        </w:rPr>
        <w:t xml:space="preserve">: Options for </w:t>
      </w:r>
      <w:r>
        <w:rPr>
          <w:sz w:val="22"/>
          <w:szCs w:val="22"/>
        </w:rPr>
        <w:t>e</w:t>
      </w:r>
      <w:r w:rsidRPr="005C716E">
        <w:rPr>
          <w:sz w:val="22"/>
          <w:szCs w:val="22"/>
        </w:rPr>
        <w:t xml:space="preserve">nvironmental </w:t>
      </w:r>
      <w:r>
        <w:rPr>
          <w:sz w:val="22"/>
          <w:szCs w:val="22"/>
        </w:rPr>
        <w:t>f</w:t>
      </w:r>
      <w:r w:rsidRPr="005C716E">
        <w:rPr>
          <w:sz w:val="22"/>
          <w:szCs w:val="22"/>
        </w:rPr>
        <w:t xml:space="preserve">illing, CSIRO: Water for a Healthy Country National Research Flagship, CSIRO,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31</w:t>
      </w:r>
      <w:r w:rsidR="00DB488F">
        <w:rPr>
          <w:sz w:val="22"/>
          <w:szCs w:val="22"/>
        </w:rPr>
        <w:t xml:space="preserve"> </w:t>
      </w:r>
      <w:r w:rsidRPr="005C716E">
        <w:rPr>
          <w:sz w:val="22"/>
          <w:szCs w:val="22"/>
        </w:rPr>
        <w:t>p.</w:t>
      </w:r>
    </w:p>
    <w:p w:rsidR="000F7173" w:rsidRPr="005C716E" w:rsidRDefault="000F7173" w:rsidP="000F7173">
      <w:pPr>
        <w:pStyle w:val="References"/>
        <w:spacing w:line="240" w:lineRule="auto"/>
        <w:jc w:val="left"/>
        <w:rPr>
          <w:sz w:val="22"/>
          <w:szCs w:val="22"/>
        </w:rPr>
      </w:pPr>
      <w:r w:rsidRPr="005C716E">
        <w:rPr>
          <w:sz w:val="22"/>
          <w:szCs w:val="22"/>
        </w:rPr>
        <w:t xml:space="preserve">Podger, G.M. 2011. Darling </w:t>
      </w:r>
      <w:r>
        <w:rPr>
          <w:sz w:val="22"/>
          <w:szCs w:val="22"/>
        </w:rPr>
        <w:t>W</w:t>
      </w:r>
      <w:r w:rsidRPr="005C716E">
        <w:rPr>
          <w:sz w:val="22"/>
          <w:szCs w:val="22"/>
        </w:rPr>
        <w:t xml:space="preserve">ater </w:t>
      </w:r>
      <w:r>
        <w:rPr>
          <w:sz w:val="22"/>
          <w:szCs w:val="22"/>
        </w:rPr>
        <w:t>S</w:t>
      </w:r>
      <w:r w:rsidRPr="005C716E">
        <w:rPr>
          <w:sz w:val="22"/>
          <w:szCs w:val="22"/>
        </w:rPr>
        <w:t>avings</w:t>
      </w:r>
      <w:r>
        <w:rPr>
          <w:sz w:val="22"/>
          <w:szCs w:val="22"/>
        </w:rPr>
        <w:t xml:space="preserve"> Project</w:t>
      </w:r>
      <w:r w:rsidRPr="005C716E">
        <w:rPr>
          <w:sz w:val="22"/>
          <w:szCs w:val="22"/>
        </w:rPr>
        <w:t>: Options for environmental filling. No impacts, version 2</w:t>
      </w:r>
      <w:r>
        <w:rPr>
          <w:sz w:val="22"/>
          <w:szCs w:val="22"/>
        </w:rPr>
        <w:t xml:space="preserve">. </w:t>
      </w:r>
      <w:r w:rsidRPr="005C716E">
        <w:rPr>
          <w:sz w:val="22"/>
          <w:szCs w:val="22"/>
        </w:rPr>
        <w:t xml:space="preserve">CSIRO Water for a Healthy Country National Research Flagship, CSIRO,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30</w:t>
      </w:r>
      <w:r w:rsidR="00DB488F">
        <w:rPr>
          <w:sz w:val="22"/>
          <w:szCs w:val="22"/>
        </w:rPr>
        <w:t xml:space="preserve"> </w:t>
      </w:r>
      <w:r w:rsidRPr="005C716E">
        <w:rPr>
          <w:sz w:val="22"/>
          <w:szCs w:val="22"/>
        </w:rPr>
        <w:t>p.</w:t>
      </w:r>
    </w:p>
    <w:p w:rsidR="000F7173" w:rsidRPr="005C716E" w:rsidRDefault="000F7173" w:rsidP="000F7173">
      <w:pPr>
        <w:pStyle w:val="References"/>
        <w:spacing w:line="240" w:lineRule="auto"/>
        <w:jc w:val="left"/>
        <w:rPr>
          <w:sz w:val="22"/>
          <w:szCs w:val="22"/>
        </w:rPr>
      </w:pPr>
      <w:r w:rsidRPr="005C716E">
        <w:rPr>
          <w:sz w:val="22"/>
          <w:szCs w:val="22"/>
        </w:rPr>
        <w:t xml:space="preserve">Quigley, M.C., Cupper, M.L. &amp; Sandiford, M. 2006. Quaternary faults of south-central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Palaeoseismicity, slip rates and origin, Australian Journal of Earth Sciences, 53, 285-301.</w:t>
      </w:r>
    </w:p>
    <w:p w:rsidR="000F7173" w:rsidRPr="005C716E" w:rsidRDefault="000F7173" w:rsidP="000F7173">
      <w:pPr>
        <w:pStyle w:val="References"/>
        <w:spacing w:line="240" w:lineRule="auto"/>
        <w:jc w:val="left"/>
        <w:rPr>
          <w:sz w:val="22"/>
          <w:szCs w:val="22"/>
        </w:rPr>
      </w:pPr>
      <w:r w:rsidRPr="005C716E">
        <w:rPr>
          <w:sz w:val="22"/>
          <w:szCs w:val="22"/>
        </w:rPr>
        <w:t xml:space="preserve">Reid, J., Eade, R. &amp; Kemp, T. 2009. SkyTEM final processed data: Broken Hill Managed Aquifer Recharge Project Part B. </w:t>
      </w:r>
    </w:p>
    <w:p w:rsidR="00237116" w:rsidRPr="008D26B9" w:rsidRDefault="00237116" w:rsidP="00237116">
      <w:pPr>
        <w:pStyle w:val="References"/>
        <w:spacing w:line="240" w:lineRule="auto"/>
        <w:jc w:val="left"/>
        <w:rPr>
          <w:sz w:val="22"/>
          <w:szCs w:val="22"/>
        </w:rPr>
      </w:pPr>
      <w:r w:rsidRPr="00237116">
        <w:rPr>
          <w:sz w:val="22"/>
          <w:szCs w:val="22"/>
        </w:rPr>
        <w:t xml:space="preserve">Reynolds, S.D., Mildren, S.D., Hillis, R.R. &amp; Meyer, J.J. 2006. Constraining stress magnitudes using petroleum exploration data in the Cooper-Eromanga Basins, </w:t>
      </w:r>
      <w:smartTag w:uri="urn:schemas-microsoft-com:office:smarttags" w:element="place">
        <w:smartTag w:uri="urn:schemas-microsoft-com:office:smarttags" w:element="country-region">
          <w:r w:rsidRPr="00237116">
            <w:rPr>
              <w:sz w:val="22"/>
              <w:szCs w:val="22"/>
            </w:rPr>
            <w:t>Australia</w:t>
          </w:r>
        </w:smartTag>
      </w:smartTag>
      <w:r w:rsidRPr="00237116">
        <w:rPr>
          <w:sz w:val="22"/>
          <w:szCs w:val="22"/>
        </w:rPr>
        <w:t>. Tectonophysics 415, 123–140.</w:t>
      </w:r>
    </w:p>
    <w:p w:rsidR="000F7173" w:rsidRPr="005C716E" w:rsidRDefault="000F7173" w:rsidP="000F7173">
      <w:pPr>
        <w:pStyle w:val="References"/>
        <w:spacing w:line="240" w:lineRule="auto"/>
        <w:jc w:val="left"/>
        <w:rPr>
          <w:sz w:val="22"/>
          <w:szCs w:val="22"/>
        </w:rPr>
      </w:pPr>
      <w:r w:rsidRPr="005C716E">
        <w:rPr>
          <w:sz w:val="22"/>
          <w:szCs w:val="22"/>
        </w:rPr>
        <w:t xml:space="preserve">Roach, I.C. </w:t>
      </w:r>
      <w:r>
        <w:rPr>
          <w:sz w:val="22"/>
          <w:szCs w:val="22"/>
        </w:rPr>
        <w:t>(e</w:t>
      </w:r>
      <w:r w:rsidRPr="005C716E">
        <w:rPr>
          <w:sz w:val="22"/>
          <w:szCs w:val="22"/>
        </w:rPr>
        <w:t>d.)</w:t>
      </w:r>
      <w:r w:rsidR="009B4932">
        <w:rPr>
          <w:sz w:val="22"/>
          <w:szCs w:val="22"/>
        </w:rPr>
        <w:t>.</w:t>
      </w:r>
      <w:r w:rsidRPr="005C716E">
        <w:rPr>
          <w:sz w:val="22"/>
          <w:szCs w:val="22"/>
        </w:rPr>
        <w:t xml:space="preserve"> 2012. The Frome airborne electromagnetic survey, </w:t>
      </w:r>
      <w:smartTag w:uri="urn:schemas-microsoft-com:office:smarttags" w:element="place">
        <w:smartTag w:uri="urn:schemas-microsoft-com:office:smarttags" w:element="State">
          <w:r w:rsidRPr="005C716E">
            <w:rPr>
              <w:sz w:val="22"/>
              <w:szCs w:val="22"/>
            </w:rPr>
            <w:t>South Australia</w:t>
          </w:r>
        </w:smartTag>
      </w:smartTag>
      <w:r w:rsidRPr="005C716E">
        <w:rPr>
          <w:sz w:val="22"/>
          <w:szCs w:val="22"/>
        </w:rPr>
        <w:t>: implications for energy, minerals, and regional geology.</w:t>
      </w:r>
      <w:r w:rsidR="00465915">
        <w:rPr>
          <w:sz w:val="22"/>
          <w:szCs w:val="22"/>
        </w:rPr>
        <w:t xml:space="preserve"> </w:t>
      </w:r>
      <w:r w:rsidRPr="005C716E">
        <w:rPr>
          <w:sz w:val="22"/>
          <w:szCs w:val="22"/>
        </w:rPr>
        <w:t xml:space="preserve">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2012/40.</w:t>
      </w:r>
    </w:p>
    <w:p w:rsidR="000F7173" w:rsidRPr="00CF7613" w:rsidRDefault="000F7173" w:rsidP="000F7173">
      <w:pPr>
        <w:pStyle w:val="References"/>
        <w:spacing w:line="240" w:lineRule="auto"/>
        <w:jc w:val="left"/>
        <w:rPr>
          <w:sz w:val="22"/>
          <w:szCs w:val="22"/>
        </w:rPr>
      </w:pPr>
      <w:r w:rsidRPr="00CF7613">
        <w:rPr>
          <w:sz w:val="22"/>
          <w:szCs w:val="22"/>
        </w:rPr>
        <w:t>Rosenfield</w:t>
      </w:r>
      <w:r w:rsidR="009B4932">
        <w:rPr>
          <w:sz w:val="22"/>
          <w:szCs w:val="22"/>
        </w:rPr>
        <w:t>,</w:t>
      </w:r>
      <w:r w:rsidRPr="00CF7613">
        <w:rPr>
          <w:sz w:val="22"/>
          <w:szCs w:val="22"/>
        </w:rPr>
        <w:t xml:space="preserve"> P.L., 1992. The potential of trans-disciplinary research for sustaining and extending linkages between the health and social sciences. Soc. Sci. Med., 35, 1343–57.</w:t>
      </w:r>
    </w:p>
    <w:p w:rsidR="000F7173" w:rsidRPr="005C716E" w:rsidRDefault="000F7173" w:rsidP="000F7173">
      <w:pPr>
        <w:pStyle w:val="References"/>
        <w:spacing w:line="240" w:lineRule="auto"/>
        <w:jc w:val="left"/>
        <w:rPr>
          <w:sz w:val="22"/>
          <w:szCs w:val="22"/>
        </w:rPr>
      </w:pPr>
      <w:r w:rsidRPr="005C716E">
        <w:rPr>
          <w:sz w:val="22"/>
          <w:szCs w:val="22"/>
        </w:rPr>
        <w:lastRenderedPageBreak/>
        <w:t xml:space="preserve">Roy, P.S. &amp; Whitehouse, J., 2003. Changing Pliocene </w:t>
      </w:r>
      <w:r>
        <w:rPr>
          <w:sz w:val="22"/>
          <w:szCs w:val="22"/>
        </w:rPr>
        <w:t>s</w:t>
      </w:r>
      <w:r w:rsidRPr="005C716E">
        <w:rPr>
          <w:sz w:val="22"/>
          <w:szCs w:val="22"/>
        </w:rPr>
        <w:t xml:space="preserve">ea </w:t>
      </w:r>
      <w:r>
        <w:rPr>
          <w:sz w:val="22"/>
          <w:szCs w:val="22"/>
        </w:rPr>
        <w:t>l</w:t>
      </w:r>
      <w:r w:rsidRPr="005C716E">
        <w:rPr>
          <w:sz w:val="22"/>
          <w:szCs w:val="22"/>
        </w:rPr>
        <w:t xml:space="preserve">evels and the </w:t>
      </w:r>
      <w:r>
        <w:rPr>
          <w:sz w:val="22"/>
          <w:szCs w:val="22"/>
        </w:rPr>
        <w:t>f</w:t>
      </w:r>
      <w:r w:rsidRPr="005C716E">
        <w:rPr>
          <w:sz w:val="22"/>
          <w:szCs w:val="22"/>
        </w:rPr>
        <w:t xml:space="preserve">ormation of </w:t>
      </w:r>
      <w:r>
        <w:rPr>
          <w:sz w:val="22"/>
          <w:szCs w:val="22"/>
        </w:rPr>
        <w:t>h</w:t>
      </w:r>
      <w:r w:rsidRPr="005C716E">
        <w:rPr>
          <w:sz w:val="22"/>
          <w:szCs w:val="22"/>
        </w:rPr>
        <w:t xml:space="preserve">eavy </w:t>
      </w:r>
      <w:r>
        <w:rPr>
          <w:sz w:val="22"/>
          <w:szCs w:val="22"/>
        </w:rPr>
        <w:t>m</w:t>
      </w:r>
      <w:r w:rsidRPr="005C716E">
        <w:rPr>
          <w:sz w:val="22"/>
          <w:szCs w:val="22"/>
        </w:rPr>
        <w:t xml:space="preserve">inerals </w:t>
      </w:r>
      <w:r>
        <w:rPr>
          <w:sz w:val="22"/>
          <w:szCs w:val="22"/>
        </w:rPr>
        <w:t>b</w:t>
      </w:r>
      <w:r w:rsidRPr="005C716E">
        <w:rPr>
          <w:sz w:val="22"/>
          <w:szCs w:val="22"/>
        </w:rPr>
        <w:t xml:space="preserve">each </w:t>
      </w:r>
      <w:r>
        <w:rPr>
          <w:sz w:val="22"/>
          <w:szCs w:val="22"/>
        </w:rPr>
        <w:t>p</w:t>
      </w:r>
      <w:r w:rsidRPr="005C716E">
        <w:rPr>
          <w:sz w:val="22"/>
          <w:szCs w:val="22"/>
        </w:rPr>
        <w:t xml:space="preserve">lacers in the </w:t>
      </w:r>
      <w:smartTag w:uri="urn:schemas-microsoft-com:office:smarttags" w:element="PlaceName">
        <w:r w:rsidRPr="005C716E">
          <w:rPr>
            <w:sz w:val="22"/>
            <w:szCs w:val="22"/>
          </w:rPr>
          <w:t>Murray</w:t>
        </w:r>
      </w:smartTag>
      <w:r w:rsidRPr="005C716E">
        <w:rPr>
          <w:sz w:val="22"/>
          <w:szCs w:val="22"/>
        </w:rPr>
        <w:t xml:space="preserve"> </w:t>
      </w:r>
      <w:smartTag w:uri="urn:schemas-microsoft-com:office:smarttags" w:element="PlaceType">
        <w:r w:rsidRPr="005C716E">
          <w:rPr>
            <w:sz w:val="22"/>
            <w:szCs w:val="22"/>
          </w:rPr>
          <w:t>Basin</w:t>
        </w:r>
      </w:smartTag>
      <w:r w:rsidRPr="005C716E">
        <w:rPr>
          <w:sz w:val="22"/>
          <w:szCs w:val="22"/>
        </w:rPr>
        <w:t xml:space="preserve">, </w:t>
      </w:r>
      <w:smartTag w:uri="urn:schemas-microsoft-com:office:smarttags" w:element="place">
        <w:r w:rsidRPr="005C716E">
          <w:rPr>
            <w:sz w:val="22"/>
            <w:szCs w:val="22"/>
          </w:rPr>
          <w:t>Southeastern Australia</w:t>
        </w:r>
      </w:smartTag>
      <w:r w:rsidRPr="005C716E">
        <w:rPr>
          <w:sz w:val="22"/>
          <w:szCs w:val="22"/>
        </w:rPr>
        <w:t>. Economic Geology, 98, 975-983.</w:t>
      </w:r>
    </w:p>
    <w:p w:rsidR="000F7173" w:rsidRPr="005C716E" w:rsidRDefault="000F7173" w:rsidP="000F7173">
      <w:pPr>
        <w:pStyle w:val="References"/>
        <w:spacing w:line="240" w:lineRule="auto"/>
        <w:jc w:val="left"/>
        <w:rPr>
          <w:sz w:val="22"/>
          <w:szCs w:val="22"/>
        </w:rPr>
      </w:pPr>
      <w:r w:rsidRPr="005C716E">
        <w:rPr>
          <w:sz w:val="22"/>
          <w:szCs w:val="22"/>
          <w:shd w:val="clear" w:color="auto" w:fill="FFFFFF"/>
        </w:rPr>
        <w:t>Sandiford, M.</w:t>
      </w:r>
      <w:r w:rsidRPr="005C716E">
        <w:rPr>
          <w:sz w:val="22"/>
          <w:szCs w:val="22"/>
        </w:rPr>
        <w:t xml:space="preserve"> 2003. Neotectonics of southeastern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linking the Quaternary faulting record with seismicity and in situ stress. </w:t>
      </w:r>
      <w:r w:rsidRPr="00C21B02">
        <w:rPr>
          <w:sz w:val="22"/>
          <w:szCs w:val="22"/>
        </w:rPr>
        <w:t>In</w:t>
      </w:r>
      <w:r>
        <w:rPr>
          <w:sz w:val="22"/>
          <w:szCs w:val="22"/>
        </w:rPr>
        <w:t>:</w:t>
      </w:r>
      <w:r w:rsidRPr="005C716E">
        <w:rPr>
          <w:sz w:val="22"/>
          <w:szCs w:val="22"/>
        </w:rPr>
        <w:t xml:space="preserve"> Hillis, R.R. </w:t>
      </w:r>
      <w:r>
        <w:rPr>
          <w:sz w:val="22"/>
          <w:szCs w:val="22"/>
        </w:rPr>
        <w:t xml:space="preserve">&amp; </w:t>
      </w:r>
      <w:r w:rsidRPr="005C716E">
        <w:rPr>
          <w:sz w:val="22"/>
          <w:szCs w:val="22"/>
        </w:rPr>
        <w:t>Muller, D. (</w:t>
      </w:r>
      <w:r>
        <w:rPr>
          <w:sz w:val="22"/>
          <w:szCs w:val="22"/>
        </w:rPr>
        <w:t>e</w:t>
      </w:r>
      <w:r w:rsidRPr="005C716E">
        <w:rPr>
          <w:sz w:val="22"/>
          <w:szCs w:val="22"/>
        </w:rPr>
        <w:t xml:space="preserve">ds), </w:t>
      </w:r>
      <w:r w:rsidRPr="005C716E">
        <w:rPr>
          <w:rStyle w:val="Emphasis"/>
          <w:i w:val="0"/>
          <w:iCs w:val="0"/>
          <w:sz w:val="22"/>
          <w:szCs w:val="22"/>
        </w:rPr>
        <w:t>Evolution and dynamics of the Australian Plate</w:t>
      </w:r>
      <w:r>
        <w:rPr>
          <w:sz w:val="22"/>
          <w:szCs w:val="22"/>
        </w:rPr>
        <w:t>.</w:t>
      </w:r>
      <w:r w:rsidRPr="005C716E">
        <w:rPr>
          <w:sz w:val="22"/>
          <w:szCs w:val="22"/>
        </w:rPr>
        <w:t xml:space="preserve"> Geological Society of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Special Publication, 22, 101-113. </w:t>
      </w:r>
    </w:p>
    <w:p w:rsidR="000F7173" w:rsidRPr="005C716E" w:rsidRDefault="000F7173" w:rsidP="000F7173">
      <w:pPr>
        <w:pStyle w:val="References"/>
        <w:spacing w:line="240" w:lineRule="auto"/>
        <w:jc w:val="left"/>
        <w:rPr>
          <w:sz w:val="22"/>
          <w:szCs w:val="22"/>
        </w:rPr>
      </w:pPr>
      <w:r w:rsidRPr="005C716E">
        <w:rPr>
          <w:sz w:val="22"/>
          <w:szCs w:val="22"/>
        </w:rPr>
        <w:t xml:space="preserve">Sandiford, M. &amp; Quigley, M. 2009. Topo-Oz: Insights into the various modes of intraplate deformation in the Australian continent. Tectonophysics, 474, 405-416. </w:t>
      </w:r>
    </w:p>
    <w:p w:rsidR="00237116" w:rsidRPr="00237116" w:rsidRDefault="00237116" w:rsidP="00237116">
      <w:pPr>
        <w:pStyle w:val="References"/>
        <w:spacing w:line="240" w:lineRule="auto"/>
        <w:jc w:val="left"/>
        <w:rPr>
          <w:sz w:val="22"/>
          <w:szCs w:val="22"/>
        </w:rPr>
      </w:pPr>
      <w:r w:rsidRPr="00237116">
        <w:rPr>
          <w:sz w:val="22"/>
          <w:szCs w:val="22"/>
        </w:rPr>
        <w:t>Schreurs, G.</w:t>
      </w:r>
      <w:r w:rsidR="009B4932">
        <w:rPr>
          <w:sz w:val="22"/>
          <w:szCs w:val="22"/>
        </w:rPr>
        <w:t xml:space="preserve"> 1994. </w:t>
      </w:r>
      <w:r w:rsidRPr="00237116">
        <w:rPr>
          <w:sz w:val="22"/>
          <w:szCs w:val="22"/>
        </w:rPr>
        <w:t xml:space="preserve">Experiments on strike-slip faulting and block rotation. </w:t>
      </w:r>
      <w:r>
        <w:rPr>
          <w:sz w:val="22"/>
          <w:szCs w:val="22"/>
        </w:rPr>
        <w:t>Geology</w:t>
      </w:r>
      <w:r w:rsidRPr="00237116">
        <w:rPr>
          <w:sz w:val="22"/>
          <w:szCs w:val="22"/>
        </w:rPr>
        <w:t xml:space="preserve"> 22, 567-570.</w:t>
      </w:r>
    </w:p>
    <w:p w:rsidR="000F7173" w:rsidRPr="00237116" w:rsidRDefault="000F7173" w:rsidP="000F7173">
      <w:pPr>
        <w:pStyle w:val="References"/>
        <w:spacing w:line="240" w:lineRule="auto"/>
        <w:jc w:val="left"/>
        <w:rPr>
          <w:sz w:val="22"/>
          <w:szCs w:val="22"/>
        </w:rPr>
      </w:pPr>
      <w:smartTag w:uri="urn:schemas-microsoft-com:office:smarttags" w:element="City">
        <w:r w:rsidRPr="00237116">
          <w:rPr>
            <w:sz w:val="22"/>
            <w:szCs w:val="22"/>
          </w:rPr>
          <w:t>Schumm</w:t>
        </w:r>
      </w:smartTag>
      <w:r w:rsidRPr="00237116">
        <w:rPr>
          <w:sz w:val="22"/>
          <w:szCs w:val="22"/>
        </w:rPr>
        <w:t>, S.A. 1960. The shape of alluvial channels in relation to sediment type. US Geological Survey Professional Paper, 252B, 17-30.</w:t>
      </w:r>
    </w:p>
    <w:p w:rsidR="000F7173" w:rsidRPr="00237116" w:rsidRDefault="000F7173" w:rsidP="000F7173">
      <w:pPr>
        <w:pStyle w:val="References"/>
        <w:spacing w:line="240" w:lineRule="auto"/>
        <w:jc w:val="left"/>
        <w:rPr>
          <w:sz w:val="22"/>
          <w:szCs w:val="22"/>
        </w:rPr>
      </w:pPr>
      <w:smartTag w:uri="urn:schemas-microsoft-com:office:smarttags" w:element="City">
        <w:r w:rsidRPr="00237116">
          <w:rPr>
            <w:sz w:val="22"/>
            <w:szCs w:val="22"/>
          </w:rPr>
          <w:t>Schumm</w:t>
        </w:r>
      </w:smartTag>
      <w:r w:rsidRPr="00237116">
        <w:rPr>
          <w:sz w:val="22"/>
          <w:szCs w:val="22"/>
        </w:rPr>
        <w:t>, S.A. 1977. The fluvial system. John Wiley &amp; Sons, New York, 338</w:t>
      </w:r>
      <w:r w:rsidR="00DB488F">
        <w:rPr>
          <w:sz w:val="22"/>
          <w:szCs w:val="22"/>
        </w:rPr>
        <w:t xml:space="preserve"> </w:t>
      </w:r>
      <w:r w:rsidRPr="00237116">
        <w:rPr>
          <w:sz w:val="22"/>
          <w:szCs w:val="22"/>
        </w:rPr>
        <w:t>p.</w:t>
      </w:r>
    </w:p>
    <w:p w:rsidR="00237116" w:rsidRPr="00237116" w:rsidRDefault="00237116" w:rsidP="00237116">
      <w:pPr>
        <w:pStyle w:val="References"/>
        <w:spacing w:line="240" w:lineRule="auto"/>
        <w:jc w:val="left"/>
        <w:rPr>
          <w:sz w:val="22"/>
          <w:szCs w:val="22"/>
        </w:rPr>
      </w:pPr>
      <w:r w:rsidRPr="00237116">
        <w:rPr>
          <w:sz w:val="22"/>
          <w:szCs w:val="22"/>
        </w:rPr>
        <w:t>Segall, P. &amp; Pollard, D.D. 1980. Mechanics o</w:t>
      </w:r>
      <w:r>
        <w:rPr>
          <w:sz w:val="22"/>
          <w:szCs w:val="22"/>
        </w:rPr>
        <w:t>r</w:t>
      </w:r>
      <w:r w:rsidRPr="00237116">
        <w:rPr>
          <w:sz w:val="22"/>
          <w:szCs w:val="22"/>
        </w:rPr>
        <w:t xml:space="preserve"> discontinuous faults. J</w:t>
      </w:r>
      <w:r w:rsidR="009B4932">
        <w:rPr>
          <w:sz w:val="22"/>
          <w:szCs w:val="22"/>
        </w:rPr>
        <w:t xml:space="preserve">ournal of </w:t>
      </w:r>
      <w:r w:rsidRPr="00237116">
        <w:rPr>
          <w:sz w:val="22"/>
          <w:szCs w:val="22"/>
        </w:rPr>
        <w:t>Geophysical Res</w:t>
      </w:r>
      <w:r w:rsidR="009B4932">
        <w:rPr>
          <w:sz w:val="22"/>
          <w:szCs w:val="22"/>
        </w:rPr>
        <w:t>earch</w:t>
      </w:r>
      <w:r w:rsidRPr="00237116">
        <w:rPr>
          <w:sz w:val="22"/>
          <w:szCs w:val="22"/>
        </w:rPr>
        <w:t xml:space="preserve"> 85, 4337-4350.</w:t>
      </w:r>
    </w:p>
    <w:p w:rsidR="000F7173" w:rsidRPr="005C716E" w:rsidRDefault="000F7173" w:rsidP="000F7173">
      <w:pPr>
        <w:pStyle w:val="References"/>
        <w:spacing w:line="240" w:lineRule="auto"/>
        <w:jc w:val="left"/>
        <w:rPr>
          <w:sz w:val="22"/>
          <w:szCs w:val="22"/>
        </w:rPr>
      </w:pPr>
      <w:r w:rsidRPr="00237116">
        <w:rPr>
          <w:sz w:val="22"/>
          <w:szCs w:val="22"/>
        </w:rPr>
        <w:t>Siemon, B., Christiansen, A.</w:t>
      </w:r>
      <w:r w:rsidRPr="00021090">
        <w:rPr>
          <w:sz w:val="22"/>
          <w:szCs w:val="22"/>
        </w:rPr>
        <w:t>V. &amp; Auken, E. 2009. A review of helicopter-borne electromagnetic methods for groundwater exploration. Near-Surface Geophysics, 7, 629-646.</w:t>
      </w:r>
    </w:p>
    <w:p w:rsidR="000F7173" w:rsidRPr="004F6B9C" w:rsidRDefault="000F7173" w:rsidP="000F7173">
      <w:pPr>
        <w:pStyle w:val="References"/>
        <w:rPr>
          <w:sz w:val="22"/>
          <w:szCs w:val="22"/>
        </w:rPr>
      </w:pPr>
      <w:r w:rsidRPr="004F6B9C">
        <w:rPr>
          <w:sz w:val="22"/>
          <w:szCs w:val="22"/>
        </w:rPr>
        <w:t xml:space="preserve">Siemon, B. &amp; Steuer, A. 2011. Airborne </w:t>
      </w:r>
      <w:r>
        <w:rPr>
          <w:sz w:val="22"/>
          <w:szCs w:val="22"/>
        </w:rPr>
        <w:t>g</w:t>
      </w:r>
      <w:r w:rsidRPr="004F6B9C">
        <w:rPr>
          <w:sz w:val="22"/>
          <w:szCs w:val="22"/>
        </w:rPr>
        <w:t xml:space="preserve">eophysical </w:t>
      </w:r>
      <w:r>
        <w:rPr>
          <w:sz w:val="22"/>
          <w:szCs w:val="22"/>
        </w:rPr>
        <w:t>i</w:t>
      </w:r>
      <w:r w:rsidRPr="004F6B9C">
        <w:rPr>
          <w:sz w:val="22"/>
          <w:szCs w:val="22"/>
        </w:rPr>
        <w:t xml:space="preserve">nvestigation of </w:t>
      </w:r>
      <w:r>
        <w:rPr>
          <w:sz w:val="22"/>
          <w:szCs w:val="22"/>
        </w:rPr>
        <w:t>g</w:t>
      </w:r>
      <w:r w:rsidRPr="004F6B9C">
        <w:rPr>
          <w:sz w:val="22"/>
          <w:szCs w:val="22"/>
        </w:rPr>
        <w:t xml:space="preserve">roundwater </w:t>
      </w:r>
      <w:r>
        <w:rPr>
          <w:sz w:val="22"/>
          <w:szCs w:val="22"/>
        </w:rPr>
        <w:t>r</w:t>
      </w:r>
      <w:r w:rsidRPr="004F6B9C">
        <w:rPr>
          <w:sz w:val="22"/>
          <w:szCs w:val="22"/>
        </w:rPr>
        <w:t xml:space="preserve">esources in </w:t>
      </w:r>
      <w:smartTag w:uri="urn:schemas-microsoft-com:office:smarttags" w:element="place">
        <w:r w:rsidRPr="004F6B9C">
          <w:rPr>
            <w:sz w:val="22"/>
            <w:szCs w:val="22"/>
          </w:rPr>
          <w:t>Northern Sumatra</w:t>
        </w:r>
      </w:smartTag>
      <w:r w:rsidRPr="004F6B9C">
        <w:rPr>
          <w:sz w:val="22"/>
          <w:szCs w:val="22"/>
        </w:rPr>
        <w:t xml:space="preserve"> after the </w:t>
      </w:r>
      <w:r>
        <w:rPr>
          <w:sz w:val="22"/>
          <w:szCs w:val="22"/>
        </w:rPr>
        <w:t>t</w:t>
      </w:r>
      <w:r w:rsidRPr="004F6B9C">
        <w:rPr>
          <w:sz w:val="22"/>
          <w:szCs w:val="22"/>
        </w:rPr>
        <w:t>sunami of 2004. The Tsunami Threat - Research and Technology. N.-A. Mörner, InTech.</w:t>
      </w:r>
    </w:p>
    <w:p w:rsidR="000F7173" w:rsidRPr="005C716E" w:rsidRDefault="000F7173" w:rsidP="000F7173">
      <w:pPr>
        <w:pStyle w:val="References"/>
        <w:spacing w:line="240" w:lineRule="auto"/>
        <w:jc w:val="left"/>
        <w:rPr>
          <w:sz w:val="22"/>
          <w:szCs w:val="22"/>
        </w:rPr>
      </w:pPr>
      <w:r w:rsidRPr="005C716E">
        <w:rPr>
          <w:sz w:val="22"/>
          <w:szCs w:val="22"/>
        </w:rPr>
        <w:t>SKM</w:t>
      </w:r>
      <w:r w:rsidR="009B4932">
        <w:rPr>
          <w:sz w:val="22"/>
          <w:szCs w:val="22"/>
        </w:rPr>
        <w:t>.</w:t>
      </w:r>
      <w:r w:rsidRPr="005C716E">
        <w:rPr>
          <w:sz w:val="22"/>
          <w:szCs w:val="22"/>
        </w:rPr>
        <w:t xml:space="preserve"> 2009. Darling River Water Savings Project - Part B, Stage 1 – Preliminary </w:t>
      </w:r>
      <w:r>
        <w:rPr>
          <w:sz w:val="22"/>
          <w:szCs w:val="22"/>
        </w:rPr>
        <w:t>e</w:t>
      </w:r>
      <w:r w:rsidRPr="005C716E">
        <w:rPr>
          <w:sz w:val="22"/>
          <w:szCs w:val="22"/>
        </w:rPr>
        <w:t xml:space="preserve">nvironmental </w:t>
      </w:r>
      <w:r>
        <w:rPr>
          <w:sz w:val="22"/>
          <w:szCs w:val="22"/>
        </w:rPr>
        <w:t>i</w:t>
      </w:r>
      <w:r w:rsidRPr="005C716E">
        <w:rPr>
          <w:sz w:val="22"/>
          <w:szCs w:val="22"/>
        </w:rPr>
        <w:t>ssues of Part A Schemes. Technical Report for the NSW Department of Water and Energy.</w:t>
      </w:r>
    </w:p>
    <w:p w:rsidR="000F7173" w:rsidRPr="005C716E" w:rsidRDefault="000F7173" w:rsidP="000F7173">
      <w:pPr>
        <w:pStyle w:val="References"/>
        <w:spacing w:line="240" w:lineRule="auto"/>
        <w:jc w:val="left"/>
        <w:rPr>
          <w:sz w:val="22"/>
          <w:szCs w:val="22"/>
        </w:rPr>
      </w:pPr>
      <w:r w:rsidRPr="005C716E">
        <w:rPr>
          <w:sz w:val="22"/>
          <w:szCs w:val="22"/>
        </w:rPr>
        <w:t>SKM</w:t>
      </w:r>
      <w:r w:rsidR="009B4932">
        <w:rPr>
          <w:sz w:val="22"/>
          <w:szCs w:val="22"/>
        </w:rPr>
        <w:t>.</w:t>
      </w:r>
      <w:r w:rsidRPr="005C716E">
        <w:rPr>
          <w:sz w:val="22"/>
          <w:szCs w:val="22"/>
        </w:rPr>
        <w:t xml:space="preserve"> 2010. </w:t>
      </w:r>
      <w:smartTag w:uri="urn:schemas-microsoft-com:office:smarttags" w:element="place">
        <w:r w:rsidRPr="005C716E">
          <w:rPr>
            <w:sz w:val="22"/>
            <w:szCs w:val="22"/>
          </w:rPr>
          <w:t>Darling River</w:t>
        </w:r>
      </w:smartTag>
      <w:r w:rsidRPr="005C716E">
        <w:rPr>
          <w:sz w:val="22"/>
          <w:szCs w:val="22"/>
        </w:rPr>
        <w:t xml:space="preserve"> </w:t>
      </w:r>
      <w:r>
        <w:rPr>
          <w:sz w:val="22"/>
          <w:szCs w:val="22"/>
        </w:rPr>
        <w:t>W</w:t>
      </w:r>
      <w:r w:rsidRPr="005C716E">
        <w:rPr>
          <w:sz w:val="22"/>
          <w:szCs w:val="22"/>
        </w:rPr>
        <w:t xml:space="preserve">ater </w:t>
      </w:r>
      <w:r>
        <w:rPr>
          <w:sz w:val="22"/>
          <w:szCs w:val="22"/>
        </w:rPr>
        <w:t>S</w:t>
      </w:r>
      <w:r w:rsidRPr="005C716E">
        <w:rPr>
          <w:sz w:val="22"/>
          <w:szCs w:val="22"/>
        </w:rPr>
        <w:t>aving</w:t>
      </w:r>
      <w:r>
        <w:rPr>
          <w:sz w:val="22"/>
          <w:szCs w:val="22"/>
        </w:rPr>
        <w:t>s</w:t>
      </w:r>
      <w:r w:rsidRPr="005C716E">
        <w:rPr>
          <w:sz w:val="22"/>
          <w:szCs w:val="22"/>
        </w:rPr>
        <w:t xml:space="preserve"> </w:t>
      </w:r>
      <w:r>
        <w:rPr>
          <w:sz w:val="22"/>
          <w:szCs w:val="22"/>
        </w:rPr>
        <w:t>P</w:t>
      </w:r>
      <w:r w:rsidRPr="005C716E">
        <w:rPr>
          <w:sz w:val="22"/>
          <w:szCs w:val="22"/>
        </w:rPr>
        <w:t>roject – Part B draft final report (unpublished). Report for NSW Office of Water and Department of the Environment, Heritage and the Arts.</w:t>
      </w:r>
    </w:p>
    <w:p w:rsidR="000F7173" w:rsidRPr="00021090" w:rsidRDefault="000F7173" w:rsidP="000F7173">
      <w:pPr>
        <w:pStyle w:val="References"/>
        <w:spacing w:line="240" w:lineRule="auto"/>
        <w:jc w:val="left"/>
        <w:rPr>
          <w:sz w:val="22"/>
          <w:szCs w:val="22"/>
          <w:shd w:val="clear" w:color="auto" w:fill="FFFFFF"/>
        </w:rPr>
      </w:pPr>
      <w:r w:rsidRPr="00021090">
        <w:rPr>
          <w:sz w:val="22"/>
          <w:szCs w:val="22"/>
          <w:shd w:val="clear" w:color="auto" w:fill="FFFFFF"/>
        </w:rPr>
        <w:t xml:space="preserve">Smith, B.D., Cain, M.J., Clark, A.K., </w:t>
      </w:r>
      <w:smartTag w:uri="urn:schemas-microsoft-com:office:smarttags" w:element="place">
        <w:smartTag w:uri="urn:schemas-microsoft-com:office:smarttags" w:element="City">
          <w:r w:rsidRPr="00021090">
            <w:rPr>
              <w:sz w:val="22"/>
              <w:szCs w:val="22"/>
              <w:shd w:val="clear" w:color="auto" w:fill="FFFFFF"/>
            </w:rPr>
            <w:t>Moore</w:t>
          </w:r>
        </w:smartTag>
      </w:smartTag>
      <w:r w:rsidRPr="00021090">
        <w:rPr>
          <w:sz w:val="22"/>
          <w:szCs w:val="22"/>
          <w:shd w:val="clear" w:color="auto" w:fill="FFFFFF"/>
        </w:rPr>
        <w:t xml:space="preserve">, D.W., Faith, </w:t>
      </w:r>
      <w:r>
        <w:rPr>
          <w:sz w:val="22"/>
          <w:szCs w:val="22"/>
          <w:shd w:val="clear" w:color="auto" w:fill="FFFFFF"/>
        </w:rPr>
        <w:t>J.R.</w:t>
      </w:r>
      <w:r w:rsidRPr="00021090">
        <w:rPr>
          <w:sz w:val="22"/>
          <w:szCs w:val="22"/>
          <w:shd w:val="clear" w:color="auto" w:fill="FFFFFF"/>
        </w:rPr>
        <w:t xml:space="preserve"> &amp; Hill, P.L. 2005. Helicopter electromagnetic and magnetic survey data and maps, northern </w:t>
      </w:r>
      <w:smartTag w:uri="urn:schemas-microsoft-com:office:smarttags" w:element="place">
        <w:smartTag w:uri="urn:schemas-microsoft-com:office:smarttags" w:element="City">
          <w:r w:rsidRPr="00021090">
            <w:rPr>
              <w:sz w:val="22"/>
              <w:szCs w:val="22"/>
              <w:shd w:val="clear" w:color="auto" w:fill="FFFFFF"/>
            </w:rPr>
            <w:t>Bexar County</w:t>
          </w:r>
        </w:smartTag>
        <w:r w:rsidRPr="00021090">
          <w:rPr>
            <w:sz w:val="22"/>
            <w:szCs w:val="22"/>
            <w:shd w:val="clear" w:color="auto" w:fill="FFFFFF"/>
          </w:rPr>
          <w:t xml:space="preserve">, </w:t>
        </w:r>
        <w:smartTag w:uri="urn:schemas-microsoft-com:office:smarttags" w:element="State">
          <w:r w:rsidRPr="00021090">
            <w:rPr>
              <w:sz w:val="22"/>
              <w:szCs w:val="22"/>
              <w:shd w:val="clear" w:color="auto" w:fill="FFFFFF"/>
            </w:rPr>
            <w:t>Texas</w:t>
          </w:r>
        </w:smartTag>
      </w:smartTag>
      <w:r w:rsidRPr="00021090">
        <w:rPr>
          <w:sz w:val="22"/>
          <w:szCs w:val="22"/>
          <w:shd w:val="clear" w:color="auto" w:fill="FFFFFF"/>
        </w:rPr>
        <w:t xml:space="preserve">. </w:t>
      </w:r>
      <w:r>
        <w:rPr>
          <w:sz w:val="22"/>
          <w:szCs w:val="22"/>
          <w:shd w:val="clear" w:color="auto" w:fill="FFFFFF"/>
        </w:rPr>
        <w:t xml:space="preserve">US Geological Survey </w:t>
      </w:r>
      <w:r w:rsidRPr="00021090">
        <w:rPr>
          <w:sz w:val="22"/>
          <w:szCs w:val="22"/>
          <w:shd w:val="clear" w:color="auto" w:fill="FFFFFF"/>
        </w:rPr>
        <w:t>Open-File Report: 122 p. with digital data.</w:t>
      </w:r>
    </w:p>
    <w:p w:rsidR="000F7173" w:rsidRPr="00021090" w:rsidRDefault="000F7173" w:rsidP="000F7173">
      <w:pPr>
        <w:pStyle w:val="References"/>
        <w:spacing w:line="240" w:lineRule="auto"/>
        <w:jc w:val="left"/>
        <w:rPr>
          <w:sz w:val="22"/>
          <w:szCs w:val="22"/>
          <w:shd w:val="clear" w:color="auto" w:fill="FFFFFF"/>
        </w:rPr>
      </w:pPr>
      <w:bookmarkStart w:id="795" w:name="_ENREF_78"/>
      <w:r w:rsidRPr="00021090">
        <w:rPr>
          <w:sz w:val="22"/>
          <w:szCs w:val="22"/>
          <w:shd w:val="clear" w:color="auto" w:fill="FFFFFF"/>
        </w:rPr>
        <w:t xml:space="preserve">Smith, B.D., Smith, D.V., Hill, P.L. &amp; Labson, V.F. 2003. Helicopter </w:t>
      </w:r>
      <w:r>
        <w:rPr>
          <w:sz w:val="22"/>
          <w:szCs w:val="22"/>
          <w:shd w:val="clear" w:color="auto" w:fill="FFFFFF"/>
        </w:rPr>
        <w:t>e</w:t>
      </w:r>
      <w:r w:rsidRPr="00021090">
        <w:rPr>
          <w:sz w:val="22"/>
          <w:szCs w:val="22"/>
          <w:shd w:val="clear" w:color="auto" w:fill="FFFFFF"/>
        </w:rPr>
        <w:t xml:space="preserve">lectromagnetic and </w:t>
      </w:r>
      <w:r>
        <w:rPr>
          <w:sz w:val="22"/>
          <w:szCs w:val="22"/>
          <w:shd w:val="clear" w:color="auto" w:fill="FFFFFF"/>
        </w:rPr>
        <w:t>m</w:t>
      </w:r>
      <w:r w:rsidRPr="00021090">
        <w:rPr>
          <w:sz w:val="22"/>
          <w:szCs w:val="22"/>
          <w:shd w:val="clear" w:color="auto" w:fill="FFFFFF"/>
        </w:rPr>
        <w:t xml:space="preserve">agnetic </w:t>
      </w:r>
      <w:r>
        <w:rPr>
          <w:sz w:val="22"/>
          <w:szCs w:val="22"/>
          <w:shd w:val="clear" w:color="auto" w:fill="FFFFFF"/>
        </w:rPr>
        <w:t>s</w:t>
      </w:r>
      <w:r w:rsidRPr="00021090">
        <w:rPr>
          <w:sz w:val="22"/>
          <w:szCs w:val="22"/>
          <w:shd w:val="clear" w:color="auto" w:fill="FFFFFF"/>
        </w:rPr>
        <w:t xml:space="preserve">urvey </w:t>
      </w:r>
      <w:r>
        <w:rPr>
          <w:sz w:val="22"/>
          <w:szCs w:val="22"/>
          <w:shd w:val="clear" w:color="auto" w:fill="FFFFFF"/>
        </w:rPr>
        <w:t>d</w:t>
      </w:r>
      <w:r w:rsidRPr="00021090">
        <w:rPr>
          <w:sz w:val="22"/>
          <w:szCs w:val="22"/>
          <w:shd w:val="clear" w:color="auto" w:fill="FFFFFF"/>
        </w:rPr>
        <w:t xml:space="preserve">ata and </w:t>
      </w:r>
      <w:r>
        <w:rPr>
          <w:sz w:val="22"/>
          <w:szCs w:val="22"/>
          <w:shd w:val="clear" w:color="auto" w:fill="FFFFFF"/>
        </w:rPr>
        <w:t>m</w:t>
      </w:r>
      <w:r w:rsidRPr="00021090">
        <w:rPr>
          <w:sz w:val="22"/>
          <w:szCs w:val="22"/>
          <w:shd w:val="clear" w:color="auto" w:fill="FFFFFF"/>
        </w:rPr>
        <w:t xml:space="preserve">aps, Seco Creek Area, </w:t>
      </w:r>
      <w:smartTag w:uri="urn:schemas-microsoft-com:office:smarttags" w:element="City">
        <w:r w:rsidRPr="00021090">
          <w:rPr>
            <w:sz w:val="22"/>
            <w:szCs w:val="22"/>
            <w:shd w:val="clear" w:color="auto" w:fill="FFFFFF"/>
          </w:rPr>
          <w:t>Medina</w:t>
        </w:r>
      </w:smartTag>
      <w:r w:rsidRPr="00021090">
        <w:rPr>
          <w:sz w:val="22"/>
          <w:szCs w:val="22"/>
          <w:shd w:val="clear" w:color="auto" w:fill="FFFFFF"/>
        </w:rPr>
        <w:t xml:space="preserve"> and </w:t>
      </w:r>
      <w:smartTag w:uri="urn:schemas-microsoft-com:office:smarttags" w:element="place">
        <w:smartTag w:uri="urn:schemas-microsoft-com:office:smarttags" w:element="City">
          <w:r w:rsidRPr="00021090">
            <w:rPr>
              <w:sz w:val="22"/>
              <w:szCs w:val="22"/>
              <w:shd w:val="clear" w:color="auto" w:fill="FFFFFF"/>
            </w:rPr>
            <w:t>Uvalade Counties</w:t>
          </w:r>
        </w:smartTag>
        <w:r w:rsidRPr="00021090">
          <w:rPr>
            <w:sz w:val="22"/>
            <w:szCs w:val="22"/>
            <w:shd w:val="clear" w:color="auto" w:fill="FFFFFF"/>
          </w:rPr>
          <w:t xml:space="preserve">, </w:t>
        </w:r>
        <w:smartTag w:uri="urn:schemas-microsoft-com:office:smarttags" w:element="State">
          <w:r w:rsidRPr="00021090">
            <w:rPr>
              <w:sz w:val="22"/>
              <w:szCs w:val="22"/>
              <w:shd w:val="clear" w:color="auto" w:fill="FFFFFF"/>
            </w:rPr>
            <w:t>Texas</w:t>
          </w:r>
        </w:smartTag>
      </w:smartTag>
      <w:r w:rsidRPr="00021090">
        <w:rPr>
          <w:sz w:val="22"/>
          <w:szCs w:val="22"/>
          <w:shd w:val="clear" w:color="auto" w:fill="FFFFFF"/>
        </w:rPr>
        <w:t xml:space="preserve">. </w:t>
      </w:r>
      <w:r>
        <w:rPr>
          <w:sz w:val="22"/>
          <w:szCs w:val="22"/>
          <w:shd w:val="clear" w:color="auto" w:fill="FFFFFF"/>
        </w:rPr>
        <w:t xml:space="preserve">US Geological Survey </w:t>
      </w:r>
      <w:r w:rsidRPr="00021090">
        <w:rPr>
          <w:sz w:val="22"/>
          <w:szCs w:val="22"/>
          <w:shd w:val="clear" w:color="auto" w:fill="FFFFFF"/>
        </w:rPr>
        <w:t>Open-File Report: 53 p., 51 over-size sheet.</w:t>
      </w:r>
      <w:bookmarkEnd w:id="795"/>
    </w:p>
    <w:p w:rsidR="000F7173" w:rsidRPr="00021090" w:rsidRDefault="000F7173" w:rsidP="000F7173">
      <w:pPr>
        <w:pStyle w:val="References"/>
        <w:spacing w:line="240" w:lineRule="auto"/>
        <w:jc w:val="left"/>
        <w:rPr>
          <w:sz w:val="22"/>
          <w:szCs w:val="22"/>
          <w:shd w:val="clear" w:color="auto" w:fill="FFFFFF"/>
        </w:rPr>
      </w:pPr>
      <w:r w:rsidRPr="00021090">
        <w:rPr>
          <w:sz w:val="22"/>
          <w:szCs w:val="22"/>
          <w:shd w:val="clear" w:color="auto" w:fill="FFFFFF"/>
        </w:rPr>
        <w:t>Smith, B.D., Smith, D.V. &amp; Blome, C.D. 2008. Helicopter electromagnetic surveys of carbonate karstic aquifers with emphasis on recent applications</w:t>
      </w:r>
      <w:r>
        <w:rPr>
          <w:sz w:val="22"/>
          <w:szCs w:val="22"/>
          <w:shd w:val="clear" w:color="auto" w:fill="FFFFFF"/>
        </w:rPr>
        <w:t xml:space="preserve"> by the U.S. Geological Survey. </w:t>
      </w:r>
      <w:r w:rsidRPr="003E2FA8">
        <w:rPr>
          <w:sz w:val="22"/>
          <w:szCs w:val="22"/>
          <w:shd w:val="clear" w:color="auto" w:fill="FFFFFF"/>
        </w:rPr>
        <w:t>In</w:t>
      </w:r>
      <w:r>
        <w:rPr>
          <w:sz w:val="22"/>
          <w:szCs w:val="22"/>
          <w:shd w:val="clear" w:color="auto" w:fill="FFFFFF"/>
        </w:rPr>
        <w:t xml:space="preserve">: Proceedings of </w:t>
      </w:r>
      <w:r w:rsidRPr="00021090">
        <w:rPr>
          <w:sz w:val="22"/>
          <w:szCs w:val="22"/>
          <w:shd w:val="clear" w:color="auto" w:fill="FFFFFF"/>
        </w:rPr>
        <w:t>5</w:t>
      </w:r>
      <w:r w:rsidRPr="005837B2">
        <w:rPr>
          <w:sz w:val="22"/>
          <w:szCs w:val="22"/>
          <w:shd w:val="clear" w:color="auto" w:fill="FFFFFF"/>
          <w:vertAlign w:val="superscript"/>
        </w:rPr>
        <w:t xml:space="preserve">th </w:t>
      </w:r>
      <w:r w:rsidRPr="00021090">
        <w:rPr>
          <w:sz w:val="22"/>
          <w:szCs w:val="22"/>
          <w:shd w:val="clear" w:color="auto" w:fill="FFFFFF"/>
        </w:rPr>
        <w:t xml:space="preserve">International Conference on Airborne Electromagnetics, </w:t>
      </w:r>
      <w:smartTag w:uri="urn:schemas-microsoft-com:office:smarttags" w:element="place">
        <w:smartTag w:uri="urn:schemas-microsoft-com:office:smarttags" w:element="City">
          <w:r w:rsidRPr="00021090">
            <w:rPr>
              <w:sz w:val="22"/>
              <w:szCs w:val="22"/>
              <w:shd w:val="clear" w:color="auto" w:fill="FFFFFF"/>
            </w:rPr>
            <w:t>Haikko Manor</w:t>
          </w:r>
        </w:smartTag>
        <w:r w:rsidRPr="00021090">
          <w:rPr>
            <w:sz w:val="22"/>
            <w:szCs w:val="22"/>
            <w:shd w:val="clear" w:color="auto" w:fill="FFFFFF"/>
          </w:rPr>
          <w:t xml:space="preserve">, </w:t>
        </w:r>
        <w:smartTag w:uri="urn:schemas-microsoft-com:office:smarttags" w:element="country-region">
          <w:r w:rsidRPr="00021090">
            <w:rPr>
              <w:sz w:val="22"/>
              <w:szCs w:val="22"/>
              <w:shd w:val="clear" w:color="auto" w:fill="FFFFFF"/>
            </w:rPr>
            <w:t>Finland</w:t>
          </w:r>
        </w:smartTag>
      </w:smartTag>
      <w:r w:rsidRPr="00021090">
        <w:rPr>
          <w:sz w:val="22"/>
          <w:szCs w:val="22"/>
          <w:shd w:val="clear" w:color="auto" w:fill="FFFFFF"/>
        </w:rPr>
        <w:t>, 4 p.</w:t>
      </w:r>
    </w:p>
    <w:p w:rsidR="000F7173" w:rsidRPr="005C716E" w:rsidRDefault="000F7173" w:rsidP="000F7173">
      <w:pPr>
        <w:pStyle w:val="References"/>
        <w:spacing w:line="240" w:lineRule="auto"/>
        <w:jc w:val="left"/>
        <w:rPr>
          <w:sz w:val="22"/>
          <w:szCs w:val="22"/>
        </w:rPr>
      </w:pPr>
      <w:r w:rsidRPr="005C716E">
        <w:rPr>
          <w:sz w:val="22"/>
          <w:szCs w:val="22"/>
        </w:rPr>
        <w:t xml:space="preserve">Somerville, P., Brodie, R.S., Gow, L., Halas, L. &amp; Apps, H.E. 2012. BHMAR Project Appendix 6: Hydrological, climate, hydrochemical and hydrodynamic data.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Default="000F7173" w:rsidP="000F7173">
      <w:pPr>
        <w:pStyle w:val="References"/>
        <w:spacing w:line="240" w:lineRule="auto"/>
        <w:jc w:val="left"/>
        <w:rPr>
          <w:sz w:val="22"/>
          <w:szCs w:val="22"/>
        </w:rPr>
      </w:pPr>
      <w:bookmarkStart w:id="796" w:name="_ENREF_80"/>
      <w:r w:rsidRPr="004F6B9C">
        <w:rPr>
          <w:sz w:val="22"/>
          <w:szCs w:val="22"/>
        </w:rPr>
        <w:t>Sorensen, K. I. &amp; Auken, E. 2004</w:t>
      </w:r>
      <w:r>
        <w:rPr>
          <w:sz w:val="22"/>
          <w:szCs w:val="22"/>
        </w:rPr>
        <w:t xml:space="preserve">. </w:t>
      </w:r>
      <w:r w:rsidRPr="004F6B9C">
        <w:rPr>
          <w:sz w:val="22"/>
          <w:szCs w:val="22"/>
        </w:rPr>
        <w:t>SkyTEM? a new high-resolution helicopter tr</w:t>
      </w:r>
      <w:r>
        <w:rPr>
          <w:sz w:val="22"/>
          <w:szCs w:val="22"/>
        </w:rPr>
        <w:t>ansient electromagnetic system.</w:t>
      </w:r>
      <w:r w:rsidRPr="004F6B9C">
        <w:rPr>
          <w:sz w:val="22"/>
          <w:szCs w:val="22"/>
        </w:rPr>
        <w:t xml:space="preserve"> Exploration Geophysics 35</w:t>
      </w:r>
      <w:r>
        <w:rPr>
          <w:sz w:val="22"/>
          <w:szCs w:val="22"/>
        </w:rPr>
        <w:t xml:space="preserve">, </w:t>
      </w:r>
      <w:r w:rsidRPr="004F6B9C">
        <w:rPr>
          <w:sz w:val="22"/>
          <w:szCs w:val="22"/>
        </w:rPr>
        <w:t>3</w:t>
      </w:r>
      <w:r>
        <w:rPr>
          <w:sz w:val="22"/>
          <w:szCs w:val="22"/>
        </w:rPr>
        <w:t>,</w:t>
      </w:r>
      <w:r w:rsidRPr="004F6B9C">
        <w:rPr>
          <w:sz w:val="22"/>
          <w:szCs w:val="22"/>
        </w:rPr>
        <w:t xml:space="preserve"> 194.</w:t>
      </w:r>
      <w:bookmarkEnd w:id="796"/>
    </w:p>
    <w:p w:rsidR="000F7173" w:rsidRPr="005C716E" w:rsidRDefault="000F7173" w:rsidP="000F7173">
      <w:pPr>
        <w:pStyle w:val="References"/>
        <w:spacing w:line="240" w:lineRule="auto"/>
        <w:jc w:val="left"/>
        <w:rPr>
          <w:sz w:val="22"/>
          <w:szCs w:val="22"/>
        </w:rPr>
      </w:pPr>
      <w:r w:rsidRPr="005C716E">
        <w:rPr>
          <w:sz w:val="22"/>
          <w:szCs w:val="22"/>
        </w:rPr>
        <w:t xml:space="preserve">Spies, B. &amp; Woodgate P. 2005. Salinity </w:t>
      </w:r>
      <w:r>
        <w:rPr>
          <w:sz w:val="22"/>
          <w:szCs w:val="22"/>
        </w:rPr>
        <w:t>m</w:t>
      </w:r>
      <w:r w:rsidRPr="005C716E">
        <w:rPr>
          <w:sz w:val="22"/>
          <w:szCs w:val="22"/>
        </w:rPr>
        <w:t xml:space="preserve">apping </w:t>
      </w:r>
      <w:r>
        <w:rPr>
          <w:sz w:val="22"/>
          <w:szCs w:val="22"/>
        </w:rPr>
        <w:t>m</w:t>
      </w:r>
      <w:r w:rsidRPr="005C716E">
        <w:rPr>
          <w:sz w:val="22"/>
          <w:szCs w:val="22"/>
        </w:rPr>
        <w:t xml:space="preserve">ethods in the Australian </w:t>
      </w:r>
      <w:r>
        <w:rPr>
          <w:sz w:val="22"/>
          <w:szCs w:val="22"/>
        </w:rPr>
        <w:t>c</w:t>
      </w:r>
      <w:r w:rsidRPr="005C716E">
        <w:rPr>
          <w:sz w:val="22"/>
          <w:szCs w:val="22"/>
        </w:rPr>
        <w:t xml:space="preserve">ontext. Land and Water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Department of the Environment and Heritage; and Agriculture Fisheries and Forestry, June 2005. 236</w:t>
      </w:r>
      <w:r w:rsidR="00DB488F">
        <w:rPr>
          <w:sz w:val="22"/>
          <w:szCs w:val="22"/>
        </w:rPr>
        <w:t xml:space="preserve"> </w:t>
      </w:r>
      <w:r w:rsidRPr="005C716E">
        <w:rPr>
          <w:sz w:val="22"/>
          <w:szCs w:val="22"/>
        </w:rPr>
        <w:t xml:space="preserve">p. </w:t>
      </w:r>
      <w:hyperlink r:id="rId164" w:history="1">
        <w:r w:rsidRPr="005C716E">
          <w:rPr>
            <w:rStyle w:val="Hyperlink"/>
            <w:sz w:val="22"/>
            <w:szCs w:val="22"/>
          </w:rPr>
          <w:t>http://www.nrm.gov.au/publications/salinity-mapping</w:t>
        </w:r>
      </w:hyperlink>
    </w:p>
    <w:p w:rsidR="000F7173" w:rsidRPr="005C716E" w:rsidRDefault="000F7173" w:rsidP="000F7173">
      <w:pPr>
        <w:pStyle w:val="References"/>
        <w:spacing w:line="240" w:lineRule="auto"/>
        <w:jc w:val="left"/>
        <w:rPr>
          <w:sz w:val="22"/>
          <w:szCs w:val="22"/>
        </w:rPr>
      </w:pPr>
      <w:r w:rsidRPr="005C716E">
        <w:rPr>
          <w:sz w:val="22"/>
          <w:szCs w:val="22"/>
        </w:rPr>
        <w:t xml:space="preserve">Spulak, R., Schoning, G., Halas, V., Long, R., Rousseau, J. &amp; Clarke, J.D.A. 2012. BHMAR project Appendix 2: Core photographs. Geoscience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xml:space="preserve"> Record </w:t>
      </w:r>
      <w:r>
        <w:rPr>
          <w:sz w:val="22"/>
          <w:szCs w:val="22"/>
        </w:rPr>
        <w:t>2012/16</w:t>
      </w:r>
      <w:r w:rsidRPr="005C716E">
        <w:rPr>
          <w:sz w:val="22"/>
          <w:szCs w:val="22"/>
        </w:rPr>
        <w:t>. Geocat 73824.</w:t>
      </w:r>
    </w:p>
    <w:p w:rsidR="000F7173" w:rsidRPr="005C716E" w:rsidRDefault="000F7173" w:rsidP="000F7173">
      <w:pPr>
        <w:pStyle w:val="References"/>
        <w:spacing w:line="240" w:lineRule="auto"/>
        <w:jc w:val="left"/>
        <w:rPr>
          <w:sz w:val="22"/>
          <w:szCs w:val="22"/>
        </w:rPr>
      </w:pPr>
      <w:r w:rsidRPr="005C716E">
        <w:rPr>
          <w:sz w:val="22"/>
          <w:szCs w:val="22"/>
        </w:rPr>
        <w:t>Stephenson</w:t>
      </w:r>
      <w:r>
        <w:rPr>
          <w:sz w:val="22"/>
          <w:szCs w:val="22"/>
        </w:rPr>
        <w:t>,</w:t>
      </w:r>
      <w:r w:rsidRPr="005C716E">
        <w:rPr>
          <w:sz w:val="22"/>
          <w:szCs w:val="22"/>
        </w:rPr>
        <w:t xml:space="preserve"> A.E. 1986. </w:t>
      </w:r>
      <w:smartTag w:uri="urn:schemas-microsoft-com:office:smarttags" w:element="PlaceType">
        <w:r w:rsidRPr="005C716E">
          <w:rPr>
            <w:sz w:val="22"/>
            <w:szCs w:val="22"/>
          </w:rPr>
          <w:t>Lake</w:t>
        </w:r>
      </w:smartTag>
      <w:r w:rsidRPr="005C716E">
        <w:rPr>
          <w:sz w:val="22"/>
          <w:szCs w:val="22"/>
        </w:rPr>
        <w:t xml:space="preserve"> </w:t>
      </w:r>
      <w:smartTag w:uri="urn:schemas-microsoft-com:office:smarttags" w:element="PlaceName">
        <w:r w:rsidRPr="005C716E">
          <w:rPr>
            <w:sz w:val="22"/>
            <w:szCs w:val="22"/>
          </w:rPr>
          <w:t>Bungunnia</w:t>
        </w:r>
      </w:smartTag>
      <w:r w:rsidRPr="005C716E">
        <w:rPr>
          <w:sz w:val="22"/>
          <w:szCs w:val="22"/>
        </w:rPr>
        <w:t xml:space="preserve">: a Plio-Pleistocene megalake in southern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Palaeogeography, Palaeoclimatology, Palaeoecology 57, 137–156.</w:t>
      </w:r>
    </w:p>
    <w:p w:rsidR="000F7173" w:rsidRPr="00CF7613" w:rsidRDefault="000F7173" w:rsidP="00080A18">
      <w:pPr>
        <w:pStyle w:val="References"/>
        <w:jc w:val="left"/>
        <w:rPr>
          <w:sz w:val="22"/>
          <w:szCs w:val="22"/>
        </w:rPr>
      </w:pPr>
      <w:bookmarkStart w:id="797" w:name="_ENREF_82"/>
      <w:r w:rsidRPr="00CF7613">
        <w:rPr>
          <w:sz w:val="22"/>
          <w:szCs w:val="22"/>
        </w:rPr>
        <w:t>Stokols</w:t>
      </w:r>
      <w:r w:rsidR="009B4932">
        <w:rPr>
          <w:sz w:val="22"/>
          <w:szCs w:val="22"/>
        </w:rPr>
        <w:t>,</w:t>
      </w:r>
      <w:r w:rsidRPr="00CF7613">
        <w:rPr>
          <w:sz w:val="22"/>
          <w:szCs w:val="22"/>
        </w:rPr>
        <w:t xml:space="preserve"> D., Fuqua, J., Gress, J.,</w:t>
      </w:r>
      <w:r w:rsidR="00080A18" w:rsidRPr="009B4932">
        <w:rPr>
          <w:color w:val="000000"/>
          <w:sz w:val="22"/>
          <w:szCs w:val="22"/>
        </w:rPr>
        <w:t xml:space="preserve"> Harvey, R., Phillips, K., </w:t>
      </w:r>
      <w:hyperlink r:id="rId165" w:history="1">
        <w:r w:rsidR="00080A18" w:rsidRPr="00CF7613">
          <w:rPr>
            <w:color w:val="000000"/>
            <w:sz w:val="22"/>
            <w:szCs w:val="22"/>
          </w:rPr>
          <w:t>Baezconde-Garbanati, L</w:t>
        </w:r>
      </w:hyperlink>
      <w:r w:rsidR="00080A18" w:rsidRPr="00CF7613">
        <w:rPr>
          <w:color w:val="000000"/>
          <w:sz w:val="22"/>
          <w:szCs w:val="22"/>
        </w:rPr>
        <w:t>., Unger, J., Palmer, P., Clark, M.A., Colby, S.M., Morgan, G. &amp; Trochim, W.</w:t>
      </w:r>
      <w:r w:rsidRPr="00CF7613">
        <w:rPr>
          <w:sz w:val="22"/>
          <w:szCs w:val="22"/>
        </w:rPr>
        <w:t xml:space="preserve"> 2003. Evaluating trans-disciplinary science. Nicotine </w:t>
      </w:r>
      <w:r w:rsidR="00080A18" w:rsidRPr="00CF7613">
        <w:rPr>
          <w:sz w:val="22"/>
          <w:szCs w:val="22"/>
        </w:rPr>
        <w:t xml:space="preserve">and </w:t>
      </w:r>
      <w:r w:rsidRPr="00CF7613">
        <w:rPr>
          <w:sz w:val="22"/>
          <w:szCs w:val="22"/>
        </w:rPr>
        <w:t>Tob</w:t>
      </w:r>
      <w:r w:rsidR="00080A18" w:rsidRPr="00CF7613">
        <w:rPr>
          <w:sz w:val="22"/>
          <w:szCs w:val="22"/>
        </w:rPr>
        <w:t xml:space="preserve">acco </w:t>
      </w:r>
      <w:r w:rsidRPr="00CF7613">
        <w:rPr>
          <w:sz w:val="22"/>
          <w:szCs w:val="22"/>
        </w:rPr>
        <w:t>Res</w:t>
      </w:r>
      <w:r w:rsidR="00080A18" w:rsidRPr="00CF7613">
        <w:rPr>
          <w:sz w:val="22"/>
          <w:szCs w:val="22"/>
        </w:rPr>
        <w:t xml:space="preserve">earch </w:t>
      </w:r>
      <w:r w:rsidRPr="00CF7613">
        <w:rPr>
          <w:sz w:val="22"/>
          <w:szCs w:val="22"/>
        </w:rPr>
        <w:t>5, 1S, S21–S39.</w:t>
      </w:r>
    </w:p>
    <w:p w:rsidR="000F7173" w:rsidRPr="00C36594" w:rsidRDefault="000F7173" w:rsidP="000F7173">
      <w:pPr>
        <w:ind w:left="360" w:hanging="360"/>
      </w:pPr>
      <w:r w:rsidRPr="00816D04">
        <w:rPr>
          <w:szCs w:val="22"/>
        </w:rPr>
        <w:t xml:space="preserve">Stokols, D., Hall, K.L., </w:t>
      </w:r>
      <w:smartTag w:uri="urn:schemas-microsoft-com:office:smarttags" w:element="City">
        <w:smartTag w:uri="urn:schemas-microsoft-com:office:smarttags" w:element="place">
          <w:r w:rsidRPr="00816D04">
            <w:rPr>
              <w:szCs w:val="22"/>
            </w:rPr>
            <w:t>Taylor</w:t>
          </w:r>
        </w:smartTag>
      </w:smartTag>
      <w:r w:rsidRPr="00816D04">
        <w:rPr>
          <w:szCs w:val="22"/>
        </w:rPr>
        <w:t xml:space="preserve">, B.K., Moser, R.P. 2008. The </w:t>
      </w:r>
      <w:r w:rsidR="009B4932">
        <w:rPr>
          <w:szCs w:val="22"/>
        </w:rPr>
        <w:t>s</w:t>
      </w:r>
      <w:r w:rsidRPr="00816D04">
        <w:rPr>
          <w:szCs w:val="22"/>
        </w:rPr>
        <w:t xml:space="preserve">cience of </w:t>
      </w:r>
      <w:r w:rsidR="009B4932">
        <w:rPr>
          <w:szCs w:val="22"/>
        </w:rPr>
        <w:t>t</w:t>
      </w:r>
      <w:r w:rsidRPr="00816D04">
        <w:rPr>
          <w:szCs w:val="22"/>
        </w:rPr>
        <w:t xml:space="preserve">eam </w:t>
      </w:r>
      <w:r w:rsidR="009B4932">
        <w:rPr>
          <w:szCs w:val="22"/>
        </w:rPr>
        <w:t>s</w:t>
      </w:r>
      <w:r w:rsidRPr="00816D04">
        <w:rPr>
          <w:szCs w:val="22"/>
        </w:rPr>
        <w:t xml:space="preserve">cience: Overview of the </w:t>
      </w:r>
      <w:r w:rsidR="009B4932">
        <w:rPr>
          <w:szCs w:val="22"/>
        </w:rPr>
        <w:t>f</w:t>
      </w:r>
      <w:r w:rsidRPr="00816D04">
        <w:rPr>
          <w:szCs w:val="22"/>
        </w:rPr>
        <w:t xml:space="preserve">ield and </w:t>
      </w:r>
      <w:r w:rsidR="009B4932">
        <w:rPr>
          <w:szCs w:val="22"/>
        </w:rPr>
        <w:t>i</w:t>
      </w:r>
      <w:r w:rsidRPr="00816D04">
        <w:rPr>
          <w:szCs w:val="22"/>
        </w:rPr>
        <w:t xml:space="preserve">ntroduction to the Supplement. </w:t>
      </w:r>
      <w:r w:rsidR="00D64674">
        <w:rPr>
          <w:szCs w:val="22"/>
        </w:rPr>
        <w:t>American Journal of Preventive Medicine</w:t>
      </w:r>
      <w:r w:rsidRPr="00816D04">
        <w:rPr>
          <w:szCs w:val="22"/>
        </w:rPr>
        <w:t>, 35</w:t>
      </w:r>
      <w:r>
        <w:rPr>
          <w:szCs w:val="22"/>
        </w:rPr>
        <w:t xml:space="preserve">, </w:t>
      </w:r>
      <w:r w:rsidRPr="00816D04">
        <w:rPr>
          <w:szCs w:val="22"/>
        </w:rPr>
        <w:t>2S</w:t>
      </w:r>
      <w:r>
        <w:rPr>
          <w:szCs w:val="22"/>
        </w:rPr>
        <w:t xml:space="preserve">, </w:t>
      </w:r>
      <w:r w:rsidRPr="00816D04">
        <w:rPr>
          <w:szCs w:val="22"/>
        </w:rPr>
        <w:t>S77–S89.</w:t>
      </w:r>
    </w:p>
    <w:p w:rsidR="000F7173" w:rsidRPr="00237116" w:rsidRDefault="000F7173" w:rsidP="000F7173">
      <w:pPr>
        <w:pStyle w:val="References"/>
        <w:rPr>
          <w:sz w:val="22"/>
          <w:szCs w:val="22"/>
        </w:rPr>
      </w:pPr>
      <w:r w:rsidRPr="004F6B9C">
        <w:rPr>
          <w:sz w:val="22"/>
          <w:szCs w:val="22"/>
        </w:rPr>
        <w:t>Supper, R., Ahl, A., Motschka, K., Ottowitz, D., Bauer, P., Alonso, G. M., Jochum, B. &amp; Gondwe, B. 2009</w:t>
      </w:r>
      <w:r>
        <w:rPr>
          <w:sz w:val="22"/>
          <w:szCs w:val="22"/>
        </w:rPr>
        <w:t xml:space="preserve">. </w:t>
      </w:r>
      <w:r w:rsidRPr="004F6B9C">
        <w:rPr>
          <w:sz w:val="22"/>
          <w:szCs w:val="22"/>
        </w:rPr>
        <w:t xml:space="preserve">Spatial </w:t>
      </w:r>
      <w:r>
        <w:rPr>
          <w:sz w:val="22"/>
          <w:szCs w:val="22"/>
        </w:rPr>
        <w:t>m</w:t>
      </w:r>
      <w:r w:rsidRPr="004F6B9C">
        <w:rPr>
          <w:sz w:val="22"/>
          <w:szCs w:val="22"/>
        </w:rPr>
        <w:t xml:space="preserve">apping of </w:t>
      </w:r>
      <w:r>
        <w:rPr>
          <w:sz w:val="22"/>
          <w:szCs w:val="22"/>
        </w:rPr>
        <w:t>s</w:t>
      </w:r>
      <w:r w:rsidRPr="004F6B9C">
        <w:rPr>
          <w:sz w:val="22"/>
          <w:szCs w:val="22"/>
        </w:rPr>
        <w:t xml:space="preserve">ubmerged </w:t>
      </w:r>
      <w:r>
        <w:rPr>
          <w:sz w:val="22"/>
          <w:szCs w:val="22"/>
        </w:rPr>
        <w:t>c</w:t>
      </w:r>
      <w:r w:rsidRPr="004F6B9C">
        <w:rPr>
          <w:sz w:val="22"/>
          <w:szCs w:val="22"/>
        </w:rPr>
        <w:t xml:space="preserve">ave </w:t>
      </w:r>
      <w:r>
        <w:rPr>
          <w:sz w:val="22"/>
          <w:szCs w:val="22"/>
        </w:rPr>
        <w:t>s</w:t>
      </w:r>
      <w:r w:rsidRPr="004F6B9C">
        <w:rPr>
          <w:sz w:val="22"/>
          <w:szCs w:val="22"/>
        </w:rPr>
        <w:t xml:space="preserve">ystems by </w:t>
      </w:r>
      <w:r>
        <w:rPr>
          <w:sz w:val="22"/>
          <w:szCs w:val="22"/>
        </w:rPr>
        <w:t>m</w:t>
      </w:r>
      <w:r w:rsidRPr="004F6B9C">
        <w:rPr>
          <w:sz w:val="22"/>
          <w:szCs w:val="22"/>
        </w:rPr>
        <w:t xml:space="preserve">eans of </w:t>
      </w:r>
      <w:r>
        <w:rPr>
          <w:sz w:val="22"/>
          <w:szCs w:val="22"/>
        </w:rPr>
        <w:t>a</w:t>
      </w:r>
      <w:r w:rsidRPr="004F6B9C">
        <w:rPr>
          <w:sz w:val="22"/>
          <w:szCs w:val="22"/>
        </w:rPr>
        <w:t xml:space="preserve">irborne </w:t>
      </w:r>
      <w:r>
        <w:rPr>
          <w:sz w:val="22"/>
          <w:szCs w:val="22"/>
        </w:rPr>
        <w:t>e</w:t>
      </w:r>
      <w:r w:rsidRPr="004F6B9C">
        <w:rPr>
          <w:sz w:val="22"/>
          <w:szCs w:val="22"/>
        </w:rPr>
        <w:t xml:space="preserve">lectromagnetics: Results from the 2008 </w:t>
      </w:r>
      <w:r>
        <w:rPr>
          <w:sz w:val="22"/>
          <w:szCs w:val="22"/>
        </w:rPr>
        <w:t>m</w:t>
      </w:r>
      <w:r w:rsidRPr="004F6B9C">
        <w:rPr>
          <w:sz w:val="22"/>
          <w:szCs w:val="22"/>
        </w:rPr>
        <w:t xml:space="preserve">apping </w:t>
      </w:r>
      <w:r>
        <w:rPr>
          <w:sz w:val="22"/>
          <w:szCs w:val="22"/>
        </w:rPr>
        <w:t>c</w:t>
      </w:r>
      <w:r w:rsidRPr="004F6B9C">
        <w:rPr>
          <w:sz w:val="22"/>
          <w:szCs w:val="22"/>
        </w:rPr>
        <w:t xml:space="preserve">ampaign in </w:t>
      </w:r>
      <w:r>
        <w:rPr>
          <w:sz w:val="22"/>
          <w:szCs w:val="22"/>
        </w:rPr>
        <w:t xml:space="preserve">the area around </w:t>
      </w:r>
      <w:smartTag w:uri="urn:schemas-microsoft-com:office:smarttags" w:element="place">
        <w:smartTag w:uri="urn:schemas-microsoft-com:office:smarttags" w:element="City">
          <w:r>
            <w:rPr>
              <w:sz w:val="22"/>
              <w:szCs w:val="22"/>
            </w:rPr>
            <w:t>Tulum</w:t>
          </w:r>
        </w:smartTag>
        <w:r>
          <w:rPr>
            <w:sz w:val="22"/>
            <w:szCs w:val="22"/>
          </w:rPr>
          <w:t xml:space="preserve">, </w:t>
        </w:r>
        <w:smartTag w:uri="urn:schemas-microsoft-com:office:smarttags" w:element="State">
          <w:r>
            <w:rPr>
              <w:sz w:val="22"/>
              <w:szCs w:val="22"/>
            </w:rPr>
            <w:t>Yucatan</w:t>
          </w:r>
        </w:smartTag>
      </w:smartTag>
      <w:r>
        <w:rPr>
          <w:sz w:val="22"/>
          <w:szCs w:val="22"/>
        </w:rPr>
        <w:t>.</w:t>
      </w:r>
      <w:r w:rsidRPr="004F6B9C">
        <w:rPr>
          <w:sz w:val="22"/>
          <w:szCs w:val="22"/>
        </w:rPr>
        <w:t xml:space="preserve"> Symposium on the Application of </w:t>
      </w:r>
      <w:r w:rsidRPr="00237116">
        <w:rPr>
          <w:sz w:val="22"/>
          <w:szCs w:val="22"/>
        </w:rPr>
        <w:t>Geophysics to Engineering and Environmental Problems 22, 1, 499-510.</w:t>
      </w:r>
      <w:bookmarkEnd w:id="797"/>
    </w:p>
    <w:p w:rsidR="00237116" w:rsidRPr="00454D46" w:rsidRDefault="00237116" w:rsidP="00237116">
      <w:pPr>
        <w:pStyle w:val="References"/>
        <w:spacing w:line="240" w:lineRule="auto"/>
        <w:jc w:val="left"/>
        <w:rPr>
          <w:sz w:val="22"/>
          <w:szCs w:val="22"/>
        </w:rPr>
      </w:pPr>
      <w:r w:rsidRPr="00237116">
        <w:rPr>
          <w:sz w:val="22"/>
          <w:szCs w:val="22"/>
        </w:rPr>
        <w:t xml:space="preserve">Sylvester, A.G. 1985. Strike-slip faults. </w:t>
      </w:r>
      <w:r w:rsidRPr="00454D46">
        <w:rPr>
          <w:sz w:val="22"/>
          <w:szCs w:val="22"/>
        </w:rPr>
        <w:t>Geol. Soc. America Bull. 100, 1666-1703.</w:t>
      </w:r>
    </w:p>
    <w:p w:rsidR="000F7173" w:rsidRPr="005C716E" w:rsidRDefault="000F7173" w:rsidP="000F7173">
      <w:pPr>
        <w:pStyle w:val="References"/>
        <w:spacing w:line="240" w:lineRule="auto"/>
        <w:jc w:val="left"/>
        <w:rPr>
          <w:sz w:val="22"/>
          <w:szCs w:val="22"/>
        </w:rPr>
      </w:pPr>
      <w:r w:rsidRPr="005C716E">
        <w:rPr>
          <w:sz w:val="22"/>
          <w:szCs w:val="22"/>
        </w:rPr>
        <w:t xml:space="preserve">Tan, K.P., Apps, H., Halas, L., Gibson, D. &amp; Lawrie, K., 2005. Utilizing </w:t>
      </w:r>
      <w:r>
        <w:rPr>
          <w:sz w:val="22"/>
          <w:szCs w:val="22"/>
        </w:rPr>
        <w:t>a</w:t>
      </w:r>
      <w:r w:rsidRPr="005C716E">
        <w:rPr>
          <w:sz w:val="22"/>
          <w:szCs w:val="22"/>
        </w:rPr>
        <w:t xml:space="preserve">irborne </w:t>
      </w:r>
      <w:r>
        <w:rPr>
          <w:sz w:val="22"/>
          <w:szCs w:val="22"/>
        </w:rPr>
        <w:t>e</w:t>
      </w:r>
      <w:r w:rsidRPr="005C716E">
        <w:rPr>
          <w:sz w:val="22"/>
          <w:szCs w:val="22"/>
        </w:rPr>
        <w:t xml:space="preserve">lectromagnetic </w:t>
      </w:r>
      <w:r>
        <w:rPr>
          <w:sz w:val="22"/>
          <w:szCs w:val="22"/>
        </w:rPr>
        <w:t>d</w:t>
      </w:r>
      <w:r w:rsidRPr="005C716E">
        <w:rPr>
          <w:sz w:val="22"/>
          <w:szCs w:val="22"/>
        </w:rPr>
        <w:t xml:space="preserve">ata to </w:t>
      </w:r>
      <w:r>
        <w:rPr>
          <w:sz w:val="22"/>
          <w:szCs w:val="22"/>
        </w:rPr>
        <w:t>m</w:t>
      </w:r>
      <w:r w:rsidRPr="005C716E">
        <w:rPr>
          <w:sz w:val="22"/>
          <w:szCs w:val="22"/>
        </w:rPr>
        <w:t xml:space="preserve">odel the </w:t>
      </w:r>
      <w:r>
        <w:rPr>
          <w:sz w:val="22"/>
          <w:szCs w:val="22"/>
        </w:rPr>
        <w:t>s</w:t>
      </w:r>
      <w:r w:rsidRPr="005C716E">
        <w:rPr>
          <w:sz w:val="22"/>
          <w:szCs w:val="22"/>
        </w:rPr>
        <w:t xml:space="preserve">ubsurface </w:t>
      </w:r>
      <w:r>
        <w:rPr>
          <w:sz w:val="22"/>
          <w:szCs w:val="22"/>
        </w:rPr>
        <w:t>s</w:t>
      </w:r>
      <w:r w:rsidRPr="005C716E">
        <w:rPr>
          <w:sz w:val="22"/>
          <w:szCs w:val="22"/>
        </w:rPr>
        <w:t xml:space="preserve">alt </w:t>
      </w:r>
      <w:r>
        <w:rPr>
          <w:sz w:val="22"/>
          <w:szCs w:val="22"/>
        </w:rPr>
        <w:t>l</w:t>
      </w:r>
      <w:r w:rsidRPr="005C716E">
        <w:rPr>
          <w:sz w:val="22"/>
          <w:szCs w:val="22"/>
        </w:rPr>
        <w:t xml:space="preserve">oad </w:t>
      </w:r>
      <w:r>
        <w:rPr>
          <w:sz w:val="22"/>
          <w:szCs w:val="22"/>
        </w:rPr>
        <w:t>i</w:t>
      </w:r>
      <w:r w:rsidRPr="005C716E">
        <w:rPr>
          <w:sz w:val="22"/>
          <w:szCs w:val="22"/>
        </w:rPr>
        <w:t xml:space="preserve">n </w:t>
      </w:r>
      <w:r>
        <w:rPr>
          <w:sz w:val="22"/>
          <w:szCs w:val="22"/>
        </w:rPr>
        <w:t>a</w:t>
      </w:r>
      <w:r w:rsidRPr="005C716E">
        <w:rPr>
          <w:sz w:val="22"/>
          <w:szCs w:val="22"/>
        </w:rPr>
        <w:t xml:space="preserve"> </w:t>
      </w:r>
      <w:r>
        <w:rPr>
          <w:sz w:val="22"/>
          <w:szCs w:val="22"/>
        </w:rPr>
        <w:t>c</w:t>
      </w:r>
      <w:r w:rsidRPr="005C716E">
        <w:rPr>
          <w:sz w:val="22"/>
          <w:szCs w:val="22"/>
        </w:rPr>
        <w:t xml:space="preserve">atchment, </w:t>
      </w:r>
      <w:smartTag w:uri="urn:schemas-microsoft-com:office:smarttags" w:element="place">
        <w:smartTag w:uri="urn:schemas-microsoft-com:office:smarttags" w:element="PlaceName">
          <w:r w:rsidRPr="005C716E">
            <w:rPr>
              <w:sz w:val="22"/>
              <w:szCs w:val="22"/>
            </w:rPr>
            <w:t>Bland</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NSW. In</w:t>
      </w:r>
      <w:r>
        <w:rPr>
          <w:sz w:val="22"/>
          <w:szCs w:val="22"/>
        </w:rPr>
        <w:t>:</w:t>
      </w:r>
      <w:r w:rsidRPr="005C716E">
        <w:rPr>
          <w:sz w:val="22"/>
          <w:szCs w:val="22"/>
        </w:rPr>
        <w:t xml:space="preserve"> Zerger, A. </w:t>
      </w:r>
      <w:r>
        <w:rPr>
          <w:sz w:val="22"/>
          <w:szCs w:val="22"/>
        </w:rPr>
        <w:t>&amp;</w:t>
      </w:r>
      <w:r w:rsidRPr="005C716E">
        <w:rPr>
          <w:sz w:val="22"/>
          <w:szCs w:val="22"/>
        </w:rPr>
        <w:t xml:space="preserve"> Argent, R.M. (eds) MODSIM 2005 International Congress on Modelling and Simulation. Modelling and Simulation </w:t>
      </w:r>
      <w:r w:rsidRPr="005C716E">
        <w:rPr>
          <w:sz w:val="22"/>
          <w:szCs w:val="22"/>
        </w:rPr>
        <w:lastRenderedPageBreak/>
        <w:t xml:space="preserve">Society of </w:t>
      </w:r>
      <w:smartTag w:uri="urn:schemas-microsoft-com:office:smarttags" w:element="country-region">
        <w:r w:rsidRPr="005C716E">
          <w:rPr>
            <w:sz w:val="22"/>
            <w:szCs w:val="22"/>
          </w:rPr>
          <w:t>Australia</w:t>
        </w:r>
      </w:smartTag>
      <w:r w:rsidRPr="005C716E">
        <w:rPr>
          <w:sz w:val="22"/>
          <w:szCs w:val="22"/>
        </w:rPr>
        <w:t xml:space="preserve"> and </w:t>
      </w:r>
      <w:smartTag w:uri="urn:schemas-microsoft-com:office:smarttags" w:element="place">
        <w:smartTag w:uri="urn:schemas-microsoft-com:office:smarttags" w:element="country-region">
          <w:r w:rsidRPr="005C716E">
            <w:rPr>
              <w:sz w:val="22"/>
              <w:szCs w:val="22"/>
            </w:rPr>
            <w:t>New Zealand</w:t>
          </w:r>
        </w:smartTag>
      </w:smartTag>
      <w:r w:rsidRPr="005C716E">
        <w:rPr>
          <w:sz w:val="22"/>
          <w:szCs w:val="22"/>
        </w:rPr>
        <w:t xml:space="preserve">, December 2005, pp. 1478-1484 ISBN: 0-9758400-2-9. </w:t>
      </w:r>
      <w:hyperlink r:id="rId166" w:history="1">
        <w:r w:rsidRPr="005C716E">
          <w:rPr>
            <w:rStyle w:val="Hyperlink"/>
            <w:sz w:val="22"/>
            <w:szCs w:val="22"/>
          </w:rPr>
          <w:t>http://www.mssanz.org.au/modsim05/papers/ascough_1.pdf</w:t>
        </w:r>
      </w:hyperlink>
      <w:r w:rsidRPr="005C716E">
        <w:rPr>
          <w:sz w:val="22"/>
          <w:szCs w:val="22"/>
        </w:rPr>
        <w:t xml:space="preserve"> </w:t>
      </w:r>
    </w:p>
    <w:p w:rsidR="000F7173" w:rsidRPr="005C716E" w:rsidRDefault="000F7173" w:rsidP="000F7173">
      <w:pPr>
        <w:pStyle w:val="References"/>
        <w:spacing w:line="240" w:lineRule="auto"/>
        <w:jc w:val="left"/>
        <w:rPr>
          <w:sz w:val="22"/>
          <w:szCs w:val="22"/>
        </w:rPr>
      </w:pPr>
      <w:r w:rsidRPr="005C716E">
        <w:rPr>
          <w:sz w:val="22"/>
          <w:szCs w:val="22"/>
        </w:rPr>
        <w:t xml:space="preserve">Tan, K.P., Clarke, J.D.A., Halas, L., Lawrie, K.C., Apps, H.E., Brodie, R.C., Costelloe, M., Sumner, J., Fell-Smith, S., Christensen, N.B., Schoning, G.L., Halas, V. &amp; Lewis, S.J. 2012. Northern Territory Coastal Plain: Mapping </w:t>
      </w:r>
      <w:r>
        <w:rPr>
          <w:sz w:val="22"/>
          <w:szCs w:val="22"/>
        </w:rPr>
        <w:t>s</w:t>
      </w:r>
      <w:r w:rsidRPr="005C716E">
        <w:rPr>
          <w:sz w:val="22"/>
          <w:szCs w:val="22"/>
        </w:rPr>
        <w:t xml:space="preserve">eawater </w:t>
      </w:r>
      <w:r>
        <w:rPr>
          <w:sz w:val="22"/>
          <w:szCs w:val="22"/>
        </w:rPr>
        <w:t>i</w:t>
      </w:r>
      <w:r w:rsidRPr="005C716E">
        <w:rPr>
          <w:sz w:val="22"/>
          <w:szCs w:val="22"/>
        </w:rPr>
        <w:t xml:space="preserve">ntrusion in </w:t>
      </w:r>
      <w:r>
        <w:rPr>
          <w:sz w:val="22"/>
          <w:szCs w:val="22"/>
        </w:rPr>
        <w:t>c</w:t>
      </w:r>
      <w:r w:rsidRPr="005C716E">
        <w:rPr>
          <w:sz w:val="22"/>
          <w:szCs w:val="22"/>
        </w:rPr>
        <w:t xml:space="preserve">oastal </w:t>
      </w:r>
      <w:r>
        <w:rPr>
          <w:sz w:val="22"/>
          <w:szCs w:val="22"/>
        </w:rPr>
        <w:t>p</w:t>
      </w:r>
      <w:r w:rsidRPr="005C716E">
        <w:rPr>
          <w:sz w:val="22"/>
          <w:szCs w:val="22"/>
        </w:rPr>
        <w:t xml:space="preserve">lain </w:t>
      </w:r>
      <w:r>
        <w:rPr>
          <w:sz w:val="22"/>
          <w:szCs w:val="22"/>
        </w:rPr>
        <w:t>a</w:t>
      </w:r>
      <w:r w:rsidRPr="005C716E">
        <w:rPr>
          <w:sz w:val="22"/>
          <w:szCs w:val="22"/>
        </w:rPr>
        <w:t xml:space="preserve">quifers </w:t>
      </w:r>
      <w:r>
        <w:rPr>
          <w:sz w:val="22"/>
          <w:szCs w:val="22"/>
        </w:rPr>
        <w:t>u</w:t>
      </w:r>
      <w:r w:rsidRPr="005C716E">
        <w:rPr>
          <w:sz w:val="22"/>
          <w:szCs w:val="22"/>
        </w:rPr>
        <w:t xml:space="preserve">sing </w:t>
      </w:r>
      <w:r>
        <w:rPr>
          <w:sz w:val="22"/>
          <w:szCs w:val="22"/>
        </w:rPr>
        <w:t>a</w:t>
      </w:r>
      <w:r w:rsidRPr="005C716E">
        <w:rPr>
          <w:sz w:val="22"/>
          <w:szCs w:val="22"/>
        </w:rPr>
        <w:t xml:space="preserve">irborne </w:t>
      </w:r>
      <w:r>
        <w:rPr>
          <w:sz w:val="22"/>
          <w:szCs w:val="22"/>
        </w:rPr>
        <w:t>e</w:t>
      </w:r>
      <w:r w:rsidRPr="005C716E">
        <w:rPr>
          <w:sz w:val="22"/>
          <w:szCs w:val="22"/>
        </w:rPr>
        <w:t xml:space="preserve">lectromagnetic </w:t>
      </w:r>
      <w:r>
        <w:rPr>
          <w:sz w:val="22"/>
          <w:szCs w:val="22"/>
        </w:rPr>
        <w:t>d</w:t>
      </w:r>
      <w:r w:rsidRPr="005C716E">
        <w:rPr>
          <w:sz w:val="22"/>
          <w:szCs w:val="22"/>
        </w:rPr>
        <w:t xml:space="preserve">ata. Geoscience </w:t>
      </w:r>
      <w:smartTag w:uri="urn:schemas-microsoft-com:office:smarttags" w:element="country-region">
        <w:r w:rsidRPr="005C716E">
          <w:rPr>
            <w:sz w:val="22"/>
            <w:szCs w:val="22"/>
          </w:rPr>
          <w:t>Australia</w:t>
        </w:r>
      </w:smartTag>
      <w:r w:rsidRPr="005C716E">
        <w:rPr>
          <w:sz w:val="22"/>
          <w:szCs w:val="22"/>
        </w:rPr>
        <w:t xml:space="preserve"> Record, 2012/41, </w:t>
      </w:r>
      <w:smartTag w:uri="urn:schemas-microsoft-com:office:smarttags" w:element="place">
        <w:smartTag w:uri="urn:schemas-microsoft-com:office:smarttags" w:element="City">
          <w:r w:rsidRPr="005C716E">
            <w:rPr>
              <w:sz w:val="22"/>
              <w:szCs w:val="22"/>
            </w:rPr>
            <w:t>Canberra</w:t>
          </w:r>
        </w:smartTag>
      </w:smartTag>
      <w:r w:rsidRPr="005C716E">
        <w:rPr>
          <w:sz w:val="22"/>
          <w:szCs w:val="22"/>
        </w:rPr>
        <w:t>. 218</w:t>
      </w:r>
      <w:r w:rsidR="00DB488F">
        <w:rPr>
          <w:sz w:val="22"/>
          <w:szCs w:val="22"/>
        </w:rPr>
        <w:t xml:space="preserve"> </w:t>
      </w:r>
      <w:r w:rsidRPr="005C716E">
        <w:rPr>
          <w:sz w:val="22"/>
          <w:szCs w:val="22"/>
        </w:rPr>
        <w:t>p.</w:t>
      </w:r>
    </w:p>
    <w:p w:rsidR="000F7173" w:rsidRPr="005C716E" w:rsidRDefault="000F7173" w:rsidP="000F7173">
      <w:pPr>
        <w:pStyle w:val="References"/>
        <w:spacing w:line="240" w:lineRule="auto"/>
        <w:jc w:val="left"/>
        <w:rPr>
          <w:sz w:val="22"/>
          <w:szCs w:val="22"/>
        </w:rPr>
      </w:pPr>
      <w:r w:rsidRPr="005C716E">
        <w:rPr>
          <w:sz w:val="22"/>
          <w:szCs w:val="22"/>
        </w:rPr>
        <w:t xml:space="preserve">Taylor-Wood, E., McCormick, S., Mueck, S., </w:t>
      </w:r>
      <w:smartTag w:uri="urn:schemas-microsoft-com:office:smarttags" w:element="place">
        <w:smartTag w:uri="urn:schemas-microsoft-com:office:smarttags" w:element="City">
          <w:r w:rsidRPr="005C716E">
            <w:rPr>
              <w:sz w:val="22"/>
              <w:szCs w:val="22"/>
            </w:rPr>
            <w:t>Richardson</w:t>
          </w:r>
        </w:smartTag>
      </w:smartTag>
      <w:r w:rsidRPr="005C716E">
        <w:rPr>
          <w:sz w:val="22"/>
          <w:szCs w:val="22"/>
        </w:rPr>
        <w:t xml:space="preserve">, M. &amp; Jukic, M. 2001. Report for the </w:t>
      </w:r>
      <w:smartTag w:uri="urn:schemas-microsoft-com:office:smarttags" w:element="place">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smartTag>
      <w:r w:rsidRPr="005C716E">
        <w:rPr>
          <w:sz w:val="22"/>
          <w:szCs w:val="22"/>
        </w:rPr>
        <w:t xml:space="preserve"> Ecologically Sustainable Development Project Steering Committee. Vegetation/habitat mapping of inundated areas of </w:t>
      </w:r>
      <w:smartTag w:uri="urn:schemas-microsoft-com:office:smarttags" w:element="place">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smartTag>
      <w:r w:rsidRPr="005C716E">
        <w:rPr>
          <w:sz w:val="22"/>
          <w:szCs w:val="22"/>
        </w:rPr>
        <w:t>. Project no. 3445.</w:t>
      </w:r>
    </w:p>
    <w:p w:rsidR="000F7173" w:rsidRPr="005C716E" w:rsidRDefault="000F7173" w:rsidP="000F7173">
      <w:pPr>
        <w:pStyle w:val="References"/>
        <w:spacing w:line="240" w:lineRule="auto"/>
        <w:jc w:val="left"/>
        <w:rPr>
          <w:sz w:val="22"/>
          <w:szCs w:val="22"/>
        </w:rPr>
      </w:pPr>
      <w:r w:rsidRPr="005C716E">
        <w:rPr>
          <w:sz w:val="22"/>
          <w:szCs w:val="22"/>
        </w:rPr>
        <w:t>Theiss Services</w:t>
      </w:r>
      <w:r w:rsidR="002261E5">
        <w:rPr>
          <w:sz w:val="22"/>
          <w:szCs w:val="22"/>
        </w:rPr>
        <w:t>.</w:t>
      </w:r>
      <w:r w:rsidRPr="005C716E">
        <w:rPr>
          <w:sz w:val="22"/>
          <w:szCs w:val="22"/>
        </w:rPr>
        <w:t xml:space="preserve"> 2002. </w:t>
      </w:r>
      <w:smartTag w:uri="urn:schemas-microsoft-com:office:smarttags" w:element="PlaceName">
        <w:r>
          <w:rPr>
            <w:sz w:val="22"/>
            <w:szCs w:val="22"/>
          </w:rPr>
          <w:t>Menindee</w:t>
        </w:r>
      </w:smartTag>
      <w:r>
        <w:rPr>
          <w:sz w:val="22"/>
          <w:szCs w:val="22"/>
        </w:rPr>
        <w:t xml:space="preserve"> </w:t>
      </w:r>
      <w:smartTag w:uri="urn:schemas-microsoft-com:office:smarttags" w:element="PlaceType">
        <w:r>
          <w:rPr>
            <w:sz w:val="22"/>
            <w:szCs w:val="22"/>
          </w:rPr>
          <w:t>Lakes</w:t>
        </w:r>
      </w:smartTag>
      <w:r w:rsidRPr="005C716E">
        <w:rPr>
          <w:sz w:val="22"/>
          <w:szCs w:val="22"/>
        </w:rPr>
        <w:t xml:space="preserve"> E</w:t>
      </w:r>
      <w:r>
        <w:rPr>
          <w:sz w:val="22"/>
          <w:szCs w:val="22"/>
        </w:rPr>
        <w:t>SD</w:t>
      </w:r>
      <w:r w:rsidRPr="005C716E">
        <w:rPr>
          <w:sz w:val="22"/>
          <w:szCs w:val="22"/>
        </w:rPr>
        <w:t xml:space="preserve"> Project: Topographic survey of </w:t>
      </w:r>
      <w:smartTag w:uri="urn:schemas-microsoft-com:office:smarttags" w:element="place">
        <w:smartTag w:uri="urn:schemas-microsoft-com:office:smarttags" w:element="PlaceType">
          <w:r w:rsidRPr="005C716E">
            <w:rPr>
              <w:sz w:val="22"/>
              <w:szCs w:val="22"/>
            </w:rPr>
            <w:t>Lake</w:t>
          </w:r>
        </w:smartTag>
        <w:r w:rsidRPr="005C716E">
          <w:rPr>
            <w:sz w:val="22"/>
            <w:szCs w:val="22"/>
          </w:rPr>
          <w:t xml:space="preserve"> </w:t>
        </w:r>
        <w:smartTag w:uri="urn:schemas-microsoft-com:office:smarttags" w:element="PlaceName">
          <w:r w:rsidRPr="005C716E">
            <w:rPr>
              <w:sz w:val="22"/>
              <w:szCs w:val="22"/>
            </w:rPr>
            <w:t>Wetherell</w:t>
          </w:r>
        </w:smartTag>
      </w:smartTag>
      <w:r w:rsidR="002261E5">
        <w:rPr>
          <w:sz w:val="22"/>
          <w:szCs w:val="22"/>
        </w:rPr>
        <w:t xml:space="preserve">. </w:t>
      </w:r>
      <w:r w:rsidRPr="005C716E">
        <w:rPr>
          <w:sz w:val="22"/>
          <w:szCs w:val="22"/>
        </w:rPr>
        <w:t>Final Report.</w:t>
      </w:r>
    </w:p>
    <w:p w:rsidR="000F7173" w:rsidRPr="005C716E" w:rsidRDefault="000F7173" w:rsidP="000F7173">
      <w:pPr>
        <w:pStyle w:val="References"/>
        <w:spacing w:line="240" w:lineRule="auto"/>
        <w:jc w:val="left"/>
        <w:rPr>
          <w:sz w:val="22"/>
          <w:szCs w:val="22"/>
        </w:rPr>
      </w:pPr>
      <w:r w:rsidRPr="005C716E">
        <w:rPr>
          <w:sz w:val="22"/>
          <w:szCs w:val="22"/>
        </w:rPr>
        <w:t xml:space="preserve">Thoms, M.C., Sheldon, F., Roberts, J., Harris, J. &amp; Hillman, T.J. 1996. Scientific panel assessment of environmental flows for the </w:t>
      </w:r>
      <w:smartTag w:uri="urn:schemas-microsoft-com:office:smarttags" w:element="place">
        <w:smartTag w:uri="urn:schemas-microsoft-com:office:smarttags" w:element="PlaceName">
          <w:r w:rsidRPr="005C716E">
            <w:rPr>
              <w:sz w:val="22"/>
              <w:szCs w:val="22"/>
            </w:rPr>
            <w:t>Barwon–Darling</w:t>
          </w:r>
        </w:smartTag>
        <w:r w:rsidRPr="005C716E">
          <w:rPr>
            <w:sz w:val="22"/>
            <w:szCs w:val="22"/>
          </w:rPr>
          <w:t xml:space="preserve"> </w:t>
        </w:r>
        <w:smartTag w:uri="urn:schemas-microsoft-com:office:smarttags" w:element="PlaceType">
          <w:r w:rsidRPr="005C716E">
            <w:rPr>
              <w:sz w:val="22"/>
              <w:szCs w:val="22"/>
            </w:rPr>
            <w:t>River</w:t>
          </w:r>
        </w:smartTag>
      </w:smartTag>
      <w:r>
        <w:rPr>
          <w:sz w:val="22"/>
          <w:szCs w:val="22"/>
        </w:rPr>
        <w:t>.</w:t>
      </w:r>
      <w:r w:rsidRPr="005C716E">
        <w:rPr>
          <w:sz w:val="22"/>
          <w:szCs w:val="22"/>
        </w:rPr>
        <w:t xml:space="preserve"> NSW Department of Land and Water Conservation, </w:t>
      </w:r>
      <w:smartTag w:uri="urn:schemas-microsoft-com:office:smarttags" w:element="place">
        <w:smartTag w:uri="urn:schemas-microsoft-com:office:smarttags" w:element="City">
          <w:r w:rsidRPr="005C716E">
            <w:rPr>
              <w:sz w:val="22"/>
              <w:szCs w:val="22"/>
            </w:rPr>
            <w:t>Sydney</w:t>
          </w:r>
        </w:smartTag>
      </w:smartTag>
      <w:r w:rsidRPr="005C716E">
        <w:rPr>
          <w:sz w:val="22"/>
          <w:szCs w:val="22"/>
        </w:rPr>
        <w:t>, 180 pp.</w:t>
      </w:r>
    </w:p>
    <w:p w:rsidR="000F7173" w:rsidRPr="005C716E" w:rsidRDefault="000F7173" w:rsidP="000F7173">
      <w:pPr>
        <w:pStyle w:val="References"/>
        <w:spacing w:line="240" w:lineRule="auto"/>
        <w:jc w:val="left"/>
        <w:rPr>
          <w:sz w:val="22"/>
          <w:szCs w:val="22"/>
        </w:rPr>
      </w:pPr>
      <w:r w:rsidRPr="005C716E">
        <w:rPr>
          <w:sz w:val="22"/>
          <w:szCs w:val="22"/>
        </w:rPr>
        <w:t>Thoms</w:t>
      </w:r>
      <w:r w:rsidR="002261E5">
        <w:rPr>
          <w:sz w:val="22"/>
          <w:szCs w:val="22"/>
        </w:rPr>
        <w:t>,</w:t>
      </w:r>
      <w:r w:rsidRPr="005C716E">
        <w:rPr>
          <w:sz w:val="22"/>
          <w:szCs w:val="22"/>
        </w:rPr>
        <w:t xml:space="preserve"> M.C. &amp; Sheldon, F. 2000. Water resource development and hydrological change in a large dryland river: the </w:t>
      </w:r>
      <w:smartTag w:uri="urn:schemas-microsoft-com:office:smarttags" w:element="PlaceName">
        <w:r w:rsidRPr="005C716E">
          <w:rPr>
            <w:sz w:val="22"/>
            <w:szCs w:val="22"/>
          </w:rPr>
          <w:t>Barwon–Darling</w:t>
        </w:r>
      </w:smartTag>
      <w:r w:rsidRPr="005C716E">
        <w:rPr>
          <w:sz w:val="22"/>
          <w:szCs w:val="22"/>
        </w:rPr>
        <w:t xml:space="preserve"> </w:t>
      </w:r>
      <w:smartTag w:uri="urn:schemas-microsoft-com:office:smarttags" w:element="PlaceType">
        <w:r w:rsidRPr="005C716E">
          <w:rPr>
            <w:sz w:val="22"/>
            <w:szCs w:val="22"/>
          </w:rPr>
          <w:t>River</w:t>
        </w:r>
      </w:smartTag>
      <w:r w:rsidRPr="005C716E">
        <w:rPr>
          <w:sz w:val="22"/>
          <w:szCs w:val="22"/>
        </w:rPr>
        <w:t xml:space="preserve">, </w:t>
      </w:r>
      <w:smartTag w:uri="urn:schemas-microsoft-com:office:smarttags" w:element="place">
        <w:smartTag w:uri="urn:schemas-microsoft-com:office:smarttags" w:element="country-region">
          <w:r w:rsidRPr="005C716E">
            <w:rPr>
              <w:sz w:val="22"/>
              <w:szCs w:val="22"/>
            </w:rPr>
            <w:t>Australia</w:t>
          </w:r>
        </w:smartTag>
      </w:smartTag>
      <w:r w:rsidRPr="005C716E">
        <w:rPr>
          <w:sz w:val="22"/>
          <w:szCs w:val="22"/>
        </w:rPr>
        <w:t>. Journal of Hydrology 228, 10–21.</w:t>
      </w:r>
    </w:p>
    <w:p w:rsidR="000F7173" w:rsidRDefault="000F7173" w:rsidP="000F7173">
      <w:pPr>
        <w:pStyle w:val="References"/>
        <w:jc w:val="left"/>
        <w:rPr>
          <w:sz w:val="22"/>
          <w:szCs w:val="22"/>
        </w:rPr>
      </w:pPr>
      <w:r>
        <w:rPr>
          <w:sz w:val="22"/>
          <w:szCs w:val="22"/>
        </w:rPr>
        <w:t>Thomson, S., Fountain, D</w:t>
      </w:r>
      <w:r w:rsidR="002261E5">
        <w:rPr>
          <w:sz w:val="22"/>
          <w:szCs w:val="22"/>
        </w:rPr>
        <w:t>.</w:t>
      </w:r>
      <w:r>
        <w:rPr>
          <w:sz w:val="22"/>
          <w:szCs w:val="22"/>
        </w:rPr>
        <w:t xml:space="preserve"> &amp; Watts, T. 2007. Airborne geophysics- evolution and revolution. In: Milkereit, B. (ed) Proceedings of Exploration 07: Fifth Decennial International Conference on Mineral Exploration. 9-12 September, </w:t>
      </w:r>
      <w:smartTag w:uri="urn:schemas-microsoft-com:office:smarttags" w:element="place">
        <w:smartTag w:uri="urn:schemas-microsoft-com:office:smarttags" w:element="City">
          <w:r>
            <w:rPr>
              <w:sz w:val="22"/>
              <w:szCs w:val="22"/>
            </w:rPr>
            <w:t>Toronto</w:t>
          </w:r>
        </w:smartTag>
        <w:r>
          <w:rPr>
            <w:sz w:val="22"/>
            <w:szCs w:val="22"/>
          </w:rPr>
          <w:t xml:space="preserve">, </w:t>
        </w:r>
        <w:smartTag w:uri="urn:schemas-microsoft-com:office:smarttags" w:element="country-region">
          <w:r>
            <w:rPr>
              <w:sz w:val="22"/>
              <w:szCs w:val="22"/>
            </w:rPr>
            <w:t>Canada</w:t>
          </w:r>
        </w:smartTag>
      </w:smartTag>
      <w:r>
        <w:rPr>
          <w:sz w:val="22"/>
          <w:szCs w:val="22"/>
        </w:rPr>
        <w:t xml:space="preserve">. pp. 19-37. Prospectors and Developers Association of </w:t>
      </w:r>
      <w:smartTag w:uri="urn:schemas-microsoft-com:office:smarttags" w:element="country-region">
        <w:r>
          <w:rPr>
            <w:sz w:val="22"/>
            <w:szCs w:val="22"/>
          </w:rPr>
          <w:t>Canada</w:t>
        </w:r>
      </w:smartTag>
      <w:r>
        <w:rPr>
          <w:sz w:val="22"/>
          <w:szCs w:val="22"/>
        </w:rPr>
        <w:t xml:space="preserve">, </w:t>
      </w:r>
      <w:smartTag w:uri="urn:schemas-microsoft-com:office:smarttags" w:element="place">
        <w:smartTag w:uri="urn:schemas-microsoft-com:office:smarttags" w:element="City">
          <w:r>
            <w:rPr>
              <w:sz w:val="22"/>
              <w:szCs w:val="22"/>
            </w:rPr>
            <w:t>Toronto</w:t>
          </w:r>
        </w:smartTag>
        <w:r>
          <w:rPr>
            <w:sz w:val="22"/>
            <w:szCs w:val="22"/>
          </w:rPr>
          <w:t xml:space="preserve">, </w:t>
        </w:r>
        <w:smartTag w:uri="urn:schemas-microsoft-com:office:smarttags" w:element="country-region">
          <w:r>
            <w:rPr>
              <w:sz w:val="22"/>
              <w:szCs w:val="22"/>
            </w:rPr>
            <w:t>Canada</w:t>
          </w:r>
        </w:smartTag>
      </w:smartTag>
      <w:r>
        <w:rPr>
          <w:sz w:val="22"/>
          <w:szCs w:val="22"/>
        </w:rPr>
        <w:t>.</w:t>
      </w:r>
    </w:p>
    <w:p w:rsidR="000F7173" w:rsidRPr="004053EE" w:rsidRDefault="000F7173" w:rsidP="000F7173">
      <w:pPr>
        <w:pStyle w:val="References"/>
        <w:spacing w:line="240" w:lineRule="auto"/>
        <w:jc w:val="left"/>
        <w:rPr>
          <w:sz w:val="22"/>
          <w:szCs w:val="22"/>
        </w:rPr>
      </w:pPr>
      <w:r w:rsidRPr="005C716E">
        <w:rPr>
          <w:sz w:val="22"/>
          <w:szCs w:val="22"/>
        </w:rPr>
        <w:t xml:space="preserve">Vanderzalm, J., Barry, K., Miotlinski, K. &amp; Page, D. 2012. Broken Hill MAR: Geochemical evaluation – revision including monitoring data collected until 31/8/2011. CSIRO: Water for a Healthy Country </w:t>
      </w:r>
      <w:r w:rsidRPr="004053EE">
        <w:rPr>
          <w:sz w:val="22"/>
          <w:szCs w:val="22"/>
        </w:rPr>
        <w:t>National Research Flagship.</w:t>
      </w:r>
    </w:p>
    <w:p w:rsidR="000F7173" w:rsidRPr="005C716E" w:rsidRDefault="000F7173" w:rsidP="000F7173">
      <w:pPr>
        <w:pStyle w:val="References"/>
        <w:spacing w:line="240" w:lineRule="auto"/>
        <w:jc w:val="left"/>
        <w:rPr>
          <w:sz w:val="22"/>
          <w:szCs w:val="22"/>
        </w:rPr>
      </w:pPr>
      <w:r w:rsidRPr="004053EE">
        <w:rPr>
          <w:sz w:val="22"/>
          <w:szCs w:val="22"/>
        </w:rPr>
        <w:t xml:space="preserve">Viezzoli, A., Abraham, J., Bedrosian, P., Cannia, J., Minsley, B. &amp; Brown, B. 2011. Fast and </w:t>
      </w:r>
      <w:r>
        <w:rPr>
          <w:sz w:val="22"/>
          <w:szCs w:val="22"/>
        </w:rPr>
        <w:t>e</w:t>
      </w:r>
      <w:r w:rsidRPr="004053EE">
        <w:rPr>
          <w:sz w:val="22"/>
          <w:szCs w:val="22"/>
        </w:rPr>
        <w:t xml:space="preserve">ffective </w:t>
      </w:r>
      <w:r>
        <w:rPr>
          <w:sz w:val="22"/>
          <w:szCs w:val="22"/>
        </w:rPr>
        <w:t>g</w:t>
      </w:r>
      <w:r w:rsidRPr="004053EE">
        <w:rPr>
          <w:sz w:val="22"/>
          <w:szCs w:val="22"/>
        </w:rPr>
        <w:t xml:space="preserve">roundwater </w:t>
      </w:r>
      <w:r>
        <w:rPr>
          <w:sz w:val="22"/>
          <w:szCs w:val="22"/>
        </w:rPr>
        <w:t>m</w:t>
      </w:r>
      <w:r w:rsidRPr="004053EE">
        <w:rPr>
          <w:sz w:val="22"/>
          <w:szCs w:val="22"/>
        </w:rPr>
        <w:t xml:space="preserve">apping from 10 to 300 m </w:t>
      </w:r>
      <w:r>
        <w:rPr>
          <w:sz w:val="22"/>
          <w:szCs w:val="22"/>
        </w:rPr>
        <w:t>d</w:t>
      </w:r>
      <w:r w:rsidRPr="004053EE">
        <w:rPr>
          <w:sz w:val="22"/>
          <w:szCs w:val="22"/>
        </w:rPr>
        <w:t xml:space="preserve">epth with </w:t>
      </w:r>
      <w:r>
        <w:rPr>
          <w:sz w:val="22"/>
          <w:szCs w:val="22"/>
        </w:rPr>
        <w:t>a</w:t>
      </w:r>
      <w:r w:rsidRPr="004053EE">
        <w:rPr>
          <w:sz w:val="22"/>
          <w:szCs w:val="22"/>
        </w:rPr>
        <w:t xml:space="preserve">ccurate </w:t>
      </w:r>
      <w:r>
        <w:rPr>
          <w:sz w:val="22"/>
          <w:szCs w:val="22"/>
        </w:rPr>
        <w:t>p</w:t>
      </w:r>
      <w:r w:rsidRPr="004053EE">
        <w:rPr>
          <w:sz w:val="22"/>
          <w:szCs w:val="22"/>
        </w:rPr>
        <w:t xml:space="preserve">rocessing and </w:t>
      </w:r>
      <w:r>
        <w:rPr>
          <w:sz w:val="22"/>
          <w:szCs w:val="22"/>
        </w:rPr>
        <w:t>i</w:t>
      </w:r>
      <w:r w:rsidRPr="004053EE">
        <w:rPr>
          <w:sz w:val="22"/>
          <w:szCs w:val="22"/>
        </w:rPr>
        <w:t xml:space="preserve">nversion of SkyTEM </w:t>
      </w:r>
      <w:r>
        <w:rPr>
          <w:sz w:val="22"/>
          <w:szCs w:val="22"/>
        </w:rPr>
        <w:t>d</w:t>
      </w:r>
      <w:r w:rsidRPr="004053EE">
        <w:rPr>
          <w:sz w:val="22"/>
          <w:szCs w:val="22"/>
        </w:rPr>
        <w:t xml:space="preserve">ata. </w:t>
      </w:r>
      <w:r w:rsidRPr="0003790C">
        <w:rPr>
          <w:sz w:val="22"/>
          <w:szCs w:val="22"/>
        </w:rPr>
        <w:t>In</w:t>
      </w:r>
      <w:r>
        <w:rPr>
          <w:sz w:val="22"/>
          <w:szCs w:val="22"/>
        </w:rPr>
        <w:t>:</w:t>
      </w:r>
      <w:r w:rsidRPr="004053EE">
        <w:rPr>
          <w:sz w:val="22"/>
          <w:szCs w:val="22"/>
        </w:rPr>
        <w:t xml:space="preserve"> Environmental Engineering Geophysical Society’s Annual Symposium on the Application of Geophysics to Environmental and Engineering Problems</w:t>
      </w:r>
      <w:r>
        <w:rPr>
          <w:sz w:val="22"/>
          <w:szCs w:val="22"/>
        </w:rPr>
        <w:t>,</w:t>
      </w:r>
      <w:r w:rsidRPr="004053EE">
        <w:rPr>
          <w:sz w:val="22"/>
          <w:szCs w:val="22"/>
        </w:rPr>
        <w:t xml:space="preserve"> April 10-14, Charleston, SC.</w:t>
      </w:r>
    </w:p>
    <w:p w:rsidR="000F7173" w:rsidRPr="005C716E" w:rsidRDefault="000F7173" w:rsidP="000F7173">
      <w:pPr>
        <w:pStyle w:val="References"/>
        <w:spacing w:line="240" w:lineRule="auto"/>
        <w:jc w:val="left"/>
        <w:rPr>
          <w:sz w:val="22"/>
          <w:szCs w:val="22"/>
        </w:rPr>
      </w:pPr>
      <w:r w:rsidRPr="005C716E">
        <w:rPr>
          <w:sz w:val="22"/>
          <w:szCs w:val="22"/>
        </w:rPr>
        <w:t xml:space="preserve">Walker, G., Cresswell, R., Munday, T. &amp; Liddicoat, C. 2004. South Australian Salinity Mapping and Management Support Project: Final Report (Overall Project Summary Report), </w:t>
      </w:r>
      <w:smartTag w:uri="urn:schemas-microsoft-com:office:smarttags" w:element="place">
        <w:smartTag w:uri="urn:schemas-microsoft-com:office:smarttags" w:element="State">
          <w:r w:rsidRPr="005C716E">
            <w:rPr>
              <w:sz w:val="22"/>
              <w:szCs w:val="22"/>
            </w:rPr>
            <w:t>South Australia</w:t>
          </w:r>
        </w:smartTag>
      </w:smartTag>
      <w:r w:rsidRPr="005C716E">
        <w:rPr>
          <w:sz w:val="22"/>
          <w:szCs w:val="22"/>
        </w:rPr>
        <w:t>. Department of Water, Land and Biodiversity Conservation. Report, DLWBC 2004/39.</w:t>
      </w:r>
    </w:p>
    <w:p w:rsidR="000F7173" w:rsidRPr="005C716E" w:rsidRDefault="000F7173" w:rsidP="000F7173">
      <w:pPr>
        <w:pStyle w:val="References"/>
        <w:spacing w:line="240" w:lineRule="auto"/>
        <w:jc w:val="left"/>
        <w:rPr>
          <w:sz w:val="22"/>
          <w:szCs w:val="22"/>
        </w:rPr>
      </w:pPr>
      <w:r w:rsidRPr="005C716E">
        <w:rPr>
          <w:sz w:val="22"/>
          <w:szCs w:val="22"/>
        </w:rPr>
        <w:t>Webb, Mc</w:t>
      </w:r>
      <w:r>
        <w:rPr>
          <w:sz w:val="22"/>
          <w:szCs w:val="22"/>
        </w:rPr>
        <w:t>K</w:t>
      </w:r>
      <w:r w:rsidRPr="005C716E">
        <w:rPr>
          <w:sz w:val="22"/>
          <w:szCs w:val="22"/>
        </w:rPr>
        <w:t>eown &amp; Associates (WMA)</w:t>
      </w:r>
      <w:r w:rsidR="002261E5">
        <w:rPr>
          <w:sz w:val="22"/>
          <w:szCs w:val="22"/>
        </w:rPr>
        <w:t>.</w:t>
      </w:r>
      <w:r w:rsidRPr="005C716E">
        <w:rPr>
          <w:sz w:val="22"/>
          <w:szCs w:val="22"/>
        </w:rPr>
        <w:t xml:space="preserve"> 2007. State of the Darling, Interim Hydrology. Report for </w:t>
      </w:r>
      <w:smartTag w:uri="urn:schemas-microsoft-com:office:smarttags" w:element="place">
        <w:smartTag w:uri="urn:schemas-microsoft-com:office:smarttags" w:element="PlaceName">
          <w:r w:rsidRPr="005C716E">
            <w:rPr>
              <w:sz w:val="22"/>
              <w:szCs w:val="22"/>
            </w:rPr>
            <w:t>Murray-Darling</w:t>
          </w:r>
        </w:smartTag>
        <w:r w:rsidRPr="005C716E">
          <w:rPr>
            <w:sz w:val="22"/>
            <w:szCs w:val="22"/>
          </w:rPr>
          <w:t xml:space="preserve"> </w:t>
        </w:r>
        <w:smartTag w:uri="urn:schemas-microsoft-com:office:smarttags" w:element="PlaceType">
          <w:r w:rsidRPr="005C716E">
            <w:rPr>
              <w:sz w:val="22"/>
              <w:szCs w:val="22"/>
            </w:rPr>
            <w:t>Basin</w:t>
          </w:r>
        </w:smartTag>
      </w:smartTag>
      <w:r w:rsidRPr="005C716E">
        <w:rPr>
          <w:sz w:val="22"/>
          <w:szCs w:val="22"/>
        </w:rPr>
        <w:t xml:space="preserve"> Commission.</w:t>
      </w:r>
    </w:p>
    <w:p w:rsidR="00237116" w:rsidRPr="00D33A42" w:rsidRDefault="00237116" w:rsidP="00237116">
      <w:pPr>
        <w:autoSpaceDE w:val="0"/>
        <w:autoSpaceDN w:val="0"/>
        <w:adjustRightInd w:val="0"/>
        <w:rPr>
          <w:szCs w:val="22"/>
        </w:rPr>
      </w:pPr>
      <w:r w:rsidRPr="00237116">
        <w:rPr>
          <w:szCs w:val="22"/>
        </w:rPr>
        <w:t>Wilcox, R.E., Harding, T.P., &amp; Seeley, D.R. 1973. Basic wrench tectonics. AAPG 57, 74–96.</w:t>
      </w:r>
    </w:p>
    <w:p w:rsidR="000F7173" w:rsidRPr="005C716E" w:rsidRDefault="000F7173" w:rsidP="000F7173">
      <w:pPr>
        <w:pStyle w:val="References"/>
        <w:spacing w:line="240" w:lineRule="auto"/>
        <w:jc w:val="left"/>
        <w:rPr>
          <w:sz w:val="22"/>
          <w:szCs w:val="22"/>
        </w:rPr>
      </w:pPr>
      <w:r w:rsidRPr="005C716E">
        <w:rPr>
          <w:sz w:val="22"/>
          <w:szCs w:val="22"/>
        </w:rPr>
        <w:t xml:space="preserve">Witter, D. 2009. Lake </w:t>
      </w:r>
      <w:r>
        <w:rPr>
          <w:sz w:val="22"/>
          <w:szCs w:val="22"/>
        </w:rPr>
        <w:t>b</w:t>
      </w:r>
      <w:r w:rsidRPr="005C716E">
        <w:rPr>
          <w:sz w:val="22"/>
          <w:szCs w:val="22"/>
        </w:rPr>
        <w:t xml:space="preserve">ed </w:t>
      </w:r>
      <w:r>
        <w:rPr>
          <w:sz w:val="22"/>
          <w:szCs w:val="22"/>
        </w:rPr>
        <w:t>a</w:t>
      </w:r>
      <w:r w:rsidRPr="005C716E">
        <w:rPr>
          <w:sz w:val="22"/>
          <w:szCs w:val="22"/>
        </w:rPr>
        <w:t xml:space="preserve">rchaeological </w:t>
      </w:r>
      <w:r>
        <w:rPr>
          <w:sz w:val="22"/>
          <w:szCs w:val="22"/>
        </w:rPr>
        <w:t>s</w:t>
      </w:r>
      <w:r w:rsidRPr="005C716E">
        <w:rPr>
          <w:sz w:val="22"/>
          <w:szCs w:val="22"/>
        </w:rPr>
        <w:t xml:space="preserve">urvey for Menindee, Cawndilla and </w:t>
      </w:r>
      <w:smartTag w:uri="urn:schemas-microsoft-com:office:smarttags" w:element="place">
        <w:smartTag w:uri="urn:schemas-microsoft-com:office:smarttags" w:element="PlaceName">
          <w:r w:rsidRPr="005C716E">
            <w:rPr>
              <w:sz w:val="22"/>
              <w:szCs w:val="22"/>
            </w:rPr>
            <w:t>Pamamaroo</w:t>
          </w:r>
        </w:smartTag>
        <w:r w:rsidRPr="005C716E">
          <w:rPr>
            <w:sz w:val="22"/>
            <w:szCs w:val="22"/>
          </w:rPr>
          <w:t xml:space="preserve"> </w:t>
        </w:r>
        <w:smartTag w:uri="urn:schemas-microsoft-com:office:smarttags" w:element="PlaceType">
          <w:r w:rsidRPr="005C716E">
            <w:rPr>
              <w:sz w:val="22"/>
              <w:szCs w:val="22"/>
            </w:rPr>
            <w:t>Lakes</w:t>
          </w:r>
        </w:smartTag>
      </w:smartTag>
      <w:r w:rsidRPr="005C716E">
        <w:rPr>
          <w:sz w:val="22"/>
          <w:szCs w:val="22"/>
        </w:rPr>
        <w:t xml:space="preserve"> (Unpublished).</w:t>
      </w:r>
    </w:p>
    <w:p w:rsidR="006626DD" w:rsidRPr="006626DD" w:rsidRDefault="000F7173" w:rsidP="006626DD">
      <w:pPr>
        <w:pStyle w:val="References"/>
        <w:spacing w:line="240" w:lineRule="auto"/>
        <w:jc w:val="left"/>
        <w:rPr>
          <w:sz w:val="22"/>
          <w:szCs w:val="22"/>
        </w:rPr>
      </w:pPr>
      <w:r w:rsidRPr="006626DD">
        <w:rPr>
          <w:sz w:val="22"/>
          <w:szCs w:val="22"/>
        </w:rPr>
        <w:t xml:space="preserve">Woolley, D.R., Williams, R.M. &amp; Varathan, S. 2004. New Water? Groundwater supply for Wilcannia, </w:t>
      </w:r>
      <w:smartTag w:uri="urn:schemas-microsoft-com:office:smarttags" w:element="place">
        <w:smartTag w:uri="urn:schemas-microsoft-com:office:smarttags" w:element="PlaceName">
          <w:r w:rsidRPr="006626DD">
            <w:rPr>
              <w:sz w:val="22"/>
              <w:szCs w:val="22"/>
            </w:rPr>
            <w:t>N.S.W.</w:t>
          </w:r>
        </w:smartTag>
        <w:r w:rsidRPr="006626DD">
          <w:rPr>
            <w:sz w:val="22"/>
            <w:szCs w:val="22"/>
          </w:rPr>
          <w:t xml:space="preserve"> </w:t>
        </w:r>
        <w:smartTag w:uri="urn:schemas-microsoft-com:office:smarttags" w:element="PlaceName">
          <w:r w:rsidRPr="006626DD">
            <w:rPr>
              <w:sz w:val="22"/>
              <w:szCs w:val="22"/>
            </w:rPr>
            <w:t>Murray-Darling</w:t>
          </w:r>
        </w:smartTag>
        <w:r w:rsidRPr="006626DD">
          <w:rPr>
            <w:sz w:val="22"/>
            <w:szCs w:val="22"/>
          </w:rPr>
          <w:t xml:space="preserve"> </w:t>
        </w:r>
        <w:smartTag w:uri="urn:schemas-microsoft-com:office:smarttags" w:element="PlaceType">
          <w:r w:rsidRPr="006626DD">
            <w:rPr>
              <w:sz w:val="22"/>
              <w:szCs w:val="22"/>
            </w:rPr>
            <w:t>Basin</w:t>
          </w:r>
        </w:smartTag>
      </w:smartTag>
      <w:r w:rsidRPr="006626DD">
        <w:rPr>
          <w:sz w:val="22"/>
          <w:szCs w:val="22"/>
        </w:rPr>
        <w:t xml:space="preserve"> Groundwater Workshop, 2004. 6</w:t>
      </w:r>
      <w:r w:rsidR="00DB488F">
        <w:rPr>
          <w:sz w:val="22"/>
          <w:szCs w:val="22"/>
        </w:rPr>
        <w:t xml:space="preserve"> </w:t>
      </w:r>
      <w:r w:rsidRPr="006626DD">
        <w:rPr>
          <w:sz w:val="22"/>
          <w:szCs w:val="22"/>
        </w:rPr>
        <w:t>p</w:t>
      </w:r>
    </w:p>
    <w:p w:rsidR="00097FD3" w:rsidRPr="00E9454F" w:rsidRDefault="00BA4054" w:rsidP="00F03F99">
      <w:pPr>
        <w:pStyle w:val="Heading1"/>
        <w:numPr>
          <w:ilvl w:val="0"/>
          <w:numId w:val="0"/>
        </w:numPr>
      </w:pPr>
      <w:r>
        <w:br w:type="page"/>
      </w:r>
      <w:bookmarkStart w:id="798" w:name="_Toc325700156"/>
      <w:bookmarkStart w:id="799" w:name="_Toc325700499"/>
      <w:bookmarkStart w:id="800" w:name="_Toc325975183"/>
      <w:bookmarkStart w:id="801" w:name="_Toc390690188"/>
      <w:r w:rsidR="00097FD3" w:rsidRPr="00BA4054">
        <w:lastRenderedPageBreak/>
        <w:t>Acknowledgements</w:t>
      </w:r>
      <w:bookmarkEnd w:id="798"/>
      <w:bookmarkEnd w:id="799"/>
      <w:bookmarkEnd w:id="800"/>
      <w:bookmarkEnd w:id="801"/>
    </w:p>
    <w:p w:rsidR="00063FF3" w:rsidRDefault="00063FF3" w:rsidP="00063FF3">
      <w:pPr>
        <w:rPr>
          <w:rFonts w:cs="Arial"/>
          <w:color w:val="000000"/>
          <w:szCs w:val="18"/>
        </w:rPr>
      </w:pPr>
      <w:r w:rsidRPr="00063FF3">
        <w:rPr>
          <w:rFonts w:cs="Arial"/>
          <w:color w:val="000000"/>
          <w:szCs w:val="18"/>
        </w:rPr>
        <w:t>The BHMAR Project was commissioned and managed by the Australian Government Department of Environment, Water, Heritage and the Arts (DEWHA), which subsequently became the Department of Sustainability, Environment, Water, Population and Communities (SEWPaC) and in turn, the Department of the Environment (DoE). Through these changes, the project has been directed by Richard McLoughlin and Mary Harwood, and the project team would like to express their appreciation for their unwavering support. Current and former DoE staff, notably Lee Harris, Geraldine Cusack, Warren Sillick, Angela Robinson and Frank Cita are thanked for their marvellous efforts in facilitating the project, and providing clear guidance to the Geoscience Australia (GA) team.</w:t>
      </w:r>
    </w:p>
    <w:p w:rsidR="00063FF3" w:rsidRPr="00063FF3" w:rsidRDefault="00063FF3" w:rsidP="00063FF3">
      <w:pPr>
        <w:rPr>
          <w:rFonts w:cs="Arial"/>
          <w:color w:val="000000"/>
          <w:szCs w:val="18"/>
        </w:rPr>
      </w:pPr>
    </w:p>
    <w:p w:rsidR="00063FF3" w:rsidRDefault="00063FF3" w:rsidP="00063FF3">
      <w:pPr>
        <w:rPr>
          <w:rFonts w:cs="Arial"/>
          <w:color w:val="000000"/>
          <w:szCs w:val="18"/>
        </w:rPr>
      </w:pPr>
      <w:r w:rsidRPr="00063FF3">
        <w:rPr>
          <w:rFonts w:cs="Arial"/>
          <w:color w:val="000000"/>
          <w:szCs w:val="18"/>
        </w:rPr>
        <w:t xml:space="preserve">The BHMAR project has involved a very significant data acquisition phase on a scale not undertaken on-shore by Geoscience Australia for &gt;30 years. Moreover, the relatively short timeframes available for data acquisition challenged all involved, both within the formal Geoscience Australia project team as well as those who volunteered or were seconded from other parts of the organisation. Of course, none of these efforts would have been successful if it were not for the heroic efforts of a significant number of external participants, and it is the latter whom we wish to thank first. </w:t>
      </w:r>
    </w:p>
    <w:p w:rsidR="00F03F99" w:rsidRDefault="00F03F99" w:rsidP="00063FF3">
      <w:pPr>
        <w:rPr>
          <w:rFonts w:cs="Arial"/>
          <w:color w:val="000000"/>
          <w:szCs w:val="18"/>
        </w:rPr>
      </w:pPr>
    </w:p>
    <w:p w:rsidR="00F03F99" w:rsidRDefault="00F03F99" w:rsidP="00F03F99">
      <w:pPr>
        <w:pStyle w:val="BodyText"/>
        <w:spacing w:after="0" w:line="240" w:lineRule="auto"/>
        <w:rPr>
          <w:rFonts w:cs="Times New Roman"/>
          <w:b/>
          <w:szCs w:val="22"/>
        </w:rPr>
      </w:pPr>
      <w:r w:rsidRPr="00D11AD4">
        <w:rPr>
          <w:rFonts w:cs="Times New Roman"/>
          <w:b/>
          <w:szCs w:val="22"/>
        </w:rPr>
        <w:t>External participants</w:t>
      </w:r>
    </w:p>
    <w:p w:rsidR="00F03F99" w:rsidRPr="00D11AD4" w:rsidRDefault="00F03F99" w:rsidP="00F03F99">
      <w:pPr>
        <w:pStyle w:val="BodyText"/>
        <w:spacing w:after="0" w:line="240" w:lineRule="auto"/>
        <w:rPr>
          <w:rFonts w:cs="Times New Roman"/>
          <w:b/>
          <w:szCs w:val="22"/>
        </w:rPr>
      </w:pPr>
    </w:p>
    <w:p w:rsidR="00063FF3" w:rsidRPr="00063FF3" w:rsidRDefault="00063FF3" w:rsidP="00063FF3">
      <w:pPr>
        <w:spacing w:after="240" w:line="260" w:lineRule="atLeast"/>
      </w:pPr>
      <w:r w:rsidRPr="00063FF3">
        <w:t xml:space="preserve">The BHMAR project area is one of great cultural and environmental sensitivity. The guidance and practical assistance we received in this study from Noeline Ferguson, Coordinator at the Menindee Land Council (MLC), other Elders in the MLC, and members of the Indigenous Community is greatly appreciated. Noeline organised for members of the Indigenous community to assist with carrying out cultural and heritage assessments of field sites, and then provided staff to work in gruelling conditions, on both day and night shifts, as drilling field assistants. Dennis Sloan, Menindee Land Council Contractor, is particularly thanked for taking on so much of the workload helping with the drilling. Other MLC contractors also assisted with a range of other fieldwork activities, and their efforts are greatly commended. </w:t>
      </w:r>
    </w:p>
    <w:p w:rsidR="00063FF3" w:rsidRPr="00063FF3" w:rsidRDefault="00063FF3" w:rsidP="00063FF3">
      <w:pPr>
        <w:spacing w:after="240" w:line="260" w:lineRule="atLeast"/>
      </w:pPr>
      <w:r w:rsidRPr="00063FF3">
        <w:t xml:space="preserve">Sarah Martin, Archaeologist, is thanked for providing initial introductions to the MLC and for carrying out the initial cultural heritage site assessments for the drilling. Wilfred Shawcross is also thanked for stepping in to provide additional advice and clearances on the cultural and heritage issues surrounding the drilling sites. </w:t>
      </w:r>
    </w:p>
    <w:p w:rsidR="00063FF3" w:rsidRPr="00063FF3" w:rsidRDefault="00063FF3" w:rsidP="00063FF3">
      <w:pPr>
        <w:spacing w:after="240" w:line="260" w:lineRule="atLeast"/>
      </w:pPr>
      <w:r w:rsidRPr="00063FF3">
        <w:t xml:space="preserve">The drilling activities would not have taken place without the considerable efforts of two New South Wales (NSW) Agencies: the NSW Office of Water, and the </w:t>
      </w:r>
      <w:smartTag w:uri="urn:schemas-microsoft-com:office:smarttags" w:element="PlaceName">
        <w:smartTag w:uri="urn:schemas-microsoft-com:office:smarttags" w:element="place">
          <w:smartTag w:uri="urn:schemas-microsoft-com:office:smarttags" w:element="PlaceName">
            <w:r w:rsidRPr="00063FF3">
              <w:t>NSW</w:t>
            </w:r>
          </w:smartTag>
          <w:r w:rsidRPr="00063FF3">
            <w:t xml:space="preserve"> </w:t>
          </w:r>
          <w:smartTag w:uri="urn:schemas-microsoft-com:office:smarttags" w:element="PlaceType">
            <w:r w:rsidRPr="00063FF3">
              <w:t>Land</w:t>
            </w:r>
          </w:smartTag>
        </w:smartTag>
      </w:smartTag>
      <w:r w:rsidRPr="00063FF3">
        <w:t xml:space="preserve"> and Property Management Authority. Staff from both agencies pulled out all the stops to help us obtain the requisite licences for drilling in our tight timeframes, despite the extra workload that this produced. The assistance of Peter Winton from the NSW Office of Water in Buronga, and the team of Shaun Baker, Donna Basham and </w:t>
      </w:r>
      <w:smartTag w:uri="urn:schemas-microsoft-com:office:smarttags" w:element="PersonName">
        <w:r w:rsidRPr="00063FF3">
          <w:t>Elizabeth Burke</w:t>
        </w:r>
      </w:smartTag>
      <w:r w:rsidRPr="00063FF3">
        <w:t xml:space="preserve"> from the </w:t>
      </w:r>
      <w:smartTag w:uri="urn:schemas-microsoft-com:office:smarttags" w:element="PlaceName">
        <w:smartTag w:uri="urn:schemas-microsoft-com:office:smarttags" w:element="place">
          <w:smartTag w:uri="urn:schemas-microsoft-com:office:smarttags" w:element="PlaceName">
            <w:r w:rsidRPr="00063FF3">
              <w:t>NSW</w:t>
            </w:r>
          </w:smartTag>
          <w:r w:rsidRPr="00063FF3">
            <w:t xml:space="preserve"> </w:t>
          </w:r>
          <w:smartTag w:uri="urn:schemas-microsoft-com:office:smarttags" w:element="PlaceType">
            <w:r w:rsidRPr="00063FF3">
              <w:t>Land</w:t>
            </w:r>
          </w:smartTag>
        </w:smartTag>
      </w:smartTag>
      <w:r w:rsidRPr="00063FF3">
        <w:t xml:space="preserve"> and Property Management Authority are particularly thanked for working extra time for us to obtain the clearances we required. The guidance and assistance from the local NSW and Country Energy/Water staff at Menindee is also greatly appreciated. Barry Philp is particularly thanked for his on-going willingness to assist in all practical ways. </w:t>
      </w:r>
    </w:p>
    <w:p w:rsidR="00063FF3" w:rsidRPr="00063FF3" w:rsidRDefault="00063FF3" w:rsidP="00063FF3">
      <w:pPr>
        <w:spacing w:after="240" w:line="260" w:lineRule="atLeast"/>
      </w:pPr>
      <w:r w:rsidRPr="00063FF3">
        <w:t xml:space="preserve">The assistance of local landowners, too numerous to mention individually, has been critical to the success of the field program. Without their support for the project, we could not have completed the field program in the allotted timeframe. However, Sandy Crombie needs special mention. As Idleview property owner, </w:t>
      </w:r>
      <w:smartTag w:uri="urn:schemas-microsoft-com:office:smarttags" w:element="City">
        <w:smartTag w:uri="urn:schemas-microsoft-com:office:smarttags" w:element="place">
          <w:r w:rsidRPr="00063FF3">
            <w:t>Sandy</w:t>
          </w:r>
        </w:smartTag>
      </w:smartTag>
      <w:r w:rsidRPr="00063FF3">
        <w:t xml:space="preserve"> provided accommodation in Menindee when we were working in more remote locations. </w:t>
      </w:r>
      <w:smartTag w:uri="urn:schemas-microsoft-com:office:smarttags" w:element="City">
        <w:smartTag w:uri="urn:schemas-microsoft-com:office:smarttags" w:element="place">
          <w:r w:rsidRPr="00063FF3">
            <w:t>Sandy</w:t>
          </w:r>
        </w:smartTag>
      </w:smartTag>
      <w:r w:rsidRPr="00063FF3">
        <w:t xml:space="preserve"> has gone above and beyond the call of duty with her assistance in providing accommodation for the field parties travelling to Menindee. The Menindee Hotel and Motel are also thanked for showing great flexibility in accommodating to our evolving field program. Richard Unsworth, from the Grape Exchange provided fantastic assistance with storing the core in refrigeration containers while the core truck was in </w:t>
      </w:r>
      <w:smartTag w:uri="urn:schemas-microsoft-com:office:smarttags" w:element="City">
        <w:smartTag w:uri="urn:schemas-microsoft-com:office:smarttags" w:element="place">
          <w:r w:rsidRPr="00063FF3">
            <w:t>Canberra</w:t>
          </w:r>
        </w:smartTag>
      </w:smartTag>
      <w:r w:rsidRPr="00063FF3">
        <w:t xml:space="preserve"> unloading. Landholders Stewart Oates and John Caskey provided land access and drilling-related earthworks and rehabilitation on their own land. </w:t>
      </w:r>
    </w:p>
    <w:p w:rsidR="00063FF3" w:rsidRPr="00063FF3" w:rsidRDefault="00063FF3" w:rsidP="00063FF3">
      <w:pPr>
        <w:spacing w:after="240" w:line="260" w:lineRule="atLeast"/>
      </w:pPr>
      <w:r w:rsidRPr="00063FF3">
        <w:t xml:space="preserve">AEM data acquisition can be fraught with delays, and was recognised as a significant project risk. So it is with great pleasure that we can thank the team from Geoforce (ably supported by HeliWest), who delivered a </w:t>
      </w:r>
      <w:r w:rsidRPr="00063FF3">
        <w:lastRenderedPageBreak/>
        <w:t xml:space="preserve">high quality AEM dataset in record time. We would like to thank Eric Wedepohl and the field crews and data processing team in </w:t>
      </w:r>
      <w:smartTag w:uri="urn:schemas-microsoft-com:office:smarttags" w:element="City">
        <w:smartTag w:uri="urn:schemas-microsoft-com:office:smarttags" w:element="place">
          <w:r w:rsidRPr="00063FF3">
            <w:t>Perth</w:t>
          </w:r>
        </w:smartTag>
      </w:smartTag>
      <w:r w:rsidRPr="00063FF3">
        <w:t xml:space="preserve"> for running a very professional field operation. James Reid is particularly thanked for his technical and scientific advice to members of the project team, and for going that extra step to identify and solve issues as they arose. </w:t>
      </w:r>
    </w:p>
    <w:p w:rsidR="00063FF3" w:rsidRPr="00063FF3" w:rsidRDefault="00063FF3" w:rsidP="00063FF3">
      <w:pPr>
        <w:spacing w:after="240" w:line="260" w:lineRule="atLeast"/>
      </w:pPr>
      <w:r w:rsidRPr="00063FF3">
        <w:t>It is a credit to the Boart Longyear Company that they have been able to carry out such a large sonic drilling program in a short period of time using such a relatively new technology in difficult drilling conditions. Ken Patterson and Scott Barnes are thanked for their excellent communication and flexibility in delivering this program. The efforts of the various drillers, particularly Denzel and Mike who flew in from the USA to lead the drilling teams with great skill and tenacity in completing the program in exhausting conditions. Simon Barwald and Duncan Black (formerly of Boart Longyear) provided drilling services.</w:t>
      </w:r>
    </w:p>
    <w:p w:rsidR="00063FF3" w:rsidRPr="00063FF3" w:rsidRDefault="00063FF3" w:rsidP="00063FF3">
      <w:pPr>
        <w:spacing w:after="240" w:line="260" w:lineRule="atLeast"/>
      </w:pPr>
      <w:r w:rsidRPr="00063FF3">
        <w:t xml:space="preserve">Compression of various field activities into a remarkably short timeframe meant that Geoscience Australia had to enlist the assistance of geological contractors to assist with drilling activities. David Jenkins, CEO of Terrasearch, provided enormous support by supplying contractors, sometimes within 24 hours. David Tognon, Contract Geologist/Hydrogeologist worked on both the sonic rig as the onsite Geologist and on the mud rig for drilling and development of the bores. He worked tirelessly in intense conditions from mid November 2009 through to March 2010. Kevin D’Arcy, Contract Geologist worked on both the sonic rig as the onsite Geologist and the mud rig in some of the hottest weeks Menindee saw that summer, November and December 2009. They provided reliable and always friendly and professional service, and their efforts are greatly appreciated. </w:t>
      </w:r>
    </w:p>
    <w:p w:rsidR="00063FF3" w:rsidRPr="00063FF3" w:rsidRDefault="00063FF3" w:rsidP="00063FF3">
      <w:pPr>
        <w:spacing w:after="240" w:line="260" w:lineRule="atLeast"/>
      </w:pPr>
      <w:r w:rsidRPr="00063FF3">
        <w:t xml:space="preserve">Congratulations go to Terry O’Shaughnessy and the rest of the Impax Group team for successfully organising and implementing the pump tests at the Jimargil site, providing such critical data for our assessments. </w:t>
      </w:r>
      <w:smartTag w:uri="urn:schemas-microsoft-com:office:smarttags" w:element="PersonName">
        <w:r w:rsidRPr="00063FF3">
          <w:t>Rod Harwood</w:t>
        </w:r>
      </w:smartTag>
      <w:r w:rsidRPr="00063FF3">
        <w:t xml:space="preserve"> (Environmental Strategies) provided a wealth of experience in pump test operation and data interpretation. Lucy Lytton and Anne Riesz took time out from their busy schedules at the Murray-Darling Basin Authority (MDBA) to help out as on-site hydrogeologists during the pump tests as well as subsequent water sampling. It was also comforting to have the hydrogeological experience of Mark Hocking (Hocking et al) during our field activities. Steve Hostetler (FrOGTech) helped crunch the numbers in terms of pump test analysis, as well as much-needed and timely contributions in hydrochemical, hydrographic and hydrological analysis.</w:t>
      </w:r>
    </w:p>
    <w:p w:rsidR="00063FF3" w:rsidRPr="00063FF3" w:rsidRDefault="00063FF3" w:rsidP="00063FF3">
      <w:pPr>
        <w:spacing w:after="240" w:line="260" w:lineRule="atLeast"/>
      </w:pPr>
      <w:r w:rsidRPr="00063FF3">
        <w:t xml:space="preserve">When one of our geophysics team went off on paternity leave, it was with great relief that first CSIRO and then Zonge Engineering stepped in to assist. Kevin Cahill is thanked for giving up the delights of a </w:t>
      </w:r>
      <w:smartTag w:uri="urn:schemas-microsoft-com:office:smarttags" w:element="City">
        <w:smartTag w:uri="urn:schemas-microsoft-com:office:smarttags" w:element="place">
          <w:r w:rsidRPr="00063FF3">
            <w:t>Perth</w:t>
          </w:r>
        </w:smartTag>
      </w:smartTag>
      <w:r w:rsidRPr="00063FF3">
        <w:t xml:space="preserve"> office for coming once more to Menindee in the heat of summer, while Kelly Keates, Managing Director of Zonge Engineering is thanked for providing the services of the excellent Nkhil Dhyan, at such short notice to assist with our borehole geophysical logging program. Kelly Keates, Simon Mann, Anton Khrapov (Zonge Engineering and Research Organisation) provided ground geophysical investigations. David Walsh (Vista Clara), Andrew Fitzpatrick (CSIRO), Mike Hatch and Kevin Cahill assisted with downhole geophysical logging. </w:t>
      </w:r>
    </w:p>
    <w:p w:rsidR="00063FF3" w:rsidRPr="00063FF3" w:rsidRDefault="00063FF3" w:rsidP="00063FF3">
      <w:pPr>
        <w:spacing w:after="240" w:line="260" w:lineRule="atLeast"/>
      </w:pPr>
      <w:r w:rsidRPr="00063FF3">
        <w:t xml:space="preserve">Safety in the field is always a top concern and it was with great relief when we discovered the services of Complete Ute and Van hire, who supplied us on short notice with safe and fully kitted vehicles in excellent condition. Customer service was A1, and a credit to Rob and Steve Harris. Andrew Pressler (West State Training and agent for Complete Ute and Van Hire) assisted with vehicle hire and other field logistics. </w:t>
      </w:r>
    </w:p>
    <w:p w:rsidR="00063FF3" w:rsidRPr="00063FF3" w:rsidRDefault="00063FF3" w:rsidP="00063FF3">
      <w:pPr>
        <w:spacing w:after="240" w:line="260" w:lineRule="atLeast"/>
      </w:pPr>
      <w:r w:rsidRPr="00063FF3">
        <w:t xml:space="preserve">We would also like to acknowledge the services of Justin and Brett Green, Tolbra Earthmovers, who provided contract services for the digging of pits for the sonic drilling and also assisted in the rehabilitation of the bores. Bernard Blore as well as Brett and Justin Green carried out drilling-related earthworks and rehabilitation. Nathan White, Roadmaster, Canberra, provided/providing storage of the core in refrigeration. </w:t>
      </w:r>
    </w:p>
    <w:p w:rsidR="00063FF3" w:rsidRPr="00063FF3" w:rsidRDefault="00063FF3" w:rsidP="00063FF3">
      <w:pPr>
        <w:spacing w:after="240" w:line="260" w:lineRule="atLeast"/>
      </w:pPr>
      <w:r w:rsidRPr="00063FF3">
        <w:t xml:space="preserve">Staff from Aarhus University have come to the rescue at a couple of critical points in the project to date. Niels B. Christensen is particularly thanked for a massive effort in writing new inversion software and in developing procedures for calibrating and validating the AEM inversion products. Without Niels’ efforts we would not have been able to reconcile the various strands of the project and would not have been able to develop a coherent hydrogeological conceptual model. At earlier stages in the project, Aarhus University </w:t>
      </w:r>
      <w:r w:rsidRPr="00063FF3">
        <w:lastRenderedPageBreak/>
        <w:t xml:space="preserve">also stepped in to re-process the datasets and carry out full inversions when necessary due to unforeseen circumstances. The efforts of Esben Auken, Camilla Sorensen, Gianluca Fiandaca and Nikoli Foghed are greatly appreciated in these tasks. Niels Christensen’s contribution to the write-up of the reports is also greatly appreciated. Jared Abraham (formerly USGS, now XRI Geophysics) also guided us through the intricacies of AEM data acquisition and its interpretation. Jared was also instrumental in moving forward our first foray into NMR logging, helping us make sense of all that data. His contribution to the reports is also greatly appreciated. </w:t>
      </w:r>
    </w:p>
    <w:p w:rsidR="00063FF3" w:rsidRPr="00063FF3" w:rsidRDefault="00063FF3" w:rsidP="00063FF3">
      <w:pPr>
        <w:spacing w:after="240" w:line="260" w:lineRule="atLeast"/>
      </w:pPr>
      <w:r w:rsidRPr="00063FF3">
        <w:t>Importantly, we would be remiss not to mention the efforts and advice of member of the project steering committee. Peter Dillon from CSIRO is Australia’s expert in MAR, and the team greatly appreciate the time he has taken to assist the project leadership team with scientific and technical guidance, and for his strong overall support for the project. Peter and Declan Page, Joanne Vanderzalm and Konrad Miotlinski (CSIRO) are also thanked for their contributions in MAR risk assessment, geochemical interpretation and numerical modelling. Mike Williams from NSW Office of Water, is also thanked for his uncompromising advice and constant reality checks! Andy Green is thanked for giving of his precious time for advice on all matters geophysical and for his participation in Steering Committee meetings. Phil Commander and Don Woolley provided the all-important peer reviews of Interim reports, while Phil also peer reviewed the final reports. The USGS is also greatly thanked for undertaking an exhaustive peer review of the BHMAR reports. Jodie Eimers is thanked for facilitating the process, while Jim Leenhouts coordinated the review by 14 USGS staff members. Addressing the review comments added significantly to the time required to finalise the reports, however the comments greatly improved the quality of the science within the reports, and the efforts of the USGS review team are to be highly commended.</w:t>
      </w:r>
    </w:p>
    <w:p w:rsidR="00063FF3" w:rsidRPr="00063FF3" w:rsidRDefault="00063FF3" w:rsidP="00063FF3">
      <w:pPr>
        <w:rPr>
          <w:szCs w:val="22"/>
        </w:rPr>
      </w:pPr>
      <w:r w:rsidRPr="00063FF3">
        <w:rPr>
          <w:b/>
          <w:szCs w:val="22"/>
        </w:rPr>
        <w:t>GA volunteers and secondees</w:t>
      </w:r>
    </w:p>
    <w:p w:rsidR="00063FF3" w:rsidRPr="00063FF3" w:rsidRDefault="00063FF3" w:rsidP="00063FF3">
      <w:pPr>
        <w:spacing w:after="240" w:line="260" w:lineRule="atLeast"/>
      </w:pPr>
      <w:r w:rsidRPr="00063FF3">
        <w:t xml:space="preserve">Delays in commencement of the project, compounded by delays in obtaining field clearances for drilling, meant that a number of extra Geoscience Australia staff were brought in from different corners of the organisation to assist with field and laboratory activities. </w:t>
      </w:r>
    </w:p>
    <w:p w:rsidR="00063FF3" w:rsidRPr="00063FF3" w:rsidRDefault="00063FF3" w:rsidP="00063FF3">
      <w:pPr>
        <w:spacing w:after="240" w:line="260" w:lineRule="atLeast"/>
      </w:pPr>
      <w:r w:rsidRPr="00063FF3">
        <w:t>Raymond DeGraaf, Marine Mechanical Manager, Petroleum and Marine Division (PMD), has gone above and beyond providing staff and his own time to go into the field for us and to drive the core truck to and from Canberra/Menindee. Ray and his team continually came through for us whenever we had a need they always provided assistance even if it meant working extra hours and harder in their own jobs so that they could help us out. Ray also assisted in sourcing a refrigerated storage container to store the core at GA.</w:t>
      </w:r>
    </w:p>
    <w:p w:rsidR="00063FF3" w:rsidRPr="00063FF3" w:rsidRDefault="00063FF3" w:rsidP="00063FF3">
      <w:pPr>
        <w:spacing w:after="240" w:line="260" w:lineRule="atLeast"/>
      </w:pPr>
      <w:r w:rsidRPr="00063FF3">
        <w:t>The efforts of those listed next, were essential for assisting with delivery of the field program: Andrew Hislop (PMD) assisted with driving the core truck as well as site preparation and clearances and rehabilitation of the bores; Dave Holdway (PMD) and Andre Clive (GEMD) also drove the core truck; Craig Wintle (PMD) was also a core truck driver and also assisted with the site preparation and clearances as well as rehabilitation of the bores; Mark Sharah (PMD) and Matthew Carey (PMD) assisted with borehole rehabilitation, data logging and water sampling; Anthony Schofield (OEMD) assisted us with a shift as the day time supervising Geologist on the sonic rig; Chris Consoli (PMD) assisted us with a shift as the night time supervising Geologist on the sonic rig; Gerard Stewart (OEMD) assisted with doing a shift on the site preparation and clearances as well as rehabilitation of the bores; Pauline English (GEMD) assisted us with a shift as the day time supervising Geologist on the sonic rig. Tehani Kuske helped out in all manner of activities while on her graduate rotation.</w:t>
      </w:r>
    </w:p>
    <w:p w:rsidR="00063FF3" w:rsidRPr="00063FF3" w:rsidRDefault="00063FF3" w:rsidP="00063FF3">
      <w:pPr>
        <w:spacing w:after="240" w:line="260" w:lineRule="atLeast"/>
      </w:pPr>
      <w:r w:rsidRPr="00063FF3">
        <w:t>With a critical shortage of GIS staff, Greg Scott kindly volunteered the excellent services of Danielle Beaudreau, Kristen Knox and Brad Cook, all of whom put in many hours producing map figures that appear in this and other reports. The 3D visualisation (Worldwind) and movie fly-through team of James Navin, Michael de Hoog, Neil Caldwell and Michael O’Rourke are thanked for their considerable efforts in simplifying complex datasets and portraying these in an effective manner. Laurent Ailliers is greatly thanked for constructing the GoCAD model.</w:t>
      </w:r>
    </w:p>
    <w:p w:rsidR="00063FF3" w:rsidRPr="00063FF3" w:rsidRDefault="00063FF3" w:rsidP="00063FF3">
      <w:pPr>
        <w:rPr>
          <w:b/>
          <w:szCs w:val="22"/>
        </w:rPr>
      </w:pPr>
      <w:r w:rsidRPr="00063FF3">
        <w:rPr>
          <w:b/>
          <w:szCs w:val="22"/>
        </w:rPr>
        <w:t>The ‘Official’ project team</w:t>
      </w:r>
    </w:p>
    <w:p w:rsidR="00063FF3" w:rsidRPr="00063FF3" w:rsidRDefault="00063FF3" w:rsidP="00063FF3">
      <w:pPr>
        <w:spacing w:after="240" w:line="260" w:lineRule="atLeast"/>
      </w:pPr>
      <w:r w:rsidRPr="00063FF3">
        <w:t xml:space="preserve">The BHMAR report write-up team is recognized in the authorship of the individual reports. Within GA, current and former BHMAR Project Team members who contributed to interim reports and activities, but are </w:t>
      </w:r>
      <w:r w:rsidRPr="00063FF3">
        <w:lastRenderedPageBreak/>
        <w:t xml:space="preserve">not authors in this report include: Aaron Davis, Yusen Ley-Cooper, Michael Smith, Rebecca Norman, Anthony Pressler, Luke Wallace, Martin Smith, Katherine Boston, Pauline English, Tim Ransley, and Kristen Cullen. </w:t>
      </w:r>
    </w:p>
    <w:p w:rsidR="00063FF3" w:rsidRPr="00063FF3" w:rsidRDefault="00063FF3" w:rsidP="00063FF3">
      <w:pPr>
        <w:spacing w:after="240" w:line="260" w:lineRule="atLeast"/>
      </w:pPr>
      <w:r w:rsidRPr="00063FF3">
        <w:t xml:space="preserve">Most importantly, we would like to acknowledge the efforts of Tenai Luttrell, project coordinator, who played a pivotal role in being able to find staff and contract resources when all other efforts looked forlorn. Tenai coordinated the field resources to ensure that multiple field parties had flights and/or vehicles to get them safely to their destinations, and that they had a bed to sleep in when they arrived. Tenai also assisted with arranging drilling permissions, and with managing the project’s financial resources. A stellar effort, and all that while working part-time. Tenai was also assisted by Kim Forbes, Samantha Murray, and Sally Moon. Kriton Glenn is thanked for stepping in as acting project leader for a 2 month period. </w:t>
      </w:r>
    </w:p>
    <w:p w:rsidR="00063FF3" w:rsidRPr="00063FF3" w:rsidRDefault="00063FF3" w:rsidP="00063FF3">
      <w:pPr>
        <w:spacing w:after="240" w:line="260" w:lineRule="atLeast"/>
      </w:pPr>
      <w:r w:rsidRPr="00063FF3">
        <w:t xml:space="preserve">In the laboratories, Stuart McEwen (PMD Laboratory Manager and Project Leader), and his team provided a very professional service, designing effective workflows that have seen a very steady flow of results to the interpretation team. Stuart also provided assistance and direction with the lab analysis and arranged the Analytical Equipment Service Agreements. Christian Thun (Laboratory Manager, PMD) provided assistance and direction with the lab analysis of cores coming into GA. He also assisted with the recruitment of various lab assistants that were required due to the extra workload. Tony Watson (PMD Laboratory) supervised laboratory analysis, provided QA/QC on laboratory analysis, and supervised equipment procurement and maintenance, training and procedure development. </w:t>
      </w:r>
    </w:p>
    <w:p w:rsidR="00063FF3" w:rsidRPr="00063FF3" w:rsidRDefault="00063FF3" w:rsidP="00063FF3">
      <w:pPr>
        <w:spacing w:after="240" w:line="260" w:lineRule="atLeast"/>
      </w:pPr>
      <w:r w:rsidRPr="00063FF3">
        <w:t>Alexandra Plazinska and Janice Trafford provided assistance in relation to pore fluid samples and core samples under very tight deadlines. Kylia Wall provided laboratory analysis assistance, training and procedure development, while Amber Green, Billie Poignand, Gregory O’Connell and Mathew Brown also provided sterling service in Geoscience Australia laboratory analysis. Jonathon Rousseau, Viktoria Halas and Rick Long assisted with core sampling, assisted by Ross Spulak and Gerhard Schoning, who also greatly assisted with fieldwork. Gerhard, Ross and Victoria also greatly assisted with preparation of Strater logs and cross-sections and preparation of Report Appendices. Liz Webber and Bill Pappas (Inorganic Geochemistry Laboratory) worked on XRF, XRD and ICP analysis of Broken Hill samples.</w:t>
      </w:r>
    </w:p>
    <w:p w:rsidR="00063FF3" w:rsidRPr="00063FF3" w:rsidRDefault="00063FF3" w:rsidP="00063FF3">
      <w:pPr>
        <w:spacing w:after="240" w:line="260" w:lineRule="atLeast"/>
      </w:pPr>
      <w:r w:rsidRPr="00063FF3">
        <w:t xml:space="preserve">The efforts of Robert Apps, Contracts Manager in Geoscience Australia rate a special mention. Robert brought a wealth of experience to the tendering and the management of contracts in general, and he managed to streamline processes and ensure external contracts were implemented with no fuss delay. The late Trish Yates is also remembered for her efforts in shepherding this project through the financial and contracts side of things at the commencement of this project. </w:t>
      </w:r>
    </w:p>
    <w:p w:rsidR="00063FF3" w:rsidRPr="00063FF3" w:rsidRDefault="00063FF3" w:rsidP="00063FF3">
      <w:pPr>
        <w:spacing w:after="240" w:line="260" w:lineRule="atLeast"/>
      </w:pPr>
      <w:r w:rsidRPr="00063FF3">
        <w:t>Murray Richardson is thanked for his very effective management of the AEM acquisition program, while Ian Atkinson and his team are thanked for carrying out the in-river surveys. Leo Lymburner and Elexis McIntyre are thanked for their terrific contribution to the Landsat processing and interpretation.</w:t>
      </w:r>
    </w:p>
    <w:p w:rsidR="00063FF3" w:rsidRPr="00063FF3" w:rsidRDefault="00063FF3" w:rsidP="00063FF3">
      <w:pPr>
        <w:spacing w:after="240" w:line="260" w:lineRule="atLeast"/>
      </w:pPr>
      <w:r w:rsidRPr="00063FF3">
        <w:t>Phil Tickle and Hamish Anderson are also thanked for managing the LiDAR acquisition program, while Hamish, Jonah Sullivan and John Dawson are thanked for their work in determining the accuracy of the LiDAR dataset. Peter Maher assisted with obtaining land owner permissions and official clearances from the Land and Property Management Authority and NSW Office of Water and coordinated the cultural and heritage clearances. Tanya Fomin (OEMD) provided advice and information in relation to a possible Seismic Survey.</w:t>
      </w:r>
    </w:p>
    <w:p w:rsidR="00063FF3" w:rsidRPr="00063FF3" w:rsidRDefault="00063FF3" w:rsidP="00063FF3">
      <w:pPr>
        <w:spacing w:after="240" w:line="260" w:lineRule="atLeast"/>
      </w:pPr>
      <w:r w:rsidRPr="00063FF3">
        <w:t>John Jaycock, Tim Ransley and Ross Spulak also spent an enormous amount of time in the field assisting with the drilling and water and groundwater sampling programs, while Heike Apps is thanked for foregoing family commitments, and virtually taking up residence at Menindee for several months prior to her retirement.</w:t>
      </w:r>
    </w:p>
    <w:p w:rsidR="00063FF3" w:rsidRPr="00063FF3" w:rsidRDefault="00063FF3" w:rsidP="00063FF3">
      <w:pPr>
        <w:spacing w:after="240" w:line="260" w:lineRule="atLeast"/>
      </w:pPr>
      <w:r w:rsidRPr="00063FF3">
        <w:t>Jane Coram, and Matt Hayne at an earlier stage in the project, are thanked for helping to ensure the BHMAR team had the necessary internal resources to undertake this project.</w:t>
      </w:r>
    </w:p>
    <w:p w:rsidR="00063FF3" w:rsidRDefault="00063FF3" w:rsidP="00063FF3">
      <w:pPr>
        <w:pStyle w:val="BodyText"/>
        <w:spacing w:after="0" w:line="240" w:lineRule="auto"/>
        <w:rPr>
          <w:rFonts w:cs="Times New Roman"/>
          <w:b/>
          <w:szCs w:val="22"/>
        </w:rPr>
      </w:pPr>
    </w:p>
    <w:p w:rsidR="00C21204" w:rsidRPr="00BA4054" w:rsidRDefault="00BA4054" w:rsidP="00063FF3">
      <w:pPr>
        <w:pStyle w:val="Heading1"/>
        <w:numPr>
          <w:ilvl w:val="0"/>
          <w:numId w:val="0"/>
        </w:numPr>
        <w:ind w:left="360" w:hanging="360"/>
      </w:pPr>
      <w:r w:rsidRPr="00D11AD4">
        <w:rPr>
          <w:rFonts w:ascii="Times New Roman" w:hAnsi="Times New Roman"/>
          <w:sz w:val="22"/>
        </w:rPr>
        <w:br w:type="page"/>
      </w:r>
      <w:bookmarkStart w:id="802" w:name="_Toc325700157"/>
      <w:bookmarkStart w:id="803" w:name="_Toc325700500"/>
      <w:bookmarkStart w:id="804" w:name="_Toc325975184"/>
      <w:bookmarkStart w:id="805" w:name="_Toc390690189"/>
      <w:r w:rsidR="00C21204" w:rsidRPr="00BA4054">
        <w:lastRenderedPageBreak/>
        <w:t>Glossary</w:t>
      </w:r>
      <w:bookmarkEnd w:id="802"/>
      <w:bookmarkEnd w:id="803"/>
      <w:bookmarkEnd w:id="804"/>
      <w:bookmarkEnd w:id="805"/>
    </w:p>
    <w:p w:rsidR="00BA4054" w:rsidRPr="00761298" w:rsidRDefault="00BA4054" w:rsidP="00761298">
      <w:pPr>
        <w:spacing w:before="240"/>
        <w:ind w:left="357" w:hanging="357"/>
        <w:rPr>
          <w:b/>
          <w:szCs w:val="22"/>
        </w:rPr>
      </w:pPr>
      <w:r w:rsidRPr="00761298">
        <w:rPr>
          <w:b/>
          <w:szCs w:val="22"/>
        </w:rPr>
        <w:t xml:space="preserve">Aeolian. </w:t>
      </w:r>
      <w:r w:rsidRPr="00761298">
        <w:rPr>
          <w:szCs w:val="22"/>
        </w:rPr>
        <w:t>Applied to landforms or sedimentary materials which are formed or transported by the action of wind.</w:t>
      </w:r>
    </w:p>
    <w:p w:rsidR="006E1CEB" w:rsidRPr="006E1CEB" w:rsidRDefault="006E1CEB" w:rsidP="006E1CEB">
      <w:pPr>
        <w:spacing w:before="60"/>
        <w:ind w:left="284" w:hanging="284"/>
        <w:rPr>
          <w:szCs w:val="22"/>
        </w:rPr>
      </w:pPr>
      <w:r w:rsidRPr="006E1CEB">
        <w:rPr>
          <w:b/>
          <w:szCs w:val="22"/>
        </w:rPr>
        <w:t xml:space="preserve">Aeolian. </w:t>
      </w:r>
      <w:r w:rsidRPr="006E1CEB">
        <w:rPr>
          <w:szCs w:val="22"/>
        </w:rPr>
        <w:t>Wind depositional environments.</w:t>
      </w:r>
    </w:p>
    <w:p w:rsidR="006E1CEB" w:rsidRPr="006E1CEB" w:rsidRDefault="006E1CEB" w:rsidP="006E1CEB">
      <w:pPr>
        <w:spacing w:before="60"/>
        <w:ind w:left="284" w:hanging="284"/>
        <w:rPr>
          <w:b/>
          <w:szCs w:val="22"/>
        </w:rPr>
      </w:pPr>
      <w:r w:rsidRPr="006E1CEB">
        <w:rPr>
          <w:b/>
          <w:szCs w:val="22"/>
        </w:rPr>
        <w:t xml:space="preserve">Airborne Electromagnetic (AEM). </w:t>
      </w:r>
      <w:r w:rsidRPr="006E1CEB">
        <w:rPr>
          <w:szCs w:val="22"/>
        </w:rPr>
        <w:t>A geophysical survey method that measures the electromagnetic. properties of a rock. Electric conductivity and magnetic susceptibility are calculated, and because these properties vary depending on the nature of the rock, water saturation, salinity and other parameters, the resultant maps are used for estimation of the nature of underground rock formatio</w:t>
      </w:r>
      <w:r w:rsidR="00536F3B">
        <w:rPr>
          <w:szCs w:val="22"/>
        </w:rPr>
        <w:t xml:space="preserve">ns, ground water, contamination </w:t>
      </w:r>
      <w:r w:rsidRPr="006E1CEB">
        <w:rPr>
          <w:szCs w:val="22"/>
        </w:rPr>
        <w:t>and other geological and environmental changes.</w:t>
      </w:r>
    </w:p>
    <w:p w:rsidR="006E1CEB" w:rsidRPr="006E1CEB" w:rsidRDefault="006E1CEB" w:rsidP="006E1CEB">
      <w:pPr>
        <w:pStyle w:val="centreheading0"/>
        <w:spacing w:before="60"/>
        <w:ind w:left="284" w:hanging="284"/>
        <w:jc w:val="both"/>
        <w:rPr>
          <w:sz w:val="22"/>
          <w:szCs w:val="22"/>
        </w:rPr>
      </w:pPr>
      <w:r w:rsidRPr="006E1CEB">
        <w:rPr>
          <w:b/>
          <w:bCs/>
          <w:color w:val="000000"/>
          <w:sz w:val="22"/>
          <w:szCs w:val="22"/>
        </w:rPr>
        <w:t xml:space="preserve">Alluvial/alluvium. </w:t>
      </w:r>
      <w:r w:rsidRPr="006E1CEB">
        <w:rPr>
          <w:color w:val="000000"/>
          <w:sz w:val="22"/>
          <w:szCs w:val="22"/>
        </w:rPr>
        <w:t xml:space="preserve">Non-marine sediments deposited by the action of water. </w:t>
      </w:r>
    </w:p>
    <w:p w:rsidR="006E1CEB" w:rsidRPr="006E1CEB" w:rsidRDefault="006E1CEB" w:rsidP="006E1CEB">
      <w:pPr>
        <w:spacing w:before="60"/>
        <w:ind w:left="284" w:hanging="284"/>
        <w:rPr>
          <w:szCs w:val="22"/>
        </w:rPr>
      </w:pPr>
      <w:r w:rsidRPr="006E1CEB">
        <w:rPr>
          <w:b/>
          <w:szCs w:val="22"/>
        </w:rPr>
        <w:t>Anabranch.</w:t>
      </w:r>
      <w:r w:rsidR="00536F3B">
        <w:rPr>
          <w:szCs w:val="22"/>
        </w:rPr>
        <w:t xml:space="preserve"> </w:t>
      </w:r>
      <w:r w:rsidRPr="006E1CEB">
        <w:rPr>
          <w:szCs w:val="22"/>
        </w:rPr>
        <w:t xml:space="preserve">A distributary channel divergent from a main stream and either rejoining downstream or remaining separate and diminishing in size until becoming indistinct. </w:t>
      </w:r>
    </w:p>
    <w:p w:rsidR="006E1CEB" w:rsidRPr="006E1CEB" w:rsidRDefault="006E1CEB" w:rsidP="006E1CEB">
      <w:pPr>
        <w:spacing w:before="60"/>
        <w:ind w:left="284" w:hanging="284"/>
        <w:rPr>
          <w:szCs w:val="22"/>
        </w:rPr>
      </w:pPr>
      <w:r w:rsidRPr="006E1CEB">
        <w:rPr>
          <w:b/>
          <w:szCs w:val="22"/>
        </w:rPr>
        <w:t xml:space="preserve">Anastomosing Rivers. </w:t>
      </w:r>
      <w:r w:rsidRPr="006E1CEB">
        <w:rPr>
          <w:szCs w:val="22"/>
        </w:rPr>
        <w:t>Have multiple, relatively stable, interconnecting channels.</w:t>
      </w:r>
    </w:p>
    <w:p w:rsidR="006E1CEB" w:rsidRPr="006E1CEB" w:rsidRDefault="006E1CEB" w:rsidP="006E1CEB">
      <w:pPr>
        <w:spacing w:before="60"/>
        <w:ind w:left="284" w:hanging="284"/>
        <w:rPr>
          <w:szCs w:val="22"/>
        </w:rPr>
      </w:pPr>
      <w:r w:rsidRPr="006E1CEB">
        <w:rPr>
          <w:b/>
          <w:szCs w:val="22"/>
        </w:rPr>
        <w:t>Aquifer.</w:t>
      </w:r>
      <w:r w:rsidR="00536F3B">
        <w:rPr>
          <w:szCs w:val="22"/>
        </w:rPr>
        <w:t xml:space="preserve"> </w:t>
      </w:r>
      <w:r w:rsidRPr="006E1CEB">
        <w:rPr>
          <w:szCs w:val="22"/>
        </w:rPr>
        <w:t xml:space="preserve">A geological formation, group of formations or part of a formation which is sufficiently porous and permeable to store, and allow the movement of, </w:t>
      </w:r>
      <w:smartTag w:uri="urn:schemas-microsoft-com:office:smarttags" w:element="PersonName">
        <w:r w:rsidRPr="006E1CEB">
          <w:rPr>
            <w:szCs w:val="22"/>
          </w:rPr>
          <w:t>groundwater</w:t>
        </w:r>
      </w:smartTag>
      <w:r w:rsidRPr="006E1CEB">
        <w:rPr>
          <w:szCs w:val="22"/>
        </w:rPr>
        <w:t xml:space="preserve">. Aquifers may yield quantities of </w:t>
      </w:r>
      <w:smartTag w:uri="urn:schemas-microsoft-com:office:smarttags" w:element="PersonName">
        <w:r w:rsidRPr="006E1CEB">
          <w:rPr>
            <w:szCs w:val="22"/>
          </w:rPr>
          <w:t>groundwater</w:t>
        </w:r>
      </w:smartTag>
      <w:r w:rsidRPr="006E1CEB">
        <w:rPr>
          <w:szCs w:val="22"/>
        </w:rPr>
        <w:t xml:space="preserve"> for consumptive use.</w:t>
      </w:r>
    </w:p>
    <w:p w:rsidR="006E1CEB" w:rsidRPr="006E1CEB" w:rsidRDefault="006E1CEB" w:rsidP="006E1CEB">
      <w:pPr>
        <w:spacing w:before="60"/>
        <w:ind w:left="284" w:hanging="284"/>
        <w:rPr>
          <w:b/>
          <w:szCs w:val="22"/>
        </w:rPr>
      </w:pPr>
      <w:r w:rsidRPr="006E1CEB">
        <w:rPr>
          <w:b/>
          <w:szCs w:val="22"/>
        </w:rPr>
        <w:t xml:space="preserve">Aquifer storage and recovery (ASR). </w:t>
      </w:r>
      <w:r w:rsidRPr="006E1CEB">
        <w:rPr>
          <w:szCs w:val="22"/>
        </w:rPr>
        <w:t xml:space="preserve">ASR involves injection of water into a well for storage, and recovery from the same well. The aquifer may be confined or unconfined. </w:t>
      </w:r>
    </w:p>
    <w:p w:rsidR="006E1CEB" w:rsidRPr="006E1CEB" w:rsidRDefault="006E1CEB" w:rsidP="006E1CEB">
      <w:pPr>
        <w:spacing w:before="60"/>
        <w:ind w:left="284" w:hanging="284"/>
        <w:rPr>
          <w:b/>
          <w:szCs w:val="22"/>
        </w:rPr>
      </w:pPr>
      <w:r w:rsidRPr="006E1CEB">
        <w:rPr>
          <w:b/>
          <w:szCs w:val="22"/>
        </w:rPr>
        <w:t xml:space="preserve">Aquifer storage, transport and recovery (ASTR). </w:t>
      </w:r>
      <w:r w:rsidRPr="006E1CEB">
        <w:rPr>
          <w:szCs w:val="22"/>
        </w:rPr>
        <w:t xml:space="preserve">ASTR involves injection of water into a well for storage, and recovery from a different well, generally to provide additional water treatment. </w:t>
      </w:r>
    </w:p>
    <w:p w:rsidR="006E1CEB" w:rsidRPr="006E1CEB" w:rsidRDefault="006E1CEB" w:rsidP="006E1CEB">
      <w:pPr>
        <w:spacing w:before="60"/>
        <w:ind w:left="284" w:hanging="284"/>
        <w:rPr>
          <w:szCs w:val="22"/>
        </w:rPr>
      </w:pPr>
      <w:r w:rsidRPr="006E1CEB">
        <w:rPr>
          <w:b/>
          <w:szCs w:val="22"/>
        </w:rPr>
        <w:t>Aquitard.</w:t>
      </w:r>
      <w:r w:rsidR="00536F3B">
        <w:rPr>
          <w:szCs w:val="22"/>
        </w:rPr>
        <w:t xml:space="preserve"> </w:t>
      </w:r>
      <w:r w:rsidRPr="006E1CEB">
        <w:rPr>
          <w:szCs w:val="22"/>
        </w:rPr>
        <w:t>Saturated geological unit that can store large volumes of water but cannot transmit significant quantities of water to production wells. Also can be called a ‘confining bed’.</w:t>
      </w:r>
    </w:p>
    <w:p w:rsidR="006E1CEB" w:rsidRPr="006E1CEB" w:rsidRDefault="006E1CEB" w:rsidP="006E1CEB">
      <w:pPr>
        <w:spacing w:before="60"/>
        <w:ind w:left="284" w:hanging="284"/>
        <w:rPr>
          <w:b/>
          <w:szCs w:val="22"/>
        </w:rPr>
      </w:pPr>
      <w:r w:rsidRPr="006E1CEB">
        <w:rPr>
          <w:b/>
          <w:szCs w:val="22"/>
        </w:rPr>
        <w:t xml:space="preserve">Bank filtration. </w:t>
      </w:r>
      <w:r w:rsidRPr="006E1CEB">
        <w:rPr>
          <w:szCs w:val="22"/>
        </w:rPr>
        <w:t xml:space="preserve">In bank filtration, groundwater is extracted from a well or caisson near or under a river or lake by inducing infiltration from the surface water body, thereby improving water quality. </w:t>
      </w:r>
    </w:p>
    <w:p w:rsidR="006E1CEB" w:rsidRPr="006E1CEB" w:rsidRDefault="006E1CEB" w:rsidP="006E1CEB">
      <w:pPr>
        <w:spacing w:before="60"/>
        <w:ind w:left="284" w:hanging="284"/>
        <w:rPr>
          <w:szCs w:val="22"/>
        </w:rPr>
      </w:pPr>
      <w:r w:rsidRPr="006E1CEB">
        <w:rPr>
          <w:b/>
          <w:szCs w:val="22"/>
        </w:rPr>
        <w:t xml:space="preserve">Basement. </w:t>
      </w:r>
      <w:r w:rsidRPr="006E1CEB">
        <w:rPr>
          <w:szCs w:val="22"/>
        </w:rPr>
        <w:t>Bedrock that underlies the geological materials of interest.</w:t>
      </w:r>
    </w:p>
    <w:p w:rsidR="006E1CEB" w:rsidRPr="006E1CEB" w:rsidRDefault="006E1CEB" w:rsidP="006E1CEB">
      <w:pPr>
        <w:spacing w:before="60"/>
        <w:ind w:left="284" w:hanging="284"/>
        <w:rPr>
          <w:szCs w:val="22"/>
        </w:rPr>
      </w:pPr>
      <w:r w:rsidRPr="006E1CEB">
        <w:rPr>
          <w:b/>
          <w:szCs w:val="22"/>
        </w:rPr>
        <w:t>Bioturbation.</w:t>
      </w:r>
      <w:r w:rsidR="00536F3B">
        <w:rPr>
          <w:szCs w:val="22"/>
        </w:rPr>
        <w:t xml:space="preserve"> </w:t>
      </w:r>
      <w:r w:rsidRPr="006E1CEB">
        <w:rPr>
          <w:szCs w:val="22"/>
        </w:rPr>
        <w:t>The displacement and mixing of sediment particles by plants and animals.</w:t>
      </w:r>
    </w:p>
    <w:p w:rsidR="006E1CEB" w:rsidRPr="006E1CEB" w:rsidRDefault="006E1CEB" w:rsidP="006E1CEB">
      <w:pPr>
        <w:spacing w:before="60"/>
        <w:ind w:left="284" w:hanging="284"/>
        <w:rPr>
          <w:szCs w:val="22"/>
        </w:rPr>
      </w:pPr>
      <w:r w:rsidRPr="006E1CEB">
        <w:rPr>
          <w:b/>
          <w:szCs w:val="22"/>
        </w:rPr>
        <w:t xml:space="preserve">Biogenic carbonate. </w:t>
      </w:r>
      <w:r w:rsidRPr="006E1CEB">
        <w:rPr>
          <w:szCs w:val="22"/>
        </w:rPr>
        <w:t>Calcium carbonate directly precipitated by biological processes, such as shells, corals.</w:t>
      </w:r>
    </w:p>
    <w:p w:rsidR="006E1CEB" w:rsidRPr="006E1CEB" w:rsidRDefault="006E1CEB" w:rsidP="006E1CEB">
      <w:pPr>
        <w:spacing w:before="60"/>
        <w:ind w:left="284" w:hanging="284"/>
        <w:rPr>
          <w:szCs w:val="22"/>
        </w:rPr>
      </w:pPr>
      <w:r w:rsidRPr="006E1CEB">
        <w:rPr>
          <w:b/>
          <w:szCs w:val="22"/>
        </w:rPr>
        <w:t>Bore</w:t>
      </w:r>
      <w:r w:rsidRPr="006E1CEB">
        <w:rPr>
          <w:szCs w:val="22"/>
        </w:rPr>
        <w:t xml:space="preserve"> </w:t>
      </w:r>
      <w:r w:rsidRPr="006E1CEB">
        <w:rPr>
          <w:b/>
          <w:szCs w:val="22"/>
        </w:rPr>
        <w:t>Yield.</w:t>
      </w:r>
      <w:r w:rsidR="00536F3B">
        <w:rPr>
          <w:szCs w:val="22"/>
        </w:rPr>
        <w:t xml:space="preserve"> </w:t>
      </w:r>
      <w:r w:rsidRPr="006E1CEB">
        <w:rPr>
          <w:szCs w:val="22"/>
        </w:rPr>
        <w:t>The amount of water which can be abstracted from a bore (either by pumping or natural artesian flow) over a specific time interval frame. Bore yields are usually measured in litres per second.</w:t>
      </w:r>
    </w:p>
    <w:p w:rsidR="006E1CEB" w:rsidRPr="006E1CEB" w:rsidRDefault="006E1CEB" w:rsidP="006E1CEB">
      <w:pPr>
        <w:spacing w:before="60"/>
        <w:ind w:left="284" w:hanging="284"/>
        <w:rPr>
          <w:szCs w:val="22"/>
        </w:rPr>
      </w:pPr>
      <w:r w:rsidRPr="006E1CEB">
        <w:rPr>
          <w:b/>
          <w:szCs w:val="22"/>
        </w:rPr>
        <w:t xml:space="preserve">Cenozoic. </w:t>
      </w:r>
      <w:r w:rsidRPr="006E1CEB">
        <w:rPr>
          <w:szCs w:val="22"/>
        </w:rPr>
        <w:t>Geological Era extending from 65.5 million years ago to the present.</w:t>
      </w:r>
    </w:p>
    <w:p w:rsidR="006E1CEB" w:rsidRPr="006E1CEB" w:rsidRDefault="006E1CEB" w:rsidP="006E1CEB">
      <w:pPr>
        <w:spacing w:before="60"/>
        <w:ind w:left="284" w:hanging="284"/>
        <w:rPr>
          <w:szCs w:val="22"/>
        </w:rPr>
      </w:pPr>
      <w:r w:rsidRPr="006E1CEB">
        <w:rPr>
          <w:b/>
          <w:szCs w:val="22"/>
        </w:rPr>
        <w:t>Clast.</w:t>
      </w:r>
      <w:r w:rsidR="00536F3B">
        <w:rPr>
          <w:szCs w:val="22"/>
        </w:rPr>
        <w:t xml:space="preserve"> </w:t>
      </w:r>
      <w:r w:rsidRPr="006E1CEB">
        <w:rPr>
          <w:szCs w:val="22"/>
        </w:rPr>
        <w:t>A rock fragment or grain resulting from the breakdown of larger rocks.</w:t>
      </w:r>
    </w:p>
    <w:p w:rsidR="006E1CEB" w:rsidRPr="006E1CEB" w:rsidRDefault="006E1CEB" w:rsidP="006E1CEB">
      <w:pPr>
        <w:spacing w:before="60"/>
        <w:ind w:left="284" w:hanging="284"/>
        <w:rPr>
          <w:szCs w:val="22"/>
        </w:rPr>
      </w:pPr>
      <w:r w:rsidRPr="006E1CEB">
        <w:rPr>
          <w:b/>
          <w:szCs w:val="22"/>
        </w:rPr>
        <w:t xml:space="preserve">Colluvial. </w:t>
      </w:r>
      <w:r w:rsidRPr="006E1CEB">
        <w:rPr>
          <w:szCs w:val="22"/>
        </w:rPr>
        <w:t>Gravity deposits in slope depositional environments.</w:t>
      </w:r>
    </w:p>
    <w:p w:rsidR="006E1CEB" w:rsidRPr="006E1CEB" w:rsidRDefault="006E1CEB" w:rsidP="006E1CEB">
      <w:pPr>
        <w:spacing w:before="60"/>
        <w:ind w:left="284" w:hanging="284"/>
        <w:rPr>
          <w:b/>
          <w:szCs w:val="22"/>
        </w:rPr>
      </w:pPr>
      <w:r w:rsidRPr="006E1CEB">
        <w:rPr>
          <w:b/>
          <w:szCs w:val="22"/>
        </w:rPr>
        <w:t>Conductivity (</w:t>
      </w:r>
      <w:r w:rsidRPr="006E1CEB">
        <w:rPr>
          <w:b/>
          <w:bCs/>
          <w:szCs w:val="22"/>
        </w:rPr>
        <w:t>σ</w:t>
      </w:r>
      <w:r w:rsidRPr="006E1CEB">
        <w:rPr>
          <w:b/>
          <w:szCs w:val="22"/>
        </w:rPr>
        <w:t xml:space="preserve">). </w:t>
      </w:r>
      <w:r w:rsidRPr="006E1CEB">
        <w:rPr>
          <w:szCs w:val="22"/>
        </w:rPr>
        <w:t xml:space="preserve">How the earth or a geological formation conducts electricity. Conductivity is usually measured in milli-Siemens per metre (mS/m). It is the reciprocal of </w:t>
      </w:r>
      <w:r w:rsidRPr="006E1CEB">
        <w:rPr>
          <w:iCs/>
          <w:szCs w:val="22"/>
        </w:rPr>
        <w:t>resistivity</w:t>
      </w:r>
      <w:r w:rsidRPr="006E1CEB">
        <w:rPr>
          <w:szCs w:val="22"/>
        </w:rPr>
        <w:t>.</w:t>
      </w:r>
    </w:p>
    <w:p w:rsidR="006E1CEB" w:rsidRPr="006E1CEB" w:rsidRDefault="006E1CEB" w:rsidP="006E1CEB">
      <w:pPr>
        <w:spacing w:before="60"/>
        <w:ind w:left="284" w:hanging="284"/>
        <w:rPr>
          <w:b/>
          <w:szCs w:val="22"/>
        </w:rPr>
      </w:pPr>
      <w:r w:rsidRPr="006E1CEB">
        <w:rPr>
          <w:b/>
          <w:szCs w:val="22"/>
        </w:rPr>
        <w:t xml:space="preserve">Conductor. </w:t>
      </w:r>
      <w:r w:rsidRPr="006E1CEB">
        <w:rPr>
          <w:szCs w:val="22"/>
        </w:rPr>
        <w:t>Used to describe anything in the ground more conductiv</w:t>
      </w:r>
      <w:r w:rsidR="00536F3B">
        <w:rPr>
          <w:szCs w:val="22"/>
        </w:rPr>
        <w:t xml:space="preserve">e than the surrounding geology. </w:t>
      </w:r>
      <w:r w:rsidRPr="006E1CEB">
        <w:rPr>
          <w:szCs w:val="22"/>
        </w:rPr>
        <w:t>Conductors are most often clays, graphite, metallic mineralization or saline groundwater.</w:t>
      </w:r>
    </w:p>
    <w:p w:rsidR="006E1CEB" w:rsidRPr="006E1CEB" w:rsidRDefault="006E1CEB" w:rsidP="006E1CEB">
      <w:pPr>
        <w:spacing w:before="60"/>
        <w:ind w:left="284" w:hanging="284"/>
        <w:rPr>
          <w:b/>
          <w:szCs w:val="22"/>
        </w:rPr>
      </w:pPr>
      <w:r w:rsidRPr="006E1CEB">
        <w:rPr>
          <w:b/>
          <w:szCs w:val="22"/>
        </w:rPr>
        <w:t xml:space="preserve">Confined Aquifer. </w:t>
      </w:r>
      <w:r w:rsidRPr="006E1CEB">
        <w:rPr>
          <w:szCs w:val="22"/>
        </w:rPr>
        <w:t>An aquifer that is overlain and underlain by impervious layers (aquitards), and is not associated with the water table.</w:t>
      </w:r>
    </w:p>
    <w:p w:rsidR="006E1CEB" w:rsidRPr="006E1CEB" w:rsidRDefault="006E1CEB" w:rsidP="006E1CEB">
      <w:pPr>
        <w:spacing w:before="60"/>
        <w:ind w:left="284" w:hanging="284"/>
        <w:rPr>
          <w:szCs w:val="22"/>
        </w:rPr>
      </w:pPr>
      <w:r w:rsidRPr="006E1CEB">
        <w:rPr>
          <w:b/>
          <w:szCs w:val="22"/>
        </w:rPr>
        <w:t xml:space="preserve">Conjunctive Water Use. </w:t>
      </w:r>
      <w:r w:rsidRPr="006E1CEB">
        <w:rPr>
          <w:szCs w:val="22"/>
        </w:rPr>
        <w:t>Coordinated management of surface-water and groundwater resources.</w:t>
      </w:r>
    </w:p>
    <w:p w:rsidR="006E1CEB" w:rsidRPr="006E1CEB" w:rsidRDefault="006E1CEB" w:rsidP="006E1CEB">
      <w:pPr>
        <w:spacing w:before="60"/>
        <w:ind w:left="284" w:hanging="284"/>
        <w:rPr>
          <w:szCs w:val="22"/>
        </w:rPr>
      </w:pPr>
      <w:r w:rsidRPr="006E1CEB">
        <w:rPr>
          <w:b/>
          <w:szCs w:val="22"/>
        </w:rPr>
        <w:t xml:space="preserve">Core/coring. </w:t>
      </w:r>
      <w:r w:rsidRPr="006E1CEB">
        <w:rPr>
          <w:szCs w:val="22"/>
        </w:rPr>
        <w:t>Drilling method that recovers intact samples of subsurface materials.</w:t>
      </w:r>
    </w:p>
    <w:p w:rsidR="006E1CEB" w:rsidRPr="006E1CEB" w:rsidRDefault="006E1CEB" w:rsidP="006E1CEB">
      <w:pPr>
        <w:spacing w:before="60"/>
        <w:ind w:left="284" w:hanging="284"/>
        <w:rPr>
          <w:szCs w:val="22"/>
        </w:rPr>
      </w:pPr>
      <w:r w:rsidRPr="006E1CEB">
        <w:rPr>
          <w:b/>
          <w:szCs w:val="22"/>
        </w:rPr>
        <w:t>Crevasse.</w:t>
      </w:r>
      <w:r w:rsidR="00536F3B">
        <w:rPr>
          <w:szCs w:val="22"/>
        </w:rPr>
        <w:t xml:space="preserve"> </w:t>
      </w:r>
      <w:r w:rsidRPr="006E1CEB">
        <w:rPr>
          <w:szCs w:val="22"/>
        </w:rPr>
        <w:t>A crevasse is a break in a river levee through which flood waters and sediments split out onto the floodplain, forming a crevasse-splay deposit.</w:t>
      </w:r>
    </w:p>
    <w:p w:rsidR="006E1CEB" w:rsidRPr="006E1CEB" w:rsidRDefault="006E1CEB" w:rsidP="006E1CEB">
      <w:pPr>
        <w:spacing w:before="60"/>
        <w:ind w:left="284" w:hanging="284"/>
        <w:rPr>
          <w:szCs w:val="22"/>
        </w:rPr>
      </w:pPr>
      <w:r w:rsidRPr="006E1CEB">
        <w:rPr>
          <w:b/>
          <w:szCs w:val="22"/>
        </w:rPr>
        <w:t xml:space="preserve">Darcian Vertical Infiltration. </w:t>
      </w:r>
      <w:r w:rsidRPr="006E1CEB">
        <w:rPr>
          <w:szCs w:val="22"/>
        </w:rPr>
        <w:t xml:space="preserve">Vertical infiltration determined by applying Darcy’s Law which </w:t>
      </w:r>
      <w:r w:rsidRPr="006E1CEB">
        <w:rPr>
          <w:szCs w:val="22"/>
          <w:lang w:val="en"/>
        </w:rPr>
        <w:t>describes the flow of a fluid through a porous medium.</w:t>
      </w:r>
    </w:p>
    <w:p w:rsidR="006E1CEB" w:rsidRPr="006E1CEB" w:rsidRDefault="006E1CEB" w:rsidP="006E1CEB">
      <w:pPr>
        <w:spacing w:before="60"/>
        <w:ind w:left="284" w:hanging="284"/>
        <w:rPr>
          <w:szCs w:val="22"/>
        </w:rPr>
      </w:pPr>
      <w:r w:rsidRPr="006E1CEB">
        <w:rPr>
          <w:b/>
          <w:szCs w:val="22"/>
        </w:rPr>
        <w:t xml:space="preserve">Deflation. </w:t>
      </w:r>
      <w:r w:rsidRPr="006E1CEB">
        <w:rPr>
          <w:szCs w:val="22"/>
        </w:rPr>
        <w:t>Erosion of sediment and ground-surface lowering by wind action.</w:t>
      </w:r>
    </w:p>
    <w:p w:rsidR="006E1CEB" w:rsidRPr="006E1CEB" w:rsidRDefault="006E1CEB" w:rsidP="006E1CEB">
      <w:pPr>
        <w:spacing w:before="60"/>
        <w:ind w:left="284" w:hanging="284"/>
        <w:rPr>
          <w:b/>
          <w:szCs w:val="22"/>
        </w:rPr>
      </w:pPr>
      <w:r w:rsidRPr="006E1CEB">
        <w:rPr>
          <w:b/>
          <w:szCs w:val="22"/>
        </w:rPr>
        <w:t xml:space="preserve">Depth of exploration. </w:t>
      </w:r>
      <w:r w:rsidRPr="006E1CEB">
        <w:rPr>
          <w:szCs w:val="22"/>
        </w:rPr>
        <w:t>The maximum depth at which the geophysical system can detect the target and it depends on a variety of characteristics. Often refers to the resolution depth of the strongest conductive target.</w:t>
      </w:r>
    </w:p>
    <w:p w:rsidR="006E1CEB" w:rsidRPr="006E1CEB" w:rsidRDefault="006E1CEB" w:rsidP="006E1CEB">
      <w:pPr>
        <w:spacing w:before="60"/>
        <w:ind w:left="284" w:hanging="284"/>
        <w:rPr>
          <w:szCs w:val="22"/>
        </w:rPr>
      </w:pPr>
      <w:r w:rsidRPr="006E1CEB">
        <w:rPr>
          <w:b/>
          <w:szCs w:val="22"/>
        </w:rPr>
        <w:t xml:space="preserve">Devonian. </w:t>
      </w:r>
      <w:r w:rsidRPr="006E1CEB">
        <w:rPr>
          <w:szCs w:val="22"/>
        </w:rPr>
        <w:t>Geological Period extending from 416 to 359 million years.</w:t>
      </w:r>
    </w:p>
    <w:p w:rsidR="006E1CEB" w:rsidRPr="006E1CEB" w:rsidRDefault="006E1CEB" w:rsidP="006E1CEB">
      <w:pPr>
        <w:spacing w:before="60"/>
        <w:ind w:left="284" w:hanging="284"/>
        <w:rPr>
          <w:szCs w:val="22"/>
        </w:rPr>
      </w:pPr>
      <w:r w:rsidRPr="006E1CEB">
        <w:rPr>
          <w:b/>
          <w:bCs/>
          <w:szCs w:val="22"/>
        </w:rPr>
        <w:lastRenderedPageBreak/>
        <w:t xml:space="preserve">Discharge (Groundwater). </w:t>
      </w:r>
      <w:r w:rsidRPr="006E1CEB">
        <w:rPr>
          <w:szCs w:val="22"/>
        </w:rPr>
        <w:t>The flow of groundwater to surface water, bores, between aquifers or the sea.</w:t>
      </w:r>
    </w:p>
    <w:p w:rsidR="006E1CEB" w:rsidRPr="006E1CEB" w:rsidRDefault="006E1CEB" w:rsidP="006E1CEB">
      <w:pPr>
        <w:spacing w:before="60"/>
        <w:ind w:left="284" w:hanging="284"/>
        <w:rPr>
          <w:b/>
          <w:szCs w:val="22"/>
        </w:rPr>
      </w:pPr>
      <w:r w:rsidRPr="006E1CEB">
        <w:rPr>
          <w:b/>
          <w:szCs w:val="22"/>
        </w:rPr>
        <w:t xml:space="preserve">Discharge (Stream). </w:t>
      </w:r>
      <w:r w:rsidRPr="006E1CEB">
        <w:rPr>
          <w:szCs w:val="22"/>
        </w:rPr>
        <w:t>Amount of water flowing in the stream.</w:t>
      </w:r>
    </w:p>
    <w:p w:rsidR="0060665D" w:rsidRDefault="0060665D" w:rsidP="0060665D">
      <w:pPr>
        <w:spacing w:before="60"/>
        <w:ind w:left="284" w:hanging="284"/>
        <w:rPr>
          <w:rStyle w:val="st1"/>
          <w:rFonts w:eastAsia="Times"/>
          <w:color w:val="222222"/>
        </w:rPr>
      </w:pPr>
      <w:r w:rsidRPr="00523717">
        <w:rPr>
          <w:b/>
          <w:szCs w:val="22"/>
        </w:rPr>
        <w:t>Distributary.</w:t>
      </w:r>
      <w:r w:rsidRPr="00523717">
        <w:rPr>
          <w:szCs w:val="22"/>
        </w:rPr>
        <w:t xml:space="preserve"> </w:t>
      </w:r>
      <w:r w:rsidRPr="00523717">
        <w:rPr>
          <w:rStyle w:val="st1"/>
          <w:rFonts w:eastAsia="Times"/>
          <w:color w:val="222222"/>
        </w:rPr>
        <w:t>A stream that branches off and flows away from a main stream channel.</w:t>
      </w:r>
      <w:r>
        <w:rPr>
          <w:rStyle w:val="st1"/>
          <w:rFonts w:eastAsia="Times"/>
          <w:color w:val="222222"/>
        </w:rPr>
        <w:t xml:space="preserve"> Often called an anabranch in </w:t>
      </w:r>
      <w:smartTag w:uri="urn:schemas-microsoft-com:office:smarttags" w:element="place">
        <w:smartTag w:uri="urn:schemas-microsoft-com:office:smarttags" w:element="country-region">
          <w:r>
            <w:rPr>
              <w:rStyle w:val="st1"/>
              <w:rFonts w:eastAsia="Times"/>
              <w:color w:val="222222"/>
            </w:rPr>
            <w:t>Australia</w:t>
          </w:r>
        </w:smartTag>
      </w:smartTag>
      <w:r>
        <w:rPr>
          <w:rStyle w:val="st1"/>
          <w:rFonts w:eastAsia="Times"/>
          <w:color w:val="222222"/>
        </w:rPr>
        <w:t>.</w:t>
      </w:r>
    </w:p>
    <w:p w:rsidR="006E1CEB" w:rsidRPr="006E1CEB" w:rsidRDefault="006E1CEB" w:rsidP="006E1CEB">
      <w:pPr>
        <w:spacing w:before="60"/>
        <w:ind w:left="284" w:hanging="284"/>
        <w:rPr>
          <w:szCs w:val="22"/>
        </w:rPr>
      </w:pPr>
      <w:r w:rsidRPr="006E1CEB">
        <w:rPr>
          <w:b/>
          <w:szCs w:val="22"/>
        </w:rPr>
        <w:t xml:space="preserve">Drawdown. </w:t>
      </w:r>
      <w:r w:rsidRPr="006E1CEB">
        <w:rPr>
          <w:szCs w:val="22"/>
        </w:rPr>
        <w:t>Water table lowering.</w:t>
      </w:r>
    </w:p>
    <w:p w:rsidR="006E1CEB" w:rsidRPr="006E1CEB" w:rsidRDefault="006E1CEB" w:rsidP="006E1CEB">
      <w:pPr>
        <w:spacing w:before="60"/>
        <w:ind w:left="284" w:hanging="284"/>
        <w:rPr>
          <w:b/>
          <w:szCs w:val="22"/>
        </w:rPr>
      </w:pPr>
      <w:r w:rsidRPr="006E1CEB">
        <w:rPr>
          <w:b/>
          <w:szCs w:val="22"/>
        </w:rPr>
        <w:t xml:space="preserve">Electrical conductivity (EC). </w:t>
      </w:r>
      <w:r w:rsidRPr="006E1CEB">
        <w:rPr>
          <w:szCs w:val="22"/>
        </w:rPr>
        <w:t>The ability of electrical current to pass through a substance. EC is commonly used to estimate the amount of soluble salt in solution. EC measurements can be made with a range of devices on ground and stream water, soils, and soil-paste extracts. Units of electrical conductivity are commonly given in mS/m, dS/m or μS/cm; 100 mS/m = 1 dS/m = 1000 μS/cm. Here, S is the symbol for siemens, and the prefixes d is deci (10</w:t>
      </w:r>
      <w:r w:rsidRPr="006E1CEB">
        <w:rPr>
          <w:szCs w:val="22"/>
          <w:vertAlign w:val="superscript"/>
        </w:rPr>
        <w:t>-1</w:t>
      </w:r>
      <w:r w:rsidRPr="006E1CEB">
        <w:rPr>
          <w:szCs w:val="22"/>
        </w:rPr>
        <w:t>), c is centi (10</w:t>
      </w:r>
      <w:r w:rsidRPr="006E1CEB">
        <w:rPr>
          <w:szCs w:val="22"/>
          <w:vertAlign w:val="superscript"/>
        </w:rPr>
        <w:t>-2</w:t>
      </w:r>
      <w:r w:rsidRPr="006E1CEB">
        <w:rPr>
          <w:szCs w:val="22"/>
        </w:rPr>
        <w:t>), m is milli (10</w:t>
      </w:r>
      <w:r w:rsidRPr="006E1CEB">
        <w:rPr>
          <w:szCs w:val="22"/>
          <w:vertAlign w:val="superscript"/>
        </w:rPr>
        <w:t>-3</w:t>
      </w:r>
      <w:r w:rsidRPr="006E1CEB">
        <w:rPr>
          <w:szCs w:val="22"/>
        </w:rPr>
        <w:t>) and μ is micro (10</w:t>
      </w:r>
      <w:r w:rsidRPr="006E1CEB">
        <w:rPr>
          <w:szCs w:val="22"/>
          <w:vertAlign w:val="superscript"/>
        </w:rPr>
        <w:t>-6</w:t>
      </w:r>
      <w:r w:rsidRPr="006E1CEB">
        <w:rPr>
          <w:szCs w:val="22"/>
        </w:rPr>
        <w:t>).</w:t>
      </w:r>
    </w:p>
    <w:p w:rsidR="006E1CEB" w:rsidRPr="006E1CEB" w:rsidRDefault="006E1CEB" w:rsidP="006E1CEB">
      <w:pPr>
        <w:spacing w:before="60"/>
        <w:ind w:left="284" w:hanging="284"/>
        <w:rPr>
          <w:b/>
          <w:szCs w:val="22"/>
        </w:rPr>
      </w:pPr>
      <w:r w:rsidRPr="006E1CEB">
        <w:rPr>
          <w:b/>
          <w:szCs w:val="22"/>
        </w:rPr>
        <w:t xml:space="preserve">Electromagnetic (EM). </w:t>
      </w:r>
      <w:r w:rsidRPr="006E1CEB">
        <w:rPr>
          <w:szCs w:val="22"/>
        </w:rPr>
        <w:t>Comprised of a time-varying electrical and magnetic field.</w:t>
      </w:r>
      <w:r w:rsidR="00465915">
        <w:rPr>
          <w:szCs w:val="22"/>
        </w:rPr>
        <w:t xml:space="preserve"> </w:t>
      </w:r>
      <w:r w:rsidRPr="006E1CEB">
        <w:rPr>
          <w:szCs w:val="22"/>
        </w:rPr>
        <w:t xml:space="preserve">Radio waves are common electromagnetic fields. In geophysics, an electromagnetic system is one which transmits a time-varying </w:t>
      </w:r>
      <w:r w:rsidRPr="006E1CEB">
        <w:rPr>
          <w:iCs/>
          <w:szCs w:val="22"/>
        </w:rPr>
        <w:t>primary field</w:t>
      </w:r>
      <w:r w:rsidRPr="006E1CEB">
        <w:rPr>
          <w:szCs w:val="22"/>
        </w:rPr>
        <w:t xml:space="preserve"> to induce </w:t>
      </w:r>
      <w:r w:rsidRPr="006E1CEB">
        <w:rPr>
          <w:iCs/>
          <w:szCs w:val="22"/>
        </w:rPr>
        <w:t>eddy currents</w:t>
      </w:r>
      <w:r w:rsidRPr="006E1CEB">
        <w:rPr>
          <w:szCs w:val="22"/>
        </w:rPr>
        <w:t xml:space="preserve"> in the ground, and then measures the </w:t>
      </w:r>
      <w:r w:rsidRPr="006E1CEB">
        <w:rPr>
          <w:iCs/>
          <w:szCs w:val="22"/>
        </w:rPr>
        <w:t>secondary field</w:t>
      </w:r>
      <w:r w:rsidRPr="006E1CEB">
        <w:rPr>
          <w:szCs w:val="22"/>
        </w:rPr>
        <w:t xml:space="preserve"> emitted by those eddy currents.</w:t>
      </w:r>
    </w:p>
    <w:p w:rsidR="006E1CEB" w:rsidRPr="006E1CEB" w:rsidRDefault="006E1CEB" w:rsidP="006E1CEB">
      <w:pPr>
        <w:spacing w:before="60"/>
        <w:ind w:left="284" w:hanging="284"/>
        <w:rPr>
          <w:b/>
          <w:szCs w:val="22"/>
        </w:rPr>
      </w:pPr>
      <w:r w:rsidRPr="006E1CEB">
        <w:rPr>
          <w:b/>
          <w:szCs w:val="22"/>
        </w:rPr>
        <w:t xml:space="preserve">Ephemeral. </w:t>
      </w:r>
      <w:r w:rsidRPr="006E1CEB">
        <w:rPr>
          <w:szCs w:val="22"/>
        </w:rPr>
        <w:t>Watercourses that are active for only a short period of time.</w:t>
      </w:r>
    </w:p>
    <w:p w:rsidR="0060665D" w:rsidRPr="004C5A43" w:rsidRDefault="0060665D" w:rsidP="0060665D">
      <w:pPr>
        <w:spacing w:before="60"/>
        <w:ind w:left="284" w:hanging="284"/>
        <w:rPr>
          <w:szCs w:val="22"/>
        </w:rPr>
      </w:pPr>
      <w:r w:rsidRPr="004C5A43">
        <w:rPr>
          <w:b/>
          <w:szCs w:val="22"/>
        </w:rPr>
        <w:t>Exceedance Threshold.</w:t>
      </w:r>
      <w:r w:rsidR="00D039C6">
        <w:rPr>
          <w:szCs w:val="22"/>
        </w:rPr>
        <w:t xml:space="preserve"> </w:t>
      </w:r>
      <w:r w:rsidRPr="004C5A43">
        <w:rPr>
          <w:szCs w:val="22"/>
        </w:rPr>
        <w:t>In water quality standards it is the limit between acceptable and unacceptable amounts of a particular water component or characteristic.</w:t>
      </w:r>
    </w:p>
    <w:p w:rsidR="0060665D" w:rsidRDefault="0060665D" w:rsidP="0060665D">
      <w:pPr>
        <w:spacing w:before="60"/>
        <w:ind w:left="284" w:hanging="284"/>
        <w:rPr>
          <w:szCs w:val="22"/>
        </w:rPr>
      </w:pPr>
      <w:r w:rsidRPr="004C5A43">
        <w:rPr>
          <w:b/>
          <w:szCs w:val="22"/>
        </w:rPr>
        <w:t>Extensional Fault.</w:t>
      </w:r>
      <w:r w:rsidRPr="004C5A43">
        <w:rPr>
          <w:szCs w:val="22"/>
        </w:rPr>
        <w:t xml:space="preserve"> </w:t>
      </w:r>
      <w:r w:rsidRPr="004C5A43">
        <w:rPr>
          <w:szCs w:val="22"/>
          <w:lang w:val="en"/>
        </w:rPr>
        <w:t xml:space="preserve">A </w:t>
      </w:r>
      <w:r>
        <w:rPr>
          <w:szCs w:val="22"/>
          <w:lang w:val="en"/>
        </w:rPr>
        <w:t xml:space="preserve">normal </w:t>
      </w:r>
      <w:r w:rsidRPr="004C5A43">
        <w:rPr>
          <w:szCs w:val="22"/>
          <w:lang w:val="en"/>
        </w:rPr>
        <w:t xml:space="preserve">fault </w:t>
      </w:r>
      <w:r w:rsidRPr="004C5A43">
        <w:rPr>
          <w:szCs w:val="22"/>
        </w:rPr>
        <w:t>characterised by vertical movement</w:t>
      </w:r>
      <w:r w:rsidRPr="004C5A43">
        <w:rPr>
          <w:szCs w:val="22"/>
          <w:lang w:val="en"/>
        </w:rPr>
        <w:t xml:space="preserve"> </w:t>
      </w:r>
      <w:r>
        <w:rPr>
          <w:szCs w:val="22"/>
          <w:lang w:val="en"/>
        </w:rPr>
        <w:t xml:space="preserve">on an inclined plane </w:t>
      </w:r>
      <w:r w:rsidRPr="004C5A43">
        <w:rPr>
          <w:szCs w:val="22"/>
          <w:lang w:val="en"/>
        </w:rPr>
        <w:t>that vertically thins and horizontally extends portions of the Earth's crust.</w:t>
      </w:r>
      <w:r w:rsidRPr="004C5A43">
        <w:rPr>
          <w:szCs w:val="22"/>
        </w:rPr>
        <w:t xml:space="preserve"> </w:t>
      </w:r>
      <w:r>
        <w:rPr>
          <w:szCs w:val="22"/>
        </w:rPr>
        <w:t>In normal faults the hanging wall (rock above the fault plane) moves downward relative to the footwall (rock below the fault plane).</w:t>
      </w:r>
    </w:p>
    <w:p w:rsidR="006E1CEB" w:rsidRPr="006E1CEB" w:rsidRDefault="006E1CEB" w:rsidP="006E1CEB">
      <w:pPr>
        <w:spacing w:before="60"/>
        <w:ind w:left="284" w:hanging="284"/>
        <w:rPr>
          <w:szCs w:val="22"/>
        </w:rPr>
      </w:pPr>
      <w:r w:rsidRPr="006E1CEB">
        <w:rPr>
          <w:b/>
          <w:szCs w:val="22"/>
        </w:rPr>
        <w:t xml:space="preserve">Facies. </w:t>
      </w:r>
      <w:r w:rsidRPr="006E1CEB">
        <w:rPr>
          <w:szCs w:val="22"/>
        </w:rPr>
        <w:t>Characteristics or bodies of sediments recognised by the depositional environment.</w:t>
      </w:r>
    </w:p>
    <w:p w:rsidR="006E1CEB" w:rsidRPr="006E1CEB" w:rsidRDefault="006E1CEB" w:rsidP="006E1CEB">
      <w:pPr>
        <w:spacing w:before="60"/>
        <w:ind w:left="284" w:hanging="284"/>
        <w:rPr>
          <w:szCs w:val="22"/>
        </w:rPr>
      </w:pPr>
      <w:r w:rsidRPr="006E1CEB">
        <w:rPr>
          <w:b/>
          <w:szCs w:val="22"/>
        </w:rPr>
        <w:t xml:space="preserve">Fault Scarp. </w:t>
      </w:r>
      <w:r w:rsidRPr="006E1CEB">
        <w:rPr>
          <w:szCs w:val="22"/>
        </w:rPr>
        <w:t>A break slope in at the earth surface caused by relative uplift along a fault.</w:t>
      </w:r>
    </w:p>
    <w:p w:rsidR="006E1CEB" w:rsidRPr="006E1CEB" w:rsidRDefault="006E1CEB" w:rsidP="006E1CEB">
      <w:pPr>
        <w:spacing w:before="60"/>
        <w:ind w:left="284" w:hanging="284"/>
        <w:rPr>
          <w:szCs w:val="22"/>
        </w:rPr>
      </w:pPr>
      <w:r w:rsidRPr="006E1CEB">
        <w:rPr>
          <w:b/>
          <w:szCs w:val="22"/>
        </w:rPr>
        <w:t>Ferruginised.</w:t>
      </w:r>
      <w:r w:rsidR="00536F3B">
        <w:rPr>
          <w:szCs w:val="22"/>
        </w:rPr>
        <w:t xml:space="preserve"> </w:t>
      </w:r>
      <w:r w:rsidRPr="006E1CEB">
        <w:rPr>
          <w:szCs w:val="22"/>
        </w:rPr>
        <w:t xml:space="preserve">Geological material which has </w:t>
      </w:r>
      <w:smartTag w:uri="urn:schemas-microsoft-com:office:smarttags" w:element="PersonName">
        <w:r w:rsidRPr="006E1CEB">
          <w:rPr>
            <w:szCs w:val="22"/>
          </w:rPr>
          <w:t>ga</w:t>
        </w:r>
      </w:smartTag>
      <w:r w:rsidRPr="006E1CEB">
        <w:rPr>
          <w:szCs w:val="22"/>
        </w:rPr>
        <w:t xml:space="preserve">ined iron following its original formation. Commonly, iron-rich </w:t>
      </w:r>
      <w:smartTag w:uri="urn:schemas-microsoft-com:office:smarttags" w:element="PersonName">
        <w:r w:rsidRPr="006E1CEB">
          <w:rPr>
            <w:szCs w:val="22"/>
          </w:rPr>
          <w:t>groundwater</w:t>
        </w:r>
      </w:smartTag>
      <w:r w:rsidRPr="006E1CEB">
        <w:rPr>
          <w:szCs w:val="22"/>
        </w:rPr>
        <w:t xml:space="preserve"> solutions may precipitate iron under favourable hydrochemical conditions.</w:t>
      </w:r>
    </w:p>
    <w:p w:rsidR="006E1CEB" w:rsidRPr="006E1CEB" w:rsidRDefault="006E1CEB" w:rsidP="006E1CEB">
      <w:pPr>
        <w:spacing w:before="60"/>
        <w:ind w:left="284" w:hanging="284"/>
        <w:rPr>
          <w:b/>
          <w:szCs w:val="22"/>
        </w:rPr>
      </w:pPr>
      <w:r w:rsidRPr="006E1CEB">
        <w:rPr>
          <w:b/>
          <w:szCs w:val="22"/>
        </w:rPr>
        <w:t xml:space="preserve">Fiducial, or fid. </w:t>
      </w:r>
      <w:r w:rsidRPr="006E1CEB">
        <w:rPr>
          <w:szCs w:val="22"/>
        </w:rPr>
        <w:t>Timing mark on a survey record. Originally these were timing marks on a profile or film; now the term is generally used to describe 1-second timing records in digital data, and on maps or profiles.</w:t>
      </w:r>
    </w:p>
    <w:p w:rsidR="006E1CEB" w:rsidRPr="006E1CEB" w:rsidRDefault="006E1CEB" w:rsidP="006E1CEB">
      <w:pPr>
        <w:spacing w:before="60"/>
        <w:ind w:left="284" w:hanging="284"/>
        <w:rPr>
          <w:szCs w:val="22"/>
        </w:rPr>
      </w:pPr>
      <w:smartTag w:uri="urn:schemas-microsoft-com:office:smarttags" w:element="place">
        <w:smartTag w:uri="urn:schemas-microsoft-com:office:smarttags" w:element="PlaceName">
          <w:r w:rsidRPr="006E1CEB">
            <w:rPr>
              <w:b/>
              <w:szCs w:val="22"/>
            </w:rPr>
            <w:t>Flood-out</w:t>
          </w:r>
        </w:smartTag>
        <w:r w:rsidRPr="006E1CEB">
          <w:rPr>
            <w:b/>
            <w:szCs w:val="22"/>
          </w:rPr>
          <w:t xml:space="preserve"> </w:t>
        </w:r>
        <w:smartTag w:uri="urn:schemas-microsoft-com:office:smarttags" w:element="PlaceType">
          <w:r w:rsidRPr="006E1CEB">
            <w:rPr>
              <w:b/>
              <w:szCs w:val="22"/>
            </w:rPr>
            <w:t>Lakes</w:t>
          </w:r>
        </w:smartTag>
      </w:smartTag>
      <w:r w:rsidRPr="006E1CEB">
        <w:rPr>
          <w:b/>
          <w:szCs w:val="22"/>
        </w:rPr>
        <w:t xml:space="preserve">. </w:t>
      </w:r>
      <w:r w:rsidRPr="006E1CEB">
        <w:rPr>
          <w:szCs w:val="22"/>
        </w:rPr>
        <w:t>Lakes adjacent to a stream that fill and empty via connecting a channel or channels.</w:t>
      </w:r>
    </w:p>
    <w:p w:rsidR="006E1CEB" w:rsidRPr="006E1CEB" w:rsidRDefault="006E1CEB" w:rsidP="006E1CEB">
      <w:pPr>
        <w:spacing w:before="60"/>
        <w:ind w:left="284" w:hanging="284"/>
        <w:rPr>
          <w:szCs w:val="22"/>
        </w:rPr>
      </w:pPr>
      <w:r w:rsidRPr="006E1CEB">
        <w:rPr>
          <w:b/>
          <w:szCs w:val="22"/>
        </w:rPr>
        <w:t>Floodplain.</w:t>
      </w:r>
      <w:r w:rsidR="00536F3B">
        <w:rPr>
          <w:szCs w:val="22"/>
        </w:rPr>
        <w:t xml:space="preserve"> </w:t>
      </w:r>
      <w:r w:rsidRPr="006E1CEB">
        <w:rPr>
          <w:szCs w:val="22"/>
        </w:rPr>
        <w:t>A low-lying area adjacent to a river or stream subject to inundation when that stream floods. Floodplains are often sites of deposition of fine-grained sediments.</w:t>
      </w:r>
    </w:p>
    <w:p w:rsidR="006E1CEB" w:rsidRPr="006E1CEB" w:rsidRDefault="006E1CEB" w:rsidP="006E1CEB">
      <w:pPr>
        <w:spacing w:before="60"/>
        <w:ind w:left="284" w:hanging="284"/>
        <w:rPr>
          <w:bCs/>
          <w:szCs w:val="22"/>
        </w:rPr>
      </w:pPr>
      <w:r w:rsidRPr="006E1CEB">
        <w:rPr>
          <w:b/>
          <w:bCs/>
          <w:szCs w:val="22"/>
        </w:rPr>
        <w:t xml:space="preserve">Fluvial. </w:t>
      </w:r>
      <w:r w:rsidRPr="006E1CEB">
        <w:rPr>
          <w:bCs/>
          <w:szCs w:val="22"/>
        </w:rPr>
        <w:t xml:space="preserve">River depositional environment. </w:t>
      </w:r>
    </w:p>
    <w:p w:rsidR="006E1CEB" w:rsidRPr="006E1CEB" w:rsidRDefault="006E1CEB" w:rsidP="006E1CEB">
      <w:pPr>
        <w:spacing w:before="60"/>
        <w:ind w:left="284" w:hanging="284"/>
        <w:rPr>
          <w:b/>
          <w:bCs/>
          <w:szCs w:val="22"/>
        </w:rPr>
      </w:pPr>
      <w:r w:rsidRPr="006E1CEB">
        <w:rPr>
          <w:b/>
          <w:bCs/>
          <w:szCs w:val="22"/>
        </w:rPr>
        <w:t xml:space="preserve">Footprint </w:t>
      </w:r>
      <w:r w:rsidRPr="006E1CEB">
        <w:rPr>
          <w:szCs w:val="22"/>
        </w:rPr>
        <w:t>This is a measure of the area of sensitivity under the aircraft of an airborne geophysical system; depends on the altitude of the system, the orientation of the transmitter and receiver, the separation between the receiver and transmitter, the conductivity of the ground and the strength of the contrasting anomaly.</w:t>
      </w:r>
    </w:p>
    <w:p w:rsidR="006E1CEB" w:rsidRPr="006E1CEB" w:rsidRDefault="006E1CEB" w:rsidP="006E1CEB">
      <w:pPr>
        <w:spacing w:before="60"/>
        <w:ind w:left="284" w:hanging="284"/>
        <w:rPr>
          <w:b/>
          <w:szCs w:val="22"/>
        </w:rPr>
      </w:pPr>
      <w:r w:rsidRPr="006E1CEB">
        <w:rPr>
          <w:b/>
          <w:szCs w:val="22"/>
        </w:rPr>
        <w:t>Fractured</w:t>
      </w:r>
      <w:r w:rsidRPr="006E1CEB">
        <w:rPr>
          <w:szCs w:val="22"/>
        </w:rPr>
        <w:t xml:space="preserve"> </w:t>
      </w:r>
      <w:r w:rsidRPr="006E1CEB">
        <w:rPr>
          <w:b/>
          <w:szCs w:val="22"/>
        </w:rPr>
        <w:t>Rock</w:t>
      </w:r>
      <w:r w:rsidRPr="006E1CEB">
        <w:rPr>
          <w:szCs w:val="22"/>
        </w:rPr>
        <w:t xml:space="preserve"> </w:t>
      </w:r>
      <w:r w:rsidRPr="006E1CEB">
        <w:rPr>
          <w:b/>
          <w:szCs w:val="22"/>
        </w:rPr>
        <w:t>Aquifer</w:t>
      </w:r>
      <w:r w:rsidR="00536F3B">
        <w:rPr>
          <w:szCs w:val="22"/>
        </w:rPr>
        <w:t xml:space="preserve">. </w:t>
      </w:r>
      <w:r w:rsidRPr="006E1CEB">
        <w:rPr>
          <w:szCs w:val="22"/>
        </w:rPr>
        <w:t xml:space="preserve">Aquifers which store </w:t>
      </w:r>
      <w:smartTag w:uri="urn:schemas-microsoft-com:office:smarttags" w:element="PersonName">
        <w:r w:rsidRPr="006E1CEB">
          <w:rPr>
            <w:szCs w:val="22"/>
          </w:rPr>
          <w:t>groundwater</w:t>
        </w:r>
      </w:smartTag>
      <w:r w:rsidRPr="006E1CEB">
        <w:rPr>
          <w:szCs w:val="22"/>
        </w:rPr>
        <w:t xml:space="preserve"> in the fractures, joints, bedding planes and cavities of the rock mass.</w:t>
      </w:r>
      <w:r w:rsidRPr="006E1CEB">
        <w:rPr>
          <w:b/>
          <w:szCs w:val="22"/>
        </w:rPr>
        <w:t xml:space="preserve"> </w:t>
      </w:r>
    </w:p>
    <w:p w:rsidR="006E1CEB" w:rsidRPr="006E1CEB" w:rsidRDefault="006E1CEB" w:rsidP="006E1CEB">
      <w:pPr>
        <w:spacing w:before="60"/>
        <w:ind w:left="284" w:hanging="284"/>
        <w:rPr>
          <w:szCs w:val="22"/>
        </w:rPr>
      </w:pPr>
      <w:r w:rsidRPr="006E1CEB">
        <w:rPr>
          <w:b/>
          <w:szCs w:val="22"/>
        </w:rPr>
        <w:t xml:space="preserve">Fuzzy-k Means. </w:t>
      </w:r>
      <w:r w:rsidRPr="006E1CEB">
        <w:rPr>
          <w:szCs w:val="22"/>
        </w:rPr>
        <w:t>A statistical cluster-analysis method.</w:t>
      </w:r>
    </w:p>
    <w:p w:rsidR="006E1CEB" w:rsidRPr="006E1CEB" w:rsidRDefault="006E1CEB" w:rsidP="006E1CEB">
      <w:pPr>
        <w:spacing w:before="60"/>
        <w:ind w:left="284" w:hanging="284"/>
        <w:jc w:val="both"/>
        <w:rPr>
          <w:szCs w:val="22"/>
        </w:rPr>
      </w:pPr>
      <w:r w:rsidRPr="006E1CEB">
        <w:rPr>
          <w:b/>
          <w:bCs/>
          <w:color w:val="000000"/>
          <w:szCs w:val="22"/>
        </w:rPr>
        <w:t xml:space="preserve">Gamma logging. </w:t>
      </w:r>
      <w:r w:rsidRPr="006E1CEB">
        <w:rPr>
          <w:color w:val="000000"/>
          <w:szCs w:val="22"/>
        </w:rPr>
        <w:t xml:space="preserve">Down-hole </w:t>
      </w:r>
      <w:r w:rsidRPr="006E1CEB">
        <w:rPr>
          <w:iCs/>
          <w:color w:val="000000"/>
          <w:szCs w:val="22"/>
        </w:rPr>
        <w:t>geophysical</w:t>
      </w:r>
      <w:r w:rsidRPr="006E1CEB">
        <w:rPr>
          <w:i/>
          <w:iCs/>
          <w:color w:val="000000"/>
          <w:szCs w:val="22"/>
        </w:rPr>
        <w:t xml:space="preserve"> </w:t>
      </w:r>
      <w:r w:rsidRPr="006E1CEB">
        <w:rPr>
          <w:color w:val="000000"/>
          <w:szCs w:val="22"/>
        </w:rPr>
        <w:t xml:space="preserve">logging techniques that maps the gamma radiation released by naturally occurring uranium, thorium and radioactive potassium. </w:t>
      </w:r>
    </w:p>
    <w:p w:rsidR="006E1CEB" w:rsidRPr="006E1CEB" w:rsidRDefault="006E1CEB" w:rsidP="006E1CEB">
      <w:pPr>
        <w:spacing w:before="60"/>
        <w:ind w:left="284" w:hanging="284"/>
        <w:rPr>
          <w:szCs w:val="22"/>
        </w:rPr>
      </w:pPr>
      <w:r w:rsidRPr="006E1CEB">
        <w:rPr>
          <w:b/>
          <w:szCs w:val="22"/>
        </w:rPr>
        <w:t>Gaining</w:t>
      </w:r>
      <w:r w:rsidRPr="006E1CEB">
        <w:rPr>
          <w:szCs w:val="22"/>
        </w:rPr>
        <w:t xml:space="preserve"> </w:t>
      </w:r>
      <w:r w:rsidRPr="006E1CEB">
        <w:rPr>
          <w:b/>
          <w:szCs w:val="22"/>
        </w:rPr>
        <w:t>Stream.</w:t>
      </w:r>
      <w:r w:rsidR="00536F3B">
        <w:rPr>
          <w:szCs w:val="22"/>
        </w:rPr>
        <w:t xml:space="preserve"> </w:t>
      </w:r>
      <w:r w:rsidRPr="006E1CEB">
        <w:rPr>
          <w:szCs w:val="22"/>
        </w:rPr>
        <w:t xml:space="preserve">A stream or river-reach into which </w:t>
      </w:r>
      <w:smartTag w:uri="urn:schemas-microsoft-com:office:smarttags" w:element="PersonName">
        <w:r w:rsidRPr="006E1CEB">
          <w:rPr>
            <w:szCs w:val="22"/>
          </w:rPr>
          <w:t>groundwater</w:t>
        </w:r>
      </w:smartTag>
      <w:r w:rsidRPr="006E1CEB">
        <w:rPr>
          <w:szCs w:val="22"/>
        </w:rPr>
        <w:t xml:space="preserve"> flows via the stream bed and/or banks.</w:t>
      </w:r>
    </w:p>
    <w:p w:rsidR="006E1CEB" w:rsidRPr="006E1CEB" w:rsidRDefault="006E1CEB" w:rsidP="006E1CEB">
      <w:pPr>
        <w:spacing w:before="60"/>
        <w:ind w:left="284" w:hanging="284"/>
        <w:rPr>
          <w:b/>
          <w:szCs w:val="22"/>
        </w:rPr>
      </w:pPr>
      <w:r w:rsidRPr="006E1CEB">
        <w:rPr>
          <w:b/>
          <w:szCs w:val="22"/>
        </w:rPr>
        <w:t xml:space="preserve">Geodynamics. </w:t>
      </w:r>
      <w:r w:rsidRPr="006E1CEB">
        <w:rPr>
          <w:szCs w:val="22"/>
          <w:lang w:val="en"/>
        </w:rPr>
        <w:t>Dynamics of the Earth produce by large-scale processes such as plate tectonics.</w:t>
      </w:r>
    </w:p>
    <w:p w:rsidR="006E1CEB" w:rsidRPr="006E1CEB" w:rsidRDefault="006E1CEB" w:rsidP="006E1CEB">
      <w:pPr>
        <w:spacing w:before="60"/>
        <w:ind w:left="284" w:hanging="284"/>
        <w:rPr>
          <w:szCs w:val="22"/>
        </w:rPr>
      </w:pPr>
      <w:r w:rsidRPr="006E1CEB">
        <w:rPr>
          <w:b/>
          <w:szCs w:val="22"/>
        </w:rPr>
        <w:t>Geological</w:t>
      </w:r>
      <w:r w:rsidRPr="006E1CEB">
        <w:rPr>
          <w:szCs w:val="22"/>
        </w:rPr>
        <w:t xml:space="preserve"> </w:t>
      </w:r>
      <w:r w:rsidRPr="006E1CEB">
        <w:rPr>
          <w:b/>
          <w:szCs w:val="22"/>
        </w:rPr>
        <w:t>Basement.</w:t>
      </w:r>
      <w:r w:rsidR="00536F3B">
        <w:rPr>
          <w:szCs w:val="22"/>
        </w:rPr>
        <w:t xml:space="preserve"> </w:t>
      </w:r>
      <w:r w:rsidRPr="006E1CEB">
        <w:rPr>
          <w:szCs w:val="22"/>
        </w:rPr>
        <w:t xml:space="preserve">Rock mass below a </w:t>
      </w:r>
      <w:hyperlink r:id="rId167" w:history="1">
        <w:r w:rsidRPr="006E1CEB">
          <w:rPr>
            <w:szCs w:val="22"/>
          </w:rPr>
          <w:t>sedimentary</w:t>
        </w:r>
      </w:hyperlink>
      <w:r w:rsidRPr="006E1CEB">
        <w:rPr>
          <w:szCs w:val="22"/>
        </w:rPr>
        <w:t xml:space="preserve"> </w:t>
      </w:r>
      <w:hyperlink r:id="rId168" w:history="1">
        <w:r w:rsidRPr="006E1CEB">
          <w:rPr>
            <w:szCs w:val="22"/>
          </w:rPr>
          <w:t>platform</w:t>
        </w:r>
      </w:hyperlink>
      <w:r w:rsidRPr="006E1CEB">
        <w:rPr>
          <w:szCs w:val="22"/>
        </w:rPr>
        <w:t xml:space="preserve"> or cover; or more generally, any rock below </w:t>
      </w:r>
      <w:hyperlink r:id="rId169" w:history="1">
        <w:r w:rsidRPr="006E1CEB">
          <w:rPr>
            <w:szCs w:val="22"/>
          </w:rPr>
          <w:t>sedimentary rocks</w:t>
        </w:r>
      </w:hyperlink>
      <w:r w:rsidRPr="006E1CEB">
        <w:rPr>
          <w:szCs w:val="22"/>
        </w:rPr>
        <w:t xml:space="preserve"> or sedimentary </w:t>
      </w:r>
      <w:hyperlink r:id="rId170" w:history="1">
        <w:r w:rsidRPr="006E1CEB">
          <w:rPr>
            <w:szCs w:val="22"/>
          </w:rPr>
          <w:t>basins</w:t>
        </w:r>
      </w:hyperlink>
      <w:r w:rsidRPr="006E1CEB">
        <w:rPr>
          <w:szCs w:val="22"/>
        </w:rPr>
        <w:t xml:space="preserve"> that are </w:t>
      </w:r>
      <w:hyperlink r:id="rId171" w:history="1">
        <w:r w:rsidRPr="006E1CEB">
          <w:rPr>
            <w:szCs w:val="22"/>
          </w:rPr>
          <w:t>metamorphic</w:t>
        </w:r>
      </w:hyperlink>
      <w:r w:rsidRPr="006E1CEB">
        <w:rPr>
          <w:szCs w:val="22"/>
        </w:rPr>
        <w:t xml:space="preserve"> or </w:t>
      </w:r>
      <w:hyperlink r:id="rId172" w:history="1">
        <w:r w:rsidRPr="006E1CEB">
          <w:rPr>
            <w:szCs w:val="22"/>
          </w:rPr>
          <w:t>igneous</w:t>
        </w:r>
      </w:hyperlink>
      <w:r w:rsidRPr="006E1CEB">
        <w:rPr>
          <w:szCs w:val="22"/>
        </w:rPr>
        <w:t xml:space="preserve"> in origin.</w:t>
      </w:r>
    </w:p>
    <w:p w:rsidR="006E1CEB" w:rsidRPr="006E1CEB" w:rsidRDefault="006E1CEB" w:rsidP="006E1CEB">
      <w:pPr>
        <w:spacing w:before="60"/>
        <w:ind w:left="284" w:hanging="284"/>
        <w:rPr>
          <w:b/>
          <w:szCs w:val="22"/>
        </w:rPr>
      </w:pPr>
      <w:r w:rsidRPr="006E1CEB">
        <w:rPr>
          <w:b/>
          <w:szCs w:val="22"/>
        </w:rPr>
        <w:t xml:space="preserve">Geophysics. </w:t>
      </w:r>
      <w:r w:rsidRPr="006E1CEB">
        <w:rPr>
          <w:szCs w:val="22"/>
        </w:rPr>
        <w:t>The study of the Earth by quantitative physical methods, such as magnetics, electromagnetics,</w:t>
      </w:r>
      <w:r w:rsidR="00465915">
        <w:rPr>
          <w:szCs w:val="22"/>
        </w:rPr>
        <w:t xml:space="preserve"> </w:t>
      </w:r>
      <w:r w:rsidRPr="006E1CEB">
        <w:rPr>
          <w:szCs w:val="22"/>
        </w:rPr>
        <w:t>gamma ray spectrometry (radiometrics), seismology and gravity.</w:t>
      </w:r>
    </w:p>
    <w:p w:rsidR="006E1CEB" w:rsidRPr="00593B52" w:rsidRDefault="006E1CEB" w:rsidP="006E1CEB">
      <w:pPr>
        <w:spacing w:before="60"/>
        <w:ind w:left="284" w:hanging="284"/>
        <w:rPr>
          <w:szCs w:val="22"/>
          <w:lang w:val="fr-FR"/>
        </w:rPr>
      </w:pPr>
      <w:r w:rsidRPr="00593B52">
        <w:rPr>
          <w:b/>
          <w:szCs w:val="22"/>
          <w:lang w:val="fr-FR"/>
        </w:rPr>
        <w:t>Gigalitre.</w:t>
      </w:r>
      <w:r w:rsidR="00536F3B" w:rsidRPr="00593B52">
        <w:rPr>
          <w:szCs w:val="22"/>
          <w:lang w:val="fr-FR"/>
        </w:rPr>
        <w:t xml:space="preserve"> </w:t>
      </w:r>
      <w:r w:rsidRPr="00593B52">
        <w:rPr>
          <w:szCs w:val="22"/>
          <w:lang w:val="fr-FR"/>
        </w:rPr>
        <w:t>1000 megalitres.</w:t>
      </w:r>
    </w:p>
    <w:p w:rsidR="006E1CEB" w:rsidRPr="006E1CEB" w:rsidRDefault="006E1CEB" w:rsidP="006E1CEB">
      <w:pPr>
        <w:spacing w:before="60"/>
        <w:ind w:left="284" w:hanging="284"/>
        <w:rPr>
          <w:szCs w:val="22"/>
        </w:rPr>
      </w:pPr>
      <w:r w:rsidRPr="00080A18">
        <w:rPr>
          <w:b/>
          <w:szCs w:val="22"/>
        </w:rPr>
        <w:t xml:space="preserve">Glacial-Interglacial Cycles. </w:t>
      </w:r>
      <w:r w:rsidRPr="006E1CEB">
        <w:rPr>
          <w:szCs w:val="22"/>
        </w:rPr>
        <w:t>Earth ice-age climate cycles which have seen ice-sheets advance (glacial) and contract (interglacial) on timescales of up to 100 thousand years over the past 2.5 million years.</w:t>
      </w:r>
    </w:p>
    <w:p w:rsidR="006E1CEB" w:rsidRPr="006E1CEB" w:rsidRDefault="006E1CEB" w:rsidP="006E1CEB">
      <w:pPr>
        <w:spacing w:before="60"/>
        <w:ind w:left="284" w:hanging="284"/>
        <w:rPr>
          <w:b/>
          <w:szCs w:val="22"/>
        </w:rPr>
      </w:pPr>
      <w:r w:rsidRPr="006E1CEB">
        <w:rPr>
          <w:b/>
          <w:bCs/>
          <w:szCs w:val="22"/>
          <w:lang w:val="en"/>
        </w:rPr>
        <w:t>Global Meteoric Water Line.</w:t>
      </w:r>
      <w:r w:rsidRPr="006E1CEB">
        <w:rPr>
          <w:szCs w:val="22"/>
          <w:lang w:val="en"/>
        </w:rPr>
        <w:t xml:space="preserve"> Worldwide average relationship between hydrogen and oxygen isotope ratios in natural terrestrial waters.</w:t>
      </w:r>
    </w:p>
    <w:p w:rsidR="0060665D" w:rsidRDefault="0060665D" w:rsidP="0060665D">
      <w:pPr>
        <w:spacing w:before="60"/>
        <w:ind w:left="284" w:hanging="284"/>
        <w:rPr>
          <w:rStyle w:val="ssens"/>
          <w:szCs w:val="22"/>
        </w:rPr>
      </w:pPr>
      <w:r w:rsidRPr="004C5A43">
        <w:rPr>
          <w:b/>
          <w:szCs w:val="22"/>
        </w:rPr>
        <w:lastRenderedPageBreak/>
        <w:t>Graben.</w:t>
      </w:r>
      <w:r w:rsidRPr="004C5A43">
        <w:rPr>
          <w:szCs w:val="22"/>
        </w:rPr>
        <w:t xml:space="preserve"> </w:t>
      </w:r>
      <w:r w:rsidRPr="004C5A43">
        <w:rPr>
          <w:rStyle w:val="ssens"/>
          <w:szCs w:val="22"/>
        </w:rPr>
        <w:t>A depressed or down-thrown block bounded on at least two sides by faults.</w:t>
      </w:r>
    </w:p>
    <w:p w:rsidR="006E1CEB" w:rsidRPr="006E1CEB" w:rsidRDefault="006E1CEB" w:rsidP="006E1CEB">
      <w:pPr>
        <w:spacing w:before="60"/>
        <w:ind w:left="284" w:hanging="284"/>
        <w:rPr>
          <w:szCs w:val="22"/>
        </w:rPr>
      </w:pPr>
      <w:r w:rsidRPr="006E1CEB">
        <w:rPr>
          <w:b/>
          <w:szCs w:val="22"/>
        </w:rPr>
        <w:t>Groundwater.</w:t>
      </w:r>
      <w:r w:rsidR="00536F3B">
        <w:rPr>
          <w:szCs w:val="22"/>
        </w:rPr>
        <w:t xml:space="preserve"> </w:t>
      </w:r>
      <w:r w:rsidRPr="006E1CEB">
        <w:rPr>
          <w:szCs w:val="22"/>
        </w:rPr>
        <w:t>Water stored below ground within the pore spaces or fractures of a rock mass.</w:t>
      </w:r>
    </w:p>
    <w:p w:rsidR="006E1CEB" w:rsidRPr="006E1CEB" w:rsidRDefault="006E1CEB" w:rsidP="006E1CEB">
      <w:pPr>
        <w:spacing w:before="60"/>
        <w:ind w:left="284" w:hanging="284"/>
        <w:rPr>
          <w:szCs w:val="22"/>
        </w:rPr>
      </w:pPr>
      <w:r w:rsidRPr="006E1CEB">
        <w:rPr>
          <w:b/>
          <w:szCs w:val="22"/>
        </w:rPr>
        <w:t>Groundwater</w:t>
      </w:r>
      <w:r w:rsidRPr="006E1CEB">
        <w:rPr>
          <w:szCs w:val="22"/>
        </w:rPr>
        <w:t xml:space="preserve"> </w:t>
      </w:r>
      <w:r w:rsidRPr="006E1CEB">
        <w:rPr>
          <w:b/>
          <w:szCs w:val="22"/>
        </w:rPr>
        <w:t>Management</w:t>
      </w:r>
      <w:r w:rsidRPr="006E1CEB">
        <w:rPr>
          <w:szCs w:val="22"/>
        </w:rPr>
        <w:t xml:space="preserve"> </w:t>
      </w:r>
      <w:r w:rsidRPr="006E1CEB">
        <w:rPr>
          <w:b/>
          <w:szCs w:val="22"/>
        </w:rPr>
        <w:t>Unit</w:t>
      </w:r>
      <w:r w:rsidR="00536F3B">
        <w:rPr>
          <w:szCs w:val="22"/>
        </w:rPr>
        <w:t xml:space="preserve">. </w:t>
      </w:r>
      <w:r w:rsidRPr="006E1CEB">
        <w:rPr>
          <w:szCs w:val="22"/>
        </w:rPr>
        <w:t xml:space="preserve">A hydraulically connected </w:t>
      </w:r>
      <w:smartTag w:uri="urn:schemas-microsoft-com:office:smarttags" w:element="PersonName">
        <w:r w:rsidRPr="006E1CEB">
          <w:rPr>
            <w:szCs w:val="22"/>
          </w:rPr>
          <w:t>groundwater</w:t>
        </w:r>
      </w:smartTag>
      <w:r w:rsidRPr="006E1CEB">
        <w:rPr>
          <w:szCs w:val="22"/>
        </w:rPr>
        <w:t xml:space="preserve"> system that is defined and recognised by State and Territory agencies for management purposes. </w:t>
      </w:r>
    </w:p>
    <w:p w:rsidR="006E1CEB" w:rsidRPr="006E1CEB" w:rsidRDefault="006E1CEB" w:rsidP="006E1CEB">
      <w:pPr>
        <w:pStyle w:val="NormalWeb"/>
        <w:spacing w:before="60" w:beforeAutospacing="0" w:after="0" w:afterAutospacing="0"/>
        <w:ind w:left="284" w:hanging="284"/>
        <w:rPr>
          <w:sz w:val="22"/>
          <w:szCs w:val="22"/>
          <w:lang w:val="en"/>
        </w:rPr>
      </w:pPr>
      <w:r w:rsidRPr="006E1CEB">
        <w:rPr>
          <w:b/>
          <w:sz w:val="22"/>
          <w:szCs w:val="22"/>
        </w:rPr>
        <w:t>Groundwater Model</w:t>
      </w:r>
      <w:r w:rsidR="00536F3B">
        <w:rPr>
          <w:b/>
          <w:sz w:val="22"/>
          <w:szCs w:val="22"/>
        </w:rPr>
        <w:t xml:space="preserve">s. </w:t>
      </w:r>
      <w:r w:rsidRPr="006E1CEB">
        <w:rPr>
          <w:sz w:val="22"/>
          <w:szCs w:val="22"/>
          <w:lang w:val="en"/>
        </w:rPr>
        <w:t xml:space="preserve">Simulate natural groundwater flow or other groundwater characteristics. </w:t>
      </w:r>
      <w:r w:rsidRPr="006E1CEB">
        <w:rPr>
          <w:b/>
          <w:sz w:val="22"/>
          <w:szCs w:val="22"/>
          <w:lang w:val="en"/>
        </w:rPr>
        <w:t>Numerical</w:t>
      </w:r>
      <w:r w:rsidRPr="006E1CEB">
        <w:rPr>
          <w:sz w:val="22"/>
          <w:szCs w:val="22"/>
          <w:lang w:val="en"/>
        </w:rPr>
        <w:t xml:space="preserve"> </w:t>
      </w:r>
      <w:r w:rsidRPr="006E1CEB">
        <w:rPr>
          <w:b/>
          <w:sz w:val="22"/>
          <w:szCs w:val="22"/>
          <w:lang w:val="en"/>
        </w:rPr>
        <w:t>groundwater models</w:t>
      </w:r>
      <w:r w:rsidRPr="006E1CEB">
        <w:rPr>
          <w:sz w:val="22"/>
          <w:szCs w:val="22"/>
          <w:lang w:val="en"/>
        </w:rPr>
        <w:t xml:space="preserve"> compute mathematical equations of the physics of groundwater flow processes.</w:t>
      </w:r>
    </w:p>
    <w:p w:rsidR="006E1CEB" w:rsidRPr="006E1CEB" w:rsidRDefault="006E1CEB" w:rsidP="006E1CEB">
      <w:pPr>
        <w:spacing w:before="60"/>
        <w:ind w:left="284" w:hanging="284"/>
        <w:rPr>
          <w:b/>
          <w:szCs w:val="22"/>
        </w:rPr>
      </w:pPr>
      <w:r w:rsidRPr="006E1CEB">
        <w:rPr>
          <w:b/>
          <w:bCs/>
          <w:szCs w:val="22"/>
        </w:rPr>
        <w:t>Groundwater Mounding.</w:t>
      </w:r>
      <w:r w:rsidRPr="006E1CEB">
        <w:rPr>
          <w:szCs w:val="22"/>
        </w:rPr>
        <w:t xml:space="preserve"> Outward and upward expansion of the water table caused by water injection.</w:t>
      </w:r>
    </w:p>
    <w:p w:rsidR="0060665D" w:rsidRDefault="0060665D" w:rsidP="0060665D">
      <w:pPr>
        <w:spacing w:before="60"/>
        <w:ind w:left="284" w:hanging="284"/>
        <w:rPr>
          <w:rStyle w:val="ssens"/>
          <w:szCs w:val="22"/>
        </w:rPr>
      </w:pPr>
      <w:r w:rsidRPr="004C5A43">
        <w:rPr>
          <w:b/>
          <w:szCs w:val="22"/>
        </w:rPr>
        <w:t>Half-Graben</w:t>
      </w:r>
      <w:r>
        <w:rPr>
          <w:b/>
          <w:szCs w:val="22"/>
        </w:rPr>
        <w:t>.</w:t>
      </w:r>
      <w:r w:rsidRPr="004C5A43">
        <w:rPr>
          <w:szCs w:val="22"/>
        </w:rPr>
        <w:t xml:space="preserve"> </w:t>
      </w:r>
      <w:r w:rsidRPr="004C5A43">
        <w:rPr>
          <w:rStyle w:val="ssens"/>
          <w:szCs w:val="22"/>
        </w:rPr>
        <w:t>An asymmetric depressed or down-thrown block bounded on only one side by a fault.</w:t>
      </w:r>
    </w:p>
    <w:p w:rsidR="006E1CEB" w:rsidRPr="006E1CEB" w:rsidRDefault="006E1CEB" w:rsidP="006E1CEB">
      <w:pPr>
        <w:spacing w:before="60"/>
        <w:ind w:left="284" w:hanging="284"/>
        <w:rPr>
          <w:b/>
          <w:szCs w:val="22"/>
        </w:rPr>
      </w:pPr>
      <w:r w:rsidRPr="00896DBB">
        <w:rPr>
          <w:b/>
          <w:szCs w:val="22"/>
        </w:rPr>
        <w:t xml:space="preserve">Hazard. </w:t>
      </w:r>
      <w:r w:rsidRPr="00896DBB">
        <w:rPr>
          <w:bCs/>
          <w:szCs w:val="22"/>
        </w:rPr>
        <w:t>S</w:t>
      </w:r>
      <w:r w:rsidRPr="00896DBB">
        <w:rPr>
          <w:szCs w:val="22"/>
        </w:rPr>
        <w:t>omething with the potential to cause harm.</w:t>
      </w:r>
      <w:r w:rsidRPr="006E1CEB">
        <w:rPr>
          <w:szCs w:val="22"/>
        </w:rPr>
        <w:t xml:space="preserve"> </w:t>
      </w:r>
      <w:r w:rsidR="00896DBB">
        <w:rPr>
          <w:szCs w:val="22"/>
        </w:rPr>
        <w:t>For example, s</w:t>
      </w:r>
      <w:r w:rsidR="00896DBB" w:rsidRPr="00F1225B">
        <w:rPr>
          <w:szCs w:val="22"/>
        </w:rPr>
        <w:t xml:space="preserve">alinity is a hazard </w:t>
      </w:r>
      <w:r w:rsidR="00896DBB" w:rsidRPr="004E734A">
        <w:rPr>
          <w:szCs w:val="22"/>
        </w:rPr>
        <w:t>when it has the potential to be moved to where it can threaten assets such as agriculture, infrastructure, water resources and biodiversity</w:t>
      </w:r>
      <w:r w:rsidR="00896DBB">
        <w:rPr>
          <w:szCs w:val="22"/>
        </w:rPr>
        <w:t>.</w:t>
      </w:r>
    </w:p>
    <w:p w:rsidR="006E1CEB" w:rsidRPr="006E1CEB" w:rsidRDefault="006E1CEB" w:rsidP="006E1CEB">
      <w:pPr>
        <w:spacing w:before="60"/>
        <w:ind w:left="284" w:hanging="284"/>
        <w:rPr>
          <w:szCs w:val="22"/>
        </w:rPr>
      </w:pPr>
      <w:r w:rsidRPr="006E1CEB">
        <w:rPr>
          <w:b/>
          <w:szCs w:val="22"/>
        </w:rPr>
        <w:t>Head.</w:t>
      </w:r>
      <w:r w:rsidR="00536F3B">
        <w:rPr>
          <w:szCs w:val="22"/>
        </w:rPr>
        <w:t xml:space="preserve"> </w:t>
      </w:r>
      <w:r w:rsidRPr="006E1CEB">
        <w:rPr>
          <w:szCs w:val="22"/>
        </w:rPr>
        <w:t xml:space="preserve">A measurement of water pressure representing the total energy at the entrance of a piezometer. Usually measured as a water surface elevation. Differences in Head between two or more points can be used to determine hydraulic gradient and direction of </w:t>
      </w:r>
      <w:smartTag w:uri="urn:schemas-microsoft-com:office:smarttags" w:element="PersonName">
        <w:r w:rsidRPr="006E1CEB">
          <w:rPr>
            <w:szCs w:val="22"/>
          </w:rPr>
          <w:t>groundwater</w:t>
        </w:r>
      </w:smartTag>
      <w:r w:rsidRPr="006E1CEB">
        <w:rPr>
          <w:szCs w:val="22"/>
        </w:rPr>
        <w:t xml:space="preserve"> flow. Synonymous with Hydraulic Head.</w:t>
      </w:r>
    </w:p>
    <w:p w:rsidR="006E1CEB" w:rsidRPr="006E1CEB" w:rsidRDefault="006E1CEB" w:rsidP="006E1CEB">
      <w:pPr>
        <w:spacing w:before="60"/>
        <w:ind w:left="284" w:hanging="284"/>
        <w:rPr>
          <w:szCs w:val="22"/>
        </w:rPr>
      </w:pPr>
      <w:r w:rsidRPr="006E1CEB">
        <w:rPr>
          <w:b/>
          <w:szCs w:val="22"/>
        </w:rPr>
        <w:t xml:space="preserve">Holocene. </w:t>
      </w:r>
      <w:r w:rsidRPr="006E1CEB">
        <w:rPr>
          <w:szCs w:val="22"/>
        </w:rPr>
        <w:t>Most recent Geological Epoch extending from 12 000 years ago to the present.</w:t>
      </w:r>
    </w:p>
    <w:p w:rsidR="0060665D" w:rsidRDefault="0060665D" w:rsidP="0060665D">
      <w:pPr>
        <w:spacing w:before="60"/>
        <w:ind w:left="284" w:hanging="284"/>
        <w:rPr>
          <w:szCs w:val="22"/>
          <w:lang w:val="en"/>
        </w:rPr>
      </w:pPr>
      <w:r w:rsidRPr="004C5A43">
        <w:rPr>
          <w:b/>
          <w:szCs w:val="22"/>
        </w:rPr>
        <w:t>Horst.</w:t>
      </w:r>
      <w:r w:rsidRPr="004C5A43">
        <w:rPr>
          <w:szCs w:val="22"/>
        </w:rPr>
        <w:t xml:space="preserve"> </w:t>
      </w:r>
      <w:r w:rsidRPr="004C5A43">
        <w:rPr>
          <w:szCs w:val="22"/>
          <w:lang w:val="en"/>
        </w:rPr>
        <w:t>A raised or up-thrown block bounded by faults or grabens, which remains stationary or is uplifted while the land has dropped on either side.</w:t>
      </w:r>
    </w:p>
    <w:p w:rsidR="006E1CEB" w:rsidRPr="006E1CEB" w:rsidRDefault="006E1CEB" w:rsidP="006E1CEB">
      <w:pPr>
        <w:spacing w:before="60"/>
        <w:ind w:left="284" w:hanging="284"/>
        <w:rPr>
          <w:szCs w:val="22"/>
        </w:rPr>
      </w:pPr>
      <w:r w:rsidRPr="006E1CEB">
        <w:rPr>
          <w:b/>
          <w:szCs w:val="22"/>
        </w:rPr>
        <w:t xml:space="preserve">Hummocky dunes. </w:t>
      </w:r>
      <w:r w:rsidRPr="006E1CEB">
        <w:rPr>
          <w:szCs w:val="22"/>
        </w:rPr>
        <w:t>Low irregular dune forms.</w:t>
      </w:r>
    </w:p>
    <w:p w:rsidR="006E1CEB" w:rsidRPr="006E1CEB" w:rsidRDefault="006E1CEB" w:rsidP="006E1CEB">
      <w:pPr>
        <w:spacing w:before="60"/>
        <w:ind w:left="284" w:hanging="284"/>
        <w:rPr>
          <w:szCs w:val="22"/>
        </w:rPr>
      </w:pPr>
      <w:r w:rsidRPr="006E1CEB">
        <w:rPr>
          <w:b/>
          <w:szCs w:val="22"/>
        </w:rPr>
        <w:t xml:space="preserve">Hydraulic Classes. </w:t>
      </w:r>
      <w:r w:rsidRPr="006E1CEB">
        <w:rPr>
          <w:szCs w:val="22"/>
        </w:rPr>
        <w:t>Hierarchical grouping of sediments according to their hydraulic properties.</w:t>
      </w:r>
    </w:p>
    <w:p w:rsidR="006E1CEB" w:rsidRPr="006E1CEB" w:rsidRDefault="006E1CEB" w:rsidP="006E1CEB">
      <w:pPr>
        <w:spacing w:before="60"/>
        <w:ind w:left="284" w:hanging="284"/>
        <w:rPr>
          <w:b/>
          <w:szCs w:val="22"/>
        </w:rPr>
      </w:pPr>
      <w:r w:rsidRPr="006E1CEB">
        <w:rPr>
          <w:b/>
          <w:szCs w:val="22"/>
        </w:rPr>
        <w:t>Hydraulic</w:t>
      </w:r>
      <w:r w:rsidRPr="006E1CEB">
        <w:rPr>
          <w:szCs w:val="22"/>
        </w:rPr>
        <w:t xml:space="preserve"> </w:t>
      </w:r>
      <w:r w:rsidRPr="006E1CEB">
        <w:rPr>
          <w:b/>
          <w:szCs w:val="22"/>
        </w:rPr>
        <w:t>Conductivity</w:t>
      </w:r>
      <w:r w:rsidRPr="006E1CEB">
        <w:rPr>
          <w:szCs w:val="22"/>
        </w:rPr>
        <w:t xml:space="preserve"> </w:t>
      </w:r>
      <w:r w:rsidRPr="006E1CEB">
        <w:rPr>
          <w:b/>
          <w:szCs w:val="22"/>
        </w:rPr>
        <w:t xml:space="preserve">(K). </w:t>
      </w:r>
      <w:r w:rsidRPr="006E1CEB">
        <w:rPr>
          <w:szCs w:val="22"/>
        </w:rPr>
        <w:t>Hydraulic conductivity is the volume of water flowing through a 1 m</w:t>
      </w:r>
      <w:r w:rsidRPr="006E1CEB">
        <w:rPr>
          <w:szCs w:val="22"/>
          <w:vertAlign w:val="superscript"/>
        </w:rPr>
        <w:t>2</w:t>
      </w:r>
      <w:r w:rsidRPr="006E1CEB">
        <w:rPr>
          <w:szCs w:val="22"/>
        </w:rPr>
        <w:t xml:space="preserve"> cross-sectional area of an aquifer under a hydraulic gradient of 1 m/1 m (100%) in a given time (usually 1 day).</w:t>
      </w:r>
    </w:p>
    <w:p w:rsidR="006E1CEB" w:rsidRPr="006E1CEB" w:rsidRDefault="006E1CEB" w:rsidP="006E1CEB">
      <w:pPr>
        <w:spacing w:before="60"/>
        <w:ind w:left="284" w:hanging="284"/>
        <w:rPr>
          <w:szCs w:val="22"/>
        </w:rPr>
      </w:pPr>
      <w:r w:rsidRPr="006E1CEB">
        <w:rPr>
          <w:b/>
          <w:szCs w:val="22"/>
        </w:rPr>
        <w:t>Hydraulic</w:t>
      </w:r>
      <w:r w:rsidRPr="006E1CEB">
        <w:rPr>
          <w:szCs w:val="22"/>
        </w:rPr>
        <w:t xml:space="preserve"> </w:t>
      </w:r>
      <w:r w:rsidRPr="006E1CEB">
        <w:rPr>
          <w:b/>
          <w:szCs w:val="22"/>
        </w:rPr>
        <w:t>Gradient.</w:t>
      </w:r>
      <w:r w:rsidR="00536F3B">
        <w:rPr>
          <w:szCs w:val="22"/>
        </w:rPr>
        <w:t xml:space="preserve"> </w:t>
      </w:r>
      <w:r w:rsidRPr="006E1CEB">
        <w:rPr>
          <w:szCs w:val="22"/>
        </w:rPr>
        <w:t>With re</w:t>
      </w:r>
      <w:smartTag w:uri="urn:schemas-microsoft-com:office:smarttags" w:element="PersonName">
        <w:r w:rsidRPr="006E1CEB">
          <w:rPr>
            <w:szCs w:val="22"/>
          </w:rPr>
          <w:t>ga</w:t>
        </w:r>
      </w:smartTag>
      <w:r w:rsidRPr="006E1CEB">
        <w:rPr>
          <w:szCs w:val="22"/>
        </w:rPr>
        <w:t>rd to an aquifer, the rate of change of pressure head per unit of distance of flow at a given point and in a given direction.</w:t>
      </w:r>
    </w:p>
    <w:p w:rsidR="006E1CEB" w:rsidRPr="006E1CEB" w:rsidRDefault="006E1CEB" w:rsidP="006E1CEB">
      <w:pPr>
        <w:pStyle w:val="centreheading0"/>
        <w:spacing w:before="60"/>
        <w:ind w:left="284" w:hanging="284"/>
        <w:jc w:val="both"/>
        <w:rPr>
          <w:bCs/>
          <w:color w:val="000000"/>
          <w:sz w:val="22"/>
          <w:szCs w:val="22"/>
        </w:rPr>
      </w:pPr>
      <w:r w:rsidRPr="006E1CEB">
        <w:rPr>
          <w:b/>
          <w:bCs/>
          <w:color w:val="000000"/>
          <w:sz w:val="22"/>
          <w:szCs w:val="22"/>
        </w:rPr>
        <w:t xml:space="preserve">Hydraulic loading. </w:t>
      </w:r>
      <w:r w:rsidRPr="006E1CEB">
        <w:rPr>
          <w:bCs/>
          <w:color w:val="000000"/>
          <w:sz w:val="22"/>
          <w:szCs w:val="22"/>
        </w:rPr>
        <w:t>Increased head pressure due to increased water depth.</w:t>
      </w:r>
    </w:p>
    <w:p w:rsidR="006E1CEB" w:rsidRPr="006E1CEB" w:rsidRDefault="006E1CEB" w:rsidP="006E1CEB">
      <w:pPr>
        <w:pStyle w:val="centreheading0"/>
        <w:spacing w:before="60"/>
        <w:ind w:left="284" w:hanging="284"/>
        <w:jc w:val="both"/>
        <w:rPr>
          <w:bCs/>
          <w:color w:val="000000"/>
          <w:sz w:val="22"/>
          <w:szCs w:val="22"/>
        </w:rPr>
      </w:pPr>
      <w:r w:rsidRPr="006E1CEB">
        <w:rPr>
          <w:b/>
          <w:bCs/>
          <w:color w:val="000000"/>
          <w:sz w:val="22"/>
          <w:szCs w:val="22"/>
        </w:rPr>
        <w:t xml:space="preserve">Hydrochemistry. </w:t>
      </w:r>
      <w:r w:rsidRPr="006E1CEB">
        <w:rPr>
          <w:bCs/>
          <w:color w:val="000000"/>
          <w:sz w:val="22"/>
          <w:szCs w:val="22"/>
        </w:rPr>
        <w:t>Study of the chemical characteristics of water.</w:t>
      </w:r>
    </w:p>
    <w:p w:rsidR="006E1CEB" w:rsidRPr="006E1CEB" w:rsidRDefault="006E1CEB" w:rsidP="006E1CEB">
      <w:pPr>
        <w:pStyle w:val="centreheading0"/>
        <w:spacing w:before="60"/>
        <w:ind w:left="284" w:hanging="284"/>
        <w:jc w:val="both"/>
        <w:rPr>
          <w:bCs/>
          <w:color w:val="000000"/>
          <w:sz w:val="22"/>
          <w:szCs w:val="22"/>
        </w:rPr>
      </w:pPr>
      <w:r w:rsidRPr="006E1CEB">
        <w:rPr>
          <w:b/>
          <w:bCs/>
          <w:color w:val="000000"/>
          <w:sz w:val="22"/>
          <w:szCs w:val="22"/>
        </w:rPr>
        <w:t>Hydrodynamics.</w:t>
      </w:r>
      <w:r w:rsidR="00465915">
        <w:rPr>
          <w:b/>
          <w:bCs/>
          <w:color w:val="000000"/>
          <w:sz w:val="22"/>
          <w:szCs w:val="22"/>
        </w:rPr>
        <w:t xml:space="preserve"> </w:t>
      </w:r>
      <w:r w:rsidRPr="006E1CEB">
        <w:rPr>
          <w:bCs/>
          <w:color w:val="000000"/>
          <w:sz w:val="22"/>
          <w:szCs w:val="22"/>
        </w:rPr>
        <w:t>Study of the motion of fluids.</w:t>
      </w:r>
    </w:p>
    <w:p w:rsidR="006E1CEB" w:rsidRPr="006E1CEB" w:rsidRDefault="006E1CEB" w:rsidP="006E1CEB">
      <w:pPr>
        <w:pStyle w:val="centreheading0"/>
        <w:spacing w:before="60"/>
        <w:ind w:left="284" w:hanging="284"/>
        <w:jc w:val="both"/>
        <w:rPr>
          <w:sz w:val="22"/>
          <w:szCs w:val="22"/>
        </w:rPr>
      </w:pPr>
      <w:r w:rsidRPr="006E1CEB">
        <w:rPr>
          <w:b/>
          <w:bCs/>
          <w:color w:val="000000"/>
          <w:sz w:val="22"/>
          <w:szCs w:val="22"/>
        </w:rPr>
        <w:t>Hydrogeology.</w:t>
      </w:r>
      <w:r w:rsidR="00536F3B">
        <w:rPr>
          <w:b/>
          <w:bCs/>
          <w:color w:val="000000"/>
          <w:sz w:val="22"/>
          <w:szCs w:val="22"/>
        </w:rPr>
        <w:t xml:space="preserve"> </w:t>
      </w:r>
      <w:r w:rsidRPr="006E1CEB">
        <w:rPr>
          <w:color w:val="000000"/>
          <w:sz w:val="22"/>
          <w:szCs w:val="22"/>
        </w:rPr>
        <w:t xml:space="preserve">The study of geological properties of rocks, soils, and sediments as they relate to groundwater movement and storage. </w:t>
      </w:r>
    </w:p>
    <w:p w:rsidR="006E1CEB" w:rsidRPr="006E1CEB" w:rsidRDefault="006E1CEB" w:rsidP="006E1CEB">
      <w:pPr>
        <w:spacing w:before="60"/>
        <w:ind w:left="284" w:hanging="284"/>
        <w:rPr>
          <w:szCs w:val="22"/>
        </w:rPr>
      </w:pPr>
      <w:r w:rsidRPr="006E1CEB">
        <w:rPr>
          <w:b/>
          <w:szCs w:val="22"/>
        </w:rPr>
        <w:t xml:space="preserve">Hydrogeophysics. </w:t>
      </w:r>
      <w:r w:rsidRPr="006E1CEB">
        <w:rPr>
          <w:szCs w:val="22"/>
        </w:rPr>
        <w:t xml:space="preserve">Geophysical measurement of hydrological </w:t>
      </w:r>
      <w:r w:rsidRPr="006E1CEB">
        <w:rPr>
          <w:vanish/>
          <w:szCs w:val="22"/>
        </w:rPr>
        <w:br/>
      </w:r>
      <w:r w:rsidRPr="006E1CEB">
        <w:rPr>
          <w:szCs w:val="22"/>
        </w:rPr>
        <w:t>parameters and processes.</w:t>
      </w:r>
    </w:p>
    <w:p w:rsidR="006E1CEB" w:rsidRPr="006E1CEB" w:rsidRDefault="006E1CEB" w:rsidP="006E1CEB">
      <w:pPr>
        <w:spacing w:before="60"/>
        <w:ind w:left="284" w:hanging="284"/>
        <w:rPr>
          <w:szCs w:val="22"/>
        </w:rPr>
      </w:pPr>
      <w:r w:rsidRPr="006E1CEB">
        <w:rPr>
          <w:b/>
          <w:szCs w:val="22"/>
        </w:rPr>
        <w:t xml:space="preserve">Hydrograph. </w:t>
      </w:r>
      <w:r w:rsidRPr="006E1CEB">
        <w:rPr>
          <w:szCs w:val="22"/>
        </w:rPr>
        <w:t>Graphical representation of the rate of water flow.</w:t>
      </w:r>
    </w:p>
    <w:p w:rsidR="006E1CEB" w:rsidRPr="006E1CEB" w:rsidRDefault="006E1CEB" w:rsidP="006E1CEB">
      <w:pPr>
        <w:spacing w:before="60"/>
        <w:ind w:left="284" w:hanging="284"/>
        <w:rPr>
          <w:b/>
          <w:szCs w:val="22"/>
        </w:rPr>
      </w:pPr>
      <w:r w:rsidRPr="006E1CEB">
        <w:rPr>
          <w:b/>
          <w:szCs w:val="22"/>
        </w:rPr>
        <w:t xml:space="preserve">Hydrostratigraphy. </w:t>
      </w:r>
      <w:r w:rsidRPr="006E1CEB">
        <w:rPr>
          <w:szCs w:val="22"/>
        </w:rPr>
        <w:t xml:space="preserve">The identification of mappable stratigraphic units on the basis </w:t>
      </w:r>
      <w:r w:rsidRPr="006E1CEB">
        <w:rPr>
          <w:vanish/>
          <w:szCs w:val="22"/>
        </w:rPr>
        <w:br/>
      </w:r>
      <w:r w:rsidRPr="006E1CEB">
        <w:rPr>
          <w:szCs w:val="22"/>
        </w:rPr>
        <w:t>of hydraulic properties (aquifer / aquitard).</w:t>
      </w:r>
    </w:p>
    <w:p w:rsidR="006E1CEB" w:rsidRPr="006E1CEB" w:rsidRDefault="006E1CEB" w:rsidP="006E1CEB">
      <w:pPr>
        <w:spacing w:before="60"/>
        <w:ind w:left="284" w:hanging="284"/>
        <w:rPr>
          <w:b/>
          <w:szCs w:val="22"/>
        </w:rPr>
      </w:pPr>
      <w:r w:rsidRPr="006E1CEB">
        <w:rPr>
          <w:b/>
          <w:szCs w:val="22"/>
        </w:rPr>
        <w:t xml:space="preserve">Infiltration </w:t>
      </w:r>
      <w:r w:rsidR="00536F3B">
        <w:rPr>
          <w:b/>
          <w:szCs w:val="22"/>
        </w:rPr>
        <w:t xml:space="preserve">basins or </w:t>
      </w:r>
      <w:r w:rsidRPr="006E1CEB">
        <w:rPr>
          <w:b/>
          <w:szCs w:val="22"/>
        </w:rPr>
        <w:t xml:space="preserve">ponds. </w:t>
      </w:r>
      <w:r w:rsidRPr="006E1CEB">
        <w:rPr>
          <w:szCs w:val="22"/>
        </w:rPr>
        <w:t xml:space="preserve">Infiltration ponds and channels are usually constructed off-stream and diverted surface water infiltrates (through an unsaturated zone) to the underlying unconfined aquifer. </w:t>
      </w:r>
    </w:p>
    <w:p w:rsidR="006E1CEB" w:rsidRPr="006E1CEB" w:rsidRDefault="006E1CEB" w:rsidP="006E1CEB">
      <w:pPr>
        <w:spacing w:before="60"/>
        <w:ind w:left="284" w:hanging="284"/>
        <w:rPr>
          <w:szCs w:val="22"/>
        </w:rPr>
      </w:pPr>
      <w:r w:rsidRPr="006E1CEB">
        <w:rPr>
          <w:b/>
          <w:szCs w:val="22"/>
        </w:rPr>
        <w:t xml:space="preserve">Infrabasins. </w:t>
      </w:r>
      <w:r w:rsidRPr="006E1CEB">
        <w:rPr>
          <w:szCs w:val="22"/>
        </w:rPr>
        <w:t>Bedrock sedimentary basins underlying the geological sequence of interest.</w:t>
      </w:r>
    </w:p>
    <w:p w:rsidR="0060665D" w:rsidRPr="00523717" w:rsidRDefault="0060665D" w:rsidP="0060665D">
      <w:pPr>
        <w:spacing w:before="60"/>
        <w:ind w:left="284" w:hanging="284"/>
        <w:rPr>
          <w:szCs w:val="22"/>
        </w:rPr>
      </w:pPr>
      <w:r w:rsidRPr="00523717">
        <w:rPr>
          <w:b/>
          <w:szCs w:val="22"/>
        </w:rPr>
        <w:t>Inter-disciplinary Research.</w:t>
      </w:r>
      <w:r w:rsidR="00D039C6">
        <w:rPr>
          <w:szCs w:val="22"/>
        </w:rPr>
        <w:t xml:space="preserve"> </w:t>
      </w:r>
      <w:r w:rsidRPr="00523717">
        <w:rPr>
          <w:bCs/>
          <w:szCs w:val="22"/>
        </w:rPr>
        <w:t>A</w:t>
      </w:r>
      <w:r w:rsidRPr="00523717">
        <w:rPr>
          <w:szCs w:val="22"/>
        </w:rPr>
        <w:t xml:space="preserve">n </w:t>
      </w:r>
      <w:r w:rsidRPr="00523717">
        <w:rPr>
          <w:bCs/>
          <w:szCs w:val="22"/>
        </w:rPr>
        <w:t xml:space="preserve">interactive </w:t>
      </w:r>
      <w:r w:rsidRPr="00523717">
        <w:rPr>
          <w:szCs w:val="22"/>
        </w:rPr>
        <w:t xml:space="preserve">process whereby researchers work </w:t>
      </w:r>
      <w:r w:rsidRPr="00523717">
        <w:rPr>
          <w:bCs/>
          <w:szCs w:val="22"/>
        </w:rPr>
        <w:t>jointly</w:t>
      </w:r>
      <w:r w:rsidRPr="00523717">
        <w:rPr>
          <w:szCs w:val="22"/>
        </w:rPr>
        <w:t xml:space="preserve">, each drawing from </w:t>
      </w:r>
      <w:r>
        <w:rPr>
          <w:szCs w:val="22"/>
        </w:rPr>
        <w:t>their</w:t>
      </w:r>
      <w:r w:rsidRPr="00523717">
        <w:rPr>
          <w:szCs w:val="22"/>
        </w:rPr>
        <w:t xml:space="preserve"> own discipline-specific perspective, to address a common research problem.</w:t>
      </w:r>
    </w:p>
    <w:p w:rsidR="006E1CEB" w:rsidRPr="006E1CEB" w:rsidRDefault="006E1CEB" w:rsidP="006E1CEB">
      <w:pPr>
        <w:spacing w:before="60"/>
        <w:ind w:left="284" w:hanging="284"/>
        <w:rPr>
          <w:b/>
          <w:szCs w:val="22"/>
        </w:rPr>
      </w:pPr>
      <w:r w:rsidRPr="006E1CEB">
        <w:rPr>
          <w:b/>
          <w:szCs w:val="22"/>
        </w:rPr>
        <w:t xml:space="preserve">Inversion or Inverse Modelling. </w:t>
      </w:r>
      <w:r w:rsidRPr="006E1CEB">
        <w:rPr>
          <w:szCs w:val="22"/>
        </w:rPr>
        <w:t>A process of converting geophysical data to an earth model; theoretical models iteratively compare the earth response to the data measured, until the model fits closely.</w:t>
      </w:r>
    </w:p>
    <w:p w:rsidR="006E1CEB" w:rsidRPr="006E1CEB" w:rsidRDefault="006E1CEB" w:rsidP="006E1CEB">
      <w:pPr>
        <w:spacing w:before="60"/>
        <w:ind w:left="284" w:hanging="284"/>
        <w:rPr>
          <w:szCs w:val="22"/>
        </w:rPr>
      </w:pPr>
      <w:r w:rsidRPr="006E1CEB">
        <w:rPr>
          <w:b/>
          <w:szCs w:val="22"/>
        </w:rPr>
        <w:t>Isotope.</w:t>
      </w:r>
      <w:r w:rsidR="00536F3B">
        <w:rPr>
          <w:szCs w:val="22"/>
        </w:rPr>
        <w:t xml:space="preserve"> </w:t>
      </w:r>
      <w:r w:rsidRPr="006E1CEB">
        <w:rPr>
          <w:szCs w:val="22"/>
        </w:rPr>
        <w:t xml:space="preserve">A different chemical species of a chemical element with a different atomic mass. Used in hydrogeologic applications to date and understand the origin evolution of </w:t>
      </w:r>
      <w:smartTag w:uri="urn:schemas-microsoft-com:office:smarttags" w:element="PersonName">
        <w:r w:rsidRPr="006E1CEB">
          <w:rPr>
            <w:szCs w:val="22"/>
          </w:rPr>
          <w:t>groundwater</w:t>
        </w:r>
      </w:smartTag>
      <w:r w:rsidRPr="006E1CEB">
        <w:rPr>
          <w:szCs w:val="22"/>
        </w:rPr>
        <w:t xml:space="preserve">. </w:t>
      </w:r>
    </w:p>
    <w:p w:rsidR="006E1CEB" w:rsidRPr="006E1CEB" w:rsidRDefault="006E1CEB" w:rsidP="006E1CEB">
      <w:pPr>
        <w:spacing w:before="60"/>
        <w:ind w:left="284" w:hanging="284"/>
        <w:rPr>
          <w:szCs w:val="22"/>
        </w:rPr>
      </w:pPr>
      <w:r w:rsidRPr="006E1CEB">
        <w:rPr>
          <w:b/>
          <w:szCs w:val="22"/>
        </w:rPr>
        <w:t xml:space="preserve">Lacustrine. </w:t>
      </w:r>
      <w:r w:rsidRPr="006E1CEB">
        <w:rPr>
          <w:szCs w:val="22"/>
        </w:rPr>
        <w:t>lake depositional environments.</w:t>
      </w:r>
    </w:p>
    <w:p w:rsidR="006E1CEB" w:rsidRPr="006E1CEB" w:rsidRDefault="006E1CEB" w:rsidP="006E1CEB">
      <w:pPr>
        <w:spacing w:before="60"/>
        <w:ind w:left="284" w:hanging="284"/>
        <w:rPr>
          <w:szCs w:val="22"/>
        </w:rPr>
      </w:pPr>
      <w:r w:rsidRPr="006E1CEB">
        <w:rPr>
          <w:b/>
          <w:szCs w:val="22"/>
        </w:rPr>
        <w:t xml:space="preserve">Laterally constrained inversion (LCI). </w:t>
      </w:r>
      <w:r w:rsidRPr="006E1CEB">
        <w:rPr>
          <w:szCs w:val="22"/>
        </w:rPr>
        <w:t>A geophysical inversion process whereby the theoretical models are changed to fit the measured response along the direction of the flight path.</w:t>
      </w:r>
    </w:p>
    <w:p w:rsidR="006E1CEB" w:rsidRPr="006E1CEB" w:rsidRDefault="006E1CEB" w:rsidP="006E1CEB">
      <w:pPr>
        <w:spacing w:before="60"/>
        <w:ind w:left="284" w:hanging="284"/>
        <w:rPr>
          <w:b/>
          <w:szCs w:val="22"/>
        </w:rPr>
      </w:pPr>
      <w:r w:rsidRPr="006E1CEB">
        <w:rPr>
          <w:b/>
          <w:szCs w:val="22"/>
        </w:rPr>
        <w:t xml:space="preserve">Spatially constrained inversion (SCI). </w:t>
      </w:r>
      <w:r w:rsidRPr="006E1CEB">
        <w:rPr>
          <w:szCs w:val="22"/>
        </w:rPr>
        <w:t>A geophysical inversion process whereby the theoretical models that are changed to fit the measured response a spatial sense (both horizontally and vertically).</w:t>
      </w:r>
      <w:r w:rsidR="00465915">
        <w:rPr>
          <w:szCs w:val="22"/>
        </w:rPr>
        <w:t xml:space="preserve"> </w:t>
      </w:r>
    </w:p>
    <w:p w:rsidR="006E1CEB" w:rsidRPr="006E1CEB" w:rsidRDefault="006E1CEB" w:rsidP="006E1CEB">
      <w:pPr>
        <w:spacing w:before="60"/>
        <w:ind w:left="284" w:hanging="284"/>
        <w:rPr>
          <w:b/>
          <w:szCs w:val="22"/>
        </w:rPr>
      </w:pPr>
      <w:r w:rsidRPr="006E1CEB">
        <w:rPr>
          <w:b/>
          <w:szCs w:val="22"/>
        </w:rPr>
        <w:t xml:space="preserve">Borehole-constrained SCI. </w:t>
      </w:r>
      <w:r w:rsidRPr="006E1CEB">
        <w:rPr>
          <w:szCs w:val="22"/>
        </w:rPr>
        <w:t>A spatially constrained inversion whereby data from borehole conductivity logs is added to the starting models.</w:t>
      </w:r>
    </w:p>
    <w:p w:rsidR="006E1CEB" w:rsidRPr="006E1CEB" w:rsidRDefault="006E1CEB" w:rsidP="006E1CEB">
      <w:pPr>
        <w:spacing w:before="60"/>
        <w:ind w:left="284" w:hanging="284"/>
        <w:rPr>
          <w:szCs w:val="22"/>
        </w:rPr>
      </w:pPr>
      <w:r w:rsidRPr="006E1CEB">
        <w:rPr>
          <w:b/>
          <w:szCs w:val="22"/>
        </w:rPr>
        <w:t xml:space="preserve">Lateral Migration. </w:t>
      </w:r>
      <w:r w:rsidRPr="006E1CEB">
        <w:rPr>
          <w:szCs w:val="22"/>
        </w:rPr>
        <w:t>Deposition of sand and gravel channel and bed-load by meandering rivers.</w:t>
      </w:r>
    </w:p>
    <w:p w:rsidR="006E1CEB" w:rsidRPr="006E1CEB" w:rsidRDefault="006E1CEB" w:rsidP="006E1CEB">
      <w:pPr>
        <w:spacing w:before="60"/>
        <w:ind w:left="284" w:hanging="284"/>
        <w:rPr>
          <w:szCs w:val="22"/>
        </w:rPr>
      </w:pPr>
      <w:r w:rsidRPr="006E1CEB">
        <w:rPr>
          <w:b/>
          <w:szCs w:val="22"/>
        </w:rPr>
        <w:lastRenderedPageBreak/>
        <w:t xml:space="preserve">Lateral infiltration. </w:t>
      </w:r>
      <w:r w:rsidRPr="006E1CEB">
        <w:rPr>
          <w:szCs w:val="22"/>
        </w:rPr>
        <w:t>Horizontal movement of water from a river into its banks.</w:t>
      </w:r>
    </w:p>
    <w:p w:rsidR="006E1CEB" w:rsidRPr="006E1CEB" w:rsidRDefault="006E1CEB" w:rsidP="006E1CEB">
      <w:pPr>
        <w:spacing w:before="60"/>
        <w:ind w:left="284" w:hanging="284"/>
        <w:rPr>
          <w:b/>
          <w:szCs w:val="22"/>
        </w:rPr>
      </w:pPr>
      <w:r w:rsidRPr="006E1CEB">
        <w:rPr>
          <w:b/>
          <w:szCs w:val="22"/>
        </w:rPr>
        <w:t xml:space="preserve">Layered earth. </w:t>
      </w:r>
      <w:r w:rsidRPr="006E1CEB">
        <w:rPr>
          <w:szCs w:val="22"/>
        </w:rPr>
        <w:t>A common geophysical model which assumes that the earth is horizontally layered – the physical parameters are constant to infinite distance horizontally, but change vertically.</w:t>
      </w:r>
    </w:p>
    <w:p w:rsidR="006E1CEB" w:rsidRPr="006E1CEB" w:rsidRDefault="006E1CEB" w:rsidP="006E1CEB">
      <w:pPr>
        <w:spacing w:before="60"/>
        <w:ind w:left="284" w:hanging="284"/>
        <w:rPr>
          <w:szCs w:val="22"/>
        </w:rPr>
      </w:pPr>
      <w:r w:rsidRPr="006E1CEB">
        <w:rPr>
          <w:b/>
          <w:szCs w:val="22"/>
        </w:rPr>
        <w:t>Levees.</w:t>
      </w:r>
      <w:r w:rsidR="00536F3B">
        <w:rPr>
          <w:szCs w:val="22"/>
        </w:rPr>
        <w:t xml:space="preserve"> </w:t>
      </w:r>
      <w:r w:rsidRPr="006E1CEB">
        <w:rPr>
          <w:szCs w:val="22"/>
        </w:rPr>
        <w:t>Natural levees are raised banks adjacent to channels formed by initial rapid over-bank deposition of the coarsest suspended sediment during floods. Artificial levees are man-made flood-control embankments.</w:t>
      </w:r>
    </w:p>
    <w:p w:rsidR="006E1CEB" w:rsidRPr="006E1CEB" w:rsidRDefault="006E1CEB" w:rsidP="006E1CEB">
      <w:pPr>
        <w:spacing w:before="60"/>
        <w:ind w:left="284" w:hanging="284"/>
        <w:rPr>
          <w:szCs w:val="22"/>
        </w:rPr>
      </w:pPr>
      <w:r w:rsidRPr="006E1CEB">
        <w:rPr>
          <w:b/>
          <w:bCs/>
          <w:szCs w:val="22"/>
        </w:rPr>
        <w:t xml:space="preserve">LiDAR. </w:t>
      </w:r>
      <w:r w:rsidRPr="00CF7613">
        <w:rPr>
          <w:rStyle w:val="StyleItalic"/>
        </w:rPr>
        <w:t>Li</w:t>
      </w:r>
      <w:r w:rsidRPr="006E1CEB">
        <w:rPr>
          <w:szCs w:val="22"/>
        </w:rPr>
        <w:t xml:space="preserve">ght </w:t>
      </w:r>
      <w:r w:rsidRPr="00CF7613">
        <w:rPr>
          <w:rStyle w:val="StyleItalic"/>
        </w:rPr>
        <w:t>D</w:t>
      </w:r>
      <w:r w:rsidRPr="006E1CEB">
        <w:rPr>
          <w:szCs w:val="22"/>
        </w:rPr>
        <w:t xml:space="preserve">etection </w:t>
      </w:r>
      <w:r w:rsidRPr="00CF7613">
        <w:rPr>
          <w:rStyle w:val="StyleItalic"/>
        </w:rPr>
        <w:t>A</w:t>
      </w:r>
      <w:r w:rsidRPr="006E1CEB">
        <w:rPr>
          <w:szCs w:val="22"/>
        </w:rPr>
        <w:t xml:space="preserve">nd </w:t>
      </w:r>
      <w:r w:rsidRPr="00CF7613">
        <w:rPr>
          <w:rStyle w:val="StyleItalic"/>
        </w:rPr>
        <w:t>R</w:t>
      </w:r>
      <w:r w:rsidR="00536F3B">
        <w:rPr>
          <w:szCs w:val="22"/>
        </w:rPr>
        <w:t>anging.</w:t>
      </w:r>
      <w:r w:rsidRPr="006E1CEB">
        <w:rPr>
          <w:szCs w:val="22"/>
        </w:rPr>
        <w:t xml:space="preserve"> A means of highly accurate topographic surveying using and aircraft-founded laser scanner to mea</w:t>
      </w:r>
      <w:r w:rsidR="00536F3B">
        <w:rPr>
          <w:szCs w:val="22"/>
        </w:rPr>
        <w:t>sure the variation in altitude.</w:t>
      </w:r>
      <w:r w:rsidRPr="006E1CEB">
        <w:rPr>
          <w:szCs w:val="22"/>
        </w:rPr>
        <w:t xml:space="preserve"> </w:t>
      </w:r>
    </w:p>
    <w:p w:rsidR="006E1CEB" w:rsidRPr="006E1CEB" w:rsidRDefault="006E1CEB" w:rsidP="006E1CEB">
      <w:pPr>
        <w:spacing w:before="60"/>
        <w:ind w:left="284" w:hanging="284"/>
        <w:rPr>
          <w:b/>
          <w:szCs w:val="22"/>
        </w:rPr>
      </w:pPr>
      <w:r w:rsidRPr="006E1CEB">
        <w:rPr>
          <w:b/>
          <w:szCs w:val="22"/>
          <w:lang w:val="en"/>
        </w:rPr>
        <w:t>L</w:t>
      </w:r>
      <w:r w:rsidRPr="006E1CEB">
        <w:rPr>
          <w:b/>
          <w:bCs/>
          <w:szCs w:val="22"/>
          <w:lang w:val="en"/>
        </w:rPr>
        <w:t>ineament.</w:t>
      </w:r>
      <w:r w:rsidRPr="006E1CEB">
        <w:rPr>
          <w:szCs w:val="22"/>
          <w:lang w:val="en"/>
        </w:rPr>
        <w:t xml:space="preserve"> A linear feature in a landscape that expresses an underlying geological structure such as a fault.</w:t>
      </w:r>
    </w:p>
    <w:p w:rsidR="006E1CEB" w:rsidRPr="006E1CEB" w:rsidRDefault="006E1CEB" w:rsidP="006E1CEB">
      <w:pPr>
        <w:spacing w:before="60"/>
        <w:ind w:left="284" w:hanging="284"/>
        <w:rPr>
          <w:szCs w:val="22"/>
        </w:rPr>
      </w:pPr>
      <w:r w:rsidRPr="006E1CEB">
        <w:rPr>
          <w:b/>
          <w:szCs w:val="22"/>
        </w:rPr>
        <w:t xml:space="preserve">Lithification. </w:t>
      </w:r>
      <w:r w:rsidRPr="006E1CEB">
        <w:rPr>
          <w:szCs w:val="22"/>
        </w:rPr>
        <w:t>The process of consolidation, compaction and hardening to form rocks from sediments.</w:t>
      </w:r>
    </w:p>
    <w:p w:rsidR="006E1CEB" w:rsidRPr="006E1CEB" w:rsidRDefault="006E1CEB" w:rsidP="006E1CEB">
      <w:pPr>
        <w:spacing w:before="60"/>
        <w:ind w:left="284" w:hanging="284"/>
        <w:rPr>
          <w:szCs w:val="22"/>
        </w:rPr>
      </w:pPr>
      <w:r w:rsidRPr="006E1CEB">
        <w:rPr>
          <w:b/>
          <w:szCs w:val="22"/>
        </w:rPr>
        <w:t xml:space="preserve">Lithology. </w:t>
      </w:r>
      <w:r w:rsidRPr="006E1CEB">
        <w:rPr>
          <w:szCs w:val="22"/>
        </w:rPr>
        <w:t>Physical characteristics of a rock or sediment.</w:t>
      </w:r>
    </w:p>
    <w:p w:rsidR="006E1CEB" w:rsidRPr="006E1CEB" w:rsidRDefault="006E1CEB" w:rsidP="006E1CEB">
      <w:pPr>
        <w:spacing w:before="60"/>
        <w:ind w:left="284" w:hanging="284"/>
        <w:rPr>
          <w:b/>
          <w:szCs w:val="22"/>
        </w:rPr>
      </w:pPr>
      <w:r w:rsidRPr="006E1CEB">
        <w:rPr>
          <w:b/>
          <w:szCs w:val="22"/>
        </w:rPr>
        <w:t xml:space="preserve">Local Meteoric Water Line. </w:t>
      </w:r>
      <w:r w:rsidRPr="006E1CEB">
        <w:rPr>
          <w:szCs w:val="22"/>
          <w:lang w:val="en"/>
        </w:rPr>
        <w:t>Average relationship between hydrogen and oxygen isotope ratios in natural terrestrial waters in a given area.</w:t>
      </w:r>
    </w:p>
    <w:p w:rsidR="006E1CEB" w:rsidRPr="006E1CEB" w:rsidRDefault="006E1CEB" w:rsidP="006E1CEB">
      <w:pPr>
        <w:spacing w:before="60"/>
        <w:ind w:left="284" w:hanging="284"/>
        <w:rPr>
          <w:szCs w:val="22"/>
        </w:rPr>
      </w:pPr>
      <w:r w:rsidRPr="006E1CEB">
        <w:rPr>
          <w:b/>
          <w:szCs w:val="22"/>
        </w:rPr>
        <w:t>Losing</w:t>
      </w:r>
      <w:r w:rsidRPr="006E1CEB">
        <w:rPr>
          <w:szCs w:val="22"/>
        </w:rPr>
        <w:t xml:space="preserve"> </w:t>
      </w:r>
      <w:r w:rsidRPr="006E1CEB">
        <w:rPr>
          <w:b/>
          <w:szCs w:val="22"/>
        </w:rPr>
        <w:t>Stream.</w:t>
      </w:r>
      <w:r w:rsidR="00536F3B">
        <w:rPr>
          <w:szCs w:val="22"/>
        </w:rPr>
        <w:t xml:space="preserve"> </w:t>
      </w:r>
      <w:r w:rsidRPr="006E1CEB">
        <w:rPr>
          <w:szCs w:val="22"/>
        </w:rPr>
        <w:t>A stream or river reach where the stream bed leaks surface water to an underlying aquifer.</w:t>
      </w:r>
    </w:p>
    <w:p w:rsidR="006E1CEB" w:rsidRPr="006E1CEB" w:rsidRDefault="006E1CEB" w:rsidP="006E1CEB">
      <w:pPr>
        <w:spacing w:before="60"/>
        <w:ind w:left="284" w:hanging="284"/>
        <w:rPr>
          <w:szCs w:val="22"/>
        </w:rPr>
      </w:pPr>
      <w:r w:rsidRPr="006E1CEB">
        <w:rPr>
          <w:b/>
          <w:szCs w:val="22"/>
        </w:rPr>
        <w:t>Lunette.</w:t>
      </w:r>
      <w:r w:rsidR="00536F3B">
        <w:rPr>
          <w:szCs w:val="22"/>
        </w:rPr>
        <w:t xml:space="preserve"> </w:t>
      </w:r>
      <w:r w:rsidRPr="006E1CEB">
        <w:rPr>
          <w:szCs w:val="22"/>
        </w:rPr>
        <w:t>Elongated, crescent-moon shaped, dune built up by wind on the downwind margin of a lake.</w:t>
      </w:r>
    </w:p>
    <w:p w:rsidR="006E1CEB" w:rsidRPr="006E1CEB" w:rsidRDefault="006E1CEB" w:rsidP="006E1CEB">
      <w:pPr>
        <w:spacing w:before="60"/>
        <w:ind w:left="284" w:hanging="284"/>
        <w:rPr>
          <w:bCs/>
          <w:color w:val="000000"/>
          <w:szCs w:val="22"/>
        </w:rPr>
      </w:pPr>
      <w:r w:rsidRPr="006E1CEB">
        <w:rPr>
          <w:b/>
          <w:bCs/>
          <w:color w:val="000000"/>
          <w:szCs w:val="22"/>
        </w:rPr>
        <w:t xml:space="preserve">Macropore. </w:t>
      </w:r>
      <w:r w:rsidRPr="006E1CEB">
        <w:rPr>
          <w:bCs/>
          <w:color w:val="000000"/>
          <w:szCs w:val="22"/>
        </w:rPr>
        <w:t>Relatively large cavities in soil or sediment; water flow is not impeded by capillarity.</w:t>
      </w:r>
    </w:p>
    <w:p w:rsidR="006E1CEB" w:rsidRPr="006E1CEB" w:rsidRDefault="006E1CEB" w:rsidP="006E1CEB">
      <w:pPr>
        <w:spacing w:before="60"/>
        <w:ind w:left="284" w:hanging="284"/>
        <w:rPr>
          <w:color w:val="000000"/>
          <w:szCs w:val="22"/>
        </w:rPr>
      </w:pPr>
      <w:r w:rsidRPr="006E1CEB">
        <w:rPr>
          <w:b/>
          <w:bCs/>
          <w:color w:val="000000"/>
          <w:szCs w:val="22"/>
        </w:rPr>
        <w:t xml:space="preserve">Magnetic survey. </w:t>
      </w:r>
      <w:r w:rsidRPr="006E1CEB">
        <w:rPr>
          <w:color w:val="000000"/>
          <w:szCs w:val="22"/>
        </w:rPr>
        <w:t>Geophysical mapping of the distribution of magnetic materials in the earth. Magnetic surveys can be carried out on the ground or from aircraft (</w:t>
      </w:r>
      <w:r w:rsidRPr="006E1CEB">
        <w:rPr>
          <w:b/>
          <w:color w:val="000000"/>
          <w:szCs w:val="22"/>
        </w:rPr>
        <w:t>Airborne</w:t>
      </w:r>
      <w:r w:rsidRPr="006E1CEB">
        <w:rPr>
          <w:color w:val="000000"/>
          <w:szCs w:val="22"/>
        </w:rPr>
        <w:t>).</w:t>
      </w:r>
    </w:p>
    <w:p w:rsidR="006E1CEB" w:rsidRPr="006E1CEB" w:rsidRDefault="006E1CEB" w:rsidP="006E1CEB">
      <w:pPr>
        <w:spacing w:before="60"/>
        <w:ind w:left="284" w:hanging="284"/>
        <w:rPr>
          <w:b/>
          <w:szCs w:val="22"/>
        </w:rPr>
      </w:pPr>
      <w:r w:rsidRPr="006E1CEB">
        <w:rPr>
          <w:b/>
          <w:szCs w:val="22"/>
        </w:rPr>
        <w:t>Managed Aquifer Recharge (</w:t>
      </w:r>
      <w:smartTag w:uri="urn:schemas-microsoft-com:office:smarttags" w:element="stockticker">
        <w:r w:rsidRPr="006E1CEB">
          <w:rPr>
            <w:b/>
            <w:szCs w:val="22"/>
          </w:rPr>
          <w:t>MAR</w:t>
        </w:r>
      </w:smartTag>
      <w:r w:rsidRPr="006E1CEB">
        <w:rPr>
          <w:b/>
          <w:szCs w:val="22"/>
        </w:rPr>
        <w:t xml:space="preserve">). </w:t>
      </w:r>
      <w:r w:rsidRPr="006E1CEB">
        <w:rPr>
          <w:szCs w:val="22"/>
        </w:rPr>
        <w:t>Managed aquifer recharge (MAR) is the purposeful recharge of water to aquifers for</w:t>
      </w:r>
      <w:r w:rsidRPr="006E1CEB">
        <w:rPr>
          <w:b/>
          <w:szCs w:val="22"/>
        </w:rPr>
        <w:t xml:space="preserve"> </w:t>
      </w:r>
      <w:r w:rsidRPr="006E1CEB">
        <w:rPr>
          <w:szCs w:val="22"/>
        </w:rPr>
        <w:t>subsequent recovery or environmental benefit.</w:t>
      </w:r>
    </w:p>
    <w:p w:rsidR="006E1CEB" w:rsidRPr="006E1CEB" w:rsidRDefault="006E1CEB" w:rsidP="006E1CEB">
      <w:pPr>
        <w:spacing w:before="60"/>
        <w:ind w:left="284" w:hanging="284"/>
        <w:rPr>
          <w:szCs w:val="22"/>
        </w:rPr>
      </w:pPr>
      <w:r w:rsidRPr="006E1CEB">
        <w:rPr>
          <w:b/>
          <w:szCs w:val="22"/>
        </w:rPr>
        <w:t>Meanders.</w:t>
      </w:r>
      <w:r w:rsidR="00536F3B">
        <w:rPr>
          <w:szCs w:val="22"/>
        </w:rPr>
        <w:t xml:space="preserve"> </w:t>
      </w:r>
      <w:r w:rsidRPr="006E1CEB">
        <w:rPr>
          <w:szCs w:val="22"/>
        </w:rPr>
        <w:t>A tight bends in a river channel which can be fixed or migrating.</w:t>
      </w:r>
    </w:p>
    <w:p w:rsidR="0060665D" w:rsidRPr="00454D46" w:rsidRDefault="0060665D" w:rsidP="0060665D">
      <w:pPr>
        <w:spacing w:before="60"/>
        <w:ind w:left="284" w:hanging="284"/>
        <w:rPr>
          <w:szCs w:val="22"/>
          <w:lang w:val="it-IT"/>
        </w:rPr>
      </w:pPr>
      <w:r w:rsidRPr="00454D46">
        <w:rPr>
          <w:b/>
          <w:szCs w:val="22"/>
          <w:lang w:val="it-IT"/>
        </w:rPr>
        <w:t>Megalitre.</w:t>
      </w:r>
      <w:r w:rsidRPr="00454D46">
        <w:rPr>
          <w:szCs w:val="22"/>
          <w:lang w:val="it-IT"/>
        </w:rPr>
        <w:t xml:space="preserve"> 1,000,000 litres.</w:t>
      </w:r>
    </w:p>
    <w:p w:rsidR="006E1CEB" w:rsidRPr="00454D46" w:rsidRDefault="006E1CEB" w:rsidP="006E1CEB">
      <w:pPr>
        <w:spacing w:before="60"/>
        <w:ind w:left="284" w:hanging="284"/>
        <w:rPr>
          <w:szCs w:val="22"/>
          <w:lang w:val="it-IT"/>
        </w:rPr>
      </w:pPr>
      <w:r w:rsidRPr="00454D46">
        <w:rPr>
          <w:b/>
          <w:szCs w:val="22"/>
          <w:lang w:val="it-IT"/>
        </w:rPr>
        <w:t xml:space="preserve">Microfauna. </w:t>
      </w:r>
      <w:r w:rsidRPr="00454D46">
        <w:rPr>
          <w:szCs w:val="22"/>
          <w:lang w:val="it-IT"/>
        </w:rPr>
        <w:t>Microscopic organisms.</w:t>
      </w:r>
    </w:p>
    <w:p w:rsidR="006E1CEB" w:rsidRPr="006E1CEB" w:rsidRDefault="006E1CEB" w:rsidP="006E1CEB">
      <w:pPr>
        <w:spacing w:before="60"/>
        <w:ind w:left="284" w:hanging="284"/>
        <w:rPr>
          <w:szCs w:val="22"/>
        </w:rPr>
      </w:pPr>
      <w:r w:rsidRPr="006E1CEB">
        <w:rPr>
          <w:b/>
          <w:szCs w:val="22"/>
        </w:rPr>
        <w:t xml:space="preserve">Miocene. </w:t>
      </w:r>
      <w:r w:rsidRPr="006E1CEB">
        <w:rPr>
          <w:szCs w:val="22"/>
        </w:rPr>
        <w:t>Geological Epoch extending from 23 to 5.3 million years ago.</w:t>
      </w:r>
    </w:p>
    <w:p w:rsidR="0060665D" w:rsidRDefault="0060665D" w:rsidP="0060665D">
      <w:pPr>
        <w:spacing w:before="60"/>
        <w:ind w:left="284" w:hanging="284"/>
        <w:rPr>
          <w:szCs w:val="22"/>
        </w:rPr>
      </w:pPr>
      <w:r w:rsidRPr="00523717">
        <w:rPr>
          <w:b/>
          <w:bCs/>
          <w:szCs w:val="22"/>
        </w:rPr>
        <w:t>Morphostratigraphic unit</w:t>
      </w:r>
      <w:r w:rsidRPr="00523717">
        <w:rPr>
          <w:b/>
          <w:szCs w:val="22"/>
        </w:rPr>
        <w:t>.</w:t>
      </w:r>
      <w:r w:rsidRPr="00523717">
        <w:rPr>
          <w:szCs w:val="22"/>
        </w:rPr>
        <w:t xml:space="preserve"> A body of sediment that is identified primarily from the surface form it displays with such units including both landform and lithologic information in their definition.</w:t>
      </w:r>
    </w:p>
    <w:p w:rsidR="0060665D" w:rsidRPr="00523717" w:rsidRDefault="0060665D" w:rsidP="0060665D">
      <w:pPr>
        <w:spacing w:before="60"/>
        <w:ind w:left="284" w:hanging="284"/>
        <w:rPr>
          <w:szCs w:val="22"/>
        </w:rPr>
      </w:pPr>
      <w:r w:rsidRPr="00523717">
        <w:rPr>
          <w:b/>
          <w:szCs w:val="22"/>
        </w:rPr>
        <w:t>Multi-disciplinary Research.</w:t>
      </w:r>
      <w:r w:rsidR="00D039C6">
        <w:rPr>
          <w:b/>
          <w:szCs w:val="22"/>
        </w:rPr>
        <w:t xml:space="preserve"> </w:t>
      </w:r>
      <w:r w:rsidRPr="00523717">
        <w:rPr>
          <w:szCs w:val="22"/>
        </w:rPr>
        <w:t xml:space="preserve">A </w:t>
      </w:r>
      <w:r w:rsidRPr="00523717">
        <w:rPr>
          <w:bCs/>
          <w:szCs w:val="22"/>
        </w:rPr>
        <w:t xml:space="preserve">sequential </w:t>
      </w:r>
      <w:r w:rsidRPr="00523717">
        <w:rPr>
          <w:szCs w:val="22"/>
        </w:rPr>
        <w:t xml:space="preserve">process whereby researchers in different disciplines work </w:t>
      </w:r>
      <w:r w:rsidRPr="00523717">
        <w:rPr>
          <w:bCs/>
          <w:szCs w:val="22"/>
        </w:rPr>
        <w:t>independently</w:t>
      </w:r>
      <w:r w:rsidRPr="00523717">
        <w:rPr>
          <w:szCs w:val="22"/>
        </w:rPr>
        <w:t xml:space="preserve">, each from </w:t>
      </w:r>
      <w:r>
        <w:rPr>
          <w:szCs w:val="22"/>
        </w:rPr>
        <w:t>their</w:t>
      </w:r>
      <w:r w:rsidRPr="00523717">
        <w:rPr>
          <w:szCs w:val="22"/>
        </w:rPr>
        <w:t xml:space="preserve"> own discipline-specific perspective, with a goal of eventually combining efforts to address a common research problem.</w:t>
      </w:r>
    </w:p>
    <w:p w:rsidR="006E1CEB" w:rsidRPr="006E1CEB" w:rsidRDefault="00536F3B" w:rsidP="006E1CEB">
      <w:pPr>
        <w:spacing w:before="60"/>
        <w:ind w:left="284" w:hanging="284"/>
        <w:rPr>
          <w:szCs w:val="22"/>
          <w:lang w:val="en"/>
        </w:rPr>
      </w:pPr>
      <w:r>
        <w:rPr>
          <w:b/>
          <w:szCs w:val="22"/>
        </w:rPr>
        <w:t xml:space="preserve">Neotectonics. </w:t>
      </w:r>
      <w:r w:rsidR="006E1CEB" w:rsidRPr="006E1CEB">
        <w:rPr>
          <w:b/>
          <w:bCs/>
          <w:szCs w:val="22"/>
          <w:lang w:val="en"/>
        </w:rPr>
        <w:t>S</w:t>
      </w:r>
      <w:r w:rsidR="006E1CEB" w:rsidRPr="006E1CEB">
        <w:rPr>
          <w:szCs w:val="22"/>
          <w:lang w:val="en"/>
        </w:rPr>
        <w:t>tudy of current or recent motions and deformations of the Earth's crust.</w:t>
      </w:r>
    </w:p>
    <w:p w:rsidR="006E1CEB" w:rsidRPr="00896DBB" w:rsidRDefault="006E1CEB" w:rsidP="006E1CEB">
      <w:pPr>
        <w:spacing w:before="60"/>
        <w:ind w:left="284" w:hanging="284"/>
        <w:rPr>
          <w:b/>
          <w:szCs w:val="22"/>
        </w:rPr>
      </w:pPr>
      <w:smartTag w:uri="urn:schemas-microsoft-com:office:smarttags" w:element="place">
        <w:smartTag w:uri="urn:schemas-microsoft-com:office:smarttags" w:element="PlaceName">
          <w:r w:rsidRPr="006E1CEB">
            <w:rPr>
              <w:b/>
              <w:bCs/>
              <w:szCs w:val="22"/>
            </w:rPr>
            <w:t>Nick</w:t>
          </w:r>
        </w:smartTag>
        <w:r w:rsidRPr="006E1CEB">
          <w:rPr>
            <w:b/>
            <w:bCs/>
            <w:szCs w:val="22"/>
          </w:rPr>
          <w:t xml:space="preserve"> </w:t>
        </w:r>
        <w:smartTag w:uri="urn:schemas-microsoft-com:office:smarttags" w:element="PlaceName">
          <w:r w:rsidRPr="006E1CEB">
            <w:rPr>
              <w:b/>
              <w:bCs/>
              <w:szCs w:val="22"/>
            </w:rPr>
            <w:t>Point</w:t>
          </w:r>
        </w:smartTag>
      </w:smartTag>
      <w:r w:rsidRPr="006E1CEB">
        <w:rPr>
          <w:szCs w:val="22"/>
        </w:rPr>
        <w:t xml:space="preserve">. A point at which there is a sudden break of slope in the long profile of </w:t>
      </w:r>
      <w:r w:rsidRPr="006E1CEB">
        <w:rPr>
          <w:vanish/>
          <w:szCs w:val="22"/>
        </w:rPr>
        <w:br/>
      </w:r>
      <w:r w:rsidRPr="00896DBB">
        <w:rPr>
          <w:szCs w:val="22"/>
        </w:rPr>
        <w:t xml:space="preserve">a </w:t>
      </w:r>
      <w:r w:rsidRPr="00896DBB">
        <w:rPr>
          <w:bCs/>
          <w:szCs w:val="22"/>
        </w:rPr>
        <w:t>river.</w:t>
      </w:r>
    </w:p>
    <w:p w:rsidR="006E1CEB" w:rsidRPr="00896DBB" w:rsidRDefault="006E1CEB" w:rsidP="006E1CEB">
      <w:pPr>
        <w:spacing w:before="60"/>
        <w:ind w:left="284" w:hanging="284"/>
        <w:rPr>
          <w:b/>
          <w:szCs w:val="22"/>
        </w:rPr>
      </w:pPr>
      <w:r w:rsidRPr="00896DBB">
        <w:rPr>
          <w:b/>
          <w:szCs w:val="22"/>
        </w:rPr>
        <w:t xml:space="preserve">Noise. </w:t>
      </w:r>
      <w:r w:rsidRPr="00896DBB">
        <w:rPr>
          <w:szCs w:val="22"/>
        </w:rPr>
        <w:t>That part of a geophysical measureme</w:t>
      </w:r>
      <w:r w:rsidR="00536F3B" w:rsidRPr="00896DBB">
        <w:rPr>
          <w:szCs w:val="22"/>
        </w:rPr>
        <w:t>nt that the user does not want.</w:t>
      </w:r>
      <w:r w:rsidRPr="00896DBB">
        <w:rPr>
          <w:szCs w:val="22"/>
        </w:rPr>
        <w:t xml:space="preserve"> </w:t>
      </w:r>
    </w:p>
    <w:p w:rsidR="006E1CEB" w:rsidRPr="00896DBB" w:rsidRDefault="006E1CEB" w:rsidP="006E1CEB">
      <w:pPr>
        <w:spacing w:before="60"/>
        <w:ind w:left="284" w:hanging="284"/>
        <w:rPr>
          <w:b/>
          <w:szCs w:val="22"/>
        </w:rPr>
      </w:pPr>
      <w:r w:rsidRPr="00896DBB">
        <w:rPr>
          <w:b/>
          <w:szCs w:val="22"/>
        </w:rPr>
        <w:t xml:space="preserve">Nuclear Magnetic Resonance (NMR) Logging. </w:t>
      </w:r>
      <w:r w:rsidR="00536F3B" w:rsidRPr="00896DBB">
        <w:rPr>
          <w:szCs w:val="22"/>
        </w:rPr>
        <w:t>A</w:t>
      </w:r>
      <w:r w:rsidRPr="00896DBB">
        <w:rPr>
          <w:szCs w:val="22"/>
          <w:lang w:val="en"/>
        </w:rPr>
        <w:t xml:space="preserve"> type of down-hole geophysical logging that uses the NMR response of the sediment to directly determine its porosity and permeability.</w:t>
      </w:r>
    </w:p>
    <w:p w:rsidR="006E1CEB" w:rsidRPr="00896DBB" w:rsidRDefault="006E1CEB" w:rsidP="006E1CEB">
      <w:pPr>
        <w:spacing w:before="60"/>
        <w:ind w:left="284" w:hanging="284"/>
        <w:rPr>
          <w:szCs w:val="22"/>
        </w:rPr>
      </w:pPr>
      <w:r w:rsidRPr="00896DBB">
        <w:rPr>
          <w:b/>
          <w:szCs w:val="22"/>
        </w:rPr>
        <w:t xml:space="preserve">Numerical dating. </w:t>
      </w:r>
      <w:r w:rsidRPr="00896DBB">
        <w:rPr>
          <w:szCs w:val="22"/>
        </w:rPr>
        <w:t>Assigning of an actual age in thousands or millions of years to geological materials.</w:t>
      </w:r>
    </w:p>
    <w:p w:rsidR="006E1CEB" w:rsidRPr="006E1CEB" w:rsidRDefault="006E1CEB" w:rsidP="006E1CEB">
      <w:pPr>
        <w:spacing w:before="60"/>
        <w:ind w:left="284" w:hanging="284"/>
        <w:rPr>
          <w:b/>
          <w:szCs w:val="22"/>
        </w:rPr>
      </w:pPr>
      <w:r w:rsidRPr="00896DBB">
        <w:rPr>
          <w:b/>
          <w:szCs w:val="22"/>
        </w:rPr>
        <w:t xml:space="preserve">Oligocene. </w:t>
      </w:r>
      <w:r w:rsidRPr="00896DBB">
        <w:rPr>
          <w:szCs w:val="22"/>
        </w:rPr>
        <w:t>Geological Epoch extending from 33.9 to 23 million years</w:t>
      </w:r>
      <w:r w:rsidRPr="006E1CEB">
        <w:rPr>
          <w:szCs w:val="22"/>
        </w:rPr>
        <w:t xml:space="preserve"> ago.</w:t>
      </w:r>
    </w:p>
    <w:p w:rsidR="006E1CEB" w:rsidRPr="006E1CEB" w:rsidRDefault="006E1CEB" w:rsidP="006E1CEB">
      <w:pPr>
        <w:spacing w:before="60"/>
        <w:ind w:left="284" w:hanging="284"/>
        <w:rPr>
          <w:szCs w:val="22"/>
        </w:rPr>
      </w:pPr>
      <w:r w:rsidRPr="006E1CEB">
        <w:rPr>
          <w:b/>
          <w:szCs w:val="22"/>
        </w:rPr>
        <w:t xml:space="preserve">Optically Stimulated Luminescence (OSL). </w:t>
      </w:r>
      <w:r w:rsidRPr="006E1CEB">
        <w:rPr>
          <w:szCs w:val="22"/>
        </w:rPr>
        <w:t>System of dating sediments that measures progressive increase in energy accumulated in crystals due to damage from natural environmental radiation.</w:t>
      </w:r>
    </w:p>
    <w:p w:rsidR="006E1CEB" w:rsidRPr="006E1CEB" w:rsidRDefault="006E1CEB" w:rsidP="006E1CEB">
      <w:pPr>
        <w:spacing w:before="60"/>
        <w:ind w:left="284" w:hanging="284"/>
        <w:rPr>
          <w:szCs w:val="22"/>
        </w:rPr>
      </w:pPr>
      <w:r w:rsidRPr="006E1CEB">
        <w:rPr>
          <w:b/>
          <w:szCs w:val="22"/>
        </w:rPr>
        <w:t xml:space="preserve">Overbank Flow. </w:t>
      </w:r>
      <w:r w:rsidRPr="006E1CEB">
        <w:rPr>
          <w:szCs w:val="22"/>
        </w:rPr>
        <w:t>River flow during a flood that extends beyond the channel.</w:t>
      </w:r>
    </w:p>
    <w:p w:rsidR="006E1CEB" w:rsidRPr="006E1CEB" w:rsidRDefault="006E1CEB" w:rsidP="006E1CEB">
      <w:pPr>
        <w:spacing w:before="60"/>
        <w:ind w:left="284" w:hanging="284"/>
        <w:rPr>
          <w:szCs w:val="22"/>
        </w:rPr>
      </w:pPr>
      <w:r w:rsidRPr="006E1CEB">
        <w:rPr>
          <w:b/>
          <w:szCs w:val="22"/>
        </w:rPr>
        <w:t xml:space="preserve">Palaeo-. </w:t>
      </w:r>
      <w:r w:rsidRPr="006E1CEB">
        <w:rPr>
          <w:szCs w:val="22"/>
        </w:rPr>
        <w:t>Prefix meaning old or ancient often now-defunct.</w:t>
      </w:r>
    </w:p>
    <w:p w:rsidR="006E1CEB" w:rsidRPr="006E1CEB" w:rsidRDefault="006E1CEB" w:rsidP="006E1CEB">
      <w:pPr>
        <w:spacing w:before="60"/>
        <w:ind w:left="284" w:hanging="284"/>
        <w:rPr>
          <w:b/>
          <w:szCs w:val="22"/>
        </w:rPr>
      </w:pPr>
      <w:r w:rsidRPr="006E1CEB">
        <w:rPr>
          <w:b/>
          <w:szCs w:val="22"/>
        </w:rPr>
        <w:t>Palaeovalley.</w:t>
      </w:r>
      <w:r w:rsidR="00536F3B">
        <w:rPr>
          <w:szCs w:val="22"/>
        </w:rPr>
        <w:t xml:space="preserve"> </w:t>
      </w:r>
      <w:r w:rsidRPr="006E1CEB">
        <w:rPr>
          <w:szCs w:val="22"/>
        </w:rPr>
        <w:t xml:space="preserve">The preserved remnants of an ancient drainage system, now infilled with sediment and no longer forming an active surface drainage feature. Palaeovalleys can have active </w:t>
      </w:r>
      <w:smartTag w:uri="urn:schemas-microsoft-com:office:smarttags" w:element="PersonName">
        <w:r w:rsidRPr="006E1CEB">
          <w:rPr>
            <w:szCs w:val="22"/>
          </w:rPr>
          <w:t>groundwater</w:t>
        </w:r>
      </w:smartTag>
      <w:r w:rsidRPr="006E1CEB">
        <w:rPr>
          <w:szCs w:val="22"/>
        </w:rPr>
        <w:t xml:space="preserve"> systems.</w:t>
      </w:r>
    </w:p>
    <w:p w:rsidR="006E1CEB" w:rsidRPr="006E1CEB" w:rsidRDefault="006E1CEB" w:rsidP="006E1CEB">
      <w:pPr>
        <w:spacing w:before="60"/>
        <w:ind w:left="284" w:hanging="284"/>
        <w:rPr>
          <w:szCs w:val="22"/>
        </w:rPr>
      </w:pPr>
      <w:r w:rsidRPr="006E1CEB">
        <w:rPr>
          <w:b/>
          <w:szCs w:val="22"/>
        </w:rPr>
        <w:t xml:space="preserve">Palaeochannel. </w:t>
      </w:r>
      <w:r w:rsidRPr="006E1CEB">
        <w:rPr>
          <w:szCs w:val="22"/>
        </w:rPr>
        <w:t>Preserved remnants of the channel of an ancient fluvial system.</w:t>
      </w:r>
    </w:p>
    <w:p w:rsidR="006E1CEB" w:rsidRPr="006E1CEB" w:rsidRDefault="006E1CEB" w:rsidP="006E1CEB">
      <w:pPr>
        <w:spacing w:before="60"/>
        <w:ind w:left="284" w:hanging="284"/>
        <w:rPr>
          <w:szCs w:val="22"/>
        </w:rPr>
      </w:pPr>
      <w:r w:rsidRPr="006E1CEB">
        <w:rPr>
          <w:b/>
          <w:szCs w:val="22"/>
        </w:rPr>
        <w:t xml:space="preserve">Palaeozoic. </w:t>
      </w:r>
      <w:r w:rsidRPr="006E1CEB">
        <w:rPr>
          <w:szCs w:val="22"/>
        </w:rPr>
        <w:t>Geological Era extending from 542 to 251 million years ago.</w:t>
      </w:r>
    </w:p>
    <w:p w:rsidR="006E1CEB" w:rsidRPr="006E1CEB" w:rsidRDefault="006E1CEB" w:rsidP="006E1CEB">
      <w:pPr>
        <w:spacing w:before="60"/>
        <w:ind w:left="284" w:hanging="284"/>
        <w:rPr>
          <w:szCs w:val="22"/>
        </w:rPr>
      </w:pPr>
      <w:r w:rsidRPr="006E1CEB">
        <w:rPr>
          <w:b/>
          <w:szCs w:val="22"/>
        </w:rPr>
        <w:t>Palynology.</w:t>
      </w:r>
      <w:r w:rsidR="00536F3B">
        <w:rPr>
          <w:szCs w:val="22"/>
        </w:rPr>
        <w:t xml:space="preserve"> </w:t>
      </w:r>
      <w:r w:rsidRPr="006E1CEB">
        <w:rPr>
          <w:szCs w:val="22"/>
        </w:rPr>
        <w:t>The study of pollen and other resistant plant, protist, and fungi microfossils.</w:t>
      </w:r>
    </w:p>
    <w:p w:rsidR="006E1CEB" w:rsidRPr="006E1CEB" w:rsidRDefault="006E1CEB" w:rsidP="006E1CEB">
      <w:pPr>
        <w:spacing w:before="60"/>
        <w:ind w:left="284" w:hanging="284"/>
        <w:rPr>
          <w:szCs w:val="22"/>
        </w:rPr>
      </w:pPr>
      <w:r w:rsidRPr="006E1CEB">
        <w:rPr>
          <w:b/>
          <w:szCs w:val="22"/>
        </w:rPr>
        <w:t xml:space="preserve">Pedogenesis. </w:t>
      </w:r>
      <w:r w:rsidRPr="006E1CEB">
        <w:rPr>
          <w:szCs w:val="22"/>
        </w:rPr>
        <w:t xml:space="preserve">Modification of original deposits or rocks by soil-forming processes. </w:t>
      </w:r>
    </w:p>
    <w:p w:rsidR="006E1CEB" w:rsidRPr="006E1CEB" w:rsidRDefault="006E1CEB" w:rsidP="006E1CEB">
      <w:pPr>
        <w:spacing w:before="60"/>
        <w:ind w:left="284" w:hanging="284"/>
        <w:rPr>
          <w:szCs w:val="22"/>
        </w:rPr>
      </w:pPr>
      <w:r w:rsidRPr="006E1CEB">
        <w:rPr>
          <w:b/>
          <w:szCs w:val="22"/>
        </w:rPr>
        <w:t>Permeability.</w:t>
      </w:r>
      <w:r w:rsidR="00536F3B">
        <w:rPr>
          <w:szCs w:val="22"/>
        </w:rPr>
        <w:t xml:space="preserve"> </w:t>
      </w:r>
      <w:r w:rsidRPr="006E1CEB">
        <w:rPr>
          <w:szCs w:val="22"/>
        </w:rPr>
        <w:t>The ability of a material, such as rock or sediment, to allow the passage of a liquid, such as water. Permeable gravel and sand, allow free movement, whereas impermeable clays are barriers.</w:t>
      </w:r>
    </w:p>
    <w:p w:rsidR="006E1CEB" w:rsidRPr="006E1CEB" w:rsidRDefault="00536F3B" w:rsidP="006E1CEB">
      <w:pPr>
        <w:spacing w:before="60"/>
        <w:ind w:left="284" w:hanging="284"/>
        <w:rPr>
          <w:szCs w:val="22"/>
        </w:rPr>
      </w:pPr>
      <w:r>
        <w:rPr>
          <w:b/>
          <w:szCs w:val="22"/>
        </w:rPr>
        <w:t>Permeameter.</w:t>
      </w:r>
      <w:r w:rsidR="006E1CEB" w:rsidRPr="006E1CEB">
        <w:rPr>
          <w:b/>
          <w:szCs w:val="22"/>
        </w:rPr>
        <w:t xml:space="preserve"> </w:t>
      </w:r>
      <w:r w:rsidR="006E1CEB" w:rsidRPr="006E1CEB">
        <w:rPr>
          <w:szCs w:val="22"/>
        </w:rPr>
        <w:t>Instrument for measuring water infiltration rates through soil or sediment.</w:t>
      </w:r>
    </w:p>
    <w:p w:rsidR="006E1CEB" w:rsidRPr="006E1CEB" w:rsidRDefault="006E1CEB" w:rsidP="006E1CEB">
      <w:pPr>
        <w:spacing w:before="60"/>
        <w:ind w:left="284" w:hanging="284"/>
        <w:rPr>
          <w:szCs w:val="22"/>
        </w:rPr>
      </w:pPr>
      <w:r w:rsidRPr="006E1CEB">
        <w:rPr>
          <w:b/>
          <w:szCs w:val="22"/>
        </w:rPr>
        <w:lastRenderedPageBreak/>
        <w:t>Piezometer.</w:t>
      </w:r>
      <w:r w:rsidR="00536F3B">
        <w:rPr>
          <w:szCs w:val="22"/>
        </w:rPr>
        <w:t xml:space="preserve"> </w:t>
      </w:r>
      <w:r w:rsidRPr="006E1CEB">
        <w:rPr>
          <w:szCs w:val="22"/>
        </w:rPr>
        <w:t>A bore used specifically to monitor water levels or hydraulic head within an aquifer.</w:t>
      </w:r>
    </w:p>
    <w:p w:rsidR="0060665D" w:rsidRPr="00523717" w:rsidRDefault="0060665D" w:rsidP="0060665D">
      <w:pPr>
        <w:spacing w:before="60"/>
        <w:ind w:left="284" w:hanging="284"/>
        <w:rPr>
          <w:b/>
          <w:szCs w:val="22"/>
        </w:rPr>
      </w:pPr>
      <w:r w:rsidRPr="00523717">
        <w:rPr>
          <w:b/>
          <w:szCs w:val="22"/>
        </w:rPr>
        <w:t xml:space="preserve">Pleistocene. </w:t>
      </w:r>
      <w:r w:rsidRPr="00523717">
        <w:rPr>
          <w:szCs w:val="22"/>
        </w:rPr>
        <w:t>Geological Epoch extending from 2.6 million to 12 thousand years ago.</w:t>
      </w:r>
    </w:p>
    <w:p w:rsidR="0060665D" w:rsidRPr="00523717" w:rsidRDefault="0060665D" w:rsidP="0060665D">
      <w:pPr>
        <w:spacing w:before="60"/>
        <w:ind w:left="284" w:hanging="284"/>
        <w:rPr>
          <w:szCs w:val="22"/>
        </w:rPr>
      </w:pPr>
      <w:r w:rsidRPr="00523717">
        <w:rPr>
          <w:b/>
          <w:szCs w:val="22"/>
        </w:rPr>
        <w:t xml:space="preserve">Pliocene. </w:t>
      </w:r>
      <w:r w:rsidRPr="00523717">
        <w:rPr>
          <w:szCs w:val="22"/>
        </w:rPr>
        <w:t>Geological Epoch extending from 5.3 to 2.6 million years ago.</w:t>
      </w:r>
    </w:p>
    <w:p w:rsidR="006E1CEB" w:rsidRPr="006E1CEB" w:rsidRDefault="006E1CEB" w:rsidP="006E1CEB">
      <w:pPr>
        <w:spacing w:before="60"/>
        <w:ind w:left="284" w:hanging="284"/>
        <w:rPr>
          <w:szCs w:val="22"/>
        </w:rPr>
      </w:pPr>
      <w:r w:rsidRPr="006E1CEB">
        <w:rPr>
          <w:b/>
          <w:szCs w:val="22"/>
        </w:rPr>
        <w:t xml:space="preserve">Point Bars. </w:t>
      </w:r>
      <w:r w:rsidRPr="006E1CEB">
        <w:rPr>
          <w:szCs w:val="22"/>
        </w:rPr>
        <w:t>Depositional areas on the inside of river meander beds where bed-load sand and gravel are deposited as the meander migrates laterally.</w:t>
      </w:r>
    </w:p>
    <w:p w:rsidR="006E1CEB" w:rsidRPr="006E1CEB" w:rsidRDefault="006E1CEB" w:rsidP="006E1CEB">
      <w:pPr>
        <w:spacing w:before="60"/>
        <w:ind w:left="284" w:hanging="284"/>
        <w:rPr>
          <w:szCs w:val="22"/>
        </w:rPr>
      </w:pPr>
      <w:r w:rsidRPr="006E1CEB">
        <w:rPr>
          <w:b/>
          <w:szCs w:val="22"/>
        </w:rPr>
        <w:t>Porosity.</w:t>
      </w:r>
      <w:r w:rsidR="00536F3B">
        <w:rPr>
          <w:szCs w:val="22"/>
        </w:rPr>
        <w:t xml:space="preserve"> </w:t>
      </w:r>
      <w:r w:rsidRPr="006E1CEB">
        <w:rPr>
          <w:szCs w:val="22"/>
        </w:rPr>
        <w:t xml:space="preserve">A measure of the water-bearing capacity of an aquifer and water movement depends on both the size and interconnectivity of voids. </w:t>
      </w:r>
    </w:p>
    <w:p w:rsidR="006E1CEB" w:rsidRPr="006E1CEB" w:rsidRDefault="006E1CEB" w:rsidP="006E1CEB">
      <w:pPr>
        <w:spacing w:before="60"/>
        <w:ind w:left="284" w:hanging="284"/>
        <w:rPr>
          <w:szCs w:val="22"/>
        </w:rPr>
      </w:pPr>
      <w:r w:rsidRPr="006E1CEB">
        <w:rPr>
          <w:b/>
          <w:szCs w:val="22"/>
        </w:rPr>
        <w:t>Potentiometric</w:t>
      </w:r>
      <w:r w:rsidRPr="006E1CEB">
        <w:rPr>
          <w:szCs w:val="22"/>
        </w:rPr>
        <w:t xml:space="preserve"> </w:t>
      </w:r>
      <w:r w:rsidRPr="006E1CEB">
        <w:rPr>
          <w:b/>
          <w:szCs w:val="22"/>
        </w:rPr>
        <w:t>Surface.</w:t>
      </w:r>
      <w:r w:rsidR="00536F3B">
        <w:rPr>
          <w:szCs w:val="22"/>
        </w:rPr>
        <w:t xml:space="preserve"> </w:t>
      </w:r>
      <w:r w:rsidRPr="006E1CEB">
        <w:rPr>
          <w:szCs w:val="22"/>
        </w:rPr>
        <w:t>A surface which represents the hypothetical level that water under pressure, within a confined aquifer, would rise to if tapped by a bore.</w:t>
      </w:r>
    </w:p>
    <w:p w:rsidR="006E1CEB" w:rsidRPr="006E1CEB" w:rsidRDefault="006E1CEB" w:rsidP="006E1CEB">
      <w:pPr>
        <w:spacing w:before="60"/>
        <w:ind w:left="284" w:hanging="284"/>
        <w:rPr>
          <w:b/>
          <w:szCs w:val="22"/>
        </w:rPr>
      </w:pPr>
      <w:r w:rsidRPr="006E1CEB">
        <w:rPr>
          <w:b/>
          <w:szCs w:val="22"/>
        </w:rPr>
        <w:t xml:space="preserve">Primary field. </w:t>
      </w:r>
      <w:r w:rsidRPr="006E1CEB">
        <w:rPr>
          <w:szCs w:val="22"/>
        </w:rPr>
        <w:t>The EM field emitted by a transmitter. This field induces eddy currents in (energizes) the conductors in the ground, which then create their own secondary fields.</w:t>
      </w:r>
    </w:p>
    <w:p w:rsidR="006E1CEB" w:rsidRPr="006E1CEB" w:rsidRDefault="006E1CEB" w:rsidP="006E1CEB">
      <w:pPr>
        <w:spacing w:before="60"/>
        <w:ind w:left="284" w:hanging="284"/>
        <w:rPr>
          <w:szCs w:val="22"/>
        </w:rPr>
      </w:pPr>
      <w:r w:rsidRPr="006E1CEB">
        <w:rPr>
          <w:b/>
          <w:szCs w:val="22"/>
        </w:rPr>
        <w:t xml:space="preserve">Progradation. </w:t>
      </w:r>
      <w:r w:rsidRPr="006E1CEB">
        <w:rPr>
          <w:szCs w:val="22"/>
        </w:rPr>
        <w:t>Seaward movement of a shoreline by deposition of sediment.</w:t>
      </w:r>
    </w:p>
    <w:p w:rsidR="006E1CEB" w:rsidRPr="006E1CEB" w:rsidRDefault="006E1CEB" w:rsidP="006E1CEB">
      <w:pPr>
        <w:spacing w:before="60"/>
        <w:ind w:left="284" w:hanging="284"/>
        <w:rPr>
          <w:b/>
          <w:szCs w:val="22"/>
        </w:rPr>
      </w:pPr>
      <w:r w:rsidRPr="006E1CEB">
        <w:rPr>
          <w:b/>
          <w:szCs w:val="22"/>
        </w:rPr>
        <w:t xml:space="preserve">Pump Test. </w:t>
      </w:r>
      <w:r w:rsidRPr="006E1CEB">
        <w:rPr>
          <w:szCs w:val="22"/>
        </w:rPr>
        <w:t>A hydrological assessment; undertaken when an aquifer is ‘stressed’ by pumping or injecting water and noting the water drawdown level over space and time.</w:t>
      </w:r>
    </w:p>
    <w:p w:rsidR="0060665D" w:rsidRDefault="0060665D" w:rsidP="0060665D">
      <w:pPr>
        <w:spacing w:before="60"/>
        <w:ind w:left="284" w:hanging="284"/>
        <w:rPr>
          <w:szCs w:val="22"/>
        </w:rPr>
      </w:pPr>
      <w:r w:rsidRPr="00523717">
        <w:rPr>
          <w:b/>
          <w:szCs w:val="22"/>
        </w:rPr>
        <w:t xml:space="preserve">Quaternary. </w:t>
      </w:r>
      <w:r w:rsidRPr="00523717">
        <w:rPr>
          <w:szCs w:val="22"/>
        </w:rPr>
        <w:t>Geological Period including the Pleistocene and the Holocene extending from 2.6 million years ago to the present.</w:t>
      </w:r>
    </w:p>
    <w:p w:rsidR="006E1CEB" w:rsidRPr="006E1CEB" w:rsidRDefault="00536F3B" w:rsidP="006E1CEB">
      <w:pPr>
        <w:spacing w:before="60"/>
        <w:ind w:left="284" w:hanging="284"/>
        <w:rPr>
          <w:b/>
          <w:szCs w:val="22"/>
        </w:rPr>
      </w:pPr>
      <w:r>
        <w:rPr>
          <w:b/>
          <w:szCs w:val="22"/>
        </w:rPr>
        <w:t>Receiver.</w:t>
      </w:r>
      <w:r w:rsidR="00465915">
        <w:rPr>
          <w:b/>
          <w:szCs w:val="22"/>
        </w:rPr>
        <w:t xml:space="preserve"> </w:t>
      </w:r>
      <w:r w:rsidR="006E1CEB" w:rsidRPr="006E1CEB">
        <w:rPr>
          <w:szCs w:val="22"/>
        </w:rPr>
        <w:t>The signal detector of a geophysical system. This term is most often used in active (systems that transmit) geophysical systems.</w:t>
      </w:r>
      <w:r w:rsidR="00465915">
        <w:rPr>
          <w:szCs w:val="22"/>
        </w:rPr>
        <w:t xml:space="preserve"> </w:t>
      </w:r>
      <w:r w:rsidR="006E1CEB" w:rsidRPr="006E1CEB">
        <w:rPr>
          <w:szCs w:val="22"/>
        </w:rPr>
        <w:t>In AEM surveys it is most often a coil (see also transmitter).</w:t>
      </w:r>
    </w:p>
    <w:p w:rsidR="006E1CEB" w:rsidRPr="006E1CEB" w:rsidRDefault="006E1CEB" w:rsidP="006E1CEB">
      <w:pPr>
        <w:spacing w:before="60"/>
        <w:ind w:left="284" w:hanging="284"/>
        <w:rPr>
          <w:szCs w:val="22"/>
        </w:rPr>
      </w:pPr>
      <w:r w:rsidRPr="006E1CEB">
        <w:rPr>
          <w:b/>
          <w:szCs w:val="22"/>
        </w:rPr>
        <w:t>Recharge.</w:t>
      </w:r>
      <w:r w:rsidR="00536F3B">
        <w:rPr>
          <w:szCs w:val="22"/>
        </w:rPr>
        <w:t xml:space="preserve"> </w:t>
      </w:r>
      <w:r w:rsidRPr="006E1CEB">
        <w:rPr>
          <w:szCs w:val="22"/>
        </w:rPr>
        <w:t>The entry into the saturated zone of water made available to the water table surface, together with associated flow away from the water table within the saturated zone.</w:t>
      </w:r>
    </w:p>
    <w:p w:rsidR="006E1CEB" w:rsidRPr="006E1CEB" w:rsidRDefault="006E1CEB" w:rsidP="006E1CEB">
      <w:pPr>
        <w:spacing w:before="60"/>
        <w:ind w:left="284" w:hanging="284"/>
        <w:rPr>
          <w:szCs w:val="22"/>
        </w:rPr>
      </w:pPr>
      <w:r w:rsidRPr="006E1CEB">
        <w:rPr>
          <w:b/>
          <w:szCs w:val="22"/>
        </w:rPr>
        <w:t xml:space="preserve">Recovery efficiency. </w:t>
      </w:r>
      <w:r w:rsidRPr="006E1CEB">
        <w:rPr>
          <w:szCs w:val="22"/>
        </w:rPr>
        <w:t>The fraction or percentage of injected water that can be recovered.</w:t>
      </w:r>
    </w:p>
    <w:p w:rsidR="006E1CEB" w:rsidRPr="006E1CEB" w:rsidRDefault="006E1CEB" w:rsidP="006E1CEB">
      <w:pPr>
        <w:spacing w:before="60"/>
        <w:ind w:left="284" w:hanging="284"/>
        <w:rPr>
          <w:szCs w:val="22"/>
        </w:rPr>
      </w:pPr>
      <w:r w:rsidRPr="006E1CEB">
        <w:rPr>
          <w:b/>
          <w:szCs w:val="22"/>
        </w:rPr>
        <w:t xml:space="preserve">Redox. </w:t>
      </w:r>
      <w:r w:rsidRPr="006E1CEB">
        <w:rPr>
          <w:szCs w:val="22"/>
        </w:rPr>
        <w:t>Variations in chemical state between oxidation and reduction.</w:t>
      </w:r>
    </w:p>
    <w:p w:rsidR="006E1CEB" w:rsidRPr="006E1CEB" w:rsidRDefault="006E1CEB" w:rsidP="006E1CEB">
      <w:pPr>
        <w:spacing w:before="60"/>
        <w:ind w:left="284" w:hanging="284"/>
        <w:rPr>
          <w:szCs w:val="22"/>
        </w:rPr>
      </w:pPr>
      <w:r w:rsidRPr="006E1CEB">
        <w:rPr>
          <w:b/>
          <w:szCs w:val="22"/>
        </w:rPr>
        <w:t>Regolith.</w:t>
      </w:r>
      <w:r w:rsidR="00536F3B">
        <w:rPr>
          <w:szCs w:val="22"/>
        </w:rPr>
        <w:t xml:space="preserve"> </w:t>
      </w:r>
      <w:r w:rsidRPr="006E1CEB">
        <w:rPr>
          <w:szCs w:val="22"/>
        </w:rPr>
        <w:t>The entire unconsolidated or secondarily re-cemented cover that overlies more coherent bedrock, that has been formed by weathering, erosion, transport and/or deposition of the older material.</w:t>
      </w:r>
    </w:p>
    <w:p w:rsidR="006E1CEB" w:rsidRPr="006E1CEB" w:rsidRDefault="006E1CEB" w:rsidP="006E1CEB">
      <w:pPr>
        <w:spacing w:before="60"/>
        <w:ind w:left="284" w:hanging="284"/>
        <w:rPr>
          <w:szCs w:val="22"/>
        </w:rPr>
      </w:pPr>
      <w:r w:rsidRPr="006E1CEB">
        <w:rPr>
          <w:b/>
          <w:szCs w:val="22"/>
        </w:rPr>
        <w:t>Regression.</w:t>
      </w:r>
      <w:r w:rsidR="00536F3B">
        <w:rPr>
          <w:szCs w:val="22"/>
        </w:rPr>
        <w:t xml:space="preserve"> </w:t>
      </w:r>
      <w:r w:rsidRPr="006E1CEB">
        <w:rPr>
          <w:szCs w:val="22"/>
        </w:rPr>
        <w:t>A term used in geology, to mean the withdrawal of the sea from a large area of land.</w:t>
      </w:r>
    </w:p>
    <w:p w:rsidR="0060665D" w:rsidRDefault="0060665D" w:rsidP="006E1CEB">
      <w:pPr>
        <w:spacing w:before="60"/>
        <w:ind w:left="284" w:hanging="284"/>
        <w:rPr>
          <w:szCs w:val="22"/>
        </w:rPr>
      </w:pPr>
      <w:r w:rsidRPr="00523717">
        <w:rPr>
          <w:b/>
          <w:szCs w:val="22"/>
        </w:rPr>
        <w:t>Regularization.</w:t>
      </w:r>
      <w:r w:rsidRPr="00523717">
        <w:rPr>
          <w:szCs w:val="22"/>
        </w:rPr>
        <w:t xml:space="preserve"> Regularization of the solution to the inversion of AEM data with a multi-layer model involves imposing smoothness constraints on the vertical variability of the conductivity. The smoothness constraint limits the variability of the subsurface conductivity model thus excluding </w:t>
      </w:r>
      <w:r>
        <w:rPr>
          <w:szCs w:val="22"/>
        </w:rPr>
        <w:t>models that are erratic</w:t>
      </w:r>
      <w:r w:rsidRPr="00523717">
        <w:rPr>
          <w:szCs w:val="22"/>
        </w:rPr>
        <w:t xml:space="preserve"> </w:t>
      </w:r>
      <w:r>
        <w:rPr>
          <w:szCs w:val="22"/>
        </w:rPr>
        <w:t xml:space="preserve">or </w:t>
      </w:r>
      <w:r w:rsidRPr="00523717">
        <w:rPr>
          <w:szCs w:val="22"/>
        </w:rPr>
        <w:t>geologically unrealistic. When the constraints are set tightly, the model becomes smoother than when the constraints are set loosely.</w:t>
      </w:r>
    </w:p>
    <w:p w:rsidR="006E1CEB" w:rsidRPr="006E1CEB" w:rsidRDefault="006E1CEB" w:rsidP="006E1CEB">
      <w:pPr>
        <w:spacing w:before="60"/>
        <w:ind w:left="284" w:hanging="284"/>
        <w:rPr>
          <w:b/>
          <w:szCs w:val="22"/>
        </w:rPr>
      </w:pPr>
      <w:r w:rsidRPr="006E1CEB">
        <w:rPr>
          <w:b/>
          <w:szCs w:val="22"/>
        </w:rPr>
        <w:t xml:space="preserve">Resistivity (ρ). </w:t>
      </w:r>
      <w:r w:rsidRPr="006E1CEB">
        <w:rPr>
          <w:szCs w:val="22"/>
        </w:rPr>
        <w:t>The strength with which the earth or a geological formation resists the flow of electricity, typically the flow induced by the primary field of the electromagnetic transmitter. Normally expressed in ohm-metres, it is the reciprocal of conductivity.</w:t>
      </w:r>
      <w:r w:rsidR="00465915">
        <w:rPr>
          <w:szCs w:val="22"/>
        </w:rPr>
        <w:t xml:space="preserve"> </w:t>
      </w:r>
    </w:p>
    <w:p w:rsidR="0060665D" w:rsidRPr="004C5A43" w:rsidRDefault="0060665D" w:rsidP="0060665D">
      <w:pPr>
        <w:spacing w:before="60"/>
        <w:ind w:left="284" w:hanging="284"/>
        <w:rPr>
          <w:szCs w:val="22"/>
        </w:rPr>
      </w:pPr>
      <w:r w:rsidRPr="00523717">
        <w:rPr>
          <w:b/>
          <w:szCs w:val="22"/>
        </w:rPr>
        <w:t>Reversible Jump Markov Chain Monte Carlo (RJ-McMC)</w:t>
      </w:r>
      <w:r>
        <w:rPr>
          <w:b/>
          <w:szCs w:val="22"/>
        </w:rPr>
        <w:t xml:space="preserve"> analysis</w:t>
      </w:r>
      <w:r w:rsidRPr="00523717">
        <w:rPr>
          <w:b/>
          <w:szCs w:val="22"/>
        </w:rPr>
        <w:t xml:space="preserve">. </w:t>
      </w:r>
      <w:r w:rsidRPr="00523717">
        <w:rPr>
          <w:szCs w:val="22"/>
        </w:rPr>
        <w:t xml:space="preserve">A computational </w:t>
      </w:r>
      <w:r>
        <w:rPr>
          <w:szCs w:val="22"/>
        </w:rPr>
        <w:t xml:space="preserve">statistical technique that can assess model sampling validity </w:t>
      </w:r>
      <w:r w:rsidRPr="00523717">
        <w:rPr>
          <w:szCs w:val="22"/>
        </w:rPr>
        <w:t>even if the number of parameters in the model is unknown.</w:t>
      </w:r>
    </w:p>
    <w:p w:rsidR="006E1CEB" w:rsidRPr="006E1CEB" w:rsidRDefault="006E1CEB" w:rsidP="006E1CEB">
      <w:pPr>
        <w:spacing w:before="60"/>
        <w:ind w:left="284" w:hanging="284"/>
        <w:rPr>
          <w:b/>
          <w:szCs w:val="22"/>
        </w:rPr>
      </w:pPr>
      <w:r w:rsidRPr="006E1CEB">
        <w:rPr>
          <w:b/>
          <w:szCs w:val="22"/>
          <w:lang w:val="en"/>
        </w:rPr>
        <w:t>Reverse Osmosis.</w:t>
      </w:r>
      <w:r w:rsidRPr="006E1CEB">
        <w:rPr>
          <w:szCs w:val="22"/>
          <w:lang w:val="en"/>
        </w:rPr>
        <w:t xml:space="preserve"> A filtration method that removes many types of molecules and ions from solutions by applying pressure to pass the solution through a selective membrane.</w:t>
      </w:r>
    </w:p>
    <w:p w:rsidR="0060665D" w:rsidRDefault="0060665D" w:rsidP="0060665D">
      <w:pPr>
        <w:spacing w:before="60"/>
        <w:ind w:left="284" w:hanging="284"/>
        <w:rPr>
          <w:szCs w:val="22"/>
          <w:lang w:val="en"/>
        </w:rPr>
      </w:pPr>
      <w:r w:rsidRPr="004C5A43">
        <w:rPr>
          <w:b/>
          <w:szCs w:val="22"/>
        </w:rPr>
        <w:t>Riedel shears.</w:t>
      </w:r>
      <w:r w:rsidR="00D039C6">
        <w:rPr>
          <w:szCs w:val="22"/>
        </w:rPr>
        <w:t xml:space="preserve"> </w:t>
      </w:r>
      <w:r w:rsidRPr="004C5A43">
        <w:rPr>
          <w:szCs w:val="22"/>
        </w:rPr>
        <w:t xml:space="preserve">Characteristic sets of small faults </w:t>
      </w:r>
      <w:r>
        <w:rPr>
          <w:szCs w:val="22"/>
        </w:rPr>
        <w:t xml:space="preserve">with various orientations, </w:t>
      </w:r>
      <w:r w:rsidRPr="004C5A43">
        <w:rPr>
          <w:szCs w:val="22"/>
        </w:rPr>
        <w:t xml:space="preserve">which occur </w:t>
      </w:r>
      <w:r w:rsidRPr="004C5A43">
        <w:rPr>
          <w:szCs w:val="22"/>
          <w:lang w:val="en"/>
        </w:rPr>
        <w:t xml:space="preserve">within the overlying cover in the early stages of strike-slip fault formation </w:t>
      </w:r>
      <w:r>
        <w:rPr>
          <w:szCs w:val="22"/>
          <w:lang w:val="en"/>
        </w:rPr>
        <w:t xml:space="preserve">and </w:t>
      </w:r>
      <w:r w:rsidRPr="004C5A43">
        <w:rPr>
          <w:szCs w:val="22"/>
          <w:lang w:val="en"/>
        </w:rPr>
        <w:t>displacement within basement rocks or where an active strike-slip zone lies within an area of continuing sedimentation.</w:t>
      </w:r>
    </w:p>
    <w:p w:rsidR="006E1CEB" w:rsidRPr="006E1CEB" w:rsidRDefault="006E1CEB" w:rsidP="006E1CEB">
      <w:pPr>
        <w:spacing w:before="60"/>
        <w:ind w:left="284" w:hanging="284"/>
        <w:rPr>
          <w:b/>
          <w:bCs/>
          <w:szCs w:val="22"/>
        </w:rPr>
      </w:pPr>
      <w:r w:rsidRPr="006E1CEB">
        <w:rPr>
          <w:b/>
          <w:bCs/>
          <w:szCs w:val="22"/>
        </w:rPr>
        <w:t xml:space="preserve">Riparian. </w:t>
      </w:r>
      <w:r w:rsidRPr="006E1CEB">
        <w:rPr>
          <w:szCs w:val="22"/>
        </w:rPr>
        <w:t>Of, on, or relating to the banks of a natural stream.</w:t>
      </w:r>
    </w:p>
    <w:p w:rsidR="006E1CEB" w:rsidRPr="006E1CEB" w:rsidRDefault="006E1CEB" w:rsidP="006E1CEB">
      <w:pPr>
        <w:spacing w:before="60"/>
        <w:ind w:left="284" w:hanging="284"/>
        <w:rPr>
          <w:b/>
          <w:szCs w:val="22"/>
        </w:rPr>
      </w:pPr>
      <w:r w:rsidRPr="006E1CEB">
        <w:rPr>
          <w:b/>
          <w:bCs/>
          <w:szCs w:val="22"/>
        </w:rPr>
        <w:t>Risk.</w:t>
      </w:r>
      <w:r w:rsidRPr="006E1CEB">
        <w:rPr>
          <w:szCs w:val="22"/>
        </w:rPr>
        <w:t xml:space="preserve"> The likelihood that harm will occur from exposure to a </w:t>
      </w:r>
      <w:r w:rsidRPr="006E1CEB">
        <w:rPr>
          <w:bCs/>
          <w:szCs w:val="22"/>
        </w:rPr>
        <w:t>hazard.</w:t>
      </w:r>
      <w:r w:rsidR="00896DBB">
        <w:rPr>
          <w:bCs/>
          <w:szCs w:val="22"/>
        </w:rPr>
        <w:t xml:space="preserve"> </w:t>
      </w:r>
      <w:r w:rsidR="00896DBB">
        <w:rPr>
          <w:szCs w:val="22"/>
        </w:rPr>
        <w:t>For example, s</w:t>
      </w:r>
      <w:r w:rsidR="00896DBB" w:rsidRPr="00F1225B">
        <w:rPr>
          <w:szCs w:val="22"/>
        </w:rPr>
        <w:t>alinity risk</w:t>
      </w:r>
      <w:r w:rsidR="00896DBB">
        <w:rPr>
          <w:szCs w:val="22"/>
        </w:rPr>
        <w:t xml:space="preserve"> </w:t>
      </w:r>
      <w:r w:rsidR="00896DBB" w:rsidRPr="004E734A">
        <w:rPr>
          <w:szCs w:val="22"/>
        </w:rPr>
        <w:t>is a measure of the chance that a salt hazard will cause harm to an a</w:t>
      </w:r>
      <w:r w:rsidR="00896DBB">
        <w:rPr>
          <w:szCs w:val="22"/>
        </w:rPr>
        <w:t>sset at some time in the future.</w:t>
      </w:r>
    </w:p>
    <w:p w:rsidR="006E1CEB" w:rsidRPr="006E1CEB" w:rsidRDefault="006E1CEB" w:rsidP="006E1CEB">
      <w:pPr>
        <w:spacing w:before="60"/>
        <w:ind w:left="284" w:hanging="284"/>
        <w:rPr>
          <w:szCs w:val="22"/>
        </w:rPr>
      </w:pPr>
      <w:r w:rsidRPr="006E1CEB">
        <w:rPr>
          <w:b/>
          <w:szCs w:val="22"/>
        </w:rPr>
        <w:t xml:space="preserve">Runoff. </w:t>
      </w:r>
      <w:r w:rsidRPr="006E1CEB">
        <w:rPr>
          <w:szCs w:val="22"/>
        </w:rPr>
        <w:t>Overland flow and steam flow of rainfall not absorbed by the soil.</w:t>
      </w:r>
    </w:p>
    <w:p w:rsidR="006E1CEB" w:rsidRPr="006E1CEB" w:rsidRDefault="006E1CEB" w:rsidP="006E1CEB">
      <w:pPr>
        <w:spacing w:before="60"/>
        <w:ind w:left="284" w:hanging="284"/>
        <w:rPr>
          <w:szCs w:val="22"/>
        </w:rPr>
      </w:pPr>
      <w:r w:rsidRPr="006E1CEB">
        <w:rPr>
          <w:b/>
          <w:szCs w:val="22"/>
        </w:rPr>
        <w:t xml:space="preserve">Salinity ingress. </w:t>
      </w:r>
      <w:r w:rsidRPr="006E1CEB">
        <w:rPr>
          <w:szCs w:val="22"/>
        </w:rPr>
        <w:t>Saline groundwater entering an area previously occupied by fresh groundwater.</w:t>
      </w:r>
    </w:p>
    <w:p w:rsidR="006E1CEB" w:rsidRPr="006E1CEB" w:rsidRDefault="006E1CEB" w:rsidP="006E1CEB">
      <w:pPr>
        <w:spacing w:before="60"/>
        <w:ind w:left="284" w:hanging="284"/>
        <w:rPr>
          <w:szCs w:val="22"/>
        </w:rPr>
      </w:pPr>
      <w:r w:rsidRPr="006E1CEB">
        <w:rPr>
          <w:b/>
          <w:szCs w:val="22"/>
        </w:rPr>
        <w:t xml:space="preserve">Salinity Up-coning. </w:t>
      </w:r>
      <w:r w:rsidRPr="006E1CEB">
        <w:rPr>
          <w:szCs w:val="22"/>
        </w:rPr>
        <w:t>The vertical rise of saline water into production wells.</w:t>
      </w:r>
    </w:p>
    <w:p w:rsidR="006E1CEB" w:rsidRPr="006E1CEB" w:rsidRDefault="006E1CEB" w:rsidP="006E1CEB">
      <w:pPr>
        <w:spacing w:before="60"/>
        <w:ind w:left="284" w:hanging="284"/>
        <w:rPr>
          <w:szCs w:val="22"/>
        </w:rPr>
      </w:pPr>
      <w:r w:rsidRPr="006E1CEB">
        <w:rPr>
          <w:b/>
          <w:szCs w:val="22"/>
        </w:rPr>
        <w:t xml:space="preserve">Salt stores. </w:t>
      </w:r>
      <w:r w:rsidRPr="006E1CEB">
        <w:rPr>
          <w:szCs w:val="22"/>
        </w:rPr>
        <w:t>Vertical and spatial distribution of soil and sediment salinity.</w:t>
      </w:r>
    </w:p>
    <w:p w:rsidR="006E1CEB" w:rsidRPr="006E1CEB" w:rsidRDefault="006E1CEB" w:rsidP="006E1CEB">
      <w:pPr>
        <w:spacing w:before="60"/>
        <w:ind w:left="284" w:hanging="284"/>
        <w:rPr>
          <w:szCs w:val="22"/>
        </w:rPr>
      </w:pPr>
      <w:r w:rsidRPr="006E1CEB">
        <w:rPr>
          <w:b/>
          <w:szCs w:val="22"/>
        </w:rPr>
        <w:t xml:space="preserve">Saturation. </w:t>
      </w:r>
      <w:r w:rsidRPr="006E1CEB">
        <w:rPr>
          <w:szCs w:val="22"/>
        </w:rPr>
        <w:t>Water fills all available pore space in sediment or soil.</w:t>
      </w:r>
    </w:p>
    <w:p w:rsidR="006E1CEB" w:rsidRPr="006E1CEB" w:rsidRDefault="006E1CEB" w:rsidP="006E1CEB">
      <w:pPr>
        <w:spacing w:before="60"/>
        <w:ind w:left="284" w:hanging="284"/>
        <w:rPr>
          <w:szCs w:val="22"/>
        </w:rPr>
      </w:pPr>
      <w:r w:rsidRPr="006E1CEB">
        <w:rPr>
          <w:b/>
          <w:szCs w:val="22"/>
        </w:rPr>
        <w:lastRenderedPageBreak/>
        <w:t xml:space="preserve">Scour Channels. </w:t>
      </w:r>
      <w:r w:rsidRPr="006E1CEB">
        <w:rPr>
          <w:szCs w:val="22"/>
        </w:rPr>
        <w:t>Floodplain channels formed by erosion, commonly relatively straight and non-depositional.</w:t>
      </w:r>
    </w:p>
    <w:p w:rsidR="006E1CEB" w:rsidRPr="006E1CEB" w:rsidRDefault="006E1CEB" w:rsidP="006E1CEB">
      <w:pPr>
        <w:spacing w:before="60"/>
        <w:ind w:left="284" w:hanging="284"/>
        <w:rPr>
          <w:b/>
          <w:szCs w:val="22"/>
        </w:rPr>
      </w:pPr>
      <w:r w:rsidRPr="006E1CEB">
        <w:rPr>
          <w:b/>
          <w:szCs w:val="22"/>
        </w:rPr>
        <w:t xml:space="preserve">Scroll bars. </w:t>
      </w:r>
      <w:r w:rsidRPr="006E1CEB">
        <w:rPr>
          <w:szCs w:val="22"/>
        </w:rPr>
        <w:t xml:space="preserve">Scroll bars are sub-parallel curving ridges found on meander point bar deposit surfaces, formed by progressive migration of a meander. Scroll bars nearest the river are the youngest. Scroll bars form a scroll tract or </w:t>
      </w:r>
      <w:r w:rsidRPr="006E1CEB">
        <w:rPr>
          <w:b/>
          <w:szCs w:val="22"/>
        </w:rPr>
        <w:t>scroll-plain</w:t>
      </w:r>
      <w:r w:rsidRPr="006E1CEB">
        <w:rPr>
          <w:szCs w:val="22"/>
        </w:rPr>
        <w:t xml:space="preserve"> tract along the river course.</w:t>
      </w:r>
    </w:p>
    <w:p w:rsidR="006E1CEB" w:rsidRPr="006E1CEB" w:rsidRDefault="006E1CEB" w:rsidP="006E1CEB">
      <w:pPr>
        <w:spacing w:before="60"/>
        <w:ind w:left="284" w:hanging="284"/>
        <w:rPr>
          <w:b/>
          <w:szCs w:val="22"/>
        </w:rPr>
      </w:pPr>
      <w:r w:rsidRPr="006E1CEB">
        <w:rPr>
          <w:b/>
          <w:szCs w:val="22"/>
        </w:rPr>
        <w:t xml:space="preserve">Secondary field. </w:t>
      </w:r>
      <w:r w:rsidRPr="006E1CEB">
        <w:rPr>
          <w:szCs w:val="22"/>
        </w:rPr>
        <w:t>The field created by conductors in the ground, as a result of electrical currents induced by the primary field from the electromagnetic transmitter. Airborne electromagnetic systems are designed to create and measure a secondary field.</w:t>
      </w:r>
    </w:p>
    <w:p w:rsidR="006E1CEB" w:rsidRPr="006E1CEB" w:rsidRDefault="006E1CEB" w:rsidP="006E1CEB">
      <w:pPr>
        <w:spacing w:before="60"/>
        <w:ind w:left="284" w:hanging="284"/>
        <w:rPr>
          <w:b/>
          <w:szCs w:val="22"/>
        </w:rPr>
      </w:pPr>
      <w:r w:rsidRPr="006E1CEB">
        <w:rPr>
          <w:b/>
          <w:szCs w:val="22"/>
        </w:rPr>
        <w:t xml:space="preserve">Semi-confined aquifer. </w:t>
      </w:r>
      <w:r w:rsidRPr="006E1CEB">
        <w:rPr>
          <w:szCs w:val="22"/>
        </w:rPr>
        <w:t>An aquifer which is partly overlain and completely underlain by impervious layers.</w:t>
      </w:r>
    </w:p>
    <w:p w:rsidR="006E1CEB" w:rsidRPr="006E1CEB" w:rsidRDefault="006E1CEB" w:rsidP="006E1CEB">
      <w:pPr>
        <w:spacing w:before="60"/>
        <w:ind w:left="284" w:hanging="284"/>
        <w:rPr>
          <w:b/>
          <w:szCs w:val="22"/>
        </w:rPr>
      </w:pPr>
      <w:r w:rsidRPr="006E1CEB">
        <w:rPr>
          <w:b/>
          <w:szCs w:val="22"/>
        </w:rPr>
        <w:t xml:space="preserve">Signal. </w:t>
      </w:r>
      <w:r w:rsidRPr="006E1CEB">
        <w:rPr>
          <w:szCs w:val="22"/>
        </w:rPr>
        <w:t>That component of a measurement that the user wants to see – the response from t</w:t>
      </w:r>
      <w:r w:rsidR="00536F3B">
        <w:rPr>
          <w:szCs w:val="22"/>
        </w:rPr>
        <w:t xml:space="preserve">he targets, from the earth, </w:t>
      </w:r>
      <w:r w:rsidR="00564741">
        <w:rPr>
          <w:szCs w:val="22"/>
        </w:rPr>
        <w:t>etc.</w:t>
      </w:r>
      <w:r w:rsidR="00536F3B">
        <w:rPr>
          <w:szCs w:val="22"/>
        </w:rPr>
        <w:t xml:space="preserve"> </w:t>
      </w:r>
      <w:r w:rsidRPr="006E1CEB">
        <w:rPr>
          <w:szCs w:val="22"/>
        </w:rPr>
        <w:t>(see also noise).</w:t>
      </w:r>
    </w:p>
    <w:p w:rsidR="006E1CEB" w:rsidRPr="006E1CEB" w:rsidRDefault="006E1CEB" w:rsidP="006E1CEB">
      <w:pPr>
        <w:spacing w:before="60"/>
        <w:ind w:left="284" w:hanging="284"/>
        <w:rPr>
          <w:b/>
          <w:szCs w:val="22"/>
        </w:rPr>
      </w:pPr>
      <w:r w:rsidRPr="006E1CEB">
        <w:rPr>
          <w:b/>
          <w:color w:val="000000"/>
          <w:szCs w:val="22"/>
        </w:rPr>
        <w:t>Sodicity.</w:t>
      </w:r>
      <w:r w:rsidRPr="006E1CEB">
        <w:rPr>
          <w:color w:val="000000"/>
          <w:szCs w:val="22"/>
        </w:rPr>
        <w:t xml:space="preserve"> A measure of the amount of available sodium in water or soil.</w:t>
      </w:r>
    </w:p>
    <w:p w:rsidR="006E1CEB" w:rsidRPr="006E1CEB" w:rsidRDefault="006E1CEB" w:rsidP="006E1CEB">
      <w:pPr>
        <w:spacing w:before="60"/>
        <w:ind w:left="284" w:hanging="284"/>
        <w:rPr>
          <w:b/>
          <w:szCs w:val="22"/>
        </w:rPr>
      </w:pPr>
      <w:r w:rsidRPr="006E1CEB">
        <w:rPr>
          <w:b/>
          <w:szCs w:val="22"/>
        </w:rPr>
        <w:t xml:space="preserve">Spectrometry. </w:t>
      </w:r>
      <w:r w:rsidRPr="006E1CEB">
        <w:rPr>
          <w:szCs w:val="22"/>
        </w:rPr>
        <w:t xml:space="preserve">Measurement across a range of energies, where amplitude and energy are defined for each measurement. In gamma-ray spectrometry, the number of gamma rays </w:t>
      </w:r>
      <w:r w:rsidR="005115E2">
        <w:rPr>
          <w:szCs w:val="22"/>
        </w:rPr>
        <w:t>is</w:t>
      </w:r>
      <w:r w:rsidRPr="006E1CEB">
        <w:rPr>
          <w:szCs w:val="22"/>
        </w:rPr>
        <w:t xml:space="preserve"> measured for each energy window, to define the spectrum.</w:t>
      </w:r>
    </w:p>
    <w:p w:rsidR="006E1CEB" w:rsidRPr="006E1CEB" w:rsidRDefault="006E1CEB" w:rsidP="006E1CEB">
      <w:pPr>
        <w:spacing w:before="60"/>
        <w:ind w:left="284" w:hanging="284"/>
        <w:rPr>
          <w:b/>
          <w:szCs w:val="22"/>
        </w:rPr>
      </w:pPr>
      <w:r w:rsidRPr="006E1CEB">
        <w:rPr>
          <w:b/>
          <w:szCs w:val="22"/>
        </w:rPr>
        <w:t xml:space="preserve">Spectrum. </w:t>
      </w:r>
      <w:r w:rsidRPr="006E1CEB">
        <w:rPr>
          <w:szCs w:val="22"/>
        </w:rPr>
        <w:t>In gamma ray spectrometry, the continuous range of energy over which gamma rays are measured. In time-domain electromagnetic surveys, the spectrum is the energy of the pulse distributed across an equivalent, continuous range of frequencies.</w:t>
      </w:r>
    </w:p>
    <w:p w:rsidR="006E1CEB" w:rsidRPr="006E1CEB" w:rsidRDefault="006E1CEB" w:rsidP="006E1CEB">
      <w:pPr>
        <w:spacing w:before="60"/>
        <w:ind w:left="284" w:hanging="284"/>
        <w:rPr>
          <w:szCs w:val="22"/>
        </w:rPr>
      </w:pPr>
      <w:r w:rsidRPr="006E1CEB">
        <w:rPr>
          <w:b/>
          <w:szCs w:val="22"/>
        </w:rPr>
        <w:t>Spring.</w:t>
      </w:r>
      <w:r w:rsidR="00536F3B">
        <w:rPr>
          <w:szCs w:val="22"/>
        </w:rPr>
        <w:t xml:space="preserve"> </w:t>
      </w:r>
      <w:r w:rsidRPr="006E1CEB">
        <w:rPr>
          <w:szCs w:val="22"/>
        </w:rPr>
        <w:t xml:space="preserve">A naturally occurring </w:t>
      </w:r>
      <w:smartTag w:uri="urn:schemas-microsoft-com:office:smarttags" w:element="PersonName">
        <w:r w:rsidRPr="006E1CEB">
          <w:rPr>
            <w:szCs w:val="22"/>
          </w:rPr>
          <w:t>groundwater</w:t>
        </w:r>
      </w:smartTag>
      <w:r w:rsidRPr="006E1CEB">
        <w:rPr>
          <w:szCs w:val="22"/>
        </w:rPr>
        <w:t xml:space="preserve"> discharge feature.</w:t>
      </w:r>
    </w:p>
    <w:p w:rsidR="0060665D" w:rsidRDefault="0060665D" w:rsidP="006E1CEB">
      <w:pPr>
        <w:spacing w:before="60"/>
        <w:ind w:left="284" w:hanging="284"/>
        <w:rPr>
          <w:szCs w:val="22"/>
          <w:lang w:val="en"/>
        </w:rPr>
      </w:pPr>
      <w:r w:rsidRPr="004C5A43">
        <w:rPr>
          <w:b/>
          <w:szCs w:val="22"/>
        </w:rPr>
        <w:t>Strike-slip Faulting.</w:t>
      </w:r>
      <w:r w:rsidR="00D039C6">
        <w:rPr>
          <w:szCs w:val="22"/>
        </w:rPr>
        <w:t xml:space="preserve"> </w:t>
      </w:r>
      <w:r w:rsidRPr="004C5A43">
        <w:rPr>
          <w:szCs w:val="22"/>
          <w:lang w:val="en"/>
        </w:rPr>
        <w:t xml:space="preserve">Where a fault surface is usually near vertical and the footwall moves laterally </w:t>
      </w:r>
      <w:r>
        <w:rPr>
          <w:szCs w:val="22"/>
          <w:lang w:val="en"/>
        </w:rPr>
        <w:t>(</w:t>
      </w:r>
      <w:r w:rsidRPr="004C5A43">
        <w:rPr>
          <w:szCs w:val="22"/>
          <w:lang w:val="en"/>
        </w:rPr>
        <w:t>either left or right</w:t>
      </w:r>
      <w:r>
        <w:rPr>
          <w:szCs w:val="22"/>
          <w:lang w:val="en"/>
        </w:rPr>
        <w:t xml:space="preserve">) </w:t>
      </w:r>
      <w:r w:rsidRPr="004C5A43">
        <w:rPr>
          <w:szCs w:val="22"/>
          <w:lang w:val="en"/>
        </w:rPr>
        <w:t xml:space="preserve">with very little vertical motion. </w:t>
      </w:r>
      <w:r w:rsidRPr="004C5A43">
        <w:rPr>
          <w:bCs/>
          <w:szCs w:val="22"/>
          <w:lang w:val="en"/>
        </w:rPr>
        <w:t>Strike-slip fault</w:t>
      </w:r>
      <w:r>
        <w:rPr>
          <w:bCs/>
          <w:szCs w:val="22"/>
          <w:lang w:val="en"/>
        </w:rPr>
        <w:t xml:space="preserve"> types are</w:t>
      </w:r>
      <w:r w:rsidRPr="004C5A43">
        <w:rPr>
          <w:szCs w:val="22"/>
          <w:lang w:val="en"/>
        </w:rPr>
        <w:t xml:space="preserve"> defined by the direction of movement of the ground on the opposite side of the fault from an observer</w:t>
      </w:r>
      <w:r>
        <w:rPr>
          <w:szCs w:val="22"/>
          <w:lang w:val="en"/>
        </w:rPr>
        <w:t xml:space="preserve"> and those </w:t>
      </w:r>
      <w:r w:rsidRPr="004C5A43">
        <w:rPr>
          <w:szCs w:val="22"/>
          <w:lang w:val="en"/>
        </w:rPr>
        <w:t xml:space="preserve">with left-lateral motion also known as </w:t>
      </w:r>
      <w:r w:rsidRPr="00CF7613">
        <w:rPr>
          <w:rStyle w:val="StyleItalic"/>
        </w:rPr>
        <w:t>sinistral</w:t>
      </w:r>
      <w:r w:rsidRPr="004C5A43">
        <w:rPr>
          <w:szCs w:val="22"/>
          <w:lang w:val="en"/>
        </w:rPr>
        <w:t xml:space="preserve"> faults and those with right-lateral motion also known as </w:t>
      </w:r>
      <w:r w:rsidRPr="00CF7613">
        <w:rPr>
          <w:rStyle w:val="StyleItalic"/>
        </w:rPr>
        <w:t>dextral</w:t>
      </w:r>
      <w:r w:rsidRPr="004C5A43">
        <w:rPr>
          <w:szCs w:val="22"/>
          <w:lang w:val="en"/>
        </w:rPr>
        <w:t xml:space="preserve"> faults. </w:t>
      </w:r>
    </w:p>
    <w:p w:rsidR="006E1CEB" w:rsidRPr="006E1CEB" w:rsidRDefault="006E1CEB" w:rsidP="006E1CEB">
      <w:pPr>
        <w:spacing w:before="60"/>
        <w:ind w:left="284" w:hanging="284"/>
        <w:rPr>
          <w:b/>
          <w:szCs w:val="22"/>
        </w:rPr>
      </w:pPr>
      <w:r w:rsidRPr="006E1CEB">
        <w:rPr>
          <w:b/>
          <w:szCs w:val="22"/>
        </w:rPr>
        <w:t xml:space="preserve">Sub-Artesian Aquifer. </w:t>
      </w:r>
      <w:r w:rsidRPr="006E1CEB">
        <w:rPr>
          <w:szCs w:val="22"/>
        </w:rPr>
        <w:t xml:space="preserve">An aquifer containing </w:t>
      </w:r>
      <w:smartTag w:uri="urn:schemas-microsoft-com:office:smarttags" w:element="PersonName">
        <w:r w:rsidRPr="006E1CEB">
          <w:rPr>
            <w:szCs w:val="22"/>
          </w:rPr>
          <w:t>groundwater</w:t>
        </w:r>
      </w:smartTag>
      <w:r w:rsidRPr="006E1CEB">
        <w:rPr>
          <w:szCs w:val="22"/>
        </w:rPr>
        <w:t xml:space="preserve"> under pressure that rises to a level greater than that at which it is first encountered, when tapped by a bore, but does not reach the surface.</w:t>
      </w:r>
    </w:p>
    <w:p w:rsidR="006E1CEB" w:rsidRPr="006E1CEB" w:rsidRDefault="006E1CEB" w:rsidP="006E1CEB">
      <w:pPr>
        <w:spacing w:before="60"/>
        <w:ind w:left="284" w:hanging="284"/>
        <w:rPr>
          <w:szCs w:val="22"/>
        </w:rPr>
      </w:pPr>
      <w:r w:rsidRPr="006E1CEB">
        <w:rPr>
          <w:b/>
          <w:szCs w:val="22"/>
        </w:rPr>
        <w:t>Sustainable</w:t>
      </w:r>
      <w:r w:rsidRPr="006E1CEB">
        <w:rPr>
          <w:szCs w:val="22"/>
        </w:rPr>
        <w:t xml:space="preserve"> </w:t>
      </w:r>
      <w:r w:rsidRPr="006E1CEB">
        <w:rPr>
          <w:b/>
          <w:szCs w:val="22"/>
        </w:rPr>
        <w:t>Yield.</w:t>
      </w:r>
      <w:r w:rsidR="00536F3B">
        <w:rPr>
          <w:szCs w:val="22"/>
        </w:rPr>
        <w:t xml:space="preserve"> </w:t>
      </w:r>
      <w:r w:rsidRPr="006E1CEB">
        <w:rPr>
          <w:szCs w:val="22"/>
        </w:rPr>
        <w:t xml:space="preserve">The level of </w:t>
      </w:r>
      <w:smartTag w:uri="urn:schemas-microsoft-com:office:smarttags" w:element="PersonName">
        <w:r w:rsidRPr="006E1CEB">
          <w:rPr>
            <w:szCs w:val="22"/>
          </w:rPr>
          <w:t>groundwater</w:t>
        </w:r>
      </w:smartTag>
      <w:r w:rsidRPr="006E1CEB">
        <w:rPr>
          <w:szCs w:val="22"/>
        </w:rPr>
        <w:t xml:space="preserve"> extraction measured over a specified planning timeframe that would, if exceeded, compromise key environmental assets, ecosystem functions or the productive base of the resource associated with the aquifer. Also referred to as the environmentally sustainable level of extraction.</w:t>
      </w:r>
    </w:p>
    <w:p w:rsidR="006E1CEB" w:rsidRPr="006E1CEB" w:rsidRDefault="006E1CEB" w:rsidP="006E1CEB">
      <w:pPr>
        <w:spacing w:before="60"/>
        <w:ind w:left="284" w:hanging="284"/>
        <w:rPr>
          <w:szCs w:val="22"/>
        </w:rPr>
      </w:pPr>
      <w:r w:rsidRPr="006E1CEB">
        <w:rPr>
          <w:b/>
          <w:szCs w:val="22"/>
        </w:rPr>
        <w:t xml:space="preserve">Swale. </w:t>
      </w:r>
      <w:r w:rsidRPr="006E1CEB">
        <w:rPr>
          <w:szCs w:val="22"/>
        </w:rPr>
        <w:t>Low point between adjacent dune crests.</w:t>
      </w:r>
    </w:p>
    <w:p w:rsidR="006E1CEB" w:rsidRPr="006E1CEB" w:rsidRDefault="006E1CEB" w:rsidP="006E1CEB">
      <w:pPr>
        <w:spacing w:before="60"/>
        <w:ind w:left="284" w:hanging="284"/>
        <w:rPr>
          <w:szCs w:val="22"/>
        </w:rPr>
      </w:pPr>
      <w:r w:rsidRPr="006E1CEB">
        <w:rPr>
          <w:b/>
          <w:szCs w:val="22"/>
        </w:rPr>
        <w:t xml:space="preserve">Tectonics. </w:t>
      </w:r>
      <w:r w:rsidRPr="006E1CEB">
        <w:rPr>
          <w:szCs w:val="22"/>
        </w:rPr>
        <w:t>The study of structures in the Earth’s crust.</w:t>
      </w:r>
    </w:p>
    <w:p w:rsidR="006E1CEB" w:rsidRPr="006E1CEB" w:rsidRDefault="006E1CEB" w:rsidP="006E1CEB">
      <w:pPr>
        <w:spacing w:before="60"/>
        <w:ind w:left="284" w:hanging="284"/>
        <w:rPr>
          <w:szCs w:val="22"/>
        </w:rPr>
      </w:pPr>
      <w:r w:rsidRPr="006E1CEB">
        <w:rPr>
          <w:b/>
          <w:szCs w:val="22"/>
        </w:rPr>
        <w:t xml:space="preserve">Tectonic inversion. </w:t>
      </w:r>
      <w:r w:rsidRPr="006E1CEB">
        <w:rPr>
          <w:szCs w:val="22"/>
          <w:lang w:val="en"/>
        </w:rPr>
        <w:t>Reactivat</w:t>
      </w:r>
      <w:r w:rsidR="005115E2">
        <w:rPr>
          <w:szCs w:val="22"/>
          <w:lang w:val="en"/>
        </w:rPr>
        <w:t>ion</w:t>
      </w:r>
      <w:r w:rsidRPr="006E1CEB">
        <w:rPr>
          <w:szCs w:val="22"/>
          <w:lang w:val="en"/>
        </w:rPr>
        <w:t xml:space="preserve"> of a fault in the opposite direction to its original movement.</w:t>
      </w:r>
    </w:p>
    <w:p w:rsidR="006E1CEB" w:rsidRPr="006E1CEB" w:rsidRDefault="006E1CEB" w:rsidP="006E1CEB">
      <w:pPr>
        <w:spacing w:before="60"/>
        <w:ind w:left="284" w:hanging="284"/>
        <w:rPr>
          <w:szCs w:val="22"/>
        </w:rPr>
      </w:pPr>
      <w:r w:rsidRPr="006E1CEB">
        <w:rPr>
          <w:b/>
          <w:szCs w:val="22"/>
        </w:rPr>
        <w:t xml:space="preserve">Thalweg. </w:t>
      </w:r>
      <w:r w:rsidRPr="006E1CEB">
        <w:rPr>
          <w:szCs w:val="22"/>
        </w:rPr>
        <w:t xml:space="preserve">The line </w:t>
      </w:r>
      <w:r w:rsidRPr="006E1CEB">
        <w:rPr>
          <w:bCs/>
          <w:szCs w:val="22"/>
        </w:rPr>
        <w:t>defining</w:t>
      </w:r>
      <w:r w:rsidRPr="006E1CEB">
        <w:rPr>
          <w:szCs w:val="22"/>
        </w:rPr>
        <w:t xml:space="preserve"> the lowest points along the length of a river bed or channel.</w:t>
      </w:r>
    </w:p>
    <w:p w:rsidR="006E1CEB" w:rsidRPr="006E1CEB" w:rsidRDefault="006E1CEB" w:rsidP="006E1CEB">
      <w:pPr>
        <w:spacing w:before="60"/>
        <w:ind w:left="284" w:hanging="284"/>
        <w:rPr>
          <w:szCs w:val="22"/>
        </w:rPr>
      </w:pPr>
      <w:r w:rsidRPr="006E1CEB">
        <w:rPr>
          <w:b/>
          <w:szCs w:val="22"/>
        </w:rPr>
        <w:t xml:space="preserve">Total Dissolved Solids (TDS). </w:t>
      </w:r>
      <w:r w:rsidRPr="006E1CEB">
        <w:rPr>
          <w:szCs w:val="22"/>
        </w:rPr>
        <w:t>The amount of material dissolved in water (mostly inor</w:t>
      </w:r>
      <w:smartTag w:uri="urn:schemas-microsoft-com:office:smarttags" w:element="PersonName">
        <w:r w:rsidRPr="006E1CEB">
          <w:rPr>
            <w:szCs w:val="22"/>
          </w:rPr>
          <w:t>ga</w:t>
        </w:r>
      </w:smartTag>
      <w:r w:rsidRPr="006E1CEB">
        <w:rPr>
          <w:szCs w:val="22"/>
        </w:rPr>
        <w:t xml:space="preserve">nic salts). </w:t>
      </w:r>
    </w:p>
    <w:p w:rsidR="0060665D" w:rsidRPr="00523717" w:rsidRDefault="0060665D" w:rsidP="0060665D">
      <w:pPr>
        <w:spacing w:before="60"/>
        <w:ind w:left="284" w:hanging="284"/>
        <w:rPr>
          <w:szCs w:val="22"/>
        </w:rPr>
      </w:pPr>
      <w:r w:rsidRPr="00523717">
        <w:rPr>
          <w:b/>
          <w:szCs w:val="22"/>
        </w:rPr>
        <w:t>Trans-disciplinary Research.</w:t>
      </w:r>
      <w:r w:rsidR="00D039C6">
        <w:rPr>
          <w:szCs w:val="22"/>
        </w:rPr>
        <w:t xml:space="preserve"> </w:t>
      </w:r>
      <w:r w:rsidRPr="00523717">
        <w:rPr>
          <w:szCs w:val="22"/>
        </w:rPr>
        <w:t xml:space="preserve">An </w:t>
      </w:r>
      <w:r w:rsidRPr="00523717">
        <w:rPr>
          <w:bCs/>
          <w:szCs w:val="22"/>
        </w:rPr>
        <w:t xml:space="preserve">integrative </w:t>
      </w:r>
      <w:r w:rsidRPr="00523717">
        <w:rPr>
          <w:szCs w:val="22"/>
        </w:rPr>
        <w:t xml:space="preserve">process in which researchers work jointly to develop and use a shared conceptual framework that </w:t>
      </w:r>
      <w:r w:rsidRPr="00523717">
        <w:rPr>
          <w:bCs/>
          <w:szCs w:val="22"/>
        </w:rPr>
        <w:t xml:space="preserve">synthesizes </w:t>
      </w:r>
      <w:r w:rsidRPr="00523717">
        <w:rPr>
          <w:szCs w:val="22"/>
        </w:rPr>
        <w:t xml:space="preserve">and </w:t>
      </w:r>
      <w:r w:rsidRPr="00523717">
        <w:rPr>
          <w:bCs/>
          <w:szCs w:val="22"/>
        </w:rPr>
        <w:t>extends</w:t>
      </w:r>
      <w:r w:rsidRPr="00523717">
        <w:rPr>
          <w:szCs w:val="22"/>
        </w:rPr>
        <w:t xml:space="preserve"> discipline-specific theories, concepts, methods, or all three to create </w:t>
      </w:r>
      <w:r w:rsidRPr="00523717">
        <w:rPr>
          <w:bCs/>
          <w:szCs w:val="22"/>
        </w:rPr>
        <w:t>new</w:t>
      </w:r>
      <w:r w:rsidRPr="00523717">
        <w:rPr>
          <w:szCs w:val="22"/>
        </w:rPr>
        <w:t xml:space="preserve"> models and language to address a common research problem.</w:t>
      </w:r>
    </w:p>
    <w:p w:rsidR="0060665D" w:rsidRPr="004C5A43" w:rsidRDefault="0060665D" w:rsidP="0060665D">
      <w:pPr>
        <w:spacing w:before="60"/>
        <w:ind w:left="284" w:hanging="284"/>
        <w:rPr>
          <w:szCs w:val="22"/>
          <w:lang w:val="en"/>
        </w:rPr>
      </w:pPr>
      <w:r>
        <w:rPr>
          <w:b/>
          <w:szCs w:val="22"/>
        </w:rPr>
        <w:t>Trans-tensional Region</w:t>
      </w:r>
      <w:r w:rsidRPr="004C5A43">
        <w:rPr>
          <w:b/>
          <w:szCs w:val="22"/>
        </w:rPr>
        <w:t>.</w:t>
      </w:r>
      <w:r w:rsidR="00D039C6">
        <w:rPr>
          <w:szCs w:val="22"/>
        </w:rPr>
        <w:t xml:space="preserve"> </w:t>
      </w:r>
      <w:r w:rsidRPr="004C5A43">
        <w:rPr>
          <w:szCs w:val="22"/>
          <w:lang w:val="en"/>
        </w:rPr>
        <w:t xml:space="preserve">An area that experiences both </w:t>
      </w:r>
      <w:r w:rsidRPr="00CF7613">
        <w:rPr>
          <w:rStyle w:val="StyleItalic"/>
        </w:rPr>
        <w:t>extensive</w:t>
      </w:r>
      <w:r w:rsidRPr="004C5A43">
        <w:rPr>
          <w:szCs w:val="22"/>
          <w:lang w:val="en"/>
        </w:rPr>
        <w:t xml:space="preserve"> and </w:t>
      </w:r>
      <w:r w:rsidRPr="00CF7613">
        <w:rPr>
          <w:rStyle w:val="StyleItalic"/>
        </w:rPr>
        <w:t>transtensive</w:t>
      </w:r>
      <w:r w:rsidRPr="004C5A43">
        <w:rPr>
          <w:szCs w:val="22"/>
          <w:lang w:val="en"/>
        </w:rPr>
        <w:t xml:space="preserve"> shear and is characterised by both extensional structures (normal faults, grabens) and strike-slip faults.</w:t>
      </w:r>
    </w:p>
    <w:p w:rsidR="006E1CEB" w:rsidRPr="006E1CEB" w:rsidRDefault="006E1CEB" w:rsidP="006E1CEB">
      <w:pPr>
        <w:spacing w:before="60"/>
        <w:ind w:left="284" w:hanging="284"/>
        <w:rPr>
          <w:b/>
          <w:szCs w:val="22"/>
        </w:rPr>
      </w:pPr>
      <w:r w:rsidRPr="006E1CEB">
        <w:rPr>
          <w:b/>
          <w:szCs w:val="22"/>
          <w:lang w:val="en-US"/>
        </w:rPr>
        <w:t>Transcurrent Fault.</w:t>
      </w:r>
      <w:r w:rsidRPr="006E1CEB">
        <w:rPr>
          <w:szCs w:val="22"/>
          <w:lang w:val="en-US"/>
        </w:rPr>
        <w:t xml:space="preserve"> A fault with a near-vertical surface that moves laterally with very little vertical motion. </w:t>
      </w:r>
      <w:r w:rsidRPr="006E1CEB">
        <w:rPr>
          <w:b/>
          <w:szCs w:val="22"/>
          <w:lang w:val="en-US"/>
        </w:rPr>
        <w:t>Sinistral faults</w:t>
      </w:r>
      <w:r w:rsidRPr="006E1CEB">
        <w:rPr>
          <w:szCs w:val="22"/>
          <w:lang w:val="en-US"/>
        </w:rPr>
        <w:t xml:space="preserve"> have left-lateral motion and </w:t>
      </w:r>
      <w:r w:rsidRPr="006E1CEB">
        <w:rPr>
          <w:b/>
          <w:szCs w:val="22"/>
          <w:lang w:val="en-US"/>
        </w:rPr>
        <w:t>dextral faults have</w:t>
      </w:r>
      <w:r w:rsidRPr="006E1CEB">
        <w:rPr>
          <w:szCs w:val="22"/>
          <w:lang w:val="en-US"/>
        </w:rPr>
        <w:t xml:space="preserve"> right-lateral motion.</w:t>
      </w:r>
    </w:p>
    <w:p w:rsidR="006E1CEB" w:rsidRPr="006E1CEB" w:rsidRDefault="006E1CEB" w:rsidP="006E1CEB">
      <w:pPr>
        <w:spacing w:before="60"/>
        <w:ind w:left="284" w:hanging="284"/>
        <w:rPr>
          <w:szCs w:val="22"/>
        </w:rPr>
      </w:pPr>
      <w:r w:rsidRPr="006E1CEB">
        <w:rPr>
          <w:b/>
          <w:szCs w:val="22"/>
        </w:rPr>
        <w:t>Transgression.</w:t>
      </w:r>
      <w:r w:rsidR="00536F3B">
        <w:rPr>
          <w:szCs w:val="22"/>
        </w:rPr>
        <w:t xml:space="preserve"> </w:t>
      </w:r>
      <w:r w:rsidRPr="006E1CEB">
        <w:rPr>
          <w:szCs w:val="22"/>
        </w:rPr>
        <w:t>A term used in geology, to mean the invasion of a large area by the sea.</w:t>
      </w:r>
    </w:p>
    <w:p w:rsidR="006E1CEB" w:rsidRPr="006E1CEB" w:rsidRDefault="006E1CEB" w:rsidP="006E1CEB">
      <w:pPr>
        <w:spacing w:before="60"/>
        <w:ind w:left="284" w:hanging="284"/>
        <w:rPr>
          <w:b/>
          <w:szCs w:val="22"/>
        </w:rPr>
      </w:pPr>
      <w:r w:rsidRPr="006E1CEB">
        <w:rPr>
          <w:b/>
          <w:szCs w:val="22"/>
        </w:rPr>
        <w:t xml:space="preserve">Transient. </w:t>
      </w:r>
      <w:r w:rsidRPr="006E1CEB">
        <w:rPr>
          <w:szCs w:val="22"/>
        </w:rPr>
        <w:t>Time-varying. Usually used to describe a very short period pulse of electromagnetic field.</w:t>
      </w:r>
    </w:p>
    <w:p w:rsidR="006E1CEB" w:rsidRPr="006E1CEB" w:rsidRDefault="006E1CEB" w:rsidP="006E1CEB">
      <w:pPr>
        <w:spacing w:before="60"/>
        <w:ind w:left="284" w:hanging="284"/>
        <w:rPr>
          <w:b/>
          <w:szCs w:val="22"/>
        </w:rPr>
      </w:pPr>
      <w:r w:rsidRPr="006E1CEB">
        <w:rPr>
          <w:b/>
          <w:szCs w:val="22"/>
        </w:rPr>
        <w:t xml:space="preserve">Transmissivity (T). </w:t>
      </w:r>
      <w:r w:rsidRPr="006E1CEB">
        <w:rPr>
          <w:szCs w:val="22"/>
        </w:rPr>
        <w:t>The capacity of a rock to transmit water under pressure. Expressed as the volume of water flowing through a cross-sectional area of an aquifer that is 1</w:t>
      </w:r>
      <w:r w:rsidR="00A72012">
        <w:rPr>
          <w:szCs w:val="22"/>
        </w:rPr>
        <w:t xml:space="preserve"> </w:t>
      </w:r>
      <w:r w:rsidRPr="006E1CEB">
        <w:rPr>
          <w:szCs w:val="22"/>
        </w:rPr>
        <w:t>m x the aquifer thickness under a hydraulic gradient of 100% in a given amount of time (usually 1 day). Transmissivity is equal to the hydraulic conductivity (K) times the aquifer thickness.</w:t>
      </w:r>
    </w:p>
    <w:p w:rsidR="006E1CEB" w:rsidRPr="006E1CEB" w:rsidRDefault="006E1CEB" w:rsidP="006E1CEB">
      <w:pPr>
        <w:spacing w:before="60"/>
        <w:ind w:left="284" w:hanging="284"/>
        <w:rPr>
          <w:szCs w:val="22"/>
        </w:rPr>
      </w:pPr>
      <w:r w:rsidRPr="006E1CEB">
        <w:rPr>
          <w:b/>
          <w:szCs w:val="22"/>
        </w:rPr>
        <w:t xml:space="preserve">Trough. </w:t>
      </w:r>
      <w:r w:rsidRPr="006E1CEB">
        <w:rPr>
          <w:szCs w:val="22"/>
        </w:rPr>
        <w:t>Elongated sedimentary basin where sediments accumulate.</w:t>
      </w:r>
    </w:p>
    <w:p w:rsidR="006E1CEB" w:rsidRPr="006E1CEB" w:rsidRDefault="006E1CEB" w:rsidP="006E1CEB">
      <w:pPr>
        <w:spacing w:before="60"/>
        <w:ind w:left="284" w:hanging="284"/>
        <w:rPr>
          <w:szCs w:val="22"/>
        </w:rPr>
      </w:pPr>
      <w:r w:rsidRPr="006E1CEB">
        <w:rPr>
          <w:b/>
          <w:szCs w:val="22"/>
        </w:rPr>
        <w:t xml:space="preserve">Turbidity. </w:t>
      </w:r>
      <w:r w:rsidRPr="006E1CEB">
        <w:rPr>
          <w:szCs w:val="22"/>
        </w:rPr>
        <w:t>Water opacity or clouding due to suspended sediment or particles.</w:t>
      </w:r>
    </w:p>
    <w:p w:rsidR="006E1CEB" w:rsidRPr="006E1CEB" w:rsidRDefault="006E1CEB" w:rsidP="006E1CEB">
      <w:pPr>
        <w:spacing w:before="60"/>
        <w:ind w:left="284" w:hanging="284"/>
        <w:rPr>
          <w:b/>
          <w:szCs w:val="22"/>
        </w:rPr>
      </w:pPr>
      <w:r w:rsidRPr="006E1CEB">
        <w:rPr>
          <w:b/>
          <w:szCs w:val="22"/>
        </w:rPr>
        <w:t xml:space="preserve">Unconfined Aquifer. </w:t>
      </w:r>
      <w:r w:rsidRPr="006E1CEB">
        <w:rPr>
          <w:szCs w:val="22"/>
        </w:rPr>
        <w:t>A type of aquifer in which the upper boundary is defined by the water table. Unconfined aquifers are recharged directly from the ground surface.</w:t>
      </w:r>
    </w:p>
    <w:p w:rsidR="0060665D" w:rsidRPr="00523717" w:rsidRDefault="0060665D" w:rsidP="0060665D">
      <w:pPr>
        <w:spacing w:before="60"/>
        <w:ind w:left="284" w:hanging="284"/>
        <w:rPr>
          <w:szCs w:val="22"/>
        </w:rPr>
      </w:pPr>
      <w:r w:rsidRPr="00523717">
        <w:rPr>
          <w:b/>
          <w:szCs w:val="22"/>
        </w:rPr>
        <w:lastRenderedPageBreak/>
        <w:t>Uni-disciplinary</w:t>
      </w:r>
      <w:r w:rsidRPr="00523717">
        <w:rPr>
          <w:szCs w:val="22"/>
        </w:rPr>
        <w:t xml:space="preserve"> </w:t>
      </w:r>
      <w:r w:rsidRPr="00523717">
        <w:rPr>
          <w:b/>
          <w:szCs w:val="22"/>
        </w:rPr>
        <w:t>Research</w:t>
      </w:r>
      <w:r w:rsidRPr="00523717">
        <w:rPr>
          <w:szCs w:val="22"/>
        </w:rPr>
        <w:t xml:space="preserve">. Researchers from a </w:t>
      </w:r>
      <w:r w:rsidRPr="00523717">
        <w:rPr>
          <w:bCs/>
          <w:szCs w:val="22"/>
        </w:rPr>
        <w:t xml:space="preserve">single discipline </w:t>
      </w:r>
      <w:r w:rsidRPr="00523717">
        <w:rPr>
          <w:szCs w:val="22"/>
        </w:rPr>
        <w:t>work together to address a common research problem.</w:t>
      </w:r>
    </w:p>
    <w:p w:rsidR="0060665D" w:rsidRDefault="0060665D" w:rsidP="0060665D">
      <w:pPr>
        <w:spacing w:before="60"/>
        <w:ind w:left="284" w:hanging="284"/>
        <w:rPr>
          <w:szCs w:val="22"/>
        </w:rPr>
      </w:pPr>
      <w:r w:rsidRPr="00523717">
        <w:rPr>
          <w:b/>
          <w:szCs w:val="22"/>
        </w:rPr>
        <w:t xml:space="preserve">Up-coning. </w:t>
      </w:r>
      <w:r w:rsidRPr="00523717">
        <w:rPr>
          <w:szCs w:val="22"/>
        </w:rPr>
        <w:t xml:space="preserve">A situation where a well, located close </w:t>
      </w:r>
      <w:r>
        <w:rPr>
          <w:szCs w:val="22"/>
        </w:rPr>
        <w:t xml:space="preserve">to </w:t>
      </w:r>
      <w:r w:rsidRPr="00523717">
        <w:rPr>
          <w:szCs w:val="22"/>
        </w:rPr>
        <w:t>saline water underlying freshwater, is pumped at a rate sufficient to cause the salt water to be drawn into the well in an upward shaped cone or mound.</w:t>
      </w:r>
    </w:p>
    <w:p w:rsidR="0060665D" w:rsidRPr="00523717" w:rsidRDefault="0060665D" w:rsidP="0060665D">
      <w:pPr>
        <w:spacing w:before="60"/>
        <w:ind w:left="284" w:hanging="284"/>
        <w:rPr>
          <w:szCs w:val="22"/>
        </w:rPr>
      </w:pPr>
      <w:r w:rsidRPr="00523717">
        <w:rPr>
          <w:b/>
          <w:szCs w:val="22"/>
        </w:rPr>
        <w:t>Vertical Aggr</w:t>
      </w:r>
      <w:r>
        <w:rPr>
          <w:b/>
          <w:szCs w:val="22"/>
        </w:rPr>
        <w:t>ad</w:t>
      </w:r>
      <w:r w:rsidRPr="00523717">
        <w:rPr>
          <w:b/>
          <w:szCs w:val="22"/>
        </w:rPr>
        <w:t>ation</w:t>
      </w:r>
      <w:r>
        <w:rPr>
          <w:b/>
          <w:szCs w:val="22"/>
        </w:rPr>
        <w:t xml:space="preserve"> or Accretion</w:t>
      </w:r>
      <w:r w:rsidRPr="00523717">
        <w:rPr>
          <w:b/>
          <w:szCs w:val="22"/>
        </w:rPr>
        <w:t>.</w:t>
      </w:r>
      <w:r w:rsidR="00D039C6">
        <w:rPr>
          <w:szCs w:val="22"/>
        </w:rPr>
        <w:t xml:space="preserve"> </w:t>
      </w:r>
      <w:r w:rsidRPr="00523717">
        <w:rPr>
          <w:szCs w:val="22"/>
        </w:rPr>
        <w:t>Deposition of overbank muds on flood plains adjacent to river channels during flood events</w:t>
      </w:r>
      <w:r>
        <w:rPr>
          <w:szCs w:val="22"/>
        </w:rPr>
        <w:t>.</w:t>
      </w:r>
    </w:p>
    <w:p w:rsidR="006E1CEB" w:rsidRPr="006E1CEB" w:rsidRDefault="006E1CEB" w:rsidP="006E1CEB">
      <w:pPr>
        <w:spacing w:before="60"/>
        <w:ind w:left="284" w:hanging="284"/>
        <w:rPr>
          <w:szCs w:val="22"/>
        </w:rPr>
      </w:pPr>
      <w:r w:rsidRPr="006E1CEB">
        <w:rPr>
          <w:b/>
          <w:szCs w:val="22"/>
        </w:rPr>
        <w:t xml:space="preserve">Vertical Infiltration. </w:t>
      </w:r>
      <w:r w:rsidRPr="006E1CEB">
        <w:rPr>
          <w:szCs w:val="22"/>
        </w:rPr>
        <w:t>Downward movement of water from the surface into soil or sediment.</w:t>
      </w:r>
    </w:p>
    <w:p w:rsidR="006E1CEB" w:rsidRPr="006E1CEB" w:rsidRDefault="006E1CEB" w:rsidP="006E1CEB">
      <w:pPr>
        <w:spacing w:before="60"/>
        <w:ind w:left="284" w:hanging="284"/>
        <w:rPr>
          <w:szCs w:val="22"/>
        </w:rPr>
      </w:pPr>
      <w:r w:rsidRPr="006E1CEB">
        <w:rPr>
          <w:b/>
          <w:szCs w:val="22"/>
        </w:rPr>
        <w:t xml:space="preserve">Waterlogging. </w:t>
      </w:r>
      <w:r w:rsidRPr="006E1CEB">
        <w:rPr>
          <w:bCs/>
          <w:szCs w:val="22"/>
        </w:rPr>
        <w:t>Permanent wetting of the surface due to groundwater rise.</w:t>
      </w:r>
    </w:p>
    <w:p w:rsidR="006E1CEB" w:rsidRPr="006E1CEB" w:rsidRDefault="006E1CEB" w:rsidP="006E1CEB">
      <w:pPr>
        <w:spacing w:before="60"/>
        <w:ind w:left="284" w:hanging="284"/>
        <w:rPr>
          <w:szCs w:val="22"/>
        </w:rPr>
      </w:pPr>
      <w:r w:rsidRPr="006E1CEB">
        <w:rPr>
          <w:b/>
          <w:szCs w:val="22"/>
        </w:rPr>
        <w:t xml:space="preserve">Well clogging. </w:t>
      </w:r>
      <w:r w:rsidRPr="006E1CEB">
        <w:rPr>
          <w:szCs w:val="22"/>
        </w:rPr>
        <w:t>Filling of sediment pores adjacent to a well due to injection of water; reduces permeability.</w:t>
      </w:r>
    </w:p>
    <w:p w:rsidR="006E1CEB" w:rsidRPr="006E1CEB" w:rsidRDefault="006E1CEB" w:rsidP="006E1CEB">
      <w:pPr>
        <w:spacing w:before="60"/>
        <w:ind w:left="284" w:hanging="284"/>
        <w:rPr>
          <w:b/>
          <w:szCs w:val="22"/>
        </w:rPr>
      </w:pPr>
      <w:r w:rsidRPr="006E1CEB">
        <w:rPr>
          <w:b/>
          <w:szCs w:val="22"/>
        </w:rPr>
        <w:t xml:space="preserve">Wetting Profile. </w:t>
      </w:r>
      <w:r w:rsidRPr="006E1CEB">
        <w:rPr>
          <w:szCs w:val="22"/>
        </w:rPr>
        <w:t>Moisture penetration depth in soil or sediment.</w:t>
      </w:r>
    </w:p>
    <w:p w:rsidR="00C21204" w:rsidRDefault="00C21204" w:rsidP="00C21204"/>
    <w:p w:rsidR="00CA3480" w:rsidRPr="00E6578A" w:rsidRDefault="00CA3480" w:rsidP="007F3F45">
      <w:pPr>
        <w:tabs>
          <w:tab w:val="num" w:pos="540"/>
        </w:tabs>
        <w:ind w:left="540" w:hanging="540"/>
        <w:rPr>
          <w:szCs w:val="22"/>
        </w:rPr>
      </w:pPr>
    </w:p>
    <w:sectPr w:rsidR="00CA3480" w:rsidRPr="00E6578A" w:rsidSect="00C6706D">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7446" w:rsidRDefault="001B7446">
      <w:r>
        <w:separator/>
      </w:r>
    </w:p>
  </w:endnote>
  <w:endnote w:type="continuationSeparator" w:id="0">
    <w:p w:rsidR="001B7446" w:rsidRDefault="001B74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Palatino">
    <w:altName w:val="Book Antiqua"/>
    <w:panose1 w:val="00000000000000000000"/>
    <w:charset w:val="00"/>
    <w:family w:val="roman"/>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Franklin Gothic Book">
    <w:altName w:val="Corbel"/>
    <w:charset w:val="00"/>
    <w:family w:val="swiss"/>
    <w:pitch w:val="variable"/>
    <w:sig w:usb0="00000001"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00"/>
    <w:family w:val="roman"/>
    <w:notTrueType/>
    <w:pitch w:val="default"/>
    <w:sig w:usb0="00000003" w:usb1="00000000" w:usb2="00000000" w:usb3="00000000" w:csb0="00000001" w:csb1="00000000"/>
  </w:font>
  <w:font w:name="Times New (W1)">
    <w:altName w:val="Times New Roman"/>
    <w:charset w:val="00"/>
    <w:family w:val="roman"/>
    <w:pitch w:val="variable"/>
    <w:sig w:usb0="20007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rsidP="0079577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7446" w:rsidRDefault="001B744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rsidP="009620A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7446" w:rsidRDefault="001B7446" w:rsidP="0039024C">
    <w:pPr>
      <w:pStyle w:val="Footer"/>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rsidP="009620A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35E2">
      <w:rPr>
        <w:rStyle w:val="PageNumber"/>
        <w:noProof/>
      </w:rPr>
      <w:t>223</w:t>
    </w:r>
    <w:r>
      <w:rPr>
        <w:rStyle w:val="PageNumber"/>
      </w:rPr>
      <w:fldChar w:fldCharType="end"/>
    </w:r>
  </w:p>
  <w:p w:rsidR="001B7446" w:rsidRDefault="001B7446" w:rsidP="0039024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Pr="00E36327" w:rsidRDefault="001B7446" w:rsidP="00C21204">
    <w:pPr>
      <w:pStyle w:val="Footer"/>
      <w:jc w:val="center"/>
    </w:pPr>
    <w:r>
      <w:rPr>
        <w:rStyle w:val="PageNumber"/>
      </w:rPr>
      <w:fldChar w:fldCharType="begin"/>
    </w:r>
    <w:r>
      <w:rPr>
        <w:rStyle w:val="PageNumber"/>
      </w:rPr>
      <w:instrText xml:space="preserve"> PAGE </w:instrText>
    </w:r>
    <w:r>
      <w:rPr>
        <w:rStyle w:val="PageNumber"/>
      </w:rPr>
      <w:fldChar w:fldCharType="separate"/>
    </w:r>
    <w:r w:rsidR="00F035E2">
      <w:rPr>
        <w:rStyle w:val="PageNumber"/>
        <w:noProof/>
      </w:rPr>
      <w:t>ii</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rsidP="0079577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35E2">
      <w:rPr>
        <w:rStyle w:val="PageNumber"/>
        <w:noProof/>
      </w:rPr>
      <w:t>xvi</w:t>
    </w:r>
    <w:r>
      <w:rPr>
        <w:rStyle w:val="PageNumber"/>
      </w:rPr>
      <w:fldChar w:fldCharType="end"/>
    </w:r>
  </w:p>
  <w:p w:rsidR="001B7446" w:rsidRPr="00E36327" w:rsidRDefault="001B7446" w:rsidP="00C21204">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rsidP="0079577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35E2">
      <w:rPr>
        <w:rStyle w:val="PageNumber"/>
        <w:noProof/>
      </w:rPr>
      <w:t>xlvi</w:t>
    </w:r>
    <w:r>
      <w:rPr>
        <w:rStyle w:val="PageNumber"/>
      </w:rPr>
      <w:fldChar w:fldCharType="end"/>
    </w:r>
  </w:p>
  <w:p w:rsidR="001B7446" w:rsidRPr="00E36327" w:rsidRDefault="001B7446" w:rsidP="00C21204">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Pr="00E36327" w:rsidRDefault="001B7446" w:rsidP="00C21204">
    <w:pPr>
      <w:pStyle w:val="Footer"/>
      <w:jc w:val="center"/>
    </w:pPr>
    <w:r>
      <w:rPr>
        <w:rStyle w:val="PageNumber"/>
      </w:rPr>
      <w:fldChar w:fldCharType="begin"/>
    </w:r>
    <w:r>
      <w:rPr>
        <w:rStyle w:val="PageNumber"/>
      </w:rPr>
      <w:instrText xml:space="preserve"> PAGE </w:instrText>
    </w:r>
    <w:r>
      <w:rPr>
        <w:rStyle w:val="PageNumber"/>
      </w:rPr>
      <w:fldChar w:fldCharType="separate"/>
    </w:r>
    <w:r w:rsidR="00F035E2">
      <w:rPr>
        <w:rStyle w:val="PageNumber"/>
        <w:noProof/>
      </w:rPr>
      <w:t>14</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Pr="00E36327" w:rsidRDefault="001B7446" w:rsidP="00C21204">
    <w:pPr>
      <w:pStyle w:val="Footer"/>
      <w:jc w:val="center"/>
    </w:pPr>
    <w:r>
      <w:rPr>
        <w:rStyle w:val="PageNumber"/>
      </w:rPr>
      <w:fldChar w:fldCharType="begin"/>
    </w:r>
    <w:r>
      <w:rPr>
        <w:rStyle w:val="PageNumber"/>
      </w:rPr>
      <w:instrText xml:space="preserve"> PAGE </w:instrText>
    </w:r>
    <w:r>
      <w:rPr>
        <w:rStyle w:val="PageNumber"/>
      </w:rPr>
      <w:fldChar w:fldCharType="separate"/>
    </w:r>
    <w:r w:rsidR="00F035E2">
      <w:rPr>
        <w:rStyle w:val="PageNumber"/>
        <w:noProof/>
      </w:rPr>
      <w:t>15</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Pr="00E36327" w:rsidRDefault="001B7446" w:rsidP="00C21204">
    <w:pPr>
      <w:pStyle w:val="Footer"/>
      <w:jc w:val="center"/>
    </w:pPr>
    <w:r>
      <w:rPr>
        <w:rStyle w:val="PageNumber"/>
      </w:rPr>
      <w:fldChar w:fldCharType="begin"/>
    </w:r>
    <w:r>
      <w:rPr>
        <w:rStyle w:val="PageNumber"/>
      </w:rPr>
      <w:instrText xml:space="preserve"> PAGE </w:instrText>
    </w:r>
    <w:r>
      <w:rPr>
        <w:rStyle w:val="PageNumber"/>
      </w:rPr>
      <w:fldChar w:fldCharType="separate"/>
    </w:r>
    <w:r w:rsidR="00F035E2">
      <w:rPr>
        <w:rStyle w:val="PageNumber"/>
        <w:noProof/>
      </w:rPr>
      <w:t>164</w:t>
    </w:r>
    <w:r>
      <w:rPr>
        <w:rStyle w:val="PageNumb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rsidP="009620A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7446" w:rsidRDefault="001B7446" w:rsidP="0039024C">
    <w:pPr>
      <w:pStyle w:val="Footer"/>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rsidP="009620A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035E2">
      <w:rPr>
        <w:rStyle w:val="PageNumber"/>
        <w:noProof/>
      </w:rPr>
      <w:t>178</w:t>
    </w:r>
    <w:r>
      <w:rPr>
        <w:rStyle w:val="PageNumber"/>
      </w:rPr>
      <w:fldChar w:fldCharType="end"/>
    </w:r>
  </w:p>
  <w:p w:rsidR="001B7446" w:rsidRDefault="001B7446" w:rsidP="0039024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7446" w:rsidRDefault="001B7446">
      <w:r>
        <w:separator/>
      </w:r>
    </w:p>
  </w:footnote>
  <w:footnote w:type="continuationSeparator" w:id="0">
    <w:p w:rsidR="001B7446" w:rsidRDefault="001B7446">
      <w:r>
        <w:continuationSeparator/>
      </w:r>
    </w:p>
  </w:footnote>
  <w:footnote w:id="1">
    <w:p w:rsidR="001B7446" w:rsidRDefault="001B7446">
      <w:pPr>
        <w:pStyle w:val="FootnoteText"/>
      </w:pPr>
      <w:r>
        <w:rPr>
          <w:rStyle w:val="FootnoteReference"/>
        </w:rPr>
        <w:footnoteRef/>
      </w:r>
      <w:r>
        <w:t xml:space="preserve"> GL stands for gigalitre which is equal to 1000 megalitres (ML) or 1 billion litres</w:t>
      </w:r>
    </w:p>
  </w:footnote>
  <w:footnote w:id="2">
    <w:p w:rsidR="001B7446" w:rsidRDefault="001B7446">
      <w:pPr>
        <w:pStyle w:val="FootnoteText"/>
      </w:pPr>
      <w:r>
        <w:rPr>
          <w:rStyle w:val="FootnoteReference"/>
        </w:rPr>
        <w:footnoteRef/>
      </w:r>
      <w:r>
        <w:t xml:space="preserve"> ka stands for kiloannum, or one thousand years ago</w:t>
      </w:r>
    </w:p>
  </w:footnote>
  <w:footnote w:id="3">
    <w:p w:rsidR="001B7446" w:rsidRDefault="001B7446">
      <w:pPr>
        <w:pStyle w:val="FootnoteText"/>
      </w:pPr>
      <w:r>
        <w:rPr>
          <w:rStyle w:val="FootnoteReference"/>
        </w:rPr>
        <w:footnoteRef/>
      </w:r>
      <w:r>
        <w:t xml:space="preserve"> </w:t>
      </w:r>
      <w:hyperlink r:id="rId1" w:history="1">
        <w:r w:rsidRPr="00A9726D">
          <w:rPr>
            <w:rStyle w:val="Hyperlink"/>
          </w:rPr>
          <w:t>http://www.bom.gov.au/climate/averages/tables/cw_047031.shtml</w:t>
        </w:r>
      </w:hyperlink>
    </w:p>
  </w:footnote>
  <w:footnote w:id="4">
    <w:p w:rsidR="001B7446" w:rsidRDefault="001B7446">
      <w:pPr>
        <w:pStyle w:val="FootnoteText"/>
      </w:pPr>
      <w:r>
        <w:rPr>
          <w:rStyle w:val="FootnoteReference"/>
        </w:rPr>
        <w:footnoteRef/>
      </w:r>
      <w:r>
        <w:t xml:space="preserve"> </w:t>
      </w:r>
      <w:r w:rsidRPr="00502F4F">
        <w:t>http://www.bom.gov.au/climate/averages/tables/cw_047019.shtml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7446" w:rsidRDefault="001B744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16AD7F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50CAADF4"/>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802518E"/>
    <w:lvl w:ilvl="0">
      <w:start w:val="1"/>
      <w:numFmt w:val="decimal"/>
      <w:pStyle w:val="ListNumber3"/>
      <w:lvlText w:val="%1."/>
      <w:lvlJc w:val="left"/>
      <w:pPr>
        <w:tabs>
          <w:tab w:val="num" w:pos="926"/>
        </w:tabs>
        <w:ind w:left="926" w:hanging="360"/>
      </w:pPr>
    </w:lvl>
  </w:abstractNum>
  <w:abstractNum w:abstractNumId="3">
    <w:nsid w:val="FFFFFF7F"/>
    <w:multiLevelType w:val="singleLevel"/>
    <w:tmpl w:val="459A92A6"/>
    <w:lvl w:ilvl="0">
      <w:start w:val="1"/>
      <w:numFmt w:val="decimal"/>
      <w:pStyle w:val="ListNumber2"/>
      <w:lvlText w:val="%1."/>
      <w:lvlJc w:val="left"/>
      <w:pPr>
        <w:tabs>
          <w:tab w:val="num" w:pos="643"/>
        </w:tabs>
        <w:ind w:left="643" w:hanging="360"/>
      </w:pPr>
    </w:lvl>
  </w:abstractNum>
  <w:abstractNum w:abstractNumId="4">
    <w:nsid w:val="FFFFFF80"/>
    <w:multiLevelType w:val="singleLevel"/>
    <w:tmpl w:val="3018884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A7C563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F48FA9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7AAE08C4"/>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91685BA"/>
    <w:lvl w:ilvl="0">
      <w:start w:val="1"/>
      <w:numFmt w:val="decimal"/>
      <w:pStyle w:val="ListNumber"/>
      <w:lvlText w:val="%1."/>
      <w:lvlJc w:val="left"/>
      <w:pPr>
        <w:tabs>
          <w:tab w:val="num" w:pos="360"/>
        </w:tabs>
        <w:ind w:left="360" w:hanging="360"/>
      </w:pPr>
    </w:lvl>
  </w:abstractNum>
  <w:abstractNum w:abstractNumId="9">
    <w:nsid w:val="FFFFFF89"/>
    <w:multiLevelType w:val="singleLevel"/>
    <w:tmpl w:val="F54294D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00000000"/>
    <w:lvl w:ilvl="0">
      <w:start w:val="1"/>
      <w:numFmt w:val="decimal"/>
      <w:pStyle w:val="Notes"/>
      <w:lvlText w:val="%1."/>
      <w:lvlJc w:val="left"/>
      <w:pPr>
        <w:tabs>
          <w:tab w:val="num" w:pos="360"/>
        </w:tabs>
        <w:ind w:left="360" w:hanging="360"/>
      </w:pPr>
    </w:lvl>
  </w:abstractNum>
  <w:abstractNum w:abstractNumId="11">
    <w:nsid w:val="03DB16EF"/>
    <w:multiLevelType w:val="hybridMultilevel"/>
    <w:tmpl w:val="FE1C1A86"/>
    <w:lvl w:ilvl="0" w:tplc="9342DEC6">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nsid w:val="03E3388A"/>
    <w:multiLevelType w:val="hybridMultilevel"/>
    <w:tmpl w:val="754EC95A"/>
    <w:lvl w:ilvl="0" w:tplc="0C09000F">
      <w:start w:val="1"/>
      <w:numFmt w:val="decimal"/>
      <w:lvlText w:val="%1."/>
      <w:lvlJc w:val="left"/>
      <w:pPr>
        <w:tabs>
          <w:tab w:val="num" w:pos="720"/>
        </w:tabs>
        <w:ind w:left="720" w:hanging="360"/>
      </w:pPr>
      <w:rPr>
        <w:rFonts w:cs="Times New Roman"/>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3">
    <w:nsid w:val="03EA6A83"/>
    <w:multiLevelType w:val="hybridMultilevel"/>
    <w:tmpl w:val="F66E7676"/>
    <w:lvl w:ilvl="0" w:tplc="100035A8">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nsid w:val="064108EC"/>
    <w:multiLevelType w:val="hybridMultilevel"/>
    <w:tmpl w:val="14E05908"/>
    <w:lvl w:ilvl="0" w:tplc="DBD299C6">
      <w:start w:val="1"/>
      <w:numFmt w:val="bullet"/>
      <w:lvlText w:val=""/>
      <w:lvlJc w:val="left"/>
      <w:pPr>
        <w:tabs>
          <w:tab w:val="num" w:pos="720"/>
        </w:tabs>
        <w:ind w:left="720" w:hanging="360"/>
      </w:pPr>
      <w:rPr>
        <w:rFonts w:ascii="Symbol" w:hAnsi="Symbol" w:hint="default"/>
      </w:rPr>
    </w:lvl>
    <w:lvl w:ilvl="1" w:tplc="FFFFFFFF">
      <w:start w:val="1"/>
      <w:numFmt w:val="lowerRoman"/>
      <w:lvlText w:val="%2."/>
      <w:lvlJc w:val="right"/>
      <w:pPr>
        <w:tabs>
          <w:tab w:val="num" w:pos="1260"/>
        </w:tabs>
        <w:ind w:left="1260" w:hanging="180"/>
      </w:pPr>
      <w:rPr>
        <w:rFonts w:hint="default"/>
      </w:r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rPr>
        <w:rFonts w:hint="default"/>
      </w:r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nsid w:val="088B7BB4"/>
    <w:multiLevelType w:val="hybridMultilevel"/>
    <w:tmpl w:val="0B9CA918"/>
    <w:lvl w:ilvl="0" w:tplc="0409001B">
      <w:start w:val="1"/>
      <w:numFmt w:val="lowerRoman"/>
      <w:lvlText w:val="%1."/>
      <w:lvlJc w:val="right"/>
      <w:pPr>
        <w:tabs>
          <w:tab w:val="num" w:pos="1980"/>
        </w:tabs>
        <w:ind w:left="1980" w:hanging="180"/>
      </w:pPr>
    </w:lvl>
    <w:lvl w:ilvl="1" w:tplc="0C090019" w:tentative="1">
      <w:start w:val="1"/>
      <w:numFmt w:val="lowerLetter"/>
      <w:lvlText w:val="%2."/>
      <w:lvlJc w:val="left"/>
      <w:pPr>
        <w:tabs>
          <w:tab w:val="num" w:pos="1620"/>
        </w:tabs>
        <w:ind w:left="1620" w:hanging="360"/>
      </w:pPr>
    </w:lvl>
    <w:lvl w:ilvl="2" w:tplc="0C09001B" w:tentative="1">
      <w:start w:val="1"/>
      <w:numFmt w:val="lowerRoman"/>
      <w:lvlText w:val="%3."/>
      <w:lvlJc w:val="right"/>
      <w:pPr>
        <w:tabs>
          <w:tab w:val="num" w:pos="2340"/>
        </w:tabs>
        <w:ind w:left="2340" w:hanging="180"/>
      </w:pPr>
    </w:lvl>
    <w:lvl w:ilvl="3" w:tplc="0C09000F" w:tentative="1">
      <w:start w:val="1"/>
      <w:numFmt w:val="decimal"/>
      <w:lvlText w:val="%4."/>
      <w:lvlJc w:val="left"/>
      <w:pPr>
        <w:tabs>
          <w:tab w:val="num" w:pos="3060"/>
        </w:tabs>
        <w:ind w:left="3060" w:hanging="360"/>
      </w:pPr>
    </w:lvl>
    <w:lvl w:ilvl="4" w:tplc="0C090019" w:tentative="1">
      <w:start w:val="1"/>
      <w:numFmt w:val="lowerLetter"/>
      <w:lvlText w:val="%5."/>
      <w:lvlJc w:val="left"/>
      <w:pPr>
        <w:tabs>
          <w:tab w:val="num" w:pos="3780"/>
        </w:tabs>
        <w:ind w:left="3780" w:hanging="360"/>
      </w:pPr>
    </w:lvl>
    <w:lvl w:ilvl="5" w:tplc="0C09001B" w:tentative="1">
      <w:start w:val="1"/>
      <w:numFmt w:val="lowerRoman"/>
      <w:lvlText w:val="%6."/>
      <w:lvlJc w:val="right"/>
      <w:pPr>
        <w:tabs>
          <w:tab w:val="num" w:pos="4500"/>
        </w:tabs>
        <w:ind w:left="4500" w:hanging="180"/>
      </w:pPr>
    </w:lvl>
    <w:lvl w:ilvl="6" w:tplc="0C09000F" w:tentative="1">
      <w:start w:val="1"/>
      <w:numFmt w:val="decimal"/>
      <w:lvlText w:val="%7."/>
      <w:lvlJc w:val="left"/>
      <w:pPr>
        <w:tabs>
          <w:tab w:val="num" w:pos="5220"/>
        </w:tabs>
        <w:ind w:left="5220" w:hanging="360"/>
      </w:pPr>
    </w:lvl>
    <w:lvl w:ilvl="7" w:tplc="0C090019" w:tentative="1">
      <w:start w:val="1"/>
      <w:numFmt w:val="lowerLetter"/>
      <w:lvlText w:val="%8."/>
      <w:lvlJc w:val="left"/>
      <w:pPr>
        <w:tabs>
          <w:tab w:val="num" w:pos="5940"/>
        </w:tabs>
        <w:ind w:left="5940" w:hanging="360"/>
      </w:pPr>
    </w:lvl>
    <w:lvl w:ilvl="8" w:tplc="0C09001B" w:tentative="1">
      <w:start w:val="1"/>
      <w:numFmt w:val="lowerRoman"/>
      <w:lvlText w:val="%9."/>
      <w:lvlJc w:val="right"/>
      <w:pPr>
        <w:tabs>
          <w:tab w:val="num" w:pos="6660"/>
        </w:tabs>
        <w:ind w:left="6660" w:hanging="180"/>
      </w:pPr>
    </w:lvl>
  </w:abstractNum>
  <w:abstractNum w:abstractNumId="16">
    <w:nsid w:val="0985708C"/>
    <w:multiLevelType w:val="hybridMultilevel"/>
    <w:tmpl w:val="F59E5966"/>
    <w:lvl w:ilvl="0" w:tplc="5046EB1E">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nsid w:val="0A173E44"/>
    <w:multiLevelType w:val="hybridMultilevel"/>
    <w:tmpl w:val="EEC0D084"/>
    <w:lvl w:ilvl="0" w:tplc="0C09000F">
      <w:start w:val="1"/>
      <w:numFmt w:val="decimal"/>
      <w:lvlText w:val="%1."/>
      <w:lvlJc w:val="left"/>
      <w:pPr>
        <w:tabs>
          <w:tab w:val="num" w:pos="1080"/>
        </w:tabs>
        <w:ind w:left="1080" w:hanging="360"/>
      </w:pPr>
    </w:lvl>
    <w:lvl w:ilvl="1" w:tplc="0C090019" w:tentative="1">
      <w:start w:val="1"/>
      <w:numFmt w:val="lowerLetter"/>
      <w:lvlText w:val="%2."/>
      <w:lvlJc w:val="left"/>
      <w:pPr>
        <w:tabs>
          <w:tab w:val="num" w:pos="1800"/>
        </w:tabs>
        <w:ind w:left="1800" w:hanging="360"/>
      </w:pPr>
    </w:lvl>
    <w:lvl w:ilvl="2" w:tplc="0C09001B" w:tentative="1">
      <w:start w:val="1"/>
      <w:numFmt w:val="lowerRoman"/>
      <w:lvlText w:val="%3."/>
      <w:lvlJc w:val="right"/>
      <w:pPr>
        <w:tabs>
          <w:tab w:val="num" w:pos="2520"/>
        </w:tabs>
        <w:ind w:left="2520" w:hanging="180"/>
      </w:p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18">
    <w:nsid w:val="10886F6E"/>
    <w:multiLevelType w:val="hybridMultilevel"/>
    <w:tmpl w:val="5CD0228E"/>
    <w:lvl w:ilvl="0" w:tplc="5046EB1E">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9">
    <w:nsid w:val="17997A3E"/>
    <w:multiLevelType w:val="multilevel"/>
    <w:tmpl w:val="2FA40D04"/>
    <w:lvl w:ilvl="0">
      <w:start w:val="2"/>
      <w:numFmt w:val="decimal"/>
      <w:lvlText w:val="%1"/>
      <w:lvlJc w:val="left"/>
      <w:pPr>
        <w:tabs>
          <w:tab w:val="num" w:pos="432"/>
        </w:tabs>
        <w:ind w:left="432" w:hanging="432"/>
      </w:pPr>
      <w:rPr>
        <w:rFonts w:hint="default"/>
      </w:rPr>
    </w:lvl>
    <w:lvl w:ilvl="1">
      <w:start w:val="1"/>
      <w:numFmt w:val="decimal"/>
      <w:pStyle w:val="StyleCaptionCharItalic"/>
      <w:lvlText w:val="%1.%2"/>
      <w:lvlJc w:val="left"/>
      <w:pPr>
        <w:tabs>
          <w:tab w:val="num" w:pos="576"/>
        </w:tabs>
        <w:ind w:left="576" w:hanging="576"/>
      </w:pPr>
      <w:rPr>
        <w:rFonts w:hint="default"/>
      </w:rPr>
    </w:lvl>
    <w:lvl w:ilvl="2">
      <w:start w:val="1"/>
      <w:numFmt w:val="decimal"/>
      <w:lvlRestart w:val="0"/>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19410B4F"/>
    <w:multiLevelType w:val="multilevel"/>
    <w:tmpl w:val="4166522E"/>
    <w:lvl w:ilvl="0">
      <w:start w:val="1"/>
      <w:numFmt w:val="decimal"/>
      <w:pStyle w:val="ReportHeading2"/>
      <w:lvlText w:val="%1."/>
      <w:lvlJc w:val="left"/>
      <w:pPr>
        <w:tabs>
          <w:tab w:val="num" w:pos="644"/>
        </w:tabs>
        <w:ind w:left="644" w:hanging="360"/>
      </w:pPr>
      <w:rPr>
        <w:rFonts w:hint="default"/>
      </w:rPr>
    </w:lvl>
    <w:lvl w:ilvl="1">
      <w:start w:val="1"/>
      <w:numFmt w:val="decimal"/>
      <w:lvlRestart w:val="0"/>
      <w:pStyle w:val="ReportHeading2"/>
      <w:isLgl/>
      <w:lvlText w:val="%1.%2 "/>
      <w:lvlJc w:val="left"/>
      <w:pPr>
        <w:tabs>
          <w:tab w:val="num" w:pos="775"/>
        </w:tabs>
        <w:ind w:left="1076" w:hanging="432"/>
      </w:pPr>
      <w:rPr>
        <w:rFonts w:hint="default"/>
      </w:rPr>
    </w:lvl>
    <w:lvl w:ilvl="2">
      <w:start w:val="1"/>
      <w:numFmt w:val="decimal"/>
      <w:lvlText w:val="%1.%2.%3."/>
      <w:lvlJc w:val="left"/>
      <w:pPr>
        <w:tabs>
          <w:tab w:val="num" w:pos="1724"/>
        </w:tabs>
        <w:ind w:left="1508" w:hanging="504"/>
      </w:pPr>
      <w:rPr>
        <w:rFonts w:hint="default"/>
      </w:rPr>
    </w:lvl>
    <w:lvl w:ilvl="3">
      <w:start w:val="1"/>
      <w:numFmt w:val="decimal"/>
      <w:lvlText w:val="%1.%2.%3.%4."/>
      <w:lvlJc w:val="left"/>
      <w:pPr>
        <w:tabs>
          <w:tab w:val="num" w:pos="2084"/>
        </w:tabs>
        <w:ind w:left="2012" w:hanging="648"/>
      </w:pPr>
      <w:rPr>
        <w:rFonts w:hint="default"/>
      </w:rPr>
    </w:lvl>
    <w:lvl w:ilvl="4">
      <w:start w:val="1"/>
      <w:numFmt w:val="decimal"/>
      <w:lvlText w:val="%1.%2.%3.%4.%5."/>
      <w:lvlJc w:val="left"/>
      <w:pPr>
        <w:tabs>
          <w:tab w:val="num" w:pos="2804"/>
        </w:tabs>
        <w:ind w:left="2516" w:hanging="792"/>
      </w:pPr>
      <w:rPr>
        <w:rFonts w:hint="default"/>
      </w:rPr>
    </w:lvl>
    <w:lvl w:ilvl="5">
      <w:start w:val="1"/>
      <w:numFmt w:val="decimal"/>
      <w:lvlText w:val="%1.%2.%3.%4.%5.%6."/>
      <w:lvlJc w:val="left"/>
      <w:pPr>
        <w:tabs>
          <w:tab w:val="num" w:pos="3164"/>
        </w:tabs>
        <w:ind w:left="3020" w:hanging="936"/>
      </w:pPr>
      <w:rPr>
        <w:rFonts w:hint="default"/>
      </w:rPr>
    </w:lvl>
    <w:lvl w:ilvl="6">
      <w:start w:val="1"/>
      <w:numFmt w:val="decimal"/>
      <w:lvlText w:val="%1.%2.%3.%4.%5.%6.%7."/>
      <w:lvlJc w:val="left"/>
      <w:pPr>
        <w:tabs>
          <w:tab w:val="num" w:pos="3884"/>
        </w:tabs>
        <w:ind w:left="3524" w:hanging="1080"/>
      </w:pPr>
      <w:rPr>
        <w:rFonts w:hint="default"/>
      </w:rPr>
    </w:lvl>
    <w:lvl w:ilvl="7">
      <w:start w:val="1"/>
      <w:numFmt w:val="decimal"/>
      <w:lvlText w:val="%1.%2.%3.%4.%5.%6.%7.%8."/>
      <w:lvlJc w:val="left"/>
      <w:pPr>
        <w:tabs>
          <w:tab w:val="num" w:pos="4244"/>
        </w:tabs>
        <w:ind w:left="4028" w:hanging="1224"/>
      </w:pPr>
      <w:rPr>
        <w:rFonts w:hint="default"/>
      </w:rPr>
    </w:lvl>
    <w:lvl w:ilvl="8">
      <w:start w:val="1"/>
      <w:numFmt w:val="decimal"/>
      <w:lvlText w:val="%1.%2.%3.%4.%5.%6.%7.%8.%9."/>
      <w:lvlJc w:val="left"/>
      <w:pPr>
        <w:tabs>
          <w:tab w:val="num" w:pos="4964"/>
        </w:tabs>
        <w:ind w:left="4604" w:hanging="1440"/>
      </w:pPr>
      <w:rPr>
        <w:rFonts w:hint="default"/>
      </w:rPr>
    </w:lvl>
  </w:abstractNum>
  <w:abstractNum w:abstractNumId="21">
    <w:nsid w:val="1A2129CF"/>
    <w:multiLevelType w:val="multilevel"/>
    <w:tmpl w:val="24FE90E8"/>
    <w:lvl w:ilvl="0">
      <w:start w:val="1"/>
      <w:numFmt w:val="decimal"/>
      <w:lvlText w:val="%1"/>
      <w:lvlJc w:val="left"/>
      <w:pPr>
        <w:tabs>
          <w:tab w:val="num" w:pos="432"/>
        </w:tabs>
        <w:ind w:left="432" w:hanging="432"/>
      </w:pPr>
      <w:rPr>
        <w:rFonts w:ascii="Arial" w:hAnsi="Arial" w:hint="default"/>
        <w:sz w:val="40"/>
        <w:szCs w:val="40"/>
      </w:rPr>
    </w:lvl>
    <w:lvl w:ilvl="1">
      <w:start w:val="1"/>
      <w:numFmt w:val="decimal"/>
      <w:lvlText w:val="%1.%2"/>
      <w:lvlJc w:val="left"/>
      <w:pPr>
        <w:tabs>
          <w:tab w:val="num" w:pos="611"/>
        </w:tabs>
        <w:ind w:left="611" w:hanging="431"/>
      </w:pPr>
      <w:rPr>
        <w:rFonts w:ascii="Arial Bold" w:hAnsi="Arial Bold" w:hint="default"/>
        <w:b/>
        <w:i w:val="0"/>
        <w:caps/>
        <w:sz w:val="22"/>
        <w:szCs w:val="22"/>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2">
    <w:nsid w:val="1CA40690"/>
    <w:multiLevelType w:val="singleLevel"/>
    <w:tmpl w:val="E5988BCE"/>
    <w:lvl w:ilvl="0">
      <w:start w:val="1"/>
      <w:numFmt w:val="bullet"/>
      <w:pStyle w:val="TableBullet"/>
      <w:lvlText w:val=""/>
      <w:lvlJc w:val="left"/>
      <w:pPr>
        <w:tabs>
          <w:tab w:val="num" w:pos="360"/>
        </w:tabs>
        <w:ind w:left="216" w:hanging="216"/>
      </w:pPr>
      <w:rPr>
        <w:rFonts w:ascii="Symbol" w:hAnsi="Symbol" w:hint="default"/>
        <w:sz w:val="16"/>
      </w:rPr>
    </w:lvl>
  </w:abstractNum>
  <w:abstractNum w:abstractNumId="23">
    <w:nsid w:val="1CBF03F3"/>
    <w:multiLevelType w:val="hybridMultilevel"/>
    <w:tmpl w:val="600ADF2A"/>
    <w:lvl w:ilvl="0" w:tplc="0409001B">
      <w:start w:val="1"/>
      <w:numFmt w:val="lowerRoman"/>
      <w:lvlText w:val="%1."/>
      <w:lvlJc w:val="right"/>
      <w:pPr>
        <w:tabs>
          <w:tab w:val="num" w:pos="1800"/>
        </w:tabs>
        <w:ind w:left="1800" w:hanging="18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4">
    <w:nsid w:val="225712AC"/>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rPr>
        <w:rFonts w:ascii="Arial" w:hAnsi="Arial"/>
        <w:sz w:val="23"/>
      </w:r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5">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26">
    <w:nsid w:val="24D24067"/>
    <w:multiLevelType w:val="multilevel"/>
    <w:tmpl w:val="CE169E9A"/>
    <w:lvl w:ilvl="0">
      <w:start w:val="1"/>
      <w:numFmt w:val="decimal"/>
      <w:pStyle w:val="Level1"/>
      <w:lvlText w:val="%1."/>
      <w:lvlJc w:val="left"/>
      <w:pPr>
        <w:tabs>
          <w:tab w:val="num" w:pos="720"/>
        </w:tabs>
        <w:ind w:left="720" w:hanging="720"/>
      </w:pPr>
      <w:rPr>
        <w:rFonts w:ascii="Arial" w:hAnsi="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Level11"/>
      <w:lvlText w:val="%1.%2"/>
      <w:lvlJc w:val="left"/>
      <w:pPr>
        <w:tabs>
          <w:tab w:val="num" w:pos="842"/>
        </w:tabs>
        <w:ind w:left="842" w:hanging="700"/>
      </w:pPr>
      <w:rPr>
        <w:rFonts w:ascii="Arial" w:hAnsi="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Levela"/>
      <w:lvlText w:val="(%3)"/>
      <w:lvlJc w:val="left"/>
      <w:pPr>
        <w:tabs>
          <w:tab w:val="num" w:pos="1440"/>
        </w:tabs>
        <w:ind w:left="1440" w:hanging="720"/>
      </w:pPr>
      <w:rPr>
        <w:rFonts w:ascii="Arial" w:hAnsi="Arial" w:cs="Arial" w:hint="default"/>
        <w:b w:val="0"/>
        <w:i w:val="0"/>
        <w:caps w:val="0"/>
        <w:strike w:val="0"/>
        <w:dstrike w:val="0"/>
        <w:vanish w:val="0"/>
        <w:color w:val="00000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Leveli"/>
      <w:lvlText w:val="(%4)"/>
      <w:lvlJc w:val="left"/>
      <w:pPr>
        <w:tabs>
          <w:tab w:val="num" w:pos="2160"/>
        </w:tabs>
        <w:ind w:left="2160" w:hanging="720"/>
      </w:pPr>
      <w:rPr>
        <w:rFonts w:ascii="Palatino" w:hAnsi="Palatino"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Letter"/>
      <w:pStyle w:val="LevelA0"/>
      <w:lvlText w:val="(%5)"/>
      <w:lvlJc w:val="left"/>
      <w:pPr>
        <w:tabs>
          <w:tab w:val="num" w:pos="2880"/>
        </w:tabs>
        <w:ind w:left="2880" w:hanging="720"/>
      </w:pPr>
      <w:rPr>
        <w:rFonts w:ascii="Palatino" w:hAnsi="Palatino"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Roman"/>
      <w:pStyle w:val="LevelI0"/>
      <w:lvlText w:val="(%6)"/>
      <w:lvlJc w:val="left"/>
      <w:pPr>
        <w:tabs>
          <w:tab w:val="num" w:pos="3600"/>
        </w:tabs>
        <w:ind w:left="3600" w:hanging="720"/>
      </w:pPr>
      <w:rPr>
        <w:rFonts w:ascii="Palatino" w:hAnsi="Palatino"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7">
    <w:nsid w:val="255E523D"/>
    <w:multiLevelType w:val="hybridMultilevel"/>
    <w:tmpl w:val="47C4900E"/>
    <w:lvl w:ilvl="0" w:tplc="0C09000F">
      <w:start w:val="1"/>
      <w:numFmt w:val="decimal"/>
      <w:lvlText w:val="%1."/>
      <w:lvlJc w:val="left"/>
      <w:pPr>
        <w:tabs>
          <w:tab w:val="num" w:pos="1080"/>
        </w:tabs>
        <w:ind w:left="1080" w:hanging="360"/>
      </w:pPr>
    </w:lvl>
    <w:lvl w:ilvl="1" w:tplc="0C090019" w:tentative="1">
      <w:start w:val="1"/>
      <w:numFmt w:val="lowerLetter"/>
      <w:lvlText w:val="%2."/>
      <w:lvlJc w:val="left"/>
      <w:pPr>
        <w:tabs>
          <w:tab w:val="num" w:pos="1800"/>
        </w:tabs>
        <w:ind w:left="1800" w:hanging="360"/>
      </w:pPr>
    </w:lvl>
    <w:lvl w:ilvl="2" w:tplc="0C09001B">
      <w:start w:val="1"/>
      <w:numFmt w:val="lowerRoman"/>
      <w:lvlText w:val="%3."/>
      <w:lvlJc w:val="right"/>
      <w:pPr>
        <w:tabs>
          <w:tab w:val="num" w:pos="2520"/>
        </w:tabs>
        <w:ind w:left="2520" w:hanging="180"/>
      </w:p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28">
    <w:nsid w:val="256B24DE"/>
    <w:multiLevelType w:val="hybridMultilevel"/>
    <w:tmpl w:val="3CE44414"/>
    <w:lvl w:ilvl="0" w:tplc="0C090001">
      <w:start w:val="1"/>
      <w:numFmt w:val="bullet"/>
      <w:lvlText w:val=""/>
      <w:lvlJc w:val="left"/>
      <w:pPr>
        <w:tabs>
          <w:tab w:val="num" w:pos="720"/>
        </w:tabs>
        <w:ind w:left="720" w:hanging="360"/>
      </w:pPr>
      <w:rPr>
        <w:rFonts w:ascii="Symbol" w:hAnsi="Symbol" w:hint="default"/>
        <w:b w:val="0"/>
        <w:i w:val="0"/>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29">
    <w:nsid w:val="29C64C13"/>
    <w:multiLevelType w:val="hybridMultilevel"/>
    <w:tmpl w:val="A7D8BCE0"/>
    <w:lvl w:ilvl="0" w:tplc="0409000F">
      <w:start w:val="1"/>
      <w:numFmt w:val="decimal"/>
      <w:lvlText w:val="%1."/>
      <w:lvlJc w:val="left"/>
      <w:pPr>
        <w:tabs>
          <w:tab w:val="num" w:pos="360"/>
        </w:tabs>
        <w:ind w:left="360" w:hanging="360"/>
      </w:pPr>
    </w:lvl>
    <w:lvl w:ilvl="1" w:tplc="960846C0">
      <w:start w:val="1"/>
      <w:numFmt w:val="bullet"/>
      <w:lvlText w:val=""/>
      <w:lvlJc w:val="left"/>
      <w:pPr>
        <w:tabs>
          <w:tab w:val="num" w:pos="1080"/>
        </w:tabs>
        <w:ind w:left="1080" w:hanging="360"/>
      </w:pPr>
      <w:rPr>
        <w:rFonts w:ascii="Symbol" w:hAnsi="Symbol" w:hint="default"/>
      </w:rPr>
    </w:lvl>
    <w:lvl w:ilvl="2" w:tplc="0409001B">
      <w:start w:val="1"/>
      <w:numFmt w:val="lowerRoman"/>
      <w:lvlText w:val="%3."/>
      <w:lvlJc w:val="right"/>
      <w:pPr>
        <w:tabs>
          <w:tab w:val="num" w:pos="1800"/>
        </w:tabs>
        <w:ind w:left="1800" w:hanging="180"/>
      </w:pPr>
    </w:lvl>
    <w:lvl w:ilvl="3" w:tplc="960846C0">
      <w:start w:val="1"/>
      <w:numFmt w:val="bullet"/>
      <w:lvlText w:val=""/>
      <w:lvlJc w:val="left"/>
      <w:pPr>
        <w:tabs>
          <w:tab w:val="num" w:pos="2520"/>
        </w:tabs>
        <w:ind w:left="2520" w:hanging="360"/>
      </w:pPr>
      <w:rPr>
        <w:rFonts w:ascii="Symbol" w:hAnsi="Symbol"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
    <w:nsid w:val="2A2D38ED"/>
    <w:multiLevelType w:val="hybridMultilevel"/>
    <w:tmpl w:val="450EABF2"/>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1">
    <w:nsid w:val="2F1202DE"/>
    <w:multiLevelType w:val="hybridMultilevel"/>
    <w:tmpl w:val="CA5E021E"/>
    <w:lvl w:ilvl="0" w:tplc="0C09000F">
      <w:start w:val="1"/>
      <w:numFmt w:val="decimal"/>
      <w:lvlText w:val="%1."/>
      <w:lvlJc w:val="left"/>
      <w:pPr>
        <w:tabs>
          <w:tab w:val="num" w:pos="360"/>
        </w:tabs>
        <w:ind w:left="360" w:hanging="360"/>
      </w:pPr>
    </w:lvl>
    <w:lvl w:ilvl="1" w:tplc="0C09000F">
      <w:start w:val="1"/>
      <w:numFmt w:val="decimal"/>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FFFFFFFF">
      <w:start w:val="1"/>
      <w:numFmt w:val="bullet"/>
      <w:lvlText w:val=""/>
      <w:lvlJc w:val="left"/>
      <w:pPr>
        <w:tabs>
          <w:tab w:val="num" w:pos="1080"/>
        </w:tabs>
        <w:ind w:left="1080" w:hanging="360"/>
      </w:pPr>
      <w:rPr>
        <w:rFonts w:ascii="Symbol" w:hAnsi="Symbol" w:hint="default"/>
      </w:rPr>
    </w:lvl>
    <w:lvl w:ilvl="4" w:tplc="FFFFFFFF">
      <w:start w:val="1"/>
      <w:numFmt w:val="bullet"/>
      <w:lvlText w:val=""/>
      <w:lvlJc w:val="left"/>
      <w:pPr>
        <w:tabs>
          <w:tab w:val="num" w:pos="1080"/>
        </w:tabs>
        <w:ind w:left="1080" w:hanging="360"/>
      </w:pPr>
      <w:rPr>
        <w:rFonts w:ascii="Symbol" w:hAnsi="Symbol" w:hint="default"/>
      </w:r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2">
    <w:nsid w:val="2FF338E8"/>
    <w:multiLevelType w:val="hybridMultilevel"/>
    <w:tmpl w:val="D5803890"/>
    <w:lvl w:ilvl="0" w:tplc="8B5017A2">
      <w:start w:val="1"/>
      <w:numFmt w:val="bullet"/>
      <w:pStyle w:val="Bulletlevel1"/>
      <w:lvlText w:val=""/>
      <w:lvlJc w:val="left"/>
      <w:pPr>
        <w:tabs>
          <w:tab w:val="num" w:pos="360"/>
        </w:tabs>
        <w:ind w:left="360" w:hanging="360"/>
      </w:pPr>
      <w:rPr>
        <w:rFonts w:ascii="Symbol" w:hAnsi="Symbol" w:hint="default"/>
        <w:sz w:val="18"/>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34">
    <w:nsid w:val="372A7501"/>
    <w:multiLevelType w:val="hybridMultilevel"/>
    <w:tmpl w:val="1FA21444"/>
    <w:lvl w:ilvl="0" w:tplc="DBD299C6">
      <w:start w:val="1"/>
      <w:numFmt w:val="bullet"/>
      <w:lvlText w:val=""/>
      <w:lvlJc w:val="left"/>
      <w:pPr>
        <w:tabs>
          <w:tab w:val="num" w:pos="720"/>
        </w:tabs>
        <w:ind w:left="720" w:hanging="360"/>
      </w:pPr>
      <w:rPr>
        <w:rFonts w:ascii="Symbol" w:hAnsi="Symbol" w:hint="default"/>
        <w:b w:val="0"/>
        <w:i w:val="0"/>
      </w:rPr>
    </w:lvl>
    <w:lvl w:ilvl="1" w:tplc="A162BC18" w:tentative="1">
      <w:start w:val="1"/>
      <w:numFmt w:val="lowerLetter"/>
      <w:lvlText w:val="%2."/>
      <w:lvlJc w:val="left"/>
      <w:pPr>
        <w:tabs>
          <w:tab w:val="num" w:pos="1440"/>
        </w:tabs>
        <w:ind w:left="1440" w:hanging="360"/>
      </w:pPr>
    </w:lvl>
    <w:lvl w:ilvl="2" w:tplc="73423A10" w:tentative="1">
      <w:start w:val="1"/>
      <w:numFmt w:val="lowerRoman"/>
      <w:lvlText w:val="%3."/>
      <w:lvlJc w:val="right"/>
      <w:pPr>
        <w:tabs>
          <w:tab w:val="num" w:pos="2160"/>
        </w:tabs>
        <w:ind w:left="2160" w:hanging="180"/>
      </w:pPr>
    </w:lvl>
    <w:lvl w:ilvl="3" w:tplc="EEAA8180" w:tentative="1">
      <w:start w:val="1"/>
      <w:numFmt w:val="decimal"/>
      <w:lvlText w:val="%4."/>
      <w:lvlJc w:val="left"/>
      <w:pPr>
        <w:tabs>
          <w:tab w:val="num" w:pos="2880"/>
        </w:tabs>
        <w:ind w:left="2880" w:hanging="360"/>
      </w:pPr>
    </w:lvl>
    <w:lvl w:ilvl="4" w:tplc="7B4CA9BE" w:tentative="1">
      <w:start w:val="1"/>
      <w:numFmt w:val="lowerLetter"/>
      <w:lvlText w:val="%5."/>
      <w:lvlJc w:val="left"/>
      <w:pPr>
        <w:tabs>
          <w:tab w:val="num" w:pos="3600"/>
        </w:tabs>
        <w:ind w:left="3600" w:hanging="360"/>
      </w:pPr>
    </w:lvl>
    <w:lvl w:ilvl="5" w:tplc="5D5C006A" w:tentative="1">
      <w:start w:val="1"/>
      <w:numFmt w:val="lowerRoman"/>
      <w:lvlText w:val="%6."/>
      <w:lvlJc w:val="right"/>
      <w:pPr>
        <w:tabs>
          <w:tab w:val="num" w:pos="4320"/>
        </w:tabs>
        <w:ind w:left="4320" w:hanging="180"/>
      </w:pPr>
    </w:lvl>
    <w:lvl w:ilvl="6" w:tplc="48962FE6" w:tentative="1">
      <w:start w:val="1"/>
      <w:numFmt w:val="decimal"/>
      <w:lvlText w:val="%7."/>
      <w:lvlJc w:val="left"/>
      <w:pPr>
        <w:tabs>
          <w:tab w:val="num" w:pos="5040"/>
        </w:tabs>
        <w:ind w:left="5040" w:hanging="360"/>
      </w:pPr>
    </w:lvl>
    <w:lvl w:ilvl="7" w:tplc="FEEAF830" w:tentative="1">
      <w:start w:val="1"/>
      <w:numFmt w:val="lowerLetter"/>
      <w:lvlText w:val="%8."/>
      <w:lvlJc w:val="left"/>
      <w:pPr>
        <w:tabs>
          <w:tab w:val="num" w:pos="5760"/>
        </w:tabs>
        <w:ind w:left="5760" w:hanging="360"/>
      </w:pPr>
    </w:lvl>
    <w:lvl w:ilvl="8" w:tplc="CC0C8044" w:tentative="1">
      <w:start w:val="1"/>
      <w:numFmt w:val="lowerRoman"/>
      <w:lvlText w:val="%9."/>
      <w:lvlJc w:val="right"/>
      <w:pPr>
        <w:tabs>
          <w:tab w:val="num" w:pos="6480"/>
        </w:tabs>
        <w:ind w:left="6480" w:hanging="180"/>
      </w:pPr>
    </w:lvl>
  </w:abstractNum>
  <w:abstractNum w:abstractNumId="35">
    <w:nsid w:val="38AF4271"/>
    <w:multiLevelType w:val="hybridMultilevel"/>
    <w:tmpl w:val="70CCA466"/>
    <w:lvl w:ilvl="0" w:tplc="DBD299C6">
      <w:start w:val="1"/>
      <w:numFmt w:val="bullet"/>
      <w:lvlText w:val=""/>
      <w:lvlJc w:val="left"/>
      <w:pPr>
        <w:tabs>
          <w:tab w:val="num" w:pos="1080"/>
        </w:tabs>
        <w:ind w:left="1080" w:hanging="360"/>
      </w:pPr>
      <w:rPr>
        <w:rFonts w:ascii="Symbol" w:hAnsi="Symbol" w:hint="default"/>
      </w:rPr>
    </w:lvl>
    <w:lvl w:ilvl="1" w:tplc="DBD299C6">
      <w:start w:val="1"/>
      <w:numFmt w:val="bullet"/>
      <w:lvlText w:val=""/>
      <w:lvlJc w:val="left"/>
      <w:pPr>
        <w:tabs>
          <w:tab w:val="num" w:pos="2517"/>
        </w:tabs>
        <w:ind w:left="2517" w:hanging="360"/>
      </w:pPr>
      <w:rPr>
        <w:rFonts w:ascii="Symbol" w:hAnsi="Symbol" w:hint="default"/>
      </w:rPr>
    </w:lvl>
    <w:lvl w:ilvl="2" w:tplc="0C090005">
      <w:start w:val="1"/>
      <w:numFmt w:val="bullet"/>
      <w:lvlText w:val=""/>
      <w:lvlJc w:val="left"/>
      <w:pPr>
        <w:tabs>
          <w:tab w:val="num" w:pos="3237"/>
        </w:tabs>
        <w:ind w:left="3237" w:hanging="360"/>
      </w:pPr>
      <w:rPr>
        <w:rFonts w:ascii="Wingdings" w:hAnsi="Wingdings" w:hint="default"/>
      </w:rPr>
    </w:lvl>
    <w:lvl w:ilvl="3" w:tplc="0C090001" w:tentative="1">
      <w:start w:val="1"/>
      <w:numFmt w:val="bullet"/>
      <w:lvlText w:val=""/>
      <w:lvlJc w:val="left"/>
      <w:pPr>
        <w:tabs>
          <w:tab w:val="num" w:pos="3957"/>
        </w:tabs>
        <w:ind w:left="3957" w:hanging="360"/>
      </w:pPr>
      <w:rPr>
        <w:rFonts w:ascii="Symbol" w:hAnsi="Symbol" w:hint="default"/>
      </w:rPr>
    </w:lvl>
    <w:lvl w:ilvl="4" w:tplc="0C090003" w:tentative="1">
      <w:start w:val="1"/>
      <w:numFmt w:val="bullet"/>
      <w:lvlText w:val="o"/>
      <w:lvlJc w:val="left"/>
      <w:pPr>
        <w:tabs>
          <w:tab w:val="num" w:pos="4677"/>
        </w:tabs>
        <w:ind w:left="4677" w:hanging="360"/>
      </w:pPr>
      <w:rPr>
        <w:rFonts w:ascii="Courier New" w:hAnsi="Courier New" w:cs="Courier New" w:hint="default"/>
      </w:rPr>
    </w:lvl>
    <w:lvl w:ilvl="5" w:tplc="0C090005" w:tentative="1">
      <w:start w:val="1"/>
      <w:numFmt w:val="bullet"/>
      <w:lvlText w:val=""/>
      <w:lvlJc w:val="left"/>
      <w:pPr>
        <w:tabs>
          <w:tab w:val="num" w:pos="5397"/>
        </w:tabs>
        <w:ind w:left="5397" w:hanging="360"/>
      </w:pPr>
      <w:rPr>
        <w:rFonts w:ascii="Wingdings" w:hAnsi="Wingdings" w:hint="default"/>
      </w:rPr>
    </w:lvl>
    <w:lvl w:ilvl="6" w:tplc="0C090001" w:tentative="1">
      <w:start w:val="1"/>
      <w:numFmt w:val="bullet"/>
      <w:lvlText w:val=""/>
      <w:lvlJc w:val="left"/>
      <w:pPr>
        <w:tabs>
          <w:tab w:val="num" w:pos="6117"/>
        </w:tabs>
        <w:ind w:left="6117" w:hanging="360"/>
      </w:pPr>
      <w:rPr>
        <w:rFonts w:ascii="Symbol" w:hAnsi="Symbol" w:hint="default"/>
      </w:rPr>
    </w:lvl>
    <w:lvl w:ilvl="7" w:tplc="0C090003" w:tentative="1">
      <w:start w:val="1"/>
      <w:numFmt w:val="bullet"/>
      <w:lvlText w:val="o"/>
      <w:lvlJc w:val="left"/>
      <w:pPr>
        <w:tabs>
          <w:tab w:val="num" w:pos="6837"/>
        </w:tabs>
        <w:ind w:left="6837" w:hanging="360"/>
      </w:pPr>
      <w:rPr>
        <w:rFonts w:ascii="Courier New" w:hAnsi="Courier New" w:cs="Courier New" w:hint="default"/>
      </w:rPr>
    </w:lvl>
    <w:lvl w:ilvl="8" w:tplc="0C090005" w:tentative="1">
      <w:start w:val="1"/>
      <w:numFmt w:val="bullet"/>
      <w:lvlText w:val=""/>
      <w:lvlJc w:val="left"/>
      <w:pPr>
        <w:tabs>
          <w:tab w:val="num" w:pos="7557"/>
        </w:tabs>
        <w:ind w:left="7557" w:hanging="360"/>
      </w:pPr>
      <w:rPr>
        <w:rFonts w:ascii="Wingdings" w:hAnsi="Wingdings" w:hint="default"/>
      </w:rPr>
    </w:lvl>
  </w:abstractNum>
  <w:abstractNum w:abstractNumId="36">
    <w:nsid w:val="38CB7A7E"/>
    <w:multiLevelType w:val="hybridMultilevel"/>
    <w:tmpl w:val="193A414C"/>
    <w:lvl w:ilvl="0" w:tplc="FFFFFFFF">
      <w:start w:val="1"/>
      <w:numFmt w:val="bullet"/>
      <w:lvlText w:val=""/>
      <w:lvlJc w:val="left"/>
      <w:pPr>
        <w:tabs>
          <w:tab w:val="num" w:pos="1080"/>
        </w:tabs>
        <w:ind w:left="1080" w:hanging="360"/>
      </w:pPr>
      <w:rPr>
        <w:rFonts w:ascii="Symbol" w:hAnsi="Symbol" w:hint="default"/>
      </w:rPr>
    </w:lvl>
    <w:lvl w:ilvl="1" w:tplc="6B44863E">
      <w:start w:val="1"/>
      <w:numFmt w:val="decimal"/>
      <w:lvlText w:val="(%2)"/>
      <w:lvlJc w:val="left"/>
      <w:pPr>
        <w:tabs>
          <w:tab w:val="num" w:pos="1440"/>
        </w:tabs>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3B143BE8"/>
    <w:multiLevelType w:val="multilevel"/>
    <w:tmpl w:val="F59E5966"/>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3C7756E0"/>
    <w:multiLevelType w:val="hybridMultilevel"/>
    <w:tmpl w:val="51E06C08"/>
    <w:lvl w:ilvl="0" w:tplc="0409001B">
      <w:start w:val="1"/>
      <w:numFmt w:val="lowerRoman"/>
      <w:lvlText w:val="%1."/>
      <w:lvlJc w:val="right"/>
      <w:pPr>
        <w:tabs>
          <w:tab w:val="num" w:pos="1800"/>
        </w:tabs>
        <w:ind w:left="1800" w:hanging="18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9">
    <w:nsid w:val="428777A0"/>
    <w:multiLevelType w:val="hybridMultilevel"/>
    <w:tmpl w:val="4A260A04"/>
    <w:lvl w:ilvl="0" w:tplc="DBD299C6">
      <w:start w:val="1"/>
      <w:numFmt w:val="bullet"/>
      <w:lvlText w:val=""/>
      <w:lvlJc w:val="left"/>
      <w:pPr>
        <w:tabs>
          <w:tab w:val="num" w:pos="1440"/>
        </w:tabs>
        <w:ind w:left="1440" w:hanging="360"/>
      </w:pPr>
      <w:rPr>
        <w:rFonts w:ascii="Symbol" w:hAnsi="Symbol" w:hint="default"/>
      </w:rPr>
    </w:lvl>
    <w:lvl w:ilvl="1" w:tplc="0C090003">
      <w:start w:val="1"/>
      <w:numFmt w:val="bullet"/>
      <w:lvlText w:val=""/>
      <w:lvlJc w:val="left"/>
      <w:pPr>
        <w:tabs>
          <w:tab w:val="num" w:pos="2160"/>
        </w:tabs>
        <w:ind w:left="2160" w:hanging="360"/>
      </w:pPr>
      <w:rPr>
        <w:rFonts w:ascii="Symbol" w:hAnsi="Symbol" w:hint="default"/>
      </w:rPr>
    </w:lvl>
    <w:lvl w:ilvl="2" w:tplc="0C090005">
      <w:start w:val="1"/>
      <w:numFmt w:val="lowerRoman"/>
      <w:lvlText w:val="%3."/>
      <w:lvlJc w:val="right"/>
      <w:pPr>
        <w:tabs>
          <w:tab w:val="num" w:pos="2880"/>
        </w:tabs>
        <w:ind w:left="2880" w:hanging="180"/>
      </w:pPr>
      <w:rPr>
        <w:rFonts w:hint="default"/>
      </w:rPr>
    </w:lvl>
    <w:lvl w:ilvl="3" w:tplc="0C090001">
      <w:start w:val="1"/>
      <w:numFmt w:val="decimal"/>
      <w:lvlText w:val="%4."/>
      <w:lvlJc w:val="left"/>
      <w:pPr>
        <w:tabs>
          <w:tab w:val="num" w:pos="3600"/>
        </w:tabs>
        <w:ind w:left="3600" w:hanging="360"/>
      </w:pPr>
      <w:rPr>
        <w:rFonts w:hint="default"/>
      </w:rPr>
    </w:lvl>
    <w:lvl w:ilvl="4" w:tplc="0C090003">
      <w:start w:val="1"/>
      <w:numFmt w:val="decimal"/>
      <w:lvlText w:val="%5."/>
      <w:lvlJc w:val="left"/>
      <w:pPr>
        <w:tabs>
          <w:tab w:val="num" w:pos="4740"/>
        </w:tabs>
        <w:ind w:left="4740" w:hanging="780"/>
      </w:pPr>
      <w:rPr>
        <w:rFonts w:hint="default"/>
      </w:rPr>
    </w:lvl>
    <w:lvl w:ilvl="5" w:tplc="0C090005" w:tentative="1">
      <w:start w:val="1"/>
      <w:numFmt w:val="lowerRoman"/>
      <w:lvlText w:val="%6."/>
      <w:lvlJc w:val="right"/>
      <w:pPr>
        <w:tabs>
          <w:tab w:val="num" w:pos="5040"/>
        </w:tabs>
        <w:ind w:left="5040" w:hanging="180"/>
      </w:pPr>
    </w:lvl>
    <w:lvl w:ilvl="6" w:tplc="0C090001" w:tentative="1">
      <w:start w:val="1"/>
      <w:numFmt w:val="decimal"/>
      <w:lvlText w:val="%7."/>
      <w:lvlJc w:val="left"/>
      <w:pPr>
        <w:tabs>
          <w:tab w:val="num" w:pos="5760"/>
        </w:tabs>
        <w:ind w:left="5760" w:hanging="360"/>
      </w:pPr>
    </w:lvl>
    <w:lvl w:ilvl="7" w:tplc="0C090003" w:tentative="1">
      <w:start w:val="1"/>
      <w:numFmt w:val="lowerLetter"/>
      <w:lvlText w:val="%8."/>
      <w:lvlJc w:val="left"/>
      <w:pPr>
        <w:tabs>
          <w:tab w:val="num" w:pos="6480"/>
        </w:tabs>
        <w:ind w:left="6480" w:hanging="360"/>
      </w:pPr>
    </w:lvl>
    <w:lvl w:ilvl="8" w:tplc="0C090005" w:tentative="1">
      <w:start w:val="1"/>
      <w:numFmt w:val="lowerRoman"/>
      <w:lvlText w:val="%9."/>
      <w:lvlJc w:val="right"/>
      <w:pPr>
        <w:tabs>
          <w:tab w:val="num" w:pos="7200"/>
        </w:tabs>
        <w:ind w:left="7200" w:hanging="180"/>
      </w:pPr>
    </w:lvl>
  </w:abstractNum>
  <w:abstractNum w:abstractNumId="40">
    <w:nsid w:val="42877F5A"/>
    <w:multiLevelType w:val="hybridMultilevel"/>
    <w:tmpl w:val="FD78B140"/>
    <w:lvl w:ilvl="0" w:tplc="FFFFFFFF">
      <w:start w:val="1"/>
      <w:numFmt w:val="bullet"/>
      <w:lvlText w:val=""/>
      <w:lvlJc w:val="left"/>
      <w:pPr>
        <w:tabs>
          <w:tab w:val="num" w:pos="1080"/>
        </w:tabs>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4494230A"/>
    <w:multiLevelType w:val="hybridMultilevel"/>
    <w:tmpl w:val="EC924E08"/>
    <w:lvl w:ilvl="0" w:tplc="0409001B">
      <w:start w:val="1"/>
      <w:numFmt w:val="lowerRoman"/>
      <w:lvlText w:val="%1."/>
      <w:lvlJc w:val="right"/>
      <w:pPr>
        <w:tabs>
          <w:tab w:val="num" w:pos="1800"/>
        </w:tabs>
        <w:ind w:left="1800" w:hanging="18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2">
    <w:nsid w:val="46C5308D"/>
    <w:multiLevelType w:val="hybridMultilevel"/>
    <w:tmpl w:val="94147074"/>
    <w:lvl w:ilvl="0" w:tplc="FDB47DB6">
      <w:start w:val="1"/>
      <w:numFmt w:val="decimal"/>
      <w:lvlText w:val="%1."/>
      <w:lvlJc w:val="left"/>
      <w:pPr>
        <w:tabs>
          <w:tab w:val="num" w:pos="720"/>
        </w:tabs>
        <w:ind w:left="720" w:hanging="360"/>
      </w:pPr>
    </w:lvl>
    <w:lvl w:ilvl="1" w:tplc="8460D9D8" w:tentative="1">
      <w:start w:val="1"/>
      <w:numFmt w:val="lowerLetter"/>
      <w:lvlText w:val="%2."/>
      <w:lvlJc w:val="left"/>
      <w:pPr>
        <w:tabs>
          <w:tab w:val="num" w:pos="1440"/>
        </w:tabs>
        <w:ind w:left="1440" w:hanging="360"/>
      </w:pPr>
    </w:lvl>
    <w:lvl w:ilvl="2" w:tplc="B246B678" w:tentative="1">
      <w:start w:val="1"/>
      <w:numFmt w:val="lowerRoman"/>
      <w:lvlText w:val="%3."/>
      <w:lvlJc w:val="right"/>
      <w:pPr>
        <w:tabs>
          <w:tab w:val="num" w:pos="2160"/>
        </w:tabs>
        <w:ind w:left="2160" w:hanging="180"/>
      </w:pPr>
    </w:lvl>
    <w:lvl w:ilvl="3" w:tplc="B92690BC" w:tentative="1">
      <w:start w:val="1"/>
      <w:numFmt w:val="decimal"/>
      <w:lvlText w:val="%4."/>
      <w:lvlJc w:val="left"/>
      <w:pPr>
        <w:tabs>
          <w:tab w:val="num" w:pos="2880"/>
        </w:tabs>
        <w:ind w:left="2880" w:hanging="360"/>
      </w:pPr>
    </w:lvl>
    <w:lvl w:ilvl="4" w:tplc="0A6C42E0" w:tentative="1">
      <w:start w:val="1"/>
      <w:numFmt w:val="lowerLetter"/>
      <w:lvlText w:val="%5."/>
      <w:lvlJc w:val="left"/>
      <w:pPr>
        <w:tabs>
          <w:tab w:val="num" w:pos="3600"/>
        </w:tabs>
        <w:ind w:left="3600" w:hanging="360"/>
      </w:pPr>
    </w:lvl>
    <w:lvl w:ilvl="5" w:tplc="03648850" w:tentative="1">
      <w:start w:val="1"/>
      <w:numFmt w:val="lowerRoman"/>
      <w:lvlText w:val="%6."/>
      <w:lvlJc w:val="right"/>
      <w:pPr>
        <w:tabs>
          <w:tab w:val="num" w:pos="4320"/>
        </w:tabs>
        <w:ind w:left="4320" w:hanging="180"/>
      </w:pPr>
    </w:lvl>
    <w:lvl w:ilvl="6" w:tplc="EF9A8A86" w:tentative="1">
      <w:start w:val="1"/>
      <w:numFmt w:val="decimal"/>
      <w:lvlText w:val="%7."/>
      <w:lvlJc w:val="left"/>
      <w:pPr>
        <w:tabs>
          <w:tab w:val="num" w:pos="5040"/>
        </w:tabs>
        <w:ind w:left="5040" w:hanging="360"/>
      </w:pPr>
    </w:lvl>
    <w:lvl w:ilvl="7" w:tplc="978E9E06" w:tentative="1">
      <w:start w:val="1"/>
      <w:numFmt w:val="lowerLetter"/>
      <w:lvlText w:val="%8."/>
      <w:lvlJc w:val="left"/>
      <w:pPr>
        <w:tabs>
          <w:tab w:val="num" w:pos="5760"/>
        </w:tabs>
        <w:ind w:left="5760" w:hanging="360"/>
      </w:pPr>
    </w:lvl>
    <w:lvl w:ilvl="8" w:tplc="BA2E0E64" w:tentative="1">
      <w:start w:val="1"/>
      <w:numFmt w:val="lowerRoman"/>
      <w:lvlText w:val="%9."/>
      <w:lvlJc w:val="right"/>
      <w:pPr>
        <w:tabs>
          <w:tab w:val="num" w:pos="6480"/>
        </w:tabs>
        <w:ind w:left="6480" w:hanging="180"/>
      </w:pPr>
    </w:lvl>
  </w:abstractNum>
  <w:abstractNum w:abstractNumId="43">
    <w:nsid w:val="48A054A1"/>
    <w:multiLevelType w:val="hybridMultilevel"/>
    <w:tmpl w:val="E4A88AAA"/>
    <w:lvl w:ilvl="0" w:tplc="0C09000F">
      <w:start w:val="1"/>
      <w:numFmt w:val="decimal"/>
      <w:lvlText w:val="%1."/>
      <w:lvlJc w:val="left"/>
      <w:pPr>
        <w:tabs>
          <w:tab w:val="num" w:pos="2160"/>
        </w:tabs>
        <w:ind w:left="2160" w:hanging="360"/>
      </w:pPr>
    </w:lvl>
    <w:lvl w:ilvl="1" w:tplc="0C090019">
      <w:start w:val="1"/>
      <w:numFmt w:val="lowerLetter"/>
      <w:lvlText w:val="%2."/>
      <w:lvlJc w:val="left"/>
      <w:pPr>
        <w:tabs>
          <w:tab w:val="num" w:pos="2880"/>
        </w:tabs>
        <w:ind w:left="2880" w:hanging="360"/>
      </w:pPr>
    </w:lvl>
    <w:lvl w:ilvl="2" w:tplc="0C09001B">
      <w:start w:val="1"/>
      <w:numFmt w:val="lowerRoman"/>
      <w:lvlText w:val="%3."/>
      <w:lvlJc w:val="right"/>
      <w:pPr>
        <w:tabs>
          <w:tab w:val="num" w:pos="3600"/>
        </w:tabs>
        <w:ind w:left="3600" w:hanging="180"/>
      </w:pPr>
    </w:lvl>
    <w:lvl w:ilvl="3" w:tplc="0C09000F" w:tentative="1">
      <w:start w:val="1"/>
      <w:numFmt w:val="decimal"/>
      <w:lvlText w:val="%4."/>
      <w:lvlJc w:val="left"/>
      <w:pPr>
        <w:tabs>
          <w:tab w:val="num" w:pos="4320"/>
        </w:tabs>
        <w:ind w:left="4320" w:hanging="360"/>
      </w:pPr>
    </w:lvl>
    <w:lvl w:ilvl="4" w:tplc="0C090019" w:tentative="1">
      <w:start w:val="1"/>
      <w:numFmt w:val="lowerLetter"/>
      <w:lvlText w:val="%5."/>
      <w:lvlJc w:val="left"/>
      <w:pPr>
        <w:tabs>
          <w:tab w:val="num" w:pos="5040"/>
        </w:tabs>
        <w:ind w:left="5040" w:hanging="360"/>
      </w:pPr>
    </w:lvl>
    <w:lvl w:ilvl="5" w:tplc="0C09001B">
      <w:start w:val="1"/>
      <w:numFmt w:val="lowerRoman"/>
      <w:lvlText w:val="%6."/>
      <w:lvlJc w:val="right"/>
      <w:pPr>
        <w:tabs>
          <w:tab w:val="num" w:pos="5760"/>
        </w:tabs>
        <w:ind w:left="5760" w:hanging="180"/>
      </w:pPr>
    </w:lvl>
    <w:lvl w:ilvl="6" w:tplc="0C09000F" w:tentative="1">
      <w:start w:val="1"/>
      <w:numFmt w:val="decimal"/>
      <w:lvlText w:val="%7."/>
      <w:lvlJc w:val="left"/>
      <w:pPr>
        <w:tabs>
          <w:tab w:val="num" w:pos="6480"/>
        </w:tabs>
        <w:ind w:left="6480" w:hanging="360"/>
      </w:pPr>
    </w:lvl>
    <w:lvl w:ilvl="7" w:tplc="0C090019" w:tentative="1">
      <w:start w:val="1"/>
      <w:numFmt w:val="lowerLetter"/>
      <w:lvlText w:val="%8."/>
      <w:lvlJc w:val="left"/>
      <w:pPr>
        <w:tabs>
          <w:tab w:val="num" w:pos="7200"/>
        </w:tabs>
        <w:ind w:left="7200" w:hanging="360"/>
      </w:pPr>
    </w:lvl>
    <w:lvl w:ilvl="8" w:tplc="0C09001B" w:tentative="1">
      <w:start w:val="1"/>
      <w:numFmt w:val="lowerRoman"/>
      <w:lvlText w:val="%9."/>
      <w:lvlJc w:val="right"/>
      <w:pPr>
        <w:tabs>
          <w:tab w:val="num" w:pos="7920"/>
        </w:tabs>
        <w:ind w:left="7920" w:hanging="180"/>
      </w:pPr>
    </w:lvl>
  </w:abstractNum>
  <w:abstractNum w:abstractNumId="44">
    <w:nsid w:val="4AC23895"/>
    <w:multiLevelType w:val="singleLevel"/>
    <w:tmpl w:val="2ABE0A84"/>
    <w:lvl w:ilvl="0">
      <w:start w:val="1"/>
      <w:numFmt w:val="bullet"/>
      <w:pStyle w:val="TableDash"/>
      <w:lvlText w:val="–"/>
      <w:lvlJc w:val="left"/>
      <w:pPr>
        <w:tabs>
          <w:tab w:val="num" w:pos="576"/>
        </w:tabs>
        <w:ind w:left="432" w:hanging="216"/>
      </w:pPr>
      <w:rPr>
        <w:rFonts w:ascii="Times New Roman" w:hAnsi="Times New Roman" w:cs="Times New Roman" w:hint="default"/>
        <w:sz w:val="20"/>
      </w:rPr>
    </w:lvl>
  </w:abstractNum>
  <w:abstractNum w:abstractNumId="45">
    <w:nsid w:val="4ADE7BF5"/>
    <w:multiLevelType w:val="hybridMultilevel"/>
    <w:tmpl w:val="44CE1032"/>
    <w:lvl w:ilvl="0" w:tplc="0C09000F">
      <w:start w:val="1"/>
      <w:numFmt w:val="decimal"/>
      <w:lvlText w:val="%1."/>
      <w:lvlJc w:val="left"/>
      <w:pPr>
        <w:tabs>
          <w:tab w:val="num" w:pos="2700"/>
        </w:tabs>
        <w:ind w:left="2700" w:hanging="360"/>
      </w:pPr>
    </w:lvl>
    <w:lvl w:ilvl="1" w:tplc="0C090019">
      <w:start w:val="1"/>
      <w:numFmt w:val="lowerLetter"/>
      <w:lvlText w:val="%2."/>
      <w:lvlJc w:val="left"/>
      <w:pPr>
        <w:tabs>
          <w:tab w:val="num" w:pos="3420"/>
        </w:tabs>
        <w:ind w:left="3420" w:hanging="360"/>
      </w:pPr>
    </w:lvl>
    <w:lvl w:ilvl="2" w:tplc="0C09001B">
      <w:start w:val="1"/>
      <w:numFmt w:val="lowerRoman"/>
      <w:lvlText w:val="%3."/>
      <w:lvlJc w:val="right"/>
      <w:pPr>
        <w:tabs>
          <w:tab w:val="num" w:pos="4140"/>
        </w:tabs>
        <w:ind w:left="4140" w:hanging="180"/>
      </w:pPr>
    </w:lvl>
    <w:lvl w:ilvl="3" w:tplc="0C09000F">
      <w:start w:val="1"/>
      <w:numFmt w:val="decimal"/>
      <w:lvlText w:val="%4."/>
      <w:lvlJc w:val="left"/>
      <w:pPr>
        <w:tabs>
          <w:tab w:val="num" w:pos="4860"/>
        </w:tabs>
        <w:ind w:left="4860" w:hanging="360"/>
      </w:pPr>
    </w:lvl>
    <w:lvl w:ilvl="4" w:tplc="0C090019">
      <w:start w:val="1"/>
      <w:numFmt w:val="lowerLetter"/>
      <w:lvlText w:val="%5."/>
      <w:lvlJc w:val="left"/>
      <w:pPr>
        <w:tabs>
          <w:tab w:val="num" w:pos="5580"/>
        </w:tabs>
        <w:ind w:left="5580" w:hanging="360"/>
      </w:pPr>
    </w:lvl>
    <w:lvl w:ilvl="5" w:tplc="0C09001B">
      <w:start w:val="1"/>
      <w:numFmt w:val="lowerRoman"/>
      <w:lvlText w:val="%6."/>
      <w:lvlJc w:val="right"/>
      <w:pPr>
        <w:tabs>
          <w:tab w:val="num" w:pos="6300"/>
        </w:tabs>
        <w:ind w:left="6300" w:hanging="180"/>
      </w:pPr>
    </w:lvl>
    <w:lvl w:ilvl="6" w:tplc="0C09000F" w:tentative="1">
      <w:start w:val="1"/>
      <w:numFmt w:val="decimal"/>
      <w:lvlText w:val="%7."/>
      <w:lvlJc w:val="left"/>
      <w:pPr>
        <w:tabs>
          <w:tab w:val="num" w:pos="7020"/>
        </w:tabs>
        <w:ind w:left="7020" w:hanging="360"/>
      </w:pPr>
    </w:lvl>
    <w:lvl w:ilvl="7" w:tplc="0C090019" w:tentative="1">
      <w:start w:val="1"/>
      <w:numFmt w:val="lowerLetter"/>
      <w:lvlText w:val="%8."/>
      <w:lvlJc w:val="left"/>
      <w:pPr>
        <w:tabs>
          <w:tab w:val="num" w:pos="7740"/>
        </w:tabs>
        <w:ind w:left="7740" w:hanging="360"/>
      </w:pPr>
    </w:lvl>
    <w:lvl w:ilvl="8" w:tplc="0C09001B" w:tentative="1">
      <w:start w:val="1"/>
      <w:numFmt w:val="lowerRoman"/>
      <w:lvlText w:val="%9."/>
      <w:lvlJc w:val="right"/>
      <w:pPr>
        <w:tabs>
          <w:tab w:val="num" w:pos="8460"/>
        </w:tabs>
        <w:ind w:left="8460" w:hanging="180"/>
      </w:pPr>
    </w:lvl>
  </w:abstractNum>
  <w:abstractNum w:abstractNumId="46">
    <w:nsid w:val="4AEE5950"/>
    <w:multiLevelType w:val="hybridMultilevel"/>
    <w:tmpl w:val="43A2F2D0"/>
    <w:lvl w:ilvl="0" w:tplc="FFFFFFFF">
      <w:start w:val="1"/>
      <w:numFmt w:val="bullet"/>
      <w:lvlText w:val=""/>
      <w:lvlJc w:val="left"/>
      <w:pPr>
        <w:tabs>
          <w:tab w:val="num" w:pos="360"/>
        </w:tabs>
        <w:ind w:left="360" w:hanging="360"/>
      </w:pPr>
      <w:rPr>
        <w:rFonts w:ascii="Symbol" w:hAnsi="Symbol"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47">
    <w:nsid w:val="4C34287D"/>
    <w:multiLevelType w:val="hybridMultilevel"/>
    <w:tmpl w:val="0B702236"/>
    <w:lvl w:ilvl="0" w:tplc="A274D614">
      <w:start w:val="1"/>
      <w:numFmt w:val="bullet"/>
      <w:lvlText w:val=""/>
      <w:lvlJc w:val="left"/>
      <w:pPr>
        <w:tabs>
          <w:tab w:val="num" w:pos="720"/>
        </w:tabs>
        <w:ind w:left="720" w:hanging="360"/>
      </w:pPr>
      <w:rPr>
        <w:rFonts w:ascii="Symbol" w:hAnsi="Symbol" w:hint="default"/>
      </w:rPr>
    </w:lvl>
    <w:lvl w:ilvl="1" w:tplc="38B4CF22" w:tentative="1">
      <w:start w:val="1"/>
      <w:numFmt w:val="lowerLetter"/>
      <w:lvlText w:val="%2."/>
      <w:lvlJc w:val="left"/>
      <w:pPr>
        <w:tabs>
          <w:tab w:val="num" w:pos="1440"/>
        </w:tabs>
        <w:ind w:left="1440" w:hanging="360"/>
      </w:pPr>
    </w:lvl>
    <w:lvl w:ilvl="2" w:tplc="E4A63774" w:tentative="1">
      <w:start w:val="1"/>
      <w:numFmt w:val="lowerRoman"/>
      <w:lvlText w:val="%3."/>
      <w:lvlJc w:val="right"/>
      <w:pPr>
        <w:tabs>
          <w:tab w:val="num" w:pos="2160"/>
        </w:tabs>
        <w:ind w:left="2160" w:hanging="180"/>
      </w:pPr>
    </w:lvl>
    <w:lvl w:ilvl="3" w:tplc="BCD279E2" w:tentative="1">
      <w:start w:val="1"/>
      <w:numFmt w:val="decimal"/>
      <w:lvlText w:val="%4."/>
      <w:lvlJc w:val="left"/>
      <w:pPr>
        <w:tabs>
          <w:tab w:val="num" w:pos="2880"/>
        </w:tabs>
        <w:ind w:left="2880" w:hanging="360"/>
      </w:pPr>
    </w:lvl>
    <w:lvl w:ilvl="4" w:tplc="68EC9A82" w:tentative="1">
      <w:start w:val="1"/>
      <w:numFmt w:val="lowerLetter"/>
      <w:lvlText w:val="%5."/>
      <w:lvlJc w:val="left"/>
      <w:pPr>
        <w:tabs>
          <w:tab w:val="num" w:pos="3600"/>
        </w:tabs>
        <w:ind w:left="3600" w:hanging="360"/>
      </w:pPr>
    </w:lvl>
    <w:lvl w:ilvl="5" w:tplc="07B4BDF8" w:tentative="1">
      <w:start w:val="1"/>
      <w:numFmt w:val="lowerRoman"/>
      <w:lvlText w:val="%6."/>
      <w:lvlJc w:val="right"/>
      <w:pPr>
        <w:tabs>
          <w:tab w:val="num" w:pos="4320"/>
        </w:tabs>
        <w:ind w:left="4320" w:hanging="180"/>
      </w:pPr>
    </w:lvl>
    <w:lvl w:ilvl="6" w:tplc="8B5CCA9A" w:tentative="1">
      <w:start w:val="1"/>
      <w:numFmt w:val="decimal"/>
      <w:lvlText w:val="%7."/>
      <w:lvlJc w:val="left"/>
      <w:pPr>
        <w:tabs>
          <w:tab w:val="num" w:pos="5040"/>
        </w:tabs>
        <w:ind w:left="5040" w:hanging="360"/>
      </w:pPr>
    </w:lvl>
    <w:lvl w:ilvl="7" w:tplc="264A2DD2" w:tentative="1">
      <w:start w:val="1"/>
      <w:numFmt w:val="lowerLetter"/>
      <w:lvlText w:val="%8."/>
      <w:lvlJc w:val="left"/>
      <w:pPr>
        <w:tabs>
          <w:tab w:val="num" w:pos="5760"/>
        </w:tabs>
        <w:ind w:left="5760" w:hanging="360"/>
      </w:pPr>
    </w:lvl>
    <w:lvl w:ilvl="8" w:tplc="440609C0" w:tentative="1">
      <w:start w:val="1"/>
      <w:numFmt w:val="lowerRoman"/>
      <w:lvlText w:val="%9."/>
      <w:lvlJc w:val="right"/>
      <w:pPr>
        <w:tabs>
          <w:tab w:val="num" w:pos="6480"/>
        </w:tabs>
        <w:ind w:left="6480" w:hanging="180"/>
      </w:pPr>
    </w:lvl>
  </w:abstractNum>
  <w:abstractNum w:abstractNumId="48">
    <w:nsid w:val="529B3F13"/>
    <w:multiLevelType w:val="hybridMultilevel"/>
    <w:tmpl w:val="1A00B776"/>
    <w:lvl w:ilvl="0" w:tplc="0409001B">
      <w:start w:val="1"/>
      <w:numFmt w:val="lowerRoman"/>
      <w:lvlText w:val="%1."/>
      <w:lvlJc w:val="right"/>
      <w:pPr>
        <w:tabs>
          <w:tab w:val="num" w:pos="1800"/>
        </w:tabs>
        <w:ind w:left="1800" w:hanging="180"/>
      </w:p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9">
    <w:nsid w:val="531465E7"/>
    <w:multiLevelType w:val="hybridMultilevel"/>
    <w:tmpl w:val="3D868BFC"/>
    <w:lvl w:ilvl="0" w:tplc="0409001B">
      <w:start w:val="1"/>
      <w:numFmt w:val="lowerRoman"/>
      <w:lvlText w:val="%1."/>
      <w:lvlJc w:val="right"/>
      <w:pPr>
        <w:tabs>
          <w:tab w:val="num" w:pos="1980"/>
        </w:tabs>
        <w:ind w:left="1980" w:hanging="180"/>
      </w:pPr>
    </w:lvl>
    <w:lvl w:ilvl="1" w:tplc="0C090019">
      <w:start w:val="1"/>
      <w:numFmt w:val="lowerLetter"/>
      <w:lvlText w:val="%2."/>
      <w:lvlJc w:val="left"/>
      <w:pPr>
        <w:tabs>
          <w:tab w:val="num" w:pos="1620"/>
        </w:tabs>
        <w:ind w:left="1620" w:hanging="360"/>
      </w:pPr>
    </w:lvl>
    <w:lvl w:ilvl="2" w:tplc="0C09001B" w:tentative="1">
      <w:start w:val="1"/>
      <w:numFmt w:val="lowerRoman"/>
      <w:lvlText w:val="%3."/>
      <w:lvlJc w:val="right"/>
      <w:pPr>
        <w:tabs>
          <w:tab w:val="num" w:pos="2340"/>
        </w:tabs>
        <w:ind w:left="2340" w:hanging="180"/>
      </w:pPr>
    </w:lvl>
    <w:lvl w:ilvl="3" w:tplc="0C09000F" w:tentative="1">
      <w:start w:val="1"/>
      <w:numFmt w:val="decimal"/>
      <w:lvlText w:val="%4."/>
      <w:lvlJc w:val="left"/>
      <w:pPr>
        <w:tabs>
          <w:tab w:val="num" w:pos="3060"/>
        </w:tabs>
        <w:ind w:left="3060" w:hanging="360"/>
      </w:pPr>
    </w:lvl>
    <w:lvl w:ilvl="4" w:tplc="0C090019" w:tentative="1">
      <w:start w:val="1"/>
      <w:numFmt w:val="lowerLetter"/>
      <w:lvlText w:val="%5."/>
      <w:lvlJc w:val="left"/>
      <w:pPr>
        <w:tabs>
          <w:tab w:val="num" w:pos="3780"/>
        </w:tabs>
        <w:ind w:left="3780" w:hanging="360"/>
      </w:pPr>
    </w:lvl>
    <w:lvl w:ilvl="5" w:tplc="0C09001B" w:tentative="1">
      <w:start w:val="1"/>
      <w:numFmt w:val="lowerRoman"/>
      <w:lvlText w:val="%6."/>
      <w:lvlJc w:val="right"/>
      <w:pPr>
        <w:tabs>
          <w:tab w:val="num" w:pos="4500"/>
        </w:tabs>
        <w:ind w:left="4500" w:hanging="180"/>
      </w:pPr>
    </w:lvl>
    <w:lvl w:ilvl="6" w:tplc="0C09000F" w:tentative="1">
      <w:start w:val="1"/>
      <w:numFmt w:val="decimal"/>
      <w:lvlText w:val="%7."/>
      <w:lvlJc w:val="left"/>
      <w:pPr>
        <w:tabs>
          <w:tab w:val="num" w:pos="5220"/>
        </w:tabs>
        <w:ind w:left="5220" w:hanging="360"/>
      </w:pPr>
    </w:lvl>
    <w:lvl w:ilvl="7" w:tplc="0C090019" w:tentative="1">
      <w:start w:val="1"/>
      <w:numFmt w:val="lowerLetter"/>
      <w:lvlText w:val="%8."/>
      <w:lvlJc w:val="left"/>
      <w:pPr>
        <w:tabs>
          <w:tab w:val="num" w:pos="5940"/>
        </w:tabs>
        <w:ind w:left="5940" w:hanging="360"/>
      </w:pPr>
    </w:lvl>
    <w:lvl w:ilvl="8" w:tplc="0C09001B" w:tentative="1">
      <w:start w:val="1"/>
      <w:numFmt w:val="lowerRoman"/>
      <w:lvlText w:val="%9."/>
      <w:lvlJc w:val="right"/>
      <w:pPr>
        <w:tabs>
          <w:tab w:val="num" w:pos="6660"/>
        </w:tabs>
        <w:ind w:left="6660" w:hanging="180"/>
      </w:pPr>
    </w:lvl>
  </w:abstractNum>
  <w:abstractNum w:abstractNumId="50">
    <w:nsid w:val="53233340"/>
    <w:multiLevelType w:val="hybridMultilevel"/>
    <w:tmpl w:val="7B3C229C"/>
    <w:lvl w:ilvl="0" w:tplc="FFFFFFFF">
      <w:start w:val="1"/>
      <w:numFmt w:val="bullet"/>
      <w:lvlText w:val=""/>
      <w:lvlJc w:val="left"/>
      <w:pPr>
        <w:tabs>
          <w:tab w:val="num" w:pos="720"/>
        </w:tabs>
        <w:ind w:left="720" w:hanging="360"/>
      </w:pPr>
      <w:rPr>
        <w:rFonts w:ascii="Symbol" w:hAnsi="Symbol" w:hint="default"/>
        <w:b w:val="0"/>
        <w:i w:val="0"/>
      </w:rPr>
    </w:lvl>
    <w:lvl w:ilvl="1" w:tplc="0C090019" w:tentative="1">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1">
    <w:nsid w:val="536C0CD3"/>
    <w:multiLevelType w:val="hybridMultilevel"/>
    <w:tmpl w:val="61080948"/>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2">
    <w:nsid w:val="55AC61F1"/>
    <w:multiLevelType w:val="hybridMultilevel"/>
    <w:tmpl w:val="E6A611E4"/>
    <w:lvl w:ilvl="0" w:tplc="DBD299C6">
      <w:start w:val="1"/>
      <w:numFmt w:val="bullet"/>
      <w:lvlText w:val=""/>
      <w:lvlJc w:val="left"/>
      <w:pPr>
        <w:tabs>
          <w:tab w:val="num" w:pos="720"/>
        </w:tabs>
        <w:ind w:left="720" w:hanging="360"/>
      </w:pPr>
      <w:rPr>
        <w:rFonts w:ascii="Symbol" w:hAnsi="Symbol" w:hint="default"/>
      </w:rPr>
    </w:lvl>
    <w:lvl w:ilvl="1" w:tplc="BB06766A">
      <w:numFmt w:val="bullet"/>
      <w:lvlText w:val="-"/>
      <w:lvlJc w:val="left"/>
      <w:pPr>
        <w:tabs>
          <w:tab w:val="num" w:pos="1950"/>
        </w:tabs>
        <w:ind w:left="1950" w:hanging="870"/>
      </w:pPr>
      <w:rPr>
        <w:rFonts w:ascii="Times New Roman" w:eastAsia="Times New Roman" w:hAnsi="Times New Roman" w:cs="Times New Roman"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3">
    <w:nsid w:val="593A4D91"/>
    <w:multiLevelType w:val="hybridMultilevel"/>
    <w:tmpl w:val="E0E691AC"/>
    <w:lvl w:ilvl="0" w:tplc="DBD299C6">
      <w:start w:val="1"/>
      <w:numFmt w:val="bullet"/>
      <w:pStyle w:val="BodyBullet"/>
      <w:lvlText w:val=""/>
      <w:lvlJc w:val="left"/>
      <w:pPr>
        <w:tabs>
          <w:tab w:val="num" w:pos="360"/>
        </w:tabs>
        <w:ind w:left="284" w:hanging="284"/>
      </w:pPr>
      <w:rPr>
        <w:rFonts w:ascii="Wingdings 2" w:hAnsi="Wingdings 2"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4">
    <w:nsid w:val="5CFA2A5F"/>
    <w:multiLevelType w:val="hybridMultilevel"/>
    <w:tmpl w:val="8A82285C"/>
    <w:lvl w:ilvl="0" w:tplc="0C09000F">
      <w:start w:val="1"/>
      <w:numFmt w:val="decimal"/>
      <w:lvlText w:val="%1."/>
      <w:lvlJc w:val="left"/>
      <w:pPr>
        <w:tabs>
          <w:tab w:val="num" w:pos="1080"/>
        </w:tabs>
        <w:ind w:left="1080" w:hanging="360"/>
      </w:pPr>
    </w:lvl>
    <w:lvl w:ilvl="1" w:tplc="0C090019" w:tentative="1">
      <w:start w:val="1"/>
      <w:numFmt w:val="lowerLetter"/>
      <w:lvlText w:val="%2."/>
      <w:lvlJc w:val="left"/>
      <w:pPr>
        <w:tabs>
          <w:tab w:val="num" w:pos="1800"/>
        </w:tabs>
        <w:ind w:left="1800" w:hanging="360"/>
      </w:pPr>
    </w:lvl>
    <w:lvl w:ilvl="2" w:tplc="0C09001B" w:tentative="1">
      <w:start w:val="1"/>
      <w:numFmt w:val="lowerRoman"/>
      <w:lvlText w:val="%3."/>
      <w:lvlJc w:val="right"/>
      <w:pPr>
        <w:tabs>
          <w:tab w:val="num" w:pos="2520"/>
        </w:tabs>
        <w:ind w:left="2520" w:hanging="180"/>
      </w:p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55">
    <w:nsid w:val="5DD332B5"/>
    <w:multiLevelType w:val="hybridMultilevel"/>
    <w:tmpl w:val="06F6493C"/>
    <w:lvl w:ilvl="0" w:tplc="960846C0">
      <w:start w:val="1"/>
      <w:numFmt w:val="bullet"/>
      <w:lvlText w:val=""/>
      <w:lvlJc w:val="left"/>
      <w:pPr>
        <w:tabs>
          <w:tab w:val="num" w:pos="726"/>
        </w:tabs>
        <w:ind w:left="726" w:hanging="360"/>
      </w:pPr>
      <w:rPr>
        <w:rFonts w:ascii="Symbol" w:hAnsi="Symbol" w:hint="default"/>
      </w:rPr>
    </w:lvl>
    <w:lvl w:ilvl="1" w:tplc="0C090019" w:tentative="1">
      <w:start w:val="1"/>
      <w:numFmt w:val="lowerLetter"/>
      <w:lvlText w:val="%2."/>
      <w:lvlJc w:val="left"/>
      <w:pPr>
        <w:tabs>
          <w:tab w:val="num" w:pos="1446"/>
        </w:tabs>
        <w:ind w:left="1446" w:hanging="360"/>
      </w:pPr>
    </w:lvl>
    <w:lvl w:ilvl="2" w:tplc="0C09001B" w:tentative="1">
      <w:start w:val="1"/>
      <w:numFmt w:val="lowerRoman"/>
      <w:lvlText w:val="%3."/>
      <w:lvlJc w:val="right"/>
      <w:pPr>
        <w:tabs>
          <w:tab w:val="num" w:pos="2166"/>
        </w:tabs>
        <w:ind w:left="2166" w:hanging="180"/>
      </w:pPr>
    </w:lvl>
    <w:lvl w:ilvl="3" w:tplc="0C09000F" w:tentative="1">
      <w:start w:val="1"/>
      <w:numFmt w:val="decimal"/>
      <w:lvlText w:val="%4."/>
      <w:lvlJc w:val="left"/>
      <w:pPr>
        <w:tabs>
          <w:tab w:val="num" w:pos="2886"/>
        </w:tabs>
        <w:ind w:left="2886" w:hanging="360"/>
      </w:pPr>
    </w:lvl>
    <w:lvl w:ilvl="4" w:tplc="0C090019" w:tentative="1">
      <w:start w:val="1"/>
      <w:numFmt w:val="lowerLetter"/>
      <w:lvlText w:val="%5."/>
      <w:lvlJc w:val="left"/>
      <w:pPr>
        <w:tabs>
          <w:tab w:val="num" w:pos="3606"/>
        </w:tabs>
        <w:ind w:left="3606" w:hanging="360"/>
      </w:pPr>
    </w:lvl>
    <w:lvl w:ilvl="5" w:tplc="0C09001B" w:tentative="1">
      <w:start w:val="1"/>
      <w:numFmt w:val="lowerRoman"/>
      <w:lvlText w:val="%6."/>
      <w:lvlJc w:val="right"/>
      <w:pPr>
        <w:tabs>
          <w:tab w:val="num" w:pos="4326"/>
        </w:tabs>
        <w:ind w:left="4326" w:hanging="180"/>
      </w:pPr>
    </w:lvl>
    <w:lvl w:ilvl="6" w:tplc="0C09000F" w:tentative="1">
      <w:start w:val="1"/>
      <w:numFmt w:val="decimal"/>
      <w:lvlText w:val="%7."/>
      <w:lvlJc w:val="left"/>
      <w:pPr>
        <w:tabs>
          <w:tab w:val="num" w:pos="5046"/>
        </w:tabs>
        <w:ind w:left="5046" w:hanging="360"/>
      </w:pPr>
    </w:lvl>
    <w:lvl w:ilvl="7" w:tplc="0C090019" w:tentative="1">
      <w:start w:val="1"/>
      <w:numFmt w:val="lowerLetter"/>
      <w:lvlText w:val="%8."/>
      <w:lvlJc w:val="left"/>
      <w:pPr>
        <w:tabs>
          <w:tab w:val="num" w:pos="5766"/>
        </w:tabs>
        <w:ind w:left="5766" w:hanging="360"/>
      </w:pPr>
    </w:lvl>
    <w:lvl w:ilvl="8" w:tplc="0C09001B" w:tentative="1">
      <w:start w:val="1"/>
      <w:numFmt w:val="lowerRoman"/>
      <w:lvlText w:val="%9."/>
      <w:lvlJc w:val="right"/>
      <w:pPr>
        <w:tabs>
          <w:tab w:val="num" w:pos="6486"/>
        </w:tabs>
        <w:ind w:left="6486" w:hanging="180"/>
      </w:pPr>
    </w:lvl>
  </w:abstractNum>
  <w:abstractNum w:abstractNumId="56">
    <w:nsid w:val="5EC869F7"/>
    <w:multiLevelType w:val="hybridMultilevel"/>
    <w:tmpl w:val="E39A31E8"/>
    <w:lvl w:ilvl="0" w:tplc="FFFFFFFF">
      <w:start w:val="1"/>
      <w:numFmt w:val="bullet"/>
      <w:lvlText w:val=""/>
      <w:lvlJc w:val="left"/>
      <w:pPr>
        <w:tabs>
          <w:tab w:val="num" w:pos="1080"/>
        </w:tabs>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608106DD"/>
    <w:multiLevelType w:val="multilevel"/>
    <w:tmpl w:val="AF165D7E"/>
    <w:lvl w:ilvl="0">
      <w:start w:val="1"/>
      <w:numFmt w:val="decimal"/>
      <w:pStyle w:val="Heading1"/>
      <w:lvlText w:val="%1."/>
      <w:lvlJc w:val="left"/>
      <w:pPr>
        <w:tabs>
          <w:tab w:val="num" w:pos="360"/>
        </w:tabs>
        <w:ind w:left="360" w:hanging="360"/>
      </w:pPr>
      <w:rPr>
        <w:rFonts w:hint="default"/>
      </w:rPr>
    </w:lvl>
    <w:lvl w:ilvl="1">
      <w:start w:val="1"/>
      <w:numFmt w:val="decimal"/>
      <w:pStyle w:val="Heading2"/>
      <w:isLgl/>
      <w:lvlText w:val="%1.%2"/>
      <w:lvlJc w:val="left"/>
      <w:pPr>
        <w:tabs>
          <w:tab w:val="num" w:pos="720"/>
        </w:tabs>
        <w:ind w:left="720" w:hanging="720"/>
      </w:pPr>
      <w:rPr>
        <w:rFonts w:ascii="Arial Bold" w:hAnsi="Arial Bold" w:hint="default"/>
        <w:b/>
        <w:i w:val="0"/>
        <w:sz w:val="24"/>
        <w:szCs w:val="24"/>
      </w:rPr>
    </w:lvl>
    <w:lvl w:ilvl="2">
      <w:start w:val="1"/>
      <w:numFmt w:val="decimal"/>
      <w:pStyle w:val="Heading3"/>
      <w:isLgl/>
      <w:lvlText w:val="%1.%2.%3"/>
      <w:lvlJc w:val="left"/>
      <w:pPr>
        <w:tabs>
          <w:tab w:val="num" w:pos="907"/>
        </w:tabs>
        <w:ind w:left="907" w:hanging="907"/>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isLgl/>
      <w:lvlText w:val="%1.%2.%3.%4"/>
      <w:lvlJc w:val="left"/>
      <w:pPr>
        <w:tabs>
          <w:tab w:val="num" w:pos="1080"/>
        </w:tabs>
        <w:ind w:left="1080" w:hanging="1080"/>
      </w:pPr>
      <w:rPr>
        <w:rFonts w:hint="default"/>
        <w:b/>
        <w:i/>
        <w:sz w:val="21"/>
        <w:szCs w:val="21"/>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58">
    <w:nsid w:val="61262B7A"/>
    <w:multiLevelType w:val="hybridMultilevel"/>
    <w:tmpl w:val="D3DE87E2"/>
    <w:lvl w:ilvl="0" w:tplc="0C09000F">
      <w:start w:val="1"/>
      <w:numFmt w:val="decimal"/>
      <w:lvlText w:val="%1."/>
      <w:lvlJc w:val="left"/>
      <w:pPr>
        <w:tabs>
          <w:tab w:val="num" w:pos="720"/>
        </w:tabs>
        <w:ind w:left="720" w:hanging="360"/>
      </w:pPr>
      <w:rPr>
        <w:rFonts w:hint="default"/>
      </w:rPr>
    </w:lvl>
    <w:lvl w:ilvl="1" w:tplc="6B44863E">
      <w:start w:val="1"/>
      <w:numFmt w:val="decimal"/>
      <w:lvlText w:val="(%2)"/>
      <w:lvlJc w:val="left"/>
      <w:pPr>
        <w:tabs>
          <w:tab w:val="num" w:pos="1440"/>
        </w:tabs>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6A256AFE"/>
    <w:multiLevelType w:val="hybridMultilevel"/>
    <w:tmpl w:val="DD64E142"/>
    <w:lvl w:ilvl="0" w:tplc="FFFFFFFF">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0">
    <w:nsid w:val="6C055891"/>
    <w:multiLevelType w:val="hybridMultilevel"/>
    <w:tmpl w:val="134A5C72"/>
    <w:lvl w:ilvl="0" w:tplc="FFFFFFFF">
      <w:start w:val="1"/>
      <w:numFmt w:val="bullet"/>
      <w:lvlText w:val=""/>
      <w:lvlJc w:val="left"/>
      <w:pPr>
        <w:tabs>
          <w:tab w:val="num" w:pos="1080"/>
        </w:tabs>
        <w:ind w:left="1080" w:hanging="360"/>
      </w:pPr>
      <w:rPr>
        <w:rFonts w:ascii="Symbol" w:hAnsi="Symbol" w:hint="default"/>
      </w:rPr>
    </w:lvl>
    <w:lvl w:ilvl="1" w:tplc="0C090019" w:tentative="1">
      <w:start w:val="1"/>
      <w:numFmt w:val="lowerLetter"/>
      <w:lvlText w:val="%2."/>
      <w:lvlJc w:val="left"/>
      <w:pPr>
        <w:tabs>
          <w:tab w:val="num" w:pos="1800"/>
        </w:tabs>
        <w:ind w:left="1800" w:hanging="360"/>
      </w:pPr>
    </w:lvl>
    <w:lvl w:ilvl="2" w:tplc="0C09001B" w:tentative="1">
      <w:start w:val="1"/>
      <w:numFmt w:val="lowerRoman"/>
      <w:lvlText w:val="%3."/>
      <w:lvlJc w:val="right"/>
      <w:pPr>
        <w:tabs>
          <w:tab w:val="num" w:pos="2520"/>
        </w:tabs>
        <w:ind w:left="2520" w:hanging="180"/>
      </w:p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61">
    <w:nsid w:val="6EB44F24"/>
    <w:multiLevelType w:val="hybridMultilevel"/>
    <w:tmpl w:val="A574CB5C"/>
    <w:lvl w:ilvl="0" w:tplc="5046EB1E">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2">
    <w:nsid w:val="72027710"/>
    <w:multiLevelType w:val="hybridMultilevel"/>
    <w:tmpl w:val="EC3A3268"/>
    <w:lvl w:ilvl="0" w:tplc="DBD299C6">
      <w:start w:val="1"/>
      <w:numFmt w:val="bullet"/>
      <w:lvlText w:val=""/>
      <w:lvlJc w:val="left"/>
      <w:pPr>
        <w:tabs>
          <w:tab w:val="num" w:pos="1133"/>
        </w:tabs>
        <w:ind w:left="1133" w:hanging="360"/>
      </w:pPr>
      <w:rPr>
        <w:rFonts w:ascii="Symbol" w:hAnsi="Symbol" w:hint="default"/>
      </w:rPr>
    </w:lvl>
    <w:lvl w:ilvl="1" w:tplc="0C090003" w:tentative="1">
      <w:start w:val="1"/>
      <w:numFmt w:val="bullet"/>
      <w:lvlText w:val="o"/>
      <w:lvlJc w:val="left"/>
      <w:pPr>
        <w:tabs>
          <w:tab w:val="num" w:pos="2213"/>
        </w:tabs>
        <w:ind w:left="2213" w:hanging="360"/>
      </w:pPr>
      <w:rPr>
        <w:rFonts w:ascii="Courier New" w:hAnsi="Courier New" w:cs="Courier New" w:hint="default"/>
      </w:rPr>
    </w:lvl>
    <w:lvl w:ilvl="2" w:tplc="0C090005" w:tentative="1">
      <w:start w:val="1"/>
      <w:numFmt w:val="bullet"/>
      <w:lvlText w:val=""/>
      <w:lvlJc w:val="left"/>
      <w:pPr>
        <w:tabs>
          <w:tab w:val="num" w:pos="2933"/>
        </w:tabs>
        <w:ind w:left="2933" w:hanging="360"/>
      </w:pPr>
      <w:rPr>
        <w:rFonts w:ascii="Wingdings" w:hAnsi="Wingdings" w:hint="default"/>
      </w:rPr>
    </w:lvl>
    <w:lvl w:ilvl="3" w:tplc="0C090001" w:tentative="1">
      <w:start w:val="1"/>
      <w:numFmt w:val="bullet"/>
      <w:lvlText w:val=""/>
      <w:lvlJc w:val="left"/>
      <w:pPr>
        <w:tabs>
          <w:tab w:val="num" w:pos="3653"/>
        </w:tabs>
        <w:ind w:left="3653" w:hanging="360"/>
      </w:pPr>
      <w:rPr>
        <w:rFonts w:ascii="Symbol" w:hAnsi="Symbol" w:hint="default"/>
      </w:rPr>
    </w:lvl>
    <w:lvl w:ilvl="4" w:tplc="0C090003" w:tentative="1">
      <w:start w:val="1"/>
      <w:numFmt w:val="bullet"/>
      <w:lvlText w:val="o"/>
      <w:lvlJc w:val="left"/>
      <w:pPr>
        <w:tabs>
          <w:tab w:val="num" w:pos="4373"/>
        </w:tabs>
        <w:ind w:left="4373" w:hanging="360"/>
      </w:pPr>
      <w:rPr>
        <w:rFonts w:ascii="Courier New" w:hAnsi="Courier New" w:cs="Courier New" w:hint="default"/>
      </w:rPr>
    </w:lvl>
    <w:lvl w:ilvl="5" w:tplc="0C090005" w:tentative="1">
      <w:start w:val="1"/>
      <w:numFmt w:val="bullet"/>
      <w:lvlText w:val=""/>
      <w:lvlJc w:val="left"/>
      <w:pPr>
        <w:tabs>
          <w:tab w:val="num" w:pos="5093"/>
        </w:tabs>
        <w:ind w:left="5093" w:hanging="360"/>
      </w:pPr>
      <w:rPr>
        <w:rFonts w:ascii="Wingdings" w:hAnsi="Wingdings" w:hint="default"/>
      </w:rPr>
    </w:lvl>
    <w:lvl w:ilvl="6" w:tplc="0C090001" w:tentative="1">
      <w:start w:val="1"/>
      <w:numFmt w:val="bullet"/>
      <w:lvlText w:val=""/>
      <w:lvlJc w:val="left"/>
      <w:pPr>
        <w:tabs>
          <w:tab w:val="num" w:pos="5813"/>
        </w:tabs>
        <w:ind w:left="5813" w:hanging="360"/>
      </w:pPr>
      <w:rPr>
        <w:rFonts w:ascii="Symbol" w:hAnsi="Symbol" w:hint="default"/>
      </w:rPr>
    </w:lvl>
    <w:lvl w:ilvl="7" w:tplc="0C090003" w:tentative="1">
      <w:start w:val="1"/>
      <w:numFmt w:val="bullet"/>
      <w:lvlText w:val="o"/>
      <w:lvlJc w:val="left"/>
      <w:pPr>
        <w:tabs>
          <w:tab w:val="num" w:pos="6533"/>
        </w:tabs>
        <w:ind w:left="6533" w:hanging="360"/>
      </w:pPr>
      <w:rPr>
        <w:rFonts w:ascii="Courier New" w:hAnsi="Courier New" w:cs="Courier New" w:hint="default"/>
      </w:rPr>
    </w:lvl>
    <w:lvl w:ilvl="8" w:tplc="0C090005" w:tentative="1">
      <w:start w:val="1"/>
      <w:numFmt w:val="bullet"/>
      <w:lvlText w:val=""/>
      <w:lvlJc w:val="left"/>
      <w:pPr>
        <w:tabs>
          <w:tab w:val="num" w:pos="7253"/>
        </w:tabs>
        <w:ind w:left="7253" w:hanging="360"/>
      </w:pPr>
      <w:rPr>
        <w:rFonts w:ascii="Wingdings" w:hAnsi="Wingdings" w:hint="default"/>
      </w:rPr>
    </w:lvl>
  </w:abstractNum>
  <w:abstractNum w:abstractNumId="63">
    <w:nsid w:val="745942BF"/>
    <w:multiLevelType w:val="hybridMultilevel"/>
    <w:tmpl w:val="78BA1B26"/>
    <w:lvl w:ilvl="0" w:tplc="DBD299C6">
      <w:start w:val="1"/>
      <w:numFmt w:val="bullet"/>
      <w:lvlText w:val=""/>
      <w:lvlJc w:val="left"/>
      <w:pPr>
        <w:tabs>
          <w:tab w:val="num" w:pos="1080"/>
        </w:tabs>
        <w:ind w:left="1080" w:hanging="360"/>
      </w:pPr>
      <w:rPr>
        <w:rFonts w:ascii="Symbol" w:hAnsi="Symbol" w:hint="default"/>
      </w:rPr>
    </w:lvl>
    <w:lvl w:ilvl="1" w:tplc="0C09000F">
      <w:start w:val="1"/>
      <w:numFmt w:val="bullet"/>
      <w:lvlText w:val=""/>
      <w:lvlJc w:val="left"/>
      <w:pPr>
        <w:tabs>
          <w:tab w:val="num" w:pos="1980"/>
        </w:tabs>
        <w:ind w:left="1980" w:hanging="360"/>
      </w:pPr>
      <w:rPr>
        <w:rFonts w:ascii="Symbol" w:hAnsi="Symbol" w:hint="default"/>
      </w:rPr>
    </w:lvl>
    <w:lvl w:ilvl="2" w:tplc="0C090005" w:tentative="1">
      <w:start w:val="1"/>
      <w:numFmt w:val="lowerRoman"/>
      <w:lvlText w:val="%3."/>
      <w:lvlJc w:val="right"/>
      <w:pPr>
        <w:tabs>
          <w:tab w:val="num" w:pos="2700"/>
        </w:tabs>
        <w:ind w:left="2700" w:hanging="180"/>
      </w:pPr>
    </w:lvl>
    <w:lvl w:ilvl="3" w:tplc="0C09000F" w:tentative="1">
      <w:start w:val="1"/>
      <w:numFmt w:val="decimal"/>
      <w:lvlText w:val="%4."/>
      <w:lvlJc w:val="left"/>
      <w:pPr>
        <w:tabs>
          <w:tab w:val="num" w:pos="3420"/>
        </w:tabs>
        <w:ind w:left="3420" w:hanging="360"/>
      </w:pPr>
    </w:lvl>
    <w:lvl w:ilvl="4" w:tplc="0C090003" w:tentative="1">
      <w:start w:val="1"/>
      <w:numFmt w:val="lowerLetter"/>
      <w:lvlText w:val="%5."/>
      <w:lvlJc w:val="left"/>
      <w:pPr>
        <w:tabs>
          <w:tab w:val="num" w:pos="4140"/>
        </w:tabs>
        <w:ind w:left="4140" w:hanging="360"/>
      </w:pPr>
    </w:lvl>
    <w:lvl w:ilvl="5" w:tplc="0C090005" w:tentative="1">
      <w:start w:val="1"/>
      <w:numFmt w:val="lowerRoman"/>
      <w:lvlText w:val="%6."/>
      <w:lvlJc w:val="right"/>
      <w:pPr>
        <w:tabs>
          <w:tab w:val="num" w:pos="4860"/>
        </w:tabs>
        <w:ind w:left="4860" w:hanging="180"/>
      </w:pPr>
    </w:lvl>
    <w:lvl w:ilvl="6" w:tplc="0C090001" w:tentative="1">
      <w:start w:val="1"/>
      <w:numFmt w:val="decimal"/>
      <w:lvlText w:val="%7."/>
      <w:lvlJc w:val="left"/>
      <w:pPr>
        <w:tabs>
          <w:tab w:val="num" w:pos="5580"/>
        </w:tabs>
        <w:ind w:left="5580" w:hanging="360"/>
      </w:pPr>
    </w:lvl>
    <w:lvl w:ilvl="7" w:tplc="0C090003" w:tentative="1">
      <w:start w:val="1"/>
      <w:numFmt w:val="lowerLetter"/>
      <w:lvlText w:val="%8."/>
      <w:lvlJc w:val="left"/>
      <w:pPr>
        <w:tabs>
          <w:tab w:val="num" w:pos="6300"/>
        </w:tabs>
        <w:ind w:left="6300" w:hanging="360"/>
      </w:pPr>
    </w:lvl>
    <w:lvl w:ilvl="8" w:tplc="0C090005" w:tentative="1">
      <w:start w:val="1"/>
      <w:numFmt w:val="lowerRoman"/>
      <w:lvlText w:val="%9."/>
      <w:lvlJc w:val="right"/>
      <w:pPr>
        <w:tabs>
          <w:tab w:val="num" w:pos="7020"/>
        </w:tabs>
        <w:ind w:left="7020" w:hanging="180"/>
      </w:pPr>
    </w:lvl>
  </w:abstractNum>
  <w:abstractNum w:abstractNumId="64">
    <w:nsid w:val="766A1CEA"/>
    <w:multiLevelType w:val="hybridMultilevel"/>
    <w:tmpl w:val="0BECC640"/>
    <w:lvl w:ilvl="0" w:tplc="0C09000F">
      <w:start w:val="1"/>
      <w:numFmt w:val="decimal"/>
      <w:lvlText w:val="%1."/>
      <w:lvlJc w:val="left"/>
      <w:pPr>
        <w:tabs>
          <w:tab w:val="num" w:pos="901"/>
        </w:tabs>
        <w:ind w:left="901" w:hanging="360"/>
      </w:pPr>
    </w:lvl>
    <w:lvl w:ilvl="1" w:tplc="0C090019" w:tentative="1">
      <w:start w:val="1"/>
      <w:numFmt w:val="lowerLetter"/>
      <w:lvlText w:val="%2."/>
      <w:lvlJc w:val="left"/>
      <w:pPr>
        <w:tabs>
          <w:tab w:val="num" w:pos="1621"/>
        </w:tabs>
        <w:ind w:left="1621" w:hanging="360"/>
      </w:pPr>
    </w:lvl>
    <w:lvl w:ilvl="2" w:tplc="0C09001B" w:tentative="1">
      <w:start w:val="1"/>
      <w:numFmt w:val="lowerRoman"/>
      <w:lvlText w:val="%3."/>
      <w:lvlJc w:val="right"/>
      <w:pPr>
        <w:tabs>
          <w:tab w:val="num" w:pos="2341"/>
        </w:tabs>
        <w:ind w:left="2341" w:hanging="180"/>
      </w:pPr>
    </w:lvl>
    <w:lvl w:ilvl="3" w:tplc="0C09000F" w:tentative="1">
      <w:start w:val="1"/>
      <w:numFmt w:val="decimal"/>
      <w:lvlText w:val="%4."/>
      <w:lvlJc w:val="left"/>
      <w:pPr>
        <w:tabs>
          <w:tab w:val="num" w:pos="3061"/>
        </w:tabs>
        <w:ind w:left="3061" w:hanging="360"/>
      </w:pPr>
    </w:lvl>
    <w:lvl w:ilvl="4" w:tplc="0C090019" w:tentative="1">
      <w:start w:val="1"/>
      <w:numFmt w:val="lowerLetter"/>
      <w:lvlText w:val="%5."/>
      <w:lvlJc w:val="left"/>
      <w:pPr>
        <w:tabs>
          <w:tab w:val="num" w:pos="3781"/>
        </w:tabs>
        <w:ind w:left="3781" w:hanging="360"/>
      </w:pPr>
    </w:lvl>
    <w:lvl w:ilvl="5" w:tplc="0C09001B" w:tentative="1">
      <w:start w:val="1"/>
      <w:numFmt w:val="lowerRoman"/>
      <w:lvlText w:val="%6."/>
      <w:lvlJc w:val="right"/>
      <w:pPr>
        <w:tabs>
          <w:tab w:val="num" w:pos="4501"/>
        </w:tabs>
        <w:ind w:left="4501" w:hanging="180"/>
      </w:pPr>
    </w:lvl>
    <w:lvl w:ilvl="6" w:tplc="0C09000F" w:tentative="1">
      <w:start w:val="1"/>
      <w:numFmt w:val="decimal"/>
      <w:lvlText w:val="%7."/>
      <w:lvlJc w:val="left"/>
      <w:pPr>
        <w:tabs>
          <w:tab w:val="num" w:pos="5221"/>
        </w:tabs>
        <w:ind w:left="5221" w:hanging="360"/>
      </w:pPr>
    </w:lvl>
    <w:lvl w:ilvl="7" w:tplc="0C090019" w:tentative="1">
      <w:start w:val="1"/>
      <w:numFmt w:val="lowerLetter"/>
      <w:lvlText w:val="%8."/>
      <w:lvlJc w:val="left"/>
      <w:pPr>
        <w:tabs>
          <w:tab w:val="num" w:pos="5941"/>
        </w:tabs>
        <w:ind w:left="5941" w:hanging="360"/>
      </w:pPr>
    </w:lvl>
    <w:lvl w:ilvl="8" w:tplc="0C09001B" w:tentative="1">
      <w:start w:val="1"/>
      <w:numFmt w:val="lowerRoman"/>
      <w:lvlText w:val="%9."/>
      <w:lvlJc w:val="right"/>
      <w:pPr>
        <w:tabs>
          <w:tab w:val="num" w:pos="6661"/>
        </w:tabs>
        <w:ind w:left="6661" w:hanging="180"/>
      </w:pPr>
    </w:lvl>
  </w:abstractNum>
  <w:abstractNum w:abstractNumId="65">
    <w:nsid w:val="767F2EAA"/>
    <w:multiLevelType w:val="multilevel"/>
    <w:tmpl w:val="754EC95A"/>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66">
    <w:nsid w:val="770D05BF"/>
    <w:multiLevelType w:val="multilevel"/>
    <w:tmpl w:val="CB38CC8A"/>
    <w:styleLink w:val="CurrentList1"/>
    <w:lvl w:ilvl="0">
      <w:start w:val="3"/>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sz w:val="24"/>
        <w:szCs w:val="24"/>
      </w:rPr>
    </w:lvl>
    <w:lvl w:ilvl="2">
      <w:start w:val="1"/>
      <w:numFmt w:val="decimal"/>
      <w:isLgl/>
      <w:lvlText w:val="%1.%2.%3"/>
      <w:lvlJc w:val="left"/>
      <w:pPr>
        <w:tabs>
          <w:tab w:val="num" w:pos="720"/>
        </w:tabs>
        <w:ind w:left="720" w:hanging="720"/>
      </w:pPr>
      <w:rPr>
        <w:rFonts w:hint="default"/>
        <w:b/>
        <w:sz w:val="23"/>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67">
    <w:nsid w:val="79AE6685"/>
    <w:multiLevelType w:val="hybridMultilevel"/>
    <w:tmpl w:val="8BA01F56"/>
    <w:lvl w:ilvl="0" w:tplc="145EBF4E">
      <w:start w:val="1"/>
      <w:numFmt w:val="bullet"/>
      <w:lvlText w:val=""/>
      <w:lvlJc w:val="left"/>
      <w:pPr>
        <w:tabs>
          <w:tab w:val="num" w:pos="720"/>
        </w:tabs>
        <w:ind w:left="720" w:hanging="360"/>
      </w:pPr>
      <w:rPr>
        <w:rFonts w:ascii="Symbol" w:hAnsi="Symbol" w:hint="default"/>
      </w:rPr>
    </w:lvl>
    <w:lvl w:ilvl="1" w:tplc="0C090019">
      <w:start w:val="1"/>
      <w:numFmt w:val="bullet"/>
      <w:lvlText w:val="-"/>
      <w:lvlJc w:val="left"/>
      <w:pPr>
        <w:tabs>
          <w:tab w:val="num" w:pos="1440"/>
        </w:tabs>
        <w:ind w:left="1440" w:hanging="360"/>
      </w:pPr>
      <w:rPr>
        <w:rFonts w:ascii="Arial" w:eastAsia="Times New Roman" w:hAnsi="Arial" w:hint="default"/>
      </w:r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rPr>
        <w:rFonts w:hint="default"/>
      </w:rPr>
    </w:lvl>
    <w:lvl w:ilvl="4" w:tplc="0C090019">
      <w:start w:val="1"/>
      <w:numFmt w:val="decimal"/>
      <w:lvlText w:val="%5."/>
      <w:lvlJc w:val="left"/>
      <w:pPr>
        <w:tabs>
          <w:tab w:val="num" w:pos="4020"/>
        </w:tabs>
        <w:ind w:left="4020" w:hanging="780"/>
      </w:pPr>
      <w:rPr>
        <w:rFonts w:hint="default"/>
      </w:r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8">
    <w:nsid w:val="7B6405E9"/>
    <w:multiLevelType w:val="hybridMultilevel"/>
    <w:tmpl w:val="C3BECAF2"/>
    <w:lvl w:ilvl="0" w:tplc="FFFFFFFF">
      <w:start w:val="1"/>
      <w:numFmt w:val="bullet"/>
      <w:lvlText w:val=""/>
      <w:lvlJc w:val="left"/>
      <w:pPr>
        <w:tabs>
          <w:tab w:val="num" w:pos="1080"/>
        </w:tabs>
        <w:ind w:left="1080" w:hanging="360"/>
      </w:pPr>
      <w:rPr>
        <w:rFonts w:ascii="Symbol" w:hAnsi="Symbol" w:hint="default"/>
      </w:rPr>
    </w:lvl>
    <w:lvl w:ilvl="1" w:tplc="FFFFFFFF">
      <w:start w:val="1"/>
      <w:numFmt w:val="lowerRoman"/>
      <w:lvlText w:val="%2."/>
      <w:lvlJc w:val="right"/>
      <w:pPr>
        <w:tabs>
          <w:tab w:val="num" w:pos="1620"/>
        </w:tabs>
        <w:ind w:left="1620" w:hanging="180"/>
      </w:pPr>
      <w:rPr>
        <w:rFonts w:hint="default"/>
      </w:rPr>
    </w:lvl>
    <w:lvl w:ilvl="2" w:tplc="FFFFFFFF">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69">
    <w:nsid w:val="7EB54C2A"/>
    <w:multiLevelType w:val="hybridMultilevel"/>
    <w:tmpl w:val="7884C33C"/>
    <w:lvl w:ilvl="0" w:tplc="0C09000F">
      <w:start w:val="1"/>
      <w:numFmt w:val="decimal"/>
      <w:lvlText w:val="%1."/>
      <w:lvlJc w:val="left"/>
      <w:pPr>
        <w:tabs>
          <w:tab w:val="num" w:pos="360"/>
        </w:tabs>
        <w:ind w:left="360" w:hanging="360"/>
      </w:pPr>
    </w:lvl>
    <w:lvl w:ilvl="1" w:tplc="0C090019">
      <w:start w:val="1"/>
      <w:numFmt w:val="lowerLetter"/>
      <w:lvlText w:val="%2."/>
      <w:lvlJc w:val="left"/>
      <w:pPr>
        <w:tabs>
          <w:tab w:val="num" w:pos="-180"/>
        </w:tabs>
        <w:ind w:left="-180" w:hanging="360"/>
      </w:pPr>
    </w:lvl>
    <w:lvl w:ilvl="2" w:tplc="0C09001B">
      <w:start w:val="1"/>
      <w:numFmt w:val="lowerRoman"/>
      <w:lvlText w:val="%3."/>
      <w:lvlJc w:val="right"/>
      <w:pPr>
        <w:tabs>
          <w:tab w:val="num" w:pos="540"/>
        </w:tabs>
        <w:ind w:left="540" w:hanging="180"/>
      </w:pPr>
    </w:lvl>
    <w:lvl w:ilvl="3" w:tplc="0C09000F" w:tentative="1">
      <w:start w:val="1"/>
      <w:numFmt w:val="decimal"/>
      <w:lvlText w:val="%4."/>
      <w:lvlJc w:val="left"/>
      <w:pPr>
        <w:tabs>
          <w:tab w:val="num" w:pos="1260"/>
        </w:tabs>
        <w:ind w:left="1260" w:hanging="360"/>
      </w:pPr>
    </w:lvl>
    <w:lvl w:ilvl="4" w:tplc="0C090019" w:tentative="1">
      <w:start w:val="1"/>
      <w:numFmt w:val="lowerLetter"/>
      <w:lvlText w:val="%5."/>
      <w:lvlJc w:val="left"/>
      <w:pPr>
        <w:tabs>
          <w:tab w:val="num" w:pos="1980"/>
        </w:tabs>
        <w:ind w:left="1980" w:hanging="360"/>
      </w:pPr>
    </w:lvl>
    <w:lvl w:ilvl="5" w:tplc="0C09001B" w:tentative="1">
      <w:start w:val="1"/>
      <w:numFmt w:val="lowerRoman"/>
      <w:lvlText w:val="%6."/>
      <w:lvlJc w:val="right"/>
      <w:pPr>
        <w:tabs>
          <w:tab w:val="num" w:pos="2700"/>
        </w:tabs>
        <w:ind w:left="2700" w:hanging="180"/>
      </w:pPr>
    </w:lvl>
    <w:lvl w:ilvl="6" w:tplc="0C09000F" w:tentative="1">
      <w:start w:val="1"/>
      <w:numFmt w:val="decimal"/>
      <w:lvlText w:val="%7."/>
      <w:lvlJc w:val="left"/>
      <w:pPr>
        <w:tabs>
          <w:tab w:val="num" w:pos="3420"/>
        </w:tabs>
        <w:ind w:left="3420" w:hanging="360"/>
      </w:pPr>
    </w:lvl>
    <w:lvl w:ilvl="7" w:tplc="0C090019" w:tentative="1">
      <w:start w:val="1"/>
      <w:numFmt w:val="lowerLetter"/>
      <w:lvlText w:val="%8."/>
      <w:lvlJc w:val="left"/>
      <w:pPr>
        <w:tabs>
          <w:tab w:val="num" w:pos="4140"/>
        </w:tabs>
        <w:ind w:left="4140" w:hanging="360"/>
      </w:pPr>
    </w:lvl>
    <w:lvl w:ilvl="8" w:tplc="0C09001B" w:tentative="1">
      <w:start w:val="1"/>
      <w:numFmt w:val="lowerRoman"/>
      <w:lvlText w:val="%9."/>
      <w:lvlJc w:val="right"/>
      <w:pPr>
        <w:tabs>
          <w:tab w:val="num" w:pos="4860"/>
        </w:tabs>
        <w:ind w:left="4860" w:hanging="180"/>
      </w:pPr>
    </w:lvl>
  </w:abstractNum>
  <w:abstractNum w:abstractNumId="70">
    <w:nsid w:val="7F8151AC"/>
    <w:multiLevelType w:val="hybridMultilevel"/>
    <w:tmpl w:val="E248943E"/>
    <w:lvl w:ilvl="0" w:tplc="DBD299C6">
      <w:start w:val="1"/>
      <w:numFmt w:val="bullet"/>
      <w:lvlText w:val=""/>
      <w:lvlJc w:val="left"/>
      <w:pPr>
        <w:tabs>
          <w:tab w:val="num" w:pos="360"/>
        </w:tabs>
        <w:ind w:left="360" w:hanging="360"/>
      </w:pPr>
      <w:rPr>
        <w:rFonts w:ascii="Symbol" w:hAnsi="Symbol" w:hint="default"/>
      </w:rPr>
    </w:lvl>
    <w:lvl w:ilvl="1" w:tplc="DBD299C6" w:tentative="1">
      <w:start w:val="1"/>
      <w:numFmt w:val="bullet"/>
      <w:lvlText w:val="o"/>
      <w:lvlJc w:val="left"/>
      <w:pPr>
        <w:tabs>
          <w:tab w:val="num" w:pos="1440"/>
        </w:tabs>
        <w:ind w:left="1440" w:hanging="360"/>
      </w:pPr>
      <w:rPr>
        <w:rFonts w:ascii="Courier New" w:hAnsi="Courier New" w:cs="Courier New"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0"/>
  </w:num>
  <w:num w:numId="12">
    <w:abstractNumId w:val="39"/>
  </w:num>
  <w:num w:numId="13">
    <w:abstractNumId w:val="26"/>
  </w:num>
  <w:num w:numId="14">
    <w:abstractNumId w:val="53"/>
  </w:num>
  <w:num w:numId="15">
    <w:abstractNumId w:val="25"/>
  </w:num>
  <w:num w:numId="16">
    <w:abstractNumId w:val="33"/>
  </w:num>
  <w:num w:numId="17">
    <w:abstractNumId w:val="22"/>
  </w:num>
  <w:num w:numId="18">
    <w:abstractNumId w:val="44"/>
  </w:num>
  <w:num w:numId="19">
    <w:abstractNumId w:val="14"/>
  </w:num>
  <w:num w:numId="20">
    <w:abstractNumId w:val="68"/>
  </w:num>
  <w:num w:numId="21">
    <w:abstractNumId w:val="21"/>
  </w:num>
  <w:num w:numId="22">
    <w:abstractNumId w:val="66"/>
  </w:num>
  <w:num w:numId="23">
    <w:abstractNumId w:val="24"/>
  </w:num>
  <w:num w:numId="24">
    <w:abstractNumId w:val="57"/>
  </w:num>
  <w:num w:numId="25">
    <w:abstractNumId w:val="19"/>
    <w:lvlOverride w:ilvl="0">
      <w:lvl w:ilvl="0">
        <w:start w:val="2"/>
        <w:numFmt w:val="decimal"/>
        <w:lvlText w:val="%1"/>
        <w:lvlJc w:val="left"/>
        <w:pPr>
          <w:tabs>
            <w:tab w:val="num" w:pos="432"/>
          </w:tabs>
          <w:ind w:left="432" w:hanging="432"/>
        </w:pPr>
        <w:rPr>
          <w:rFonts w:hint="default"/>
        </w:rPr>
      </w:lvl>
    </w:lvlOverride>
    <w:lvlOverride w:ilvl="1">
      <w:lvl w:ilvl="1">
        <w:start w:val="1"/>
        <w:numFmt w:val="decimal"/>
        <w:lvlRestart w:val="0"/>
        <w:pStyle w:val="StyleCaptionCharItalic"/>
        <w:lvlText w:val="%1.%2"/>
        <w:lvlJc w:val="left"/>
        <w:pPr>
          <w:tabs>
            <w:tab w:val="num" w:pos="576"/>
          </w:tabs>
          <w:ind w:left="576" w:hanging="576"/>
        </w:pPr>
        <w:rPr>
          <w:rFonts w:hint="default"/>
          <w:b w:val="0"/>
        </w:rPr>
      </w:lvl>
    </w:lvlOverride>
    <w:lvlOverride w:ilvl="2">
      <w:lvl w:ilvl="2">
        <w:start w:val="1"/>
        <w:numFmt w:val="decimal"/>
        <w:lvlRestart w:val="0"/>
        <w:suff w:val="nothing"/>
        <w:lvlText w:val="%1.%2.%3"/>
        <w:lvlJc w:val="left"/>
        <w:pPr>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6">
    <w:abstractNumId w:val="28"/>
  </w:num>
  <w:num w:numId="27">
    <w:abstractNumId w:val="47"/>
  </w:num>
  <w:num w:numId="28">
    <w:abstractNumId w:val="63"/>
  </w:num>
  <w:num w:numId="29">
    <w:abstractNumId w:val="70"/>
  </w:num>
  <w:num w:numId="30">
    <w:abstractNumId w:val="52"/>
  </w:num>
  <w:num w:numId="31">
    <w:abstractNumId w:val="42"/>
  </w:num>
  <w:num w:numId="32">
    <w:abstractNumId w:val="34"/>
  </w:num>
  <w:num w:numId="33">
    <w:abstractNumId w:val="50"/>
  </w:num>
  <w:num w:numId="34">
    <w:abstractNumId w:val="35"/>
  </w:num>
  <w:num w:numId="35">
    <w:abstractNumId w:val="31"/>
  </w:num>
  <w:num w:numId="36">
    <w:abstractNumId w:val="62"/>
  </w:num>
  <w:num w:numId="37">
    <w:abstractNumId w:val="59"/>
  </w:num>
  <w:num w:numId="38">
    <w:abstractNumId w:val="51"/>
  </w:num>
  <w:num w:numId="39">
    <w:abstractNumId w:val="67"/>
  </w:num>
  <w:num w:numId="40">
    <w:abstractNumId w:val="58"/>
  </w:num>
  <w:num w:numId="41">
    <w:abstractNumId w:val="54"/>
  </w:num>
  <w:num w:numId="42">
    <w:abstractNumId w:val="45"/>
  </w:num>
  <w:num w:numId="43">
    <w:abstractNumId w:val="27"/>
  </w:num>
  <w:num w:numId="44">
    <w:abstractNumId w:val="43"/>
  </w:num>
  <w:num w:numId="45">
    <w:abstractNumId w:val="69"/>
  </w:num>
  <w:num w:numId="46">
    <w:abstractNumId w:val="18"/>
  </w:num>
  <w:num w:numId="47">
    <w:abstractNumId w:val="10"/>
  </w:num>
  <w:num w:numId="48">
    <w:abstractNumId w:val="60"/>
  </w:num>
  <w:num w:numId="49">
    <w:abstractNumId w:val="55"/>
  </w:num>
  <w:num w:numId="50">
    <w:abstractNumId w:val="29"/>
  </w:num>
  <w:num w:numId="51">
    <w:abstractNumId w:val="30"/>
  </w:num>
  <w:num w:numId="52">
    <w:abstractNumId w:val="48"/>
  </w:num>
  <w:num w:numId="53">
    <w:abstractNumId w:val="16"/>
  </w:num>
  <w:num w:numId="54">
    <w:abstractNumId w:val="11"/>
  </w:num>
  <w:num w:numId="55">
    <w:abstractNumId w:val="46"/>
  </w:num>
  <w:num w:numId="56">
    <w:abstractNumId w:val="56"/>
  </w:num>
  <w:num w:numId="57">
    <w:abstractNumId w:val="40"/>
  </w:num>
  <w:num w:numId="58">
    <w:abstractNumId w:val="36"/>
  </w:num>
  <w:num w:numId="59">
    <w:abstractNumId w:val="23"/>
  </w:num>
  <w:num w:numId="60">
    <w:abstractNumId w:val="38"/>
  </w:num>
  <w:num w:numId="61">
    <w:abstractNumId w:val="41"/>
  </w:num>
  <w:num w:numId="62">
    <w:abstractNumId w:val="15"/>
  </w:num>
  <w:num w:numId="63">
    <w:abstractNumId w:val="12"/>
  </w:num>
  <w:num w:numId="64">
    <w:abstractNumId w:val="49"/>
  </w:num>
  <w:num w:numId="65">
    <w:abstractNumId w:val="13"/>
  </w:num>
  <w:num w:numId="66">
    <w:abstractNumId w:val="32"/>
  </w:num>
  <w:num w:numId="67">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5"/>
  </w:num>
  <w:num w:numId="69">
    <w:abstractNumId w:val="17"/>
  </w:num>
  <w:num w:numId="70">
    <w:abstractNumId w:val="64"/>
  </w:num>
  <w:num w:numId="71">
    <w:abstractNumId w:val="37"/>
  </w:num>
  <w:num w:numId="72">
    <w:abstractNumId w:val="6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inkAnnotations="0"/>
  <w:defaultTabStop w:val="720"/>
  <w:noPunctuationKerning/>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427"/>
    <w:rsid w:val="0000038F"/>
    <w:rsid w:val="0000101B"/>
    <w:rsid w:val="00001EDC"/>
    <w:rsid w:val="00002133"/>
    <w:rsid w:val="0000277F"/>
    <w:rsid w:val="00002974"/>
    <w:rsid w:val="0000304F"/>
    <w:rsid w:val="000036A3"/>
    <w:rsid w:val="00004255"/>
    <w:rsid w:val="00005604"/>
    <w:rsid w:val="00006A62"/>
    <w:rsid w:val="0000739D"/>
    <w:rsid w:val="00007641"/>
    <w:rsid w:val="0000770D"/>
    <w:rsid w:val="000116DC"/>
    <w:rsid w:val="00011957"/>
    <w:rsid w:val="000120DD"/>
    <w:rsid w:val="00013A81"/>
    <w:rsid w:val="00014509"/>
    <w:rsid w:val="00014AF5"/>
    <w:rsid w:val="00015D85"/>
    <w:rsid w:val="0001688B"/>
    <w:rsid w:val="00020978"/>
    <w:rsid w:val="00021090"/>
    <w:rsid w:val="00021680"/>
    <w:rsid w:val="00021BC1"/>
    <w:rsid w:val="00024167"/>
    <w:rsid w:val="000242B2"/>
    <w:rsid w:val="00024C55"/>
    <w:rsid w:val="0002515C"/>
    <w:rsid w:val="00026071"/>
    <w:rsid w:val="0002608B"/>
    <w:rsid w:val="000267A8"/>
    <w:rsid w:val="00026D13"/>
    <w:rsid w:val="00030542"/>
    <w:rsid w:val="00031ADD"/>
    <w:rsid w:val="00032603"/>
    <w:rsid w:val="0003283C"/>
    <w:rsid w:val="00032EEC"/>
    <w:rsid w:val="00033093"/>
    <w:rsid w:val="00034B87"/>
    <w:rsid w:val="0003545A"/>
    <w:rsid w:val="00035877"/>
    <w:rsid w:val="000371FC"/>
    <w:rsid w:val="0003790C"/>
    <w:rsid w:val="00040820"/>
    <w:rsid w:val="00040A5F"/>
    <w:rsid w:val="00041033"/>
    <w:rsid w:val="0004166A"/>
    <w:rsid w:val="00041DDB"/>
    <w:rsid w:val="0004215F"/>
    <w:rsid w:val="000426F4"/>
    <w:rsid w:val="00042CE6"/>
    <w:rsid w:val="00043358"/>
    <w:rsid w:val="000434ED"/>
    <w:rsid w:val="00043DA2"/>
    <w:rsid w:val="00043F14"/>
    <w:rsid w:val="00045066"/>
    <w:rsid w:val="00045867"/>
    <w:rsid w:val="0004609C"/>
    <w:rsid w:val="00046B49"/>
    <w:rsid w:val="00046B61"/>
    <w:rsid w:val="00046FF4"/>
    <w:rsid w:val="0005356C"/>
    <w:rsid w:val="00054188"/>
    <w:rsid w:val="000542D5"/>
    <w:rsid w:val="00054302"/>
    <w:rsid w:val="00054EE0"/>
    <w:rsid w:val="00055B4A"/>
    <w:rsid w:val="00055E4A"/>
    <w:rsid w:val="00055FC6"/>
    <w:rsid w:val="000571FC"/>
    <w:rsid w:val="00057DAC"/>
    <w:rsid w:val="00061DA7"/>
    <w:rsid w:val="00062DCF"/>
    <w:rsid w:val="00063FF3"/>
    <w:rsid w:val="000641F5"/>
    <w:rsid w:val="00065B86"/>
    <w:rsid w:val="00065BE7"/>
    <w:rsid w:val="00065F10"/>
    <w:rsid w:val="00066975"/>
    <w:rsid w:val="00066D25"/>
    <w:rsid w:val="0006793E"/>
    <w:rsid w:val="00067E1F"/>
    <w:rsid w:val="00070183"/>
    <w:rsid w:val="000707C4"/>
    <w:rsid w:val="00070C0C"/>
    <w:rsid w:val="00071C89"/>
    <w:rsid w:val="00071E6F"/>
    <w:rsid w:val="00072B99"/>
    <w:rsid w:val="00072CE6"/>
    <w:rsid w:val="0007307B"/>
    <w:rsid w:val="0007354D"/>
    <w:rsid w:val="00073CC0"/>
    <w:rsid w:val="00075F37"/>
    <w:rsid w:val="000761D9"/>
    <w:rsid w:val="00077D42"/>
    <w:rsid w:val="00080474"/>
    <w:rsid w:val="00080A18"/>
    <w:rsid w:val="00081094"/>
    <w:rsid w:val="00081D84"/>
    <w:rsid w:val="00083BDB"/>
    <w:rsid w:val="0008420C"/>
    <w:rsid w:val="0008435B"/>
    <w:rsid w:val="00084608"/>
    <w:rsid w:val="00084A5B"/>
    <w:rsid w:val="0008529C"/>
    <w:rsid w:val="00087A1E"/>
    <w:rsid w:val="0009005F"/>
    <w:rsid w:val="00090A40"/>
    <w:rsid w:val="00091B1C"/>
    <w:rsid w:val="00092DD5"/>
    <w:rsid w:val="000937FA"/>
    <w:rsid w:val="0009420D"/>
    <w:rsid w:val="00094CDE"/>
    <w:rsid w:val="00095B30"/>
    <w:rsid w:val="00095C48"/>
    <w:rsid w:val="0009665B"/>
    <w:rsid w:val="00097B59"/>
    <w:rsid w:val="00097FD3"/>
    <w:rsid w:val="000A030C"/>
    <w:rsid w:val="000A05F8"/>
    <w:rsid w:val="000A1193"/>
    <w:rsid w:val="000A1323"/>
    <w:rsid w:val="000A29E2"/>
    <w:rsid w:val="000A3C0E"/>
    <w:rsid w:val="000A4098"/>
    <w:rsid w:val="000A42C1"/>
    <w:rsid w:val="000A51BE"/>
    <w:rsid w:val="000A64C5"/>
    <w:rsid w:val="000A65A8"/>
    <w:rsid w:val="000A67F6"/>
    <w:rsid w:val="000A72F0"/>
    <w:rsid w:val="000A7D47"/>
    <w:rsid w:val="000B082B"/>
    <w:rsid w:val="000B14CE"/>
    <w:rsid w:val="000B1C86"/>
    <w:rsid w:val="000B206B"/>
    <w:rsid w:val="000B213E"/>
    <w:rsid w:val="000B3427"/>
    <w:rsid w:val="000B3A90"/>
    <w:rsid w:val="000B4790"/>
    <w:rsid w:val="000B6427"/>
    <w:rsid w:val="000B6435"/>
    <w:rsid w:val="000B6B85"/>
    <w:rsid w:val="000C0018"/>
    <w:rsid w:val="000C047D"/>
    <w:rsid w:val="000C090A"/>
    <w:rsid w:val="000C0BA8"/>
    <w:rsid w:val="000C0E8A"/>
    <w:rsid w:val="000C1F2D"/>
    <w:rsid w:val="000C2CB7"/>
    <w:rsid w:val="000C2D2D"/>
    <w:rsid w:val="000C2EBC"/>
    <w:rsid w:val="000C32EE"/>
    <w:rsid w:val="000C3AF5"/>
    <w:rsid w:val="000C45EF"/>
    <w:rsid w:val="000C564B"/>
    <w:rsid w:val="000C59E5"/>
    <w:rsid w:val="000C683B"/>
    <w:rsid w:val="000C6B95"/>
    <w:rsid w:val="000C6EE4"/>
    <w:rsid w:val="000C72A8"/>
    <w:rsid w:val="000D1899"/>
    <w:rsid w:val="000D1B33"/>
    <w:rsid w:val="000D2870"/>
    <w:rsid w:val="000D2AB7"/>
    <w:rsid w:val="000D2D68"/>
    <w:rsid w:val="000D2FA0"/>
    <w:rsid w:val="000D33D9"/>
    <w:rsid w:val="000D3AB0"/>
    <w:rsid w:val="000D4080"/>
    <w:rsid w:val="000D53A8"/>
    <w:rsid w:val="000D6298"/>
    <w:rsid w:val="000D653B"/>
    <w:rsid w:val="000D6958"/>
    <w:rsid w:val="000E07A1"/>
    <w:rsid w:val="000E0EE8"/>
    <w:rsid w:val="000E16C0"/>
    <w:rsid w:val="000E1B89"/>
    <w:rsid w:val="000E1BCB"/>
    <w:rsid w:val="000E1C4B"/>
    <w:rsid w:val="000E25EB"/>
    <w:rsid w:val="000E343A"/>
    <w:rsid w:val="000E35E6"/>
    <w:rsid w:val="000E4E46"/>
    <w:rsid w:val="000E540B"/>
    <w:rsid w:val="000E5783"/>
    <w:rsid w:val="000E5F65"/>
    <w:rsid w:val="000F0F46"/>
    <w:rsid w:val="000F1145"/>
    <w:rsid w:val="000F1185"/>
    <w:rsid w:val="000F12A4"/>
    <w:rsid w:val="000F22AE"/>
    <w:rsid w:val="000F35BD"/>
    <w:rsid w:val="000F3719"/>
    <w:rsid w:val="000F47A7"/>
    <w:rsid w:val="000F55FD"/>
    <w:rsid w:val="000F667B"/>
    <w:rsid w:val="000F7173"/>
    <w:rsid w:val="000F7A6F"/>
    <w:rsid w:val="00101612"/>
    <w:rsid w:val="001019CD"/>
    <w:rsid w:val="00102A4D"/>
    <w:rsid w:val="00103C97"/>
    <w:rsid w:val="0010452B"/>
    <w:rsid w:val="00104868"/>
    <w:rsid w:val="00105560"/>
    <w:rsid w:val="00106292"/>
    <w:rsid w:val="00110396"/>
    <w:rsid w:val="001107E4"/>
    <w:rsid w:val="00111B1B"/>
    <w:rsid w:val="00114491"/>
    <w:rsid w:val="00114756"/>
    <w:rsid w:val="0011599B"/>
    <w:rsid w:val="00116851"/>
    <w:rsid w:val="00116B89"/>
    <w:rsid w:val="00117E63"/>
    <w:rsid w:val="0012020F"/>
    <w:rsid w:val="0012033F"/>
    <w:rsid w:val="00120771"/>
    <w:rsid w:val="00123AF5"/>
    <w:rsid w:val="0012409C"/>
    <w:rsid w:val="00124DC9"/>
    <w:rsid w:val="00125732"/>
    <w:rsid w:val="001266C1"/>
    <w:rsid w:val="00127327"/>
    <w:rsid w:val="0012760E"/>
    <w:rsid w:val="00127ED8"/>
    <w:rsid w:val="001304EC"/>
    <w:rsid w:val="0013241B"/>
    <w:rsid w:val="001327BB"/>
    <w:rsid w:val="00132A00"/>
    <w:rsid w:val="00132AB5"/>
    <w:rsid w:val="00132F47"/>
    <w:rsid w:val="0013302A"/>
    <w:rsid w:val="001336C0"/>
    <w:rsid w:val="00133B4D"/>
    <w:rsid w:val="00134049"/>
    <w:rsid w:val="00135A3B"/>
    <w:rsid w:val="00135E37"/>
    <w:rsid w:val="00136115"/>
    <w:rsid w:val="00136787"/>
    <w:rsid w:val="00136930"/>
    <w:rsid w:val="001433A7"/>
    <w:rsid w:val="00143C08"/>
    <w:rsid w:val="00143DDF"/>
    <w:rsid w:val="001440A3"/>
    <w:rsid w:val="00144A0C"/>
    <w:rsid w:val="001453A6"/>
    <w:rsid w:val="0014541A"/>
    <w:rsid w:val="00145C30"/>
    <w:rsid w:val="00145C58"/>
    <w:rsid w:val="00146290"/>
    <w:rsid w:val="00147991"/>
    <w:rsid w:val="0015005C"/>
    <w:rsid w:val="0015046A"/>
    <w:rsid w:val="00150F54"/>
    <w:rsid w:val="001513F6"/>
    <w:rsid w:val="00152335"/>
    <w:rsid w:val="00152436"/>
    <w:rsid w:val="00153547"/>
    <w:rsid w:val="001535E5"/>
    <w:rsid w:val="00153601"/>
    <w:rsid w:val="00153AFF"/>
    <w:rsid w:val="00153CBA"/>
    <w:rsid w:val="00153D49"/>
    <w:rsid w:val="00154578"/>
    <w:rsid w:val="00154781"/>
    <w:rsid w:val="00154D3A"/>
    <w:rsid w:val="0015527F"/>
    <w:rsid w:val="001559CE"/>
    <w:rsid w:val="001564A0"/>
    <w:rsid w:val="00160480"/>
    <w:rsid w:val="00160912"/>
    <w:rsid w:val="001619A3"/>
    <w:rsid w:val="001628DA"/>
    <w:rsid w:val="00162B14"/>
    <w:rsid w:val="001636C1"/>
    <w:rsid w:val="00163BAD"/>
    <w:rsid w:val="00163D1B"/>
    <w:rsid w:val="0016422C"/>
    <w:rsid w:val="00165885"/>
    <w:rsid w:val="0016636E"/>
    <w:rsid w:val="00167549"/>
    <w:rsid w:val="0017050A"/>
    <w:rsid w:val="00170734"/>
    <w:rsid w:val="00171895"/>
    <w:rsid w:val="001732C4"/>
    <w:rsid w:val="00173CF6"/>
    <w:rsid w:val="001741E7"/>
    <w:rsid w:val="00174878"/>
    <w:rsid w:val="00174EEC"/>
    <w:rsid w:val="001756F3"/>
    <w:rsid w:val="00176445"/>
    <w:rsid w:val="00176E5E"/>
    <w:rsid w:val="00176FFF"/>
    <w:rsid w:val="00177DF9"/>
    <w:rsid w:val="00177FC7"/>
    <w:rsid w:val="0018083A"/>
    <w:rsid w:val="00180D39"/>
    <w:rsid w:val="00180F0E"/>
    <w:rsid w:val="00182B14"/>
    <w:rsid w:val="00183C3B"/>
    <w:rsid w:val="00184FF9"/>
    <w:rsid w:val="00185DA7"/>
    <w:rsid w:val="00187781"/>
    <w:rsid w:val="00187C17"/>
    <w:rsid w:val="00190313"/>
    <w:rsid w:val="00191C71"/>
    <w:rsid w:val="001959B3"/>
    <w:rsid w:val="001968EF"/>
    <w:rsid w:val="001A05D8"/>
    <w:rsid w:val="001A0B80"/>
    <w:rsid w:val="001A1962"/>
    <w:rsid w:val="001A20E9"/>
    <w:rsid w:val="001A311F"/>
    <w:rsid w:val="001A3D78"/>
    <w:rsid w:val="001A5817"/>
    <w:rsid w:val="001A629E"/>
    <w:rsid w:val="001A76F3"/>
    <w:rsid w:val="001B053C"/>
    <w:rsid w:val="001B0602"/>
    <w:rsid w:val="001B06B3"/>
    <w:rsid w:val="001B1156"/>
    <w:rsid w:val="001B12AE"/>
    <w:rsid w:val="001B1EBF"/>
    <w:rsid w:val="001B36E3"/>
    <w:rsid w:val="001B4B40"/>
    <w:rsid w:val="001B5377"/>
    <w:rsid w:val="001B54DE"/>
    <w:rsid w:val="001B6320"/>
    <w:rsid w:val="001B677D"/>
    <w:rsid w:val="001B70D9"/>
    <w:rsid w:val="001B721F"/>
    <w:rsid w:val="001B7446"/>
    <w:rsid w:val="001B7CCD"/>
    <w:rsid w:val="001C0090"/>
    <w:rsid w:val="001C0EC8"/>
    <w:rsid w:val="001C1EE8"/>
    <w:rsid w:val="001C227F"/>
    <w:rsid w:val="001C23A9"/>
    <w:rsid w:val="001C320A"/>
    <w:rsid w:val="001C361D"/>
    <w:rsid w:val="001C38EB"/>
    <w:rsid w:val="001C4E60"/>
    <w:rsid w:val="001C5B00"/>
    <w:rsid w:val="001C7AC4"/>
    <w:rsid w:val="001D0667"/>
    <w:rsid w:val="001D11AA"/>
    <w:rsid w:val="001D1BFC"/>
    <w:rsid w:val="001D2358"/>
    <w:rsid w:val="001D2E39"/>
    <w:rsid w:val="001D2FC4"/>
    <w:rsid w:val="001D4543"/>
    <w:rsid w:val="001D4FAC"/>
    <w:rsid w:val="001D51A9"/>
    <w:rsid w:val="001D5ABC"/>
    <w:rsid w:val="001D5D00"/>
    <w:rsid w:val="001D60A8"/>
    <w:rsid w:val="001D6136"/>
    <w:rsid w:val="001D6395"/>
    <w:rsid w:val="001D6650"/>
    <w:rsid w:val="001D7D6D"/>
    <w:rsid w:val="001E0DF0"/>
    <w:rsid w:val="001E1298"/>
    <w:rsid w:val="001E1659"/>
    <w:rsid w:val="001E1E35"/>
    <w:rsid w:val="001E2C42"/>
    <w:rsid w:val="001E3004"/>
    <w:rsid w:val="001E3931"/>
    <w:rsid w:val="001E44D8"/>
    <w:rsid w:val="001E4841"/>
    <w:rsid w:val="001E492E"/>
    <w:rsid w:val="001E4A94"/>
    <w:rsid w:val="001E5DC4"/>
    <w:rsid w:val="001E6A1F"/>
    <w:rsid w:val="001E734E"/>
    <w:rsid w:val="001E7447"/>
    <w:rsid w:val="001E7C56"/>
    <w:rsid w:val="001F03C2"/>
    <w:rsid w:val="001F03DE"/>
    <w:rsid w:val="001F0B94"/>
    <w:rsid w:val="001F1930"/>
    <w:rsid w:val="001F3351"/>
    <w:rsid w:val="001F5A0F"/>
    <w:rsid w:val="001F5B4D"/>
    <w:rsid w:val="001F64EF"/>
    <w:rsid w:val="001F69AD"/>
    <w:rsid w:val="0020070D"/>
    <w:rsid w:val="00200B0C"/>
    <w:rsid w:val="00200CCD"/>
    <w:rsid w:val="00201809"/>
    <w:rsid w:val="002023A0"/>
    <w:rsid w:val="002028F3"/>
    <w:rsid w:val="00202D82"/>
    <w:rsid w:val="00203229"/>
    <w:rsid w:val="002034BD"/>
    <w:rsid w:val="002047DE"/>
    <w:rsid w:val="00204800"/>
    <w:rsid w:val="0020506C"/>
    <w:rsid w:val="0020574F"/>
    <w:rsid w:val="00205CD3"/>
    <w:rsid w:val="00207DA5"/>
    <w:rsid w:val="00211AD1"/>
    <w:rsid w:val="0021231C"/>
    <w:rsid w:val="002129C8"/>
    <w:rsid w:val="00213653"/>
    <w:rsid w:val="00214146"/>
    <w:rsid w:val="00214196"/>
    <w:rsid w:val="002141C9"/>
    <w:rsid w:val="0021519A"/>
    <w:rsid w:val="0021580E"/>
    <w:rsid w:val="00216027"/>
    <w:rsid w:val="00216A30"/>
    <w:rsid w:val="00216BA0"/>
    <w:rsid w:val="00216F81"/>
    <w:rsid w:val="0021723E"/>
    <w:rsid w:val="002210DB"/>
    <w:rsid w:val="00222B84"/>
    <w:rsid w:val="00223068"/>
    <w:rsid w:val="00223B9F"/>
    <w:rsid w:val="002248EF"/>
    <w:rsid w:val="00224BAF"/>
    <w:rsid w:val="00225C6B"/>
    <w:rsid w:val="002261E5"/>
    <w:rsid w:val="0022709D"/>
    <w:rsid w:val="00227CA5"/>
    <w:rsid w:val="00231D68"/>
    <w:rsid w:val="00232276"/>
    <w:rsid w:val="002324B7"/>
    <w:rsid w:val="002329AD"/>
    <w:rsid w:val="00232D75"/>
    <w:rsid w:val="00233298"/>
    <w:rsid w:val="00233630"/>
    <w:rsid w:val="00235BE5"/>
    <w:rsid w:val="00235C36"/>
    <w:rsid w:val="00236B51"/>
    <w:rsid w:val="00237116"/>
    <w:rsid w:val="00240E5F"/>
    <w:rsid w:val="00241FD7"/>
    <w:rsid w:val="00242267"/>
    <w:rsid w:val="002424DE"/>
    <w:rsid w:val="002425C4"/>
    <w:rsid w:val="00242E98"/>
    <w:rsid w:val="00243CFD"/>
    <w:rsid w:val="00244CBA"/>
    <w:rsid w:val="00244CC7"/>
    <w:rsid w:val="00245B01"/>
    <w:rsid w:val="00247271"/>
    <w:rsid w:val="0024798C"/>
    <w:rsid w:val="002510DF"/>
    <w:rsid w:val="0025133A"/>
    <w:rsid w:val="00252686"/>
    <w:rsid w:val="00252F79"/>
    <w:rsid w:val="00255169"/>
    <w:rsid w:val="00255272"/>
    <w:rsid w:val="00255970"/>
    <w:rsid w:val="00256568"/>
    <w:rsid w:val="00256855"/>
    <w:rsid w:val="00256D21"/>
    <w:rsid w:val="0025758B"/>
    <w:rsid w:val="00260648"/>
    <w:rsid w:val="00260A70"/>
    <w:rsid w:val="002611D7"/>
    <w:rsid w:val="0026165E"/>
    <w:rsid w:val="00261BA7"/>
    <w:rsid w:val="00261D93"/>
    <w:rsid w:val="0026290F"/>
    <w:rsid w:val="00262969"/>
    <w:rsid w:val="00262ADA"/>
    <w:rsid w:val="00262ADD"/>
    <w:rsid w:val="002632FB"/>
    <w:rsid w:val="002633A2"/>
    <w:rsid w:val="00264D76"/>
    <w:rsid w:val="002658BF"/>
    <w:rsid w:val="00265B8E"/>
    <w:rsid w:val="00265D83"/>
    <w:rsid w:val="0026618A"/>
    <w:rsid w:val="002661B2"/>
    <w:rsid w:val="00266723"/>
    <w:rsid w:val="00271106"/>
    <w:rsid w:val="00271BCF"/>
    <w:rsid w:val="00273AD3"/>
    <w:rsid w:val="00273CBF"/>
    <w:rsid w:val="00274BFF"/>
    <w:rsid w:val="002760AE"/>
    <w:rsid w:val="00276C96"/>
    <w:rsid w:val="0027744A"/>
    <w:rsid w:val="00277D7B"/>
    <w:rsid w:val="00280AF3"/>
    <w:rsid w:val="00280B89"/>
    <w:rsid w:val="002812DD"/>
    <w:rsid w:val="002821A7"/>
    <w:rsid w:val="00282E71"/>
    <w:rsid w:val="0028385C"/>
    <w:rsid w:val="00283C0C"/>
    <w:rsid w:val="00284037"/>
    <w:rsid w:val="0028417E"/>
    <w:rsid w:val="0028443D"/>
    <w:rsid w:val="00284471"/>
    <w:rsid w:val="002850DB"/>
    <w:rsid w:val="0028588D"/>
    <w:rsid w:val="002868CD"/>
    <w:rsid w:val="00286BF8"/>
    <w:rsid w:val="00287026"/>
    <w:rsid w:val="0028706F"/>
    <w:rsid w:val="002901F8"/>
    <w:rsid w:val="0029042C"/>
    <w:rsid w:val="00290E8E"/>
    <w:rsid w:val="0029152A"/>
    <w:rsid w:val="00291DE8"/>
    <w:rsid w:val="002934DD"/>
    <w:rsid w:val="0029391E"/>
    <w:rsid w:val="00294276"/>
    <w:rsid w:val="002979E9"/>
    <w:rsid w:val="002A083E"/>
    <w:rsid w:val="002A11A9"/>
    <w:rsid w:val="002A15B3"/>
    <w:rsid w:val="002A1AE8"/>
    <w:rsid w:val="002A34F0"/>
    <w:rsid w:val="002A5899"/>
    <w:rsid w:val="002A5B04"/>
    <w:rsid w:val="002A6354"/>
    <w:rsid w:val="002A6779"/>
    <w:rsid w:val="002B050B"/>
    <w:rsid w:val="002B0AD1"/>
    <w:rsid w:val="002B0E86"/>
    <w:rsid w:val="002B104F"/>
    <w:rsid w:val="002B1B81"/>
    <w:rsid w:val="002B4B69"/>
    <w:rsid w:val="002B69F0"/>
    <w:rsid w:val="002B6D6A"/>
    <w:rsid w:val="002B7178"/>
    <w:rsid w:val="002B73F7"/>
    <w:rsid w:val="002B7C3F"/>
    <w:rsid w:val="002C11DD"/>
    <w:rsid w:val="002C1A40"/>
    <w:rsid w:val="002C21A6"/>
    <w:rsid w:val="002C284D"/>
    <w:rsid w:val="002C4197"/>
    <w:rsid w:val="002C4B51"/>
    <w:rsid w:val="002C51AC"/>
    <w:rsid w:val="002C67D3"/>
    <w:rsid w:val="002C7858"/>
    <w:rsid w:val="002C7A13"/>
    <w:rsid w:val="002C7E21"/>
    <w:rsid w:val="002D046E"/>
    <w:rsid w:val="002D13F5"/>
    <w:rsid w:val="002D20F0"/>
    <w:rsid w:val="002D38B4"/>
    <w:rsid w:val="002D43D4"/>
    <w:rsid w:val="002D4551"/>
    <w:rsid w:val="002D46BE"/>
    <w:rsid w:val="002D4C74"/>
    <w:rsid w:val="002D4C93"/>
    <w:rsid w:val="002D5177"/>
    <w:rsid w:val="002D68B3"/>
    <w:rsid w:val="002D6F27"/>
    <w:rsid w:val="002D703C"/>
    <w:rsid w:val="002D7C7C"/>
    <w:rsid w:val="002E112D"/>
    <w:rsid w:val="002E2984"/>
    <w:rsid w:val="002E3842"/>
    <w:rsid w:val="002E38C1"/>
    <w:rsid w:val="002E3EF9"/>
    <w:rsid w:val="002E664A"/>
    <w:rsid w:val="002E6686"/>
    <w:rsid w:val="002E6D3D"/>
    <w:rsid w:val="002E6D89"/>
    <w:rsid w:val="002E78E9"/>
    <w:rsid w:val="002E7F73"/>
    <w:rsid w:val="002F0186"/>
    <w:rsid w:val="002F18B5"/>
    <w:rsid w:val="002F1AD8"/>
    <w:rsid w:val="002F2155"/>
    <w:rsid w:val="002F227D"/>
    <w:rsid w:val="002F4AE1"/>
    <w:rsid w:val="002F573D"/>
    <w:rsid w:val="002F6283"/>
    <w:rsid w:val="002F68ED"/>
    <w:rsid w:val="002F6C48"/>
    <w:rsid w:val="002F7481"/>
    <w:rsid w:val="002F7F6A"/>
    <w:rsid w:val="003001AE"/>
    <w:rsid w:val="00300215"/>
    <w:rsid w:val="003004BF"/>
    <w:rsid w:val="003015AB"/>
    <w:rsid w:val="0030193F"/>
    <w:rsid w:val="003023E2"/>
    <w:rsid w:val="0030287B"/>
    <w:rsid w:val="00303E73"/>
    <w:rsid w:val="003043B4"/>
    <w:rsid w:val="00304498"/>
    <w:rsid w:val="003052F9"/>
    <w:rsid w:val="00306885"/>
    <w:rsid w:val="003070B3"/>
    <w:rsid w:val="00307E2A"/>
    <w:rsid w:val="00311999"/>
    <w:rsid w:val="00311BE4"/>
    <w:rsid w:val="00312288"/>
    <w:rsid w:val="00312339"/>
    <w:rsid w:val="00312AF1"/>
    <w:rsid w:val="00313694"/>
    <w:rsid w:val="0031403B"/>
    <w:rsid w:val="003159E5"/>
    <w:rsid w:val="00315EEE"/>
    <w:rsid w:val="00316016"/>
    <w:rsid w:val="003171C2"/>
    <w:rsid w:val="0032053D"/>
    <w:rsid w:val="00320627"/>
    <w:rsid w:val="003208E4"/>
    <w:rsid w:val="00320FD3"/>
    <w:rsid w:val="003210D1"/>
    <w:rsid w:val="003218B6"/>
    <w:rsid w:val="003227B7"/>
    <w:rsid w:val="00322F29"/>
    <w:rsid w:val="00323496"/>
    <w:rsid w:val="00324E46"/>
    <w:rsid w:val="0032523E"/>
    <w:rsid w:val="003269CD"/>
    <w:rsid w:val="00326F96"/>
    <w:rsid w:val="00327275"/>
    <w:rsid w:val="00327DE6"/>
    <w:rsid w:val="003313F5"/>
    <w:rsid w:val="00332FD6"/>
    <w:rsid w:val="00333193"/>
    <w:rsid w:val="00333E4F"/>
    <w:rsid w:val="003346A4"/>
    <w:rsid w:val="00335041"/>
    <w:rsid w:val="00335278"/>
    <w:rsid w:val="00335440"/>
    <w:rsid w:val="003358AB"/>
    <w:rsid w:val="00335D65"/>
    <w:rsid w:val="00335E9B"/>
    <w:rsid w:val="003368F6"/>
    <w:rsid w:val="0033702F"/>
    <w:rsid w:val="003370D3"/>
    <w:rsid w:val="003372D0"/>
    <w:rsid w:val="003375C9"/>
    <w:rsid w:val="003406EA"/>
    <w:rsid w:val="00340996"/>
    <w:rsid w:val="00342099"/>
    <w:rsid w:val="00343466"/>
    <w:rsid w:val="0034495B"/>
    <w:rsid w:val="00345042"/>
    <w:rsid w:val="00345ABC"/>
    <w:rsid w:val="0034613B"/>
    <w:rsid w:val="00350183"/>
    <w:rsid w:val="00350793"/>
    <w:rsid w:val="00351032"/>
    <w:rsid w:val="003513DA"/>
    <w:rsid w:val="003518F9"/>
    <w:rsid w:val="003522AD"/>
    <w:rsid w:val="00352BBE"/>
    <w:rsid w:val="0035360F"/>
    <w:rsid w:val="003537DB"/>
    <w:rsid w:val="00354539"/>
    <w:rsid w:val="00354E6D"/>
    <w:rsid w:val="00354EB1"/>
    <w:rsid w:val="003574D3"/>
    <w:rsid w:val="0035776B"/>
    <w:rsid w:val="0035779D"/>
    <w:rsid w:val="003579A7"/>
    <w:rsid w:val="00357CDC"/>
    <w:rsid w:val="00360875"/>
    <w:rsid w:val="00360F89"/>
    <w:rsid w:val="00361DAC"/>
    <w:rsid w:val="00362A10"/>
    <w:rsid w:val="00362B36"/>
    <w:rsid w:val="00362EF1"/>
    <w:rsid w:val="003630E1"/>
    <w:rsid w:val="003638F5"/>
    <w:rsid w:val="00363CDB"/>
    <w:rsid w:val="00363E06"/>
    <w:rsid w:val="0036418F"/>
    <w:rsid w:val="00364F6D"/>
    <w:rsid w:val="00365395"/>
    <w:rsid w:val="00365A95"/>
    <w:rsid w:val="00365F2D"/>
    <w:rsid w:val="0036620F"/>
    <w:rsid w:val="00370829"/>
    <w:rsid w:val="00370D86"/>
    <w:rsid w:val="00370E75"/>
    <w:rsid w:val="003712E7"/>
    <w:rsid w:val="00371C84"/>
    <w:rsid w:val="003721DD"/>
    <w:rsid w:val="0037331A"/>
    <w:rsid w:val="0037383E"/>
    <w:rsid w:val="00373C7C"/>
    <w:rsid w:val="0037531B"/>
    <w:rsid w:val="003764CE"/>
    <w:rsid w:val="00376613"/>
    <w:rsid w:val="00376E9B"/>
    <w:rsid w:val="003776EC"/>
    <w:rsid w:val="003779C5"/>
    <w:rsid w:val="003803FE"/>
    <w:rsid w:val="003804B4"/>
    <w:rsid w:val="003806AF"/>
    <w:rsid w:val="00380BF3"/>
    <w:rsid w:val="00380C62"/>
    <w:rsid w:val="00381C7E"/>
    <w:rsid w:val="00381E98"/>
    <w:rsid w:val="00381FA9"/>
    <w:rsid w:val="00382C00"/>
    <w:rsid w:val="00382C1D"/>
    <w:rsid w:val="003835B0"/>
    <w:rsid w:val="00384883"/>
    <w:rsid w:val="003850DF"/>
    <w:rsid w:val="0038584A"/>
    <w:rsid w:val="00385AA8"/>
    <w:rsid w:val="00386B01"/>
    <w:rsid w:val="00387236"/>
    <w:rsid w:val="0039024C"/>
    <w:rsid w:val="00390B6D"/>
    <w:rsid w:val="0039104E"/>
    <w:rsid w:val="0039136D"/>
    <w:rsid w:val="00391537"/>
    <w:rsid w:val="00391750"/>
    <w:rsid w:val="00391D02"/>
    <w:rsid w:val="00394A79"/>
    <w:rsid w:val="00394E2E"/>
    <w:rsid w:val="00395A95"/>
    <w:rsid w:val="00395AD1"/>
    <w:rsid w:val="00397F2E"/>
    <w:rsid w:val="003A2120"/>
    <w:rsid w:val="003A5315"/>
    <w:rsid w:val="003A6436"/>
    <w:rsid w:val="003A6783"/>
    <w:rsid w:val="003A76AD"/>
    <w:rsid w:val="003A79E3"/>
    <w:rsid w:val="003A7BD4"/>
    <w:rsid w:val="003B0722"/>
    <w:rsid w:val="003B14B6"/>
    <w:rsid w:val="003B2921"/>
    <w:rsid w:val="003B2DBA"/>
    <w:rsid w:val="003B3C54"/>
    <w:rsid w:val="003B460C"/>
    <w:rsid w:val="003B4898"/>
    <w:rsid w:val="003B5545"/>
    <w:rsid w:val="003B562D"/>
    <w:rsid w:val="003B56DB"/>
    <w:rsid w:val="003B5E74"/>
    <w:rsid w:val="003B7395"/>
    <w:rsid w:val="003B75DC"/>
    <w:rsid w:val="003B7982"/>
    <w:rsid w:val="003C0279"/>
    <w:rsid w:val="003C0518"/>
    <w:rsid w:val="003C0A19"/>
    <w:rsid w:val="003C0D27"/>
    <w:rsid w:val="003C2178"/>
    <w:rsid w:val="003C2406"/>
    <w:rsid w:val="003C2E57"/>
    <w:rsid w:val="003C2E87"/>
    <w:rsid w:val="003C2F6C"/>
    <w:rsid w:val="003C3C67"/>
    <w:rsid w:val="003C3F3D"/>
    <w:rsid w:val="003C4081"/>
    <w:rsid w:val="003C5A38"/>
    <w:rsid w:val="003C5D63"/>
    <w:rsid w:val="003C69C6"/>
    <w:rsid w:val="003C6E90"/>
    <w:rsid w:val="003D0EEA"/>
    <w:rsid w:val="003D1271"/>
    <w:rsid w:val="003D1366"/>
    <w:rsid w:val="003D1A7E"/>
    <w:rsid w:val="003D23A7"/>
    <w:rsid w:val="003D2EA4"/>
    <w:rsid w:val="003D309D"/>
    <w:rsid w:val="003D3643"/>
    <w:rsid w:val="003D371F"/>
    <w:rsid w:val="003D37BB"/>
    <w:rsid w:val="003D386C"/>
    <w:rsid w:val="003D4A0F"/>
    <w:rsid w:val="003D4EF0"/>
    <w:rsid w:val="003D5878"/>
    <w:rsid w:val="003D6739"/>
    <w:rsid w:val="003D7867"/>
    <w:rsid w:val="003E0481"/>
    <w:rsid w:val="003E185C"/>
    <w:rsid w:val="003E1880"/>
    <w:rsid w:val="003E2FA8"/>
    <w:rsid w:val="003E4867"/>
    <w:rsid w:val="003E49E6"/>
    <w:rsid w:val="003E535F"/>
    <w:rsid w:val="003E5381"/>
    <w:rsid w:val="003E5EE5"/>
    <w:rsid w:val="003E619B"/>
    <w:rsid w:val="003E797F"/>
    <w:rsid w:val="003E7A9D"/>
    <w:rsid w:val="003E7DC1"/>
    <w:rsid w:val="003F044C"/>
    <w:rsid w:val="003F0ABA"/>
    <w:rsid w:val="003F0EDD"/>
    <w:rsid w:val="003F1636"/>
    <w:rsid w:val="003F1A82"/>
    <w:rsid w:val="003F1D46"/>
    <w:rsid w:val="003F24EB"/>
    <w:rsid w:val="003F2B76"/>
    <w:rsid w:val="003F328C"/>
    <w:rsid w:val="003F4904"/>
    <w:rsid w:val="003F4FAB"/>
    <w:rsid w:val="003F58DC"/>
    <w:rsid w:val="003F64FE"/>
    <w:rsid w:val="003F6C96"/>
    <w:rsid w:val="003F71EF"/>
    <w:rsid w:val="003F79ED"/>
    <w:rsid w:val="00400003"/>
    <w:rsid w:val="00400195"/>
    <w:rsid w:val="00401704"/>
    <w:rsid w:val="004024EB"/>
    <w:rsid w:val="004026AE"/>
    <w:rsid w:val="004027C4"/>
    <w:rsid w:val="00403AB0"/>
    <w:rsid w:val="004046BE"/>
    <w:rsid w:val="00404A6E"/>
    <w:rsid w:val="00404E19"/>
    <w:rsid w:val="0040519F"/>
    <w:rsid w:val="004053EE"/>
    <w:rsid w:val="0040680A"/>
    <w:rsid w:val="004068E3"/>
    <w:rsid w:val="00407042"/>
    <w:rsid w:val="00407738"/>
    <w:rsid w:val="00407DA5"/>
    <w:rsid w:val="00407DEC"/>
    <w:rsid w:val="00410E95"/>
    <w:rsid w:val="0041201B"/>
    <w:rsid w:val="00414195"/>
    <w:rsid w:val="004143FA"/>
    <w:rsid w:val="004148BA"/>
    <w:rsid w:val="00414ED7"/>
    <w:rsid w:val="004152EB"/>
    <w:rsid w:val="004154AC"/>
    <w:rsid w:val="004157AD"/>
    <w:rsid w:val="00416AD7"/>
    <w:rsid w:val="00416EF2"/>
    <w:rsid w:val="00417659"/>
    <w:rsid w:val="00420CBB"/>
    <w:rsid w:val="004223FC"/>
    <w:rsid w:val="00423390"/>
    <w:rsid w:val="00423699"/>
    <w:rsid w:val="00424BFB"/>
    <w:rsid w:val="00424E35"/>
    <w:rsid w:val="0042552A"/>
    <w:rsid w:val="00426C1F"/>
    <w:rsid w:val="00427980"/>
    <w:rsid w:val="00431F3F"/>
    <w:rsid w:val="00433ECC"/>
    <w:rsid w:val="0043472C"/>
    <w:rsid w:val="00435D17"/>
    <w:rsid w:val="00436D69"/>
    <w:rsid w:val="004429E7"/>
    <w:rsid w:val="00442BCF"/>
    <w:rsid w:val="0044462B"/>
    <w:rsid w:val="00444E27"/>
    <w:rsid w:val="00445380"/>
    <w:rsid w:val="004458B7"/>
    <w:rsid w:val="00447C78"/>
    <w:rsid w:val="00450670"/>
    <w:rsid w:val="004507C5"/>
    <w:rsid w:val="00450D77"/>
    <w:rsid w:val="00450EAB"/>
    <w:rsid w:val="0045217F"/>
    <w:rsid w:val="00453911"/>
    <w:rsid w:val="00454257"/>
    <w:rsid w:val="00454A72"/>
    <w:rsid w:val="00454D46"/>
    <w:rsid w:val="00455350"/>
    <w:rsid w:val="00455621"/>
    <w:rsid w:val="00455880"/>
    <w:rsid w:val="0045796A"/>
    <w:rsid w:val="00460231"/>
    <w:rsid w:val="00460640"/>
    <w:rsid w:val="0046146F"/>
    <w:rsid w:val="004619BF"/>
    <w:rsid w:val="004619F6"/>
    <w:rsid w:val="00461CD6"/>
    <w:rsid w:val="00461E35"/>
    <w:rsid w:val="004632A6"/>
    <w:rsid w:val="00463FAB"/>
    <w:rsid w:val="00465915"/>
    <w:rsid w:val="00465D34"/>
    <w:rsid w:val="004668B9"/>
    <w:rsid w:val="00470015"/>
    <w:rsid w:val="004707EF"/>
    <w:rsid w:val="00470BA3"/>
    <w:rsid w:val="00470C3D"/>
    <w:rsid w:val="00470E90"/>
    <w:rsid w:val="00471A4A"/>
    <w:rsid w:val="00471C17"/>
    <w:rsid w:val="0047332C"/>
    <w:rsid w:val="0047343C"/>
    <w:rsid w:val="00474360"/>
    <w:rsid w:val="00474544"/>
    <w:rsid w:val="00474AF3"/>
    <w:rsid w:val="00474EE1"/>
    <w:rsid w:val="00474F62"/>
    <w:rsid w:val="0047535F"/>
    <w:rsid w:val="004770CF"/>
    <w:rsid w:val="004773CB"/>
    <w:rsid w:val="0047741A"/>
    <w:rsid w:val="0047787D"/>
    <w:rsid w:val="004805A8"/>
    <w:rsid w:val="0048084E"/>
    <w:rsid w:val="00480905"/>
    <w:rsid w:val="00480A29"/>
    <w:rsid w:val="00480F59"/>
    <w:rsid w:val="004819DD"/>
    <w:rsid w:val="0048248E"/>
    <w:rsid w:val="00482CAD"/>
    <w:rsid w:val="00482EF8"/>
    <w:rsid w:val="00484425"/>
    <w:rsid w:val="00484AF7"/>
    <w:rsid w:val="00486499"/>
    <w:rsid w:val="0048698A"/>
    <w:rsid w:val="00490F20"/>
    <w:rsid w:val="00491898"/>
    <w:rsid w:val="00491C68"/>
    <w:rsid w:val="00492D6A"/>
    <w:rsid w:val="004941D6"/>
    <w:rsid w:val="004944C5"/>
    <w:rsid w:val="0049530F"/>
    <w:rsid w:val="004958C9"/>
    <w:rsid w:val="00496588"/>
    <w:rsid w:val="00497A24"/>
    <w:rsid w:val="00497AD3"/>
    <w:rsid w:val="004A1AD4"/>
    <w:rsid w:val="004A269F"/>
    <w:rsid w:val="004A38FD"/>
    <w:rsid w:val="004A3BC7"/>
    <w:rsid w:val="004A41DF"/>
    <w:rsid w:val="004A4314"/>
    <w:rsid w:val="004A4398"/>
    <w:rsid w:val="004A449E"/>
    <w:rsid w:val="004A48E6"/>
    <w:rsid w:val="004A4E17"/>
    <w:rsid w:val="004A62BF"/>
    <w:rsid w:val="004A6480"/>
    <w:rsid w:val="004A6B96"/>
    <w:rsid w:val="004A73BA"/>
    <w:rsid w:val="004B1DF7"/>
    <w:rsid w:val="004B2224"/>
    <w:rsid w:val="004B24B5"/>
    <w:rsid w:val="004B29B9"/>
    <w:rsid w:val="004B338F"/>
    <w:rsid w:val="004B370D"/>
    <w:rsid w:val="004B3C4F"/>
    <w:rsid w:val="004B6335"/>
    <w:rsid w:val="004B6EC9"/>
    <w:rsid w:val="004B7B25"/>
    <w:rsid w:val="004B7C03"/>
    <w:rsid w:val="004C0298"/>
    <w:rsid w:val="004C0852"/>
    <w:rsid w:val="004C10F2"/>
    <w:rsid w:val="004C145E"/>
    <w:rsid w:val="004C1676"/>
    <w:rsid w:val="004C1CA8"/>
    <w:rsid w:val="004C1E8C"/>
    <w:rsid w:val="004C1FD2"/>
    <w:rsid w:val="004C273C"/>
    <w:rsid w:val="004C41F0"/>
    <w:rsid w:val="004C4531"/>
    <w:rsid w:val="004C46C7"/>
    <w:rsid w:val="004C4BC8"/>
    <w:rsid w:val="004C777E"/>
    <w:rsid w:val="004D0409"/>
    <w:rsid w:val="004D05E2"/>
    <w:rsid w:val="004D2254"/>
    <w:rsid w:val="004D31B5"/>
    <w:rsid w:val="004D3BCD"/>
    <w:rsid w:val="004D3C94"/>
    <w:rsid w:val="004D3F72"/>
    <w:rsid w:val="004D407E"/>
    <w:rsid w:val="004D4218"/>
    <w:rsid w:val="004D44CA"/>
    <w:rsid w:val="004D514C"/>
    <w:rsid w:val="004D632B"/>
    <w:rsid w:val="004D6442"/>
    <w:rsid w:val="004D655D"/>
    <w:rsid w:val="004D6849"/>
    <w:rsid w:val="004D6C8B"/>
    <w:rsid w:val="004E04FF"/>
    <w:rsid w:val="004E07D0"/>
    <w:rsid w:val="004E0B56"/>
    <w:rsid w:val="004E28E7"/>
    <w:rsid w:val="004E3358"/>
    <w:rsid w:val="004E345A"/>
    <w:rsid w:val="004E3900"/>
    <w:rsid w:val="004E3A72"/>
    <w:rsid w:val="004E4BC4"/>
    <w:rsid w:val="004E59AA"/>
    <w:rsid w:val="004E671F"/>
    <w:rsid w:val="004E69CB"/>
    <w:rsid w:val="004E6BD6"/>
    <w:rsid w:val="004E73EC"/>
    <w:rsid w:val="004F0B69"/>
    <w:rsid w:val="004F2927"/>
    <w:rsid w:val="004F3D80"/>
    <w:rsid w:val="004F3EF9"/>
    <w:rsid w:val="004F519B"/>
    <w:rsid w:val="004F677F"/>
    <w:rsid w:val="004F6B8D"/>
    <w:rsid w:val="004F730A"/>
    <w:rsid w:val="004F7BDA"/>
    <w:rsid w:val="0050010C"/>
    <w:rsid w:val="00500207"/>
    <w:rsid w:val="00501DEC"/>
    <w:rsid w:val="005023D8"/>
    <w:rsid w:val="00503169"/>
    <w:rsid w:val="005035D4"/>
    <w:rsid w:val="00504825"/>
    <w:rsid w:val="00505281"/>
    <w:rsid w:val="0050630C"/>
    <w:rsid w:val="0050634F"/>
    <w:rsid w:val="005115E2"/>
    <w:rsid w:val="00511C63"/>
    <w:rsid w:val="00513ABC"/>
    <w:rsid w:val="00513FE6"/>
    <w:rsid w:val="00514599"/>
    <w:rsid w:val="005145A1"/>
    <w:rsid w:val="00514F56"/>
    <w:rsid w:val="005152D9"/>
    <w:rsid w:val="005153A3"/>
    <w:rsid w:val="00515A49"/>
    <w:rsid w:val="00515B13"/>
    <w:rsid w:val="0051632A"/>
    <w:rsid w:val="005204B3"/>
    <w:rsid w:val="00520E62"/>
    <w:rsid w:val="00521A80"/>
    <w:rsid w:val="00521C98"/>
    <w:rsid w:val="00522355"/>
    <w:rsid w:val="0052350C"/>
    <w:rsid w:val="00523D29"/>
    <w:rsid w:val="00523DFA"/>
    <w:rsid w:val="00523F0B"/>
    <w:rsid w:val="005253A2"/>
    <w:rsid w:val="00525C2A"/>
    <w:rsid w:val="00527379"/>
    <w:rsid w:val="00527A01"/>
    <w:rsid w:val="00530270"/>
    <w:rsid w:val="0053050D"/>
    <w:rsid w:val="00530899"/>
    <w:rsid w:val="00531860"/>
    <w:rsid w:val="00533011"/>
    <w:rsid w:val="005336E4"/>
    <w:rsid w:val="00534656"/>
    <w:rsid w:val="0053626A"/>
    <w:rsid w:val="00536F3B"/>
    <w:rsid w:val="00537BDA"/>
    <w:rsid w:val="00541C7A"/>
    <w:rsid w:val="0054209C"/>
    <w:rsid w:val="005430CB"/>
    <w:rsid w:val="0054376E"/>
    <w:rsid w:val="00543812"/>
    <w:rsid w:val="00544139"/>
    <w:rsid w:val="0054623F"/>
    <w:rsid w:val="005463F9"/>
    <w:rsid w:val="00546556"/>
    <w:rsid w:val="00546E60"/>
    <w:rsid w:val="00547F52"/>
    <w:rsid w:val="00551399"/>
    <w:rsid w:val="00552425"/>
    <w:rsid w:val="00552FEA"/>
    <w:rsid w:val="005540E3"/>
    <w:rsid w:val="00555AE0"/>
    <w:rsid w:val="005575AF"/>
    <w:rsid w:val="00560992"/>
    <w:rsid w:val="00560FAE"/>
    <w:rsid w:val="00561932"/>
    <w:rsid w:val="00564741"/>
    <w:rsid w:val="005655A5"/>
    <w:rsid w:val="00565D98"/>
    <w:rsid w:val="00566024"/>
    <w:rsid w:val="00567FD3"/>
    <w:rsid w:val="005706E3"/>
    <w:rsid w:val="005709B7"/>
    <w:rsid w:val="00572701"/>
    <w:rsid w:val="00572C36"/>
    <w:rsid w:val="005738AA"/>
    <w:rsid w:val="00574E43"/>
    <w:rsid w:val="00575156"/>
    <w:rsid w:val="00575B57"/>
    <w:rsid w:val="00575C39"/>
    <w:rsid w:val="00575C64"/>
    <w:rsid w:val="00576A04"/>
    <w:rsid w:val="00577892"/>
    <w:rsid w:val="00577F09"/>
    <w:rsid w:val="0058082B"/>
    <w:rsid w:val="0058197C"/>
    <w:rsid w:val="00581AAA"/>
    <w:rsid w:val="00582BCC"/>
    <w:rsid w:val="00582C5B"/>
    <w:rsid w:val="00583016"/>
    <w:rsid w:val="00583048"/>
    <w:rsid w:val="005837B2"/>
    <w:rsid w:val="00584352"/>
    <w:rsid w:val="00584482"/>
    <w:rsid w:val="005844AC"/>
    <w:rsid w:val="00585E2B"/>
    <w:rsid w:val="00586D40"/>
    <w:rsid w:val="0058786D"/>
    <w:rsid w:val="00590009"/>
    <w:rsid w:val="00590AC1"/>
    <w:rsid w:val="00591EB4"/>
    <w:rsid w:val="00592149"/>
    <w:rsid w:val="00592641"/>
    <w:rsid w:val="00593B52"/>
    <w:rsid w:val="005942DB"/>
    <w:rsid w:val="0059498A"/>
    <w:rsid w:val="00595299"/>
    <w:rsid w:val="0059601E"/>
    <w:rsid w:val="00596248"/>
    <w:rsid w:val="005A0C25"/>
    <w:rsid w:val="005A1686"/>
    <w:rsid w:val="005A16EE"/>
    <w:rsid w:val="005A4280"/>
    <w:rsid w:val="005A4A3A"/>
    <w:rsid w:val="005A520A"/>
    <w:rsid w:val="005A609C"/>
    <w:rsid w:val="005A6A00"/>
    <w:rsid w:val="005A773A"/>
    <w:rsid w:val="005B12B5"/>
    <w:rsid w:val="005B1337"/>
    <w:rsid w:val="005B133A"/>
    <w:rsid w:val="005B16E4"/>
    <w:rsid w:val="005B17B0"/>
    <w:rsid w:val="005B1CCF"/>
    <w:rsid w:val="005B3CD5"/>
    <w:rsid w:val="005B3EA5"/>
    <w:rsid w:val="005B426D"/>
    <w:rsid w:val="005B4798"/>
    <w:rsid w:val="005B5A60"/>
    <w:rsid w:val="005B6D0C"/>
    <w:rsid w:val="005B7547"/>
    <w:rsid w:val="005C0013"/>
    <w:rsid w:val="005C1207"/>
    <w:rsid w:val="005C1544"/>
    <w:rsid w:val="005C2BA0"/>
    <w:rsid w:val="005C3070"/>
    <w:rsid w:val="005C4461"/>
    <w:rsid w:val="005C47FA"/>
    <w:rsid w:val="005C50D8"/>
    <w:rsid w:val="005C5C70"/>
    <w:rsid w:val="005C70B1"/>
    <w:rsid w:val="005C716E"/>
    <w:rsid w:val="005C7FD7"/>
    <w:rsid w:val="005D028D"/>
    <w:rsid w:val="005D04AC"/>
    <w:rsid w:val="005D0FB6"/>
    <w:rsid w:val="005D1CEE"/>
    <w:rsid w:val="005D2650"/>
    <w:rsid w:val="005D3330"/>
    <w:rsid w:val="005D3B71"/>
    <w:rsid w:val="005D4293"/>
    <w:rsid w:val="005D4744"/>
    <w:rsid w:val="005D47D0"/>
    <w:rsid w:val="005D4DD1"/>
    <w:rsid w:val="005D5788"/>
    <w:rsid w:val="005E180E"/>
    <w:rsid w:val="005E1C33"/>
    <w:rsid w:val="005E1EAF"/>
    <w:rsid w:val="005E36C9"/>
    <w:rsid w:val="005E4A69"/>
    <w:rsid w:val="005E4B77"/>
    <w:rsid w:val="005E5312"/>
    <w:rsid w:val="005F033B"/>
    <w:rsid w:val="005F1421"/>
    <w:rsid w:val="005F394E"/>
    <w:rsid w:val="005F4ADB"/>
    <w:rsid w:val="005F54FF"/>
    <w:rsid w:val="005F7A02"/>
    <w:rsid w:val="005F7B35"/>
    <w:rsid w:val="0060059D"/>
    <w:rsid w:val="00601DD5"/>
    <w:rsid w:val="0060505D"/>
    <w:rsid w:val="0060665D"/>
    <w:rsid w:val="00606A22"/>
    <w:rsid w:val="006073CD"/>
    <w:rsid w:val="00607EC2"/>
    <w:rsid w:val="00610603"/>
    <w:rsid w:val="00610915"/>
    <w:rsid w:val="00610C47"/>
    <w:rsid w:val="00611D6F"/>
    <w:rsid w:val="00611E78"/>
    <w:rsid w:val="0061356C"/>
    <w:rsid w:val="00613BEE"/>
    <w:rsid w:val="0061581B"/>
    <w:rsid w:val="00616D9F"/>
    <w:rsid w:val="006178E2"/>
    <w:rsid w:val="00617B11"/>
    <w:rsid w:val="006201D2"/>
    <w:rsid w:val="0062055B"/>
    <w:rsid w:val="00621969"/>
    <w:rsid w:val="00622256"/>
    <w:rsid w:val="006233A8"/>
    <w:rsid w:val="00624BCA"/>
    <w:rsid w:val="00625691"/>
    <w:rsid w:val="00625833"/>
    <w:rsid w:val="00625945"/>
    <w:rsid w:val="00625AAA"/>
    <w:rsid w:val="006264CC"/>
    <w:rsid w:val="006273D8"/>
    <w:rsid w:val="006274F3"/>
    <w:rsid w:val="00630724"/>
    <w:rsid w:val="00630A20"/>
    <w:rsid w:val="00631E15"/>
    <w:rsid w:val="00632242"/>
    <w:rsid w:val="00632D02"/>
    <w:rsid w:val="00633C7E"/>
    <w:rsid w:val="0063466F"/>
    <w:rsid w:val="00634901"/>
    <w:rsid w:val="006349FD"/>
    <w:rsid w:val="00637D38"/>
    <w:rsid w:val="00640C86"/>
    <w:rsid w:val="00642570"/>
    <w:rsid w:val="006425F2"/>
    <w:rsid w:val="0064349F"/>
    <w:rsid w:val="00644CB4"/>
    <w:rsid w:val="0065027E"/>
    <w:rsid w:val="00650F41"/>
    <w:rsid w:val="006516DA"/>
    <w:rsid w:val="00651D1D"/>
    <w:rsid w:val="00651FA3"/>
    <w:rsid w:val="006524A0"/>
    <w:rsid w:val="006525F5"/>
    <w:rsid w:val="00652FD2"/>
    <w:rsid w:val="00653737"/>
    <w:rsid w:val="006539A3"/>
    <w:rsid w:val="00656505"/>
    <w:rsid w:val="00656729"/>
    <w:rsid w:val="006568D0"/>
    <w:rsid w:val="00656955"/>
    <w:rsid w:val="00660271"/>
    <w:rsid w:val="00660AB7"/>
    <w:rsid w:val="006610C6"/>
    <w:rsid w:val="0066145C"/>
    <w:rsid w:val="00661F09"/>
    <w:rsid w:val="00661F9E"/>
    <w:rsid w:val="006626DD"/>
    <w:rsid w:val="006642B4"/>
    <w:rsid w:val="00665A84"/>
    <w:rsid w:val="00666428"/>
    <w:rsid w:val="00666EC0"/>
    <w:rsid w:val="00667516"/>
    <w:rsid w:val="00670220"/>
    <w:rsid w:val="00670511"/>
    <w:rsid w:val="006713FC"/>
    <w:rsid w:val="0067216C"/>
    <w:rsid w:val="00672605"/>
    <w:rsid w:val="00672844"/>
    <w:rsid w:val="00673A75"/>
    <w:rsid w:val="00673AA3"/>
    <w:rsid w:val="006748C2"/>
    <w:rsid w:val="00676887"/>
    <w:rsid w:val="00676A64"/>
    <w:rsid w:val="00676AB6"/>
    <w:rsid w:val="00676F9E"/>
    <w:rsid w:val="0067778F"/>
    <w:rsid w:val="006777AE"/>
    <w:rsid w:val="00680B64"/>
    <w:rsid w:val="00680C55"/>
    <w:rsid w:val="00683DB1"/>
    <w:rsid w:val="00684CBA"/>
    <w:rsid w:val="00684CD5"/>
    <w:rsid w:val="006859A6"/>
    <w:rsid w:val="0069045C"/>
    <w:rsid w:val="00690A6C"/>
    <w:rsid w:val="006913B0"/>
    <w:rsid w:val="00691549"/>
    <w:rsid w:val="0069198F"/>
    <w:rsid w:val="00691A9F"/>
    <w:rsid w:val="00692402"/>
    <w:rsid w:val="006927D1"/>
    <w:rsid w:val="00693F20"/>
    <w:rsid w:val="006940E4"/>
    <w:rsid w:val="00696770"/>
    <w:rsid w:val="00696B9C"/>
    <w:rsid w:val="0069728D"/>
    <w:rsid w:val="00697743"/>
    <w:rsid w:val="006A0947"/>
    <w:rsid w:val="006A0B54"/>
    <w:rsid w:val="006A1B52"/>
    <w:rsid w:val="006A2790"/>
    <w:rsid w:val="006A44C5"/>
    <w:rsid w:val="006A7C52"/>
    <w:rsid w:val="006A7DDB"/>
    <w:rsid w:val="006B1BF7"/>
    <w:rsid w:val="006B2AA4"/>
    <w:rsid w:val="006B2D9E"/>
    <w:rsid w:val="006B3178"/>
    <w:rsid w:val="006B33E7"/>
    <w:rsid w:val="006B3B93"/>
    <w:rsid w:val="006B3BA2"/>
    <w:rsid w:val="006B5D0E"/>
    <w:rsid w:val="006B6225"/>
    <w:rsid w:val="006B689D"/>
    <w:rsid w:val="006B69B1"/>
    <w:rsid w:val="006B6C84"/>
    <w:rsid w:val="006B6F6C"/>
    <w:rsid w:val="006B7A6C"/>
    <w:rsid w:val="006B7D43"/>
    <w:rsid w:val="006C0ED7"/>
    <w:rsid w:val="006C1AA6"/>
    <w:rsid w:val="006C1EEC"/>
    <w:rsid w:val="006C237B"/>
    <w:rsid w:val="006C260D"/>
    <w:rsid w:val="006C2711"/>
    <w:rsid w:val="006C2C03"/>
    <w:rsid w:val="006C5469"/>
    <w:rsid w:val="006C5F39"/>
    <w:rsid w:val="006C6B74"/>
    <w:rsid w:val="006D00DB"/>
    <w:rsid w:val="006D12C7"/>
    <w:rsid w:val="006D1B0D"/>
    <w:rsid w:val="006D25BE"/>
    <w:rsid w:val="006D2D86"/>
    <w:rsid w:val="006D331C"/>
    <w:rsid w:val="006D381E"/>
    <w:rsid w:val="006D49CD"/>
    <w:rsid w:val="006D7B91"/>
    <w:rsid w:val="006E00F5"/>
    <w:rsid w:val="006E1CEB"/>
    <w:rsid w:val="006E269E"/>
    <w:rsid w:val="006E407E"/>
    <w:rsid w:val="006E4AAF"/>
    <w:rsid w:val="006E4CF7"/>
    <w:rsid w:val="006E524B"/>
    <w:rsid w:val="006E52D4"/>
    <w:rsid w:val="006E6B9D"/>
    <w:rsid w:val="006F030E"/>
    <w:rsid w:val="006F11F8"/>
    <w:rsid w:val="006F1629"/>
    <w:rsid w:val="006F16BF"/>
    <w:rsid w:val="006F224A"/>
    <w:rsid w:val="006F43C3"/>
    <w:rsid w:val="006F5AB7"/>
    <w:rsid w:val="006F5E17"/>
    <w:rsid w:val="006F626A"/>
    <w:rsid w:val="006F69B0"/>
    <w:rsid w:val="00700573"/>
    <w:rsid w:val="007008B6"/>
    <w:rsid w:val="00700E8F"/>
    <w:rsid w:val="0070170A"/>
    <w:rsid w:val="0070190E"/>
    <w:rsid w:val="007027FA"/>
    <w:rsid w:val="00702D3C"/>
    <w:rsid w:val="00703410"/>
    <w:rsid w:val="00704599"/>
    <w:rsid w:val="007053A8"/>
    <w:rsid w:val="00706A3B"/>
    <w:rsid w:val="0070746C"/>
    <w:rsid w:val="007076C0"/>
    <w:rsid w:val="00710407"/>
    <w:rsid w:val="00710444"/>
    <w:rsid w:val="00710C64"/>
    <w:rsid w:val="00711358"/>
    <w:rsid w:val="007117A2"/>
    <w:rsid w:val="007129DC"/>
    <w:rsid w:val="00712A70"/>
    <w:rsid w:val="007133FA"/>
    <w:rsid w:val="007151B9"/>
    <w:rsid w:val="0071542B"/>
    <w:rsid w:val="007166E8"/>
    <w:rsid w:val="00716984"/>
    <w:rsid w:val="00716B94"/>
    <w:rsid w:val="007202A0"/>
    <w:rsid w:val="00720A1A"/>
    <w:rsid w:val="00721922"/>
    <w:rsid w:val="00721B53"/>
    <w:rsid w:val="0072217E"/>
    <w:rsid w:val="00722C8B"/>
    <w:rsid w:val="00723815"/>
    <w:rsid w:val="00724B47"/>
    <w:rsid w:val="00725341"/>
    <w:rsid w:val="007255BA"/>
    <w:rsid w:val="007270B6"/>
    <w:rsid w:val="007312EC"/>
    <w:rsid w:val="00731EA1"/>
    <w:rsid w:val="007328C9"/>
    <w:rsid w:val="007330F4"/>
    <w:rsid w:val="00734B30"/>
    <w:rsid w:val="00734C22"/>
    <w:rsid w:val="007365C2"/>
    <w:rsid w:val="00736DF8"/>
    <w:rsid w:val="00740229"/>
    <w:rsid w:val="00741E38"/>
    <w:rsid w:val="00744752"/>
    <w:rsid w:val="00744D55"/>
    <w:rsid w:val="007450BB"/>
    <w:rsid w:val="007450F1"/>
    <w:rsid w:val="00745E40"/>
    <w:rsid w:val="00746AA7"/>
    <w:rsid w:val="00750F11"/>
    <w:rsid w:val="00750FC4"/>
    <w:rsid w:val="0075294A"/>
    <w:rsid w:val="00752DBB"/>
    <w:rsid w:val="007532F1"/>
    <w:rsid w:val="00754DED"/>
    <w:rsid w:val="00755C27"/>
    <w:rsid w:val="00755ED0"/>
    <w:rsid w:val="00756709"/>
    <w:rsid w:val="007570BF"/>
    <w:rsid w:val="00760A46"/>
    <w:rsid w:val="007611B7"/>
    <w:rsid w:val="00761298"/>
    <w:rsid w:val="00761C2C"/>
    <w:rsid w:val="00761FB0"/>
    <w:rsid w:val="00762F60"/>
    <w:rsid w:val="00763582"/>
    <w:rsid w:val="00763651"/>
    <w:rsid w:val="00763F5A"/>
    <w:rsid w:val="007640C5"/>
    <w:rsid w:val="0076486E"/>
    <w:rsid w:val="00766329"/>
    <w:rsid w:val="00771D80"/>
    <w:rsid w:val="00772808"/>
    <w:rsid w:val="00773D17"/>
    <w:rsid w:val="00773E18"/>
    <w:rsid w:val="007754B4"/>
    <w:rsid w:val="0077559D"/>
    <w:rsid w:val="00777506"/>
    <w:rsid w:val="00777798"/>
    <w:rsid w:val="0078085E"/>
    <w:rsid w:val="0078188F"/>
    <w:rsid w:val="00781F14"/>
    <w:rsid w:val="007820B2"/>
    <w:rsid w:val="00782440"/>
    <w:rsid w:val="0078272C"/>
    <w:rsid w:val="007829C0"/>
    <w:rsid w:val="00782BAD"/>
    <w:rsid w:val="00783446"/>
    <w:rsid w:val="00783F5E"/>
    <w:rsid w:val="0078490D"/>
    <w:rsid w:val="00784BD1"/>
    <w:rsid w:val="00787781"/>
    <w:rsid w:val="00790B3A"/>
    <w:rsid w:val="007914FE"/>
    <w:rsid w:val="0079152E"/>
    <w:rsid w:val="00791B84"/>
    <w:rsid w:val="00792730"/>
    <w:rsid w:val="0079274C"/>
    <w:rsid w:val="007938D8"/>
    <w:rsid w:val="00794FB0"/>
    <w:rsid w:val="007954AB"/>
    <w:rsid w:val="00795601"/>
    <w:rsid w:val="00795774"/>
    <w:rsid w:val="007960BF"/>
    <w:rsid w:val="007965D3"/>
    <w:rsid w:val="00796B2B"/>
    <w:rsid w:val="00797611"/>
    <w:rsid w:val="00797CD8"/>
    <w:rsid w:val="007A1DF5"/>
    <w:rsid w:val="007A223C"/>
    <w:rsid w:val="007A34A7"/>
    <w:rsid w:val="007A4915"/>
    <w:rsid w:val="007A4D22"/>
    <w:rsid w:val="007A4F1A"/>
    <w:rsid w:val="007A5BFA"/>
    <w:rsid w:val="007A5D3C"/>
    <w:rsid w:val="007A7529"/>
    <w:rsid w:val="007B0FA8"/>
    <w:rsid w:val="007B219E"/>
    <w:rsid w:val="007B3084"/>
    <w:rsid w:val="007B3AB4"/>
    <w:rsid w:val="007B3BDF"/>
    <w:rsid w:val="007B61E9"/>
    <w:rsid w:val="007B6420"/>
    <w:rsid w:val="007B66DA"/>
    <w:rsid w:val="007B6E75"/>
    <w:rsid w:val="007C13E4"/>
    <w:rsid w:val="007C1A93"/>
    <w:rsid w:val="007C32C2"/>
    <w:rsid w:val="007C452E"/>
    <w:rsid w:val="007C45E4"/>
    <w:rsid w:val="007C4D4F"/>
    <w:rsid w:val="007C4EF1"/>
    <w:rsid w:val="007C74BD"/>
    <w:rsid w:val="007D0D5F"/>
    <w:rsid w:val="007D1583"/>
    <w:rsid w:val="007D18C5"/>
    <w:rsid w:val="007D194C"/>
    <w:rsid w:val="007D19C7"/>
    <w:rsid w:val="007D1B9C"/>
    <w:rsid w:val="007D27E5"/>
    <w:rsid w:val="007D27FA"/>
    <w:rsid w:val="007D3774"/>
    <w:rsid w:val="007D4DBC"/>
    <w:rsid w:val="007D5510"/>
    <w:rsid w:val="007D573B"/>
    <w:rsid w:val="007D6B05"/>
    <w:rsid w:val="007D7979"/>
    <w:rsid w:val="007E0134"/>
    <w:rsid w:val="007E04CF"/>
    <w:rsid w:val="007E1A6A"/>
    <w:rsid w:val="007E2632"/>
    <w:rsid w:val="007E2FE7"/>
    <w:rsid w:val="007E3F17"/>
    <w:rsid w:val="007E44D8"/>
    <w:rsid w:val="007E5958"/>
    <w:rsid w:val="007E62BC"/>
    <w:rsid w:val="007E657C"/>
    <w:rsid w:val="007E6E02"/>
    <w:rsid w:val="007E6E21"/>
    <w:rsid w:val="007E7686"/>
    <w:rsid w:val="007F0675"/>
    <w:rsid w:val="007F0CB1"/>
    <w:rsid w:val="007F12B4"/>
    <w:rsid w:val="007F1361"/>
    <w:rsid w:val="007F15E5"/>
    <w:rsid w:val="007F1C55"/>
    <w:rsid w:val="007F1D66"/>
    <w:rsid w:val="007F231C"/>
    <w:rsid w:val="007F2659"/>
    <w:rsid w:val="007F2A8A"/>
    <w:rsid w:val="007F3F45"/>
    <w:rsid w:val="007F40C0"/>
    <w:rsid w:val="007F4F1D"/>
    <w:rsid w:val="007F58AB"/>
    <w:rsid w:val="007F5B6A"/>
    <w:rsid w:val="007F684D"/>
    <w:rsid w:val="007F6F84"/>
    <w:rsid w:val="007F7886"/>
    <w:rsid w:val="007F7BA7"/>
    <w:rsid w:val="00800080"/>
    <w:rsid w:val="00800838"/>
    <w:rsid w:val="00800F15"/>
    <w:rsid w:val="008018C7"/>
    <w:rsid w:val="00802A9F"/>
    <w:rsid w:val="00802CA8"/>
    <w:rsid w:val="0080474B"/>
    <w:rsid w:val="00805202"/>
    <w:rsid w:val="00805E26"/>
    <w:rsid w:val="00805FA3"/>
    <w:rsid w:val="00810D4A"/>
    <w:rsid w:val="00811998"/>
    <w:rsid w:val="00811EF8"/>
    <w:rsid w:val="00812111"/>
    <w:rsid w:val="00813DB8"/>
    <w:rsid w:val="00813F0B"/>
    <w:rsid w:val="008143E2"/>
    <w:rsid w:val="00814AD1"/>
    <w:rsid w:val="008154C6"/>
    <w:rsid w:val="0081610C"/>
    <w:rsid w:val="00816786"/>
    <w:rsid w:val="0081751C"/>
    <w:rsid w:val="00817B2C"/>
    <w:rsid w:val="00820BAB"/>
    <w:rsid w:val="00820D41"/>
    <w:rsid w:val="008217CE"/>
    <w:rsid w:val="00821987"/>
    <w:rsid w:val="008221F2"/>
    <w:rsid w:val="0082324E"/>
    <w:rsid w:val="008235E1"/>
    <w:rsid w:val="008238E7"/>
    <w:rsid w:val="00823C96"/>
    <w:rsid w:val="00823FC7"/>
    <w:rsid w:val="008242D7"/>
    <w:rsid w:val="0082463C"/>
    <w:rsid w:val="0082587A"/>
    <w:rsid w:val="00825D36"/>
    <w:rsid w:val="00826226"/>
    <w:rsid w:val="00826DFB"/>
    <w:rsid w:val="008277E3"/>
    <w:rsid w:val="00827C9C"/>
    <w:rsid w:val="00827DAD"/>
    <w:rsid w:val="00827FC0"/>
    <w:rsid w:val="0083013D"/>
    <w:rsid w:val="00830269"/>
    <w:rsid w:val="00831C85"/>
    <w:rsid w:val="008326CF"/>
    <w:rsid w:val="00832DFE"/>
    <w:rsid w:val="00833946"/>
    <w:rsid w:val="0083431B"/>
    <w:rsid w:val="00834708"/>
    <w:rsid w:val="00835130"/>
    <w:rsid w:val="008354DA"/>
    <w:rsid w:val="00836633"/>
    <w:rsid w:val="00837CA1"/>
    <w:rsid w:val="0084133A"/>
    <w:rsid w:val="008416E7"/>
    <w:rsid w:val="0084198A"/>
    <w:rsid w:val="00842677"/>
    <w:rsid w:val="0084283D"/>
    <w:rsid w:val="00843927"/>
    <w:rsid w:val="00843AFA"/>
    <w:rsid w:val="008441AE"/>
    <w:rsid w:val="00844244"/>
    <w:rsid w:val="00844732"/>
    <w:rsid w:val="00844912"/>
    <w:rsid w:val="00844A8A"/>
    <w:rsid w:val="00844D9C"/>
    <w:rsid w:val="008452FA"/>
    <w:rsid w:val="00845887"/>
    <w:rsid w:val="00845FF8"/>
    <w:rsid w:val="00846B5F"/>
    <w:rsid w:val="00850217"/>
    <w:rsid w:val="0085025E"/>
    <w:rsid w:val="00851E1E"/>
    <w:rsid w:val="00851ED2"/>
    <w:rsid w:val="00852A67"/>
    <w:rsid w:val="0085367B"/>
    <w:rsid w:val="008551AF"/>
    <w:rsid w:val="00855FB3"/>
    <w:rsid w:val="008567DF"/>
    <w:rsid w:val="00857314"/>
    <w:rsid w:val="008575BD"/>
    <w:rsid w:val="00857759"/>
    <w:rsid w:val="008577F7"/>
    <w:rsid w:val="00860930"/>
    <w:rsid w:val="008618AD"/>
    <w:rsid w:val="00861931"/>
    <w:rsid w:val="00862A35"/>
    <w:rsid w:val="00862BF0"/>
    <w:rsid w:val="00863968"/>
    <w:rsid w:val="00865DF6"/>
    <w:rsid w:val="00865F28"/>
    <w:rsid w:val="00866BF8"/>
    <w:rsid w:val="00867A20"/>
    <w:rsid w:val="00870544"/>
    <w:rsid w:val="00870E0B"/>
    <w:rsid w:val="00871D5B"/>
    <w:rsid w:val="008722B2"/>
    <w:rsid w:val="00872F2D"/>
    <w:rsid w:val="008732C7"/>
    <w:rsid w:val="008734B6"/>
    <w:rsid w:val="008740A4"/>
    <w:rsid w:val="008743D2"/>
    <w:rsid w:val="008748AA"/>
    <w:rsid w:val="00874957"/>
    <w:rsid w:val="00874A13"/>
    <w:rsid w:val="008752DB"/>
    <w:rsid w:val="008758F6"/>
    <w:rsid w:val="00875A3E"/>
    <w:rsid w:val="008762AB"/>
    <w:rsid w:val="008766F0"/>
    <w:rsid w:val="00877299"/>
    <w:rsid w:val="008775B2"/>
    <w:rsid w:val="00877A89"/>
    <w:rsid w:val="00877DDE"/>
    <w:rsid w:val="0088054A"/>
    <w:rsid w:val="008824E9"/>
    <w:rsid w:val="0088363D"/>
    <w:rsid w:val="00883C71"/>
    <w:rsid w:val="00884690"/>
    <w:rsid w:val="008864CA"/>
    <w:rsid w:val="008877C0"/>
    <w:rsid w:val="008877DF"/>
    <w:rsid w:val="00887AB3"/>
    <w:rsid w:val="0089032E"/>
    <w:rsid w:val="00890369"/>
    <w:rsid w:val="00893738"/>
    <w:rsid w:val="00893DBA"/>
    <w:rsid w:val="00893E3B"/>
    <w:rsid w:val="00894A71"/>
    <w:rsid w:val="00895147"/>
    <w:rsid w:val="00895FAE"/>
    <w:rsid w:val="008962BB"/>
    <w:rsid w:val="00896C1D"/>
    <w:rsid w:val="00896DBB"/>
    <w:rsid w:val="0089737C"/>
    <w:rsid w:val="00897F26"/>
    <w:rsid w:val="008A1B3C"/>
    <w:rsid w:val="008A1BD0"/>
    <w:rsid w:val="008A2B13"/>
    <w:rsid w:val="008A3012"/>
    <w:rsid w:val="008A3A40"/>
    <w:rsid w:val="008A3B99"/>
    <w:rsid w:val="008A4901"/>
    <w:rsid w:val="008A4FC6"/>
    <w:rsid w:val="008A5F7D"/>
    <w:rsid w:val="008A634D"/>
    <w:rsid w:val="008A6526"/>
    <w:rsid w:val="008A6915"/>
    <w:rsid w:val="008A7AD5"/>
    <w:rsid w:val="008B0926"/>
    <w:rsid w:val="008B30EF"/>
    <w:rsid w:val="008B43AC"/>
    <w:rsid w:val="008B4CE6"/>
    <w:rsid w:val="008B55DE"/>
    <w:rsid w:val="008B7CA7"/>
    <w:rsid w:val="008C0582"/>
    <w:rsid w:val="008C08F4"/>
    <w:rsid w:val="008C0C00"/>
    <w:rsid w:val="008C1ACE"/>
    <w:rsid w:val="008C1F84"/>
    <w:rsid w:val="008C22A9"/>
    <w:rsid w:val="008C2501"/>
    <w:rsid w:val="008C2764"/>
    <w:rsid w:val="008C2768"/>
    <w:rsid w:val="008C4656"/>
    <w:rsid w:val="008C5F15"/>
    <w:rsid w:val="008C6E3F"/>
    <w:rsid w:val="008C7755"/>
    <w:rsid w:val="008C77C7"/>
    <w:rsid w:val="008D0218"/>
    <w:rsid w:val="008D0605"/>
    <w:rsid w:val="008D0A03"/>
    <w:rsid w:val="008D0E43"/>
    <w:rsid w:val="008D1EE9"/>
    <w:rsid w:val="008D216D"/>
    <w:rsid w:val="008D2681"/>
    <w:rsid w:val="008D347F"/>
    <w:rsid w:val="008D36C5"/>
    <w:rsid w:val="008D4CAA"/>
    <w:rsid w:val="008D4DDA"/>
    <w:rsid w:val="008D52AF"/>
    <w:rsid w:val="008D5672"/>
    <w:rsid w:val="008D579A"/>
    <w:rsid w:val="008D6F6C"/>
    <w:rsid w:val="008D7EBF"/>
    <w:rsid w:val="008E0CBC"/>
    <w:rsid w:val="008E1470"/>
    <w:rsid w:val="008E2211"/>
    <w:rsid w:val="008E5FFA"/>
    <w:rsid w:val="008E6158"/>
    <w:rsid w:val="008E6566"/>
    <w:rsid w:val="008E6EF8"/>
    <w:rsid w:val="008E7171"/>
    <w:rsid w:val="008F01EC"/>
    <w:rsid w:val="008F05C1"/>
    <w:rsid w:val="008F08F7"/>
    <w:rsid w:val="008F097B"/>
    <w:rsid w:val="008F12F7"/>
    <w:rsid w:val="008F1551"/>
    <w:rsid w:val="008F474B"/>
    <w:rsid w:val="008F4F0D"/>
    <w:rsid w:val="008F537D"/>
    <w:rsid w:val="008F78EF"/>
    <w:rsid w:val="009003FB"/>
    <w:rsid w:val="0090138C"/>
    <w:rsid w:val="0090147E"/>
    <w:rsid w:val="00901BC6"/>
    <w:rsid w:val="00902B46"/>
    <w:rsid w:val="009038E6"/>
    <w:rsid w:val="0090419F"/>
    <w:rsid w:val="00904686"/>
    <w:rsid w:val="00904876"/>
    <w:rsid w:val="00904CE6"/>
    <w:rsid w:val="009051FC"/>
    <w:rsid w:val="009061F8"/>
    <w:rsid w:val="0090641C"/>
    <w:rsid w:val="009066AA"/>
    <w:rsid w:val="009107BD"/>
    <w:rsid w:val="00910A0B"/>
    <w:rsid w:val="00911B8C"/>
    <w:rsid w:val="00911DCC"/>
    <w:rsid w:val="00913817"/>
    <w:rsid w:val="00913878"/>
    <w:rsid w:val="0091460F"/>
    <w:rsid w:val="00914618"/>
    <w:rsid w:val="0091663E"/>
    <w:rsid w:val="00916BB7"/>
    <w:rsid w:val="00916E19"/>
    <w:rsid w:val="009170F9"/>
    <w:rsid w:val="00917250"/>
    <w:rsid w:val="00920737"/>
    <w:rsid w:val="0092075C"/>
    <w:rsid w:val="009215F8"/>
    <w:rsid w:val="00921FCD"/>
    <w:rsid w:val="0092254A"/>
    <w:rsid w:val="009236D1"/>
    <w:rsid w:val="0092393E"/>
    <w:rsid w:val="00923CB6"/>
    <w:rsid w:val="00924434"/>
    <w:rsid w:val="00924934"/>
    <w:rsid w:val="00925630"/>
    <w:rsid w:val="009260F3"/>
    <w:rsid w:val="0092647E"/>
    <w:rsid w:val="00926ED4"/>
    <w:rsid w:val="00927029"/>
    <w:rsid w:val="0092712D"/>
    <w:rsid w:val="00927361"/>
    <w:rsid w:val="00927BA1"/>
    <w:rsid w:val="00927C0A"/>
    <w:rsid w:val="0093130B"/>
    <w:rsid w:val="0093184E"/>
    <w:rsid w:val="00932ED9"/>
    <w:rsid w:val="00934420"/>
    <w:rsid w:val="009346F6"/>
    <w:rsid w:val="00934F76"/>
    <w:rsid w:val="00935679"/>
    <w:rsid w:val="0093573A"/>
    <w:rsid w:val="00935C0F"/>
    <w:rsid w:val="00936266"/>
    <w:rsid w:val="00936817"/>
    <w:rsid w:val="009368A9"/>
    <w:rsid w:val="0093694D"/>
    <w:rsid w:val="00936BA7"/>
    <w:rsid w:val="00936EAC"/>
    <w:rsid w:val="0093748F"/>
    <w:rsid w:val="009374CC"/>
    <w:rsid w:val="009376DB"/>
    <w:rsid w:val="00937821"/>
    <w:rsid w:val="0094009D"/>
    <w:rsid w:val="009402FA"/>
    <w:rsid w:val="00940473"/>
    <w:rsid w:val="00940F47"/>
    <w:rsid w:val="00941C79"/>
    <w:rsid w:val="00942A42"/>
    <w:rsid w:val="00945B9E"/>
    <w:rsid w:val="00946021"/>
    <w:rsid w:val="00947020"/>
    <w:rsid w:val="0094736B"/>
    <w:rsid w:val="009479FC"/>
    <w:rsid w:val="00950065"/>
    <w:rsid w:val="00953BC1"/>
    <w:rsid w:val="00954F85"/>
    <w:rsid w:val="009557E1"/>
    <w:rsid w:val="00955B96"/>
    <w:rsid w:val="009567F4"/>
    <w:rsid w:val="00961FD7"/>
    <w:rsid w:val="009620AD"/>
    <w:rsid w:val="00962369"/>
    <w:rsid w:val="00963475"/>
    <w:rsid w:val="009638B0"/>
    <w:rsid w:val="009650B6"/>
    <w:rsid w:val="00966532"/>
    <w:rsid w:val="00966590"/>
    <w:rsid w:val="00967C2D"/>
    <w:rsid w:val="009712E0"/>
    <w:rsid w:val="00971869"/>
    <w:rsid w:val="00971AA3"/>
    <w:rsid w:val="00971B4A"/>
    <w:rsid w:val="00971C9D"/>
    <w:rsid w:val="00971E13"/>
    <w:rsid w:val="00971E2E"/>
    <w:rsid w:val="00973598"/>
    <w:rsid w:val="00974460"/>
    <w:rsid w:val="0097449E"/>
    <w:rsid w:val="00975A9C"/>
    <w:rsid w:val="0097619D"/>
    <w:rsid w:val="00976220"/>
    <w:rsid w:val="00976B97"/>
    <w:rsid w:val="00976DC6"/>
    <w:rsid w:val="00977E00"/>
    <w:rsid w:val="009822A9"/>
    <w:rsid w:val="00982A0F"/>
    <w:rsid w:val="00982B04"/>
    <w:rsid w:val="00983111"/>
    <w:rsid w:val="009835C7"/>
    <w:rsid w:val="00983981"/>
    <w:rsid w:val="00984778"/>
    <w:rsid w:val="009848CD"/>
    <w:rsid w:val="00985326"/>
    <w:rsid w:val="00985AD6"/>
    <w:rsid w:val="00985BBF"/>
    <w:rsid w:val="00985CFA"/>
    <w:rsid w:val="009870F4"/>
    <w:rsid w:val="009874F4"/>
    <w:rsid w:val="0098766C"/>
    <w:rsid w:val="00990138"/>
    <w:rsid w:val="009916A6"/>
    <w:rsid w:val="009917E9"/>
    <w:rsid w:val="00992BBC"/>
    <w:rsid w:val="0099373D"/>
    <w:rsid w:val="00994BB2"/>
    <w:rsid w:val="00994E36"/>
    <w:rsid w:val="009951FB"/>
    <w:rsid w:val="009978C1"/>
    <w:rsid w:val="00997F33"/>
    <w:rsid w:val="009A0250"/>
    <w:rsid w:val="009A07D6"/>
    <w:rsid w:val="009A102C"/>
    <w:rsid w:val="009A1FED"/>
    <w:rsid w:val="009A30DC"/>
    <w:rsid w:val="009A3F95"/>
    <w:rsid w:val="009A3FA8"/>
    <w:rsid w:val="009A40DE"/>
    <w:rsid w:val="009A5712"/>
    <w:rsid w:val="009A5867"/>
    <w:rsid w:val="009A5EDD"/>
    <w:rsid w:val="009A77C1"/>
    <w:rsid w:val="009A7D94"/>
    <w:rsid w:val="009B0633"/>
    <w:rsid w:val="009B0A0D"/>
    <w:rsid w:val="009B0E15"/>
    <w:rsid w:val="009B17FE"/>
    <w:rsid w:val="009B2077"/>
    <w:rsid w:val="009B2095"/>
    <w:rsid w:val="009B26E2"/>
    <w:rsid w:val="009B33A2"/>
    <w:rsid w:val="009B3AB4"/>
    <w:rsid w:val="009B3B5F"/>
    <w:rsid w:val="009B4316"/>
    <w:rsid w:val="009B4932"/>
    <w:rsid w:val="009B546A"/>
    <w:rsid w:val="009B58FB"/>
    <w:rsid w:val="009B69BD"/>
    <w:rsid w:val="009B6AB0"/>
    <w:rsid w:val="009B7BF7"/>
    <w:rsid w:val="009C3F4A"/>
    <w:rsid w:val="009C422F"/>
    <w:rsid w:val="009C4670"/>
    <w:rsid w:val="009C4F01"/>
    <w:rsid w:val="009C5571"/>
    <w:rsid w:val="009C7DBD"/>
    <w:rsid w:val="009D09ED"/>
    <w:rsid w:val="009D0ADB"/>
    <w:rsid w:val="009D0F75"/>
    <w:rsid w:val="009D1BCF"/>
    <w:rsid w:val="009D2EE3"/>
    <w:rsid w:val="009D3626"/>
    <w:rsid w:val="009D58B9"/>
    <w:rsid w:val="009D5E9F"/>
    <w:rsid w:val="009D7A89"/>
    <w:rsid w:val="009D7B6E"/>
    <w:rsid w:val="009D7C03"/>
    <w:rsid w:val="009E00CB"/>
    <w:rsid w:val="009E049C"/>
    <w:rsid w:val="009E14A2"/>
    <w:rsid w:val="009E161D"/>
    <w:rsid w:val="009E2082"/>
    <w:rsid w:val="009E2332"/>
    <w:rsid w:val="009E3EB6"/>
    <w:rsid w:val="009E42A3"/>
    <w:rsid w:val="009E42A6"/>
    <w:rsid w:val="009E532B"/>
    <w:rsid w:val="009E5594"/>
    <w:rsid w:val="009E5DE0"/>
    <w:rsid w:val="009E6303"/>
    <w:rsid w:val="009E69C5"/>
    <w:rsid w:val="009E6C79"/>
    <w:rsid w:val="009F041D"/>
    <w:rsid w:val="009F18A0"/>
    <w:rsid w:val="009F19CC"/>
    <w:rsid w:val="009F1AFD"/>
    <w:rsid w:val="009F2A0F"/>
    <w:rsid w:val="009F303B"/>
    <w:rsid w:val="009F3C58"/>
    <w:rsid w:val="009F6855"/>
    <w:rsid w:val="009F6D8E"/>
    <w:rsid w:val="009F7F24"/>
    <w:rsid w:val="00A0162C"/>
    <w:rsid w:val="00A0193D"/>
    <w:rsid w:val="00A02AAE"/>
    <w:rsid w:val="00A03248"/>
    <w:rsid w:val="00A036D5"/>
    <w:rsid w:val="00A03910"/>
    <w:rsid w:val="00A03FE6"/>
    <w:rsid w:val="00A04E14"/>
    <w:rsid w:val="00A1060D"/>
    <w:rsid w:val="00A10C11"/>
    <w:rsid w:val="00A10F4A"/>
    <w:rsid w:val="00A11B20"/>
    <w:rsid w:val="00A12F0A"/>
    <w:rsid w:val="00A13419"/>
    <w:rsid w:val="00A135F3"/>
    <w:rsid w:val="00A138CA"/>
    <w:rsid w:val="00A142B2"/>
    <w:rsid w:val="00A1456D"/>
    <w:rsid w:val="00A14B01"/>
    <w:rsid w:val="00A1539B"/>
    <w:rsid w:val="00A15E21"/>
    <w:rsid w:val="00A15FCC"/>
    <w:rsid w:val="00A16A93"/>
    <w:rsid w:val="00A1733F"/>
    <w:rsid w:val="00A20376"/>
    <w:rsid w:val="00A206C9"/>
    <w:rsid w:val="00A21DFA"/>
    <w:rsid w:val="00A22AE4"/>
    <w:rsid w:val="00A22E97"/>
    <w:rsid w:val="00A236E0"/>
    <w:rsid w:val="00A23B14"/>
    <w:rsid w:val="00A23C59"/>
    <w:rsid w:val="00A24CF3"/>
    <w:rsid w:val="00A258D2"/>
    <w:rsid w:val="00A262EB"/>
    <w:rsid w:val="00A26415"/>
    <w:rsid w:val="00A26C11"/>
    <w:rsid w:val="00A279B3"/>
    <w:rsid w:val="00A27CD9"/>
    <w:rsid w:val="00A27EE1"/>
    <w:rsid w:val="00A30D48"/>
    <w:rsid w:val="00A30D66"/>
    <w:rsid w:val="00A30E87"/>
    <w:rsid w:val="00A3305C"/>
    <w:rsid w:val="00A33A86"/>
    <w:rsid w:val="00A33D5A"/>
    <w:rsid w:val="00A3433C"/>
    <w:rsid w:val="00A35F84"/>
    <w:rsid w:val="00A36020"/>
    <w:rsid w:val="00A36712"/>
    <w:rsid w:val="00A37673"/>
    <w:rsid w:val="00A37ACB"/>
    <w:rsid w:val="00A42B0E"/>
    <w:rsid w:val="00A447A6"/>
    <w:rsid w:val="00A44921"/>
    <w:rsid w:val="00A44925"/>
    <w:rsid w:val="00A44C4F"/>
    <w:rsid w:val="00A5172A"/>
    <w:rsid w:val="00A519E2"/>
    <w:rsid w:val="00A52ED4"/>
    <w:rsid w:val="00A538B6"/>
    <w:rsid w:val="00A56251"/>
    <w:rsid w:val="00A56C85"/>
    <w:rsid w:val="00A573EC"/>
    <w:rsid w:val="00A57EF0"/>
    <w:rsid w:val="00A60E75"/>
    <w:rsid w:val="00A61A1E"/>
    <w:rsid w:val="00A62B47"/>
    <w:rsid w:val="00A62ED5"/>
    <w:rsid w:val="00A6346E"/>
    <w:rsid w:val="00A644B7"/>
    <w:rsid w:val="00A655EB"/>
    <w:rsid w:val="00A66472"/>
    <w:rsid w:val="00A66853"/>
    <w:rsid w:val="00A66E42"/>
    <w:rsid w:val="00A6797D"/>
    <w:rsid w:val="00A72012"/>
    <w:rsid w:val="00A726CF"/>
    <w:rsid w:val="00A72A5A"/>
    <w:rsid w:val="00A73BF8"/>
    <w:rsid w:val="00A73E8D"/>
    <w:rsid w:val="00A74416"/>
    <w:rsid w:val="00A75725"/>
    <w:rsid w:val="00A75C32"/>
    <w:rsid w:val="00A76633"/>
    <w:rsid w:val="00A768D7"/>
    <w:rsid w:val="00A76C9F"/>
    <w:rsid w:val="00A80895"/>
    <w:rsid w:val="00A8100A"/>
    <w:rsid w:val="00A81EDD"/>
    <w:rsid w:val="00A82C38"/>
    <w:rsid w:val="00A83EB8"/>
    <w:rsid w:val="00A8502E"/>
    <w:rsid w:val="00A8691F"/>
    <w:rsid w:val="00A871B0"/>
    <w:rsid w:val="00A875CD"/>
    <w:rsid w:val="00A90F52"/>
    <w:rsid w:val="00A92131"/>
    <w:rsid w:val="00A92640"/>
    <w:rsid w:val="00A93944"/>
    <w:rsid w:val="00A945CA"/>
    <w:rsid w:val="00A955CF"/>
    <w:rsid w:val="00A96E75"/>
    <w:rsid w:val="00A97525"/>
    <w:rsid w:val="00A9764B"/>
    <w:rsid w:val="00AA056C"/>
    <w:rsid w:val="00AA0B95"/>
    <w:rsid w:val="00AA197C"/>
    <w:rsid w:val="00AA1DF0"/>
    <w:rsid w:val="00AA2F03"/>
    <w:rsid w:val="00AA3FB7"/>
    <w:rsid w:val="00AA45E6"/>
    <w:rsid w:val="00AA4D8A"/>
    <w:rsid w:val="00AA6558"/>
    <w:rsid w:val="00AA7E88"/>
    <w:rsid w:val="00AB04B0"/>
    <w:rsid w:val="00AB056C"/>
    <w:rsid w:val="00AB1295"/>
    <w:rsid w:val="00AB1C2F"/>
    <w:rsid w:val="00AB34C9"/>
    <w:rsid w:val="00AB4DEF"/>
    <w:rsid w:val="00AB6853"/>
    <w:rsid w:val="00AB6CD1"/>
    <w:rsid w:val="00AC0429"/>
    <w:rsid w:val="00AC1388"/>
    <w:rsid w:val="00AC2231"/>
    <w:rsid w:val="00AC2794"/>
    <w:rsid w:val="00AC28E2"/>
    <w:rsid w:val="00AC4342"/>
    <w:rsid w:val="00AC5637"/>
    <w:rsid w:val="00AC6A5E"/>
    <w:rsid w:val="00AC702F"/>
    <w:rsid w:val="00AC70EB"/>
    <w:rsid w:val="00AC7D5F"/>
    <w:rsid w:val="00AD0031"/>
    <w:rsid w:val="00AD0A71"/>
    <w:rsid w:val="00AD0C81"/>
    <w:rsid w:val="00AD0D61"/>
    <w:rsid w:val="00AD2035"/>
    <w:rsid w:val="00AD35CD"/>
    <w:rsid w:val="00AD3E2C"/>
    <w:rsid w:val="00AD5EE8"/>
    <w:rsid w:val="00AD61DF"/>
    <w:rsid w:val="00AD694A"/>
    <w:rsid w:val="00AD78F2"/>
    <w:rsid w:val="00AD7E57"/>
    <w:rsid w:val="00AE0B05"/>
    <w:rsid w:val="00AE1171"/>
    <w:rsid w:val="00AE17F4"/>
    <w:rsid w:val="00AE392C"/>
    <w:rsid w:val="00AE3A7B"/>
    <w:rsid w:val="00AE3EF9"/>
    <w:rsid w:val="00AE4159"/>
    <w:rsid w:val="00AE6C47"/>
    <w:rsid w:val="00AE7364"/>
    <w:rsid w:val="00AE7EF2"/>
    <w:rsid w:val="00AF00BF"/>
    <w:rsid w:val="00AF0556"/>
    <w:rsid w:val="00AF100B"/>
    <w:rsid w:val="00AF172F"/>
    <w:rsid w:val="00AF1AAA"/>
    <w:rsid w:val="00AF27D2"/>
    <w:rsid w:val="00AF2A31"/>
    <w:rsid w:val="00AF2C9A"/>
    <w:rsid w:val="00AF48A4"/>
    <w:rsid w:val="00AF613D"/>
    <w:rsid w:val="00AF661C"/>
    <w:rsid w:val="00AF662D"/>
    <w:rsid w:val="00B0020D"/>
    <w:rsid w:val="00B004B9"/>
    <w:rsid w:val="00B00836"/>
    <w:rsid w:val="00B009B2"/>
    <w:rsid w:val="00B03098"/>
    <w:rsid w:val="00B03359"/>
    <w:rsid w:val="00B0384E"/>
    <w:rsid w:val="00B04CE1"/>
    <w:rsid w:val="00B0668E"/>
    <w:rsid w:val="00B07A7A"/>
    <w:rsid w:val="00B107BC"/>
    <w:rsid w:val="00B11A3F"/>
    <w:rsid w:val="00B13007"/>
    <w:rsid w:val="00B14E74"/>
    <w:rsid w:val="00B152FD"/>
    <w:rsid w:val="00B15F73"/>
    <w:rsid w:val="00B17A09"/>
    <w:rsid w:val="00B20BD6"/>
    <w:rsid w:val="00B20C51"/>
    <w:rsid w:val="00B21C9F"/>
    <w:rsid w:val="00B21EED"/>
    <w:rsid w:val="00B22379"/>
    <w:rsid w:val="00B223CA"/>
    <w:rsid w:val="00B23098"/>
    <w:rsid w:val="00B244EE"/>
    <w:rsid w:val="00B25451"/>
    <w:rsid w:val="00B25837"/>
    <w:rsid w:val="00B26A92"/>
    <w:rsid w:val="00B26EB3"/>
    <w:rsid w:val="00B27074"/>
    <w:rsid w:val="00B27730"/>
    <w:rsid w:val="00B3068E"/>
    <w:rsid w:val="00B31186"/>
    <w:rsid w:val="00B313F0"/>
    <w:rsid w:val="00B31B9D"/>
    <w:rsid w:val="00B324CA"/>
    <w:rsid w:val="00B3257C"/>
    <w:rsid w:val="00B32EB0"/>
    <w:rsid w:val="00B32F4D"/>
    <w:rsid w:val="00B331B3"/>
    <w:rsid w:val="00B33329"/>
    <w:rsid w:val="00B335DA"/>
    <w:rsid w:val="00B349DB"/>
    <w:rsid w:val="00B3587A"/>
    <w:rsid w:val="00B359E8"/>
    <w:rsid w:val="00B367B9"/>
    <w:rsid w:val="00B36AA0"/>
    <w:rsid w:val="00B36C73"/>
    <w:rsid w:val="00B36F6E"/>
    <w:rsid w:val="00B37161"/>
    <w:rsid w:val="00B40359"/>
    <w:rsid w:val="00B41835"/>
    <w:rsid w:val="00B42BAA"/>
    <w:rsid w:val="00B441AC"/>
    <w:rsid w:val="00B443B8"/>
    <w:rsid w:val="00B446F0"/>
    <w:rsid w:val="00B4485C"/>
    <w:rsid w:val="00B46F50"/>
    <w:rsid w:val="00B470D3"/>
    <w:rsid w:val="00B4782C"/>
    <w:rsid w:val="00B50B48"/>
    <w:rsid w:val="00B50F92"/>
    <w:rsid w:val="00B5199F"/>
    <w:rsid w:val="00B51C2E"/>
    <w:rsid w:val="00B53C82"/>
    <w:rsid w:val="00B53CB9"/>
    <w:rsid w:val="00B54638"/>
    <w:rsid w:val="00B55133"/>
    <w:rsid w:val="00B55679"/>
    <w:rsid w:val="00B55B08"/>
    <w:rsid w:val="00B565AC"/>
    <w:rsid w:val="00B565AE"/>
    <w:rsid w:val="00B579AD"/>
    <w:rsid w:val="00B57F74"/>
    <w:rsid w:val="00B61281"/>
    <w:rsid w:val="00B617E9"/>
    <w:rsid w:val="00B61966"/>
    <w:rsid w:val="00B61D66"/>
    <w:rsid w:val="00B62601"/>
    <w:rsid w:val="00B62D2D"/>
    <w:rsid w:val="00B630F5"/>
    <w:rsid w:val="00B635CE"/>
    <w:rsid w:val="00B637B7"/>
    <w:rsid w:val="00B65645"/>
    <w:rsid w:val="00B658A4"/>
    <w:rsid w:val="00B66D82"/>
    <w:rsid w:val="00B70573"/>
    <w:rsid w:val="00B70783"/>
    <w:rsid w:val="00B70E05"/>
    <w:rsid w:val="00B712A4"/>
    <w:rsid w:val="00B71C14"/>
    <w:rsid w:val="00B73999"/>
    <w:rsid w:val="00B750E4"/>
    <w:rsid w:val="00B75694"/>
    <w:rsid w:val="00B75788"/>
    <w:rsid w:val="00B75A3A"/>
    <w:rsid w:val="00B7606B"/>
    <w:rsid w:val="00B767D3"/>
    <w:rsid w:val="00B770B6"/>
    <w:rsid w:val="00B80B98"/>
    <w:rsid w:val="00B80BC0"/>
    <w:rsid w:val="00B81A6B"/>
    <w:rsid w:val="00B81E3B"/>
    <w:rsid w:val="00B8230D"/>
    <w:rsid w:val="00B82519"/>
    <w:rsid w:val="00B82CED"/>
    <w:rsid w:val="00B8387F"/>
    <w:rsid w:val="00B847A2"/>
    <w:rsid w:val="00B84D71"/>
    <w:rsid w:val="00B8526D"/>
    <w:rsid w:val="00B86269"/>
    <w:rsid w:val="00B86468"/>
    <w:rsid w:val="00B872BC"/>
    <w:rsid w:val="00B90016"/>
    <w:rsid w:val="00B908B2"/>
    <w:rsid w:val="00B93978"/>
    <w:rsid w:val="00B95B20"/>
    <w:rsid w:val="00B95CDF"/>
    <w:rsid w:val="00B96140"/>
    <w:rsid w:val="00B962BB"/>
    <w:rsid w:val="00B9649E"/>
    <w:rsid w:val="00B96C96"/>
    <w:rsid w:val="00B97232"/>
    <w:rsid w:val="00B97B5D"/>
    <w:rsid w:val="00BA07FB"/>
    <w:rsid w:val="00BA1E41"/>
    <w:rsid w:val="00BA4054"/>
    <w:rsid w:val="00BA586E"/>
    <w:rsid w:val="00BA5D44"/>
    <w:rsid w:val="00BA5D8F"/>
    <w:rsid w:val="00BA5F67"/>
    <w:rsid w:val="00BA634A"/>
    <w:rsid w:val="00BA6736"/>
    <w:rsid w:val="00BA680C"/>
    <w:rsid w:val="00BA683C"/>
    <w:rsid w:val="00BA6F9A"/>
    <w:rsid w:val="00BB05BE"/>
    <w:rsid w:val="00BB2187"/>
    <w:rsid w:val="00BB2261"/>
    <w:rsid w:val="00BB27D3"/>
    <w:rsid w:val="00BB3129"/>
    <w:rsid w:val="00BB32D8"/>
    <w:rsid w:val="00BB3AE5"/>
    <w:rsid w:val="00BB4B72"/>
    <w:rsid w:val="00BB599A"/>
    <w:rsid w:val="00BB6506"/>
    <w:rsid w:val="00BC101A"/>
    <w:rsid w:val="00BC2D72"/>
    <w:rsid w:val="00BC3758"/>
    <w:rsid w:val="00BC4082"/>
    <w:rsid w:val="00BC437B"/>
    <w:rsid w:val="00BC44F1"/>
    <w:rsid w:val="00BC618D"/>
    <w:rsid w:val="00BC62C2"/>
    <w:rsid w:val="00BC6B26"/>
    <w:rsid w:val="00BC733D"/>
    <w:rsid w:val="00BD0F0C"/>
    <w:rsid w:val="00BD1599"/>
    <w:rsid w:val="00BD2443"/>
    <w:rsid w:val="00BD36CD"/>
    <w:rsid w:val="00BD4BBC"/>
    <w:rsid w:val="00BD5092"/>
    <w:rsid w:val="00BD5898"/>
    <w:rsid w:val="00BD6CF0"/>
    <w:rsid w:val="00BD7241"/>
    <w:rsid w:val="00BE02C5"/>
    <w:rsid w:val="00BE037D"/>
    <w:rsid w:val="00BE068E"/>
    <w:rsid w:val="00BE08AB"/>
    <w:rsid w:val="00BE14F5"/>
    <w:rsid w:val="00BE18A4"/>
    <w:rsid w:val="00BE1C6F"/>
    <w:rsid w:val="00BE3199"/>
    <w:rsid w:val="00BE33C6"/>
    <w:rsid w:val="00BE3DE3"/>
    <w:rsid w:val="00BE523E"/>
    <w:rsid w:val="00BE529A"/>
    <w:rsid w:val="00BE5777"/>
    <w:rsid w:val="00BE6FCE"/>
    <w:rsid w:val="00BE725A"/>
    <w:rsid w:val="00BE7DD9"/>
    <w:rsid w:val="00BF0E69"/>
    <w:rsid w:val="00BF0E6E"/>
    <w:rsid w:val="00BF1547"/>
    <w:rsid w:val="00BF3698"/>
    <w:rsid w:val="00BF4E48"/>
    <w:rsid w:val="00BF4F66"/>
    <w:rsid w:val="00BF5855"/>
    <w:rsid w:val="00BF60F3"/>
    <w:rsid w:val="00BF7336"/>
    <w:rsid w:val="00BF7386"/>
    <w:rsid w:val="00C00A62"/>
    <w:rsid w:val="00C00B83"/>
    <w:rsid w:val="00C00C17"/>
    <w:rsid w:val="00C029EE"/>
    <w:rsid w:val="00C02E8A"/>
    <w:rsid w:val="00C03F26"/>
    <w:rsid w:val="00C03FE4"/>
    <w:rsid w:val="00C044F7"/>
    <w:rsid w:val="00C04FFD"/>
    <w:rsid w:val="00C06506"/>
    <w:rsid w:val="00C065AC"/>
    <w:rsid w:val="00C067BA"/>
    <w:rsid w:val="00C0765F"/>
    <w:rsid w:val="00C07D79"/>
    <w:rsid w:val="00C10762"/>
    <w:rsid w:val="00C1096C"/>
    <w:rsid w:val="00C109E6"/>
    <w:rsid w:val="00C125EF"/>
    <w:rsid w:val="00C13255"/>
    <w:rsid w:val="00C15714"/>
    <w:rsid w:val="00C15C4D"/>
    <w:rsid w:val="00C161C8"/>
    <w:rsid w:val="00C17659"/>
    <w:rsid w:val="00C17751"/>
    <w:rsid w:val="00C17E0B"/>
    <w:rsid w:val="00C21204"/>
    <w:rsid w:val="00C21357"/>
    <w:rsid w:val="00C215F4"/>
    <w:rsid w:val="00C217F0"/>
    <w:rsid w:val="00C21A9F"/>
    <w:rsid w:val="00C21B02"/>
    <w:rsid w:val="00C21CC9"/>
    <w:rsid w:val="00C24276"/>
    <w:rsid w:val="00C26545"/>
    <w:rsid w:val="00C26AA8"/>
    <w:rsid w:val="00C26B74"/>
    <w:rsid w:val="00C26D63"/>
    <w:rsid w:val="00C2765B"/>
    <w:rsid w:val="00C3038A"/>
    <w:rsid w:val="00C308EE"/>
    <w:rsid w:val="00C33E87"/>
    <w:rsid w:val="00C34025"/>
    <w:rsid w:val="00C34388"/>
    <w:rsid w:val="00C355C1"/>
    <w:rsid w:val="00C35B01"/>
    <w:rsid w:val="00C378C7"/>
    <w:rsid w:val="00C409A7"/>
    <w:rsid w:val="00C40D42"/>
    <w:rsid w:val="00C420A0"/>
    <w:rsid w:val="00C43323"/>
    <w:rsid w:val="00C43508"/>
    <w:rsid w:val="00C45F9D"/>
    <w:rsid w:val="00C4624A"/>
    <w:rsid w:val="00C518F8"/>
    <w:rsid w:val="00C52059"/>
    <w:rsid w:val="00C5266B"/>
    <w:rsid w:val="00C52BE9"/>
    <w:rsid w:val="00C536E8"/>
    <w:rsid w:val="00C53CC3"/>
    <w:rsid w:val="00C54511"/>
    <w:rsid w:val="00C54F0F"/>
    <w:rsid w:val="00C55339"/>
    <w:rsid w:val="00C57DE1"/>
    <w:rsid w:val="00C60D18"/>
    <w:rsid w:val="00C612BC"/>
    <w:rsid w:val="00C61C21"/>
    <w:rsid w:val="00C61CC0"/>
    <w:rsid w:val="00C63BA5"/>
    <w:rsid w:val="00C63CAB"/>
    <w:rsid w:val="00C64B7B"/>
    <w:rsid w:val="00C658B3"/>
    <w:rsid w:val="00C65A34"/>
    <w:rsid w:val="00C6655F"/>
    <w:rsid w:val="00C66589"/>
    <w:rsid w:val="00C66597"/>
    <w:rsid w:val="00C66AF3"/>
    <w:rsid w:val="00C66D78"/>
    <w:rsid w:val="00C6706D"/>
    <w:rsid w:val="00C6752C"/>
    <w:rsid w:val="00C67E90"/>
    <w:rsid w:val="00C70601"/>
    <w:rsid w:val="00C71414"/>
    <w:rsid w:val="00C72AD3"/>
    <w:rsid w:val="00C72DE5"/>
    <w:rsid w:val="00C742CE"/>
    <w:rsid w:val="00C7577B"/>
    <w:rsid w:val="00C77786"/>
    <w:rsid w:val="00C77AA5"/>
    <w:rsid w:val="00C8085A"/>
    <w:rsid w:val="00C81D98"/>
    <w:rsid w:val="00C8452D"/>
    <w:rsid w:val="00C84A61"/>
    <w:rsid w:val="00C85CD8"/>
    <w:rsid w:val="00C85FF6"/>
    <w:rsid w:val="00C872EB"/>
    <w:rsid w:val="00C90962"/>
    <w:rsid w:val="00C914A9"/>
    <w:rsid w:val="00C92277"/>
    <w:rsid w:val="00C92364"/>
    <w:rsid w:val="00C9403D"/>
    <w:rsid w:val="00C941F3"/>
    <w:rsid w:val="00C95AA3"/>
    <w:rsid w:val="00C9684E"/>
    <w:rsid w:val="00C97FB2"/>
    <w:rsid w:val="00CA279E"/>
    <w:rsid w:val="00CA29CE"/>
    <w:rsid w:val="00CA2EBD"/>
    <w:rsid w:val="00CA3480"/>
    <w:rsid w:val="00CA355D"/>
    <w:rsid w:val="00CA54C1"/>
    <w:rsid w:val="00CA54E3"/>
    <w:rsid w:val="00CA6914"/>
    <w:rsid w:val="00CA6E84"/>
    <w:rsid w:val="00CA73B9"/>
    <w:rsid w:val="00CA790A"/>
    <w:rsid w:val="00CA79E0"/>
    <w:rsid w:val="00CB23C5"/>
    <w:rsid w:val="00CB2A8B"/>
    <w:rsid w:val="00CB381B"/>
    <w:rsid w:val="00CB38F9"/>
    <w:rsid w:val="00CB3A1C"/>
    <w:rsid w:val="00CB4809"/>
    <w:rsid w:val="00CB615A"/>
    <w:rsid w:val="00CB6B47"/>
    <w:rsid w:val="00CB7B2E"/>
    <w:rsid w:val="00CB7C00"/>
    <w:rsid w:val="00CB7EA6"/>
    <w:rsid w:val="00CC06B5"/>
    <w:rsid w:val="00CC0864"/>
    <w:rsid w:val="00CC0A07"/>
    <w:rsid w:val="00CC3DAC"/>
    <w:rsid w:val="00CC45DA"/>
    <w:rsid w:val="00CC4A7D"/>
    <w:rsid w:val="00CC532A"/>
    <w:rsid w:val="00CC53D1"/>
    <w:rsid w:val="00CC544E"/>
    <w:rsid w:val="00CC5619"/>
    <w:rsid w:val="00CC570E"/>
    <w:rsid w:val="00CC66B7"/>
    <w:rsid w:val="00CC67AE"/>
    <w:rsid w:val="00CC6D92"/>
    <w:rsid w:val="00CC7800"/>
    <w:rsid w:val="00CC7A70"/>
    <w:rsid w:val="00CC7F2D"/>
    <w:rsid w:val="00CC7FCF"/>
    <w:rsid w:val="00CD0566"/>
    <w:rsid w:val="00CD140A"/>
    <w:rsid w:val="00CD2162"/>
    <w:rsid w:val="00CD2825"/>
    <w:rsid w:val="00CD33BA"/>
    <w:rsid w:val="00CD40E3"/>
    <w:rsid w:val="00CD4A41"/>
    <w:rsid w:val="00CD4BBD"/>
    <w:rsid w:val="00CD53E6"/>
    <w:rsid w:val="00CD53ED"/>
    <w:rsid w:val="00CE0403"/>
    <w:rsid w:val="00CE057F"/>
    <w:rsid w:val="00CE05DF"/>
    <w:rsid w:val="00CE0CC3"/>
    <w:rsid w:val="00CE331B"/>
    <w:rsid w:val="00CE3B52"/>
    <w:rsid w:val="00CE4167"/>
    <w:rsid w:val="00CE480E"/>
    <w:rsid w:val="00CE506B"/>
    <w:rsid w:val="00CE514E"/>
    <w:rsid w:val="00CE5E95"/>
    <w:rsid w:val="00CE5FDE"/>
    <w:rsid w:val="00CE66AD"/>
    <w:rsid w:val="00CE7378"/>
    <w:rsid w:val="00CE7A32"/>
    <w:rsid w:val="00CF07EE"/>
    <w:rsid w:val="00CF18F6"/>
    <w:rsid w:val="00CF307F"/>
    <w:rsid w:val="00CF3D3A"/>
    <w:rsid w:val="00CF4183"/>
    <w:rsid w:val="00CF48AA"/>
    <w:rsid w:val="00CF5B2C"/>
    <w:rsid w:val="00CF6040"/>
    <w:rsid w:val="00CF637B"/>
    <w:rsid w:val="00CF6443"/>
    <w:rsid w:val="00CF6BD1"/>
    <w:rsid w:val="00CF7613"/>
    <w:rsid w:val="00CF7D6B"/>
    <w:rsid w:val="00D001B4"/>
    <w:rsid w:val="00D0081F"/>
    <w:rsid w:val="00D00C3B"/>
    <w:rsid w:val="00D01A36"/>
    <w:rsid w:val="00D01AC3"/>
    <w:rsid w:val="00D01BED"/>
    <w:rsid w:val="00D01D06"/>
    <w:rsid w:val="00D026C7"/>
    <w:rsid w:val="00D035E5"/>
    <w:rsid w:val="00D039C6"/>
    <w:rsid w:val="00D03B1C"/>
    <w:rsid w:val="00D05BAB"/>
    <w:rsid w:val="00D0686E"/>
    <w:rsid w:val="00D068DA"/>
    <w:rsid w:val="00D07848"/>
    <w:rsid w:val="00D106D8"/>
    <w:rsid w:val="00D10D4A"/>
    <w:rsid w:val="00D11AD4"/>
    <w:rsid w:val="00D11BF0"/>
    <w:rsid w:val="00D1285E"/>
    <w:rsid w:val="00D12FBD"/>
    <w:rsid w:val="00D13672"/>
    <w:rsid w:val="00D15AC7"/>
    <w:rsid w:val="00D15AFC"/>
    <w:rsid w:val="00D15EB8"/>
    <w:rsid w:val="00D17231"/>
    <w:rsid w:val="00D17AAA"/>
    <w:rsid w:val="00D20B75"/>
    <w:rsid w:val="00D22768"/>
    <w:rsid w:val="00D23F26"/>
    <w:rsid w:val="00D24449"/>
    <w:rsid w:val="00D25313"/>
    <w:rsid w:val="00D264A5"/>
    <w:rsid w:val="00D26CA8"/>
    <w:rsid w:val="00D27293"/>
    <w:rsid w:val="00D27549"/>
    <w:rsid w:val="00D2758E"/>
    <w:rsid w:val="00D312B1"/>
    <w:rsid w:val="00D325EA"/>
    <w:rsid w:val="00D32698"/>
    <w:rsid w:val="00D3369C"/>
    <w:rsid w:val="00D34405"/>
    <w:rsid w:val="00D34AB0"/>
    <w:rsid w:val="00D35791"/>
    <w:rsid w:val="00D35ACA"/>
    <w:rsid w:val="00D35B7A"/>
    <w:rsid w:val="00D36141"/>
    <w:rsid w:val="00D37E00"/>
    <w:rsid w:val="00D40292"/>
    <w:rsid w:val="00D4031D"/>
    <w:rsid w:val="00D40D35"/>
    <w:rsid w:val="00D413D2"/>
    <w:rsid w:val="00D42750"/>
    <w:rsid w:val="00D42944"/>
    <w:rsid w:val="00D43913"/>
    <w:rsid w:val="00D44761"/>
    <w:rsid w:val="00D44E0C"/>
    <w:rsid w:val="00D45243"/>
    <w:rsid w:val="00D456FE"/>
    <w:rsid w:val="00D461C3"/>
    <w:rsid w:val="00D46B5A"/>
    <w:rsid w:val="00D4717D"/>
    <w:rsid w:val="00D5128B"/>
    <w:rsid w:val="00D51669"/>
    <w:rsid w:val="00D52B00"/>
    <w:rsid w:val="00D545E9"/>
    <w:rsid w:val="00D54904"/>
    <w:rsid w:val="00D552CB"/>
    <w:rsid w:val="00D5671A"/>
    <w:rsid w:val="00D56A5B"/>
    <w:rsid w:val="00D56D74"/>
    <w:rsid w:val="00D57483"/>
    <w:rsid w:val="00D57639"/>
    <w:rsid w:val="00D57EE4"/>
    <w:rsid w:val="00D641F8"/>
    <w:rsid w:val="00D64674"/>
    <w:rsid w:val="00D65BDC"/>
    <w:rsid w:val="00D66020"/>
    <w:rsid w:val="00D66361"/>
    <w:rsid w:val="00D66CB3"/>
    <w:rsid w:val="00D66CCE"/>
    <w:rsid w:val="00D67561"/>
    <w:rsid w:val="00D67CA4"/>
    <w:rsid w:val="00D67F70"/>
    <w:rsid w:val="00D713B7"/>
    <w:rsid w:val="00D7258C"/>
    <w:rsid w:val="00D72590"/>
    <w:rsid w:val="00D72983"/>
    <w:rsid w:val="00D72A4E"/>
    <w:rsid w:val="00D738AE"/>
    <w:rsid w:val="00D7599C"/>
    <w:rsid w:val="00D76E2C"/>
    <w:rsid w:val="00D7741C"/>
    <w:rsid w:val="00D77B5F"/>
    <w:rsid w:val="00D77E3B"/>
    <w:rsid w:val="00D80A69"/>
    <w:rsid w:val="00D80BE3"/>
    <w:rsid w:val="00D818C8"/>
    <w:rsid w:val="00D81A4D"/>
    <w:rsid w:val="00D81FE5"/>
    <w:rsid w:val="00D82AD2"/>
    <w:rsid w:val="00D82D7E"/>
    <w:rsid w:val="00D83284"/>
    <w:rsid w:val="00D836E6"/>
    <w:rsid w:val="00D83AFC"/>
    <w:rsid w:val="00D83E45"/>
    <w:rsid w:val="00D847B7"/>
    <w:rsid w:val="00D85C64"/>
    <w:rsid w:val="00D869F2"/>
    <w:rsid w:val="00D86D9D"/>
    <w:rsid w:val="00D87A67"/>
    <w:rsid w:val="00D87DBE"/>
    <w:rsid w:val="00D90E81"/>
    <w:rsid w:val="00D91BEC"/>
    <w:rsid w:val="00D91ECE"/>
    <w:rsid w:val="00D924C5"/>
    <w:rsid w:val="00D9262F"/>
    <w:rsid w:val="00D9355B"/>
    <w:rsid w:val="00D945B9"/>
    <w:rsid w:val="00D9485D"/>
    <w:rsid w:val="00D954A8"/>
    <w:rsid w:val="00DA01E5"/>
    <w:rsid w:val="00DA16E6"/>
    <w:rsid w:val="00DA1D89"/>
    <w:rsid w:val="00DA2AF9"/>
    <w:rsid w:val="00DA329F"/>
    <w:rsid w:val="00DA40F0"/>
    <w:rsid w:val="00DA425D"/>
    <w:rsid w:val="00DA44D7"/>
    <w:rsid w:val="00DA569C"/>
    <w:rsid w:val="00DA57CC"/>
    <w:rsid w:val="00DA5B2E"/>
    <w:rsid w:val="00DA6498"/>
    <w:rsid w:val="00DA6B9E"/>
    <w:rsid w:val="00DA7243"/>
    <w:rsid w:val="00DA7C5B"/>
    <w:rsid w:val="00DA7C79"/>
    <w:rsid w:val="00DB12CD"/>
    <w:rsid w:val="00DB1C75"/>
    <w:rsid w:val="00DB37CF"/>
    <w:rsid w:val="00DB488F"/>
    <w:rsid w:val="00DB544D"/>
    <w:rsid w:val="00DB5BC2"/>
    <w:rsid w:val="00DB6EA3"/>
    <w:rsid w:val="00DB71A3"/>
    <w:rsid w:val="00DC00EB"/>
    <w:rsid w:val="00DC0915"/>
    <w:rsid w:val="00DC0D7A"/>
    <w:rsid w:val="00DC3635"/>
    <w:rsid w:val="00DC3966"/>
    <w:rsid w:val="00DC3DC8"/>
    <w:rsid w:val="00DC3EB9"/>
    <w:rsid w:val="00DC42D8"/>
    <w:rsid w:val="00DC48C9"/>
    <w:rsid w:val="00DC5988"/>
    <w:rsid w:val="00DC5B52"/>
    <w:rsid w:val="00DC5C1E"/>
    <w:rsid w:val="00DC61A5"/>
    <w:rsid w:val="00DC636D"/>
    <w:rsid w:val="00DC6C9A"/>
    <w:rsid w:val="00DC7257"/>
    <w:rsid w:val="00DC7697"/>
    <w:rsid w:val="00DD022A"/>
    <w:rsid w:val="00DD05C8"/>
    <w:rsid w:val="00DD18B4"/>
    <w:rsid w:val="00DD1E35"/>
    <w:rsid w:val="00DD2632"/>
    <w:rsid w:val="00DD3C15"/>
    <w:rsid w:val="00DD54A1"/>
    <w:rsid w:val="00DD5B97"/>
    <w:rsid w:val="00DD6081"/>
    <w:rsid w:val="00DD705F"/>
    <w:rsid w:val="00DE0DFA"/>
    <w:rsid w:val="00DE0FB3"/>
    <w:rsid w:val="00DE182F"/>
    <w:rsid w:val="00DE19B1"/>
    <w:rsid w:val="00DE3247"/>
    <w:rsid w:val="00DE3713"/>
    <w:rsid w:val="00DE4523"/>
    <w:rsid w:val="00DE4DFB"/>
    <w:rsid w:val="00DE5609"/>
    <w:rsid w:val="00DE72C9"/>
    <w:rsid w:val="00DE7380"/>
    <w:rsid w:val="00DE77B1"/>
    <w:rsid w:val="00DE77FE"/>
    <w:rsid w:val="00DE7808"/>
    <w:rsid w:val="00DF066A"/>
    <w:rsid w:val="00DF09A6"/>
    <w:rsid w:val="00DF0B7C"/>
    <w:rsid w:val="00DF0CAB"/>
    <w:rsid w:val="00DF0FC6"/>
    <w:rsid w:val="00DF319B"/>
    <w:rsid w:val="00DF3E01"/>
    <w:rsid w:val="00DF3E2A"/>
    <w:rsid w:val="00DF41CE"/>
    <w:rsid w:val="00DF443A"/>
    <w:rsid w:val="00DF505A"/>
    <w:rsid w:val="00DF525C"/>
    <w:rsid w:val="00DF56CE"/>
    <w:rsid w:val="00DF6CE5"/>
    <w:rsid w:val="00E008BA"/>
    <w:rsid w:val="00E00B5A"/>
    <w:rsid w:val="00E00C77"/>
    <w:rsid w:val="00E00CAE"/>
    <w:rsid w:val="00E0140B"/>
    <w:rsid w:val="00E016C7"/>
    <w:rsid w:val="00E04B4B"/>
    <w:rsid w:val="00E04D2B"/>
    <w:rsid w:val="00E04EF5"/>
    <w:rsid w:val="00E04F5E"/>
    <w:rsid w:val="00E06C8A"/>
    <w:rsid w:val="00E06D3F"/>
    <w:rsid w:val="00E1078A"/>
    <w:rsid w:val="00E10C4C"/>
    <w:rsid w:val="00E118F0"/>
    <w:rsid w:val="00E11B2D"/>
    <w:rsid w:val="00E11F4C"/>
    <w:rsid w:val="00E121A0"/>
    <w:rsid w:val="00E129F1"/>
    <w:rsid w:val="00E12BCC"/>
    <w:rsid w:val="00E1309D"/>
    <w:rsid w:val="00E13F46"/>
    <w:rsid w:val="00E1471C"/>
    <w:rsid w:val="00E14E83"/>
    <w:rsid w:val="00E158E2"/>
    <w:rsid w:val="00E16432"/>
    <w:rsid w:val="00E169B5"/>
    <w:rsid w:val="00E169DF"/>
    <w:rsid w:val="00E17B7C"/>
    <w:rsid w:val="00E2371A"/>
    <w:rsid w:val="00E2389E"/>
    <w:rsid w:val="00E23E12"/>
    <w:rsid w:val="00E2470F"/>
    <w:rsid w:val="00E25299"/>
    <w:rsid w:val="00E26197"/>
    <w:rsid w:val="00E26C44"/>
    <w:rsid w:val="00E27075"/>
    <w:rsid w:val="00E3068D"/>
    <w:rsid w:val="00E30ECD"/>
    <w:rsid w:val="00E31C5E"/>
    <w:rsid w:val="00E329F3"/>
    <w:rsid w:val="00E3340B"/>
    <w:rsid w:val="00E33C41"/>
    <w:rsid w:val="00E34880"/>
    <w:rsid w:val="00E34D19"/>
    <w:rsid w:val="00E35520"/>
    <w:rsid w:val="00E36327"/>
    <w:rsid w:val="00E369B8"/>
    <w:rsid w:val="00E37009"/>
    <w:rsid w:val="00E40B23"/>
    <w:rsid w:val="00E4122E"/>
    <w:rsid w:val="00E4682D"/>
    <w:rsid w:val="00E4773C"/>
    <w:rsid w:val="00E50F02"/>
    <w:rsid w:val="00E5113E"/>
    <w:rsid w:val="00E512AD"/>
    <w:rsid w:val="00E517A1"/>
    <w:rsid w:val="00E525B9"/>
    <w:rsid w:val="00E52F95"/>
    <w:rsid w:val="00E53300"/>
    <w:rsid w:val="00E548B1"/>
    <w:rsid w:val="00E553A5"/>
    <w:rsid w:val="00E55A25"/>
    <w:rsid w:val="00E5659B"/>
    <w:rsid w:val="00E56B2A"/>
    <w:rsid w:val="00E56C34"/>
    <w:rsid w:val="00E56E3F"/>
    <w:rsid w:val="00E57182"/>
    <w:rsid w:val="00E61BAF"/>
    <w:rsid w:val="00E61CC2"/>
    <w:rsid w:val="00E61FFC"/>
    <w:rsid w:val="00E620D8"/>
    <w:rsid w:val="00E633E2"/>
    <w:rsid w:val="00E6417C"/>
    <w:rsid w:val="00E641DB"/>
    <w:rsid w:val="00E64202"/>
    <w:rsid w:val="00E642F1"/>
    <w:rsid w:val="00E65098"/>
    <w:rsid w:val="00E655C7"/>
    <w:rsid w:val="00E6578A"/>
    <w:rsid w:val="00E65988"/>
    <w:rsid w:val="00E66BC5"/>
    <w:rsid w:val="00E675C4"/>
    <w:rsid w:val="00E676F0"/>
    <w:rsid w:val="00E678D7"/>
    <w:rsid w:val="00E7398E"/>
    <w:rsid w:val="00E73A3A"/>
    <w:rsid w:val="00E7425E"/>
    <w:rsid w:val="00E767BB"/>
    <w:rsid w:val="00E77785"/>
    <w:rsid w:val="00E80299"/>
    <w:rsid w:val="00E804E7"/>
    <w:rsid w:val="00E823BA"/>
    <w:rsid w:val="00E82FA2"/>
    <w:rsid w:val="00E84360"/>
    <w:rsid w:val="00E846EB"/>
    <w:rsid w:val="00E84FBD"/>
    <w:rsid w:val="00E8527A"/>
    <w:rsid w:val="00E85480"/>
    <w:rsid w:val="00E862A3"/>
    <w:rsid w:val="00E87F61"/>
    <w:rsid w:val="00E9008C"/>
    <w:rsid w:val="00E917E7"/>
    <w:rsid w:val="00E91874"/>
    <w:rsid w:val="00E91F72"/>
    <w:rsid w:val="00E92124"/>
    <w:rsid w:val="00E922A8"/>
    <w:rsid w:val="00E929E4"/>
    <w:rsid w:val="00E92E7A"/>
    <w:rsid w:val="00E95795"/>
    <w:rsid w:val="00EA01FE"/>
    <w:rsid w:val="00EA0B3A"/>
    <w:rsid w:val="00EA11EA"/>
    <w:rsid w:val="00EA1C11"/>
    <w:rsid w:val="00EA1E76"/>
    <w:rsid w:val="00EA220E"/>
    <w:rsid w:val="00EA28D1"/>
    <w:rsid w:val="00EA29E9"/>
    <w:rsid w:val="00EA4B39"/>
    <w:rsid w:val="00EA52F3"/>
    <w:rsid w:val="00EA5797"/>
    <w:rsid w:val="00EA57FF"/>
    <w:rsid w:val="00EA63CB"/>
    <w:rsid w:val="00EA7160"/>
    <w:rsid w:val="00EB3217"/>
    <w:rsid w:val="00EB33D3"/>
    <w:rsid w:val="00EB3655"/>
    <w:rsid w:val="00EB3928"/>
    <w:rsid w:val="00EB4013"/>
    <w:rsid w:val="00EB4301"/>
    <w:rsid w:val="00EB747A"/>
    <w:rsid w:val="00EC0AB8"/>
    <w:rsid w:val="00EC2A30"/>
    <w:rsid w:val="00EC4035"/>
    <w:rsid w:val="00EC4F53"/>
    <w:rsid w:val="00EC567C"/>
    <w:rsid w:val="00EC5E2F"/>
    <w:rsid w:val="00EC600E"/>
    <w:rsid w:val="00EC658B"/>
    <w:rsid w:val="00EC77F2"/>
    <w:rsid w:val="00EC7F17"/>
    <w:rsid w:val="00ED0455"/>
    <w:rsid w:val="00ED0C9C"/>
    <w:rsid w:val="00ED1D9C"/>
    <w:rsid w:val="00ED2DF7"/>
    <w:rsid w:val="00ED3667"/>
    <w:rsid w:val="00ED3BF3"/>
    <w:rsid w:val="00ED3CCE"/>
    <w:rsid w:val="00ED3D3A"/>
    <w:rsid w:val="00ED4199"/>
    <w:rsid w:val="00ED48D2"/>
    <w:rsid w:val="00ED4D30"/>
    <w:rsid w:val="00ED4E65"/>
    <w:rsid w:val="00ED5834"/>
    <w:rsid w:val="00ED6235"/>
    <w:rsid w:val="00ED660D"/>
    <w:rsid w:val="00ED6D5E"/>
    <w:rsid w:val="00ED7579"/>
    <w:rsid w:val="00ED7EDB"/>
    <w:rsid w:val="00EE1082"/>
    <w:rsid w:val="00EE1C3E"/>
    <w:rsid w:val="00EE2B14"/>
    <w:rsid w:val="00EE322D"/>
    <w:rsid w:val="00EE40D7"/>
    <w:rsid w:val="00EE4C98"/>
    <w:rsid w:val="00EE606F"/>
    <w:rsid w:val="00EE6530"/>
    <w:rsid w:val="00EE662D"/>
    <w:rsid w:val="00EE6957"/>
    <w:rsid w:val="00EE73D6"/>
    <w:rsid w:val="00EE749B"/>
    <w:rsid w:val="00EE7B3C"/>
    <w:rsid w:val="00EF07F3"/>
    <w:rsid w:val="00EF1405"/>
    <w:rsid w:val="00EF1BF8"/>
    <w:rsid w:val="00EF224A"/>
    <w:rsid w:val="00EF29A1"/>
    <w:rsid w:val="00EF30E0"/>
    <w:rsid w:val="00EF39C4"/>
    <w:rsid w:val="00EF45E6"/>
    <w:rsid w:val="00EF5269"/>
    <w:rsid w:val="00EF5763"/>
    <w:rsid w:val="00EF6409"/>
    <w:rsid w:val="00EF65FC"/>
    <w:rsid w:val="00EF7818"/>
    <w:rsid w:val="00EF7E00"/>
    <w:rsid w:val="00F00B6F"/>
    <w:rsid w:val="00F00ED9"/>
    <w:rsid w:val="00F019EE"/>
    <w:rsid w:val="00F0235A"/>
    <w:rsid w:val="00F035E2"/>
    <w:rsid w:val="00F03B57"/>
    <w:rsid w:val="00F03DF2"/>
    <w:rsid w:val="00F03F99"/>
    <w:rsid w:val="00F0441B"/>
    <w:rsid w:val="00F04801"/>
    <w:rsid w:val="00F04CFB"/>
    <w:rsid w:val="00F05C80"/>
    <w:rsid w:val="00F06759"/>
    <w:rsid w:val="00F06F97"/>
    <w:rsid w:val="00F105CB"/>
    <w:rsid w:val="00F10622"/>
    <w:rsid w:val="00F1254A"/>
    <w:rsid w:val="00F12C87"/>
    <w:rsid w:val="00F12CFB"/>
    <w:rsid w:val="00F133DE"/>
    <w:rsid w:val="00F1459F"/>
    <w:rsid w:val="00F1493C"/>
    <w:rsid w:val="00F15AFC"/>
    <w:rsid w:val="00F16F6F"/>
    <w:rsid w:val="00F17ECC"/>
    <w:rsid w:val="00F20831"/>
    <w:rsid w:val="00F21681"/>
    <w:rsid w:val="00F21C43"/>
    <w:rsid w:val="00F2257B"/>
    <w:rsid w:val="00F22FE4"/>
    <w:rsid w:val="00F242D9"/>
    <w:rsid w:val="00F248A7"/>
    <w:rsid w:val="00F24CF6"/>
    <w:rsid w:val="00F257B2"/>
    <w:rsid w:val="00F25A1E"/>
    <w:rsid w:val="00F2681D"/>
    <w:rsid w:val="00F26A98"/>
    <w:rsid w:val="00F2791D"/>
    <w:rsid w:val="00F27E69"/>
    <w:rsid w:val="00F30270"/>
    <w:rsid w:val="00F326F2"/>
    <w:rsid w:val="00F32C95"/>
    <w:rsid w:val="00F335C9"/>
    <w:rsid w:val="00F33B73"/>
    <w:rsid w:val="00F35A27"/>
    <w:rsid w:val="00F377BC"/>
    <w:rsid w:val="00F37C99"/>
    <w:rsid w:val="00F4097F"/>
    <w:rsid w:val="00F40CA2"/>
    <w:rsid w:val="00F411ED"/>
    <w:rsid w:val="00F4198C"/>
    <w:rsid w:val="00F43890"/>
    <w:rsid w:val="00F43A3A"/>
    <w:rsid w:val="00F44F42"/>
    <w:rsid w:val="00F44F92"/>
    <w:rsid w:val="00F46098"/>
    <w:rsid w:val="00F46299"/>
    <w:rsid w:val="00F46925"/>
    <w:rsid w:val="00F46C06"/>
    <w:rsid w:val="00F47372"/>
    <w:rsid w:val="00F47564"/>
    <w:rsid w:val="00F50467"/>
    <w:rsid w:val="00F50496"/>
    <w:rsid w:val="00F50C27"/>
    <w:rsid w:val="00F519A3"/>
    <w:rsid w:val="00F51A1A"/>
    <w:rsid w:val="00F524E0"/>
    <w:rsid w:val="00F530DE"/>
    <w:rsid w:val="00F53D17"/>
    <w:rsid w:val="00F544AE"/>
    <w:rsid w:val="00F54BD5"/>
    <w:rsid w:val="00F5610D"/>
    <w:rsid w:val="00F567C5"/>
    <w:rsid w:val="00F5685C"/>
    <w:rsid w:val="00F56897"/>
    <w:rsid w:val="00F57067"/>
    <w:rsid w:val="00F57D24"/>
    <w:rsid w:val="00F57DF3"/>
    <w:rsid w:val="00F60EC1"/>
    <w:rsid w:val="00F623BE"/>
    <w:rsid w:val="00F63A0A"/>
    <w:rsid w:val="00F652B7"/>
    <w:rsid w:val="00F65643"/>
    <w:rsid w:val="00F65A21"/>
    <w:rsid w:val="00F65CD6"/>
    <w:rsid w:val="00F65D51"/>
    <w:rsid w:val="00F66244"/>
    <w:rsid w:val="00F6666A"/>
    <w:rsid w:val="00F67C46"/>
    <w:rsid w:val="00F67DD2"/>
    <w:rsid w:val="00F67E06"/>
    <w:rsid w:val="00F70518"/>
    <w:rsid w:val="00F716BE"/>
    <w:rsid w:val="00F725DB"/>
    <w:rsid w:val="00F733FD"/>
    <w:rsid w:val="00F735E6"/>
    <w:rsid w:val="00F748B7"/>
    <w:rsid w:val="00F7499C"/>
    <w:rsid w:val="00F749D3"/>
    <w:rsid w:val="00F75293"/>
    <w:rsid w:val="00F75406"/>
    <w:rsid w:val="00F8030A"/>
    <w:rsid w:val="00F8046B"/>
    <w:rsid w:val="00F81867"/>
    <w:rsid w:val="00F81C62"/>
    <w:rsid w:val="00F81CBA"/>
    <w:rsid w:val="00F81E70"/>
    <w:rsid w:val="00F82C8F"/>
    <w:rsid w:val="00F830A9"/>
    <w:rsid w:val="00F83C73"/>
    <w:rsid w:val="00F840A1"/>
    <w:rsid w:val="00F84D26"/>
    <w:rsid w:val="00F86991"/>
    <w:rsid w:val="00F87D8A"/>
    <w:rsid w:val="00F90070"/>
    <w:rsid w:val="00F90805"/>
    <w:rsid w:val="00F91116"/>
    <w:rsid w:val="00F9160A"/>
    <w:rsid w:val="00F918E9"/>
    <w:rsid w:val="00F91B2E"/>
    <w:rsid w:val="00F91E4E"/>
    <w:rsid w:val="00F92624"/>
    <w:rsid w:val="00F92C3C"/>
    <w:rsid w:val="00F93E4C"/>
    <w:rsid w:val="00F93F1D"/>
    <w:rsid w:val="00F94250"/>
    <w:rsid w:val="00F94B36"/>
    <w:rsid w:val="00F94E8D"/>
    <w:rsid w:val="00F9517A"/>
    <w:rsid w:val="00F96104"/>
    <w:rsid w:val="00F96EC1"/>
    <w:rsid w:val="00F96F82"/>
    <w:rsid w:val="00FA0031"/>
    <w:rsid w:val="00FA1B45"/>
    <w:rsid w:val="00FA2290"/>
    <w:rsid w:val="00FA3DAD"/>
    <w:rsid w:val="00FA42F2"/>
    <w:rsid w:val="00FA5605"/>
    <w:rsid w:val="00FA66C8"/>
    <w:rsid w:val="00FA6A92"/>
    <w:rsid w:val="00FA731F"/>
    <w:rsid w:val="00FB1D27"/>
    <w:rsid w:val="00FB1F0E"/>
    <w:rsid w:val="00FB268E"/>
    <w:rsid w:val="00FB2879"/>
    <w:rsid w:val="00FB354F"/>
    <w:rsid w:val="00FB43B1"/>
    <w:rsid w:val="00FB4DEF"/>
    <w:rsid w:val="00FB4FF9"/>
    <w:rsid w:val="00FB58E2"/>
    <w:rsid w:val="00FB5E2D"/>
    <w:rsid w:val="00FB713B"/>
    <w:rsid w:val="00FC0827"/>
    <w:rsid w:val="00FC0F46"/>
    <w:rsid w:val="00FC1053"/>
    <w:rsid w:val="00FC176D"/>
    <w:rsid w:val="00FC3B67"/>
    <w:rsid w:val="00FC40CE"/>
    <w:rsid w:val="00FC650F"/>
    <w:rsid w:val="00FC67DC"/>
    <w:rsid w:val="00FC76FF"/>
    <w:rsid w:val="00FC7BB1"/>
    <w:rsid w:val="00FC7DF3"/>
    <w:rsid w:val="00FD2B28"/>
    <w:rsid w:val="00FD2F4E"/>
    <w:rsid w:val="00FD32E9"/>
    <w:rsid w:val="00FD35D4"/>
    <w:rsid w:val="00FD45AA"/>
    <w:rsid w:val="00FD5443"/>
    <w:rsid w:val="00FD6708"/>
    <w:rsid w:val="00FE05F2"/>
    <w:rsid w:val="00FE261D"/>
    <w:rsid w:val="00FE2D8D"/>
    <w:rsid w:val="00FE2FF7"/>
    <w:rsid w:val="00FE3472"/>
    <w:rsid w:val="00FE37F2"/>
    <w:rsid w:val="00FE4220"/>
    <w:rsid w:val="00FE46B5"/>
    <w:rsid w:val="00FE592B"/>
    <w:rsid w:val="00FE6473"/>
    <w:rsid w:val="00FE668E"/>
    <w:rsid w:val="00FE722F"/>
    <w:rsid w:val="00FF15AB"/>
    <w:rsid w:val="00FF27B0"/>
    <w:rsid w:val="00FF302C"/>
    <w:rsid w:val="00FF325B"/>
    <w:rsid w:val="00FF3956"/>
    <w:rsid w:val="00FF4821"/>
    <w:rsid w:val="00FF4F98"/>
    <w:rsid w:val="00FF603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contacts" w:name="Sn"/>
  <w:smartTagType w:namespaceuri="urn:schemas-microsoft-com:office:smarttags" w:name="City"/>
  <w:smartTagType w:namespaceuri="urn:schemas-microsoft-com:office:smarttags" w:name="PersonName"/>
  <w:smartTagType w:namespaceuri="urn:schemas-microsoft-com:office:smarttags" w:name="stockticker"/>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ountry-region"/>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5527F"/>
    <w:rPr>
      <w:sz w:val="22"/>
      <w:szCs w:val="24"/>
    </w:rPr>
  </w:style>
  <w:style w:type="paragraph" w:styleId="Heading1">
    <w:name w:val="heading 1"/>
    <w:aliases w:val="h1,Tempo Heading 1,Project 1,RFS,TOC 11,Section heading,A MAJOR/BOLD,Para,Heading 1(Report Only),Para1,h11,h12,No numbers,H1,Main Heading,Arial 11,Bold,Heading X,Section Heading,ASAPHeading 1,A MAJOR/BOLD1,h11DIF,H11,11,A MAJOR/BOLD2,Para2,L1"/>
    <w:basedOn w:val="Normal"/>
    <w:next w:val="Normal"/>
    <w:link w:val="Heading1Char1"/>
    <w:qFormat/>
    <w:rsid w:val="000B6427"/>
    <w:pPr>
      <w:keepNext/>
      <w:numPr>
        <w:numId w:val="24"/>
      </w:numPr>
      <w:spacing w:after="240"/>
      <w:outlineLvl w:val="0"/>
    </w:pPr>
    <w:rPr>
      <w:rFonts w:ascii="Arial" w:eastAsia="Times" w:hAnsi="Arial"/>
      <w:kern w:val="28"/>
      <w:sz w:val="40"/>
      <w:szCs w:val="22"/>
    </w:rPr>
  </w:style>
  <w:style w:type="paragraph" w:styleId="Heading2">
    <w:name w:val="heading 2"/>
    <w:basedOn w:val="Heading1"/>
    <w:next w:val="Normal"/>
    <w:link w:val="Heading2Char"/>
    <w:qFormat/>
    <w:rsid w:val="00B61966"/>
    <w:pPr>
      <w:numPr>
        <w:ilvl w:val="1"/>
      </w:numPr>
      <w:outlineLvl w:val="1"/>
    </w:pPr>
    <w:rPr>
      <w:rFonts w:ascii="Arial Bold" w:hAnsi="Arial Bold"/>
      <w:b/>
      <w:caps/>
      <w:sz w:val="24"/>
    </w:rPr>
  </w:style>
  <w:style w:type="paragraph" w:styleId="Heading3">
    <w:name w:val="heading 3"/>
    <w:basedOn w:val="Normal"/>
    <w:next w:val="Normal"/>
    <w:link w:val="Heading3Char"/>
    <w:qFormat/>
    <w:rsid w:val="00B25451"/>
    <w:pPr>
      <w:keepNext/>
      <w:numPr>
        <w:ilvl w:val="2"/>
        <w:numId w:val="24"/>
      </w:numPr>
      <w:spacing w:after="240" w:line="260" w:lineRule="exact"/>
      <w:outlineLvl w:val="2"/>
    </w:pPr>
    <w:rPr>
      <w:rFonts w:ascii="Arial" w:eastAsia="Times" w:hAnsi="Arial"/>
      <w:b/>
      <w:spacing w:val="10"/>
      <w:sz w:val="23"/>
      <w:szCs w:val="22"/>
    </w:rPr>
  </w:style>
  <w:style w:type="paragraph" w:styleId="Heading4">
    <w:name w:val="heading 4"/>
    <w:basedOn w:val="Normal"/>
    <w:next w:val="Normal"/>
    <w:qFormat/>
    <w:rsid w:val="000B6427"/>
    <w:pPr>
      <w:keepNext/>
      <w:numPr>
        <w:ilvl w:val="3"/>
        <w:numId w:val="24"/>
      </w:numPr>
      <w:spacing w:after="240" w:line="260" w:lineRule="exact"/>
      <w:outlineLvl w:val="3"/>
    </w:pPr>
    <w:rPr>
      <w:rFonts w:eastAsia="Times"/>
      <w:b/>
      <w:i/>
      <w:spacing w:val="10"/>
      <w:sz w:val="21"/>
      <w:szCs w:val="22"/>
    </w:rPr>
  </w:style>
  <w:style w:type="paragraph" w:styleId="Heading5">
    <w:name w:val="heading 5"/>
    <w:basedOn w:val="Normal"/>
    <w:next w:val="Normal"/>
    <w:qFormat/>
    <w:rsid w:val="000B6427"/>
    <w:pPr>
      <w:numPr>
        <w:ilvl w:val="4"/>
        <w:numId w:val="21"/>
      </w:numPr>
      <w:spacing w:after="240" w:line="260" w:lineRule="exact"/>
      <w:outlineLvl w:val="4"/>
    </w:pPr>
    <w:rPr>
      <w:rFonts w:eastAsia="Times"/>
      <w:i/>
      <w:spacing w:val="10"/>
      <w:sz w:val="21"/>
      <w:szCs w:val="22"/>
    </w:rPr>
  </w:style>
  <w:style w:type="paragraph" w:styleId="Heading6">
    <w:name w:val="heading 6"/>
    <w:basedOn w:val="Normal"/>
    <w:next w:val="Normal"/>
    <w:qFormat/>
    <w:rsid w:val="00400195"/>
    <w:pPr>
      <w:spacing w:before="240" w:after="60"/>
      <w:outlineLvl w:val="5"/>
    </w:pPr>
    <w:rPr>
      <w:b/>
      <w:bCs/>
      <w:szCs w:val="22"/>
    </w:rPr>
  </w:style>
  <w:style w:type="paragraph" w:styleId="Heading7">
    <w:name w:val="heading 7"/>
    <w:basedOn w:val="Normal"/>
    <w:next w:val="Normal"/>
    <w:qFormat/>
    <w:rsid w:val="000B6427"/>
    <w:pPr>
      <w:numPr>
        <w:ilvl w:val="6"/>
        <w:numId w:val="21"/>
      </w:numPr>
      <w:spacing w:after="240" w:line="220" w:lineRule="exact"/>
      <w:outlineLvl w:val="6"/>
    </w:pPr>
    <w:rPr>
      <w:rFonts w:ascii="Arial" w:eastAsia="Times" w:hAnsi="Arial"/>
      <w:b/>
      <w:caps/>
      <w:spacing w:val="10"/>
      <w:sz w:val="16"/>
      <w:szCs w:val="22"/>
    </w:rPr>
  </w:style>
  <w:style w:type="paragraph" w:styleId="Heading8">
    <w:name w:val="heading 8"/>
    <w:basedOn w:val="Normal"/>
    <w:next w:val="Normal"/>
    <w:qFormat/>
    <w:rsid w:val="000B6427"/>
    <w:pPr>
      <w:numPr>
        <w:ilvl w:val="7"/>
        <w:numId w:val="21"/>
      </w:numPr>
      <w:spacing w:after="240"/>
      <w:outlineLvl w:val="7"/>
    </w:pPr>
    <w:rPr>
      <w:rFonts w:ascii="Helvetica" w:eastAsia="Times" w:hAnsi="Helvetica"/>
      <w:i/>
      <w:sz w:val="20"/>
      <w:szCs w:val="22"/>
    </w:rPr>
  </w:style>
  <w:style w:type="paragraph" w:styleId="Heading9">
    <w:name w:val="heading 9"/>
    <w:basedOn w:val="Normal"/>
    <w:next w:val="Normal"/>
    <w:qFormat/>
    <w:rsid w:val="000B6427"/>
    <w:pPr>
      <w:numPr>
        <w:ilvl w:val="8"/>
        <w:numId w:val="21"/>
      </w:numPr>
      <w:spacing w:after="240"/>
      <w:outlineLvl w:val="8"/>
    </w:pPr>
    <w:rPr>
      <w:rFonts w:ascii="Helvetica" w:eastAsia="Times" w:hAnsi="Helvetica"/>
      <w:b/>
      <w:i/>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B61966"/>
    <w:rPr>
      <w:rFonts w:ascii="Arial Bold" w:eastAsia="Times" w:hAnsi="Arial Bold"/>
      <w:b/>
      <w:caps/>
      <w:kern w:val="28"/>
      <w:sz w:val="24"/>
      <w:szCs w:val="22"/>
      <w:lang w:val="en-AU" w:eastAsia="en-AU" w:bidi="ar-SA"/>
    </w:rPr>
  </w:style>
  <w:style w:type="character" w:customStyle="1" w:styleId="Heading3Char">
    <w:name w:val="Heading 3 Char"/>
    <w:link w:val="Heading3"/>
    <w:rsid w:val="00B25451"/>
    <w:rPr>
      <w:rFonts w:ascii="Arial" w:eastAsia="Times" w:hAnsi="Arial"/>
      <w:b/>
      <w:spacing w:val="10"/>
      <w:sz w:val="23"/>
      <w:szCs w:val="22"/>
      <w:lang w:val="en-AU" w:eastAsia="en-AU" w:bidi="ar-SA"/>
    </w:rPr>
  </w:style>
  <w:style w:type="paragraph" w:styleId="Footer">
    <w:name w:val="footer"/>
    <w:basedOn w:val="Normal"/>
    <w:rsid w:val="00DE4523"/>
    <w:pPr>
      <w:tabs>
        <w:tab w:val="center" w:pos="4320"/>
        <w:tab w:val="right" w:pos="8640"/>
      </w:tabs>
    </w:pPr>
    <w:rPr>
      <w:sz w:val="20"/>
    </w:rPr>
  </w:style>
  <w:style w:type="character" w:styleId="PageNumber">
    <w:name w:val="page number"/>
    <w:basedOn w:val="DefaultParagraphFont"/>
    <w:rsid w:val="000B6427"/>
  </w:style>
  <w:style w:type="character" w:customStyle="1" w:styleId="StyleArial14ptAqua">
    <w:name w:val="Style Arial 14 pt Aqua"/>
    <w:rsid w:val="00B770B6"/>
    <w:rPr>
      <w:rFonts w:ascii="Arial" w:hAnsi="Arial"/>
      <w:caps/>
      <w:color w:val="33CCCC"/>
      <w:sz w:val="28"/>
    </w:rPr>
  </w:style>
  <w:style w:type="character" w:customStyle="1" w:styleId="StyleArial">
    <w:name w:val="Style Arial"/>
    <w:rsid w:val="00B770B6"/>
    <w:rPr>
      <w:rFonts w:ascii="Arial" w:hAnsi="Arial"/>
      <w:caps/>
      <w:sz w:val="22"/>
    </w:rPr>
  </w:style>
  <w:style w:type="character" w:customStyle="1" w:styleId="StyleArial95pt">
    <w:name w:val="Style Arial 9.5 pt"/>
    <w:rsid w:val="00B770B6"/>
    <w:rPr>
      <w:rFonts w:ascii="Arial" w:hAnsi="Arial"/>
      <w:caps/>
      <w:sz w:val="19"/>
    </w:rPr>
  </w:style>
  <w:style w:type="character" w:customStyle="1" w:styleId="StyleArial18pt">
    <w:name w:val="Style Arial 18 pt"/>
    <w:rsid w:val="00581AAA"/>
    <w:rPr>
      <w:rFonts w:ascii="Arial" w:hAnsi="Arial"/>
      <w:caps/>
      <w:sz w:val="36"/>
    </w:rPr>
  </w:style>
  <w:style w:type="paragraph" w:styleId="Header">
    <w:name w:val="header"/>
    <w:basedOn w:val="Normal"/>
    <w:rsid w:val="00DE4523"/>
    <w:pPr>
      <w:tabs>
        <w:tab w:val="center" w:pos="4153"/>
        <w:tab w:val="right" w:pos="8306"/>
      </w:tabs>
    </w:pPr>
    <w:rPr>
      <w:sz w:val="20"/>
    </w:rPr>
  </w:style>
  <w:style w:type="paragraph" w:customStyle="1" w:styleId="CharChar2Char">
    <w:name w:val="Char Char2 Char"/>
    <w:basedOn w:val="Normal"/>
    <w:rsid w:val="00400195"/>
    <w:pPr>
      <w:spacing w:before="200" w:after="160" w:line="240" w:lineRule="exact"/>
    </w:pPr>
    <w:rPr>
      <w:rFonts w:ascii="Verdana" w:hAnsi="Verdana"/>
      <w:sz w:val="20"/>
      <w:szCs w:val="20"/>
      <w:lang w:val="en-US" w:eastAsia="en-US"/>
    </w:rPr>
  </w:style>
  <w:style w:type="paragraph" w:customStyle="1" w:styleId="heading11">
    <w:name w:val="heading1.1"/>
    <w:basedOn w:val="Normal"/>
    <w:rsid w:val="00400195"/>
    <w:pPr>
      <w:pageBreakBefore/>
      <w:autoSpaceDE w:val="0"/>
      <w:autoSpaceDN w:val="0"/>
      <w:adjustRightInd w:val="0"/>
      <w:spacing w:after="240"/>
      <w:outlineLvl w:val="0"/>
    </w:pPr>
    <w:rPr>
      <w:rFonts w:ascii="Arial" w:hAnsi="Arial"/>
      <w:sz w:val="40"/>
    </w:rPr>
  </w:style>
  <w:style w:type="character" w:styleId="Hyperlink">
    <w:name w:val="Hyperlink"/>
    <w:uiPriority w:val="99"/>
    <w:rsid w:val="00CF7613"/>
    <w:rPr>
      <w:color w:val="0000FF"/>
      <w:u w:val="none"/>
    </w:rPr>
  </w:style>
  <w:style w:type="paragraph" w:styleId="TOC1">
    <w:name w:val="toc 1"/>
    <w:basedOn w:val="Normal"/>
    <w:next w:val="Normal"/>
    <w:autoRedefine/>
    <w:uiPriority w:val="39"/>
    <w:rsid w:val="00851E1E"/>
    <w:pPr>
      <w:tabs>
        <w:tab w:val="left" w:pos="567"/>
        <w:tab w:val="right" w:leader="dot" w:pos="9540"/>
      </w:tabs>
      <w:spacing w:before="120"/>
      <w:ind w:left="567" w:right="454" w:hanging="567"/>
    </w:pPr>
    <w:rPr>
      <w:rFonts w:eastAsia="Times"/>
      <w:szCs w:val="22"/>
    </w:rPr>
  </w:style>
  <w:style w:type="paragraph" w:styleId="TOC2">
    <w:name w:val="toc 2"/>
    <w:basedOn w:val="Normal"/>
    <w:next w:val="Normal"/>
    <w:autoRedefine/>
    <w:uiPriority w:val="39"/>
    <w:rsid w:val="00871D5B"/>
    <w:pPr>
      <w:tabs>
        <w:tab w:val="left" w:pos="1134"/>
        <w:tab w:val="right" w:leader="dot" w:pos="9540"/>
      </w:tabs>
      <w:spacing w:before="40"/>
      <w:ind w:left="1134" w:right="454" w:hanging="567"/>
    </w:pPr>
    <w:rPr>
      <w:rFonts w:eastAsia="Times"/>
      <w:szCs w:val="22"/>
    </w:rPr>
  </w:style>
  <w:style w:type="paragraph" w:styleId="FootnoteText">
    <w:name w:val="footnote text"/>
    <w:basedOn w:val="Normal"/>
    <w:semiHidden/>
    <w:rsid w:val="00400195"/>
    <w:pPr>
      <w:spacing w:after="240"/>
    </w:pPr>
    <w:rPr>
      <w:rFonts w:eastAsia="Times"/>
      <w:sz w:val="20"/>
      <w:szCs w:val="20"/>
    </w:rPr>
  </w:style>
  <w:style w:type="character" w:styleId="FootnoteReference">
    <w:name w:val="footnote reference"/>
    <w:semiHidden/>
    <w:rsid w:val="00400195"/>
    <w:rPr>
      <w:vertAlign w:val="superscript"/>
    </w:rPr>
  </w:style>
  <w:style w:type="paragraph" w:customStyle="1" w:styleId="Heading40">
    <w:name w:val="Heading4"/>
    <w:basedOn w:val="Heading3"/>
    <w:rsid w:val="00400195"/>
    <w:pPr>
      <w:numPr>
        <w:ilvl w:val="0"/>
        <w:numId w:val="0"/>
      </w:numPr>
      <w:tabs>
        <w:tab w:val="num" w:pos="720"/>
      </w:tabs>
      <w:ind w:left="720" w:hanging="720"/>
    </w:pPr>
    <w:rPr>
      <w:i/>
      <w:szCs w:val="20"/>
    </w:rPr>
  </w:style>
  <w:style w:type="paragraph" w:customStyle="1" w:styleId="StyleHeading211pt">
    <w:name w:val="Style Heading 2 + 11 pt"/>
    <w:basedOn w:val="Heading2"/>
    <w:rsid w:val="00400195"/>
    <w:pPr>
      <w:numPr>
        <w:ilvl w:val="0"/>
        <w:numId w:val="0"/>
      </w:numPr>
      <w:tabs>
        <w:tab w:val="num" w:pos="720"/>
      </w:tabs>
      <w:ind w:left="720" w:hanging="360"/>
    </w:pPr>
    <w:rPr>
      <w:bCs/>
    </w:rPr>
  </w:style>
  <w:style w:type="paragraph" w:customStyle="1" w:styleId="head1">
    <w:name w:val="head1"/>
    <w:basedOn w:val="Normal"/>
    <w:rsid w:val="00400195"/>
    <w:pPr>
      <w:spacing w:after="240"/>
    </w:pPr>
    <w:rPr>
      <w:rFonts w:ascii="Arial" w:hAnsi="Arial"/>
      <w:sz w:val="40"/>
      <w:szCs w:val="40"/>
    </w:rPr>
  </w:style>
  <w:style w:type="paragraph" w:customStyle="1" w:styleId="head3">
    <w:name w:val="head 3"/>
    <w:basedOn w:val="Normal"/>
    <w:rsid w:val="00400195"/>
    <w:pPr>
      <w:keepNext/>
      <w:tabs>
        <w:tab w:val="num" w:pos="1440"/>
      </w:tabs>
      <w:spacing w:after="240"/>
      <w:ind w:left="1440" w:hanging="360"/>
      <w:outlineLvl w:val="1"/>
    </w:pPr>
    <w:rPr>
      <w:rFonts w:ascii="Arial Bold" w:eastAsia="Times" w:hAnsi="Arial Bold"/>
      <w:b/>
      <w:kern w:val="28"/>
      <w:szCs w:val="22"/>
    </w:rPr>
  </w:style>
  <w:style w:type="paragraph" w:customStyle="1" w:styleId="Head2">
    <w:name w:val="Head2"/>
    <w:basedOn w:val="Normal"/>
    <w:rsid w:val="00400195"/>
    <w:pPr>
      <w:spacing w:after="240"/>
    </w:pPr>
    <w:rPr>
      <w:rFonts w:ascii="Arial Bold" w:hAnsi="Arial Bold"/>
      <w:b/>
      <w:caps/>
      <w:szCs w:val="22"/>
    </w:rPr>
  </w:style>
  <w:style w:type="paragraph" w:customStyle="1" w:styleId="Head30">
    <w:name w:val="Head3"/>
    <w:basedOn w:val="Normal"/>
    <w:rsid w:val="00400195"/>
    <w:pPr>
      <w:spacing w:after="240"/>
    </w:pPr>
    <w:rPr>
      <w:rFonts w:ascii="Arial Bold" w:hAnsi="Arial Bold"/>
      <w:b/>
      <w:szCs w:val="22"/>
    </w:rPr>
  </w:style>
  <w:style w:type="table" w:styleId="TableGrid">
    <w:name w:val="Table Grid"/>
    <w:basedOn w:val="TableNormal"/>
    <w:rsid w:val="004001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F53D17"/>
    <w:pPr>
      <w:tabs>
        <w:tab w:val="left" w:pos="1985"/>
        <w:tab w:val="right" w:leader="dot" w:pos="9540"/>
      </w:tabs>
      <w:ind w:left="1980" w:right="454" w:hanging="846"/>
    </w:pPr>
  </w:style>
  <w:style w:type="paragraph" w:customStyle="1" w:styleId="Refs">
    <w:name w:val="Refs"/>
    <w:basedOn w:val="Normal"/>
    <w:rsid w:val="00400195"/>
    <w:pPr>
      <w:keepLines/>
      <w:adjustRightInd w:val="0"/>
      <w:spacing w:after="240"/>
      <w:ind w:left="567" w:hanging="567"/>
    </w:pPr>
  </w:style>
  <w:style w:type="paragraph" w:customStyle="1" w:styleId="CentreHeading">
    <w:name w:val="Centre Heading"/>
    <w:basedOn w:val="Normal"/>
    <w:next w:val="Normal"/>
    <w:rsid w:val="00400195"/>
    <w:pPr>
      <w:autoSpaceDE w:val="0"/>
      <w:autoSpaceDN w:val="0"/>
      <w:adjustRightInd w:val="0"/>
    </w:pPr>
    <w:rPr>
      <w:sz w:val="24"/>
    </w:rPr>
  </w:style>
  <w:style w:type="paragraph" w:customStyle="1" w:styleId="BodyText1">
    <w:name w:val="Body Text1"/>
    <w:basedOn w:val="Normal"/>
    <w:semiHidden/>
    <w:rsid w:val="00400195"/>
    <w:pPr>
      <w:spacing w:after="240" w:line="280" w:lineRule="exact"/>
    </w:pPr>
    <w:rPr>
      <w:kern w:val="28"/>
      <w:szCs w:val="22"/>
    </w:rPr>
  </w:style>
  <w:style w:type="paragraph" w:styleId="Caption">
    <w:name w:val="caption"/>
    <w:aliases w:val="Caption arial,Char"/>
    <w:basedOn w:val="Normal"/>
    <w:next w:val="BodyText1"/>
    <w:link w:val="CaptionChar2"/>
    <w:qFormat/>
    <w:rsid w:val="005706E3"/>
    <w:pPr>
      <w:spacing w:before="120" w:after="240"/>
    </w:pPr>
    <w:rPr>
      <w:bCs/>
      <w:i/>
      <w:sz w:val="20"/>
      <w:szCs w:val="18"/>
    </w:rPr>
  </w:style>
  <w:style w:type="character" w:customStyle="1" w:styleId="CaptionChar2">
    <w:name w:val="Caption Char2"/>
    <w:aliases w:val="Caption arial Char,Char Char"/>
    <w:link w:val="Caption"/>
    <w:rsid w:val="005706E3"/>
    <w:rPr>
      <w:bCs/>
      <w:i/>
      <w:szCs w:val="18"/>
      <w:lang w:val="en-AU" w:eastAsia="en-AU" w:bidi="ar-SA"/>
    </w:rPr>
  </w:style>
  <w:style w:type="paragraph" w:styleId="BodyText">
    <w:name w:val="Body Text"/>
    <w:aliases w:val="Char2, Char2"/>
    <w:basedOn w:val="Normal"/>
    <w:link w:val="BodyTextChar"/>
    <w:rsid w:val="00400195"/>
    <w:pPr>
      <w:spacing w:after="240" w:line="280" w:lineRule="atLeast"/>
    </w:pPr>
    <w:rPr>
      <w:rFonts w:cs="Arial"/>
      <w:szCs w:val="28"/>
    </w:rPr>
  </w:style>
  <w:style w:type="character" w:customStyle="1" w:styleId="BodyTextChar">
    <w:name w:val="Body Text Char"/>
    <w:aliases w:val="Char2 Char1, Char2 Char"/>
    <w:link w:val="BodyText"/>
    <w:rsid w:val="00400195"/>
    <w:rPr>
      <w:rFonts w:cs="Arial"/>
      <w:sz w:val="22"/>
      <w:szCs w:val="28"/>
      <w:lang w:val="en-AU" w:eastAsia="en-AU" w:bidi="ar-SA"/>
    </w:rPr>
  </w:style>
  <w:style w:type="paragraph" w:customStyle="1" w:styleId="CoverTitle2">
    <w:name w:val="CoverTitle2"/>
    <w:basedOn w:val="Normal"/>
    <w:next w:val="Normal"/>
    <w:link w:val="CoverTitle2Char1"/>
    <w:rsid w:val="00400195"/>
    <w:pPr>
      <w:spacing w:line="280" w:lineRule="exact"/>
    </w:pPr>
    <w:rPr>
      <w:rFonts w:ascii="Arial" w:hAnsi="Arial"/>
      <w:color w:val="000000"/>
    </w:rPr>
  </w:style>
  <w:style w:type="character" w:customStyle="1" w:styleId="CoverTitle2Char1">
    <w:name w:val="CoverTitle2 Char1"/>
    <w:link w:val="CoverTitle2"/>
    <w:rsid w:val="00400195"/>
    <w:rPr>
      <w:rFonts w:ascii="Arial" w:hAnsi="Arial"/>
      <w:color w:val="000000"/>
      <w:sz w:val="22"/>
      <w:szCs w:val="24"/>
      <w:lang w:val="en-AU" w:eastAsia="en-AU" w:bidi="ar-SA"/>
    </w:rPr>
  </w:style>
  <w:style w:type="paragraph" w:customStyle="1" w:styleId="StyleCaption">
    <w:name w:val="Style Caption"/>
    <w:basedOn w:val="Caption"/>
    <w:next w:val="Normal"/>
    <w:link w:val="StyleCaptionCharChar"/>
    <w:rsid w:val="00400195"/>
    <w:pPr>
      <w:spacing w:before="0" w:after="0"/>
      <w:jc w:val="center"/>
    </w:pPr>
    <w:rPr>
      <w:b/>
      <w:szCs w:val="20"/>
    </w:rPr>
  </w:style>
  <w:style w:type="character" w:customStyle="1" w:styleId="StyleCaptionCharChar">
    <w:name w:val="Style Caption Char Char"/>
    <w:link w:val="StyleCaption"/>
    <w:rsid w:val="003C69C6"/>
    <w:rPr>
      <w:rFonts w:ascii="Arial" w:hAnsi="Arial"/>
      <w:b/>
      <w:bCs/>
      <w:i/>
      <w:sz w:val="22"/>
      <w:lang w:val="en-AU" w:eastAsia="en-AU" w:bidi="ar-SA"/>
    </w:rPr>
  </w:style>
  <w:style w:type="character" w:customStyle="1" w:styleId="Char2Char">
    <w:name w:val="Char2 Char"/>
    <w:aliases w:val=" Char2 Char Char"/>
    <w:rsid w:val="003C69C6"/>
    <w:rPr>
      <w:rFonts w:ascii="Arial" w:hAnsi="Arial"/>
      <w:sz w:val="22"/>
      <w:lang w:val="en-AU" w:eastAsia="en-AU" w:bidi="ar-SA"/>
    </w:rPr>
  </w:style>
  <w:style w:type="paragraph" w:customStyle="1" w:styleId="FigureTableCaption">
    <w:name w:val="Figure/Table Caption"/>
    <w:basedOn w:val="Normal"/>
    <w:link w:val="FigureTableCaptionChar"/>
    <w:rsid w:val="00400195"/>
    <w:pPr>
      <w:adjustRightInd w:val="0"/>
      <w:spacing w:after="180"/>
      <w:textAlignment w:val="baseline"/>
    </w:pPr>
    <w:rPr>
      <w:i/>
      <w:lang w:eastAsia="en-US"/>
    </w:rPr>
  </w:style>
  <w:style w:type="character" w:customStyle="1" w:styleId="FigureTableCaptionChar">
    <w:name w:val="Figure/Table Caption Char"/>
    <w:link w:val="FigureTableCaption"/>
    <w:rsid w:val="00400195"/>
    <w:rPr>
      <w:i/>
      <w:sz w:val="22"/>
      <w:szCs w:val="24"/>
      <w:lang w:val="en-AU" w:eastAsia="en-US" w:bidi="ar-SA"/>
    </w:rPr>
  </w:style>
  <w:style w:type="paragraph" w:styleId="NormalWeb">
    <w:name w:val="Normal (Web)"/>
    <w:basedOn w:val="Normal"/>
    <w:rsid w:val="00400195"/>
    <w:pPr>
      <w:spacing w:before="100" w:beforeAutospacing="1" w:after="100" w:afterAutospacing="1"/>
    </w:pPr>
    <w:rPr>
      <w:sz w:val="24"/>
      <w:lang w:val="en-US" w:eastAsia="en-US"/>
    </w:rPr>
  </w:style>
  <w:style w:type="paragraph" w:styleId="PlainText">
    <w:name w:val="Plain Text"/>
    <w:basedOn w:val="Normal"/>
    <w:link w:val="PlainTextChar1"/>
    <w:rsid w:val="00400195"/>
    <w:rPr>
      <w:rFonts w:ascii="Courier New" w:hAnsi="Courier New" w:cs="Courier New"/>
      <w:sz w:val="20"/>
      <w:szCs w:val="20"/>
    </w:rPr>
  </w:style>
  <w:style w:type="paragraph" w:customStyle="1" w:styleId="SAGEEPreference">
    <w:name w:val="SAGEEP reference"/>
    <w:basedOn w:val="Normal"/>
    <w:link w:val="SAGEEPreferenceChar"/>
    <w:rsid w:val="00400195"/>
    <w:pPr>
      <w:ind w:left="720" w:hanging="720"/>
    </w:pPr>
    <w:rPr>
      <w:sz w:val="24"/>
      <w:lang w:val="en-US" w:eastAsia="en-US"/>
    </w:rPr>
  </w:style>
  <w:style w:type="character" w:customStyle="1" w:styleId="SAGEEPreferenceChar">
    <w:name w:val="SAGEEP reference Char"/>
    <w:link w:val="SAGEEPreference"/>
    <w:rsid w:val="00400195"/>
    <w:rPr>
      <w:sz w:val="24"/>
      <w:szCs w:val="24"/>
      <w:lang w:val="en-US" w:eastAsia="en-US" w:bidi="ar-SA"/>
    </w:rPr>
  </w:style>
  <w:style w:type="character" w:styleId="Emphasis">
    <w:name w:val="Emphasis"/>
    <w:qFormat/>
    <w:rsid w:val="00400195"/>
    <w:rPr>
      <w:i/>
      <w:iCs/>
    </w:rPr>
  </w:style>
  <w:style w:type="paragraph" w:customStyle="1" w:styleId="ReportHeading3">
    <w:name w:val="Report Heading 3"/>
    <w:basedOn w:val="Normal"/>
    <w:rsid w:val="00400195"/>
    <w:pPr>
      <w:spacing w:line="360" w:lineRule="auto"/>
      <w:jc w:val="both"/>
    </w:pPr>
    <w:rPr>
      <w:b/>
      <w:sz w:val="28"/>
      <w:szCs w:val="32"/>
    </w:rPr>
  </w:style>
  <w:style w:type="paragraph" w:customStyle="1" w:styleId="Captions">
    <w:name w:val="Captions"/>
    <w:basedOn w:val="Normal"/>
    <w:link w:val="CaptionsChar"/>
    <w:rsid w:val="00400195"/>
    <w:pPr>
      <w:spacing w:after="240" w:line="260" w:lineRule="exact"/>
      <w:ind w:right="709"/>
    </w:pPr>
    <w:rPr>
      <w:i/>
      <w:sz w:val="20"/>
      <w:szCs w:val="22"/>
    </w:rPr>
  </w:style>
  <w:style w:type="paragraph" w:styleId="BalloonText">
    <w:name w:val="Balloon Text"/>
    <w:basedOn w:val="Normal"/>
    <w:semiHidden/>
    <w:rsid w:val="00400195"/>
    <w:rPr>
      <w:rFonts w:ascii="Tahoma" w:hAnsi="Tahoma" w:cs="Tahoma"/>
      <w:sz w:val="16"/>
      <w:szCs w:val="16"/>
    </w:rPr>
  </w:style>
  <w:style w:type="paragraph" w:styleId="DocumentMap">
    <w:name w:val="Document Map"/>
    <w:basedOn w:val="Normal"/>
    <w:semiHidden/>
    <w:rsid w:val="00400195"/>
    <w:pPr>
      <w:shd w:val="clear" w:color="auto" w:fill="000080"/>
    </w:pPr>
    <w:rPr>
      <w:rFonts w:ascii="Tahoma" w:hAnsi="Tahoma" w:cs="Tahoma"/>
      <w:sz w:val="24"/>
    </w:rPr>
  </w:style>
  <w:style w:type="character" w:styleId="CommentReference">
    <w:name w:val="annotation reference"/>
    <w:semiHidden/>
    <w:rsid w:val="00400195"/>
    <w:rPr>
      <w:sz w:val="16"/>
      <w:szCs w:val="16"/>
    </w:rPr>
  </w:style>
  <w:style w:type="paragraph" w:styleId="CommentText">
    <w:name w:val="annotation text"/>
    <w:basedOn w:val="Normal"/>
    <w:semiHidden/>
    <w:rsid w:val="00400195"/>
    <w:rPr>
      <w:sz w:val="20"/>
      <w:szCs w:val="20"/>
    </w:rPr>
  </w:style>
  <w:style w:type="paragraph" w:styleId="CommentSubject">
    <w:name w:val="annotation subject"/>
    <w:basedOn w:val="CommentText"/>
    <w:next w:val="CommentText"/>
    <w:semiHidden/>
    <w:rsid w:val="00400195"/>
    <w:rPr>
      <w:b/>
      <w:bCs/>
    </w:rPr>
  </w:style>
  <w:style w:type="paragraph" w:styleId="TOC4">
    <w:name w:val="toc 4"/>
    <w:basedOn w:val="Normal"/>
    <w:next w:val="Normal"/>
    <w:autoRedefine/>
    <w:uiPriority w:val="39"/>
    <w:rsid w:val="00867A20"/>
    <w:pPr>
      <w:tabs>
        <w:tab w:val="right" w:leader="dot" w:pos="9554"/>
      </w:tabs>
      <w:ind w:left="1080" w:right="454" w:hanging="1080"/>
    </w:pPr>
    <w:rPr>
      <w:bCs/>
      <w:noProof/>
      <w:lang w:val="en-US" w:eastAsia="en-US"/>
    </w:rPr>
  </w:style>
  <w:style w:type="paragraph" w:styleId="TOC5">
    <w:name w:val="toc 5"/>
    <w:basedOn w:val="Normal"/>
    <w:next w:val="Normal"/>
    <w:autoRedefine/>
    <w:uiPriority w:val="39"/>
    <w:rsid w:val="00400195"/>
    <w:pPr>
      <w:ind w:left="960"/>
    </w:pPr>
    <w:rPr>
      <w:sz w:val="24"/>
      <w:lang w:val="en-US" w:eastAsia="en-US"/>
    </w:rPr>
  </w:style>
  <w:style w:type="paragraph" w:styleId="TOC6">
    <w:name w:val="toc 6"/>
    <w:basedOn w:val="Normal"/>
    <w:next w:val="Normal"/>
    <w:autoRedefine/>
    <w:uiPriority w:val="39"/>
    <w:rsid w:val="00400195"/>
    <w:pPr>
      <w:ind w:left="1200"/>
    </w:pPr>
    <w:rPr>
      <w:sz w:val="24"/>
      <w:lang w:val="en-US" w:eastAsia="en-US"/>
    </w:rPr>
  </w:style>
  <w:style w:type="paragraph" w:styleId="TOC7">
    <w:name w:val="toc 7"/>
    <w:basedOn w:val="Normal"/>
    <w:next w:val="Normal"/>
    <w:autoRedefine/>
    <w:uiPriority w:val="39"/>
    <w:rsid w:val="00400195"/>
    <w:pPr>
      <w:ind w:left="1440"/>
    </w:pPr>
    <w:rPr>
      <w:sz w:val="24"/>
      <w:lang w:val="en-US" w:eastAsia="en-US"/>
    </w:rPr>
  </w:style>
  <w:style w:type="paragraph" w:styleId="TOC8">
    <w:name w:val="toc 8"/>
    <w:basedOn w:val="Normal"/>
    <w:next w:val="Normal"/>
    <w:autoRedefine/>
    <w:uiPriority w:val="39"/>
    <w:rsid w:val="00400195"/>
    <w:pPr>
      <w:ind w:left="1680"/>
    </w:pPr>
    <w:rPr>
      <w:sz w:val="24"/>
      <w:lang w:val="en-US" w:eastAsia="en-US"/>
    </w:rPr>
  </w:style>
  <w:style w:type="paragraph" w:styleId="TOC9">
    <w:name w:val="toc 9"/>
    <w:basedOn w:val="Normal"/>
    <w:next w:val="Normal"/>
    <w:autoRedefine/>
    <w:uiPriority w:val="39"/>
    <w:rsid w:val="00400195"/>
    <w:pPr>
      <w:ind w:left="1920"/>
    </w:pPr>
    <w:rPr>
      <w:sz w:val="24"/>
      <w:lang w:val="en-US" w:eastAsia="en-US"/>
    </w:rPr>
  </w:style>
  <w:style w:type="paragraph" w:styleId="TableofFigures">
    <w:name w:val="table of figures"/>
    <w:basedOn w:val="Normal"/>
    <w:next w:val="Normal"/>
    <w:semiHidden/>
    <w:rsid w:val="00400195"/>
    <w:pPr>
      <w:ind w:left="480" w:hanging="480"/>
    </w:pPr>
    <w:rPr>
      <w:sz w:val="24"/>
    </w:rPr>
  </w:style>
  <w:style w:type="character" w:styleId="FollowedHyperlink">
    <w:name w:val="FollowedHyperlink"/>
    <w:rsid w:val="00400195"/>
    <w:rPr>
      <w:color w:val="606420"/>
      <w:u w:val="single"/>
    </w:rPr>
  </w:style>
  <w:style w:type="paragraph" w:styleId="BlockText">
    <w:name w:val="Block Text"/>
    <w:basedOn w:val="Normal"/>
    <w:rsid w:val="00400195"/>
    <w:pPr>
      <w:spacing w:after="120"/>
      <w:ind w:left="1440" w:right="1440"/>
    </w:pPr>
    <w:rPr>
      <w:sz w:val="24"/>
    </w:rPr>
  </w:style>
  <w:style w:type="paragraph" w:styleId="BodyText2">
    <w:name w:val="Body Text 2"/>
    <w:basedOn w:val="Normal"/>
    <w:rsid w:val="00400195"/>
    <w:pPr>
      <w:spacing w:after="120" w:line="480" w:lineRule="auto"/>
    </w:pPr>
    <w:rPr>
      <w:sz w:val="24"/>
    </w:rPr>
  </w:style>
  <w:style w:type="paragraph" w:styleId="BodyText3">
    <w:name w:val="Body Text 3"/>
    <w:basedOn w:val="Normal"/>
    <w:rsid w:val="00400195"/>
    <w:pPr>
      <w:spacing w:after="120"/>
    </w:pPr>
    <w:rPr>
      <w:sz w:val="16"/>
      <w:szCs w:val="16"/>
    </w:rPr>
  </w:style>
  <w:style w:type="paragraph" w:styleId="BodyTextFirstIndent">
    <w:name w:val="Body Text First Indent"/>
    <w:basedOn w:val="BodyText"/>
    <w:rsid w:val="00400195"/>
    <w:pPr>
      <w:spacing w:after="120" w:line="240" w:lineRule="auto"/>
      <w:ind w:firstLine="210"/>
    </w:pPr>
    <w:rPr>
      <w:rFonts w:cs="Times New Roman"/>
      <w:sz w:val="24"/>
      <w:szCs w:val="24"/>
    </w:rPr>
  </w:style>
  <w:style w:type="paragraph" w:styleId="BodyTextIndent">
    <w:name w:val="Body Text Indent"/>
    <w:basedOn w:val="Normal"/>
    <w:rsid w:val="00400195"/>
    <w:pPr>
      <w:spacing w:after="120"/>
      <w:ind w:left="283"/>
    </w:pPr>
    <w:rPr>
      <w:sz w:val="24"/>
    </w:rPr>
  </w:style>
  <w:style w:type="paragraph" w:styleId="BodyTextFirstIndent2">
    <w:name w:val="Body Text First Indent 2"/>
    <w:basedOn w:val="BodyTextIndent"/>
    <w:rsid w:val="00400195"/>
    <w:pPr>
      <w:ind w:firstLine="210"/>
    </w:pPr>
  </w:style>
  <w:style w:type="paragraph" w:styleId="BodyTextIndent2">
    <w:name w:val="Body Text Indent 2"/>
    <w:basedOn w:val="Normal"/>
    <w:rsid w:val="00400195"/>
    <w:pPr>
      <w:spacing w:after="120" w:line="480" w:lineRule="auto"/>
      <w:ind w:left="283"/>
    </w:pPr>
    <w:rPr>
      <w:sz w:val="24"/>
    </w:rPr>
  </w:style>
  <w:style w:type="paragraph" w:styleId="BodyTextIndent3">
    <w:name w:val="Body Text Indent 3"/>
    <w:basedOn w:val="Normal"/>
    <w:rsid w:val="00400195"/>
    <w:pPr>
      <w:spacing w:after="120"/>
      <w:ind w:left="283"/>
    </w:pPr>
    <w:rPr>
      <w:sz w:val="16"/>
      <w:szCs w:val="16"/>
    </w:rPr>
  </w:style>
  <w:style w:type="paragraph" w:styleId="Closing">
    <w:name w:val="Closing"/>
    <w:basedOn w:val="Normal"/>
    <w:rsid w:val="00400195"/>
    <w:pPr>
      <w:ind w:left="4252"/>
    </w:pPr>
    <w:rPr>
      <w:sz w:val="24"/>
    </w:rPr>
  </w:style>
  <w:style w:type="paragraph" w:styleId="Date">
    <w:name w:val="Date"/>
    <w:basedOn w:val="Normal"/>
    <w:next w:val="Normal"/>
    <w:rsid w:val="00400195"/>
    <w:rPr>
      <w:sz w:val="24"/>
    </w:rPr>
  </w:style>
  <w:style w:type="paragraph" w:styleId="E-mailSignature">
    <w:name w:val="E-mail Signature"/>
    <w:basedOn w:val="Normal"/>
    <w:rsid w:val="00400195"/>
    <w:rPr>
      <w:sz w:val="24"/>
    </w:rPr>
  </w:style>
  <w:style w:type="paragraph" w:styleId="EndnoteText">
    <w:name w:val="endnote text"/>
    <w:basedOn w:val="Normal"/>
    <w:semiHidden/>
    <w:rsid w:val="00400195"/>
    <w:rPr>
      <w:sz w:val="20"/>
      <w:szCs w:val="20"/>
    </w:rPr>
  </w:style>
  <w:style w:type="paragraph" w:styleId="EnvelopeAddress">
    <w:name w:val="envelope address"/>
    <w:basedOn w:val="Normal"/>
    <w:rsid w:val="00400195"/>
    <w:pPr>
      <w:framePr w:w="7920" w:h="1980" w:hRule="exact" w:hSpace="180" w:wrap="auto" w:hAnchor="page" w:xAlign="center" w:yAlign="bottom"/>
      <w:ind w:left="2880"/>
    </w:pPr>
    <w:rPr>
      <w:rFonts w:ascii="Arial" w:hAnsi="Arial" w:cs="Arial"/>
      <w:sz w:val="24"/>
    </w:rPr>
  </w:style>
  <w:style w:type="paragraph" w:styleId="EnvelopeReturn">
    <w:name w:val="envelope return"/>
    <w:basedOn w:val="Normal"/>
    <w:rsid w:val="00400195"/>
    <w:rPr>
      <w:rFonts w:ascii="Arial" w:hAnsi="Arial" w:cs="Arial"/>
      <w:sz w:val="20"/>
      <w:szCs w:val="20"/>
    </w:rPr>
  </w:style>
  <w:style w:type="paragraph" w:styleId="HTMLAddress">
    <w:name w:val="HTML Address"/>
    <w:basedOn w:val="Normal"/>
    <w:rsid w:val="00400195"/>
    <w:rPr>
      <w:i/>
      <w:iCs/>
      <w:sz w:val="24"/>
    </w:rPr>
  </w:style>
  <w:style w:type="paragraph" w:styleId="HTMLPreformatted">
    <w:name w:val="HTML Preformatted"/>
    <w:basedOn w:val="Normal"/>
    <w:rsid w:val="00400195"/>
    <w:rPr>
      <w:rFonts w:ascii="Courier New" w:hAnsi="Courier New" w:cs="Courier New"/>
      <w:sz w:val="20"/>
      <w:szCs w:val="20"/>
    </w:rPr>
  </w:style>
  <w:style w:type="paragraph" w:styleId="Index1">
    <w:name w:val="index 1"/>
    <w:basedOn w:val="Normal"/>
    <w:next w:val="Normal"/>
    <w:autoRedefine/>
    <w:semiHidden/>
    <w:rsid w:val="00400195"/>
    <w:pPr>
      <w:ind w:left="240" w:hanging="240"/>
    </w:pPr>
    <w:rPr>
      <w:sz w:val="24"/>
    </w:rPr>
  </w:style>
  <w:style w:type="paragraph" w:styleId="Index2">
    <w:name w:val="index 2"/>
    <w:basedOn w:val="Normal"/>
    <w:next w:val="Normal"/>
    <w:autoRedefine/>
    <w:semiHidden/>
    <w:rsid w:val="00400195"/>
    <w:pPr>
      <w:ind w:left="480" w:hanging="240"/>
    </w:pPr>
    <w:rPr>
      <w:sz w:val="24"/>
    </w:rPr>
  </w:style>
  <w:style w:type="paragraph" w:styleId="Index3">
    <w:name w:val="index 3"/>
    <w:basedOn w:val="Normal"/>
    <w:next w:val="Normal"/>
    <w:autoRedefine/>
    <w:semiHidden/>
    <w:rsid w:val="00400195"/>
    <w:pPr>
      <w:ind w:left="720" w:hanging="240"/>
    </w:pPr>
    <w:rPr>
      <w:sz w:val="24"/>
    </w:rPr>
  </w:style>
  <w:style w:type="paragraph" w:styleId="Index4">
    <w:name w:val="index 4"/>
    <w:basedOn w:val="Normal"/>
    <w:next w:val="Normal"/>
    <w:autoRedefine/>
    <w:semiHidden/>
    <w:rsid w:val="00400195"/>
    <w:pPr>
      <w:ind w:left="960" w:hanging="240"/>
    </w:pPr>
    <w:rPr>
      <w:sz w:val="24"/>
    </w:rPr>
  </w:style>
  <w:style w:type="paragraph" w:styleId="Index5">
    <w:name w:val="index 5"/>
    <w:basedOn w:val="Normal"/>
    <w:next w:val="Normal"/>
    <w:autoRedefine/>
    <w:semiHidden/>
    <w:rsid w:val="00400195"/>
    <w:pPr>
      <w:ind w:left="1200" w:hanging="240"/>
    </w:pPr>
    <w:rPr>
      <w:sz w:val="24"/>
    </w:rPr>
  </w:style>
  <w:style w:type="paragraph" w:styleId="Index6">
    <w:name w:val="index 6"/>
    <w:basedOn w:val="Normal"/>
    <w:next w:val="Normal"/>
    <w:autoRedefine/>
    <w:semiHidden/>
    <w:rsid w:val="00400195"/>
    <w:pPr>
      <w:ind w:left="1440" w:hanging="240"/>
    </w:pPr>
    <w:rPr>
      <w:sz w:val="24"/>
    </w:rPr>
  </w:style>
  <w:style w:type="paragraph" w:styleId="Index7">
    <w:name w:val="index 7"/>
    <w:basedOn w:val="Normal"/>
    <w:next w:val="Normal"/>
    <w:autoRedefine/>
    <w:semiHidden/>
    <w:rsid w:val="00400195"/>
    <w:pPr>
      <w:ind w:left="1680" w:hanging="240"/>
    </w:pPr>
    <w:rPr>
      <w:sz w:val="24"/>
    </w:rPr>
  </w:style>
  <w:style w:type="paragraph" w:styleId="Index8">
    <w:name w:val="index 8"/>
    <w:basedOn w:val="Normal"/>
    <w:next w:val="Normal"/>
    <w:autoRedefine/>
    <w:semiHidden/>
    <w:rsid w:val="00400195"/>
    <w:pPr>
      <w:ind w:left="1920" w:hanging="240"/>
    </w:pPr>
    <w:rPr>
      <w:sz w:val="24"/>
    </w:rPr>
  </w:style>
  <w:style w:type="paragraph" w:styleId="Index9">
    <w:name w:val="index 9"/>
    <w:basedOn w:val="Normal"/>
    <w:next w:val="Normal"/>
    <w:autoRedefine/>
    <w:semiHidden/>
    <w:rsid w:val="00400195"/>
    <w:pPr>
      <w:ind w:left="2160" w:hanging="240"/>
    </w:pPr>
    <w:rPr>
      <w:sz w:val="24"/>
    </w:rPr>
  </w:style>
  <w:style w:type="paragraph" w:styleId="IndexHeading">
    <w:name w:val="index heading"/>
    <w:basedOn w:val="Normal"/>
    <w:next w:val="Index1"/>
    <w:semiHidden/>
    <w:rsid w:val="00400195"/>
    <w:rPr>
      <w:rFonts w:ascii="Arial" w:hAnsi="Arial" w:cs="Arial"/>
      <w:b/>
      <w:bCs/>
      <w:sz w:val="24"/>
    </w:rPr>
  </w:style>
  <w:style w:type="paragraph" w:styleId="List">
    <w:name w:val="List"/>
    <w:basedOn w:val="Normal"/>
    <w:rsid w:val="00400195"/>
    <w:pPr>
      <w:ind w:left="283" w:hanging="283"/>
    </w:pPr>
    <w:rPr>
      <w:sz w:val="24"/>
    </w:rPr>
  </w:style>
  <w:style w:type="paragraph" w:styleId="List2">
    <w:name w:val="List 2"/>
    <w:basedOn w:val="Normal"/>
    <w:rsid w:val="00400195"/>
    <w:pPr>
      <w:ind w:left="566" w:hanging="283"/>
    </w:pPr>
    <w:rPr>
      <w:sz w:val="24"/>
    </w:rPr>
  </w:style>
  <w:style w:type="paragraph" w:styleId="List3">
    <w:name w:val="List 3"/>
    <w:basedOn w:val="Normal"/>
    <w:rsid w:val="00400195"/>
    <w:pPr>
      <w:ind w:left="849" w:hanging="283"/>
    </w:pPr>
    <w:rPr>
      <w:sz w:val="24"/>
    </w:rPr>
  </w:style>
  <w:style w:type="paragraph" w:styleId="List4">
    <w:name w:val="List 4"/>
    <w:basedOn w:val="Normal"/>
    <w:rsid w:val="00400195"/>
    <w:pPr>
      <w:ind w:left="1132" w:hanging="283"/>
    </w:pPr>
    <w:rPr>
      <w:sz w:val="24"/>
    </w:rPr>
  </w:style>
  <w:style w:type="paragraph" w:styleId="List5">
    <w:name w:val="List 5"/>
    <w:basedOn w:val="Normal"/>
    <w:rsid w:val="00400195"/>
    <w:pPr>
      <w:ind w:left="1415" w:hanging="283"/>
    </w:pPr>
    <w:rPr>
      <w:sz w:val="24"/>
    </w:rPr>
  </w:style>
  <w:style w:type="paragraph" w:styleId="ListBullet">
    <w:name w:val="List Bullet"/>
    <w:basedOn w:val="Normal"/>
    <w:autoRedefine/>
    <w:rsid w:val="00400195"/>
    <w:pPr>
      <w:numPr>
        <w:numId w:val="1"/>
      </w:numPr>
    </w:pPr>
    <w:rPr>
      <w:sz w:val="24"/>
    </w:rPr>
  </w:style>
  <w:style w:type="paragraph" w:styleId="ListBullet2">
    <w:name w:val="List Bullet 2"/>
    <w:basedOn w:val="Normal"/>
    <w:autoRedefine/>
    <w:rsid w:val="00400195"/>
    <w:pPr>
      <w:numPr>
        <w:numId w:val="2"/>
      </w:numPr>
    </w:pPr>
    <w:rPr>
      <w:sz w:val="24"/>
    </w:rPr>
  </w:style>
  <w:style w:type="paragraph" w:styleId="ListBullet3">
    <w:name w:val="List Bullet 3"/>
    <w:basedOn w:val="Normal"/>
    <w:autoRedefine/>
    <w:rsid w:val="00400195"/>
    <w:pPr>
      <w:numPr>
        <w:numId w:val="3"/>
      </w:numPr>
    </w:pPr>
    <w:rPr>
      <w:sz w:val="24"/>
    </w:rPr>
  </w:style>
  <w:style w:type="paragraph" w:styleId="ListBullet4">
    <w:name w:val="List Bullet 4"/>
    <w:basedOn w:val="Normal"/>
    <w:autoRedefine/>
    <w:rsid w:val="00400195"/>
    <w:pPr>
      <w:numPr>
        <w:numId w:val="4"/>
      </w:numPr>
    </w:pPr>
    <w:rPr>
      <w:sz w:val="24"/>
    </w:rPr>
  </w:style>
  <w:style w:type="paragraph" w:styleId="ListBullet5">
    <w:name w:val="List Bullet 5"/>
    <w:basedOn w:val="Normal"/>
    <w:autoRedefine/>
    <w:rsid w:val="00400195"/>
    <w:pPr>
      <w:numPr>
        <w:numId w:val="5"/>
      </w:numPr>
    </w:pPr>
    <w:rPr>
      <w:sz w:val="24"/>
    </w:rPr>
  </w:style>
  <w:style w:type="paragraph" w:styleId="ListContinue">
    <w:name w:val="List Continue"/>
    <w:basedOn w:val="Normal"/>
    <w:rsid w:val="00400195"/>
    <w:pPr>
      <w:spacing w:after="120"/>
      <w:ind w:left="283"/>
    </w:pPr>
    <w:rPr>
      <w:sz w:val="24"/>
    </w:rPr>
  </w:style>
  <w:style w:type="paragraph" w:styleId="ListContinue2">
    <w:name w:val="List Continue 2"/>
    <w:basedOn w:val="Normal"/>
    <w:rsid w:val="00400195"/>
    <w:pPr>
      <w:spacing w:after="120"/>
      <w:ind w:left="566"/>
    </w:pPr>
    <w:rPr>
      <w:sz w:val="24"/>
    </w:rPr>
  </w:style>
  <w:style w:type="paragraph" w:styleId="ListContinue3">
    <w:name w:val="List Continue 3"/>
    <w:basedOn w:val="Normal"/>
    <w:rsid w:val="00400195"/>
    <w:pPr>
      <w:spacing w:after="120"/>
      <w:ind w:left="849"/>
    </w:pPr>
    <w:rPr>
      <w:sz w:val="24"/>
    </w:rPr>
  </w:style>
  <w:style w:type="paragraph" w:styleId="ListContinue4">
    <w:name w:val="List Continue 4"/>
    <w:basedOn w:val="Normal"/>
    <w:rsid w:val="00400195"/>
    <w:pPr>
      <w:spacing w:after="120"/>
      <w:ind w:left="1132"/>
    </w:pPr>
    <w:rPr>
      <w:sz w:val="24"/>
    </w:rPr>
  </w:style>
  <w:style w:type="paragraph" w:styleId="ListContinue5">
    <w:name w:val="List Continue 5"/>
    <w:basedOn w:val="Normal"/>
    <w:rsid w:val="00400195"/>
    <w:pPr>
      <w:spacing w:after="120"/>
      <w:ind w:left="1415"/>
    </w:pPr>
    <w:rPr>
      <w:sz w:val="24"/>
    </w:rPr>
  </w:style>
  <w:style w:type="paragraph" w:styleId="ListNumber">
    <w:name w:val="List Number"/>
    <w:basedOn w:val="Normal"/>
    <w:rsid w:val="00400195"/>
    <w:pPr>
      <w:numPr>
        <w:numId w:val="6"/>
      </w:numPr>
    </w:pPr>
    <w:rPr>
      <w:sz w:val="24"/>
    </w:rPr>
  </w:style>
  <w:style w:type="paragraph" w:styleId="ListNumber2">
    <w:name w:val="List Number 2"/>
    <w:basedOn w:val="Normal"/>
    <w:rsid w:val="00400195"/>
    <w:pPr>
      <w:numPr>
        <w:numId w:val="7"/>
      </w:numPr>
    </w:pPr>
    <w:rPr>
      <w:sz w:val="24"/>
    </w:rPr>
  </w:style>
  <w:style w:type="paragraph" w:styleId="ListNumber3">
    <w:name w:val="List Number 3"/>
    <w:basedOn w:val="Normal"/>
    <w:rsid w:val="00400195"/>
    <w:pPr>
      <w:numPr>
        <w:numId w:val="8"/>
      </w:numPr>
    </w:pPr>
    <w:rPr>
      <w:sz w:val="24"/>
    </w:rPr>
  </w:style>
  <w:style w:type="paragraph" w:styleId="ListNumber4">
    <w:name w:val="List Number 4"/>
    <w:basedOn w:val="Normal"/>
    <w:rsid w:val="00400195"/>
    <w:pPr>
      <w:numPr>
        <w:numId w:val="9"/>
      </w:numPr>
    </w:pPr>
    <w:rPr>
      <w:sz w:val="24"/>
    </w:rPr>
  </w:style>
  <w:style w:type="paragraph" w:styleId="ListNumber5">
    <w:name w:val="List Number 5"/>
    <w:basedOn w:val="Normal"/>
    <w:rsid w:val="00400195"/>
    <w:pPr>
      <w:numPr>
        <w:numId w:val="10"/>
      </w:numPr>
    </w:pPr>
    <w:rPr>
      <w:sz w:val="24"/>
    </w:rPr>
  </w:style>
  <w:style w:type="paragraph" w:styleId="MacroText">
    <w:name w:val="macro"/>
    <w:semiHidden/>
    <w:rsid w:val="0040019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rsid w:val="0040019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paragraph" w:styleId="NormalIndent">
    <w:name w:val="Normal Indent"/>
    <w:basedOn w:val="Normal"/>
    <w:rsid w:val="00400195"/>
    <w:pPr>
      <w:ind w:left="720"/>
    </w:pPr>
    <w:rPr>
      <w:sz w:val="24"/>
    </w:rPr>
  </w:style>
  <w:style w:type="paragraph" w:styleId="NoteHeading">
    <w:name w:val="Note Heading"/>
    <w:basedOn w:val="Normal"/>
    <w:next w:val="Normal"/>
    <w:rsid w:val="00400195"/>
    <w:rPr>
      <w:sz w:val="24"/>
    </w:rPr>
  </w:style>
  <w:style w:type="paragraph" w:styleId="Salutation">
    <w:name w:val="Salutation"/>
    <w:basedOn w:val="Normal"/>
    <w:next w:val="Normal"/>
    <w:rsid w:val="00400195"/>
    <w:rPr>
      <w:sz w:val="24"/>
    </w:rPr>
  </w:style>
  <w:style w:type="paragraph" w:styleId="Signature">
    <w:name w:val="Signature"/>
    <w:basedOn w:val="Normal"/>
    <w:rsid w:val="00400195"/>
    <w:pPr>
      <w:ind w:left="4252"/>
    </w:pPr>
    <w:rPr>
      <w:sz w:val="24"/>
    </w:rPr>
  </w:style>
  <w:style w:type="paragraph" w:styleId="Subtitle">
    <w:name w:val="Subtitle"/>
    <w:basedOn w:val="Normal"/>
    <w:qFormat/>
    <w:rsid w:val="00400195"/>
    <w:pPr>
      <w:spacing w:after="60"/>
      <w:jc w:val="center"/>
      <w:outlineLvl w:val="1"/>
    </w:pPr>
    <w:rPr>
      <w:rFonts w:ascii="Arial" w:hAnsi="Arial" w:cs="Arial"/>
      <w:sz w:val="24"/>
    </w:rPr>
  </w:style>
  <w:style w:type="paragraph" w:styleId="TableofAuthorities">
    <w:name w:val="table of authorities"/>
    <w:basedOn w:val="Normal"/>
    <w:next w:val="Normal"/>
    <w:semiHidden/>
    <w:rsid w:val="00400195"/>
    <w:pPr>
      <w:ind w:left="240" w:hanging="240"/>
    </w:pPr>
    <w:rPr>
      <w:sz w:val="24"/>
    </w:rPr>
  </w:style>
  <w:style w:type="paragraph" w:styleId="Title">
    <w:name w:val="Title"/>
    <w:basedOn w:val="Normal"/>
    <w:qFormat/>
    <w:rsid w:val="00400195"/>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400195"/>
    <w:pPr>
      <w:spacing w:before="120"/>
    </w:pPr>
    <w:rPr>
      <w:rFonts w:ascii="Arial" w:hAnsi="Arial" w:cs="Arial"/>
      <w:b/>
      <w:bCs/>
      <w:sz w:val="24"/>
    </w:rPr>
  </w:style>
  <w:style w:type="paragraph" w:customStyle="1" w:styleId="CharChar1CharCharCharCharCharChar">
    <w:name w:val="Char Char1 Char Char Char Char Char Char"/>
    <w:basedOn w:val="Normal"/>
    <w:rsid w:val="00400195"/>
    <w:rPr>
      <w:rFonts w:ascii="Arial" w:hAnsi="Arial" w:cs="Arial"/>
      <w:szCs w:val="22"/>
      <w:lang w:eastAsia="en-US"/>
    </w:rPr>
  </w:style>
  <w:style w:type="paragraph" w:customStyle="1" w:styleId="tablecaption">
    <w:name w:val="table caption"/>
    <w:basedOn w:val="Caption"/>
    <w:link w:val="tablecaptionChar"/>
    <w:rsid w:val="00400195"/>
    <w:pPr>
      <w:keepNext/>
      <w:spacing w:after="120"/>
      <w:jc w:val="center"/>
    </w:pPr>
    <w:rPr>
      <w:rFonts w:cs="Arial"/>
      <w:b/>
      <w:sz w:val="22"/>
      <w:szCs w:val="22"/>
    </w:rPr>
  </w:style>
  <w:style w:type="character" w:customStyle="1" w:styleId="tablecaptionChar">
    <w:name w:val="table caption Char"/>
    <w:link w:val="tablecaption"/>
    <w:rsid w:val="00400195"/>
    <w:rPr>
      <w:rFonts w:cs="Arial"/>
      <w:b/>
      <w:bCs/>
      <w:i/>
      <w:sz w:val="22"/>
      <w:szCs w:val="22"/>
      <w:lang w:val="en-AU" w:eastAsia="en-AU" w:bidi="ar-SA"/>
    </w:rPr>
  </w:style>
  <w:style w:type="table" w:styleId="TableList4">
    <w:name w:val="Table List 4"/>
    <w:basedOn w:val="TableNormal"/>
    <w:rsid w:val="0040019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ReportHeading2">
    <w:name w:val="Report Heading 2"/>
    <w:basedOn w:val="Normal"/>
    <w:autoRedefine/>
    <w:rsid w:val="00400195"/>
    <w:pPr>
      <w:numPr>
        <w:ilvl w:val="1"/>
        <w:numId w:val="11"/>
      </w:numPr>
      <w:jc w:val="both"/>
    </w:pPr>
    <w:rPr>
      <w:b/>
      <w:i/>
      <w:sz w:val="32"/>
      <w:szCs w:val="36"/>
    </w:rPr>
  </w:style>
  <w:style w:type="paragraph" w:customStyle="1" w:styleId="Default">
    <w:name w:val="Default"/>
    <w:link w:val="DefaultChar"/>
    <w:rsid w:val="00400195"/>
    <w:pPr>
      <w:autoSpaceDE w:val="0"/>
      <w:autoSpaceDN w:val="0"/>
      <w:adjustRightInd w:val="0"/>
    </w:pPr>
    <w:rPr>
      <w:rFonts w:ascii="Calibri" w:hAnsi="Calibri" w:cs="Calibri"/>
      <w:color w:val="000000"/>
      <w:sz w:val="24"/>
      <w:szCs w:val="24"/>
    </w:rPr>
  </w:style>
  <w:style w:type="paragraph" w:customStyle="1" w:styleId="cationboldtnri">
    <w:name w:val="cation bold tnr i"/>
    <w:basedOn w:val="Caption"/>
    <w:autoRedefine/>
    <w:rsid w:val="00400195"/>
    <w:pPr>
      <w:spacing w:after="120"/>
    </w:pPr>
    <w:rPr>
      <w:rFonts w:eastAsia="Times"/>
      <w:b/>
      <w:i w:val="0"/>
      <w:szCs w:val="24"/>
    </w:rPr>
  </w:style>
  <w:style w:type="paragraph" w:customStyle="1" w:styleId="CharChar2CharCharCharChar">
    <w:name w:val="Char Char2 Char Char Char Char"/>
    <w:basedOn w:val="Normal"/>
    <w:rsid w:val="00400195"/>
    <w:pPr>
      <w:spacing w:before="200" w:after="160" w:line="240" w:lineRule="exact"/>
    </w:pPr>
    <w:rPr>
      <w:rFonts w:ascii="Verdana" w:hAnsi="Verdana"/>
      <w:sz w:val="20"/>
      <w:szCs w:val="20"/>
      <w:lang w:val="en-US" w:eastAsia="en-US"/>
    </w:rPr>
  </w:style>
  <w:style w:type="character" w:customStyle="1" w:styleId="ContentsbodytextChar">
    <w:name w:val="Contents body text Char"/>
    <w:rsid w:val="00400195"/>
    <w:rPr>
      <w:noProof w:val="0"/>
      <w:sz w:val="21"/>
      <w:lang w:val="en-AU" w:eastAsia="en-AU" w:bidi="ar-SA"/>
    </w:rPr>
  </w:style>
  <w:style w:type="character" w:customStyle="1" w:styleId="clarkejon">
    <w:name w:val="clarke jon"/>
    <w:semiHidden/>
    <w:rsid w:val="00400195"/>
    <w:rPr>
      <w:rFonts w:ascii="Arial" w:hAnsi="Arial" w:cs="Arial"/>
      <w:color w:val="auto"/>
      <w:sz w:val="20"/>
      <w:szCs w:val="20"/>
    </w:rPr>
  </w:style>
  <w:style w:type="paragraph" w:customStyle="1" w:styleId="captionforTOC">
    <w:name w:val="caption for TOC"/>
    <w:basedOn w:val="Caption"/>
    <w:link w:val="captionforTOCChar"/>
    <w:rsid w:val="005706E3"/>
    <w:rPr>
      <w:i w:val="0"/>
    </w:rPr>
  </w:style>
  <w:style w:type="character" w:customStyle="1" w:styleId="captionforTOCChar">
    <w:name w:val="caption for TOC Char"/>
    <w:basedOn w:val="CaptionChar2"/>
    <w:link w:val="captionforTOC"/>
    <w:rsid w:val="005706E3"/>
    <w:rPr>
      <w:bCs/>
      <w:i/>
      <w:szCs w:val="18"/>
      <w:lang w:val="en-AU" w:eastAsia="en-AU" w:bidi="ar-SA"/>
    </w:rPr>
  </w:style>
  <w:style w:type="paragraph" w:customStyle="1" w:styleId="Captionfortables">
    <w:name w:val="Caption for tables"/>
    <w:basedOn w:val="Caption"/>
    <w:rsid w:val="005706E3"/>
    <w:pPr>
      <w:spacing w:before="240" w:after="120"/>
    </w:pPr>
    <w:rPr>
      <w:i w:val="0"/>
    </w:rPr>
  </w:style>
  <w:style w:type="paragraph" w:customStyle="1" w:styleId="CharChar1Char">
    <w:name w:val="Char Char1 Char"/>
    <w:basedOn w:val="Normal"/>
    <w:rsid w:val="00DF56CE"/>
    <w:pPr>
      <w:spacing w:before="200" w:after="160" w:line="240" w:lineRule="exact"/>
    </w:pPr>
    <w:rPr>
      <w:rFonts w:ascii="Verdana" w:hAnsi="Verdana"/>
      <w:sz w:val="20"/>
      <w:szCs w:val="20"/>
      <w:lang w:val="en-US" w:eastAsia="en-US"/>
    </w:rPr>
  </w:style>
  <w:style w:type="paragraph" w:customStyle="1" w:styleId="Level1">
    <w:name w:val="Level 1."/>
    <w:basedOn w:val="Normal"/>
    <w:next w:val="Normal"/>
    <w:rsid w:val="00F65A21"/>
    <w:pPr>
      <w:numPr>
        <w:numId w:val="13"/>
      </w:numPr>
      <w:spacing w:before="240"/>
    </w:pPr>
    <w:rPr>
      <w:rFonts w:ascii="Palatino" w:hAnsi="Palatino"/>
      <w:sz w:val="24"/>
      <w:szCs w:val="20"/>
      <w:lang w:eastAsia="en-US"/>
    </w:rPr>
  </w:style>
  <w:style w:type="paragraph" w:customStyle="1" w:styleId="Level11">
    <w:name w:val="Level 1.1"/>
    <w:basedOn w:val="Normal"/>
    <w:next w:val="Normal"/>
    <w:rsid w:val="00F65A21"/>
    <w:pPr>
      <w:numPr>
        <w:ilvl w:val="1"/>
        <w:numId w:val="13"/>
      </w:numPr>
      <w:spacing w:before="240"/>
    </w:pPr>
    <w:rPr>
      <w:rFonts w:ascii="Palatino" w:hAnsi="Palatino"/>
      <w:sz w:val="24"/>
      <w:szCs w:val="20"/>
      <w:lang w:eastAsia="en-US"/>
    </w:rPr>
  </w:style>
  <w:style w:type="paragraph" w:customStyle="1" w:styleId="Levela">
    <w:name w:val="Level (a)"/>
    <w:basedOn w:val="Normal"/>
    <w:next w:val="Normal"/>
    <w:rsid w:val="00F65A21"/>
    <w:pPr>
      <w:numPr>
        <w:ilvl w:val="2"/>
        <w:numId w:val="13"/>
      </w:numPr>
      <w:spacing w:before="240"/>
    </w:pPr>
    <w:rPr>
      <w:rFonts w:ascii="Palatino" w:hAnsi="Palatino"/>
      <w:sz w:val="24"/>
      <w:szCs w:val="20"/>
      <w:lang w:eastAsia="en-US"/>
    </w:rPr>
  </w:style>
  <w:style w:type="paragraph" w:customStyle="1" w:styleId="Leveli">
    <w:name w:val="Level (i)"/>
    <w:basedOn w:val="Normal"/>
    <w:next w:val="Normal"/>
    <w:rsid w:val="00F65A21"/>
    <w:pPr>
      <w:numPr>
        <w:ilvl w:val="3"/>
        <w:numId w:val="13"/>
      </w:numPr>
      <w:spacing w:before="240"/>
    </w:pPr>
    <w:rPr>
      <w:rFonts w:ascii="Palatino" w:hAnsi="Palatino"/>
      <w:sz w:val="24"/>
      <w:szCs w:val="20"/>
      <w:lang w:eastAsia="en-US"/>
    </w:rPr>
  </w:style>
  <w:style w:type="paragraph" w:customStyle="1" w:styleId="LevelA0">
    <w:name w:val="Level(A)"/>
    <w:basedOn w:val="Normal"/>
    <w:next w:val="Normal"/>
    <w:rsid w:val="00F65A21"/>
    <w:pPr>
      <w:numPr>
        <w:ilvl w:val="4"/>
        <w:numId w:val="13"/>
      </w:numPr>
      <w:spacing w:before="240"/>
    </w:pPr>
    <w:rPr>
      <w:rFonts w:ascii="Palatino" w:hAnsi="Palatino"/>
      <w:sz w:val="24"/>
      <w:szCs w:val="20"/>
      <w:lang w:eastAsia="en-US"/>
    </w:rPr>
  </w:style>
  <w:style w:type="paragraph" w:customStyle="1" w:styleId="LevelI0">
    <w:name w:val="Level(I)"/>
    <w:basedOn w:val="Normal"/>
    <w:next w:val="Normal"/>
    <w:rsid w:val="00F65A21"/>
    <w:pPr>
      <w:numPr>
        <w:ilvl w:val="5"/>
        <w:numId w:val="13"/>
      </w:numPr>
      <w:spacing w:before="240"/>
    </w:pPr>
    <w:rPr>
      <w:rFonts w:ascii="Palatino" w:hAnsi="Palatino"/>
      <w:sz w:val="24"/>
      <w:szCs w:val="20"/>
      <w:lang w:eastAsia="en-US"/>
    </w:rPr>
  </w:style>
  <w:style w:type="paragraph" w:customStyle="1" w:styleId="Head10">
    <w:name w:val="Head1"/>
    <w:basedOn w:val="Normal"/>
    <w:autoRedefine/>
    <w:rsid w:val="00B446F0"/>
    <w:pPr>
      <w:tabs>
        <w:tab w:val="num" w:pos="432"/>
        <w:tab w:val="left" w:pos="2552"/>
        <w:tab w:val="num" w:pos="2700"/>
      </w:tabs>
      <w:spacing w:after="240"/>
      <w:ind w:left="2520" w:hanging="2520"/>
    </w:pPr>
    <w:rPr>
      <w:rFonts w:ascii="Arial" w:hAnsi="Arial" w:cs="Angsana New"/>
      <w:sz w:val="40"/>
      <w:szCs w:val="22"/>
      <w:lang w:eastAsia="zh-CN" w:bidi="th-TH"/>
    </w:rPr>
  </w:style>
  <w:style w:type="character" w:customStyle="1" w:styleId="CaptionarialCharChar">
    <w:name w:val="Caption arial Char Char"/>
    <w:rsid w:val="00B446F0"/>
    <w:rPr>
      <w:rFonts w:cs="Angsana New"/>
      <w:b/>
      <w:bCs/>
      <w:i/>
      <w:lang w:val="en-AU" w:eastAsia="zh-CN" w:bidi="th-TH"/>
    </w:rPr>
  </w:style>
  <w:style w:type="paragraph" w:customStyle="1" w:styleId="BodyTextBold">
    <w:name w:val="Body Text Bold"/>
    <w:basedOn w:val="BodyText"/>
    <w:next w:val="BodyText"/>
    <w:rsid w:val="003C69C6"/>
    <w:pPr>
      <w:spacing w:after="120" w:line="240" w:lineRule="atLeast"/>
    </w:pPr>
    <w:rPr>
      <w:rFonts w:ascii="Arial" w:hAnsi="Arial" w:cs="Times New Roman"/>
      <w:b/>
      <w:szCs w:val="20"/>
    </w:rPr>
  </w:style>
  <w:style w:type="paragraph" w:customStyle="1" w:styleId="TableText">
    <w:name w:val="Table Text"/>
    <w:basedOn w:val="BodyText"/>
    <w:rsid w:val="003C69C6"/>
    <w:pPr>
      <w:framePr w:hSpace="180" w:wrap="around" w:vAnchor="page" w:hAnchor="margin" w:y="2035"/>
      <w:spacing w:after="120" w:line="240" w:lineRule="atLeast"/>
    </w:pPr>
    <w:rPr>
      <w:rFonts w:ascii="Arial" w:hAnsi="Arial" w:cs="Times New Roman"/>
      <w:sz w:val="18"/>
      <w:szCs w:val="20"/>
    </w:rPr>
  </w:style>
  <w:style w:type="paragraph" w:customStyle="1" w:styleId="Reportbody">
    <w:name w:val="Report_body"/>
    <w:basedOn w:val="Normal"/>
    <w:link w:val="ReportbodyChar"/>
    <w:rsid w:val="003C69C6"/>
    <w:pPr>
      <w:spacing w:after="120" w:line="260" w:lineRule="exact"/>
    </w:pPr>
    <w:rPr>
      <w:rFonts w:ascii="Arial" w:eastAsia="MS Mincho" w:hAnsi="Arial"/>
      <w:lang w:val="en-US" w:eastAsia="en-US"/>
    </w:rPr>
  </w:style>
  <w:style w:type="character" w:customStyle="1" w:styleId="ReportbodyChar">
    <w:name w:val="Report_body Char"/>
    <w:link w:val="Reportbody"/>
    <w:rsid w:val="003C69C6"/>
    <w:rPr>
      <w:rFonts w:ascii="Arial" w:eastAsia="MS Mincho" w:hAnsi="Arial"/>
      <w:sz w:val="22"/>
      <w:szCs w:val="24"/>
      <w:lang w:val="en-US" w:eastAsia="en-US" w:bidi="ar-SA"/>
    </w:rPr>
  </w:style>
  <w:style w:type="paragraph" w:customStyle="1" w:styleId="CoverTitle1">
    <w:name w:val="CoverTitle1"/>
    <w:basedOn w:val="Normal"/>
    <w:link w:val="CoverTitle1Char"/>
    <w:rsid w:val="003C69C6"/>
    <w:pPr>
      <w:keepNext/>
      <w:spacing w:line="312" w:lineRule="auto"/>
    </w:pPr>
    <w:rPr>
      <w:rFonts w:ascii="Arial" w:hAnsi="Arial"/>
      <w:sz w:val="36"/>
    </w:rPr>
  </w:style>
  <w:style w:type="character" w:customStyle="1" w:styleId="CoverTitle1Char">
    <w:name w:val="CoverTitle1 Char"/>
    <w:link w:val="CoverTitle1"/>
    <w:rsid w:val="003C69C6"/>
    <w:rPr>
      <w:rFonts w:ascii="Arial" w:hAnsi="Arial"/>
      <w:sz w:val="36"/>
      <w:szCs w:val="24"/>
      <w:lang w:val="en-AU" w:eastAsia="en-AU" w:bidi="ar-SA"/>
    </w:rPr>
  </w:style>
  <w:style w:type="character" w:customStyle="1" w:styleId="CoverTitle2Char">
    <w:name w:val="CoverTitle2 Char"/>
    <w:rsid w:val="003C69C6"/>
    <w:rPr>
      <w:rFonts w:ascii="Arial" w:hAnsi="Arial"/>
      <w:color w:val="000000"/>
      <w:sz w:val="26"/>
      <w:szCs w:val="24"/>
      <w:lang w:val="en-AU" w:eastAsia="en-AU" w:bidi="ar-SA"/>
    </w:rPr>
  </w:style>
  <w:style w:type="paragraph" w:customStyle="1" w:styleId="CoverTitle3">
    <w:name w:val="CoverTitle3"/>
    <w:basedOn w:val="Normal"/>
    <w:rsid w:val="003C69C6"/>
    <w:pPr>
      <w:spacing w:before="100" w:after="100" w:line="240" w:lineRule="atLeast"/>
    </w:pPr>
    <w:rPr>
      <w:rFonts w:ascii="Arial" w:hAnsi="Arial"/>
      <w:color w:val="FFFFFF"/>
      <w:sz w:val="18"/>
    </w:rPr>
  </w:style>
  <w:style w:type="paragraph" w:customStyle="1" w:styleId="Notice">
    <w:name w:val="Notice"/>
    <w:basedOn w:val="BodyText"/>
    <w:rsid w:val="003C69C6"/>
    <w:pPr>
      <w:shd w:val="clear" w:color="auto" w:fill="D9D9D9"/>
      <w:spacing w:after="120" w:line="240" w:lineRule="atLeast"/>
    </w:pPr>
    <w:rPr>
      <w:rFonts w:ascii="Arial" w:hAnsi="Arial" w:cs="Times New Roman"/>
      <w:sz w:val="18"/>
      <w:szCs w:val="18"/>
    </w:rPr>
  </w:style>
  <w:style w:type="paragraph" w:customStyle="1" w:styleId="ImportantNotice">
    <w:name w:val="Important Notice"/>
    <w:basedOn w:val="Notice"/>
    <w:rsid w:val="003C69C6"/>
    <w:pPr>
      <w:shd w:val="clear" w:color="auto" w:fill="auto"/>
      <w:spacing w:after="80" w:line="260" w:lineRule="exact"/>
    </w:pPr>
    <w:rPr>
      <w:sz w:val="22"/>
      <w:szCs w:val="20"/>
    </w:rPr>
  </w:style>
  <w:style w:type="paragraph" w:customStyle="1" w:styleId="StyleBodyBold">
    <w:name w:val="Style Body + Bold"/>
    <w:basedOn w:val="Normal"/>
    <w:next w:val="Normal"/>
    <w:rsid w:val="003C69C6"/>
    <w:pPr>
      <w:spacing w:after="120" w:line="240" w:lineRule="atLeast"/>
    </w:pPr>
    <w:rPr>
      <w:rFonts w:ascii="Arial" w:hAnsi="Arial"/>
      <w:b/>
      <w:bCs/>
      <w:szCs w:val="20"/>
      <w:lang w:eastAsia="en-US"/>
    </w:rPr>
  </w:style>
  <w:style w:type="paragraph" w:customStyle="1" w:styleId="BodyBullet">
    <w:name w:val="BodyBullet"/>
    <w:basedOn w:val="Normal"/>
    <w:rsid w:val="003C69C6"/>
    <w:pPr>
      <w:numPr>
        <w:numId w:val="14"/>
      </w:numPr>
      <w:tabs>
        <w:tab w:val="left" w:pos="284"/>
      </w:tabs>
      <w:spacing w:after="120" w:line="240" w:lineRule="atLeast"/>
    </w:pPr>
    <w:rPr>
      <w:rFonts w:ascii="Arial" w:hAnsi="Arial"/>
      <w:szCs w:val="20"/>
      <w:lang w:eastAsia="en-US"/>
    </w:rPr>
  </w:style>
  <w:style w:type="character" w:styleId="EndnoteReference">
    <w:name w:val="endnote reference"/>
    <w:rsid w:val="003C69C6"/>
    <w:rPr>
      <w:vertAlign w:val="superscript"/>
    </w:rPr>
  </w:style>
  <w:style w:type="table" w:styleId="TableWeb3">
    <w:name w:val="Table Web 3"/>
    <w:basedOn w:val="TableNormal"/>
    <w:rsid w:val="003C69C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9ptAfter3ptLinespacingExactly13pt">
    <w:name w:val="Style 9 pt After:  3 pt Line spacing:  Exactly 13 pt"/>
    <w:basedOn w:val="Normal"/>
    <w:rsid w:val="003C69C6"/>
    <w:pPr>
      <w:spacing w:after="60" w:line="260" w:lineRule="exact"/>
    </w:pPr>
    <w:rPr>
      <w:rFonts w:ascii="Arial" w:hAnsi="Arial"/>
      <w:sz w:val="20"/>
      <w:szCs w:val="20"/>
    </w:rPr>
  </w:style>
  <w:style w:type="paragraph" w:customStyle="1" w:styleId="Style10ptBoldAfter6ptLinespacingExactly13pt">
    <w:name w:val="Style 10 pt Bold After:  6 pt Line spacing:  Exactly 13 pt"/>
    <w:basedOn w:val="Normal"/>
    <w:rsid w:val="003C69C6"/>
    <w:pPr>
      <w:spacing w:after="120" w:line="260" w:lineRule="exact"/>
    </w:pPr>
    <w:rPr>
      <w:rFonts w:ascii="Arial" w:hAnsi="Arial"/>
      <w:b/>
      <w:bCs/>
      <w:sz w:val="20"/>
      <w:szCs w:val="20"/>
    </w:rPr>
  </w:style>
  <w:style w:type="paragraph" w:customStyle="1" w:styleId="H1NoTOC">
    <w:name w:val="H1NoTOC"/>
    <w:basedOn w:val="Heading1"/>
    <w:next w:val="Normal"/>
    <w:link w:val="H1NoTOCChar"/>
    <w:rsid w:val="003C69C6"/>
    <w:pPr>
      <w:numPr>
        <w:numId w:val="0"/>
      </w:numPr>
      <w:tabs>
        <w:tab w:val="left" w:pos="567"/>
        <w:tab w:val="left" w:pos="851"/>
      </w:tabs>
      <w:spacing w:before="240" w:after="120" w:line="240" w:lineRule="atLeast"/>
      <w:outlineLvl w:val="9"/>
    </w:pPr>
    <w:rPr>
      <w:rFonts w:ascii="Arial Bold" w:eastAsia="Times New Roman" w:hAnsi="Arial Bold" w:cs="Arial"/>
      <w:b/>
      <w:bCs/>
      <w:caps/>
      <w:kern w:val="32"/>
      <w:sz w:val="32"/>
      <w:szCs w:val="32"/>
      <w:lang w:eastAsia="en-US"/>
    </w:rPr>
  </w:style>
  <w:style w:type="character" w:customStyle="1" w:styleId="H1NoTOCChar">
    <w:name w:val="H1NoTOC Char"/>
    <w:link w:val="H1NoTOC"/>
    <w:rsid w:val="003C69C6"/>
    <w:rPr>
      <w:rFonts w:ascii="Arial Bold" w:eastAsia="Times" w:hAnsi="Arial Bold" w:cs="Arial"/>
      <w:b/>
      <w:bCs/>
      <w:caps/>
      <w:spacing w:val="10"/>
      <w:kern w:val="32"/>
      <w:sz w:val="32"/>
      <w:szCs w:val="32"/>
      <w:lang w:val="en-AU" w:eastAsia="en-US" w:bidi="ar-SA"/>
    </w:rPr>
  </w:style>
  <w:style w:type="paragraph" w:customStyle="1" w:styleId="H1NoNumber">
    <w:name w:val="H1NoNumber"/>
    <w:basedOn w:val="Heading1"/>
    <w:link w:val="H1NoNumberChar"/>
    <w:rsid w:val="003C69C6"/>
    <w:pPr>
      <w:numPr>
        <w:numId w:val="0"/>
      </w:numPr>
      <w:tabs>
        <w:tab w:val="left" w:pos="567"/>
        <w:tab w:val="left" w:pos="851"/>
      </w:tabs>
      <w:spacing w:before="240" w:after="120" w:line="240" w:lineRule="atLeast"/>
    </w:pPr>
    <w:rPr>
      <w:rFonts w:ascii="Arial Bold" w:eastAsia="Times New Roman" w:hAnsi="Arial Bold" w:cs="Arial"/>
      <w:b/>
      <w:bCs/>
      <w:caps/>
      <w:kern w:val="32"/>
      <w:sz w:val="32"/>
      <w:szCs w:val="32"/>
      <w:lang w:eastAsia="en-US"/>
    </w:rPr>
  </w:style>
  <w:style w:type="character" w:customStyle="1" w:styleId="H1NoNumberChar">
    <w:name w:val="H1NoNumber Char"/>
    <w:link w:val="H1NoNumber"/>
    <w:rsid w:val="003C69C6"/>
    <w:rPr>
      <w:rFonts w:ascii="Arial Bold" w:eastAsia="Times" w:hAnsi="Arial Bold" w:cs="Arial"/>
      <w:b/>
      <w:bCs/>
      <w:caps/>
      <w:spacing w:val="10"/>
      <w:kern w:val="32"/>
      <w:sz w:val="32"/>
      <w:szCs w:val="32"/>
      <w:lang w:val="en-AU" w:eastAsia="en-US" w:bidi="ar-SA"/>
    </w:rPr>
  </w:style>
  <w:style w:type="paragraph" w:customStyle="1" w:styleId="Contents">
    <w:name w:val="Contents"/>
    <w:basedOn w:val="Normal"/>
    <w:rsid w:val="003C69C6"/>
    <w:pPr>
      <w:spacing w:after="80" w:line="260" w:lineRule="exact"/>
    </w:pPr>
    <w:rPr>
      <w:rFonts w:ascii="Arial Bold" w:hAnsi="Arial Bold"/>
      <w:b/>
      <w:sz w:val="28"/>
      <w:szCs w:val="22"/>
    </w:rPr>
  </w:style>
  <w:style w:type="character" w:customStyle="1" w:styleId="Red">
    <w:name w:val="Red"/>
    <w:rsid w:val="003C69C6"/>
    <w:rPr>
      <w:rFonts w:ascii="Arial" w:hAnsi="Arial"/>
      <w:color w:val="FF0000"/>
      <w:sz w:val="20"/>
    </w:rPr>
  </w:style>
  <w:style w:type="paragraph" w:customStyle="1" w:styleId="Manuscriptoutline">
    <w:name w:val="Manuscript outline"/>
    <w:basedOn w:val="Normal"/>
    <w:autoRedefine/>
    <w:rsid w:val="003C69C6"/>
    <w:pPr>
      <w:jc w:val="center"/>
    </w:pPr>
    <w:rPr>
      <w:rFonts w:ascii="Arial" w:hAnsi="Arial"/>
      <w:sz w:val="20"/>
      <w:lang w:eastAsia="en-US"/>
    </w:rPr>
  </w:style>
  <w:style w:type="paragraph" w:customStyle="1" w:styleId="Para3bullet">
    <w:name w:val="Para 3 bullet"/>
    <w:basedOn w:val="Normal"/>
    <w:rsid w:val="003C69C6"/>
    <w:pPr>
      <w:numPr>
        <w:numId w:val="15"/>
      </w:numPr>
      <w:spacing w:after="60" w:line="300" w:lineRule="auto"/>
    </w:pPr>
    <w:rPr>
      <w:color w:val="000000"/>
      <w:szCs w:val="20"/>
      <w:lang w:val="en-GB" w:eastAsia="en-US"/>
    </w:rPr>
  </w:style>
  <w:style w:type="paragraph" w:customStyle="1" w:styleId="FlysheetVersion">
    <w:name w:val="FlysheetVersion"/>
    <w:basedOn w:val="Normal"/>
    <w:next w:val="Normal"/>
    <w:rsid w:val="003C69C6"/>
    <w:pPr>
      <w:numPr>
        <w:numId w:val="16"/>
      </w:numPr>
      <w:tabs>
        <w:tab w:val="clear" w:pos="360"/>
        <w:tab w:val="left" w:pos="284"/>
      </w:tabs>
      <w:spacing w:after="120"/>
    </w:pPr>
    <w:rPr>
      <w:rFonts w:ascii="Arial Narrow" w:hAnsi="Arial Narrow"/>
      <w:color w:val="808080"/>
      <w:sz w:val="24"/>
      <w:szCs w:val="20"/>
      <w:lang w:val="en-GB" w:eastAsia="en-US"/>
    </w:rPr>
  </w:style>
  <w:style w:type="paragraph" w:customStyle="1" w:styleId="StyleBodyText10ptCentered">
    <w:name w:val="Style Body Text + 10 pt Centered"/>
    <w:basedOn w:val="BodyText"/>
    <w:rsid w:val="003C69C6"/>
    <w:pPr>
      <w:spacing w:after="0" w:line="240" w:lineRule="atLeast"/>
      <w:jc w:val="center"/>
    </w:pPr>
    <w:rPr>
      <w:rFonts w:ascii="Arial" w:hAnsi="Arial" w:cs="Times New Roman"/>
      <w:sz w:val="20"/>
      <w:szCs w:val="20"/>
    </w:rPr>
  </w:style>
  <w:style w:type="paragraph" w:customStyle="1" w:styleId="Para0">
    <w:name w:val="Para 0"/>
    <w:basedOn w:val="Normal"/>
    <w:rsid w:val="003C69C6"/>
    <w:pPr>
      <w:spacing w:after="220" w:line="300" w:lineRule="auto"/>
    </w:pPr>
    <w:rPr>
      <w:color w:val="000000"/>
      <w:szCs w:val="20"/>
      <w:lang w:val="en-GB" w:eastAsia="en-US"/>
    </w:rPr>
  </w:style>
  <w:style w:type="paragraph" w:styleId="Revision">
    <w:name w:val="Revision"/>
    <w:hidden/>
    <w:semiHidden/>
    <w:rsid w:val="003C69C6"/>
    <w:rPr>
      <w:rFonts w:ascii="Arial" w:hAnsi="Arial"/>
      <w:sz w:val="22"/>
      <w:szCs w:val="24"/>
    </w:rPr>
  </w:style>
  <w:style w:type="paragraph" w:customStyle="1" w:styleId="Body">
    <w:name w:val="Body"/>
    <w:basedOn w:val="Normal"/>
    <w:rsid w:val="003C69C6"/>
    <w:pPr>
      <w:spacing w:after="120"/>
    </w:pPr>
    <w:rPr>
      <w:rFonts w:ascii="Arial" w:hAnsi="Arial"/>
      <w:szCs w:val="20"/>
      <w:lang w:eastAsia="en-US"/>
    </w:rPr>
  </w:style>
  <w:style w:type="table" w:styleId="TableTheme">
    <w:name w:val="Table Theme"/>
    <w:basedOn w:val="TableNormal"/>
    <w:rsid w:val="003C69C6"/>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Heading"/>
    <w:basedOn w:val="TableText0"/>
    <w:link w:val="TableHeadingChar"/>
    <w:rsid w:val="003C69C6"/>
    <w:rPr>
      <w:b/>
      <w:szCs w:val="21"/>
    </w:rPr>
  </w:style>
  <w:style w:type="paragraph" w:customStyle="1" w:styleId="TableText0">
    <w:name w:val="TableText"/>
    <w:basedOn w:val="Normal"/>
    <w:link w:val="TableTextChar1"/>
    <w:rsid w:val="003C69C6"/>
    <w:pPr>
      <w:keepNext/>
      <w:spacing w:before="60" w:after="60"/>
    </w:pPr>
    <w:rPr>
      <w:sz w:val="21"/>
      <w:szCs w:val="23"/>
      <w:lang w:eastAsia="en-US"/>
    </w:rPr>
  </w:style>
  <w:style w:type="character" w:customStyle="1" w:styleId="TableTextChar1">
    <w:name w:val="TableText Char1"/>
    <w:link w:val="TableText0"/>
    <w:rsid w:val="003C69C6"/>
    <w:rPr>
      <w:sz w:val="21"/>
      <w:szCs w:val="23"/>
      <w:lang w:val="en-AU" w:eastAsia="en-US" w:bidi="ar-SA"/>
    </w:rPr>
  </w:style>
  <w:style w:type="character" w:customStyle="1" w:styleId="TableHeadingChar">
    <w:name w:val="TableHeading Char"/>
    <w:link w:val="TableHeading"/>
    <w:rsid w:val="003C69C6"/>
    <w:rPr>
      <w:b/>
      <w:sz w:val="21"/>
      <w:szCs w:val="21"/>
      <w:lang w:val="en-AU" w:eastAsia="en-US" w:bidi="ar-SA"/>
    </w:rPr>
  </w:style>
  <w:style w:type="paragraph" w:customStyle="1" w:styleId="TableBullet">
    <w:name w:val="TableBullet"/>
    <w:basedOn w:val="TableText0"/>
    <w:link w:val="TableBulletChar"/>
    <w:rsid w:val="003C69C6"/>
    <w:pPr>
      <w:numPr>
        <w:numId w:val="17"/>
      </w:numPr>
      <w:tabs>
        <w:tab w:val="left" w:pos="216"/>
      </w:tabs>
    </w:pPr>
  </w:style>
  <w:style w:type="character" w:customStyle="1" w:styleId="TableBulletChar">
    <w:name w:val="TableBullet Char"/>
    <w:basedOn w:val="TableTextChar1"/>
    <w:link w:val="TableBullet"/>
    <w:rsid w:val="003C69C6"/>
    <w:rPr>
      <w:sz w:val="21"/>
      <w:szCs w:val="23"/>
      <w:lang w:val="en-AU" w:eastAsia="en-US" w:bidi="ar-SA"/>
    </w:rPr>
  </w:style>
  <w:style w:type="paragraph" w:customStyle="1" w:styleId="TableName">
    <w:name w:val="TableName"/>
    <w:basedOn w:val="Normal"/>
    <w:link w:val="TableNameChar"/>
    <w:rsid w:val="003C69C6"/>
    <w:pPr>
      <w:keepNext/>
      <w:spacing w:before="120" w:after="120"/>
      <w:ind w:left="1300" w:hanging="1300"/>
    </w:pPr>
    <w:rPr>
      <w:b/>
      <w:sz w:val="23"/>
      <w:szCs w:val="23"/>
      <w:lang w:eastAsia="en-US"/>
    </w:rPr>
  </w:style>
  <w:style w:type="character" w:customStyle="1" w:styleId="TableNameChar">
    <w:name w:val="TableName Char"/>
    <w:link w:val="TableName"/>
    <w:rsid w:val="003C69C6"/>
    <w:rPr>
      <w:b/>
      <w:sz w:val="23"/>
      <w:szCs w:val="23"/>
      <w:lang w:val="en-AU" w:eastAsia="en-US" w:bidi="ar-SA"/>
    </w:rPr>
  </w:style>
  <w:style w:type="table" w:styleId="TableSimple1">
    <w:name w:val="Table Simple 1"/>
    <w:aliases w:val="Table CSIRO"/>
    <w:basedOn w:val="TableNormal"/>
    <w:rsid w:val="003C69C6"/>
    <w:pPr>
      <w:spacing w:line="240" w:lineRule="atLeast"/>
      <w:jc w:val="center"/>
    </w:pPr>
    <w:rPr>
      <w:rFonts w:ascii="Arial" w:hAnsi="Arial"/>
    </w:rPr>
    <w:tblPr>
      <w:tblBorders>
        <w:top w:val="single" w:sz="4" w:space="0" w:color="auto"/>
        <w:bottom w:val="single" w:sz="4" w:space="0" w:color="auto"/>
      </w:tblBorders>
    </w:tblPr>
    <w:tcPr>
      <w:shd w:val="clear" w:color="auto" w:fill="auto"/>
      <w:vAlign w:val="center"/>
    </w:tcPr>
    <w:tblStylePr w:type="firstRow">
      <w:rPr>
        <w:b/>
      </w:rPr>
      <w:tblPr/>
      <w:tcPr>
        <w:tcBorders>
          <w:bottom w:val="single" w:sz="4" w:space="0" w:color="auto"/>
        </w:tcBorders>
        <w:shd w:val="clear" w:color="auto" w:fill="auto"/>
      </w:tcPr>
    </w:tblStylePr>
    <w:tblStylePr w:type="lastRow">
      <w:tblPr/>
      <w:tcPr>
        <w:tcBorders>
          <w:top w:val="nil"/>
        </w:tcBorders>
        <w:shd w:val="clear" w:color="auto" w:fill="auto"/>
      </w:tcPr>
    </w:tblStylePr>
  </w:style>
  <w:style w:type="paragraph" w:customStyle="1" w:styleId="TableNotes18">
    <w:name w:val="TableNotes+18"/>
    <w:basedOn w:val="TableText0"/>
    <w:link w:val="TableNotes18Char"/>
    <w:rsid w:val="003C69C6"/>
    <w:pPr>
      <w:keepNext w:val="0"/>
      <w:keepLines/>
      <w:spacing w:before="0" w:after="360"/>
    </w:pPr>
    <w:rPr>
      <w:sz w:val="18"/>
    </w:rPr>
  </w:style>
  <w:style w:type="character" w:customStyle="1" w:styleId="TableNotes18Char">
    <w:name w:val="TableNotes+18 Char"/>
    <w:link w:val="TableNotes18"/>
    <w:rsid w:val="003C69C6"/>
    <w:rPr>
      <w:sz w:val="18"/>
      <w:szCs w:val="23"/>
      <w:lang w:val="en-AU" w:eastAsia="en-US" w:bidi="ar-SA"/>
    </w:rPr>
  </w:style>
  <w:style w:type="paragraph" w:customStyle="1" w:styleId="TableDash">
    <w:name w:val="TableDash"/>
    <w:basedOn w:val="TableText0"/>
    <w:rsid w:val="003C69C6"/>
    <w:pPr>
      <w:numPr>
        <w:numId w:val="18"/>
      </w:numPr>
      <w:tabs>
        <w:tab w:val="clear" w:pos="576"/>
        <w:tab w:val="num" w:pos="643"/>
      </w:tabs>
      <w:ind w:left="430" w:hanging="215"/>
    </w:pPr>
  </w:style>
  <w:style w:type="paragraph" w:customStyle="1" w:styleId="Reporttext">
    <w:name w:val="Report text"/>
    <w:basedOn w:val="Normal"/>
    <w:link w:val="ReporttextChar"/>
    <w:rsid w:val="003C69C6"/>
    <w:rPr>
      <w:rFonts w:ascii="Arial" w:hAnsi="Arial"/>
      <w:szCs w:val="20"/>
      <w:lang w:eastAsia="en-US"/>
    </w:rPr>
  </w:style>
  <w:style w:type="character" w:customStyle="1" w:styleId="ReporttextChar">
    <w:name w:val="Report text Char"/>
    <w:link w:val="Reporttext"/>
    <w:rsid w:val="003C69C6"/>
    <w:rPr>
      <w:rFonts w:ascii="Arial" w:hAnsi="Arial"/>
      <w:sz w:val="22"/>
      <w:lang w:val="en-AU" w:eastAsia="en-US" w:bidi="ar-SA"/>
    </w:rPr>
  </w:style>
  <w:style w:type="table" w:customStyle="1" w:styleId="TableGrid1">
    <w:name w:val="Table Grid1"/>
    <w:basedOn w:val="TableNormal"/>
    <w:next w:val="TableGrid"/>
    <w:rsid w:val="003C69C6"/>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CharCharCharCharChar">
    <w:name w:val="Char Char1 Char Char Char Char Char Char Char"/>
    <w:basedOn w:val="Normal"/>
    <w:rsid w:val="00FB268E"/>
    <w:pPr>
      <w:spacing w:before="200" w:after="160" w:line="240" w:lineRule="exact"/>
    </w:pPr>
    <w:rPr>
      <w:rFonts w:ascii="Verdana" w:hAnsi="Verdana"/>
      <w:sz w:val="20"/>
      <w:szCs w:val="20"/>
      <w:lang w:val="en-US" w:eastAsia="en-US"/>
    </w:rPr>
  </w:style>
  <w:style w:type="table" w:customStyle="1" w:styleId="TableAAACSIRO">
    <w:name w:val="Table AAA CSIRO"/>
    <w:basedOn w:val="TableNormal"/>
    <w:rsid w:val="002047DE"/>
    <w:rPr>
      <w:rFonts w:ascii="Arial" w:hAnsi="Arial"/>
    </w:rPr>
    <w:tblPr>
      <w:tblBorders>
        <w:top w:val="single" w:sz="4" w:space="0" w:color="auto"/>
        <w:bottom w:val="single" w:sz="4" w:space="0" w:color="auto"/>
      </w:tblBorders>
    </w:tblPr>
    <w:tblStylePr w:type="firstRow">
      <w:rPr>
        <w:rFonts w:ascii="Arial" w:hAnsi="Arial"/>
        <w:b/>
      </w:rPr>
      <w:tblPr/>
      <w:tcPr>
        <w:tcBorders>
          <w:bottom w:val="single" w:sz="4" w:space="0" w:color="auto"/>
        </w:tcBorders>
      </w:tcPr>
    </w:tblStylePr>
  </w:style>
  <w:style w:type="character" w:styleId="Strong">
    <w:name w:val="Strong"/>
    <w:qFormat/>
    <w:rsid w:val="00006A62"/>
    <w:rPr>
      <w:rFonts w:ascii="Arial" w:hAnsi="Arial" w:cs="Arial"/>
      <w:b/>
      <w:bCs/>
      <w:sz w:val="22"/>
      <w:szCs w:val="22"/>
      <w:lang w:val="en-AU" w:eastAsia="en-US" w:bidi="ar-SA"/>
    </w:rPr>
  </w:style>
  <w:style w:type="character" w:styleId="HTMLAcronym">
    <w:name w:val="HTML Acronym"/>
    <w:rsid w:val="00006A62"/>
    <w:rPr>
      <w:rFonts w:ascii="Arial" w:hAnsi="Arial" w:cs="Arial"/>
      <w:sz w:val="22"/>
      <w:szCs w:val="22"/>
      <w:lang w:val="en-AU" w:eastAsia="en-US" w:bidi="ar-SA"/>
    </w:rPr>
  </w:style>
  <w:style w:type="character" w:customStyle="1" w:styleId="CaptionsChar">
    <w:name w:val="Captions Char"/>
    <w:link w:val="Captions"/>
    <w:rsid w:val="00006A62"/>
    <w:rPr>
      <w:i/>
      <w:szCs w:val="22"/>
      <w:lang w:val="en-AU" w:eastAsia="en-AU" w:bidi="ar-SA"/>
    </w:rPr>
  </w:style>
  <w:style w:type="character" w:customStyle="1" w:styleId="CaptionChar">
    <w:name w:val="Caption Char"/>
    <w:rsid w:val="00D05BAB"/>
    <w:rPr>
      <w:b/>
      <w:bCs/>
      <w:lang w:val="en-AU" w:eastAsia="en-AU" w:bidi="ar-SA"/>
    </w:rPr>
  </w:style>
  <w:style w:type="character" w:customStyle="1" w:styleId="Char2CharChar">
    <w:name w:val="Char2 Char Char"/>
    <w:rsid w:val="00D05BAB"/>
    <w:rPr>
      <w:rFonts w:ascii="Arial" w:hAnsi="Arial"/>
      <w:sz w:val="22"/>
      <w:lang w:val="en-AU" w:eastAsia="en-AU" w:bidi="ar-SA"/>
    </w:rPr>
  </w:style>
  <w:style w:type="paragraph" w:customStyle="1" w:styleId="BodyText0">
    <w:name w:val="BodyText"/>
    <w:basedOn w:val="Normal"/>
    <w:rsid w:val="005F394E"/>
  </w:style>
  <w:style w:type="character" w:customStyle="1" w:styleId="DefaultChar">
    <w:name w:val="Default Char"/>
    <w:link w:val="Default"/>
    <w:rsid w:val="00666428"/>
    <w:rPr>
      <w:rFonts w:ascii="Calibri" w:hAnsi="Calibri" w:cs="Calibri"/>
      <w:color w:val="000000"/>
      <w:sz w:val="24"/>
      <w:szCs w:val="24"/>
      <w:lang w:val="en-AU" w:eastAsia="en-AU" w:bidi="ar-SA"/>
    </w:rPr>
  </w:style>
  <w:style w:type="numbering" w:customStyle="1" w:styleId="CurrentList1">
    <w:name w:val="Current List1"/>
    <w:rsid w:val="0033702F"/>
    <w:pPr>
      <w:numPr>
        <w:numId w:val="22"/>
      </w:numPr>
    </w:pPr>
  </w:style>
  <w:style w:type="numbering" w:styleId="111111">
    <w:name w:val="Outline List 2"/>
    <w:basedOn w:val="NoList"/>
    <w:rsid w:val="0033702F"/>
    <w:pPr>
      <w:numPr>
        <w:numId w:val="23"/>
      </w:numPr>
    </w:pPr>
  </w:style>
  <w:style w:type="character" w:customStyle="1" w:styleId="u14927">
    <w:name w:val="u14927"/>
    <w:semiHidden/>
    <w:rsid w:val="00A519E2"/>
    <w:rPr>
      <w:rFonts w:ascii="Times New Roman" w:hAnsi="Times New Roman" w:cs="Times New Roman"/>
      <w:b w:val="0"/>
      <w:bCs w:val="0"/>
      <w:i w:val="0"/>
      <w:iCs w:val="0"/>
      <w:strike w:val="0"/>
      <w:color w:val="auto"/>
      <w:sz w:val="22"/>
      <w:szCs w:val="22"/>
      <w:u w:val="none"/>
    </w:rPr>
  </w:style>
  <w:style w:type="paragraph" w:customStyle="1" w:styleId="StyleCaptionCharItalic">
    <w:name w:val="Style CaptionChar + Italic"/>
    <w:basedOn w:val="Caption"/>
    <w:link w:val="StyleCaptionCharItalicChar"/>
    <w:autoRedefine/>
    <w:rsid w:val="00D5128B"/>
    <w:pPr>
      <w:numPr>
        <w:ilvl w:val="1"/>
        <w:numId w:val="25"/>
      </w:numPr>
      <w:tabs>
        <w:tab w:val="clear" w:pos="576"/>
        <w:tab w:val="num" w:pos="360"/>
      </w:tabs>
      <w:spacing w:after="120"/>
      <w:ind w:left="720" w:hanging="720"/>
    </w:pPr>
    <w:rPr>
      <w:rFonts w:eastAsia="Times"/>
      <w:b/>
      <w:iCs/>
      <w:sz w:val="24"/>
      <w:szCs w:val="24"/>
    </w:rPr>
  </w:style>
  <w:style w:type="character" w:customStyle="1" w:styleId="StyleCaptionCharItalicChar">
    <w:name w:val="Style CaptionChar + Italic Char"/>
    <w:link w:val="StyleCaptionCharItalic"/>
    <w:rsid w:val="00D5128B"/>
    <w:rPr>
      <w:rFonts w:eastAsia="Times"/>
      <w:b/>
      <w:bCs/>
      <w:i/>
      <w:iCs/>
      <w:sz w:val="24"/>
      <w:szCs w:val="24"/>
      <w:lang w:val="en-AU" w:eastAsia="en-AU" w:bidi="ar-SA"/>
    </w:rPr>
  </w:style>
  <w:style w:type="paragraph" w:customStyle="1" w:styleId="CaptionCharItalicNotBold">
    <w:name w:val="CaptionChar + Italic + Not Bold"/>
    <w:basedOn w:val="Normal"/>
    <w:link w:val="CaptionCharItalicNotBoldChar"/>
    <w:autoRedefine/>
    <w:rsid w:val="00D5128B"/>
    <w:rPr>
      <w:b/>
      <w:i/>
      <w:sz w:val="24"/>
    </w:rPr>
  </w:style>
  <w:style w:type="character" w:customStyle="1" w:styleId="CaptionCharItalicNotBoldChar">
    <w:name w:val="CaptionChar + Italic + Not Bold Char"/>
    <w:link w:val="CaptionCharItalicNotBold"/>
    <w:rsid w:val="00D5128B"/>
    <w:rPr>
      <w:b/>
      <w:i/>
      <w:sz w:val="24"/>
      <w:szCs w:val="24"/>
      <w:lang w:val="en-AU" w:eastAsia="en-AU" w:bidi="ar-SA"/>
    </w:rPr>
  </w:style>
  <w:style w:type="character" w:customStyle="1" w:styleId="CharCharChar">
    <w:name w:val="Char Char Char"/>
    <w:rsid w:val="00D5128B"/>
    <w:rPr>
      <w:b/>
      <w:bCs/>
      <w:sz w:val="24"/>
      <w:szCs w:val="24"/>
      <w:lang w:val="en-AU" w:eastAsia="en-AU" w:bidi="ar-SA"/>
    </w:rPr>
  </w:style>
  <w:style w:type="character" w:customStyle="1" w:styleId="PlainTextChar1">
    <w:name w:val="Plain Text Char1"/>
    <w:link w:val="PlainText"/>
    <w:semiHidden/>
    <w:locked/>
    <w:rsid w:val="005E5312"/>
    <w:rPr>
      <w:rFonts w:ascii="Courier New" w:hAnsi="Courier New" w:cs="Courier New"/>
      <w:lang w:val="en-AU" w:eastAsia="en-AU" w:bidi="ar-SA"/>
    </w:rPr>
  </w:style>
  <w:style w:type="character" w:customStyle="1" w:styleId="Heading1Char1">
    <w:name w:val="Heading 1 Char1"/>
    <w:aliases w:val="h1 Char,Tempo Heading 1 Char,Project 1 Char,RFS Char,TOC 11 Char,Section heading Char,A MAJOR/BOLD Char,Para Char,Heading 1(Report Only) Char,Para1 Char,h11 Char,h12 Char,No numbers Char,H1 Char,Main Heading Char,Arial 11 Char,Bold Char"/>
    <w:link w:val="Heading1"/>
    <w:rsid w:val="00335E9B"/>
    <w:rPr>
      <w:rFonts w:ascii="Arial" w:eastAsia="Times" w:hAnsi="Arial"/>
      <w:kern w:val="28"/>
      <w:sz w:val="40"/>
      <w:szCs w:val="22"/>
      <w:lang w:val="en-AU" w:eastAsia="en-AU" w:bidi="ar-SA"/>
    </w:rPr>
  </w:style>
  <w:style w:type="paragraph" w:customStyle="1" w:styleId="Tabletitle">
    <w:name w:val="Table title"/>
    <w:basedOn w:val="Normal"/>
    <w:link w:val="TabletitleChar"/>
    <w:rsid w:val="00DC3DC8"/>
    <w:pPr>
      <w:spacing w:after="40" w:line="260" w:lineRule="exact"/>
    </w:pPr>
    <w:rPr>
      <w:sz w:val="21"/>
      <w:szCs w:val="20"/>
    </w:rPr>
  </w:style>
  <w:style w:type="character" w:customStyle="1" w:styleId="TabletitleChar">
    <w:name w:val="Table title Char"/>
    <w:link w:val="Tabletitle"/>
    <w:rsid w:val="00DC3DC8"/>
    <w:rPr>
      <w:sz w:val="21"/>
      <w:lang w:val="en-AU" w:eastAsia="en-AU" w:bidi="ar-SA"/>
    </w:rPr>
  </w:style>
  <w:style w:type="character" w:customStyle="1" w:styleId="Heading1Char">
    <w:name w:val="Heading 1 Char"/>
    <w:locked/>
    <w:rsid w:val="00F70518"/>
    <w:rPr>
      <w:rFonts w:ascii="Arial" w:hAnsi="Arial"/>
      <w:caps/>
      <w:sz w:val="18"/>
      <w:lang w:val="en-CA" w:eastAsia="en-US" w:bidi="ar-SA"/>
    </w:rPr>
  </w:style>
  <w:style w:type="character" w:customStyle="1" w:styleId="CharChar6">
    <w:name w:val="Char Char6"/>
    <w:rsid w:val="00B565AC"/>
    <w:rPr>
      <w:rFonts w:ascii="Arial Bold" w:eastAsia="Times" w:hAnsi="Arial Bold"/>
      <w:b/>
      <w:caps/>
      <w:kern w:val="28"/>
      <w:sz w:val="24"/>
      <w:szCs w:val="22"/>
      <w:lang w:val="en-AU" w:eastAsia="en-AU" w:bidi="ar-SA"/>
    </w:rPr>
  </w:style>
  <w:style w:type="character" w:customStyle="1" w:styleId="PlainTextChar">
    <w:name w:val="Plain Text Char"/>
    <w:semiHidden/>
    <w:locked/>
    <w:rsid w:val="00F46299"/>
    <w:rPr>
      <w:rFonts w:ascii="Calibri" w:hAnsi="Calibri" w:cs="Times New Roman"/>
      <w:sz w:val="21"/>
      <w:szCs w:val="21"/>
    </w:rPr>
  </w:style>
  <w:style w:type="character" w:customStyle="1" w:styleId="CaptionChar1">
    <w:name w:val="Caption Char1"/>
    <w:aliases w:val="Caption arial Char1"/>
    <w:locked/>
    <w:rsid w:val="00024167"/>
    <w:rPr>
      <w:rFonts w:ascii="Arial" w:hAnsi="Arial" w:cs="Times New Roman"/>
      <w:b/>
      <w:bCs/>
      <w:sz w:val="18"/>
      <w:szCs w:val="18"/>
      <w:lang w:val="en-AU" w:eastAsia="en-AU" w:bidi="ar-SA"/>
    </w:rPr>
  </w:style>
  <w:style w:type="character" w:customStyle="1" w:styleId="bodytxt1">
    <w:name w:val="bodytxt1"/>
    <w:rsid w:val="00D869F2"/>
    <w:rPr>
      <w:rFonts w:ascii="Arial" w:hAnsi="Arial" w:cs="Arial" w:hint="default"/>
      <w:strike w:val="0"/>
      <w:dstrike w:val="0"/>
      <w:color w:val="3B3B3C"/>
      <w:sz w:val="18"/>
      <w:szCs w:val="18"/>
      <w:u w:val="none"/>
      <w:effect w:val="none"/>
    </w:rPr>
  </w:style>
  <w:style w:type="character" w:customStyle="1" w:styleId="CharChar3">
    <w:name w:val="Char Char3"/>
    <w:rsid w:val="00B20C51"/>
    <w:rPr>
      <w:rFonts w:ascii="Arial Bold" w:eastAsia="Times" w:hAnsi="Arial Bold"/>
      <w:b/>
      <w:caps/>
      <w:kern w:val="28"/>
      <w:sz w:val="24"/>
      <w:szCs w:val="22"/>
    </w:rPr>
  </w:style>
  <w:style w:type="paragraph" w:customStyle="1" w:styleId="References">
    <w:name w:val="References"/>
    <w:basedOn w:val="Normal"/>
    <w:link w:val="ReferencesChar"/>
    <w:rsid w:val="00D11AD4"/>
    <w:pPr>
      <w:spacing w:line="260" w:lineRule="exact"/>
      <w:ind w:left="567" w:hanging="567"/>
      <w:jc w:val="both"/>
    </w:pPr>
    <w:rPr>
      <w:sz w:val="21"/>
      <w:szCs w:val="20"/>
    </w:rPr>
  </w:style>
  <w:style w:type="character" w:styleId="HTMLCite">
    <w:name w:val="HTML Cite"/>
    <w:rsid w:val="00D11AD4"/>
    <w:rPr>
      <w:i/>
      <w:iCs/>
    </w:rPr>
  </w:style>
  <w:style w:type="paragraph" w:customStyle="1" w:styleId="Notes">
    <w:name w:val="Notes"/>
    <w:basedOn w:val="Normal"/>
    <w:rsid w:val="00F9160A"/>
    <w:pPr>
      <w:numPr>
        <w:numId w:val="47"/>
      </w:numPr>
      <w:pBdr>
        <w:top w:val="single" w:sz="4" w:space="1" w:color="808080"/>
      </w:pBdr>
      <w:tabs>
        <w:tab w:val="clear" w:pos="360"/>
        <w:tab w:val="num" w:pos="284"/>
      </w:tabs>
      <w:spacing w:line="220" w:lineRule="exact"/>
      <w:ind w:left="284" w:hanging="284"/>
      <w:jc w:val="both"/>
    </w:pPr>
    <w:rPr>
      <w:sz w:val="16"/>
      <w:szCs w:val="20"/>
    </w:rPr>
  </w:style>
  <w:style w:type="paragraph" w:customStyle="1" w:styleId="centreheading0">
    <w:name w:val="centreheading"/>
    <w:basedOn w:val="Normal"/>
    <w:rsid w:val="00761298"/>
    <w:pPr>
      <w:autoSpaceDE w:val="0"/>
      <w:autoSpaceDN w:val="0"/>
    </w:pPr>
    <w:rPr>
      <w:sz w:val="24"/>
    </w:rPr>
  </w:style>
  <w:style w:type="paragraph" w:styleId="ListParagraph">
    <w:name w:val="List Paragraph"/>
    <w:basedOn w:val="Normal"/>
    <w:qFormat/>
    <w:rsid w:val="005152D9"/>
    <w:pPr>
      <w:spacing w:after="200" w:line="276" w:lineRule="auto"/>
      <w:ind w:left="720"/>
      <w:contextualSpacing/>
    </w:pPr>
    <w:rPr>
      <w:rFonts w:ascii="Franklin Gothic Book" w:hAnsi="Franklin Gothic Book"/>
      <w:szCs w:val="22"/>
      <w:lang w:eastAsia="en-US"/>
    </w:rPr>
  </w:style>
  <w:style w:type="paragraph" w:customStyle="1" w:styleId="StyleHeading2Before16pt">
    <w:name w:val="Style Heading 2 + Before:  16 pt"/>
    <w:basedOn w:val="Heading2"/>
    <w:rsid w:val="008235E1"/>
    <w:pPr>
      <w:spacing w:before="400"/>
    </w:pPr>
    <w:rPr>
      <w:rFonts w:eastAsia="Times New Roman"/>
      <w:bCs/>
      <w:szCs w:val="20"/>
    </w:rPr>
  </w:style>
  <w:style w:type="paragraph" w:customStyle="1" w:styleId="font5">
    <w:name w:val="font5"/>
    <w:basedOn w:val="Normal"/>
    <w:rsid w:val="00350793"/>
    <w:pPr>
      <w:spacing w:before="100" w:beforeAutospacing="1" w:after="100" w:afterAutospacing="1"/>
    </w:pPr>
    <w:rPr>
      <w:rFonts w:ascii="Arial" w:hAnsi="Arial" w:cs="Arial"/>
      <w:sz w:val="16"/>
      <w:szCs w:val="16"/>
    </w:rPr>
  </w:style>
  <w:style w:type="paragraph" w:customStyle="1" w:styleId="font6">
    <w:name w:val="font6"/>
    <w:basedOn w:val="Normal"/>
    <w:rsid w:val="00350793"/>
    <w:pPr>
      <w:spacing w:before="100" w:beforeAutospacing="1" w:after="100" w:afterAutospacing="1"/>
    </w:pPr>
    <w:rPr>
      <w:rFonts w:ascii="Tahoma" w:hAnsi="Tahoma" w:cs="Tahoma"/>
      <w:color w:val="000000"/>
      <w:sz w:val="20"/>
      <w:szCs w:val="20"/>
    </w:rPr>
  </w:style>
  <w:style w:type="paragraph" w:customStyle="1" w:styleId="font7">
    <w:name w:val="font7"/>
    <w:basedOn w:val="Normal"/>
    <w:rsid w:val="00350793"/>
    <w:pPr>
      <w:spacing w:before="100" w:beforeAutospacing="1" w:after="100" w:afterAutospacing="1"/>
    </w:pPr>
    <w:rPr>
      <w:rFonts w:ascii="Symbol" w:hAnsi="Symbol"/>
      <w:sz w:val="16"/>
      <w:szCs w:val="16"/>
    </w:rPr>
  </w:style>
  <w:style w:type="paragraph" w:customStyle="1" w:styleId="xl67">
    <w:name w:val="xl67"/>
    <w:basedOn w:val="Normal"/>
    <w:rsid w:val="00350793"/>
    <w:pPr>
      <w:spacing w:before="100" w:beforeAutospacing="1" w:after="100" w:afterAutospacing="1"/>
      <w:jc w:val="center"/>
    </w:pPr>
    <w:rPr>
      <w:rFonts w:ascii="Arial" w:hAnsi="Arial" w:cs="Arial"/>
      <w:sz w:val="16"/>
      <w:szCs w:val="16"/>
    </w:rPr>
  </w:style>
  <w:style w:type="paragraph" w:customStyle="1" w:styleId="xl68">
    <w:name w:val="xl68"/>
    <w:basedOn w:val="Normal"/>
    <w:rsid w:val="00350793"/>
    <w:pPr>
      <w:spacing w:before="100" w:beforeAutospacing="1" w:after="100" w:afterAutospacing="1"/>
      <w:jc w:val="center"/>
    </w:pPr>
    <w:rPr>
      <w:rFonts w:ascii="Arial" w:hAnsi="Arial" w:cs="Arial"/>
      <w:sz w:val="16"/>
      <w:szCs w:val="16"/>
    </w:rPr>
  </w:style>
  <w:style w:type="paragraph" w:customStyle="1" w:styleId="xl69">
    <w:name w:val="xl69"/>
    <w:basedOn w:val="Normal"/>
    <w:rsid w:val="00350793"/>
    <w:pPr>
      <w:spacing w:before="100" w:beforeAutospacing="1" w:after="100" w:afterAutospacing="1"/>
      <w:jc w:val="center"/>
    </w:pPr>
    <w:rPr>
      <w:rFonts w:ascii="Arial" w:hAnsi="Arial" w:cs="Arial"/>
      <w:sz w:val="16"/>
      <w:szCs w:val="16"/>
    </w:rPr>
  </w:style>
  <w:style w:type="paragraph" w:customStyle="1" w:styleId="xl70">
    <w:name w:val="xl70"/>
    <w:basedOn w:val="Normal"/>
    <w:rsid w:val="00350793"/>
    <w:pPr>
      <w:spacing w:before="100" w:beforeAutospacing="1" w:after="100" w:afterAutospacing="1"/>
      <w:jc w:val="center"/>
    </w:pPr>
    <w:rPr>
      <w:rFonts w:ascii="Arial" w:hAnsi="Arial" w:cs="Arial"/>
      <w:sz w:val="16"/>
      <w:szCs w:val="16"/>
    </w:rPr>
  </w:style>
  <w:style w:type="paragraph" w:customStyle="1" w:styleId="xl71">
    <w:name w:val="xl71"/>
    <w:basedOn w:val="Normal"/>
    <w:rsid w:val="00350793"/>
    <w:pPr>
      <w:spacing w:before="100" w:beforeAutospacing="1" w:after="100" w:afterAutospacing="1"/>
      <w:jc w:val="center"/>
    </w:pPr>
    <w:rPr>
      <w:rFonts w:ascii="Arial" w:hAnsi="Arial" w:cs="Arial"/>
      <w:sz w:val="16"/>
      <w:szCs w:val="16"/>
    </w:rPr>
  </w:style>
  <w:style w:type="paragraph" w:customStyle="1" w:styleId="xl72">
    <w:name w:val="xl72"/>
    <w:basedOn w:val="Normal"/>
    <w:rsid w:val="00350793"/>
    <w:pPr>
      <w:spacing w:before="100" w:beforeAutospacing="1" w:after="100" w:afterAutospacing="1"/>
      <w:jc w:val="center"/>
    </w:pPr>
    <w:rPr>
      <w:rFonts w:ascii="Arial" w:hAnsi="Arial" w:cs="Arial"/>
      <w:b/>
      <w:bCs/>
      <w:sz w:val="16"/>
      <w:szCs w:val="16"/>
    </w:rPr>
  </w:style>
  <w:style w:type="paragraph" w:customStyle="1" w:styleId="xl73">
    <w:name w:val="xl73"/>
    <w:basedOn w:val="Normal"/>
    <w:rsid w:val="00350793"/>
    <w:pPr>
      <w:spacing w:before="100" w:beforeAutospacing="1" w:after="100" w:afterAutospacing="1"/>
      <w:jc w:val="center"/>
    </w:pPr>
    <w:rPr>
      <w:rFonts w:ascii="Arial" w:hAnsi="Arial" w:cs="Arial"/>
      <w:b/>
      <w:bCs/>
      <w:sz w:val="16"/>
      <w:szCs w:val="16"/>
    </w:rPr>
  </w:style>
  <w:style w:type="paragraph" w:customStyle="1" w:styleId="xl74">
    <w:name w:val="xl74"/>
    <w:basedOn w:val="Normal"/>
    <w:rsid w:val="00350793"/>
    <w:pPr>
      <w:spacing w:before="100" w:beforeAutospacing="1" w:after="100" w:afterAutospacing="1"/>
      <w:jc w:val="center"/>
    </w:pPr>
    <w:rPr>
      <w:rFonts w:ascii="Arial" w:hAnsi="Arial" w:cs="Arial"/>
      <w:sz w:val="16"/>
      <w:szCs w:val="16"/>
    </w:rPr>
  </w:style>
  <w:style w:type="paragraph" w:customStyle="1" w:styleId="xl75">
    <w:name w:val="xl75"/>
    <w:basedOn w:val="Normal"/>
    <w:rsid w:val="00350793"/>
    <w:pPr>
      <w:spacing w:before="100" w:beforeAutospacing="1" w:after="100" w:afterAutospacing="1"/>
      <w:jc w:val="center"/>
    </w:pPr>
    <w:rPr>
      <w:rFonts w:ascii="Arial" w:hAnsi="Arial" w:cs="Arial"/>
      <w:sz w:val="16"/>
      <w:szCs w:val="16"/>
    </w:rPr>
  </w:style>
  <w:style w:type="paragraph" w:customStyle="1" w:styleId="xl76">
    <w:name w:val="xl76"/>
    <w:basedOn w:val="Normal"/>
    <w:rsid w:val="00350793"/>
    <w:pPr>
      <w:spacing w:before="100" w:beforeAutospacing="1" w:after="100" w:afterAutospacing="1"/>
      <w:jc w:val="center"/>
      <w:textAlignment w:val="center"/>
    </w:pPr>
    <w:rPr>
      <w:rFonts w:ascii="Arial" w:hAnsi="Arial" w:cs="Arial"/>
      <w:sz w:val="16"/>
      <w:szCs w:val="16"/>
    </w:rPr>
  </w:style>
  <w:style w:type="paragraph" w:customStyle="1" w:styleId="xl77">
    <w:name w:val="xl77"/>
    <w:basedOn w:val="Normal"/>
    <w:rsid w:val="00350793"/>
    <w:pPr>
      <w:spacing w:before="100" w:beforeAutospacing="1" w:after="100" w:afterAutospacing="1"/>
      <w:jc w:val="center"/>
    </w:pPr>
    <w:rPr>
      <w:rFonts w:ascii="Arial" w:hAnsi="Arial" w:cs="Arial"/>
      <w:sz w:val="16"/>
      <w:szCs w:val="16"/>
    </w:rPr>
  </w:style>
  <w:style w:type="paragraph" w:customStyle="1" w:styleId="xl78">
    <w:name w:val="xl78"/>
    <w:basedOn w:val="Normal"/>
    <w:rsid w:val="00350793"/>
    <w:pPr>
      <w:spacing w:before="100" w:beforeAutospacing="1" w:after="100" w:afterAutospacing="1"/>
      <w:jc w:val="center"/>
    </w:pPr>
    <w:rPr>
      <w:rFonts w:ascii="Arial" w:hAnsi="Arial" w:cs="Arial"/>
      <w:sz w:val="16"/>
      <w:szCs w:val="16"/>
    </w:rPr>
  </w:style>
  <w:style w:type="paragraph" w:customStyle="1" w:styleId="xl79">
    <w:name w:val="xl79"/>
    <w:basedOn w:val="Normal"/>
    <w:rsid w:val="00350793"/>
    <w:pPr>
      <w:spacing w:before="100" w:beforeAutospacing="1" w:after="100" w:afterAutospacing="1"/>
      <w:jc w:val="center"/>
    </w:pPr>
    <w:rPr>
      <w:sz w:val="16"/>
      <w:szCs w:val="16"/>
    </w:rPr>
  </w:style>
  <w:style w:type="paragraph" w:customStyle="1" w:styleId="xl80">
    <w:name w:val="xl80"/>
    <w:basedOn w:val="Normal"/>
    <w:rsid w:val="00350793"/>
    <w:pPr>
      <w:shd w:val="clear" w:color="auto" w:fill="00FFFF"/>
      <w:spacing w:before="100" w:beforeAutospacing="1" w:after="100" w:afterAutospacing="1"/>
      <w:jc w:val="center"/>
    </w:pPr>
    <w:rPr>
      <w:rFonts w:ascii="Arial" w:hAnsi="Arial" w:cs="Arial"/>
      <w:sz w:val="16"/>
      <w:szCs w:val="16"/>
    </w:rPr>
  </w:style>
  <w:style w:type="paragraph" w:customStyle="1" w:styleId="xl81">
    <w:name w:val="xl81"/>
    <w:basedOn w:val="Normal"/>
    <w:rsid w:val="00350793"/>
    <w:pPr>
      <w:spacing w:before="100" w:beforeAutospacing="1" w:after="100" w:afterAutospacing="1"/>
      <w:jc w:val="center"/>
    </w:pPr>
    <w:rPr>
      <w:rFonts w:ascii="Arial" w:hAnsi="Arial" w:cs="Arial"/>
      <w:sz w:val="16"/>
      <w:szCs w:val="16"/>
    </w:rPr>
  </w:style>
  <w:style w:type="paragraph" w:customStyle="1" w:styleId="xl82">
    <w:name w:val="xl82"/>
    <w:basedOn w:val="Normal"/>
    <w:rsid w:val="00350793"/>
    <w:pPr>
      <w:spacing w:before="100" w:beforeAutospacing="1" w:after="100" w:afterAutospacing="1"/>
      <w:jc w:val="center"/>
    </w:pPr>
    <w:rPr>
      <w:sz w:val="16"/>
      <w:szCs w:val="16"/>
    </w:rPr>
  </w:style>
  <w:style w:type="paragraph" w:customStyle="1" w:styleId="xl83">
    <w:name w:val="xl83"/>
    <w:basedOn w:val="Normal"/>
    <w:rsid w:val="00350793"/>
    <w:pPr>
      <w:spacing w:before="100" w:beforeAutospacing="1" w:after="100" w:afterAutospacing="1"/>
      <w:jc w:val="center"/>
    </w:pPr>
    <w:rPr>
      <w:rFonts w:ascii="Arial" w:hAnsi="Arial" w:cs="Arial"/>
      <w:sz w:val="16"/>
      <w:szCs w:val="16"/>
    </w:rPr>
  </w:style>
  <w:style w:type="paragraph" w:customStyle="1" w:styleId="xl84">
    <w:name w:val="xl84"/>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5">
    <w:name w:val="xl85"/>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6">
    <w:name w:val="xl86"/>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7">
    <w:name w:val="xl87"/>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8">
    <w:name w:val="xl88"/>
    <w:basedOn w:val="Normal"/>
    <w:rsid w:val="00350793"/>
    <w:pPr>
      <w:spacing w:before="100" w:beforeAutospacing="1" w:after="100" w:afterAutospacing="1"/>
      <w:jc w:val="center"/>
    </w:pPr>
    <w:rPr>
      <w:sz w:val="16"/>
      <w:szCs w:val="16"/>
    </w:rPr>
  </w:style>
  <w:style w:type="paragraph" w:customStyle="1" w:styleId="xl89">
    <w:name w:val="xl89"/>
    <w:basedOn w:val="Normal"/>
    <w:rsid w:val="00350793"/>
    <w:pPr>
      <w:shd w:val="clear" w:color="auto" w:fill="00FFFF"/>
      <w:spacing w:before="100" w:beforeAutospacing="1" w:after="100" w:afterAutospacing="1"/>
      <w:jc w:val="center"/>
    </w:pPr>
    <w:rPr>
      <w:rFonts w:ascii="Arial" w:hAnsi="Arial" w:cs="Arial"/>
      <w:sz w:val="16"/>
      <w:szCs w:val="16"/>
    </w:rPr>
  </w:style>
  <w:style w:type="paragraph" w:customStyle="1" w:styleId="xl90">
    <w:name w:val="xl90"/>
    <w:basedOn w:val="Normal"/>
    <w:rsid w:val="00350793"/>
    <w:pPr>
      <w:shd w:val="clear" w:color="auto" w:fill="00FFFF"/>
      <w:spacing w:before="100" w:beforeAutospacing="1" w:after="100" w:afterAutospacing="1"/>
      <w:jc w:val="center"/>
    </w:pPr>
    <w:rPr>
      <w:rFonts w:ascii="Arial" w:hAnsi="Arial" w:cs="Arial"/>
      <w:color w:val="000000"/>
      <w:sz w:val="16"/>
      <w:szCs w:val="16"/>
    </w:rPr>
  </w:style>
  <w:style w:type="paragraph" w:customStyle="1" w:styleId="xl91">
    <w:name w:val="xl91"/>
    <w:basedOn w:val="Normal"/>
    <w:rsid w:val="00350793"/>
    <w:pPr>
      <w:spacing w:before="100" w:beforeAutospacing="1" w:after="100" w:afterAutospacing="1"/>
      <w:jc w:val="center"/>
      <w:textAlignment w:val="center"/>
    </w:pPr>
    <w:rPr>
      <w:sz w:val="16"/>
      <w:szCs w:val="16"/>
    </w:rPr>
  </w:style>
  <w:style w:type="paragraph" w:customStyle="1" w:styleId="xl92">
    <w:name w:val="xl92"/>
    <w:basedOn w:val="Normal"/>
    <w:rsid w:val="00350793"/>
    <w:pPr>
      <w:spacing w:before="100" w:beforeAutospacing="1" w:after="100" w:afterAutospacing="1"/>
      <w:jc w:val="center"/>
    </w:pPr>
    <w:rPr>
      <w:sz w:val="16"/>
      <w:szCs w:val="16"/>
    </w:rPr>
  </w:style>
  <w:style w:type="paragraph" w:customStyle="1" w:styleId="xl93">
    <w:name w:val="xl93"/>
    <w:basedOn w:val="Normal"/>
    <w:rsid w:val="00350793"/>
    <w:pPr>
      <w:spacing w:before="100" w:beforeAutospacing="1" w:after="100" w:afterAutospacing="1"/>
    </w:pPr>
    <w:rPr>
      <w:sz w:val="16"/>
      <w:szCs w:val="16"/>
    </w:rPr>
  </w:style>
  <w:style w:type="paragraph" w:customStyle="1" w:styleId="xl94">
    <w:name w:val="xl94"/>
    <w:basedOn w:val="Normal"/>
    <w:rsid w:val="00350793"/>
    <w:pPr>
      <w:spacing w:before="100" w:beforeAutospacing="1" w:after="100" w:afterAutospacing="1"/>
      <w:jc w:val="center"/>
    </w:pPr>
    <w:rPr>
      <w:rFonts w:ascii="Arial" w:hAnsi="Arial" w:cs="Arial"/>
      <w:b/>
      <w:bCs/>
      <w:sz w:val="16"/>
      <w:szCs w:val="16"/>
    </w:rPr>
  </w:style>
  <w:style w:type="paragraph" w:customStyle="1" w:styleId="xl95">
    <w:name w:val="xl95"/>
    <w:basedOn w:val="Normal"/>
    <w:rsid w:val="00350793"/>
    <w:pPr>
      <w:shd w:val="clear" w:color="auto" w:fill="CCFFCC"/>
      <w:spacing w:before="100" w:beforeAutospacing="1" w:after="100" w:afterAutospacing="1"/>
      <w:jc w:val="center"/>
    </w:pPr>
    <w:rPr>
      <w:rFonts w:ascii="Arial" w:hAnsi="Arial" w:cs="Arial"/>
      <w:sz w:val="16"/>
      <w:szCs w:val="16"/>
    </w:rPr>
  </w:style>
  <w:style w:type="paragraph" w:customStyle="1" w:styleId="xl96">
    <w:name w:val="xl96"/>
    <w:basedOn w:val="Normal"/>
    <w:rsid w:val="00350793"/>
    <w:pPr>
      <w:spacing w:before="100" w:beforeAutospacing="1" w:after="100" w:afterAutospacing="1"/>
    </w:pPr>
    <w:rPr>
      <w:rFonts w:ascii="Arial" w:hAnsi="Arial" w:cs="Arial"/>
      <w:b/>
      <w:bCs/>
      <w:sz w:val="16"/>
      <w:szCs w:val="16"/>
    </w:rPr>
  </w:style>
  <w:style w:type="paragraph" w:customStyle="1" w:styleId="xl97">
    <w:name w:val="xl97"/>
    <w:basedOn w:val="Normal"/>
    <w:rsid w:val="00350793"/>
    <w:pPr>
      <w:spacing w:before="100" w:beforeAutospacing="1" w:after="100" w:afterAutospacing="1"/>
    </w:pPr>
    <w:rPr>
      <w:rFonts w:ascii="Arial" w:hAnsi="Arial" w:cs="Arial"/>
      <w:b/>
      <w:bCs/>
      <w:sz w:val="16"/>
      <w:szCs w:val="16"/>
    </w:rPr>
  </w:style>
  <w:style w:type="paragraph" w:customStyle="1" w:styleId="references0">
    <w:name w:val="references"/>
    <w:basedOn w:val="Normal"/>
    <w:rsid w:val="00EE1082"/>
    <w:pPr>
      <w:spacing w:line="260" w:lineRule="atLeast"/>
      <w:ind w:left="567" w:hanging="567"/>
      <w:jc w:val="both"/>
    </w:pPr>
    <w:rPr>
      <w:sz w:val="21"/>
      <w:szCs w:val="21"/>
    </w:rPr>
  </w:style>
  <w:style w:type="paragraph" w:customStyle="1" w:styleId="Body1">
    <w:name w:val="Body 1"/>
    <w:rsid w:val="00255272"/>
    <w:pPr>
      <w:outlineLvl w:val="0"/>
    </w:pPr>
    <w:rPr>
      <w:rFonts w:eastAsia="Arial Unicode MS"/>
      <w:color w:val="000000"/>
      <w:u w:color="000000"/>
    </w:rPr>
  </w:style>
  <w:style w:type="paragraph" w:customStyle="1" w:styleId="BodyText2Notes">
    <w:name w:val="Body Text 2 Notes"/>
    <w:basedOn w:val="BodyText2"/>
    <w:link w:val="BodyText2NotesCharChar"/>
    <w:rsid w:val="000A64C5"/>
    <w:pPr>
      <w:spacing w:line="240" w:lineRule="auto"/>
    </w:pPr>
    <w:rPr>
      <w:sz w:val="20"/>
    </w:rPr>
  </w:style>
  <w:style w:type="character" w:customStyle="1" w:styleId="BodyText2NotesCharChar">
    <w:name w:val="Body Text 2 Notes Char Char"/>
    <w:link w:val="BodyText2Notes"/>
    <w:rsid w:val="00B349DB"/>
    <w:rPr>
      <w:szCs w:val="24"/>
      <w:lang w:val="en-AU" w:eastAsia="en-AU" w:bidi="ar-SA"/>
    </w:rPr>
  </w:style>
  <w:style w:type="paragraph" w:customStyle="1" w:styleId="Tabletext1">
    <w:name w:val="Table text"/>
    <w:basedOn w:val="Normal"/>
    <w:link w:val="TabletextChar"/>
    <w:rsid w:val="006F43C3"/>
    <w:pPr>
      <w:spacing w:line="250" w:lineRule="exact"/>
    </w:pPr>
    <w:rPr>
      <w:sz w:val="20"/>
      <w:szCs w:val="20"/>
    </w:rPr>
  </w:style>
  <w:style w:type="character" w:customStyle="1" w:styleId="TabletextChar">
    <w:name w:val="Table text Char"/>
    <w:link w:val="Tabletext1"/>
    <w:rsid w:val="006F43C3"/>
    <w:rPr>
      <w:lang w:val="en-AU" w:eastAsia="en-AU" w:bidi="ar-SA"/>
    </w:rPr>
  </w:style>
  <w:style w:type="paragraph" w:customStyle="1" w:styleId="TableTextLeft">
    <w:name w:val="TableText + Left"/>
    <w:basedOn w:val="Normal"/>
    <w:rsid w:val="006F43C3"/>
    <w:pPr>
      <w:keepNext/>
      <w:spacing w:before="60" w:after="60"/>
    </w:pPr>
    <w:rPr>
      <w:sz w:val="20"/>
      <w:szCs w:val="20"/>
      <w:lang w:eastAsia="en-US"/>
    </w:rPr>
  </w:style>
  <w:style w:type="paragraph" w:customStyle="1" w:styleId="Abstract">
    <w:name w:val="Abstract"/>
    <w:basedOn w:val="Normal"/>
    <w:next w:val="Normal"/>
    <w:rsid w:val="00D7599C"/>
    <w:pPr>
      <w:keepNext/>
      <w:overflowPunct w:val="0"/>
      <w:autoSpaceDE w:val="0"/>
      <w:autoSpaceDN w:val="0"/>
      <w:adjustRightInd w:val="0"/>
      <w:jc w:val="both"/>
      <w:textAlignment w:val="baseline"/>
    </w:pPr>
    <w:rPr>
      <w:rFonts w:ascii="Arial" w:hAnsi="Arial"/>
      <w:sz w:val="18"/>
      <w:szCs w:val="20"/>
      <w:lang w:val="en-CA" w:eastAsia="en-US"/>
    </w:rPr>
  </w:style>
  <w:style w:type="paragraph" w:customStyle="1" w:styleId="Bulletlevel1">
    <w:name w:val="Bullet level 1"/>
    <w:basedOn w:val="Normal"/>
    <w:rsid w:val="00CA355D"/>
    <w:pPr>
      <w:numPr>
        <w:numId w:val="66"/>
      </w:numPr>
    </w:pPr>
    <w:rPr>
      <w:sz w:val="24"/>
      <w:lang w:val="en-US" w:eastAsia="en-US"/>
    </w:rPr>
  </w:style>
  <w:style w:type="paragraph" w:customStyle="1" w:styleId="CaptionsBold">
    <w:name w:val="Captions + Bold"/>
    <w:basedOn w:val="Normal"/>
    <w:link w:val="CaptionsBoldCharChar"/>
    <w:rsid w:val="00391537"/>
    <w:pPr>
      <w:spacing w:before="120"/>
    </w:pPr>
    <w:rPr>
      <w:b/>
      <w:bCs/>
      <w:i/>
      <w:iCs/>
      <w:sz w:val="20"/>
      <w:szCs w:val="20"/>
    </w:rPr>
  </w:style>
  <w:style w:type="character" w:customStyle="1" w:styleId="CaptionsBoldCharChar">
    <w:name w:val="Captions + Bold Char Char"/>
    <w:link w:val="CaptionsBold"/>
    <w:rsid w:val="00391537"/>
    <w:rPr>
      <w:b/>
      <w:bCs/>
      <w:i/>
      <w:iCs/>
      <w:lang w:val="en-AU" w:eastAsia="en-AU" w:bidi="ar-SA"/>
    </w:rPr>
  </w:style>
  <w:style w:type="paragraph" w:customStyle="1" w:styleId="BodyText10">
    <w:name w:val="BodyText_1"/>
    <w:basedOn w:val="Normal"/>
    <w:link w:val="BodyText1CharChar"/>
    <w:rsid w:val="00391537"/>
    <w:rPr>
      <w:sz w:val="24"/>
      <w:szCs w:val="20"/>
    </w:rPr>
  </w:style>
  <w:style w:type="character" w:customStyle="1" w:styleId="BodyText1CharChar">
    <w:name w:val="BodyText_1 Char Char"/>
    <w:link w:val="BodyText10"/>
    <w:locked/>
    <w:rsid w:val="00391537"/>
    <w:rPr>
      <w:sz w:val="24"/>
      <w:lang w:val="en-AU" w:eastAsia="en-AU" w:bidi="ar-SA"/>
    </w:rPr>
  </w:style>
  <w:style w:type="character" w:customStyle="1" w:styleId="ReferencesChar">
    <w:name w:val="References Char"/>
    <w:link w:val="References"/>
    <w:rsid w:val="00884690"/>
    <w:rPr>
      <w:sz w:val="21"/>
      <w:lang w:val="en-AU" w:eastAsia="en-AU" w:bidi="ar-SA"/>
    </w:rPr>
  </w:style>
  <w:style w:type="character" w:customStyle="1" w:styleId="st1">
    <w:name w:val="st1"/>
    <w:basedOn w:val="DefaultParagraphFont"/>
    <w:rsid w:val="0060665D"/>
  </w:style>
  <w:style w:type="character" w:customStyle="1" w:styleId="ssens">
    <w:name w:val="ssens"/>
    <w:basedOn w:val="DefaultParagraphFont"/>
    <w:rsid w:val="0060665D"/>
  </w:style>
  <w:style w:type="paragraph" w:customStyle="1" w:styleId="Record">
    <w:name w:val="Record #"/>
    <w:basedOn w:val="Normal"/>
    <w:rsid w:val="00CF7613"/>
    <w:pPr>
      <w:keepNext/>
      <w:spacing w:line="260" w:lineRule="exact"/>
    </w:pPr>
    <w:rPr>
      <w:rFonts w:ascii="Arial" w:eastAsia="Times" w:hAnsi="Arial" w:cs="Arial"/>
      <w:caps/>
      <w:spacing w:val="10"/>
      <w:sz w:val="19"/>
      <w:szCs w:val="19"/>
    </w:rPr>
  </w:style>
  <w:style w:type="paragraph" w:customStyle="1" w:styleId="Figuresandimagesleft">
    <w:name w:val="Figures and images left"/>
    <w:basedOn w:val="BodyText"/>
    <w:next w:val="Normal"/>
    <w:link w:val="FiguresandimagesleftChar"/>
    <w:qFormat/>
    <w:rsid w:val="00CF7613"/>
    <w:pPr>
      <w:keepNext/>
      <w:spacing w:before="480" w:after="80" w:line="160" w:lineRule="atLeast"/>
    </w:pPr>
    <w:rPr>
      <w:rFonts w:ascii="Arial" w:eastAsia="Times" w:hAnsi="Arial"/>
    </w:rPr>
  </w:style>
  <w:style w:type="character" w:customStyle="1" w:styleId="FiguresandimagesleftChar">
    <w:name w:val="Figures and images left Char"/>
    <w:link w:val="Figuresandimagesleft"/>
    <w:rsid w:val="00CF7613"/>
    <w:rPr>
      <w:rFonts w:ascii="Arial" w:eastAsia="Times" w:hAnsi="Arial" w:cs="Arial"/>
      <w:sz w:val="22"/>
      <w:szCs w:val="28"/>
    </w:rPr>
  </w:style>
  <w:style w:type="paragraph" w:customStyle="1" w:styleId="Versopageinfo">
    <w:name w:val="Verso page info"/>
    <w:basedOn w:val="BodyText"/>
    <w:link w:val="VersopageinfoChar"/>
    <w:qFormat/>
    <w:rsid w:val="00CF7613"/>
    <w:pPr>
      <w:spacing w:after="180"/>
    </w:pPr>
    <w:rPr>
      <w:rFonts w:eastAsia="Times"/>
    </w:rPr>
  </w:style>
  <w:style w:type="character" w:customStyle="1" w:styleId="VersopageinfoChar">
    <w:name w:val="Verso page info Char"/>
    <w:link w:val="Versopageinfo"/>
    <w:rsid w:val="00CF7613"/>
    <w:rPr>
      <w:rFonts w:eastAsia="Times" w:cs="Arial"/>
      <w:sz w:val="22"/>
      <w:szCs w:val="28"/>
    </w:rPr>
  </w:style>
  <w:style w:type="paragraph" w:customStyle="1" w:styleId="VersoBoldPgB4">
    <w:name w:val="Verso Bold Pg B4"/>
    <w:next w:val="BodyText"/>
    <w:qFormat/>
    <w:rsid w:val="00CF7613"/>
    <w:pPr>
      <w:pageBreakBefore/>
      <w:spacing w:before="180" w:after="60" w:line="240" w:lineRule="atLeast"/>
    </w:pPr>
    <w:rPr>
      <w:rFonts w:eastAsia="Times" w:cs="Arial"/>
      <w:b/>
      <w:kern w:val="28"/>
      <w:sz w:val="22"/>
    </w:rPr>
  </w:style>
  <w:style w:type="paragraph" w:customStyle="1" w:styleId="VersoBold">
    <w:name w:val="Verso Bold"/>
    <w:basedOn w:val="BodyText"/>
    <w:next w:val="Normal"/>
    <w:rsid w:val="00CF7613"/>
    <w:pPr>
      <w:spacing w:before="240" w:after="0"/>
    </w:pPr>
    <w:rPr>
      <w:rFonts w:eastAsia="Times"/>
      <w:b/>
      <w:kern w:val="28"/>
      <w:szCs w:val="20"/>
    </w:rPr>
  </w:style>
  <w:style w:type="paragraph" w:customStyle="1" w:styleId="Biblography">
    <w:name w:val="Biblography"/>
    <w:basedOn w:val="Normal"/>
    <w:qFormat/>
    <w:rsid w:val="00CF7613"/>
    <w:pPr>
      <w:pBdr>
        <w:top w:val="single" w:sz="4" w:space="1" w:color="auto"/>
        <w:left w:val="single" w:sz="4" w:space="4" w:color="auto"/>
        <w:bottom w:val="single" w:sz="4" w:space="1" w:color="auto"/>
        <w:right w:val="single" w:sz="4" w:space="4" w:color="auto"/>
      </w:pBdr>
    </w:pPr>
    <w:rPr>
      <w:bCs/>
    </w:rPr>
  </w:style>
  <w:style w:type="character" w:customStyle="1" w:styleId="StyleItalic">
    <w:name w:val="Style Italic"/>
    <w:basedOn w:val="DefaultParagraphFont"/>
    <w:rsid w:val="00CF7613"/>
    <w:rPr>
      <w:i/>
      <w:iCs/>
    </w:rPr>
  </w:style>
  <w:style w:type="character" w:customStyle="1" w:styleId="StyleSuperscript">
    <w:name w:val="Style Superscript"/>
    <w:rsid w:val="00CF7613"/>
    <w:rPr>
      <w:vertAlign w:val="superscript"/>
    </w:rPr>
  </w:style>
  <w:style w:type="paragraph" w:customStyle="1" w:styleId="StyleHeading1h1TempoHeading1Project1RFSTOC11Sectionhea">
    <w:name w:val="Style Heading 1h1Tempo Heading 1Project 1RFSTOC 11Section hea..."/>
    <w:basedOn w:val="Heading1"/>
    <w:rsid w:val="0015527F"/>
    <w:pPr>
      <w:spacing w:after="120"/>
      <w:ind w:left="0" w:firstLine="0"/>
    </w:pPr>
    <w:rPr>
      <w:rFonts w:eastAsia="Times New Roman"/>
      <w:szCs w:val="20"/>
    </w:rPr>
  </w:style>
  <w:style w:type="paragraph" w:customStyle="1" w:styleId="StyleCenteredBefore12pt">
    <w:name w:val="Style Centered Before:  12 pt"/>
    <w:basedOn w:val="Normal"/>
    <w:rsid w:val="00DB5BC2"/>
    <w:pPr>
      <w:spacing w:before="240" w:line="240" w:lineRule="atLeast"/>
      <w:jc w:val="center"/>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5527F"/>
    <w:rPr>
      <w:sz w:val="22"/>
      <w:szCs w:val="24"/>
    </w:rPr>
  </w:style>
  <w:style w:type="paragraph" w:styleId="Heading1">
    <w:name w:val="heading 1"/>
    <w:aliases w:val="h1,Tempo Heading 1,Project 1,RFS,TOC 11,Section heading,A MAJOR/BOLD,Para,Heading 1(Report Only),Para1,h11,h12,No numbers,H1,Main Heading,Arial 11,Bold,Heading X,Section Heading,ASAPHeading 1,A MAJOR/BOLD1,h11DIF,H11,11,A MAJOR/BOLD2,Para2,L1"/>
    <w:basedOn w:val="Normal"/>
    <w:next w:val="Normal"/>
    <w:link w:val="Heading1Char1"/>
    <w:qFormat/>
    <w:rsid w:val="000B6427"/>
    <w:pPr>
      <w:keepNext/>
      <w:numPr>
        <w:numId w:val="24"/>
      </w:numPr>
      <w:spacing w:after="240"/>
      <w:outlineLvl w:val="0"/>
    </w:pPr>
    <w:rPr>
      <w:rFonts w:ascii="Arial" w:eastAsia="Times" w:hAnsi="Arial"/>
      <w:kern w:val="28"/>
      <w:sz w:val="40"/>
      <w:szCs w:val="22"/>
    </w:rPr>
  </w:style>
  <w:style w:type="paragraph" w:styleId="Heading2">
    <w:name w:val="heading 2"/>
    <w:basedOn w:val="Heading1"/>
    <w:next w:val="Normal"/>
    <w:link w:val="Heading2Char"/>
    <w:qFormat/>
    <w:rsid w:val="00B61966"/>
    <w:pPr>
      <w:numPr>
        <w:ilvl w:val="1"/>
      </w:numPr>
      <w:outlineLvl w:val="1"/>
    </w:pPr>
    <w:rPr>
      <w:rFonts w:ascii="Arial Bold" w:hAnsi="Arial Bold"/>
      <w:b/>
      <w:caps/>
      <w:sz w:val="24"/>
    </w:rPr>
  </w:style>
  <w:style w:type="paragraph" w:styleId="Heading3">
    <w:name w:val="heading 3"/>
    <w:basedOn w:val="Normal"/>
    <w:next w:val="Normal"/>
    <w:link w:val="Heading3Char"/>
    <w:qFormat/>
    <w:rsid w:val="00B25451"/>
    <w:pPr>
      <w:keepNext/>
      <w:numPr>
        <w:ilvl w:val="2"/>
        <w:numId w:val="24"/>
      </w:numPr>
      <w:spacing w:after="240" w:line="260" w:lineRule="exact"/>
      <w:outlineLvl w:val="2"/>
    </w:pPr>
    <w:rPr>
      <w:rFonts w:ascii="Arial" w:eastAsia="Times" w:hAnsi="Arial"/>
      <w:b/>
      <w:spacing w:val="10"/>
      <w:sz w:val="23"/>
      <w:szCs w:val="22"/>
    </w:rPr>
  </w:style>
  <w:style w:type="paragraph" w:styleId="Heading4">
    <w:name w:val="heading 4"/>
    <w:basedOn w:val="Normal"/>
    <w:next w:val="Normal"/>
    <w:qFormat/>
    <w:rsid w:val="000B6427"/>
    <w:pPr>
      <w:keepNext/>
      <w:numPr>
        <w:ilvl w:val="3"/>
        <w:numId w:val="24"/>
      </w:numPr>
      <w:spacing w:after="240" w:line="260" w:lineRule="exact"/>
      <w:outlineLvl w:val="3"/>
    </w:pPr>
    <w:rPr>
      <w:rFonts w:eastAsia="Times"/>
      <w:b/>
      <w:i/>
      <w:spacing w:val="10"/>
      <w:sz w:val="21"/>
      <w:szCs w:val="22"/>
    </w:rPr>
  </w:style>
  <w:style w:type="paragraph" w:styleId="Heading5">
    <w:name w:val="heading 5"/>
    <w:basedOn w:val="Normal"/>
    <w:next w:val="Normal"/>
    <w:qFormat/>
    <w:rsid w:val="000B6427"/>
    <w:pPr>
      <w:numPr>
        <w:ilvl w:val="4"/>
        <w:numId w:val="21"/>
      </w:numPr>
      <w:spacing w:after="240" w:line="260" w:lineRule="exact"/>
      <w:outlineLvl w:val="4"/>
    </w:pPr>
    <w:rPr>
      <w:rFonts w:eastAsia="Times"/>
      <w:i/>
      <w:spacing w:val="10"/>
      <w:sz w:val="21"/>
      <w:szCs w:val="22"/>
    </w:rPr>
  </w:style>
  <w:style w:type="paragraph" w:styleId="Heading6">
    <w:name w:val="heading 6"/>
    <w:basedOn w:val="Normal"/>
    <w:next w:val="Normal"/>
    <w:qFormat/>
    <w:rsid w:val="00400195"/>
    <w:pPr>
      <w:spacing w:before="240" w:after="60"/>
      <w:outlineLvl w:val="5"/>
    </w:pPr>
    <w:rPr>
      <w:b/>
      <w:bCs/>
      <w:szCs w:val="22"/>
    </w:rPr>
  </w:style>
  <w:style w:type="paragraph" w:styleId="Heading7">
    <w:name w:val="heading 7"/>
    <w:basedOn w:val="Normal"/>
    <w:next w:val="Normal"/>
    <w:qFormat/>
    <w:rsid w:val="000B6427"/>
    <w:pPr>
      <w:numPr>
        <w:ilvl w:val="6"/>
        <w:numId w:val="21"/>
      </w:numPr>
      <w:spacing w:after="240" w:line="220" w:lineRule="exact"/>
      <w:outlineLvl w:val="6"/>
    </w:pPr>
    <w:rPr>
      <w:rFonts w:ascii="Arial" w:eastAsia="Times" w:hAnsi="Arial"/>
      <w:b/>
      <w:caps/>
      <w:spacing w:val="10"/>
      <w:sz w:val="16"/>
      <w:szCs w:val="22"/>
    </w:rPr>
  </w:style>
  <w:style w:type="paragraph" w:styleId="Heading8">
    <w:name w:val="heading 8"/>
    <w:basedOn w:val="Normal"/>
    <w:next w:val="Normal"/>
    <w:qFormat/>
    <w:rsid w:val="000B6427"/>
    <w:pPr>
      <w:numPr>
        <w:ilvl w:val="7"/>
        <w:numId w:val="21"/>
      </w:numPr>
      <w:spacing w:after="240"/>
      <w:outlineLvl w:val="7"/>
    </w:pPr>
    <w:rPr>
      <w:rFonts w:ascii="Helvetica" w:eastAsia="Times" w:hAnsi="Helvetica"/>
      <w:i/>
      <w:sz w:val="20"/>
      <w:szCs w:val="22"/>
    </w:rPr>
  </w:style>
  <w:style w:type="paragraph" w:styleId="Heading9">
    <w:name w:val="heading 9"/>
    <w:basedOn w:val="Normal"/>
    <w:next w:val="Normal"/>
    <w:qFormat/>
    <w:rsid w:val="000B6427"/>
    <w:pPr>
      <w:numPr>
        <w:ilvl w:val="8"/>
        <w:numId w:val="21"/>
      </w:numPr>
      <w:spacing w:after="240"/>
      <w:outlineLvl w:val="8"/>
    </w:pPr>
    <w:rPr>
      <w:rFonts w:ascii="Helvetica" w:eastAsia="Times" w:hAnsi="Helvetica"/>
      <w:b/>
      <w:i/>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B61966"/>
    <w:rPr>
      <w:rFonts w:ascii="Arial Bold" w:eastAsia="Times" w:hAnsi="Arial Bold"/>
      <w:b/>
      <w:caps/>
      <w:kern w:val="28"/>
      <w:sz w:val="24"/>
      <w:szCs w:val="22"/>
      <w:lang w:val="en-AU" w:eastAsia="en-AU" w:bidi="ar-SA"/>
    </w:rPr>
  </w:style>
  <w:style w:type="character" w:customStyle="1" w:styleId="Heading3Char">
    <w:name w:val="Heading 3 Char"/>
    <w:link w:val="Heading3"/>
    <w:rsid w:val="00B25451"/>
    <w:rPr>
      <w:rFonts w:ascii="Arial" w:eastAsia="Times" w:hAnsi="Arial"/>
      <w:b/>
      <w:spacing w:val="10"/>
      <w:sz w:val="23"/>
      <w:szCs w:val="22"/>
      <w:lang w:val="en-AU" w:eastAsia="en-AU" w:bidi="ar-SA"/>
    </w:rPr>
  </w:style>
  <w:style w:type="paragraph" w:styleId="Footer">
    <w:name w:val="footer"/>
    <w:basedOn w:val="Normal"/>
    <w:rsid w:val="00DE4523"/>
    <w:pPr>
      <w:tabs>
        <w:tab w:val="center" w:pos="4320"/>
        <w:tab w:val="right" w:pos="8640"/>
      </w:tabs>
    </w:pPr>
    <w:rPr>
      <w:sz w:val="20"/>
    </w:rPr>
  </w:style>
  <w:style w:type="character" w:styleId="PageNumber">
    <w:name w:val="page number"/>
    <w:basedOn w:val="DefaultParagraphFont"/>
    <w:rsid w:val="000B6427"/>
  </w:style>
  <w:style w:type="character" w:customStyle="1" w:styleId="StyleArial14ptAqua">
    <w:name w:val="Style Arial 14 pt Aqua"/>
    <w:rsid w:val="00B770B6"/>
    <w:rPr>
      <w:rFonts w:ascii="Arial" w:hAnsi="Arial"/>
      <w:caps/>
      <w:color w:val="33CCCC"/>
      <w:sz w:val="28"/>
    </w:rPr>
  </w:style>
  <w:style w:type="character" w:customStyle="1" w:styleId="StyleArial">
    <w:name w:val="Style Arial"/>
    <w:rsid w:val="00B770B6"/>
    <w:rPr>
      <w:rFonts w:ascii="Arial" w:hAnsi="Arial"/>
      <w:caps/>
      <w:sz w:val="22"/>
    </w:rPr>
  </w:style>
  <w:style w:type="character" w:customStyle="1" w:styleId="StyleArial95pt">
    <w:name w:val="Style Arial 9.5 pt"/>
    <w:rsid w:val="00B770B6"/>
    <w:rPr>
      <w:rFonts w:ascii="Arial" w:hAnsi="Arial"/>
      <w:caps/>
      <w:sz w:val="19"/>
    </w:rPr>
  </w:style>
  <w:style w:type="character" w:customStyle="1" w:styleId="StyleArial18pt">
    <w:name w:val="Style Arial 18 pt"/>
    <w:rsid w:val="00581AAA"/>
    <w:rPr>
      <w:rFonts w:ascii="Arial" w:hAnsi="Arial"/>
      <w:caps/>
      <w:sz w:val="36"/>
    </w:rPr>
  </w:style>
  <w:style w:type="paragraph" w:styleId="Header">
    <w:name w:val="header"/>
    <w:basedOn w:val="Normal"/>
    <w:rsid w:val="00DE4523"/>
    <w:pPr>
      <w:tabs>
        <w:tab w:val="center" w:pos="4153"/>
        <w:tab w:val="right" w:pos="8306"/>
      </w:tabs>
    </w:pPr>
    <w:rPr>
      <w:sz w:val="20"/>
    </w:rPr>
  </w:style>
  <w:style w:type="paragraph" w:customStyle="1" w:styleId="CharChar2Char">
    <w:name w:val="Char Char2 Char"/>
    <w:basedOn w:val="Normal"/>
    <w:rsid w:val="00400195"/>
    <w:pPr>
      <w:spacing w:before="200" w:after="160" w:line="240" w:lineRule="exact"/>
    </w:pPr>
    <w:rPr>
      <w:rFonts w:ascii="Verdana" w:hAnsi="Verdana"/>
      <w:sz w:val="20"/>
      <w:szCs w:val="20"/>
      <w:lang w:val="en-US" w:eastAsia="en-US"/>
    </w:rPr>
  </w:style>
  <w:style w:type="paragraph" w:customStyle="1" w:styleId="heading11">
    <w:name w:val="heading1.1"/>
    <w:basedOn w:val="Normal"/>
    <w:rsid w:val="00400195"/>
    <w:pPr>
      <w:pageBreakBefore/>
      <w:autoSpaceDE w:val="0"/>
      <w:autoSpaceDN w:val="0"/>
      <w:adjustRightInd w:val="0"/>
      <w:spacing w:after="240"/>
      <w:outlineLvl w:val="0"/>
    </w:pPr>
    <w:rPr>
      <w:rFonts w:ascii="Arial" w:hAnsi="Arial"/>
      <w:sz w:val="40"/>
    </w:rPr>
  </w:style>
  <w:style w:type="character" w:styleId="Hyperlink">
    <w:name w:val="Hyperlink"/>
    <w:uiPriority w:val="99"/>
    <w:rsid w:val="00CF7613"/>
    <w:rPr>
      <w:color w:val="0000FF"/>
      <w:u w:val="none"/>
    </w:rPr>
  </w:style>
  <w:style w:type="paragraph" w:styleId="TOC1">
    <w:name w:val="toc 1"/>
    <w:basedOn w:val="Normal"/>
    <w:next w:val="Normal"/>
    <w:autoRedefine/>
    <w:uiPriority w:val="39"/>
    <w:rsid w:val="00851E1E"/>
    <w:pPr>
      <w:tabs>
        <w:tab w:val="left" w:pos="567"/>
        <w:tab w:val="right" w:leader="dot" w:pos="9540"/>
      </w:tabs>
      <w:spacing w:before="120"/>
      <w:ind w:left="567" w:right="454" w:hanging="567"/>
    </w:pPr>
    <w:rPr>
      <w:rFonts w:eastAsia="Times"/>
      <w:szCs w:val="22"/>
    </w:rPr>
  </w:style>
  <w:style w:type="paragraph" w:styleId="TOC2">
    <w:name w:val="toc 2"/>
    <w:basedOn w:val="Normal"/>
    <w:next w:val="Normal"/>
    <w:autoRedefine/>
    <w:uiPriority w:val="39"/>
    <w:rsid w:val="00871D5B"/>
    <w:pPr>
      <w:tabs>
        <w:tab w:val="left" w:pos="1134"/>
        <w:tab w:val="right" w:leader="dot" w:pos="9540"/>
      </w:tabs>
      <w:spacing w:before="40"/>
      <w:ind w:left="1134" w:right="454" w:hanging="567"/>
    </w:pPr>
    <w:rPr>
      <w:rFonts w:eastAsia="Times"/>
      <w:szCs w:val="22"/>
    </w:rPr>
  </w:style>
  <w:style w:type="paragraph" w:styleId="FootnoteText">
    <w:name w:val="footnote text"/>
    <w:basedOn w:val="Normal"/>
    <w:semiHidden/>
    <w:rsid w:val="00400195"/>
    <w:pPr>
      <w:spacing w:after="240"/>
    </w:pPr>
    <w:rPr>
      <w:rFonts w:eastAsia="Times"/>
      <w:sz w:val="20"/>
      <w:szCs w:val="20"/>
    </w:rPr>
  </w:style>
  <w:style w:type="character" w:styleId="FootnoteReference">
    <w:name w:val="footnote reference"/>
    <w:semiHidden/>
    <w:rsid w:val="00400195"/>
    <w:rPr>
      <w:vertAlign w:val="superscript"/>
    </w:rPr>
  </w:style>
  <w:style w:type="paragraph" w:customStyle="1" w:styleId="Heading40">
    <w:name w:val="Heading4"/>
    <w:basedOn w:val="Heading3"/>
    <w:rsid w:val="00400195"/>
    <w:pPr>
      <w:numPr>
        <w:ilvl w:val="0"/>
        <w:numId w:val="0"/>
      </w:numPr>
      <w:tabs>
        <w:tab w:val="num" w:pos="720"/>
      </w:tabs>
      <w:ind w:left="720" w:hanging="720"/>
    </w:pPr>
    <w:rPr>
      <w:i/>
      <w:szCs w:val="20"/>
    </w:rPr>
  </w:style>
  <w:style w:type="paragraph" w:customStyle="1" w:styleId="StyleHeading211pt">
    <w:name w:val="Style Heading 2 + 11 pt"/>
    <w:basedOn w:val="Heading2"/>
    <w:rsid w:val="00400195"/>
    <w:pPr>
      <w:numPr>
        <w:ilvl w:val="0"/>
        <w:numId w:val="0"/>
      </w:numPr>
      <w:tabs>
        <w:tab w:val="num" w:pos="720"/>
      </w:tabs>
      <w:ind w:left="720" w:hanging="360"/>
    </w:pPr>
    <w:rPr>
      <w:bCs/>
    </w:rPr>
  </w:style>
  <w:style w:type="paragraph" w:customStyle="1" w:styleId="head1">
    <w:name w:val="head1"/>
    <w:basedOn w:val="Normal"/>
    <w:rsid w:val="00400195"/>
    <w:pPr>
      <w:spacing w:after="240"/>
    </w:pPr>
    <w:rPr>
      <w:rFonts w:ascii="Arial" w:hAnsi="Arial"/>
      <w:sz w:val="40"/>
      <w:szCs w:val="40"/>
    </w:rPr>
  </w:style>
  <w:style w:type="paragraph" w:customStyle="1" w:styleId="head3">
    <w:name w:val="head 3"/>
    <w:basedOn w:val="Normal"/>
    <w:rsid w:val="00400195"/>
    <w:pPr>
      <w:keepNext/>
      <w:tabs>
        <w:tab w:val="num" w:pos="1440"/>
      </w:tabs>
      <w:spacing w:after="240"/>
      <w:ind w:left="1440" w:hanging="360"/>
      <w:outlineLvl w:val="1"/>
    </w:pPr>
    <w:rPr>
      <w:rFonts w:ascii="Arial Bold" w:eastAsia="Times" w:hAnsi="Arial Bold"/>
      <w:b/>
      <w:kern w:val="28"/>
      <w:szCs w:val="22"/>
    </w:rPr>
  </w:style>
  <w:style w:type="paragraph" w:customStyle="1" w:styleId="Head2">
    <w:name w:val="Head2"/>
    <w:basedOn w:val="Normal"/>
    <w:rsid w:val="00400195"/>
    <w:pPr>
      <w:spacing w:after="240"/>
    </w:pPr>
    <w:rPr>
      <w:rFonts w:ascii="Arial Bold" w:hAnsi="Arial Bold"/>
      <w:b/>
      <w:caps/>
      <w:szCs w:val="22"/>
    </w:rPr>
  </w:style>
  <w:style w:type="paragraph" w:customStyle="1" w:styleId="Head30">
    <w:name w:val="Head3"/>
    <w:basedOn w:val="Normal"/>
    <w:rsid w:val="00400195"/>
    <w:pPr>
      <w:spacing w:after="240"/>
    </w:pPr>
    <w:rPr>
      <w:rFonts w:ascii="Arial Bold" w:hAnsi="Arial Bold"/>
      <w:b/>
      <w:szCs w:val="22"/>
    </w:rPr>
  </w:style>
  <w:style w:type="table" w:styleId="TableGrid">
    <w:name w:val="Table Grid"/>
    <w:basedOn w:val="TableNormal"/>
    <w:rsid w:val="004001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F53D17"/>
    <w:pPr>
      <w:tabs>
        <w:tab w:val="left" w:pos="1985"/>
        <w:tab w:val="right" w:leader="dot" w:pos="9540"/>
      </w:tabs>
      <w:ind w:left="1980" w:right="454" w:hanging="846"/>
    </w:pPr>
  </w:style>
  <w:style w:type="paragraph" w:customStyle="1" w:styleId="Refs">
    <w:name w:val="Refs"/>
    <w:basedOn w:val="Normal"/>
    <w:rsid w:val="00400195"/>
    <w:pPr>
      <w:keepLines/>
      <w:adjustRightInd w:val="0"/>
      <w:spacing w:after="240"/>
      <w:ind w:left="567" w:hanging="567"/>
    </w:pPr>
  </w:style>
  <w:style w:type="paragraph" w:customStyle="1" w:styleId="CentreHeading">
    <w:name w:val="Centre Heading"/>
    <w:basedOn w:val="Normal"/>
    <w:next w:val="Normal"/>
    <w:rsid w:val="00400195"/>
    <w:pPr>
      <w:autoSpaceDE w:val="0"/>
      <w:autoSpaceDN w:val="0"/>
      <w:adjustRightInd w:val="0"/>
    </w:pPr>
    <w:rPr>
      <w:sz w:val="24"/>
    </w:rPr>
  </w:style>
  <w:style w:type="paragraph" w:customStyle="1" w:styleId="BodyText1">
    <w:name w:val="Body Text1"/>
    <w:basedOn w:val="Normal"/>
    <w:semiHidden/>
    <w:rsid w:val="00400195"/>
    <w:pPr>
      <w:spacing w:after="240" w:line="280" w:lineRule="exact"/>
    </w:pPr>
    <w:rPr>
      <w:kern w:val="28"/>
      <w:szCs w:val="22"/>
    </w:rPr>
  </w:style>
  <w:style w:type="paragraph" w:styleId="Caption">
    <w:name w:val="caption"/>
    <w:aliases w:val="Caption arial,Char"/>
    <w:basedOn w:val="Normal"/>
    <w:next w:val="BodyText1"/>
    <w:link w:val="CaptionChar2"/>
    <w:qFormat/>
    <w:rsid w:val="005706E3"/>
    <w:pPr>
      <w:spacing w:before="120" w:after="240"/>
    </w:pPr>
    <w:rPr>
      <w:bCs/>
      <w:i/>
      <w:sz w:val="20"/>
      <w:szCs w:val="18"/>
    </w:rPr>
  </w:style>
  <w:style w:type="character" w:customStyle="1" w:styleId="CaptionChar2">
    <w:name w:val="Caption Char2"/>
    <w:aliases w:val="Caption arial Char,Char Char"/>
    <w:link w:val="Caption"/>
    <w:rsid w:val="005706E3"/>
    <w:rPr>
      <w:bCs/>
      <w:i/>
      <w:szCs w:val="18"/>
      <w:lang w:val="en-AU" w:eastAsia="en-AU" w:bidi="ar-SA"/>
    </w:rPr>
  </w:style>
  <w:style w:type="paragraph" w:styleId="BodyText">
    <w:name w:val="Body Text"/>
    <w:aliases w:val="Char2, Char2"/>
    <w:basedOn w:val="Normal"/>
    <w:link w:val="BodyTextChar"/>
    <w:rsid w:val="00400195"/>
    <w:pPr>
      <w:spacing w:after="240" w:line="280" w:lineRule="atLeast"/>
    </w:pPr>
    <w:rPr>
      <w:rFonts w:cs="Arial"/>
      <w:szCs w:val="28"/>
    </w:rPr>
  </w:style>
  <w:style w:type="character" w:customStyle="1" w:styleId="BodyTextChar">
    <w:name w:val="Body Text Char"/>
    <w:aliases w:val="Char2 Char1, Char2 Char"/>
    <w:link w:val="BodyText"/>
    <w:rsid w:val="00400195"/>
    <w:rPr>
      <w:rFonts w:cs="Arial"/>
      <w:sz w:val="22"/>
      <w:szCs w:val="28"/>
      <w:lang w:val="en-AU" w:eastAsia="en-AU" w:bidi="ar-SA"/>
    </w:rPr>
  </w:style>
  <w:style w:type="paragraph" w:customStyle="1" w:styleId="CoverTitle2">
    <w:name w:val="CoverTitle2"/>
    <w:basedOn w:val="Normal"/>
    <w:next w:val="Normal"/>
    <w:link w:val="CoverTitle2Char1"/>
    <w:rsid w:val="00400195"/>
    <w:pPr>
      <w:spacing w:line="280" w:lineRule="exact"/>
    </w:pPr>
    <w:rPr>
      <w:rFonts w:ascii="Arial" w:hAnsi="Arial"/>
      <w:color w:val="000000"/>
    </w:rPr>
  </w:style>
  <w:style w:type="character" w:customStyle="1" w:styleId="CoverTitle2Char1">
    <w:name w:val="CoverTitle2 Char1"/>
    <w:link w:val="CoverTitle2"/>
    <w:rsid w:val="00400195"/>
    <w:rPr>
      <w:rFonts w:ascii="Arial" w:hAnsi="Arial"/>
      <w:color w:val="000000"/>
      <w:sz w:val="22"/>
      <w:szCs w:val="24"/>
      <w:lang w:val="en-AU" w:eastAsia="en-AU" w:bidi="ar-SA"/>
    </w:rPr>
  </w:style>
  <w:style w:type="paragraph" w:customStyle="1" w:styleId="StyleCaption">
    <w:name w:val="Style Caption"/>
    <w:basedOn w:val="Caption"/>
    <w:next w:val="Normal"/>
    <w:link w:val="StyleCaptionCharChar"/>
    <w:rsid w:val="00400195"/>
    <w:pPr>
      <w:spacing w:before="0" w:after="0"/>
      <w:jc w:val="center"/>
    </w:pPr>
    <w:rPr>
      <w:b/>
      <w:szCs w:val="20"/>
    </w:rPr>
  </w:style>
  <w:style w:type="character" w:customStyle="1" w:styleId="StyleCaptionCharChar">
    <w:name w:val="Style Caption Char Char"/>
    <w:link w:val="StyleCaption"/>
    <w:rsid w:val="003C69C6"/>
    <w:rPr>
      <w:rFonts w:ascii="Arial" w:hAnsi="Arial"/>
      <w:b/>
      <w:bCs/>
      <w:i/>
      <w:sz w:val="22"/>
      <w:lang w:val="en-AU" w:eastAsia="en-AU" w:bidi="ar-SA"/>
    </w:rPr>
  </w:style>
  <w:style w:type="character" w:customStyle="1" w:styleId="Char2Char">
    <w:name w:val="Char2 Char"/>
    <w:aliases w:val=" Char2 Char Char"/>
    <w:rsid w:val="003C69C6"/>
    <w:rPr>
      <w:rFonts w:ascii="Arial" w:hAnsi="Arial"/>
      <w:sz w:val="22"/>
      <w:lang w:val="en-AU" w:eastAsia="en-AU" w:bidi="ar-SA"/>
    </w:rPr>
  </w:style>
  <w:style w:type="paragraph" w:customStyle="1" w:styleId="FigureTableCaption">
    <w:name w:val="Figure/Table Caption"/>
    <w:basedOn w:val="Normal"/>
    <w:link w:val="FigureTableCaptionChar"/>
    <w:rsid w:val="00400195"/>
    <w:pPr>
      <w:adjustRightInd w:val="0"/>
      <w:spacing w:after="180"/>
      <w:textAlignment w:val="baseline"/>
    </w:pPr>
    <w:rPr>
      <w:i/>
      <w:lang w:eastAsia="en-US"/>
    </w:rPr>
  </w:style>
  <w:style w:type="character" w:customStyle="1" w:styleId="FigureTableCaptionChar">
    <w:name w:val="Figure/Table Caption Char"/>
    <w:link w:val="FigureTableCaption"/>
    <w:rsid w:val="00400195"/>
    <w:rPr>
      <w:i/>
      <w:sz w:val="22"/>
      <w:szCs w:val="24"/>
      <w:lang w:val="en-AU" w:eastAsia="en-US" w:bidi="ar-SA"/>
    </w:rPr>
  </w:style>
  <w:style w:type="paragraph" w:styleId="NormalWeb">
    <w:name w:val="Normal (Web)"/>
    <w:basedOn w:val="Normal"/>
    <w:rsid w:val="00400195"/>
    <w:pPr>
      <w:spacing w:before="100" w:beforeAutospacing="1" w:after="100" w:afterAutospacing="1"/>
    </w:pPr>
    <w:rPr>
      <w:sz w:val="24"/>
      <w:lang w:val="en-US" w:eastAsia="en-US"/>
    </w:rPr>
  </w:style>
  <w:style w:type="paragraph" w:styleId="PlainText">
    <w:name w:val="Plain Text"/>
    <w:basedOn w:val="Normal"/>
    <w:link w:val="PlainTextChar1"/>
    <w:rsid w:val="00400195"/>
    <w:rPr>
      <w:rFonts w:ascii="Courier New" w:hAnsi="Courier New" w:cs="Courier New"/>
      <w:sz w:val="20"/>
      <w:szCs w:val="20"/>
    </w:rPr>
  </w:style>
  <w:style w:type="paragraph" w:customStyle="1" w:styleId="SAGEEPreference">
    <w:name w:val="SAGEEP reference"/>
    <w:basedOn w:val="Normal"/>
    <w:link w:val="SAGEEPreferenceChar"/>
    <w:rsid w:val="00400195"/>
    <w:pPr>
      <w:ind w:left="720" w:hanging="720"/>
    </w:pPr>
    <w:rPr>
      <w:sz w:val="24"/>
      <w:lang w:val="en-US" w:eastAsia="en-US"/>
    </w:rPr>
  </w:style>
  <w:style w:type="character" w:customStyle="1" w:styleId="SAGEEPreferenceChar">
    <w:name w:val="SAGEEP reference Char"/>
    <w:link w:val="SAGEEPreference"/>
    <w:rsid w:val="00400195"/>
    <w:rPr>
      <w:sz w:val="24"/>
      <w:szCs w:val="24"/>
      <w:lang w:val="en-US" w:eastAsia="en-US" w:bidi="ar-SA"/>
    </w:rPr>
  </w:style>
  <w:style w:type="character" w:styleId="Emphasis">
    <w:name w:val="Emphasis"/>
    <w:qFormat/>
    <w:rsid w:val="00400195"/>
    <w:rPr>
      <w:i/>
      <w:iCs/>
    </w:rPr>
  </w:style>
  <w:style w:type="paragraph" w:customStyle="1" w:styleId="ReportHeading3">
    <w:name w:val="Report Heading 3"/>
    <w:basedOn w:val="Normal"/>
    <w:rsid w:val="00400195"/>
    <w:pPr>
      <w:spacing w:line="360" w:lineRule="auto"/>
      <w:jc w:val="both"/>
    </w:pPr>
    <w:rPr>
      <w:b/>
      <w:sz w:val="28"/>
      <w:szCs w:val="32"/>
    </w:rPr>
  </w:style>
  <w:style w:type="paragraph" w:customStyle="1" w:styleId="Captions">
    <w:name w:val="Captions"/>
    <w:basedOn w:val="Normal"/>
    <w:link w:val="CaptionsChar"/>
    <w:rsid w:val="00400195"/>
    <w:pPr>
      <w:spacing w:after="240" w:line="260" w:lineRule="exact"/>
      <w:ind w:right="709"/>
    </w:pPr>
    <w:rPr>
      <w:i/>
      <w:sz w:val="20"/>
      <w:szCs w:val="22"/>
    </w:rPr>
  </w:style>
  <w:style w:type="paragraph" w:styleId="BalloonText">
    <w:name w:val="Balloon Text"/>
    <w:basedOn w:val="Normal"/>
    <w:semiHidden/>
    <w:rsid w:val="00400195"/>
    <w:rPr>
      <w:rFonts w:ascii="Tahoma" w:hAnsi="Tahoma" w:cs="Tahoma"/>
      <w:sz w:val="16"/>
      <w:szCs w:val="16"/>
    </w:rPr>
  </w:style>
  <w:style w:type="paragraph" w:styleId="DocumentMap">
    <w:name w:val="Document Map"/>
    <w:basedOn w:val="Normal"/>
    <w:semiHidden/>
    <w:rsid w:val="00400195"/>
    <w:pPr>
      <w:shd w:val="clear" w:color="auto" w:fill="000080"/>
    </w:pPr>
    <w:rPr>
      <w:rFonts w:ascii="Tahoma" w:hAnsi="Tahoma" w:cs="Tahoma"/>
      <w:sz w:val="24"/>
    </w:rPr>
  </w:style>
  <w:style w:type="character" w:styleId="CommentReference">
    <w:name w:val="annotation reference"/>
    <w:semiHidden/>
    <w:rsid w:val="00400195"/>
    <w:rPr>
      <w:sz w:val="16"/>
      <w:szCs w:val="16"/>
    </w:rPr>
  </w:style>
  <w:style w:type="paragraph" w:styleId="CommentText">
    <w:name w:val="annotation text"/>
    <w:basedOn w:val="Normal"/>
    <w:semiHidden/>
    <w:rsid w:val="00400195"/>
    <w:rPr>
      <w:sz w:val="20"/>
      <w:szCs w:val="20"/>
    </w:rPr>
  </w:style>
  <w:style w:type="paragraph" w:styleId="CommentSubject">
    <w:name w:val="annotation subject"/>
    <w:basedOn w:val="CommentText"/>
    <w:next w:val="CommentText"/>
    <w:semiHidden/>
    <w:rsid w:val="00400195"/>
    <w:rPr>
      <w:b/>
      <w:bCs/>
    </w:rPr>
  </w:style>
  <w:style w:type="paragraph" w:styleId="TOC4">
    <w:name w:val="toc 4"/>
    <w:basedOn w:val="Normal"/>
    <w:next w:val="Normal"/>
    <w:autoRedefine/>
    <w:uiPriority w:val="39"/>
    <w:rsid w:val="00867A20"/>
    <w:pPr>
      <w:tabs>
        <w:tab w:val="right" w:leader="dot" w:pos="9554"/>
      </w:tabs>
      <w:ind w:left="1080" w:right="454" w:hanging="1080"/>
    </w:pPr>
    <w:rPr>
      <w:bCs/>
      <w:noProof/>
      <w:lang w:val="en-US" w:eastAsia="en-US"/>
    </w:rPr>
  </w:style>
  <w:style w:type="paragraph" w:styleId="TOC5">
    <w:name w:val="toc 5"/>
    <w:basedOn w:val="Normal"/>
    <w:next w:val="Normal"/>
    <w:autoRedefine/>
    <w:uiPriority w:val="39"/>
    <w:rsid w:val="00400195"/>
    <w:pPr>
      <w:ind w:left="960"/>
    </w:pPr>
    <w:rPr>
      <w:sz w:val="24"/>
      <w:lang w:val="en-US" w:eastAsia="en-US"/>
    </w:rPr>
  </w:style>
  <w:style w:type="paragraph" w:styleId="TOC6">
    <w:name w:val="toc 6"/>
    <w:basedOn w:val="Normal"/>
    <w:next w:val="Normal"/>
    <w:autoRedefine/>
    <w:uiPriority w:val="39"/>
    <w:rsid w:val="00400195"/>
    <w:pPr>
      <w:ind w:left="1200"/>
    </w:pPr>
    <w:rPr>
      <w:sz w:val="24"/>
      <w:lang w:val="en-US" w:eastAsia="en-US"/>
    </w:rPr>
  </w:style>
  <w:style w:type="paragraph" w:styleId="TOC7">
    <w:name w:val="toc 7"/>
    <w:basedOn w:val="Normal"/>
    <w:next w:val="Normal"/>
    <w:autoRedefine/>
    <w:uiPriority w:val="39"/>
    <w:rsid w:val="00400195"/>
    <w:pPr>
      <w:ind w:left="1440"/>
    </w:pPr>
    <w:rPr>
      <w:sz w:val="24"/>
      <w:lang w:val="en-US" w:eastAsia="en-US"/>
    </w:rPr>
  </w:style>
  <w:style w:type="paragraph" w:styleId="TOC8">
    <w:name w:val="toc 8"/>
    <w:basedOn w:val="Normal"/>
    <w:next w:val="Normal"/>
    <w:autoRedefine/>
    <w:uiPriority w:val="39"/>
    <w:rsid w:val="00400195"/>
    <w:pPr>
      <w:ind w:left="1680"/>
    </w:pPr>
    <w:rPr>
      <w:sz w:val="24"/>
      <w:lang w:val="en-US" w:eastAsia="en-US"/>
    </w:rPr>
  </w:style>
  <w:style w:type="paragraph" w:styleId="TOC9">
    <w:name w:val="toc 9"/>
    <w:basedOn w:val="Normal"/>
    <w:next w:val="Normal"/>
    <w:autoRedefine/>
    <w:uiPriority w:val="39"/>
    <w:rsid w:val="00400195"/>
    <w:pPr>
      <w:ind w:left="1920"/>
    </w:pPr>
    <w:rPr>
      <w:sz w:val="24"/>
      <w:lang w:val="en-US" w:eastAsia="en-US"/>
    </w:rPr>
  </w:style>
  <w:style w:type="paragraph" w:styleId="TableofFigures">
    <w:name w:val="table of figures"/>
    <w:basedOn w:val="Normal"/>
    <w:next w:val="Normal"/>
    <w:semiHidden/>
    <w:rsid w:val="00400195"/>
    <w:pPr>
      <w:ind w:left="480" w:hanging="480"/>
    </w:pPr>
    <w:rPr>
      <w:sz w:val="24"/>
    </w:rPr>
  </w:style>
  <w:style w:type="character" w:styleId="FollowedHyperlink">
    <w:name w:val="FollowedHyperlink"/>
    <w:rsid w:val="00400195"/>
    <w:rPr>
      <w:color w:val="606420"/>
      <w:u w:val="single"/>
    </w:rPr>
  </w:style>
  <w:style w:type="paragraph" w:styleId="BlockText">
    <w:name w:val="Block Text"/>
    <w:basedOn w:val="Normal"/>
    <w:rsid w:val="00400195"/>
    <w:pPr>
      <w:spacing w:after="120"/>
      <w:ind w:left="1440" w:right="1440"/>
    </w:pPr>
    <w:rPr>
      <w:sz w:val="24"/>
    </w:rPr>
  </w:style>
  <w:style w:type="paragraph" w:styleId="BodyText2">
    <w:name w:val="Body Text 2"/>
    <w:basedOn w:val="Normal"/>
    <w:rsid w:val="00400195"/>
    <w:pPr>
      <w:spacing w:after="120" w:line="480" w:lineRule="auto"/>
    </w:pPr>
    <w:rPr>
      <w:sz w:val="24"/>
    </w:rPr>
  </w:style>
  <w:style w:type="paragraph" w:styleId="BodyText3">
    <w:name w:val="Body Text 3"/>
    <w:basedOn w:val="Normal"/>
    <w:rsid w:val="00400195"/>
    <w:pPr>
      <w:spacing w:after="120"/>
    </w:pPr>
    <w:rPr>
      <w:sz w:val="16"/>
      <w:szCs w:val="16"/>
    </w:rPr>
  </w:style>
  <w:style w:type="paragraph" w:styleId="BodyTextFirstIndent">
    <w:name w:val="Body Text First Indent"/>
    <w:basedOn w:val="BodyText"/>
    <w:rsid w:val="00400195"/>
    <w:pPr>
      <w:spacing w:after="120" w:line="240" w:lineRule="auto"/>
      <w:ind w:firstLine="210"/>
    </w:pPr>
    <w:rPr>
      <w:rFonts w:cs="Times New Roman"/>
      <w:sz w:val="24"/>
      <w:szCs w:val="24"/>
    </w:rPr>
  </w:style>
  <w:style w:type="paragraph" w:styleId="BodyTextIndent">
    <w:name w:val="Body Text Indent"/>
    <w:basedOn w:val="Normal"/>
    <w:rsid w:val="00400195"/>
    <w:pPr>
      <w:spacing w:after="120"/>
      <w:ind w:left="283"/>
    </w:pPr>
    <w:rPr>
      <w:sz w:val="24"/>
    </w:rPr>
  </w:style>
  <w:style w:type="paragraph" w:styleId="BodyTextFirstIndent2">
    <w:name w:val="Body Text First Indent 2"/>
    <w:basedOn w:val="BodyTextIndent"/>
    <w:rsid w:val="00400195"/>
    <w:pPr>
      <w:ind w:firstLine="210"/>
    </w:pPr>
  </w:style>
  <w:style w:type="paragraph" w:styleId="BodyTextIndent2">
    <w:name w:val="Body Text Indent 2"/>
    <w:basedOn w:val="Normal"/>
    <w:rsid w:val="00400195"/>
    <w:pPr>
      <w:spacing w:after="120" w:line="480" w:lineRule="auto"/>
      <w:ind w:left="283"/>
    </w:pPr>
    <w:rPr>
      <w:sz w:val="24"/>
    </w:rPr>
  </w:style>
  <w:style w:type="paragraph" w:styleId="BodyTextIndent3">
    <w:name w:val="Body Text Indent 3"/>
    <w:basedOn w:val="Normal"/>
    <w:rsid w:val="00400195"/>
    <w:pPr>
      <w:spacing w:after="120"/>
      <w:ind w:left="283"/>
    </w:pPr>
    <w:rPr>
      <w:sz w:val="16"/>
      <w:szCs w:val="16"/>
    </w:rPr>
  </w:style>
  <w:style w:type="paragraph" w:styleId="Closing">
    <w:name w:val="Closing"/>
    <w:basedOn w:val="Normal"/>
    <w:rsid w:val="00400195"/>
    <w:pPr>
      <w:ind w:left="4252"/>
    </w:pPr>
    <w:rPr>
      <w:sz w:val="24"/>
    </w:rPr>
  </w:style>
  <w:style w:type="paragraph" w:styleId="Date">
    <w:name w:val="Date"/>
    <w:basedOn w:val="Normal"/>
    <w:next w:val="Normal"/>
    <w:rsid w:val="00400195"/>
    <w:rPr>
      <w:sz w:val="24"/>
    </w:rPr>
  </w:style>
  <w:style w:type="paragraph" w:styleId="E-mailSignature">
    <w:name w:val="E-mail Signature"/>
    <w:basedOn w:val="Normal"/>
    <w:rsid w:val="00400195"/>
    <w:rPr>
      <w:sz w:val="24"/>
    </w:rPr>
  </w:style>
  <w:style w:type="paragraph" w:styleId="EndnoteText">
    <w:name w:val="endnote text"/>
    <w:basedOn w:val="Normal"/>
    <w:semiHidden/>
    <w:rsid w:val="00400195"/>
    <w:rPr>
      <w:sz w:val="20"/>
      <w:szCs w:val="20"/>
    </w:rPr>
  </w:style>
  <w:style w:type="paragraph" w:styleId="EnvelopeAddress">
    <w:name w:val="envelope address"/>
    <w:basedOn w:val="Normal"/>
    <w:rsid w:val="00400195"/>
    <w:pPr>
      <w:framePr w:w="7920" w:h="1980" w:hRule="exact" w:hSpace="180" w:wrap="auto" w:hAnchor="page" w:xAlign="center" w:yAlign="bottom"/>
      <w:ind w:left="2880"/>
    </w:pPr>
    <w:rPr>
      <w:rFonts w:ascii="Arial" w:hAnsi="Arial" w:cs="Arial"/>
      <w:sz w:val="24"/>
    </w:rPr>
  </w:style>
  <w:style w:type="paragraph" w:styleId="EnvelopeReturn">
    <w:name w:val="envelope return"/>
    <w:basedOn w:val="Normal"/>
    <w:rsid w:val="00400195"/>
    <w:rPr>
      <w:rFonts w:ascii="Arial" w:hAnsi="Arial" w:cs="Arial"/>
      <w:sz w:val="20"/>
      <w:szCs w:val="20"/>
    </w:rPr>
  </w:style>
  <w:style w:type="paragraph" w:styleId="HTMLAddress">
    <w:name w:val="HTML Address"/>
    <w:basedOn w:val="Normal"/>
    <w:rsid w:val="00400195"/>
    <w:rPr>
      <w:i/>
      <w:iCs/>
      <w:sz w:val="24"/>
    </w:rPr>
  </w:style>
  <w:style w:type="paragraph" w:styleId="HTMLPreformatted">
    <w:name w:val="HTML Preformatted"/>
    <w:basedOn w:val="Normal"/>
    <w:rsid w:val="00400195"/>
    <w:rPr>
      <w:rFonts w:ascii="Courier New" w:hAnsi="Courier New" w:cs="Courier New"/>
      <w:sz w:val="20"/>
      <w:szCs w:val="20"/>
    </w:rPr>
  </w:style>
  <w:style w:type="paragraph" w:styleId="Index1">
    <w:name w:val="index 1"/>
    <w:basedOn w:val="Normal"/>
    <w:next w:val="Normal"/>
    <w:autoRedefine/>
    <w:semiHidden/>
    <w:rsid w:val="00400195"/>
    <w:pPr>
      <w:ind w:left="240" w:hanging="240"/>
    </w:pPr>
    <w:rPr>
      <w:sz w:val="24"/>
    </w:rPr>
  </w:style>
  <w:style w:type="paragraph" w:styleId="Index2">
    <w:name w:val="index 2"/>
    <w:basedOn w:val="Normal"/>
    <w:next w:val="Normal"/>
    <w:autoRedefine/>
    <w:semiHidden/>
    <w:rsid w:val="00400195"/>
    <w:pPr>
      <w:ind w:left="480" w:hanging="240"/>
    </w:pPr>
    <w:rPr>
      <w:sz w:val="24"/>
    </w:rPr>
  </w:style>
  <w:style w:type="paragraph" w:styleId="Index3">
    <w:name w:val="index 3"/>
    <w:basedOn w:val="Normal"/>
    <w:next w:val="Normal"/>
    <w:autoRedefine/>
    <w:semiHidden/>
    <w:rsid w:val="00400195"/>
    <w:pPr>
      <w:ind w:left="720" w:hanging="240"/>
    </w:pPr>
    <w:rPr>
      <w:sz w:val="24"/>
    </w:rPr>
  </w:style>
  <w:style w:type="paragraph" w:styleId="Index4">
    <w:name w:val="index 4"/>
    <w:basedOn w:val="Normal"/>
    <w:next w:val="Normal"/>
    <w:autoRedefine/>
    <w:semiHidden/>
    <w:rsid w:val="00400195"/>
    <w:pPr>
      <w:ind w:left="960" w:hanging="240"/>
    </w:pPr>
    <w:rPr>
      <w:sz w:val="24"/>
    </w:rPr>
  </w:style>
  <w:style w:type="paragraph" w:styleId="Index5">
    <w:name w:val="index 5"/>
    <w:basedOn w:val="Normal"/>
    <w:next w:val="Normal"/>
    <w:autoRedefine/>
    <w:semiHidden/>
    <w:rsid w:val="00400195"/>
    <w:pPr>
      <w:ind w:left="1200" w:hanging="240"/>
    </w:pPr>
    <w:rPr>
      <w:sz w:val="24"/>
    </w:rPr>
  </w:style>
  <w:style w:type="paragraph" w:styleId="Index6">
    <w:name w:val="index 6"/>
    <w:basedOn w:val="Normal"/>
    <w:next w:val="Normal"/>
    <w:autoRedefine/>
    <w:semiHidden/>
    <w:rsid w:val="00400195"/>
    <w:pPr>
      <w:ind w:left="1440" w:hanging="240"/>
    </w:pPr>
    <w:rPr>
      <w:sz w:val="24"/>
    </w:rPr>
  </w:style>
  <w:style w:type="paragraph" w:styleId="Index7">
    <w:name w:val="index 7"/>
    <w:basedOn w:val="Normal"/>
    <w:next w:val="Normal"/>
    <w:autoRedefine/>
    <w:semiHidden/>
    <w:rsid w:val="00400195"/>
    <w:pPr>
      <w:ind w:left="1680" w:hanging="240"/>
    </w:pPr>
    <w:rPr>
      <w:sz w:val="24"/>
    </w:rPr>
  </w:style>
  <w:style w:type="paragraph" w:styleId="Index8">
    <w:name w:val="index 8"/>
    <w:basedOn w:val="Normal"/>
    <w:next w:val="Normal"/>
    <w:autoRedefine/>
    <w:semiHidden/>
    <w:rsid w:val="00400195"/>
    <w:pPr>
      <w:ind w:left="1920" w:hanging="240"/>
    </w:pPr>
    <w:rPr>
      <w:sz w:val="24"/>
    </w:rPr>
  </w:style>
  <w:style w:type="paragraph" w:styleId="Index9">
    <w:name w:val="index 9"/>
    <w:basedOn w:val="Normal"/>
    <w:next w:val="Normal"/>
    <w:autoRedefine/>
    <w:semiHidden/>
    <w:rsid w:val="00400195"/>
    <w:pPr>
      <w:ind w:left="2160" w:hanging="240"/>
    </w:pPr>
    <w:rPr>
      <w:sz w:val="24"/>
    </w:rPr>
  </w:style>
  <w:style w:type="paragraph" w:styleId="IndexHeading">
    <w:name w:val="index heading"/>
    <w:basedOn w:val="Normal"/>
    <w:next w:val="Index1"/>
    <w:semiHidden/>
    <w:rsid w:val="00400195"/>
    <w:rPr>
      <w:rFonts w:ascii="Arial" w:hAnsi="Arial" w:cs="Arial"/>
      <w:b/>
      <w:bCs/>
      <w:sz w:val="24"/>
    </w:rPr>
  </w:style>
  <w:style w:type="paragraph" w:styleId="List">
    <w:name w:val="List"/>
    <w:basedOn w:val="Normal"/>
    <w:rsid w:val="00400195"/>
    <w:pPr>
      <w:ind w:left="283" w:hanging="283"/>
    </w:pPr>
    <w:rPr>
      <w:sz w:val="24"/>
    </w:rPr>
  </w:style>
  <w:style w:type="paragraph" w:styleId="List2">
    <w:name w:val="List 2"/>
    <w:basedOn w:val="Normal"/>
    <w:rsid w:val="00400195"/>
    <w:pPr>
      <w:ind w:left="566" w:hanging="283"/>
    </w:pPr>
    <w:rPr>
      <w:sz w:val="24"/>
    </w:rPr>
  </w:style>
  <w:style w:type="paragraph" w:styleId="List3">
    <w:name w:val="List 3"/>
    <w:basedOn w:val="Normal"/>
    <w:rsid w:val="00400195"/>
    <w:pPr>
      <w:ind w:left="849" w:hanging="283"/>
    </w:pPr>
    <w:rPr>
      <w:sz w:val="24"/>
    </w:rPr>
  </w:style>
  <w:style w:type="paragraph" w:styleId="List4">
    <w:name w:val="List 4"/>
    <w:basedOn w:val="Normal"/>
    <w:rsid w:val="00400195"/>
    <w:pPr>
      <w:ind w:left="1132" w:hanging="283"/>
    </w:pPr>
    <w:rPr>
      <w:sz w:val="24"/>
    </w:rPr>
  </w:style>
  <w:style w:type="paragraph" w:styleId="List5">
    <w:name w:val="List 5"/>
    <w:basedOn w:val="Normal"/>
    <w:rsid w:val="00400195"/>
    <w:pPr>
      <w:ind w:left="1415" w:hanging="283"/>
    </w:pPr>
    <w:rPr>
      <w:sz w:val="24"/>
    </w:rPr>
  </w:style>
  <w:style w:type="paragraph" w:styleId="ListBullet">
    <w:name w:val="List Bullet"/>
    <w:basedOn w:val="Normal"/>
    <w:autoRedefine/>
    <w:rsid w:val="00400195"/>
    <w:pPr>
      <w:numPr>
        <w:numId w:val="1"/>
      </w:numPr>
    </w:pPr>
    <w:rPr>
      <w:sz w:val="24"/>
    </w:rPr>
  </w:style>
  <w:style w:type="paragraph" w:styleId="ListBullet2">
    <w:name w:val="List Bullet 2"/>
    <w:basedOn w:val="Normal"/>
    <w:autoRedefine/>
    <w:rsid w:val="00400195"/>
    <w:pPr>
      <w:numPr>
        <w:numId w:val="2"/>
      </w:numPr>
    </w:pPr>
    <w:rPr>
      <w:sz w:val="24"/>
    </w:rPr>
  </w:style>
  <w:style w:type="paragraph" w:styleId="ListBullet3">
    <w:name w:val="List Bullet 3"/>
    <w:basedOn w:val="Normal"/>
    <w:autoRedefine/>
    <w:rsid w:val="00400195"/>
    <w:pPr>
      <w:numPr>
        <w:numId w:val="3"/>
      </w:numPr>
    </w:pPr>
    <w:rPr>
      <w:sz w:val="24"/>
    </w:rPr>
  </w:style>
  <w:style w:type="paragraph" w:styleId="ListBullet4">
    <w:name w:val="List Bullet 4"/>
    <w:basedOn w:val="Normal"/>
    <w:autoRedefine/>
    <w:rsid w:val="00400195"/>
    <w:pPr>
      <w:numPr>
        <w:numId w:val="4"/>
      </w:numPr>
    </w:pPr>
    <w:rPr>
      <w:sz w:val="24"/>
    </w:rPr>
  </w:style>
  <w:style w:type="paragraph" w:styleId="ListBullet5">
    <w:name w:val="List Bullet 5"/>
    <w:basedOn w:val="Normal"/>
    <w:autoRedefine/>
    <w:rsid w:val="00400195"/>
    <w:pPr>
      <w:numPr>
        <w:numId w:val="5"/>
      </w:numPr>
    </w:pPr>
    <w:rPr>
      <w:sz w:val="24"/>
    </w:rPr>
  </w:style>
  <w:style w:type="paragraph" w:styleId="ListContinue">
    <w:name w:val="List Continue"/>
    <w:basedOn w:val="Normal"/>
    <w:rsid w:val="00400195"/>
    <w:pPr>
      <w:spacing w:after="120"/>
      <w:ind w:left="283"/>
    </w:pPr>
    <w:rPr>
      <w:sz w:val="24"/>
    </w:rPr>
  </w:style>
  <w:style w:type="paragraph" w:styleId="ListContinue2">
    <w:name w:val="List Continue 2"/>
    <w:basedOn w:val="Normal"/>
    <w:rsid w:val="00400195"/>
    <w:pPr>
      <w:spacing w:after="120"/>
      <w:ind w:left="566"/>
    </w:pPr>
    <w:rPr>
      <w:sz w:val="24"/>
    </w:rPr>
  </w:style>
  <w:style w:type="paragraph" w:styleId="ListContinue3">
    <w:name w:val="List Continue 3"/>
    <w:basedOn w:val="Normal"/>
    <w:rsid w:val="00400195"/>
    <w:pPr>
      <w:spacing w:after="120"/>
      <w:ind w:left="849"/>
    </w:pPr>
    <w:rPr>
      <w:sz w:val="24"/>
    </w:rPr>
  </w:style>
  <w:style w:type="paragraph" w:styleId="ListContinue4">
    <w:name w:val="List Continue 4"/>
    <w:basedOn w:val="Normal"/>
    <w:rsid w:val="00400195"/>
    <w:pPr>
      <w:spacing w:after="120"/>
      <w:ind w:left="1132"/>
    </w:pPr>
    <w:rPr>
      <w:sz w:val="24"/>
    </w:rPr>
  </w:style>
  <w:style w:type="paragraph" w:styleId="ListContinue5">
    <w:name w:val="List Continue 5"/>
    <w:basedOn w:val="Normal"/>
    <w:rsid w:val="00400195"/>
    <w:pPr>
      <w:spacing w:after="120"/>
      <w:ind w:left="1415"/>
    </w:pPr>
    <w:rPr>
      <w:sz w:val="24"/>
    </w:rPr>
  </w:style>
  <w:style w:type="paragraph" w:styleId="ListNumber">
    <w:name w:val="List Number"/>
    <w:basedOn w:val="Normal"/>
    <w:rsid w:val="00400195"/>
    <w:pPr>
      <w:numPr>
        <w:numId w:val="6"/>
      </w:numPr>
    </w:pPr>
    <w:rPr>
      <w:sz w:val="24"/>
    </w:rPr>
  </w:style>
  <w:style w:type="paragraph" w:styleId="ListNumber2">
    <w:name w:val="List Number 2"/>
    <w:basedOn w:val="Normal"/>
    <w:rsid w:val="00400195"/>
    <w:pPr>
      <w:numPr>
        <w:numId w:val="7"/>
      </w:numPr>
    </w:pPr>
    <w:rPr>
      <w:sz w:val="24"/>
    </w:rPr>
  </w:style>
  <w:style w:type="paragraph" w:styleId="ListNumber3">
    <w:name w:val="List Number 3"/>
    <w:basedOn w:val="Normal"/>
    <w:rsid w:val="00400195"/>
    <w:pPr>
      <w:numPr>
        <w:numId w:val="8"/>
      </w:numPr>
    </w:pPr>
    <w:rPr>
      <w:sz w:val="24"/>
    </w:rPr>
  </w:style>
  <w:style w:type="paragraph" w:styleId="ListNumber4">
    <w:name w:val="List Number 4"/>
    <w:basedOn w:val="Normal"/>
    <w:rsid w:val="00400195"/>
    <w:pPr>
      <w:numPr>
        <w:numId w:val="9"/>
      </w:numPr>
    </w:pPr>
    <w:rPr>
      <w:sz w:val="24"/>
    </w:rPr>
  </w:style>
  <w:style w:type="paragraph" w:styleId="ListNumber5">
    <w:name w:val="List Number 5"/>
    <w:basedOn w:val="Normal"/>
    <w:rsid w:val="00400195"/>
    <w:pPr>
      <w:numPr>
        <w:numId w:val="10"/>
      </w:numPr>
    </w:pPr>
    <w:rPr>
      <w:sz w:val="24"/>
    </w:rPr>
  </w:style>
  <w:style w:type="paragraph" w:styleId="MacroText">
    <w:name w:val="macro"/>
    <w:semiHidden/>
    <w:rsid w:val="0040019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rsid w:val="0040019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paragraph" w:styleId="NormalIndent">
    <w:name w:val="Normal Indent"/>
    <w:basedOn w:val="Normal"/>
    <w:rsid w:val="00400195"/>
    <w:pPr>
      <w:ind w:left="720"/>
    </w:pPr>
    <w:rPr>
      <w:sz w:val="24"/>
    </w:rPr>
  </w:style>
  <w:style w:type="paragraph" w:styleId="NoteHeading">
    <w:name w:val="Note Heading"/>
    <w:basedOn w:val="Normal"/>
    <w:next w:val="Normal"/>
    <w:rsid w:val="00400195"/>
    <w:rPr>
      <w:sz w:val="24"/>
    </w:rPr>
  </w:style>
  <w:style w:type="paragraph" w:styleId="Salutation">
    <w:name w:val="Salutation"/>
    <w:basedOn w:val="Normal"/>
    <w:next w:val="Normal"/>
    <w:rsid w:val="00400195"/>
    <w:rPr>
      <w:sz w:val="24"/>
    </w:rPr>
  </w:style>
  <w:style w:type="paragraph" w:styleId="Signature">
    <w:name w:val="Signature"/>
    <w:basedOn w:val="Normal"/>
    <w:rsid w:val="00400195"/>
    <w:pPr>
      <w:ind w:left="4252"/>
    </w:pPr>
    <w:rPr>
      <w:sz w:val="24"/>
    </w:rPr>
  </w:style>
  <w:style w:type="paragraph" w:styleId="Subtitle">
    <w:name w:val="Subtitle"/>
    <w:basedOn w:val="Normal"/>
    <w:qFormat/>
    <w:rsid w:val="00400195"/>
    <w:pPr>
      <w:spacing w:after="60"/>
      <w:jc w:val="center"/>
      <w:outlineLvl w:val="1"/>
    </w:pPr>
    <w:rPr>
      <w:rFonts w:ascii="Arial" w:hAnsi="Arial" w:cs="Arial"/>
      <w:sz w:val="24"/>
    </w:rPr>
  </w:style>
  <w:style w:type="paragraph" w:styleId="TableofAuthorities">
    <w:name w:val="table of authorities"/>
    <w:basedOn w:val="Normal"/>
    <w:next w:val="Normal"/>
    <w:semiHidden/>
    <w:rsid w:val="00400195"/>
    <w:pPr>
      <w:ind w:left="240" w:hanging="240"/>
    </w:pPr>
    <w:rPr>
      <w:sz w:val="24"/>
    </w:rPr>
  </w:style>
  <w:style w:type="paragraph" w:styleId="Title">
    <w:name w:val="Title"/>
    <w:basedOn w:val="Normal"/>
    <w:qFormat/>
    <w:rsid w:val="00400195"/>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400195"/>
    <w:pPr>
      <w:spacing w:before="120"/>
    </w:pPr>
    <w:rPr>
      <w:rFonts w:ascii="Arial" w:hAnsi="Arial" w:cs="Arial"/>
      <w:b/>
      <w:bCs/>
      <w:sz w:val="24"/>
    </w:rPr>
  </w:style>
  <w:style w:type="paragraph" w:customStyle="1" w:styleId="CharChar1CharCharCharCharCharChar">
    <w:name w:val="Char Char1 Char Char Char Char Char Char"/>
    <w:basedOn w:val="Normal"/>
    <w:rsid w:val="00400195"/>
    <w:rPr>
      <w:rFonts w:ascii="Arial" w:hAnsi="Arial" w:cs="Arial"/>
      <w:szCs w:val="22"/>
      <w:lang w:eastAsia="en-US"/>
    </w:rPr>
  </w:style>
  <w:style w:type="paragraph" w:customStyle="1" w:styleId="tablecaption">
    <w:name w:val="table caption"/>
    <w:basedOn w:val="Caption"/>
    <w:link w:val="tablecaptionChar"/>
    <w:rsid w:val="00400195"/>
    <w:pPr>
      <w:keepNext/>
      <w:spacing w:after="120"/>
      <w:jc w:val="center"/>
    </w:pPr>
    <w:rPr>
      <w:rFonts w:cs="Arial"/>
      <w:b/>
      <w:sz w:val="22"/>
      <w:szCs w:val="22"/>
    </w:rPr>
  </w:style>
  <w:style w:type="character" w:customStyle="1" w:styleId="tablecaptionChar">
    <w:name w:val="table caption Char"/>
    <w:link w:val="tablecaption"/>
    <w:rsid w:val="00400195"/>
    <w:rPr>
      <w:rFonts w:cs="Arial"/>
      <w:b/>
      <w:bCs/>
      <w:i/>
      <w:sz w:val="22"/>
      <w:szCs w:val="22"/>
      <w:lang w:val="en-AU" w:eastAsia="en-AU" w:bidi="ar-SA"/>
    </w:rPr>
  </w:style>
  <w:style w:type="table" w:styleId="TableList4">
    <w:name w:val="Table List 4"/>
    <w:basedOn w:val="TableNormal"/>
    <w:rsid w:val="0040019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ReportHeading2">
    <w:name w:val="Report Heading 2"/>
    <w:basedOn w:val="Normal"/>
    <w:autoRedefine/>
    <w:rsid w:val="00400195"/>
    <w:pPr>
      <w:numPr>
        <w:ilvl w:val="1"/>
        <w:numId w:val="11"/>
      </w:numPr>
      <w:jc w:val="both"/>
    </w:pPr>
    <w:rPr>
      <w:b/>
      <w:i/>
      <w:sz w:val="32"/>
      <w:szCs w:val="36"/>
    </w:rPr>
  </w:style>
  <w:style w:type="paragraph" w:customStyle="1" w:styleId="Default">
    <w:name w:val="Default"/>
    <w:link w:val="DefaultChar"/>
    <w:rsid w:val="00400195"/>
    <w:pPr>
      <w:autoSpaceDE w:val="0"/>
      <w:autoSpaceDN w:val="0"/>
      <w:adjustRightInd w:val="0"/>
    </w:pPr>
    <w:rPr>
      <w:rFonts w:ascii="Calibri" w:hAnsi="Calibri" w:cs="Calibri"/>
      <w:color w:val="000000"/>
      <w:sz w:val="24"/>
      <w:szCs w:val="24"/>
    </w:rPr>
  </w:style>
  <w:style w:type="paragraph" w:customStyle="1" w:styleId="cationboldtnri">
    <w:name w:val="cation bold tnr i"/>
    <w:basedOn w:val="Caption"/>
    <w:autoRedefine/>
    <w:rsid w:val="00400195"/>
    <w:pPr>
      <w:spacing w:after="120"/>
    </w:pPr>
    <w:rPr>
      <w:rFonts w:eastAsia="Times"/>
      <w:b/>
      <w:i w:val="0"/>
      <w:szCs w:val="24"/>
    </w:rPr>
  </w:style>
  <w:style w:type="paragraph" w:customStyle="1" w:styleId="CharChar2CharCharCharChar">
    <w:name w:val="Char Char2 Char Char Char Char"/>
    <w:basedOn w:val="Normal"/>
    <w:rsid w:val="00400195"/>
    <w:pPr>
      <w:spacing w:before="200" w:after="160" w:line="240" w:lineRule="exact"/>
    </w:pPr>
    <w:rPr>
      <w:rFonts w:ascii="Verdana" w:hAnsi="Verdana"/>
      <w:sz w:val="20"/>
      <w:szCs w:val="20"/>
      <w:lang w:val="en-US" w:eastAsia="en-US"/>
    </w:rPr>
  </w:style>
  <w:style w:type="character" w:customStyle="1" w:styleId="ContentsbodytextChar">
    <w:name w:val="Contents body text Char"/>
    <w:rsid w:val="00400195"/>
    <w:rPr>
      <w:noProof w:val="0"/>
      <w:sz w:val="21"/>
      <w:lang w:val="en-AU" w:eastAsia="en-AU" w:bidi="ar-SA"/>
    </w:rPr>
  </w:style>
  <w:style w:type="character" w:customStyle="1" w:styleId="clarkejon">
    <w:name w:val="clarke jon"/>
    <w:semiHidden/>
    <w:rsid w:val="00400195"/>
    <w:rPr>
      <w:rFonts w:ascii="Arial" w:hAnsi="Arial" w:cs="Arial"/>
      <w:color w:val="auto"/>
      <w:sz w:val="20"/>
      <w:szCs w:val="20"/>
    </w:rPr>
  </w:style>
  <w:style w:type="paragraph" w:customStyle="1" w:styleId="captionforTOC">
    <w:name w:val="caption for TOC"/>
    <w:basedOn w:val="Caption"/>
    <w:link w:val="captionforTOCChar"/>
    <w:rsid w:val="005706E3"/>
    <w:rPr>
      <w:i w:val="0"/>
    </w:rPr>
  </w:style>
  <w:style w:type="character" w:customStyle="1" w:styleId="captionforTOCChar">
    <w:name w:val="caption for TOC Char"/>
    <w:basedOn w:val="CaptionChar2"/>
    <w:link w:val="captionforTOC"/>
    <w:rsid w:val="005706E3"/>
    <w:rPr>
      <w:bCs/>
      <w:i/>
      <w:szCs w:val="18"/>
      <w:lang w:val="en-AU" w:eastAsia="en-AU" w:bidi="ar-SA"/>
    </w:rPr>
  </w:style>
  <w:style w:type="paragraph" w:customStyle="1" w:styleId="Captionfortables">
    <w:name w:val="Caption for tables"/>
    <w:basedOn w:val="Caption"/>
    <w:rsid w:val="005706E3"/>
    <w:pPr>
      <w:spacing w:before="240" w:after="120"/>
    </w:pPr>
    <w:rPr>
      <w:i w:val="0"/>
    </w:rPr>
  </w:style>
  <w:style w:type="paragraph" w:customStyle="1" w:styleId="CharChar1Char">
    <w:name w:val="Char Char1 Char"/>
    <w:basedOn w:val="Normal"/>
    <w:rsid w:val="00DF56CE"/>
    <w:pPr>
      <w:spacing w:before="200" w:after="160" w:line="240" w:lineRule="exact"/>
    </w:pPr>
    <w:rPr>
      <w:rFonts w:ascii="Verdana" w:hAnsi="Verdana"/>
      <w:sz w:val="20"/>
      <w:szCs w:val="20"/>
      <w:lang w:val="en-US" w:eastAsia="en-US"/>
    </w:rPr>
  </w:style>
  <w:style w:type="paragraph" w:customStyle="1" w:styleId="Level1">
    <w:name w:val="Level 1."/>
    <w:basedOn w:val="Normal"/>
    <w:next w:val="Normal"/>
    <w:rsid w:val="00F65A21"/>
    <w:pPr>
      <w:numPr>
        <w:numId w:val="13"/>
      </w:numPr>
      <w:spacing w:before="240"/>
    </w:pPr>
    <w:rPr>
      <w:rFonts w:ascii="Palatino" w:hAnsi="Palatino"/>
      <w:sz w:val="24"/>
      <w:szCs w:val="20"/>
      <w:lang w:eastAsia="en-US"/>
    </w:rPr>
  </w:style>
  <w:style w:type="paragraph" w:customStyle="1" w:styleId="Level11">
    <w:name w:val="Level 1.1"/>
    <w:basedOn w:val="Normal"/>
    <w:next w:val="Normal"/>
    <w:rsid w:val="00F65A21"/>
    <w:pPr>
      <w:numPr>
        <w:ilvl w:val="1"/>
        <w:numId w:val="13"/>
      </w:numPr>
      <w:spacing w:before="240"/>
    </w:pPr>
    <w:rPr>
      <w:rFonts w:ascii="Palatino" w:hAnsi="Palatino"/>
      <w:sz w:val="24"/>
      <w:szCs w:val="20"/>
      <w:lang w:eastAsia="en-US"/>
    </w:rPr>
  </w:style>
  <w:style w:type="paragraph" w:customStyle="1" w:styleId="Levela">
    <w:name w:val="Level (a)"/>
    <w:basedOn w:val="Normal"/>
    <w:next w:val="Normal"/>
    <w:rsid w:val="00F65A21"/>
    <w:pPr>
      <w:numPr>
        <w:ilvl w:val="2"/>
        <w:numId w:val="13"/>
      </w:numPr>
      <w:spacing w:before="240"/>
    </w:pPr>
    <w:rPr>
      <w:rFonts w:ascii="Palatino" w:hAnsi="Palatino"/>
      <w:sz w:val="24"/>
      <w:szCs w:val="20"/>
      <w:lang w:eastAsia="en-US"/>
    </w:rPr>
  </w:style>
  <w:style w:type="paragraph" w:customStyle="1" w:styleId="Leveli">
    <w:name w:val="Level (i)"/>
    <w:basedOn w:val="Normal"/>
    <w:next w:val="Normal"/>
    <w:rsid w:val="00F65A21"/>
    <w:pPr>
      <w:numPr>
        <w:ilvl w:val="3"/>
        <w:numId w:val="13"/>
      </w:numPr>
      <w:spacing w:before="240"/>
    </w:pPr>
    <w:rPr>
      <w:rFonts w:ascii="Palatino" w:hAnsi="Palatino"/>
      <w:sz w:val="24"/>
      <w:szCs w:val="20"/>
      <w:lang w:eastAsia="en-US"/>
    </w:rPr>
  </w:style>
  <w:style w:type="paragraph" w:customStyle="1" w:styleId="LevelA0">
    <w:name w:val="Level(A)"/>
    <w:basedOn w:val="Normal"/>
    <w:next w:val="Normal"/>
    <w:rsid w:val="00F65A21"/>
    <w:pPr>
      <w:numPr>
        <w:ilvl w:val="4"/>
        <w:numId w:val="13"/>
      </w:numPr>
      <w:spacing w:before="240"/>
    </w:pPr>
    <w:rPr>
      <w:rFonts w:ascii="Palatino" w:hAnsi="Palatino"/>
      <w:sz w:val="24"/>
      <w:szCs w:val="20"/>
      <w:lang w:eastAsia="en-US"/>
    </w:rPr>
  </w:style>
  <w:style w:type="paragraph" w:customStyle="1" w:styleId="LevelI0">
    <w:name w:val="Level(I)"/>
    <w:basedOn w:val="Normal"/>
    <w:next w:val="Normal"/>
    <w:rsid w:val="00F65A21"/>
    <w:pPr>
      <w:numPr>
        <w:ilvl w:val="5"/>
        <w:numId w:val="13"/>
      </w:numPr>
      <w:spacing w:before="240"/>
    </w:pPr>
    <w:rPr>
      <w:rFonts w:ascii="Palatino" w:hAnsi="Palatino"/>
      <w:sz w:val="24"/>
      <w:szCs w:val="20"/>
      <w:lang w:eastAsia="en-US"/>
    </w:rPr>
  </w:style>
  <w:style w:type="paragraph" w:customStyle="1" w:styleId="Head10">
    <w:name w:val="Head1"/>
    <w:basedOn w:val="Normal"/>
    <w:autoRedefine/>
    <w:rsid w:val="00B446F0"/>
    <w:pPr>
      <w:tabs>
        <w:tab w:val="num" w:pos="432"/>
        <w:tab w:val="left" w:pos="2552"/>
        <w:tab w:val="num" w:pos="2700"/>
      </w:tabs>
      <w:spacing w:after="240"/>
      <w:ind w:left="2520" w:hanging="2520"/>
    </w:pPr>
    <w:rPr>
      <w:rFonts w:ascii="Arial" w:hAnsi="Arial" w:cs="Angsana New"/>
      <w:sz w:val="40"/>
      <w:szCs w:val="22"/>
      <w:lang w:eastAsia="zh-CN" w:bidi="th-TH"/>
    </w:rPr>
  </w:style>
  <w:style w:type="character" w:customStyle="1" w:styleId="CaptionarialCharChar">
    <w:name w:val="Caption arial Char Char"/>
    <w:rsid w:val="00B446F0"/>
    <w:rPr>
      <w:rFonts w:cs="Angsana New"/>
      <w:b/>
      <w:bCs/>
      <w:i/>
      <w:lang w:val="en-AU" w:eastAsia="zh-CN" w:bidi="th-TH"/>
    </w:rPr>
  </w:style>
  <w:style w:type="paragraph" w:customStyle="1" w:styleId="BodyTextBold">
    <w:name w:val="Body Text Bold"/>
    <w:basedOn w:val="BodyText"/>
    <w:next w:val="BodyText"/>
    <w:rsid w:val="003C69C6"/>
    <w:pPr>
      <w:spacing w:after="120" w:line="240" w:lineRule="atLeast"/>
    </w:pPr>
    <w:rPr>
      <w:rFonts w:ascii="Arial" w:hAnsi="Arial" w:cs="Times New Roman"/>
      <w:b/>
      <w:szCs w:val="20"/>
    </w:rPr>
  </w:style>
  <w:style w:type="paragraph" w:customStyle="1" w:styleId="TableText">
    <w:name w:val="Table Text"/>
    <w:basedOn w:val="BodyText"/>
    <w:rsid w:val="003C69C6"/>
    <w:pPr>
      <w:framePr w:hSpace="180" w:wrap="around" w:vAnchor="page" w:hAnchor="margin" w:y="2035"/>
      <w:spacing w:after="120" w:line="240" w:lineRule="atLeast"/>
    </w:pPr>
    <w:rPr>
      <w:rFonts w:ascii="Arial" w:hAnsi="Arial" w:cs="Times New Roman"/>
      <w:sz w:val="18"/>
      <w:szCs w:val="20"/>
    </w:rPr>
  </w:style>
  <w:style w:type="paragraph" w:customStyle="1" w:styleId="Reportbody">
    <w:name w:val="Report_body"/>
    <w:basedOn w:val="Normal"/>
    <w:link w:val="ReportbodyChar"/>
    <w:rsid w:val="003C69C6"/>
    <w:pPr>
      <w:spacing w:after="120" w:line="260" w:lineRule="exact"/>
    </w:pPr>
    <w:rPr>
      <w:rFonts w:ascii="Arial" w:eastAsia="MS Mincho" w:hAnsi="Arial"/>
      <w:lang w:val="en-US" w:eastAsia="en-US"/>
    </w:rPr>
  </w:style>
  <w:style w:type="character" w:customStyle="1" w:styleId="ReportbodyChar">
    <w:name w:val="Report_body Char"/>
    <w:link w:val="Reportbody"/>
    <w:rsid w:val="003C69C6"/>
    <w:rPr>
      <w:rFonts w:ascii="Arial" w:eastAsia="MS Mincho" w:hAnsi="Arial"/>
      <w:sz w:val="22"/>
      <w:szCs w:val="24"/>
      <w:lang w:val="en-US" w:eastAsia="en-US" w:bidi="ar-SA"/>
    </w:rPr>
  </w:style>
  <w:style w:type="paragraph" w:customStyle="1" w:styleId="CoverTitle1">
    <w:name w:val="CoverTitle1"/>
    <w:basedOn w:val="Normal"/>
    <w:link w:val="CoverTitle1Char"/>
    <w:rsid w:val="003C69C6"/>
    <w:pPr>
      <w:keepNext/>
      <w:spacing w:line="312" w:lineRule="auto"/>
    </w:pPr>
    <w:rPr>
      <w:rFonts w:ascii="Arial" w:hAnsi="Arial"/>
      <w:sz w:val="36"/>
    </w:rPr>
  </w:style>
  <w:style w:type="character" w:customStyle="1" w:styleId="CoverTitle1Char">
    <w:name w:val="CoverTitle1 Char"/>
    <w:link w:val="CoverTitle1"/>
    <w:rsid w:val="003C69C6"/>
    <w:rPr>
      <w:rFonts w:ascii="Arial" w:hAnsi="Arial"/>
      <w:sz w:val="36"/>
      <w:szCs w:val="24"/>
      <w:lang w:val="en-AU" w:eastAsia="en-AU" w:bidi="ar-SA"/>
    </w:rPr>
  </w:style>
  <w:style w:type="character" w:customStyle="1" w:styleId="CoverTitle2Char">
    <w:name w:val="CoverTitle2 Char"/>
    <w:rsid w:val="003C69C6"/>
    <w:rPr>
      <w:rFonts w:ascii="Arial" w:hAnsi="Arial"/>
      <w:color w:val="000000"/>
      <w:sz w:val="26"/>
      <w:szCs w:val="24"/>
      <w:lang w:val="en-AU" w:eastAsia="en-AU" w:bidi="ar-SA"/>
    </w:rPr>
  </w:style>
  <w:style w:type="paragraph" w:customStyle="1" w:styleId="CoverTitle3">
    <w:name w:val="CoverTitle3"/>
    <w:basedOn w:val="Normal"/>
    <w:rsid w:val="003C69C6"/>
    <w:pPr>
      <w:spacing w:before="100" w:after="100" w:line="240" w:lineRule="atLeast"/>
    </w:pPr>
    <w:rPr>
      <w:rFonts w:ascii="Arial" w:hAnsi="Arial"/>
      <w:color w:val="FFFFFF"/>
      <w:sz w:val="18"/>
    </w:rPr>
  </w:style>
  <w:style w:type="paragraph" w:customStyle="1" w:styleId="Notice">
    <w:name w:val="Notice"/>
    <w:basedOn w:val="BodyText"/>
    <w:rsid w:val="003C69C6"/>
    <w:pPr>
      <w:shd w:val="clear" w:color="auto" w:fill="D9D9D9"/>
      <w:spacing w:after="120" w:line="240" w:lineRule="atLeast"/>
    </w:pPr>
    <w:rPr>
      <w:rFonts w:ascii="Arial" w:hAnsi="Arial" w:cs="Times New Roman"/>
      <w:sz w:val="18"/>
      <w:szCs w:val="18"/>
    </w:rPr>
  </w:style>
  <w:style w:type="paragraph" w:customStyle="1" w:styleId="ImportantNotice">
    <w:name w:val="Important Notice"/>
    <w:basedOn w:val="Notice"/>
    <w:rsid w:val="003C69C6"/>
    <w:pPr>
      <w:shd w:val="clear" w:color="auto" w:fill="auto"/>
      <w:spacing w:after="80" w:line="260" w:lineRule="exact"/>
    </w:pPr>
    <w:rPr>
      <w:sz w:val="22"/>
      <w:szCs w:val="20"/>
    </w:rPr>
  </w:style>
  <w:style w:type="paragraph" w:customStyle="1" w:styleId="StyleBodyBold">
    <w:name w:val="Style Body + Bold"/>
    <w:basedOn w:val="Normal"/>
    <w:next w:val="Normal"/>
    <w:rsid w:val="003C69C6"/>
    <w:pPr>
      <w:spacing w:after="120" w:line="240" w:lineRule="atLeast"/>
    </w:pPr>
    <w:rPr>
      <w:rFonts w:ascii="Arial" w:hAnsi="Arial"/>
      <w:b/>
      <w:bCs/>
      <w:szCs w:val="20"/>
      <w:lang w:eastAsia="en-US"/>
    </w:rPr>
  </w:style>
  <w:style w:type="paragraph" w:customStyle="1" w:styleId="BodyBullet">
    <w:name w:val="BodyBullet"/>
    <w:basedOn w:val="Normal"/>
    <w:rsid w:val="003C69C6"/>
    <w:pPr>
      <w:numPr>
        <w:numId w:val="14"/>
      </w:numPr>
      <w:tabs>
        <w:tab w:val="left" w:pos="284"/>
      </w:tabs>
      <w:spacing w:after="120" w:line="240" w:lineRule="atLeast"/>
    </w:pPr>
    <w:rPr>
      <w:rFonts w:ascii="Arial" w:hAnsi="Arial"/>
      <w:szCs w:val="20"/>
      <w:lang w:eastAsia="en-US"/>
    </w:rPr>
  </w:style>
  <w:style w:type="character" w:styleId="EndnoteReference">
    <w:name w:val="endnote reference"/>
    <w:rsid w:val="003C69C6"/>
    <w:rPr>
      <w:vertAlign w:val="superscript"/>
    </w:rPr>
  </w:style>
  <w:style w:type="table" w:styleId="TableWeb3">
    <w:name w:val="Table Web 3"/>
    <w:basedOn w:val="TableNormal"/>
    <w:rsid w:val="003C69C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9ptAfter3ptLinespacingExactly13pt">
    <w:name w:val="Style 9 pt After:  3 pt Line spacing:  Exactly 13 pt"/>
    <w:basedOn w:val="Normal"/>
    <w:rsid w:val="003C69C6"/>
    <w:pPr>
      <w:spacing w:after="60" w:line="260" w:lineRule="exact"/>
    </w:pPr>
    <w:rPr>
      <w:rFonts w:ascii="Arial" w:hAnsi="Arial"/>
      <w:sz w:val="20"/>
      <w:szCs w:val="20"/>
    </w:rPr>
  </w:style>
  <w:style w:type="paragraph" w:customStyle="1" w:styleId="Style10ptBoldAfter6ptLinespacingExactly13pt">
    <w:name w:val="Style 10 pt Bold After:  6 pt Line spacing:  Exactly 13 pt"/>
    <w:basedOn w:val="Normal"/>
    <w:rsid w:val="003C69C6"/>
    <w:pPr>
      <w:spacing w:after="120" w:line="260" w:lineRule="exact"/>
    </w:pPr>
    <w:rPr>
      <w:rFonts w:ascii="Arial" w:hAnsi="Arial"/>
      <w:b/>
      <w:bCs/>
      <w:sz w:val="20"/>
      <w:szCs w:val="20"/>
    </w:rPr>
  </w:style>
  <w:style w:type="paragraph" w:customStyle="1" w:styleId="H1NoTOC">
    <w:name w:val="H1NoTOC"/>
    <w:basedOn w:val="Heading1"/>
    <w:next w:val="Normal"/>
    <w:link w:val="H1NoTOCChar"/>
    <w:rsid w:val="003C69C6"/>
    <w:pPr>
      <w:numPr>
        <w:numId w:val="0"/>
      </w:numPr>
      <w:tabs>
        <w:tab w:val="left" w:pos="567"/>
        <w:tab w:val="left" w:pos="851"/>
      </w:tabs>
      <w:spacing w:before="240" w:after="120" w:line="240" w:lineRule="atLeast"/>
      <w:outlineLvl w:val="9"/>
    </w:pPr>
    <w:rPr>
      <w:rFonts w:ascii="Arial Bold" w:eastAsia="Times New Roman" w:hAnsi="Arial Bold" w:cs="Arial"/>
      <w:b/>
      <w:bCs/>
      <w:caps/>
      <w:kern w:val="32"/>
      <w:sz w:val="32"/>
      <w:szCs w:val="32"/>
      <w:lang w:eastAsia="en-US"/>
    </w:rPr>
  </w:style>
  <w:style w:type="character" w:customStyle="1" w:styleId="H1NoTOCChar">
    <w:name w:val="H1NoTOC Char"/>
    <w:link w:val="H1NoTOC"/>
    <w:rsid w:val="003C69C6"/>
    <w:rPr>
      <w:rFonts w:ascii="Arial Bold" w:eastAsia="Times" w:hAnsi="Arial Bold" w:cs="Arial"/>
      <w:b/>
      <w:bCs/>
      <w:caps/>
      <w:spacing w:val="10"/>
      <w:kern w:val="32"/>
      <w:sz w:val="32"/>
      <w:szCs w:val="32"/>
      <w:lang w:val="en-AU" w:eastAsia="en-US" w:bidi="ar-SA"/>
    </w:rPr>
  </w:style>
  <w:style w:type="paragraph" w:customStyle="1" w:styleId="H1NoNumber">
    <w:name w:val="H1NoNumber"/>
    <w:basedOn w:val="Heading1"/>
    <w:link w:val="H1NoNumberChar"/>
    <w:rsid w:val="003C69C6"/>
    <w:pPr>
      <w:numPr>
        <w:numId w:val="0"/>
      </w:numPr>
      <w:tabs>
        <w:tab w:val="left" w:pos="567"/>
        <w:tab w:val="left" w:pos="851"/>
      </w:tabs>
      <w:spacing w:before="240" w:after="120" w:line="240" w:lineRule="atLeast"/>
    </w:pPr>
    <w:rPr>
      <w:rFonts w:ascii="Arial Bold" w:eastAsia="Times New Roman" w:hAnsi="Arial Bold" w:cs="Arial"/>
      <w:b/>
      <w:bCs/>
      <w:caps/>
      <w:kern w:val="32"/>
      <w:sz w:val="32"/>
      <w:szCs w:val="32"/>
      <w:lang w:eastAsia="en-US"/>
    </w:rPr>
  </w:style>
  <w:style w:type="character" w:customStyle="1" w:styleId="H1NoNumberChar">
    <w:name w:val="H1NoNumber Char"/>
    <w:link w:val="H1NoNumber"/>
    <w:rsid w:val="003C69C6"/>
    <w:rPr>
      <w:rFonts w:ascii="Arial Bold" w:eastAsia="Times" w:hAnsi="Arial Bold" w:cs="Arial"/>
      <w:b/>
      <w:bCs/>
      <w:caps/>
      <w:spacing w:val="10"/>
      <w:kern w:val="32"/>
      <w:sz w:val="32"/>
      <w:szCs w:val="32"/>
      <w:lang w:val="en-AU" w:eastAsia="en-US" w:bidi="ar-SA"/>
    </w:rPr>
  </w:style>
  <w:style w:type="paragraph" w:customStyle="1" w:styleId="Contents">
    <w:name w:val="Contents"/>
    <w:basedOn w:val="Normal"/>
    <w:rsid w:val="003C69C6"/>
    <w:pPr>
      <w:spacing w:after="80" w:line="260" w:lineRule="exact"/>
    </w:pPr>
    <w:rPr>
      <w:rFonts w:ascii="Arial Bold" w:hAnsi="Arial Bold"/>
      <w:b/>
      <w:sz w:val="28"/>
      <w:szCs w:val="22"/>
    </w:rPr>
  </w:style>
  <w:style w:type="character" w:customStyle="1" w:styleId="Red">
    <w:name w:val="Red"/>
    <w:rsid w:val="003C69C6"/>
    <w:rPr>
      <w:rFonts w:ascii="Arial" w:hAnsi="Arial"/>
      <w:color w:val="FF0000"/>
      <w:sz w:val="20"/>
    </w:rPr>
  </w:style>
  <w:style w:type="paragraph" w:customStyle="1" w:styleId="Manuscriptoutline">
    <w:name w:val="Manuscript outline"/>
    <w:basedOn w:val="Normal"/>
    <w:autoRedefine/>
    <w:rsid w:val="003C69C6"/>
    <w:pPr>
      <w:jc w:val="center"/>
    </w:pPr>
    <w:rPr>
      <w:rFonts w:ascii="Arial" w:hAnsi="Arial"/>
      <w:sz w:val="20"/>
      <w:lang w:eastAsia="en-US"/>
    </w:rPr>
  </w:style>
  <w:style w:type="paragraph" w:customStyle="1" w:styleId="Para3bullet">
    <w:name w:val="Para 3 bullet"/>
    <w:basedOn w:val="Normal"/>
    <w:rsid w:val="003C69C6"/>
    <w:pPr>
      <w:numPr>
        <w:numId w:val="15"/>
      </w:numPr>
      <w:spacing w:after="60" w:line="300" w:lineRule="auto"/>
    </w:pPr>
    <w:rPr>
      <w:color w:val="000000"/>
      <w:szCs w:val="20"/>
      <w:lang w:val="en-GB" w:eastAsia="en-US"/>
    </w:rPr>
  </w:style>
  <w:style w:type="paragraph" w:customStyle="1" w:styleId="FlysheetVersion">
    <w:name w:val="FlysheetVersion"/>
    <w:basedOn w:val="Normal"/>
    <w:next w:val="Normal"/>
    <w:rsid w:val="003C69C6"/>
    <w:pPr>
      <w:numPr>
        <w:numId w:val="16"/>
      </w:numPr>
      <w:tabs>
        <w:tab w:val="clear" w:pos="360"/>
        <w:tab w:val="left" w:pos="284"/>
      </w:tabs>
      <w:spacing w:after="120"/>
    </w:pPr>
    <w:rPr>
      <w:rFonts w:ascii="Arial Narrow" w:hAnsi="Arial Narrow"/>
      <w:color w:val="808080"/>
      <w:sz w:val="24"/>
      <w:szCs w:val="20"/>
      <w:lang w:val="en-GB" w:eastAsia="en-US"/>
    </w:rPr>
  </w:style>
  <w:style w:type="paragraph" w:customStyle="1" w:styleId="StyleBodyText10ptCentered">
    <w:name w:val="Style Body Text + 10 pt Centered"/>
    <w:basedOn w:val="BodyText"/>
    <w:rsid w:val="003C69C6"/>
    <w:pPr>
      <w:spacing w:after="0" w:line="240" w:lineRule="atLeast"/>
      <w:jc w:val="center"/>
    </w:pPr>
    <w:rPr>
      <w:rFonts w:ascii="Arial" w:hAnsi="Arial" w:cs="Times New Roman"/>
      <w:sz w:val="20"/>
      <w:szCs w:val="20"/>
    </w:rPr>
  </w:style>
  <w:style w:type="paragraph" w:customStyle="1" w:styleId="Para0">
    <w:name w:val="Para 0"/>
    <w:basedOn w:val="Normal"/>
    <w:rsid w:val="003C69C6"/>
    <w:pPr>
      <w:spacing w:after="220" w:line="300" w:lineRule="auto"/>
    </w:pPr>
    <w:rPr>
      <w:color w:val="000000"/>
      <w:szCs w:val="20"/>
      <w:lang w:val="en-GB" w:eastAsia="en-US"/>
    </w:rPr>
  </w:style>
  <w:style w:type="paragraph" w:styleId="Revision">
    <w:name w:val="Revision"/>
    <w:hidden/>
    <w:semiHidden/>
    <w:rsid w:val="003C69C6"/>
    <w:rPr>
      <w:rFonts w:ascii="Arial" w:hAnsi="Arial"/>
      <w:sz w:val="22"/>
      <w:szCs w:val="24"/>
    </w:rPr>
  </w:style>
  <w:style w:type="paragraph" w:customStyle="1" w:styleId="Body">
    <w:name w:val="Body"/>
    <w:basedOn w:val="Normal"/>
    <w:rsid w:val="003C69C6"/>
    <w:pPr>
      <w:spacing w:after="120"/>
    </w:pPr>
    <w:rPr>
      <w:rFonts w:ascii="Arial" w:hAnsi="Arial"/>
      <w:szCs w:val="20"/>
      <w:lang w:eastAsia="en-US"/>
    </w:rPr>
  </w:style>
  <w:style w:type="table" w:styleId="TableTheme">
    <w:name w:val="Table Theme"/>
    <w:basedOn w:val="TableNormal"/>
    <w:rsid w:val="003C69C6"/>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Heading"/>
    <w:basedOn w:val="TableText0"/>
    <w:link w:val="TableHeadingChar"/>
    <w:rsid w:val="003C69C6"/>
    <w:rPr>
      <w:b/>
      <w:szCs w:val="21"/>
    </w:rPr>
  </w:style>
  <w:style w:type="paragraph" w:customStyle="1" w:styleId="TableText0">
    <w:name w:val="TableText"/>
    <w:basedOn w:val="Normal"/>
    <w:link w:val="TableTextChar1"/>
    <w:rsid w:val="003C69C6"/>
    <w:pPr>
      <w:keepNext/>
      <w:spacing w:before="60" w:after="60"/>
    </w:pPr>
    <w:rPr>
      <w:sz w:val="21"/>
      <w:szCs w:val="23"/>
      <w:lang w:eastAsia="en-US"/>
    </w:rPr>
  </w:style>
  <w:style w:type="character" w:customStyle="1" w:styleId="TableTextChar1">
    <w:name w:val="TableText Char1"/>
    <w:link w:val="TableText0"/>
    <w:rsid w:val="003C69C6"/>
    <w:rPr>
      <w:sz w:val="21"/>
      <w:szCs w:val="23"/>
      <w:lang w:val="en-AU" w:eastAsia="en-US" w:bidi="ar-SA"/>
    </w:rPr>
  </w:style>
  <w:style w:type="character" w:customStyle="1" w:styleId="TableHeadingChar">
    <w:name w:val="TableHeading Char"/>
    <w:link w:val="TableHeading"/>
    <w:rsid w:val="003C69C6"/>
    <w:rPr>
      <w:b/>
      <w:sz w:val="21"/>
      <w:szCs w:val="21"/>
      <w:lang w:val="en-AU" w:eastAsia="en-US" w:bidi="ar-SA"/>
    </w:rPr>
  </w:style>
  <w:style w:type="paragraph" w:customStyle="1" w:styleId="TableBullet">
    <w:name w:val="TableBullet"/>
    <w:basedOn w:val="TableText0"/>
    <w:link w:val="TableBulletChar"/>
    <w:rsid w:val="003C69C6"/>
    <w:pPr>
      <w:numPr>
        <w:numId w:val="17"/>
      </w:numPr>
      <w:tabs>
        <w:tab w:val="left" w:pos="216"/>
      </w:tabs>
    </w:pPr>
  </w:style>
  <w:style w:type="character" w:customStyle="1" w:styleId="TableBulletChar">
    <w:name w:val="TableBullet Char"/>
    <w:basedOn w:val="TableTextChar1"/>
    <w:link w:val="TableBullet"/>
    <w:rsid w:val="003C69C6"/>
    <w:rPr>
      <w:sz w:val="21"/>
      <w:szCs w:val="23"/>
      <w:lang w:val="en-AU" w:eastAsia="en-US" w:bidi="ar-SA"/>
    </w:rPr>
  </w:style>
  <w:style w:type="paragraph" w:customStyle="1" w:styleId="TableName">
    <w:name w:val="TableName"/>
    <w:basedOn w:val="Normal"/>
    <w:link w:val="TableNameChar"/>
    <w:rsid w:val="003C69C6"/>
    <w:pPr>
      <w:keepNext/>
      <w:spacing w:before="120" w:after="120"/>
      <w:ind w:left="1300" w:hanging="1300"/>
    </w:pPr>
    <w:rPr>
      <w:b/>
      <w:sz w:val="23"/>
      <w:szCs w:val="23"/>
      <w:lang w:eastAsia="en-US"/>
    </w:rPr>
  </w:style>
  <w:style w:type="character" w:customStyle="1" w:styleId="TableNameChar">
    <w:name w:val="TableName Char"/>
    <w:link w:val="TableName"/>
    <w:rsid w:val="003C69C6"/>
    <w:rPr>
      <w:b/>
      <w:sz w:val="23"/>
      <w:szCs w:val="23"/>
      <w:lang w:val="en-AU" w:eastAsia="en-US" w:bidi="ar-SA"/>
    </w:rPr>
  </w:style>
  <w:style w:type="table" w:styleId="TableSimple1">
    <w:name w:val="Table Simple 1"/>
    <w:aliases w:val="Table CSIRO"/>
    <w:basedOn w:val="TableNormal"/>
    <w:rsid w:val="003C69C6"/>
    <w:pPr>
      <w:spacing w:line="240" w:lineRule="atLeast"/>
      <w:jc w:val="center"/>
    </w:pPr>
    <w:rPr>
      <w:rFonts w:ascii="Arial" w:hAnsi="Arial"/>
    </w:rPr>
    <w:tblPr>
      <w:tblBorders>
        <w:top w:val="single" w:sz="4" w:space="0" w:color="auto"/>
        <w:bottom w:val="single" w:sz="4" w:space="0" w:color="auto"/>
      </w:tblBorders>
    </w:tblPr>
    <w:tcPr>
      <w:shd w:val="clear" w:color="auto" w:fill="auto"/>
      <w:vAlign w:val="center"/>
    </w:tcPr>
    <w:tblStylePr w:type="firstRow">
      <w:rPr>
        <w:b/>
      </w:rPr>
      <w:tblPr/>
      <w:tcPr>
        <w:tcBorders>
          <w:bottom w:val="single" w:sz="4" w:space="0" w:color="auto"/>
        </w:tcBorders>
        <w:shd w:val="clear" w:color="auto" w:fill="auto"/>
      </w:tcPr>
    </w:tblStylePr>
    <w:tblStylePr w:type="lastRow">
      <w:tblPr/>
      <w:tcPr>
        <w:tcBorders>
          <w:top w:val="nil"/>
        </w:tcBorders>
        <w:shd w:val="clear" w:color="auto" w:fill="auto"/>
      </w:tcPr>
    </w:tblStylePr>
  </w:style>
  <w:style w:type="paragraph" w:customStyle="1" w:styleId="TableNotes18">
    <w:name w:val="TableNotes+18"/>
    <w:basedOn w:val="TableText0"/>
    <w:link w:val="TableNotes18Char"/>
    <w:rsid w:val="003C69C6"/>
    <w:pPr>
      <w:keepNext w:val="0"/>
      <w:keepLines/>
      <w:spacing w:before="0" w:after="360"/>
    </w:pPr>
    <w:rPr>
      <w:sz w:val="18"/>
    </w:rPr>
  </w:style>
  <w:style w:type="character" w:customStyle="1" w:styleId="TableNotes18Char">
    <w:name w:val="TableNotes+18 Char"/>
    <w:link w:val="TableNotes18"/>
    <w:rsid w:val="003C69C6"/>
    <w:rPr>
      <w:sz w:val="18"/>
      <w:szCs w:val="23"/>
      <w:lang w:val="en-AU" w:eastAsia="en-US" w:bidi="ar-SA"/>
    </w:rPr>
  </w:style>
  <w:style w:type="paragraph" w:customStyle="1" w:styleId="TableDash">
    <w:name w:val="TableDash"/>
    <w:basedOn w:val="TableText0"/>
    <w:rsid w:val="003C69C6"/>
    <w:pPr>
      <w:numPr>
        <w:numId w:val="18"/>
      </w:numPr>
      <w:tabs>
        <w:tab w:val="clear" w:pos="576"/>
        <w:tab w:val="num" w:pos="643"/>
      </w:tabs>
      <w:ind w:left="430" w:hanging="215"/>
    </w:pPr>
  </w:style>
  <w:style w:type="paragraph" w:customStyle="1" w:styleId="Reporttext">
    <w:name w:val="Report text"/>
    <w:basedOn w:val="Normal"/>
    <w:link w:val="ReporttextChar"/>
    <w:rsid w:val="003C69C6"/>
    <w:rPr>
      <w:rFonts w:ascii="Arial" w:hAnsi="Arial"/>
      <w:szCs w:val="20"/>
      <w:lang w:eastAsia="en-US"/>
    </w:rPr>
  </w:style>
  <w:style w:type="character" w:customStyle="1" w:styleId="ReporttextChar">
    <w:name w:val="Report text Char"/>
    <w:link w:val="Reporttext"/>
    <w:rsid w:val="003C69C6"/>
    <w:rPr>
      <w:rFonts w:ascii="Arial" w:hAnsi="Arial"/>
      <w:sz w:val="22"/>
      <w:lang w:val="en-AU" w:eastAsia="en-US" w:bidi="ar-SA"/>
    </w:rPr>
  </w:style>
  <w:style w:type="table" w:customStyle="1" w:styleId="TableGrid1">
    <w:name w:val="Table Grid1"/>
    <w:basedOn w:val="TableNormal"/>
    <w:next w:val="TableGrid"/>
    <w:rsid w:val="003C69C6"/>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CharCharCharCharChar">
    <w:name w:val="Char Char1 Char Char Char Char Char Char Char"/>
    <w:basedOn w:val="Normal"/>
    <w:rsid w:val="00FB268E"/>
    <w:pPr>
      <w:spacing w:before="200" w:after="160" w:line="240" w:lineRule="exact"/>
    </w:pPr>
    <w:rPr>
      <w:rFonts w:ascii="Verdana" w:hAnsi="Verdana"/>
      <w:sz w:val="20"/>
      <w:szCs w:val="20"/>
      <w:lang w:val="en-US" w:eastAsia="en-US"/>
    </w:rPr>
  </w:style>
  <w:style w:type="table" w:customStyle="1" w:styleId="TableAAACSIRO">
    <w:name w:val="Table AAA CSIRO"/>
    <w:basedOn w:val="TableNormal"/>
    <w:rsid w:val="002047DE"/>
    <w:rPr>
      <w:rFonts w:ascii="Arial" w:hAnsi="Arial"/>
    </w:rPr>
    <w:tblPr>
      <w:tblBorders>
        <w:top w:val="single" w:sz="4" w:space="0" w:color="auto"/>
        <w:bottom w:val="single" w:sz="4" w:space="0" w:color="auto"/>
      </w:tblBorders>
    </w:tblPr>
    <w:tblStylePr w:type="firstRow">
      <w:rPr>
        <w:rFonts w:ascii="Arial" w:hAnsi="Arial"/>
        <w:b/>
      </w:rPr>
      <w:tblPr/>
      <w:tcPr>
        <w:tcBorders>
          <w:bottom w:val="single" w:sz="4" w:space="0" w:color="auto"/>
        </w:tcBorders>
      </w:tcPr>
    </w:tblStylePr>
  </w:style>
  <w:style w:type="character" w:styleId="Strong">
    <w:name w:val="Strong"/>
    <w:qFormat/>
    <w:rsid w:val="00006A62"/>
    <w:rPr>
      <w:rFonts w:ascii="Arial" w:hAnsi="Arial" w:cs="Arial"/>
      <w:b/>
      <w:bCs/>
      <w:sz w:val="22"/>
      <w:szCs w:val="22"/>
      <w:lang w:val="en-AU" w:eastAsia="en-US" w:bidi="ar-SA"/>
    </w:rPr>
  </w:style>
  <w:style w:type="character" w:styleId="HTMLAcronym">
    <w:name w:val="HTML Acronym"/>
    <w:rsid w:val="00006A62"/>
    <w:rPr>
      <w:rFonts w:ascii="Arial" w:hAnsi="Arial" w:cs="Arial"/>
      <w:sz w:val="22"/>
      <w:szCs w:val="22"/>
      <w:lang w:val="en-AU" w:eastAsia="en-US" w:bidi="ar-SA"/>
    </w:rPr>
  </w:style>
  <w:style w:type="character" w:customStyle="1" w:styleId="CaptionsChar">
    <w:name w:val="Captions Char"/>
    <w:link w:val="Captions"/>
    <w:rsid w:val="00006A62"/>
    <w:rPr>
      <w:i/>
      <w:szCs w:val="22"/>
      <w:lang w:val="en-AU" w:eastAsia="en-AU" w:bidi="ar-SA"/>
    </w:rPr>
  </w:style>
  <w:style w:type="character" w:customStyle="1" w:styleId="CaptionChar">
    <w:name w:val="Caption Char"/>
    <w:rsid w:val="00D05BAB"/>
    <w:rPr>
      <w:b/>
      <w:bCs/>
      <w:lang w:val="en-AU" w:eastAsia="en-AU" w:bidi="ar-SA"/>
    </w:rPr>
  </w:style>
  <w:style w:type="character" w:customStyle="1" w:styleId="Char2CharChar">
    <w:name w:val="Char2 Char Char"/>
    <w:rsid w:val="00D05BAB"/>
    <w:rPr>
      <w:rFonts w:ascii="Arial" w:hAnsi="Arial"/>
      <w:sz w:val="22"/>
      <w:lang w:val="en-AU" w:eastAsia="en-AU" w:bidi="ar-SA"/>
    </w:rPr>
  </w:style>
  <w:style w:type="paragraph" w:customStyle="1" w:styleId="BodyText0">
    <w:name w:val="BodyText"/>
    <w:basedOn w:val="Normal"/>
    <w:rsid w:val="005F394E"/>
  </w:style>
  <w:style w:type="character" w:customStyle="1" w:styleId="DefaultChar">
    <w:name w:val="Default Char"/>
    <w:link w:val="Default"/>
    <w:rsid w:val="00666428"/>
    <w:rPr>
      <w:rFonts w:ascii="Calibri" w:hAnsi="Calibri" w:cs="Calibri"/>
      <w:color w:val="000000"/>
      <w:sz w:val="24"/>
      <w:szCs w:val="24"/>
      <w:lang w:val="en-AU" w:eastAsia="en-AU" w:bidi="ar-SA"/>
    </w:rPr>
  </w:style>
  <w:style w:type="numbering" w:customStyle="1" w:styleId="CurrentList1">
    <w:name w:val="Current List1"/>
    <w:rsid w:val="0033702F"/>
    <w:pPr>
      <w:numPr>
        <w:numId w:val="22"/>
      </w:numPr>
    </w:pPr>
  </w:style>
  <w:style w:type="numbering" w:styleId="111111">
    <w:name w:val="Outline List 2"/>
    <w:basedOn w:val="NoList"/>
    <w:rsid w:val="0033702F"/>
    <w:pPr>
      <w:numPr>
        <w:numId w:val="23"/>
      </w:numPr>
    </w:pPr>
  </w:style>
  <w:style w:type="character" w:customStyle="1" w:styleId="u14927">
    <w:name w:val="u14927"/>
    <w:semiHidden/>
    <w:rsid w:val="00A519E2"/>
    <w:rPr>
      <w:rFonts w:ascii="Times New Roman" w:hAnsi="Times New Roman" w:cs="Times New Roman"/>
      <w:b w:val="0"/>
      <w:bCs w:val="0"/>
      <w:i w:val="0"/>
      <w:iCs w:val="0"/>
      <w:strike w:val="0"/>
      <w:color w:val="auto"/>
      <w:sz w:val="22"/>
      <w:szCs w:val="22"/>
      <w:u w:val="none"/>
    </w:rPr>
  </w:style>
  <w:style w:type="paragraph" w:customStyle="1" w:styleId="StyleCaptionCharItalic">
    <w:name w:val="Style CaptionChar + Italic"/>
    <w:basedOn w:val="Caption"/>
    <w:link w:val="StyleCaptionCharItalicChar"/>
    <w:autoRedefine/>
    <w:rsid w:val="00D5128B"/>
    <w:pPr>
      <w:numPr>
        <w:ilvl w:val="1"/>
        <w:numId w:val="25"/>
      </w:numPr>
      <w:tabs>
        <w:tab w:val="clear" w:pos="576"/>
        <w:tab w:val="num" w:pos="360"/>
      </w:tabs>
      <w:spacing w:after="120"/>
      <w:ind w:left="720" w:hanging="720"/>
    </w:pPr>
    <w:rPr>
      <w:rFonts w:eastAsia="Times"/>
      <w:b/>
      <w:iCs/>
      <w:sz w:val="24"/>
      <w:szCs w:val="24"/>
    </w:rPr>
  </w:style>
  <w:style w:type="character" w:customStyle="1" w:styleId="StyleCaptionCharItalicChar">
    <w:name w:val="Style CaptionChar + Italic Char"/>
    <w:link w:val="StyleCaptionCharItalic"/>
    <w:rsid w:val="00D5128B"/>
    <w:rPr>
      <w:rFonts w:eastAsia="Times"/>
      <w:b/>
      <w:bCs/>
      <w:i/>
      <w:iCs/>
      <w:sz w:val="24"/>
      <w:szCs w:val="24"/>
      <w:lang w:val="en-AU" w:eastAsia="en-AU" w:bidi="ar-SA"/>
    </w:rPr>
  </w:style>
  <w:style w:type="paragraph" w:customStyle="1" w:styleId="CaptionCharItalicNotBold">
    <w:name w:val="CaptionChar + Italic + Not Bold"/>
    <w:basedOn w:val="Normal"/>
    <w:link w:val="CaptionCharItalicNotBoldChar"/>
    <w:autoRedefine/>
    <w:rsid w:val="00D5128B"/>
    <w:rPr>
      <w:b/>
      <w:i/>
      <w:sz w:val="24"/>
    </w:rPr>
  </w:style>
  <w:style w:type="character" w:customStyle="1" w:styleId="CaptionCharItalicNotBoldChar">
    <w:name w:val="CaptionChar + Italic + Not Bold Char"/>
    <w:link w:val="CaptionCharItalicNotBold"/>
    <w:rsid w:val="00D5128B"/>
    <w:rPr>
      <w:b/>
      <w:i/>
      <w:sz w:val="24"/>
      <w:szCs w:val="24"/>
      <w:lang w:val="en-AU" w:eastAsia="en-AU" w:bidi="ar-SA"/>
    </w:rPr>
  </w:style>
  <w:style w:type="character" w:customStyle="1" w:styleId="CharCharChar">
    <w:name w:val="Char Char Char"/>
    <w:rsid w:val="00D5128B"/>
    <w:rPr>
      <w:b/>
      <w:bCs/>
      <w:sz w:val="24"/>
      <w:szCs w:val="24"/>
      <w:lang w:val="en-AU" w:eastAsia="en-AU" w:bidi="ar-SA"/>
    </w:rPr>
  </w:style>
  <w:style w:type="character" w:customStyle="1" w:styleId="PlainTextChar1">
    <w:name w:val="Plain Text Char1"/>
    <w:link w:val="PlainText"/>
    <w:semiHidden/>
    <w:locked/>
    <w:rsid w:val="005E5312"/>
    <w:rPr>
      <w:rFonts w:ascii="Courier New" w:hAnsi="Courier New" w:cs="Courier New"/>
      <w:lang w:val="en-AU" w:eastAsia="en-AU" w:bidi="ar-SA"/>
    </w:rPr>
  </w:style>
  <w:style w:type="character" w:customStyle="1" w:styleId="Heading1Char1">
    <w:name w:val="Heading 1 Char1"/>
    <w:aliases w:val="h1 Char,Tempo Heading 1 Char,Project 1 Char,RFS Char,TOC 11 Char,Section heading Char,A MAJOR/BOLD Char,Para Char,Heading 1(Report Only) Char,Para1 Char,h11 Char,h12 Char,No numbers Char,H1 Char,Main Heading Char,Arial 11 Char,Bold Char"/>
    <w:link w:val="Heading1"/>
    <w:rsid w:val="00335E9B"/>
    <w:rPr>
      <w:rFonts w:ascii="Arial" w:eastAsia="Times" w:hAnsi="Arial"/>
      <w:kern w:val="28"/>
      <w:sz w:val="40"/>
      <w:szCs w:val="22"/>
      <w:lang w:val="en-AU" w:eastAsia="en-AU" w:bidi="ar-SA"/>
    </w:rPr>
  </w:style>
  <w:style w:type="paragraph" w:customStyle="1" w:styleId="Tabletitle">
    <w:name w:val="Table title"/>
    <w:basedOn w:val="Normal"/>
    <w:link w:val="TabletitleChar"/>
    <w:rsid w:val="00DC3DC8"/>
    <w:pPr>
      <w:spacing w:after="40" w:line="260" w:lineRule="exact"/>
    </w:pPr>
    <w:rPr>
      <w:sz w:val="21"/>
      <w:szCs w:val="20"/>
    </w:rPr>
  </w:style>
  <w:style w:type="character" w:customStyle="1" w:styleId="TabletitleChar">
    <w:name w:val="Table title Char"/>
    <w:link w:val="Tabletitle"/>
    <w:rsid w:val="00DC3DC8"/>
    <w:rPr>
      <w:sz w:val="21"/>
      <w:lang w:val="en-AU" w:eastAsia="en-AU" w:bidi="ar-SA"/>
    </w:rPr>
  </w:style>
  <w:style w:type="character" w:customStyle="1" w:styleId="Heading1Char">
    <w:name w:val="Heading 1 Char"/>
    <w:locked/>
    <w:rsid w:val="00F70518"/>
    <w:rPr>
      <w:rFonts w:ascii="Arial" w:hAnsi="Arial"/>
      <w:caps/>
      <w:sz w:val="18"/>
      <w:lang w:val="en-CA" w:eastAsia="en-US" w:bidi="ar-SA"/>
    </w:rPr>
  </w:style>
  <w:style w:type="character" w:customStyle="1" w:styleId="CharChar6">
    <w:name w:val="Char Char6"/>
    <w:rsid w:val="00B565AC"/>
    <w:rPr>
      <w:rFonts w:ascii="Arial Bold" w:eastAsia="Times" w:hAnsi="Arial Bold"/>
      <w:b/>
      <w:caps/>
      <w:kern w:val="28"/>
      <w:sz w:val="24"/>
      <w:szCs w:val="22"/>
      <w:lang w:val="en-AU" w:eastAsia="en-AU" w:bidi="ar-SA"/>
    </w:rPr>
  </w:style>
  <w:style w:type="character" w:customStyle="1" w:styleId="PlainTextChar">
    <w:name w:val="Plain Text Char"/>
    <w:semiHidden/>
    <w:locked/>
    <w:rsid w:val="00F46299"/>
    <w:rPr>
      <w:rFonts w:ascii="Calibri" w:hAnsi="Calibri" w:cs="Times New Roman"/>
      <w:sz w:val="21"/>
      <w:szCs w:val="21"/>
    </w:rPr>
  </w:style>
  <w:style w:type="character" w:customStyle="1" w:styleId="CaptionChar1">
    <w:name w:val="Caption Char1"/>
    <w:aliases w:val="Caption arial Char1"/>
    <w:locked/>
    <w:rsid w:val="00024167"/>
    <w:rPr>
      <w:rFonts w:ascii="Arial" w:hAnsi="Arial" w:cs="Times New Roman"/>
      <w:b/>
      <w:bCs/>
      <w:sz w:val="18"/>
      <w:szCs w:val="18"/>
      <w:lang w:val="en-AU" w:eastAsia="en-AU" w:bidi="ar-SA"/>
    </w:rPr>
  </w:style>
  <w:style w:type="character" w:customStyle="1" w:styleId="bodytxt1">
    <w:name w:val="bodytxt1"/>
    <w:rsid w:val="00D869F2"/>
    <w:rPr>
      <w:rFonts w:ascii="Arial" w:hAnsi="Arial" w:cs="Arial" w:hint="default"/>
      <w:strike w:val="0"/>
      <w:dstrike w:val="0"/>
      <w:color w:val="3B3B3C"/>
      <w:sz w:val="18"/>
      <w:szCs w:val="18"/>
      <w:u w:val="none"/>
      <w:effect w:val="none"/>
    </w:rPr>
  </w:style>
  <w:style w:type="character" w:customStyle="1" w:styleId="CharChar3">
    <w:name w:val="Char Char3"/>
    <w:rsid w:val="00B20C51"/>
    <w:rPr>
      <w:rFonts w:ascii="Arial Bold" w:eastAsia="Times" w:hAnsi="Arial Bold"/>
      <w:b/>
      <w:caps/>
      <w:kern w:val="28"/>
      <w:sz w:val="24"/>
      <w:szCs w:val="22"/>
    </w:rPr>
  </w:style>
  <w:style w:type="paragraph" w:customStyle="1" w:styleId="References">
    <w:name w:val="References"/>
    <w:basedOn w:val="Normal"/>
    <w:link w:val="ReferencesChar"/>
    <w:rsid w:val="00D11AD4"/>
    <w:pPr>
      <w:spacing w:line="260" w:lineRule="exact"/>
      <w:ind w:left="567" w:hanging="567"/>
      <w:jc w:val="both"/>
    </w:pPr>
    <w:rPr>
      <w:sz w:val="21"/>
      <w:szCs w:val="20"/>
    </w:rPr>
  </w:style>
  <w:style w:type="character" w:styleId="HTMLCite">
    <w:name w:val="HTML Cite"/>
    <w:rsid w:val="00D11AD4"/>
    <w:rPr>
      <w:i/>
      <w:iCs/>
    </w:rPr>
  </w:style>
  <w:style w:type="paragraph" w:customStyle="1" w:styleId="Notes">
    <w:name w:val="Notes"/>
    <w:basedOn w:val="Normal"/>
    <w:rsid w:val="00F9160A"/>
    <w:pPr>
      <w:numPr>
        <w:numId w:val="47"/>
      </w:numPr>
      <w:pBdr>
        <w:top w:val="single" w:sz="4" w:space="1" w:color="808080"/>
      </w:pBdr>
      <w:tabs>
        <w:tab w:val="clear" w:pos="360"/>
        <w:tab w:val="num" w:pos="284"/>
      </w:tabs>
      <w:spacing w:line="220" w:lineRule="exact"/>
      <w:ind w:left="284" w:hanging="284"/>
      <w:jc w:val="both"/>
    </w:pPr>
    <w:rPr>
      <w:sz w:val="16"/>
      <w:szCs w:val="20"/>
    </w:rPr>
  </w:style>
  <w:style w:type="paragraph" w:customStyle="1" w:styleId="centreheading0">
    <w:name w:val="centreheading"/>
    <w:basedOn w:val="Normal"/>
    <w:rsid w:val="00761298"/>
    <w:pPr>
      <w:autoSpaceDE w:val="0"/>
      <w:autoSpaceDN w:val="0"/>
    </w:pPr>
    <w:rPr>
      <w:sz w:val="24"/>
    </w:rPr>
  </w:style>
  <w:style w:type="paragraph" w:styleId="ListParagraph">
    <w:name w:val="List Paragraph"/>
    <w:basedOn w:val="Normal"/>
    <w:qFormat/>
    <w:rsid w:val="005152D9"/>
    <w:pPr>
      <w:spacing w:after="200" w:line="276" w:lineRule="auto"/>
      <w:ind w:left="720"/>
      <w:contextualSpacing/>
    </w:pPr>
    <w:rPr>
      <w:rFonts w:ascii="Franklin Gothic Book" w:hAnsi="Franklin Gothic Book"/>
      <w:szCs w:val="22"/>
      <w:lang w:eastAsia="en-US"/>
    </w:rPr>
  </w:style>
  <w:style w:type="paragraph" w:customStyle="1" w:styleId="StyleHeading2Before16pt">
    <w:name w:val="Style Heading 2 + Before:  16 pt"/>
    <w:basedOn w:val="Heading2"/>
    <w:rsid w:val="008235E1"/>
    <w:pPr>
      <w:spacing w:before="400"/>
    </w:pPr>
    <w:rPr>
      <w:rFonts w:eastAsia="Times New Roman"/>
      <w:bCs/>
      <w:szCs w:val="20"/>
    </w:rPr>
  </w:style>
  <w:style w:type="paragraph" w:customStyle="1" w:styleId="font5">
    <w:name w:val="font5"/>
    <w:basedOn w:val="Normal"/>
    <w:rsid w:val="00350793"/>
    <w:pPr>
      <w:spacing w:before="100" w:beforeAutospacing="1" w:after="100" w:afterAutospacing="1"/>
    </w:pPr>
    <w:rPr>
      <w:rFonts w:ascii="Arial" w:hAnsi="Arial" w:cs="Arial"/>
      <w:sz w:val="16"/>
      <w:szCs w:val="16"/>
    </w:rPr>
  </w:style>
  <w:style w:type="paragraph" w:customStyle="1" w:styleId="font6">
    <w:name w:val="font6"/>
    <w:basedOn w:val="Normal"/>
    <w:rsid w:val="00350793"/>
    <w:pPr>
      <w:spacing w:before="100" w:beforeAutospacing="1" w:after="100" w:afterAutospacing="1"/>
    </w:pPr>
    <w:rPr>
      <w:rFonts w:ascii="Tahoma" w:hAnsi="Tahoma" w:cs="Tahoma"/>
      <w:color w:val="000000"/>
      <w:sz w:val="20"/>
      <w:szCs w:val="20"/>
    </w:rPr>
  </w:style>
  <w:style w:type="paragraph" w:customStyle="1" w:styleId="font7">
    <w:name w:val="font7"/>
    <w:basedOn w:val="Normal"/>
    <w:rsid w:val="00350793"/>
    <w:pPr>
      <w:spacing w:before="100" w:beforeAutospacing="1" w:after="100" w:afterAutospacing="1"/>
    </w:pPr>
    <w:rPr>
      <w:rFonts w:ascii="Symbol" w:hAnsi="Symbol"/>
      <w:sz w:val="16"/>
      <w:szCs w:val="16"/>
    </w:rPr>
  </w:style>
  <w:style w:type="paragraph" w:customStyle="1" w:styleId="xl67">
    <w:name w:val="xl67"/>
    <w:basedOn w:val="Normal"/>
    <w:rsid w:val="00350793"/>
    <w:pPr>
      <w:spacing w:before="100" w:beforeAutospacing="1" w:after="100" w:afterAutospacing="1"/>
      <w:jc w:val="center"/>
    </w:pPr>
    <w:rPr>
      <w:rFonts w:ascii="Arial" w:hAnsi="Arial" w:cs="Arial"/>
      <w:sz w:val="16"/>
      <w:szCs w:val="16"/>
    </w:rPr>
  </w:style>
  <w:style w:type="paragraph" w:customStyle="1" w:styleId="xl68">
    <w:name w:val="xl68"/>
    <w:basedOn w:val="Normal"/>
    <w:rsid w:val="00350793"/>
    <w:pPr>
      <w:spacing w:before="100" w:beforeAutospacing="1" w:after="100" w:afterAutospacing="1"/>
      <w:jc w:val="center"/>
    </w:pPr>
    <w:rPr>
      <w:rFonts w:ascii="Arial" w:hAnsi="Arial" w:cs="Arial"/>
      <w:sz w:val="16"/>
      <w:szCs w:val="16"/>
    </w:rPr>
  </w:style>
  <w:style w:type="paragraph" w:customStyle="1" w:styleId="xl69">
    <w:name w:val="xl69"/>
    <w:basedOn w:val="Normal"/>
    <w:rsid w:val="00350793"/>
    <w:pPr>
      <w:spacing w:before="100" w:beforeAutospacing="1" w:after="100" w:afterAutospacing="1"/>
      <w:jc w:val="center"/>
    </w:pPr>
    <w:rPr>
      <w:rFonts w:ascii="Arial" w:hAnsi="Arial" w:cs="Arial"/>
      <w:sz w:val="16"/>
      <w:szCs w:val="16"/>
    </w:rPr>
  </w:style>
  <w:style w:type="paragraph" w:customStyle="1" w:styleId="xl70">
    <w:name w:val="xl70"/>
    <w:basedOn w:val="Normal"/>
    <w:rsid w:val="00350793"/>
    <w:pPr>
      <w:spacing w:before="100" w:beforeAutospacing="1" w:after="100" w:afterAutospacing="1"/>
      <w:jc w:val="center"/>
    </w:pPr>
    <w:rPr>
      <w:rFonts w:ascii="Arial" w:hAnsi="Arial" w:cs="Arial"/>
      <w:sz w:val="16"/>
      <w:szCs w:val="16"/>
    </w:rPr>
  </w:style>
  <w:style w:type="paragraph" w:customStyle="1" w:styleId="xl71">
    <w:name w:val="xl71"/>
    <w:basedOn w:val="Normal"/>
    <w:rsid w:val="00350793"/>
    <w:pPr>
      <w:spacing w:before="100" w:beforeAutospacing="1" w:after="100" w:afterAutospacing="1"/>
      <w:jc w:val="center"/>
    </w:pPr>
    <w:rPr>
      <w:rFonts w:ascii="Arial" w:hAnsi="Arial" w:cs="Arial"/>
      <w:sz w:val="16"/>
      <w:szCs w:val="16"/>
    </w:rPr>
  </w:style>
  <w:style w:type="paragraph" w:customStyle="1" w:styleId="xl72">
    <w:name w:val="xl72"/>
    <w:basedOn w:val="Normal"/>
    <w:rsid w:val="00350793"/>
    <w:pPr>
      <w:spacing w:before="100" w:beforeAutospacing="1" w:after="100" w:afterAutospacing="1"/>
      <w:jc w:val="center"/>
    </w:pPr>
    <w:rPr>
      <w:rFonts w:ascii="Arial" w:hAnsi="Arial" w:cs="Arial"/>
      <w:b/>
      <w:bCs/>
      <w:sz w:val="16"/>
      <w:szCs w:val="16"/>
    </w:rPr>
  </w:style>
  <w:style w:type="paragraph" w:customStyle="1" w:styleId="xl73">
    <w:name w:val="xl73"/>
    <w:basedOn w:val="Normal"/>
    <w:rsid w:val="00350793"/>
    <w:pPr>
      <w:spacing w:before="100" w:beforeAutospacing="1" w:after="100" w:afterAutospacing="1"/>
      <w:jc w:val="center"/>
    </w:pPr>
    <w:rPr>
      <w:rFonts w:ascii="Arial" w:hAnsi="Arial" w:cs="Arial"/>
      <w:b/>
      <w:bCs/>
      <w:sz w:val="16"/>
      <w:szCs w:val="16"/>
    </w:rPr>
  </w:style>
  <w:style w:type="paragraph" w:customStyle="1" w:styleId="xl74">
    <w:name w:val="xl74"/>
    <w:basedOn w:val="Normal"/>
    <w:rsid w:val="00350793"/>
    <w:pPr>
      <w:spacing w:before="100" w:beforeAutospacing="1" w:after="100" w:afterAutospacing="1"/>
      <w:jc w:val="center"/>
    </w:pPr>
    <w:rPr>
      <w:rFonts w:ascii="Arial" w:hAnsi="Arial" w:cs="Arial"/>
      <w:sz w:val="16"/>
      <w:szCs w:val="16"/>
    </w:rPr>
  </w:style>
  <w:style w:type="paragraph" w:customStyle="1" w:styleId="xl75">
    <w:name w:val="xl75"/>
    <w:basedOn w:val="Normal"/>
    <w:rsid w:val="00350793"/>
    <w:pPr>
      <w:spacing w:before="100" w:beforeAutospacing="1" w:after="100" w:afterAutospacing="1"/>
      <w:jc w:val="center"/>
    </w:pPr>
    <w:rPr>
      <w:rFonts w:ascii="Arial" w:hAnsi="Arial" w:cs="Arial"/>
      <w:sz w:val="16"/>
      <w:szCs w:val="16"/>
    </w:rPr>
  </w:style>
  <w:style w:type="paragraph" w:customStyle="1" w:styleId="xl76">
    <w:name w:val="xl76"/>
    <w:basedOn w:val="Normal"/>
    <w:rsid w:val="00350793"/>
    <w:pPr>
      <w:spacing w:before="100" w:beforeAutospacing="1" w:after="100" w:afterAutospacing="1"/>
      <w:jc w:val="center"/>
      <w:textAlignment w:val="center"/>
    </w:pPr>
    <w:rPr>
      <w:rFonts w:ascii="Arial" w:hAnsi="Arial" w:cs="Arial"/>
      <w:sz w:val="16"/>
      <w:szCs w:val="16"/>
    </w:rPr>
  </w:style>
  <w:style w:type="paragraph" w:customStyle="1" w:styleId="xl77">
    <w:name w:val="xl77"/>
    <w:basedOn w:val="Normal"/>
    <w:rsid w:val="00350793"/>
    <w:pPr>
      <w:spacing w:before="100" w:beforeAutospacing="1" w:after="100" w:afterAutospacing="1"/>
      <w:jc w:val="center"/>
    </w:pPr>
    <w:rPr>
      <w:rFonts w:ascii="Arial" w:hAnsi="Arial" w:cs="Arial"/>
      <w:sz w:val="16"/>
      <w:szCs w:val="16"/>
    </w:rPr>
  </w:style>
  <w:style w:type="paragraph" w:customStyle="1" w:styleId="xl78">
    <w:name w:val="xl78"/>
    <w:basedOn w:val="Normal"/>
    <w:rsid w:val="00350793"/>
    <w:pPr>
      <w:spacing w:before="100" w:beforeAutospacing="1" w:after="100" w:afterAutospacing="1"/>
      <w:jc w:val="center"/>
    </w:pPr>
    <w:rPr>
      <w:rFonts w:ascii="Arial" w:hAnsi="Arial" w:cs="Arial"/>
      <w:sz w:val="16"/>
      <w:szCs w:val="16"/>
    </w:rPr>
  </w:style>
  <w:style w:type="paragraph" w:customStyle="1" w:styleId="xl79">
    <w:name w:val="xl79"/>
    <w:basedOn w:val="Normal"/>
    <w:rsid w:val="00350793"/>
    <w:pPr>
      <w:spacing w:before="100" w:beforeAutospacing="1" w:after="100" w:afterAutospacing="1"/>
      <w:jc w:val="center"/>
    </w:pPr>
    <w:rPr>
      <w:sz w:val="16"/>
      <w:szCs w:val="16"/>
    </w:rPr>
  </w:style>
  <w:style w:type="paragraph" w:customStyle="1" w:styleId="xl80">
    <w:name w:val="xl80"/>
    <w:basedOn w:val="Normal"/>
    <w:rsid w:val="00350793"/>
    <w:pPr>
      <w:shd w:val="clear" w:color="auto" w:fill="00FFFF"/>
      <w:spacing w:before="100" w:beforeAutospacing="1" w:after="100" w:afterAutospacing="1"/>
      <w:jc w:val="center"/>
    </w:pPr>
    <w:rPr>
      <w:rFonts w:ascii="Arial" w:hAnsi="Arial" w:cs="Arial"/>
      <w:sz w:val="16"/>
      <w:szCs w:val="16"/>
    </w:rPr>
  </w:style>
  <w:style w:type="paragraph" w:customStyle="1" w:styleId="xl81">
    <w:name w:val="xl81"/>
    <w:basedOn w:val="Normal"/>
    <w:rsid w:val="00350793"/>
    <w:pPr>
      <w:spacing w:before="100" w:beforeAutospacing="1" w:after="100" w:afterAutospacing="1"/>
      <w:jc w:val="center"/>
    </w:pPr>
    <w:rPr>
      <w:rFonts w:ascii="Arial" w:hAnsi="Arial" w:cs="Arial"/>
      <w:sz w:val="16"/>
      <w:szCs w:val="16"/>
    </w:rPr>
  </w:style>
  <w:style w:type="paragraph" w:customStyle="1" w:styleId="xl82">
    <w:name w:val="xl82"/>
    <w:basedOn w:val="Normal"/>
    <w:rsid w:val="00350793"/>
    <w:pPr>
      <w:spacing w:before="100" w:beforeAutospacing="1" w:after="100" w:afterAutospacing="1"/>
      <w:jc w:val="center"/>
    </w:pPr>
    <w:rPr>
      <w:sz w:val="16"/>
      <w:szCs w:val="16"/>
    </w:rPr>
  </w:style>
  <w:style w:type="paragraph" w:customStyle="1" w:styleId="xl83">
    <w:name w:val="xl83"/>
    <w:basedOn w:val="Normal"/>
    <w:rsid w:val="00350793"/>
    <w:pPr>
      <w:spacing w:before="100" w:beforeAutospacing="1" w:after="100" w:afterAutospacing="1"/>
      <w:jc w:val="center"/>
    </w:pPr>
    <w:rPr>
      <w:rFonts w:ascii="Arial" w:hAnsi="Arial" w:cs="Arial"/>
      <w:sz w:val="16"/>
      <w:szCs w:val="16"/>
    </w:rPr>
  </w:style>
  <w:style w:type="paragraph" w:customStyle="1" w:styleId="xl84">
    <w:name w:val="xl84"/>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5">
    <w:name w:val="xl85"/>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6">
    <w:name w:val="xl86"/>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7">
    <w:name w:val="xl87"/>
    <w:basedOn w:val="Normal"/>
    <w:rsid w:val="00350793"/>
    <w:pPr>
      <w:spacing w:before="100" w:beforeAutospacing="1" w:after="100" w:afterAutospacing="1"/>
      <w:jc w:val="center"/>
    </w:pPr>
    <w:rPr>
      <w:rFonts w:ascii="Arial" w:hAnsi="Arial" w:cs="Arial"/>
      <w:color w:val="000000"/>
      <w:sz w:val="16"/>
      <w:szCs w:val="16"/>
    </w:rPr>
  </w:style>
  <w:style w:type="paragraph" w:customStyle="1" w:styleId="xl88">
    <w:name w:val="xl88"/>
    <w:basedOn w:val="Normal"/>
    <w:rsid w:val="00350793"/>
    <w:pPr>
      <w:spacing w:before="100" w:beforeAutospacing="1" w:after="100" w:afterAutospacing="1"/>
      <w:jc w:val="center"/>
    </w:pPr>
    <w:rPr>
      <w:sz w:val="16"/>
      <w:szCs w:val="16"/>
    </w:rPr>
  </w:style>
  <w:style w:type="paragraph" w:customStyle="1" w:styleId="xl89">
    <w:name w:val="xl89"/>
    <w:basedOn w:val="Normal"/>
    <w:rsid w:val="00350793"/>
    <w:pPr>
      <w:shd w:val="clear" w:color="auto" w:fill="00FFFF"/>
      <w:spacing w:before="100" w:beforeAutospacing="1" w:after="100" w:afterAutospacing="1"/>
      <w:jc w:val="center"/>
    </w:pPr>
    <w:rPr>
      <w:rFonts w:ascii="Arial" w:hAnsi="Arial" w:cs="Arial"/>
      <w:sz w:val="16"/>
      <w:szCs w:val="16"/>
    </w:rPr>
  </w:style>
  <w:style w:type="paragraph" w:customStyle="1" w:styleId="xl90">
    <w:name w:val="xl90"/>
    <w:basedOn w:val="Normal"/>
    <w:rsid w:val="00350793"/>
    <w:pPr>
      <w:shd w:val="clear" w:color="auto" w:fill="00FFFF"/>
      <w:spacing w:before="100" w:beforeAutospacing="1" w:after="100" w:afterAutospacing="1"/>
      <w:jc w:val="center"/>
    </w:pPr>
    <w:rPr>
      <w:rFonts w:ascii="Arial" w:hAnsi="Arial" w:cs="Arial"/>
      <w:color w:val="000000"/>
      <w:sz w:val="16"/>
      <w:szCs w:val="16"/>
    </w:rPr>
  </w:style>
  <w:style w:type="paragraph" w:customStyle="1" w:styleId="xl91">
    <w:name w:val="xl91"/>
    <w:basedOn w:val="Normal"/>
    <w:rsid w:val="00350793"/>
    <w:pPr>
      <w:spacing w:before="100" w:beforeAutospacing="1" w:after="100" w:afterAutospacing="1"/>
      <w:jc w:val="center"/>
      <w:textAlignment w:val="center"/>
    </w:pPr>
    <w:rPr>
      <w:sz w:val="16"/>
      <w:szCs w:val="16"/>
    </w:rPr>
  </w:style>
  <w:style w:type="paragraph" w:customStyle="1" w:styleId="xl92">
    <w:name w:val="xl92"/>
    <w:basedOn w:val="Normal"/>
    <w:rsid w:val="00350793"/>
    <w:pPr>
      <w:spacing w:before="100" w:beforeAutospacing="1" w:after="100" w:afterAutospacing="1"/>
      <w:jc w:val="center"/>
    </w:pPr>
    <w:rPr>
      <w:sz w:val="16"/>
      <w:szCs w:val="16"/>
    </w:rPr>
  </w:style>
  <w:style w:type="paragraph" w:customStyle="1" w:styleId="xl93">
    <w:name w:val="xl93"/>
    <w:basedOn w:val="Normal"/>
    <w:rsid w:val="00350793"/>
    <w:pPr>
      <w:spacing w:before="100" w:beforeAutospacing="1" w:after="100" w:afterAutospacing="1"/>
    </w:pPr>
    <w:rPr>
      <w:sz w:val="16"/>
      <w:szCs w:val="16"/>
    </w:rPr>
  </w:style>
  <w:style w:type="paragraph" w:customStyle="1" w:styleId="xl94">
    <w:name w:val="xl94"/>
    <w:basedOn w:val="Normal"/>
    <w:rsid w:val="00350793"/>
    <w:pPr>
      <w:spacing w:before="100" w:beforeAutospacing="1" w:after="100" w:afterAutospacing="1"/>
      <w:jc w:val="center"/>
    </w:pPr>
    <w:rPr>
      <w:rFonts w:ascii="Arial" w:hAnsi="Arial" w:cs="Arial"/>
      <w:b/>
      <w:bCs/>
      <w:sz w:val="16"/>
      <w:szCs w:val="16"/>
    </w:rPr>
  </w:style>
  <w:style w:type="paragraph" w:customStyle="1" w:styleId="xl95">
    <w:name w:val="xl95"/>
    <w:basedOn w:val="Normal"/>
    <w:rsid w:val="00350793"/>
    <w:pPr>
      <w:shd w:val="clear" w:color="auto" w:fill="CCFFCC"/>
      <w:spacing w:before="100" w:beforeAutospacing="1" w:after="100" w:afterAutospacing="1"/>
      <w:jc w:val="center"/>
    </w:pPr>
    <w:rPr>
      <w:rFonts w:ascii="Arial" w:hAnsi="Arial" w:cs="Arial"/>
      <w:sz w:val="16"/>
      <w:szCs w:val="16"/>
    </w:rPr>
  </w:style>
  <w:style w:type="paragraph" w:customStyle="1" w:styleId="xl96">
    <w:name w:val="xl96"/>
    <w:basedOn w:val="Normal"/>
    <w:rsid w:val="00350793"/>
    <w:pPr>
      <w:spacing w:before="100" w:beforeAutospacing="1" w:after="100" w:afterAutospacing="1"/>
    </w:pPr>
    <w:rPr>
      <w:rFonts w:ascii="Arial" w:hAnsi="Arial" w:cs="Arial"/>
      <w:b/>
      <w:bCs/>
      <w:sz w:val="16"/>
      <w:szCs w:val="16"/>
    </w:rPr>
  </w:style>
  <w:style w:type="paragraph" w:customStyle="1" w:styleId="xl97">
    <w:name w:val="xl97"/>
    <w:basedOn w:val="Normal"/>
    <w:rsid w:val="00350793"/>
    <w:pPr>
      <w:spacing w:before="100" w:beforeAutospacing="1" w:after="100" w:afterAutospacing="1"/>
    </w:pPr>
    <w:rPr>
      <w:rFonts w:ascii="Arial" w:hAnsi="Arial" w:cs="Arial"/>
      <w:b/>
      <w:bCs/>
      <w:sz w:val="16"/>
      <w:szCs w:val="16"/>
    </w:rPr>
  </w:style>
  <w:style w:type="paragraph" w:customStyle="1" w:styleId="references0">
    <w:name w:val="references"/>
    <w:basedOn w:val="Normal"/>
    <w:rsid w:val="00EE1082"/>
    <w:pPr>
      <w:spacing w:line="260" w:lineRule="atLeast"/>
      <w:ind w:left="567" w:hanging="567"/>
      <w:jc w:val="both"/>
    </w:pPr>
    <w:rPr>
      <w:sz w:val="21"/>
      <w:szCs w:val="21"/>
    </w:rPr>
  </w:style>
  <w:style w:type="paragraph" w:customStyle="1" w:styleId="Body1">
    <w:name w:val="Body 1"/>
    <w:rsid w:val="00255272"/>
    <w:pPr>
      <w:outlineLvl w:val="0"/>
    </w:pPr>
    <w:rPr>
      <w:rFonts w:eastAsia="Arial Unicode MS"/>
      <w:color w:val="000000"/>
      <w:u w:color="000000"/>
    </w:rPr>
  </w:style>
  <w:style w:type="paragraph" w:customStyle="1" w:styleId="BodyText2Notes">
    <w:name w:val="Body Text 2 Notes"/>
    <w:basedOn w:val="BodyText2"/>
    <w:link w:val="BodyText2NotesCharChar"/>
    <w:rsid w:val="000A64C5"/>
    <w:pPr>
      <w:spacing w:line="240" w:lineRule="auto"/>
    </w:pPr>
    <w:rPr>
      <w:sz w:val="20"/>
    </w:rPr>
  </w:style>
  <w:style w:type="character" w:customStyle="1" w:styleId="BodyText2NotesCharChar">
    <w:name w:val="Body Text 2 Notes Char Char"/>
    <w:link w:val="BodyText2Notes"/>
    <w:rsid w:val="00B349DB"/>
    <w:rPr>
      <w:szCs w:val="24"/>
      <w:lang w:val="en-AU" w:eastAsia="en-AU" w:bidi="ar-SA"/>
    </w:rPr>
  </w:style>
  <w:style w:type="paragraph" w:customStyle="1" w:styleId="Tabletext1">
    <w:name w:val="Table text"/>
    <w:basedOn w:val="Normal"/>
    <w:link w:val="TabletextChar"/>
    <w:rsid w:val="006F43C3"/>
    <w:pPr>
      <w:spacing w:line="250" w:lineRule="exact"/>
    </w:pPr>
    <w:rPr>
      <w:sz w:val="20"/>
      <w:szCs w:val="20"/>
    </w:rPr>
  </w:style>
  <w:style w:type="character" w:customStyle="1" w:styleId="TabletextChar">
    <w:name w:val="Table text Char"/>
    <w:link w:val="Tabletext1"/>
    <w:rsid w:val="006F43C3"/>
    <w:rPr>
      <w:lang w:val="en-AU" w:eastAsia="en-AU" w:bidi="ar-SA"/>
    </w:rPr>
  </w:style>
  <w:style w:type="paragraph" w:customStyle="1" w:styleId="TableTextLeft">
    <w:name w:val="TableText + Left"/>
    <w:basedOn w:val="Normal"/>
    <w:rsid w:val="006F43C3"/>
    <w:pPr>
      <w:keepNext/>
      <w:spacing w:before="60" w:after="60"/>
    </w:pPr>
    <w:rPr>
      <w:sz w:val="20"/>
      <w:szCs w:val="20"/>
      <w:lang w:eastAsia="en-US"/>
    </w:rPr>
  </w:style>
  <w:style w:type="paragraph" w:customStyle="1" w:styleId="Abstract">
    <w:name w:val="Abstract"/>
    <w:basedOn w:val="Normal"/>
    <w:next w:val="Normal"/>
    <w:rsid w:val="00D7599C"/>
    <w:pPr>
      <w:keepNext/>
      <w:overflowPunct w:val="0"/>
      <w:autoSpaceDE w:val="0"/>
      <w:autoSpaceDN w:val="0"/>
      <w:adjustRightInd w:val="0"/>
      <w:jc w:val="both"/>
      <w:textAlignment w:val="baseline"/>
    </w:pPr>
    <w:rPr>
      <w:rFonts w:ascii="Arial" w:hAnsi="Arial"/>
      <w:sz w:val="18"/>
      <w:szCs w:val="20"/>
      <w:lang w:val="en-CA" w:eastAsia="en-US"/>
    </w:rPr>
  </w:style>
  <w:style w:type="paragraph" w:customStyle="1" w:styleId="Bulletlevel1">
    <w:name w:val="Bullet level 1"/>
    <w:basedOn w:val="Normal"/>
    <w:rsid w:val="00CA355D"/>
    <w:pPr>
      <w:numPr>
        <w:numId w:val="66"/>
      </w:numPr>
    </w:pPr>
    <w:rPr>
      <w:sz w:val="24"/>
      <w:lang w:val="en-US" w:eastAsia="en-US"/>
    </w:rPr>
  </w:style>
  <w:style w:type="paragraph" w:customStyle="1" w:styleId="CaptionsBold">
    <w:name w:val="Captions + Bold"/>
    <w:basedOn w:val="Normal"/>
    <w:link w:val="CaptionsBoldCharChar"/>
    <w:rsid w:val="00391537"/>
    <w:pPr>
      <w:spacing w:before="120"/>
    </w:pPr>
    <w:rPr>
      <w:b/>
      <w:bCs/>
      <w:i/>
      <w:iCs/>
      <w:sz w:val="20"/>
      <w:szCs w:val="20"/>
    </w:rPr>
  </w:style>
  <w:style w:type="character" w:customStyle="1" w:styleId="CaptionsBoldCharChar">
    <w:name w:val="Captions + Bold Char Char"/>
    <w:link w:val="CaptionsBold"/>
    <w:rsid w:val="00391537"/>
    <w:rPr>
      <w:b/>
      <w:bCs/>
      <w:i/>
      <w:iCs/>
      <w:lang w:val="en-AU" w:eastAsia="en-AU" w:bidi="ar-SA"/>
    </w:rPr>
  </w:style>
  <w:style w:type="paragraph" w:customStyle="1" w:styleId="BodyText10">
    <w:name w:val="BodyText_1"/>
    <w:basedOn w:val="Normal"/>
    <w:link w:val="BodyText1CharChar"/>
    <w:rsid w:val="00391537"/>
    <w:rPr>
      <w:sz w:val="24"/>
      <w:szCs w:val="20"/>
    </w:rPr>
  </w:style>
  <w:style w:type="character" w:customStyle="1" w:styleId="BodyText1CharChar">
    <w:name w:val="BodyText_1 Char Char"/>
    <w:link w:val="BodyText10"/>
    <w:locked/>
    <w:rsid w:val="00391537"/>
    <w:rPr>
      <w:sz w:val="24"/>
      <w:lang w:val="en-AU" w:eastAsia="en-AU" w:bidi="ar-SA"/>
    </w:rPr>
  </w:style>
  <w:style w:type="character" w:customStyle="1" w:styleId="ReferencesChar">
    <w:name w:val="References Char"/>
    <w:link w:val="References"/>
    <w:rsid w:val="00884690"/>
    <w:rPr>
      <w:sz w:val="21"/>
      <w:lang w:val="en-AU" w:eastAsia="en-AU" w:bidi="ar-SA"/>
    </w:rPr>
  </w:style>
  <w:style w:type="character" w:customStyle="1" w:styleId="st1">
    <w:name w:val="st1"/>
    <w:basedOn w:val="DefaultParagraphFont"/>
    <w:rsid w:val="0060665D"/>
  </w:style>
  <w:style w:type="character" w:customStyle="1" w:styleId="ssens">
    <w:name w:val="ssens"/>
    <w:basedOn w:val="DefaultParagraphFont"/>
    <w:rsid w:val="0060665D"/>
  </w:style>
  <w:style w:type="paragraph" w:customStyle="1" w:styleId="Record">
    <w:name w:val="Record #"/>
    <w:basedOn w:val="Normal"/>
    <w:rsid w:val="00CF7613"/>
    <w:pPr>
      <w:keepNext/>
      <w:spacing w:line="260" w:lineRule="exact"/>
    </w:pPr>
    <w:rPr>
      <w:rFonts w:ascii="Arial" w:eastAsia="Times" w:hAnsi="Arial" w:cs="Arial"/>
      <w:caps/>
      <w:spacing w:val="10"/>
      <w:sz w:val="19"/>
      <w:szCs w:val="19"/>
    </w:rPr>
  </w:style>
  <w:style w:type="paragraph" w:customStyle="1" w:styleId="Figuresandimagesleft">
    <w:name w:val="Figures and images left"/>
    <w:basedOn w:val="BodyText"/>
    <w:next w:val="Normal"/>
    <w:link w:val="FiguresandimagesleftChar"/>
    <w:qFormat/>
    <w:rsid w:val="00CF7613"/>
    <w:pPr>
      <w:keepNext/>
      <w:spacing w:before="480" w:after="80" w:line="160" w:lineRule="atLeast"/>
    </w:pPr>
    <w:rPr>
      <w:rFonts w:ascii="Arial" w:eastAsia="Times" w:hAnsi="Arial"/>
    </w:rPr>
  </w:style>
  <w:style w:type="character" w:customStyle="1" w:styleId="FiguresandimagesleftChar">
    <w:name w:val="Figures and images left Char"/>
    <w:link w:val="Figuresandimagesleft"/>
    <w:rsid w:val="00CF7613"/>
    <w:rPr>
      <w:rFonts w:ascii="Arial" w:eastAsia="Times" w:hAnsi="Arial" w:cs="Arial"/>
      <w:sz w:val="22"/>
      <w:szCs w:val="28"/>
    </w:rPr>
  </w:style>
  <w:style w:type="paragraph" w:customStyle="1" w:styleId="Versopageinfo">
    <w:name w:val="Verso page info"/>
    <w:basedOn w:val="BodyText"/>
    <w:link w:val="VersopageinfoChar"/>
    <w:qFormat/>
    <w:rsid w:val="00CF7613"/>
    <w:pPr>
      <w:spacing w:after="180"/>
    </w:pPr>
    <w:rPr>
      <w:rFonts w:eastAsia="Times"/>
    </w:rPr>
  </w:style>
  <w:style w:type="character" w:customStyle="1" w:styleId="VersopageinfoChar">
    <w:name w:val="Verso page info Char"/>
    <w:link w:val="Versopageinfo"/>
    <w:rsid w:val="00CF7613"/>
    <w:rPr>
      <w:rFonts w:eastAsia="Times" w:cs="Arial"/>
      <w:sz w:val="22"/>
      <w:szCs w:val="28"/>
    </w:rPr>
  </w:style>
  <w:style w:type="paragraph" w:customStyle="1" w:styleId="VersoBoldPgB4">
    <w:name w:val="Verso Bold Pg B4"/>
    <w:next w:val="BodyText"/>
    <w:qFormat/>
    <w:rsid w:val="00CF7613"/>
    <w:pPr>
      <w:pageBreakBefore/>
      <w:spacing w:before="180" w:after="60" w:line="240" w:lineRule="atLeast"/>
    </w:pPr>
    <w:rPr>
      <w:rFonts w:eastAsia="Times" w:cs="Arial"/>
      <w:b/>
      <w:kern w:val="28"/>
      <w:sz w:val="22"/>
    </w:rPr>
  </w:style>
  <w:style w:type="paragraph" w:customStyle="1" w:styleId="VersoBold">
    <w:name w:val="Verso Bold"/>
    <w:basedOn w:val="BodyText"/>
    <w:next w:val="Normal"/>
    <w:rsid w:val="00CF7613"/>
    <w:pPr>
      <w:spacing w:before="240" w:after="0"/>
    </w:pPr>
    <w:rPr>
      <w:rFonts w:eastAsia="Times"/>
      <w:b/>
      <w:kern w:val="28"/>
      <w:szCs w:val="20"/>
    </w:rPr>
  </w:style>
  <w:style w:type="paragraph" w:customStyle="1" w:styleId="Biblography">
    <w:name w:val="Biblography"/>
    <w:basedOn w:val="Normal"/>
    <w:qFormat/>
    <w:rsid w:val="00CF7613"/>
    <w:pPr>
      <w:pBdr>
        <w:top w:val="single" w:sz="4" w:space="1" w:color="auto"/>
        <w:left w:val="single" w:sz="4" w:space="4" w:color="auto"/>
        <w:bottom w:val="single" w:sz="4" w:space="1" w:color="auto"/>
        <w:right w:val="single" w:sz="4" w:space="4" w:color="auto"/>
      </w:pBdr>
    </w:pPr>
    <w:rPr>
      <w:bCs/>
    </w:rPr>
  </w:style>
  <w:style w:type="character" w:customStyle="1" w:styleId="StyleItalic">
    <w:name w:val="Style Italic"/>
    <w:basedOn w:val="DefaultParagraphFont"/>
    <w:rsid w:val="00CF7613"/>
    <w:rPr>
      <w:i/>
      <w:iCs/>
    </w:rPr>
  </w:style>
  <w:style w:type="character" w:customStyle="1" w:styleId="StyleSuperscript">
    <w:name w:val="Style Superscript"/>
    <w:rsid w:val="00CF7613"/>
    <w:rPr>
      <w:vertAlign w:val="superscript"/>
    </w:rPr>
  </w:style>
  <w:style w:type="paragraph" w:customStyle="1" w:styleId="StyleHeading1h1TempoHeading1Project1RFSTOC11Sectionhea">
    <w:name w:val="Style Heading 1h1Tempo Heading 1Project 1RFSTOC 11Section hea..."/>
    <w:basedOn w:val="Heading1"/>
    <w:rsid w:val="0015527F"/>
    <w:pPr>
      <w:spacing w:after="120"/>
      <w:ind w:left="0" w:firstLine="0"/>
    </w:pPr>
    <w:rPr>
      <w:rFonts w:eastAsia="Times New Roman"/>
      <w:szCs w:val="20"/>
    </w:rPr>
  </w:style>
  <w:style w:type="paragraph" w:customStyle="1" w:styleId="StyleCenteredBefore12pt">
    <w:name w:val="Style Centered Before:  12 pt"/>
    <w:basedOn w:val="Normal"/>
    <w:rsid w:val="00DB5BC2"/>
    <w:pPr>
      <w:spacing w:before="240" w:line="240" w:lineRule="atLeast"/>
      <w:jc w:val="center"/>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98876">
      <w:bodyDiv w:val="1"/>
      <w:marLeft w:val="0"/>
      <w:marRight w:val="0"/>
      <w:marTop w:val="0"/>
      <w:marBottom w:val="0"/>
      <w:divBdr>
        <w:top w:val="none" w:sz="0" w:space="0" w:color="auto"/>
        <w:left w:val="none" w:sz="0" w:space="0" w:color="auto"/>
        <w:bottom w:val="none" w:sz="0" w:space="0" w:color="auto"/>
        <w:right w:val="none" w:sz="0" w:space="0" w:color="auto"/>
      </w:divBdr>
    </w:div>
    <w:div w:id="145784649">
      <w:bodyDiv w:val="1"/>
      <w:marLeft w:val="0"/>
      <w:marRight w:val="0"/>
      <w:marTop w:val="0"/>
      <w:marBottom w:val="0"/>
      <w:divBdr>
        <w:top w:val="none" w:sz="0" w:space="0" w:color="auto"/>
        <w:left w:val="none" w:sz="0" w:space="0" w:color="auto"/>
        <w:bottom w:val="none" w:sz="0" w:space="0" w:color="auto"/>
        <w:right w:val="none" w:sz="0" w:space="0" w:color="auto"/>
      </w:divBdr>
    </w:div>
    <w:div w:id="185870686">
      <w:bodyDiv w:val="1"/>
      <w:marLeft w:val="0"/>
      <w:marRight w:val="0"/>
      <w:marTop w:val="0"/>
      <w:marBottom w:val="0"/>
      <w:divBdr>
        <w:top w:val="none" w:sz="0" w:space="0" w:color="auto"/>
        <w:left w:val="none" w:sz="0" w:space="0" w:color="auto"/>
        <w:bottom w:val="none" w:sz="0" w:space="0" w:color="auto"/>
        <w:right w:val="none" w:sz="0" w:space="0" w:color="auto"/>
      </w:divBdr>
    </w:div>
    <w:div w:id="217864163">
      <w:bodyDiv w:val="1"/>
      <w:marLeft w:val="0"/>
      <w:marRight w:val="0"/>
      <w:marTop w:val="0"/>
      <w:marBottom w:val="0"/>
      <w:divBdr>
        <w:top w:val="none" w:sz="0" w:space="0" w:color="auto"/>
        <w:left w:val="none" w:sz="0" w:space="0" w:color="auto"/>
        <w:bottom w:val="none" w:sz="0" w:space="0" w:color="auto"/>
        <w:right w:val="none" w:sz="0" w:space="0" w:color="auto"/>
      </w:divBdr>
    </w:div>
    <w:div w:id="359820935">
      <w:bodyDiv w:val="1"/>
      <w:marLeft w:val="0"/>
      <w:marRight w:val="0"/>
      <w:marTop w:val="0"/>
      <w:marBottom w:val="0"/>
      <w:divBdr>
        <w:top w:val="none" w:sz="0" w:space="0" w:color="auto"/>
        <w:left w:val="none" w:sz="0" w:space="0" w:color="auto"/>
        <w:bottom w:val="none" w:sz="0" w:space="0" w:color="auto"/>
        <w:right w:val="none" w:sz="0" w:space="0" w:color="auto"/>
      </w:divBdr>
    </w:div>
    <w:div w:id="416557718">
      <w:bodyDiv w:val="1"/>
      <w:marLeft w:val="0"/>
      <w:marRight w:val="0"/>
      <w:marTop w:val="0"/>
      <w:marBottom w:val="0"/>
      <w:divBdr>
        <w:top w:val="none" w:sz="0" w:space="0" w:color="auto"/>
        <w:left w:val="none" w:sz="0" w:space="0" w:color="auto"/>
        <w:bottom w:val="none" w:sz="0" w:space="0" w:color="auto"/>
        <w:right w:val="none" w:sz="0" w:space="0" w:color="auto"/>
      </w:divBdr>
    </w:div>
    <w:div w:id="475995028">
      <w:bodyDiv w:val="1"/>
      <w:marLeft w:val="0"/>
      <w:marRight w:val="0"/>
      <w:marTop w:val="0"/>
      <w:marBottom w:val="0"/>
      <w:divBdr>
        <w:top w:val="none" w:sz="0" w:space="0" w:color="auto"/>
        <w:left w:val="none" w:sz="0" w:space="0" w:color="auto"/>
        <w:bottom w:val="none" w:sz="0" w:space="0" w:color="auto"/>
        <w:right w:val="none" w:sz="0" w:space="0" w:color="auto"/>
      </w:divBdr>
    </w:div>
    <w:div w:id="496767909">
      <w:bodyDiv w:val="1"/>
      <w:marLeft w:val="0"/>
      <w:marRight w:val="0"/>
      <w:marTop w:val="0"/>
      <w:marBottom w:val="0"/>
      <w:divBdr>
        <w:top w:val="none" w:sz="0" w:space="0" w:color="auto"/>
        <w:left w:val="none" w:sz="0" w:space="0" w:color="auto"/>
        <w:bottom w:val="none" w:sz="0" w:space="0" w:color="auto"/>
        <w:right w:val="none" w:sz="0" w:space="0" w:color="auto"/>
      </w:divBdr>
    </w:div>
    <w:div w:id="682820561">
      <w:bodyDiv w:val="1"/>
      <w:marLeft w:val="0"/>
      <w:marRight w:val="0"/>
      <w:marTop w:val="0"/>
      <w:marBottom w:val="0"/>
      <w:divBdr>
        <w:top w:val="none" w:sz="0" w:space="0" w:color="auto"/>
        <w:left w:val="none" w:sz="0" w:space="0" w:color="auto"/>
        <w:bottom w:val="none" w:sz="0" w:space="0" w:color="auto"/>
        <w:right w:val="none" w:sz="0" w:space="0" w:color="auto"/>
      </w:divBdr>
    </w:div>
    <w:div w:id="687831699">
      <w:bodyDiv w:val="1"/>
      <w:marLeft w:val="0"/>
      <w:marRight w:val="0"/>
      <w:marTop w:val="0"/>
      <w:marBottom w:val="0"/>
      <w:divBdr>
        <w:top w:val="none" w:sz="0" w:space="0" w:color="auto"/>
        <w:left w:val="none" w:sz="0" w:space="0" w:color="auto"/>
        <w:bottom w:val="none" w:sz="0" w:space="0" w:color="auto"/>
        <w:right w:val="none" w:sz="0" w:space="0" w:color="auto"/>
      </w:divBdr>
    </w:div>
    <w:div w:id="750465030">
      <w:bodyDiv w:val="1"/>
      <w:marLeft w:val="0"/>
      <w:marRight w:val="0"/>
      <w:marTop w:val="0"/>
      <w:marBottom w:val="0"/>
      <w:divBdr>
        <w:top w:val="none" w:sz="0" w:space="0" w:color="auto"/>
        <w:left w:val="none" w:sz="0" w:space="0" w:color="auto"/>
        <w:bottom w:val="none" w:sz="0" w:space="0" w:color="auto"/>
        <w:right w:val="none" w:sz="0" w:space="0" w:color="auto"/>
      </w:divBdr>
    </w:div>
    <w:div w:id="1047606928">
      <w:bodyDiv w:val="1"/>
      <w:marLeft w:val="0"/>
      <w:marRight w:val="0"/>
      <w:marTop w:val="0"/>
      <w:marBottom w:val="0"/>
      <w:divBdr>
        <w:top w:val="none" w:sz="0" w:space="0" w:color="auto"/>
        <w:left w:val="none" w:sz="0" w:space="0" w:color="auto"/>
        <w:bottom w:val="none" w:sz="0" w:space="0" w:color="auto"/>
        <w:right w:val="none" w:sz="0" w:space="0" w:color="auto"/>
      </w:divBdr>
      <w:divsChild>
        <w:div w:id="861631928">
          <w:marLeft w:val="0"/>
          <w:marRight w:val="0"/>
          <w:marTop w:val="0"/>
          <w:marBottom w:val="0"/>
          <w:divBdr>
            <w:top w:val="none" w:sz="0" w:space="0" w:color="auto"/>
            <w:left w:val="none" w:sz="0" w:space="0" w:color="auto"/>
            <w:bottom w:val="none" w:sz="0" w:space="0" w:color="auto"/>
            <w:right w:val="none" w:sz="0" w:space="0" w:color="auto"/>
          </w:divBdr>
        </w:div>
      </w:divsChild>
    </w:div>
    <w:div w:id="1168641762">
      <w:bodyDiv w:val="1"/>
      <w:marLeft w:val="0"/>
      <w:marRight w:val="0"/>
      <w:marTop w:val="0"/>
      <w:marBottom w:val="0"/>
      <w:divBdr>
        <w:top w:val="none" w:sz="0" w:space="0" w:color="auto"/>
        <w:left w:val="none" w:sz="0" w:space="0" w:color="auto"/>
        <w:bottom w:val="none" w:sz="0" w:space="0" w:color="auto"/>
        <w:right w:val="none" w:sz="0" w:space="0" w:color="auto"/>
      </w:divBdr>
    </w:div>
    <w:div w:id="1179998997">
      <w:bodyDiv w:val="1"/>
      <w:marLeft w:val="0"/>
      <w:marRight w:val="0"/>
      <w:marTop w:val="0"/>
      <w:marBottom w:val="0"/>
      <w:divBdr>
        <w:top w:val="none" w:sz="0" w:space="0" w:color="auto"/>
        <w:left w:val="none" w:sz="0" w:space="0" w:color="auto"/>
        <w:bottom w:val="none" w:sz="0" w:space="0" w:color="auto"/>
        <w:right w:val="none" w:sz="0" w:space="0" w:color="auto"/>
      </w:divBdr>
    </w:div>
    <w:div w:id="1202330357">
      <w:bodyDiv w:val="1"/>
      <w:marLeft w:val="0"/>
      <w:marRight w:val="0"/>
      <w:marTop w:val="0"/>
      <w:marBottom w:val="0"/>
      <w:divBdr>
        <w:top w:val="none" w:sz="0" w:space="0" w:color="auto"/>
        <w:left w:val="none" w:sz="0" w:space="0" w:color="auto"/>
        <w:bottom w:val="none" w:sz="0" w:space="0" w:color="auto"/>
        <w:right w:val="none" w:sz="0" w:space="0" w:color="auto"/>
      </w:divBdr>
    </w:div>
    <w:div w:id="1214851981">
      <w:bodyDiv w:val="1"/>
      <w:marLeft w:val="0"/>
      <w:marRight w:val="0"/>
      <w:marTop w:val="0"/>
      <w:marBottom w:val="0"/>
      <w:divBdr>
        <w:top w:val="none" w:sz="0" w:space="0" w:color="auto"/>
        <w:left w:val="none" w:sz="0" w:space="0" w:color="auto"/>
        <w:bottom w:val="none" w:sz="0" w:space="0" w:color="auto"/>
        <w:right w:val="none" w:sz="0" w:space="0" w:color="auto"/>
      </w:divBdr>
      <w:divsChild>
        <w:div w:id="1963724252">
          <w:marLeft w:val="0"/>
          <w:marRight w:val="0"/>
          <w:marTop w:val="0"/>
          <w:marBottom w:val="0"/>
          <w:divBdr>
            <w:top w:val="none" w:sz="0" w:space="0" w:color="auto"/>
            <w:left w:val="none" w:sz="0" w:space="0" w:color="auto"/>
            <w:bottom w:val="none" w:sz="0" w:space="0" w:color="auto"/>
            <w:right w:val="none" w:sz="0" w:space="0" w:color="auto"/>
          </w:divBdr>
          <w:divsChild>
            <w:div w:id="939794">
              <w:marLeft w:val="0"/>
              <w:marRight w:val="0"/>
              <w:marTop w:val="0"/>
              <w:marBottom w:val="0"/>
              <w:divBdr>
                <w:top w:val="none" w:sz="0" w:space="0" w:color="auto"/>
                <w:left w:val="none" w:sz="0" w:space="0" w:color="auto"/>
                <w:bottom w:val="none" w:sz="0" w:space="0" w:color="auto"/>
                <w:right w:val="none" w:sz="0" w:space="0" w:color="auto"/>
              </w:divBdr>
            </w:div>
            <w:div w:id="84741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32883">
      <w:bodyDiv w:val="1"/>
      <w:marLeft w:val="0"/>
      <w:marRight w:val="0"/>
      <w:marTop w:val="0"/>
      <w:marBottom w:val="0"/>
      <w:divBdr>
        <w:top w:val="none" w:sz="0" w:space="0" w:color="auto"/>
        <w:left w:val="none" w:sz="0" w:space="0" w:color="auto"/>
        <w:bottom w:val="none" w:sz="0" w:space="0" w:color="auto"/>
        <w:right w:val="none" w:sz="0" w:space="0" w:color="auto"/>
      </w:divBdr>
    </w:div>
    <w:div w:id="1251890438">
      <w:bodyDiv w:val="1"/>
      <w:marLeft w:val="0"/>
      <w:marRight w:val="0"/>
      <w:marTop w:val="0"/>
      <w:marBottom w:val="0"/>
      <w:divBdr>
        <w:top w:val="none" w:sz="0" w:space="0" w:color="auto"/>
        <w:left w:val="none" w:sz="0" w:space="0" w:color="auto"/>
        <w:bottom w:val="none" w:sz="0" w:space="0" w:color="auto"/>
        <w:right w:val="none" w:sz="0" w:space="0" w:color="auto"/>
      </w:divBdr>
    </w:div>
    <w:div w:id="1260020875">
      <w:bodyDiv w:val="1"/>
      <w:marLeft w:val="0"/>
      <w:marRight w:val="0"/>
      <w:marTop w:val="0"/>
      <w:marBottom w:val="0"/>
      <w:divBdr>
        <w:top w:val="none" w:sz="0" w:space="0" w:color="auto"/>
        <w:left w:val="none" w:sz="0" w:space="0" w:color="auto"/>
        <w:bottom w:val="none" w:sz="0" w:space="0" w:color="auto"/>
        <w:right w:val="none" w:sz="0" w:space="0" w:color="auto"/>
      </w:divBdr>
    </w:div>
    <w:div w:id="1272055054">
      <w:bodyDiv w:val="1"/>
      <w:marLeft w:val="0"/>
      <w:marRight w:val="0"/>
      <w:marTop w:val="0"/>
      <w:marBottom w:val="0"/>
      <w:divBdr>
        <w:top w:val="none" w:sz="0" w:space="0" w:color="auto"/>
        <w:left w:val="none" w:sz="0" w:space="0" w:color="auto"/>
        <w:bottom w:val="none" w:sz="0" w:space="0" w:color="auto"/>
        <w:right w:val="none" w:sz="0" w:space="0" w:color="auto"/>
      </w:divBdr>
      <w:divsChild>
        <w:div w:id="751853473">
          <w:marLeft w:val="0"/>
          <w:marRight w:val="0"/>
          <w:marTop w:val="0"/>
          <w:marBottom w:val="0"/>
          <w:divBdr>
            <w:top w:val="none" w:sz="0" w:space="0" w:color="auto"/>
            <w:left w:val="none" w:sz="0" w:space="0" w:color="auto"/>
            <w:bottom w:val="none" w:sz="0" w:space="0" w:color="auto"/>
            <w:right w:val="none" w:sz="0" w:space="0" w:color="auto"/>
          </w:divBdr>
          <w:divsChild>
            <w:div w:id="147325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855766">
      <w:bodyDiv w:val="1"/>
      <w:marLeft w:val="0"/>
      <w:marRight w:val="0"/>
      <w:marTop w:val="0"/>
      <w:marBottom w:val="0"/>
      <w:divBdr>
        <w:top w:val="none" w:sz="0" w:space="0" w:color="auto"/>
        <w:left w:val="none" w:sz="0" w:space="0" w:color="auto"/>
        <w:bottom w:val="none" w:sz="0" w:space="0" w:color="auto"/>
        <w:right w:val="none" w:sz="0" w:space="0" w:color="auto"/>
      </w:divBdr>
    </w:div>
    <w:div w:id="1383679138">
      <w:bodyDiv w:val="1"/>
      <w:marLeft w:val="0"/>
      <w:marRight w:val="0"/>
      <w:marTop w:val="0"/>
      <w:marBottom w:val="0"/>
      <w:divBdr>
        <w:top w:val="none" w:sz="0" w:space="0" w:color="auto"/>
        <w:left w:val="none" w:sz="0" w:space="0" w:color="auto"/>
        <w:bottom w:val="none" w:sz="0" w:space="0" w:color="auto"/>
        <w:right w:val="none" w:sz="0" w:space="0" w:color="auto"/>
      </w:divBdr>
    </w:div>
    <w:div w:id="1398745450">
      <w:bodyDiv w:val="1"/>
      <w:marLeft w:val="0"/>
      <w:marRight w:val="0"/>
      <w:marTop w:val="0"/>
      <w:marBottom w:val="0"/>
      <w:divBdr>
        <w:top w:val="none" w:sz="0" w:space="0" w:color="auto"/>
        <w:left w:val="none" w:sz="0" w:space="0" w:color="auto"/>
        <w:bottom w:val="none" w:sz="0" w:space="0" w:color="auto"/>
        <w:right w:val="none" w:sz="0" w:space="0" w:color="auto"/>
      </w:divBdr>
    </w:div>
    <w:div w:id="1527718517">
      <w:bodyDiv w:val="1"/>
      <w:marLeft w:val="0"/>
      <w:marRight w:val="0"/>
      <w:marTop w:val="0"/>
      <w:marBottom w:val="0"/>
      <w:divBdr>
        <w:top w:val="none" w:sz="0" w:space="0" w:color="auto"/>
        <w:left w:val="none" w:sz="0" w:space="0" w:color="auto"/>
        <w:bottom w:val="none" w:sz="0" w:space="0" w:color="auto"/>
        <w:right w:val="none" w:sz="0" w:space="0" w:color="auto"/>
      </w:divBdr>
    </w:div>
    <w:div w:id="1574507775">
      <w:bodyDiv w:val="1"/>
      <w:marLeft w:val="0"/>
      <w:marRight w:val="0"/>
      <w:marTop w:val="0"/>
      <w:marBottom w:val="0"/>
      <w:divBdr>
        <w:top w:val="none" w:sz="0" w:space="0" w:color="auto"/>
        <w:left w:val="none" w:sz="0" w:space="0" w:color="auto"/>
        <w:bottom w:val="none" w:sz="0" w:space="0" w:color="auto"/>
        <w:right w:val="none" w:sz="0" w:space="0" w:color="auto"/>
      </w:divBdr>
    </w:div>
    <w:div w:id="1579441692">
      <w:bodyDiv w:val="1"/>
      <w:marLeft w:val="0"/>
      <w:marRight w:val="0"/>
      <w:marTop w:val="0"/>
      <w:marBottom w:val="0"/>
      <w:divBdr>
        <w:top w:val="none" w:sz="0" w:space="0" w:color="auto"/>
        <w:left w:val="none" w:sz="0" w:space="0" w:color="auto"/>
        <w:bottom w:val="none" w:sz="0" w:space="0" w:color="auto"/>
        <w:right w:val="none" w:sz="0" w:space="0" w:color="auto"/>
      </w:divBdr>
    </w:div>
    <w:div w:id="1778211388">
      <w:bodyDiv w:val="1"/>
      <w:marLeft w:val="0"/>
      <w:marRight w:val="0"/>
      <w:marTop w:val="0"/>
      <w:marBottom w:val="0"/>
      <w:divBdr>
        <w:top w:val="none" w:sz="0" w:space="0" w:color="auto"/>
        <w:left w:val="none" w:sz="0" w:space="0" w:color="auto"/>
        <w:bottom w:val="none" w:sz="0" w:space="0" w:color="auto"/>
        <w:right w:val="none" w:sz="0" w:space="0" w:color="auto"/>
      </w:divBdr>
    </w:div>
    <w:div w:id="1827237561">
      <w:bodyDiv w:val="1"/>
      <w:marLeft w:val="0"/>
      <w:marRight w:val="0"/>
      <w:marTop w:val="0"/>
      <w:marBottom w:val="0"/>
      <w:divBdr>
        <w:top w:val="none" w:sz="0" w:space="0" w:color="auto"/>
        <w:left w:val="none" w:sz="0" w:space="0" w:color="auto"/>
        <w:bottom w:val="none" w:sz="0" w:space="0" w:color="auto"/>
        <w:right w:val="none" w:sz="0" w:space="0" w:color="auto"/>
      </w:divBdr>
    </w:div>
    <w:div w:id="1854760394">
      <w:bodyDiv w:val="1"/>
      <w:marLeft w:val="0"/>
      <w:marRight w:val="0"/>
      <w:marTop w:val="0"/>
      <w:marBottom w:val="0"/>
      <w:divBdr>
        <w:top w:val="none" w:sz="0" w:space="0" w:color="auto"/>
        <w:left w:val="none" w:sz="0" w:space="0" w:color="auto"/>
        <w:bottom w:val="none" w:sz="0" w:space="0" w:color="auto"/>
        <w:right w:val="none" w:sz="0" w:space="0" w:color="auto"/>
      </w:divBdr>
    </w:div>
    <w:div w:id="1924220506">
      <w:bodyDiv w:val="1"/>
      <w:marLeft w:val="0"/>
      <w:marRight w:val="0"/>
      <w:marTop w:val="0"/>
      <w:marBottom w:val="0"/>
      <w:divBdr>
        <w:top w:val="none" w:sz="0" w:space="0" w:color="auto"/>
        <w:left w:val="none" w:sz="0" w:space="0" w:color="auto"/>
        <w:bottom w:val="none" w:sz="0" w:space="0" w:color="auto"/>
        <w:right w:val="none" w:sz="0" w:space="0" w:color="auto"/>
      </w:divBdr>
      <w:divsChild>
        <w:div w:id="9458879">
          <w:marLeft w:val="0"/>
          <w:marRight w:val="0"/>
          <w:marTop w:val="0"/>
          <w:marBottom w:val="0"/>
          <w:divBdr>
            <w:top w:val="none" w:sz="0" w:space="0" w:color="auto"/>
            <w:left w:val="none" w:sz="0" w:space="0" w:color="auto"/>
            <w:bottom w:val="none" w:sz="0" w:space="0" w:color="auto"/>
            <w:right w:val="none" w:sz="0" w:space="0" w:color="auto"/>
          </w:divBdr>
        </w:div>
        <w:div w:id="39011908">
          <w:marLeft w:val="0"/>
          <w:marRight w:val="0"/>
          <w:marTop w:val="0"/>
          <w:marBottom w:val="0"/>
          <w:divBdr>
            <w:top w:val="none" w:sz="0" w:space="0" w:color="auto"/>
            <w:left w:val="none" w:sz="0" w:space="0" w:color="auto"/>
            <w:bottom w:val="none" w:sz="0" w:space="0" w:color="auto"/>
            <w:right w:val="none" w:sz="0" w:space="0" w:color="auto"/>
          </w:divBdr>
        </w:div>
        <w:div w:id="156312466">
          <w:marLeft w:val="0"/>
          <w:marRight w:val="0"/>
          <w:marTop w:val="0"/>
          <w:marBottom w:val="0"/>
          <w:divBdr>
            <w:top w:val="none" w:sz="0" w:space="0" w:color="auto"/>
            <w:left w:val="none" w:sz="0" w:space="0" w:color="auto"/>
            <w:bottom w:val="none" w:sz="0" w:space="0" w:color="auto"/>
            <w:right w:val="none" w:sz="0" w:space="0" w:color="auto"/>
          </w:divBdr>
        </w:div>
        <w:div w:id="222496162">
          <w:marLeft w:val="0"/>
          <w:marRight w:val="0"/>
          <w:marTop w:val="0"/>
          <w:marBottom w:val="0"/>
          <w:divBdr>
            <w:top w:val="none" w:sz="0" w:space="0" w:color="auto"/>
            <w:left w:val="none" w:sz="0" w:space="0" w:color="auto"/>
            <w:bottom w:val="none" w:sz="0" w:space="0" w:color="auto"/>
            <w:right w:val="none" w:sz="0" w:space="0" w:color="auto"/>
          </w:divBdr>
        </w:div>
        <w:div w:id="223490167">
          <w:marLeft w:val="0"/>
          <w:marRight w:val="0"/>
          <w:marTop w:val="0"/>
          <w:marBottom w:val="0"/>
          <w:divBdr>
            <w:top w:val="none" w:sz="0" w:space="0" w:color="auto"/>
            <w:left w:val="none" w:sz="0" w:space="0" w:color="auto"/>
            <w:bottom w:val="none" w:sz="0" w:space="0" w:color="auto"/>
            <w:right w:val="none" w:sz="0" w:space="0" w:color="auto"/>
          </w:divBdr>
        </w:div>
        <w:div w:id="371267295">
          <w:marLeft w:val="0"/>
          <w:marRight w:val="0"/>
          <w:marTop w:val="0"/>
          <w:marBottom w:val="0"/>
          <w:divBdr>
            <w:top w:val="none" w:sz="0" w:space="0" w:color="auto"/>
            <w:left w:val="none" w:sz="0" w:space="0" w:color="auto"/>
            <w:bottom w:val="none" w:sz="0" w:space="0" w:color="auto"/>
            <w:right w:val="none" w:sz="0" w:space="0" w:color="auto"/>
          </w:divBdr>
        </w:div>
        <w:div w:id="466321259">
          <w:marLeft w:val="0"/>
          <w:marRight w:val="0"/>
          <w:marTop w:val="0"/>
          <w:marBottom w:val="0"/>
          <w:divBdr>
            <w:top w:val="none" w:sz="0" w:space="0" w:color="auto"/>
            <w:left w:val="none" w:sz="0" w:space="0" w:color="auto"/>
            <w:bottom w:val="none" w:sz="0" w:space="0" w:color="auto"/>
            <w:right w:val="none" w:sz="0" w:space="0" w:color="auto"/>
          </w:divBdr>
        </w:div>
        <w:div w:id="501894521">
          <w:marLeft w:val="0"/>
          <w:marRight w:val="0"/>
          <w:marTop w:val="0"/>
          <w:marBottom w:val="0"/>
          <w:divBdr>
            <w:top w:val="none" w:sz="0" w:space="0" w:color="auto"/>
            <w:left w:val="none" w:sz="0" w:space="0" w:color="auto"/>
            <w:bottom w:val="none" w:sz="0" w:space="0" w:color="auto"/>
            <w:right w:val="none" w:sz="0" w:space="0" w:color="auto"/>
          </w:divBdr>
        </w:div>
        <w:div w:id="611479291">
          <w:marLeft w:val="0"/>
          <w:marRight w:val="0"/>
          <w:marTop w:val="0"/>
          <w:marBottom w:val="0"/>
          <w:divBdr>
            <w:top w:val="none" w:sz="0" w:space="0" w:color="auto"/>
            <w:left w:val="none" w:sz="0" w:space="0" w:color="auto"/>
            <w:bottom w:val="none" w:sz="0" w:space="0" w:color="auto"/>
            <w:right w:val="none" w:sz="0" w:space="0" w:color="auto"/>
          </w:divBdr>
        </w:div>
        <w:div w:id="747918164">
          <w:marLeft w:val="0"/>
          <w:marRight w:val="0"/>
          <w:marTop w:val="0"/>
          <w:marBottom w:val="0"/>
          <w:divBdr>
            <w:top w:val="none" w:sz="0" w:space="0" w:color="auto"/>
            <w:left w:val="none" w:sz="0" w:space="0" w:color="auto"/>
            <w:bottom w:val="none" w:sz="0" w:space="0" w:color="auto"/>
            <w:right w:val="none" w:sz="0" w:space="0" w:color="auto"/>
          </w:divBdr>
        </w:div>
        <w:div w:id="838009349">
          <w:marLeft w:val="0"/>
          <w:marRight w:val="0"/>
          <w:marTop w:val="0"/>
          <w:marBottom w:val="0"/>
          <w:divBdr>
            <w:top w:val="none" w:sz="0" w:space="0" w:color="auto"/>
            <w:left w:val="none" w:sz="0" w:space="0" w:color="auto"/>
            <w:bottom w:val="none" w:sz="0" w:space="0" w:color="auto"/>
            <w:right w:val="none" w:sz="0" w:space="0" w:color="auto"/>
          </w:divBdr>
        </w:div>
        <w:div w:id="892345770">
          <w:marLeft w:val="0"/>
          <w:marRight w:val="0"/>
          <w:marTop w:val="0"/>
          <w:marBottom w:val="0"/>
          <w:divBdr>
            <w:top w:val="none" w:sz="0" w:space="0" w:color="auto"/>
            <w:left w:val="none" w:sz="0" w:space="0" w:color="auto"/>
            <w:bottom w:val="none" w:sz="0" w:space="0" w:color="auto"/>
            <w:right w:val="none" w:sz="0" w:space="0" w:color="auto"/>
          </w:divBdr>
        </w:div>
        <w:div w:id="942493702">
          <w:marLeft w:val="0"/>
          <w:marRight w:val="0"/>
          <w:marTop w:val="0"/>
          <w:marBottom w:val="0"/>
          <w:divBdr>
            <w:top w:val="none" w:sz="0" w:space="0" w:color="auto"/>
            <w:left w:val="none" w:sz="0" w:space="0" w:color="auto"/>
            <w:bottom w:val="none" w:sz="0" w:space="0" w:color="auto"/>
            <w:right w:val="none" w:sz="0" w:space="0" w:color="auto"/>
          </w:divBdr>
        </w:div>
        <w:div w:id="986129522">
          <w:marLeft w:val="0"/>
          <w:marRight w:val="0"/>
          <w:marTop w:val="0"/>
          <w:marBottom w:val="0"/>
          <w:divBdr>
            <w:top w:val="none" w:sz="0" w:space="0" w:color="auto"/>
            <w:left w:val="none" w:sz="0" w:space="0" w:color="auto"/>
            <w:bottom w:val="none" w:sz="0" w:space="0" w:color="auto"/>
            <w:right w:val="none" w:sz="0" w:space="0" w:color="auto"/>
          </w:divBdr>
        </w:div>
        <w:div w:id="1152405466">
          <w:marLeft w:val="0"/>
          <w:marRight w:val="0"/>
          <w:marTop w:val="0"/>
          <w:marBottom w:val="0"/>
          <w:divBdr>
            <w:top w:val="none" w:sz="0" w:space="0" w:color="auto"/>
            <w:left w:val="none" w:sz="0" w:space="0" w:color="auto"/>
            <w:bottom w:val="none" w:sz="0" w:space="0" w:color="auto"/>
            <w:right w:val="none" w:sz="0" w:space="0" w:color="auto"/>
          </w:divBdr>
        </w:div>
        <w:div w:id="1157189314">
          <w:marLeft w:val="0"/>
          <w:marRight w:val="0"/>
          <w:marTop w:val="0"/>
          <w:marBottom w:val="0"/>
          <w:divBdr>
            <w:top w:val="none" w:sz="0" w:space="0" w:color="auto"/>
            <w:left w:val="none" w:sz="0" w:space="0" w:color="auto"/>
            <w:bottom w:val="none" w:sz="0" w:space="0" w:color="auto"/>
            <w:right w:val="none" w:sz="0" w:space="0" w:color="auto"/>
          </w:divBdr>
        </w:div>
        <w:div w:id="1171598522">
          <w:marLeft w:val="0"/>
          <w:marRight w:val="0"/>
          <w:marTop w:val="0"/>
          <w:marBottom w:val="0"/>
          <w:divBdr>
            <w:top w:val="none" w:sz="0" w:space="0" w:color="auto"/>
            <w:left w:val="none" w:sz="0" w:space="0" w:color="auto"/>
            <w:bottom w:val="none" w:sz="0" w:space="0" w:color="auto"/>
            <w:right w:val="none" w:sz="0" w:space="0" w:color="auto"/>
          </w:divBdr>
        </w:div>
        <w:div w:id="1371566859">
          <w:marLeft w:val="0"/>
          <w:marRight w:val="0"/>
          <w:marTop w:val="0"/>
          <w:marBottom w:val="0"/>
          <w:divBdr>
            <w:top w:val="none" w:sz="0" w:space="0" w:color="auto"/>
            <w:left w:val="none" w:sz="0" w:space="0" w:color="auto"/>
            <w:bottom w:val="none" w:sz="0" w:space="0" w:color="auto"/>
            <w:right w:val="none" w:sz="0" w:space="0" w:color="auto"/>
          </w:divBdr>
        </w:div>
        <w:div w:id="1485581856">
          <w:marLeft w:val="0"/>
          <w:marRight w:val="0"/>
          <w:marTop w:val="0"/>
          <w:marBottom w:val="0"/>
          <w:divBdr>
            <w:top w:val="none" w:sz="0" w:space="0" w:color="auto"/>
            <w:left w:val="none" w:sz="0" w:space="0" w:color="auto"/>
            <w:bottom w:val="none" w:sz="0" w:space="0" w:color="auto"/>
            <w:right w:val="none" w:sz="0" w:space="0" w:color="auto"/>
          </w:divBdr>
        </w:div>
        <w:div w:id="1530338955">
          <w:marLeft w:val="0"/>
          <w:marRight w:val="0"/>
          <w:marTop w:val="0"/>
          <w:marBottom w:val="0"/>
          <w:divBdr>
            <w:top w:val="none" w:sz="0" w:space="0" w:color="auto"/>
            <w:left w:val="none" w:sz="0" w:space="0" w:color="auto"/>
            <w:bottom w:val="none" w:sz="0" w:space="0" w:color="auto"/>
            <w:right w:val="none" w:sz="0" w:space="0" w:color="auto"/>
          </w:divBdr>
        </w:div>
        <w:div w:id="19730536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77.png"/><Relationship Id="rId21" Type="http://schemas.openxmlformats.org/officeDocument/2006/relationships/header" Target="header2.xml"/><Relationship Id="rId42" Type="http://schemas.openxmlformats.org/officeDocument/2006/relationships/image" Target="media/image19.png"/><Relationship Id="rId47" Type="http://schemas.openxmlformats.org/officeDocument/2006/relationships/image" Target="media/image20.png"/><Relationship Id="rId63" Type="http://schemas.openxmlformats.org/officeDocument/2006/relationships/image" Target="media/image26.png"/><Relationship Id="rId68" Type="http://schemas.openxmlformats.org/officeDocument/2006/relationships/oleObject" Target="embeddings/oleObject1.bin"/><Relationship Id="rId84" Type="http://schemas.openxmlformats.org/officeDocument/2006/relationships/image" Target="media/image45.emf"/><Relationship Id="rId89" Type="http://schemas.openxmlformats.org/officeDocument/2006/relationships/image" Target="media/image50.png"/><Relationship Id="rId112" Type="http://schemas.openxmlformats.org/officeDocument/2006/relationships/image" Target="media/image72.emf"/><Relationship Id="rId133" Type="http://schemas.openxmlformats.org/officeDocument/2006/relationships/image" Target="media/image93.emf"/><Relationship Id="rId138" Type="http://schemas.openxmlformats.org/officeDocument/2006/relationships/image" Target="media/image98.emf"/><Relationship Id="rId154" Type="http://schemas.openxmlformats.org/officeDocument/2006/relationships/image" Target="media/image104.emf"/><Relationship Id="rId159" Type="http://schemas.openxmlformats.org/officeDocument/2006/relationships/hyperlink" Target="http://www.deh.gov.au/soe/2006/techncial/waterbirds/index.html" TargetMode="External"/><Relationship Id="rId170" Type="http://schemas.openxmlformats.org/officeDocument/2006/relationships/hyperlink" Target="http://en.wikipedia.org/wiki/Basin_(geology)" TargetMode="External"/><Relationship Id="rId16" Type="http://schemas.openxmlformats.org/officeDocument/2006/relationships/image" Target="media/image5.png"/><Relationship Id="rId107" Type="http://schemas.openxmlformats.org/officeDocument/2006/relationships/image" Target="media/image67.emf"/><Relationship Id="rId11" Type="http://schemas.openxmlformats.org/officeDocument/2006/relationships/image" Target="media/image3.jpeg"/><Relationship Id="rId32" Type="http://schemas.openxmlformats.org/officeDocument/2006/relationships/image" Target="media/image13.png"/><Relationship Id="rId37" Type="http://schemas.openxmlformats.org/officeDocument/2006/relationships/header" Target="header8.xml"/><Relationship Id="rId53" Type="http://schemas.openxmlformats.org/officeDocument/2006/relationships/header" Target="header16.xml"/><Relationship Id="rId58" Type="http://schemas.openxmlformats.org/officeDocument/2006/relationships/image" Target="media/image22.png"/><Relationship Id="rId74" Type="http://schemas.openxmlformats.org/officeDocument/2006/relationships/image" Target="media/image35.emf"/><Relationship Id="rId79" Type="http://schemas.openxmlformats.org/officeDocument/2006/relationships/image" Target="media/image40.emf"/><Relationship Id="rId102" Type="http://schemas.openxmlformats.org/officeDocument/2006/relationships/image" Target="media/image62.emf"/><Relationship Id="rId123" Type="http://schemas.openxmlformats.org/officeDocument/2006/relationships/image" Target="media/image83.png"/><Relationship Id="rId128" Type="http://schemas.openxmlformats.org/officeDocument/2006/relationships/image" Target="media/image88.jpeg"/><Relationship Id="rId144" Type="http://schemas.openxmlformats.org/officeDocument/2006/relationships/header" Target="header20.xml"/><Relationship Id="rId149" Type="http://schemas.openxmlformats.org/officeDocument/2006/relationships/header" Target="header22.xml"/><Relationship Id="rId5" Type="http://schemas.openxmlformats.org/officeDocument/2006/relationships/settings" Target="settings.xml"/><Relationship Id="rId90" Type="http://schemas.openxmlformats.org/officeDocument/2006/relationships/image" Target="media/image51.png"/><Relationship Id="rId95" Type="http://schemas.openxmlformats.org/officeDocument/2006/relationships/image" Target="media/image56.wmf"/><Relationship Id="rId160" Type="http://schemas.openxmlformats.org/officeDocument/2006/relationships/hyperlink" Target="http://www.groundwater2010.com" TargetMode="External"/><Relationship Id="rId165" Type="http://schemas.openxmlformats.org/officeDocument/2006/relationships/hyperlink" Target="http://www.ncbi.nlm.nih.gov/pubmed?term=Baezconde-Garbanati%20L%5BAuthor%5D&amp;cauthor=true&amp;cauthor_uid=14668085" TargetMode="External"/><Relationship Id="rId22" Type="http://schemas.openxmlformats.org/officeDocument/2006/relationships/footer" Target="footer2.xml"/><Relationship Id="rId27" Type="http://schemas.openxmlformats.org/officeDocument/2006/relationships/footer" Target="footer3.xml"/><Relationship Id="rId43" Type="http://schemas.openxmlformats.org/officeDocument/2006/relationships/header" Target="header10.xml"/><Relationship Id="rId48" Type="http://schemas.openxmlformats.org/officeDocument/2006/relationships/hyperlink" Target="http://waterinfo.nsw.gov.au/" TargetMode="External"/><Relationship Id="rId64" Type="http://schemas.openxmlformats.org/officeDocument/2006/relationships/image" Target="media/image26.emf"/><Relationship Id="rId69" Type="http://schemas.openxmlformats.org/officeDocument/2006/relationships/image" Target="media/image30.emf"/><Relationship Id="rId113" Type="http://schemas.openxmlformats.org/officeDocument/2006/relationships/image" Target="media/image73.emf"/><Relationship Id="rId118" Type="http://schemas.openxmlformats.org/officeDocument/2006/relationships/image" Target="media/image78.png"/><Relationship Id="rId134" Type="http://schemas.openxmlformats.org/officeDocument/2006/relationships/image" Target="media/image94.emf"/><Relationship Id="rId139" Type="http://schemas.openxmlformats.org/officeDocument/2006/relationships/image" Target="media/image99.emf"/><Relationship Id="rId80" Type="http://schemas.openxmlformats.org/officeDocument/2006/relationships/image" Target="media/image41.png"/><Relationship Id="rId85" Type="http://schemas.openxmlformats.org/officeDocument/2006/relationships/image" Target="media/image46.emf"/><Relationship Id="rId150" Type="http://schemas.openxmlformats.org/officeDocument/2006/relationships/header" Target="header23.xml"/><Relationship Id="rId155" Type="http://schemas.openxmlformats.org/officeDocument/2006/relationships/image" Target="media/image105.png"/><Relationship Id="rId171" Type="http://schemas.openxmlformats.org/officeDocument/2006/relationships/hyperlink" Target="http://en.wikipedia.org/wiki/Metamorphic_rock" TargetMode="External"/><Relationship Id="rId12" Type="http://schemas.openxmlformats.org/officeDocument/2006/relationships/hyperlink" Target="http://www.creativecommons.org/licenses/by/3.0/au/deed.en" TargetMode="External"/><Relationship Id="rId17" Type="http://schemas.openxmlformats.org/officeDocument/2006/relationships/image" Target="media/image6.emf"/><Relationship Id="rId33" Type="http://schemas.openxmlformats.org/officeDocument/2006/relationships/image" Target="media/image14.png"/><Relationship Id="rId38" Type="http://schemas.openxmlformats.org/officeDocument/2006/relationships/footer" Target="footer4.xml"/><Relationship Id="rId59" Type="http://schemas.openxmlformats.org/officeDocument/2006/relationships/image" Target="media/image23.emf"/><Relationship Id="rId103" Type="http://schemas.openxmlformats.org/officeDocument/2006/relationships/image" Target="media/image63.emf"/><Relationship Id="rId108" Type="http://schemas.openxmlformats.org/officeDocument/2006/relationships/image" Target="media/image68.emf"/><Relationship Id="rId124" Type="http://schemas.openxmlformats.org/officeDocument/2006/relationships/image" Target="media/image84.png"/><Relationship Id="rId129" Type="http://schemas.openxmlformats.org/officeDocument/2006/relationships/image" Target="media/image89.png"/><Relationship Id="rId54" Type="http://schemas.openxmlformats.org/officeDocument/2006/relationships/header" Target="header17.xml"/><Relationship Id="rId70" Type="http://schemas.openxmlformats.org/officeDocument/2006/relationships/image" Target="media/image31.emf"/><Relationship Id="rId75" Type="http://schemas.openxmlformats.org/officeDocument/2006/relationships/image" Target="media/image36.png"/><Relationship Id="rId91" Type="http://schemas.openxmlformats.org/officeDocument/2006/relationships/image" Target="media/image52.png"/><Relationship Id="rId96" Type="http://schemas.openxmlformats.org/officeDocument/2006/relationships/oleObject" Target="embeddings/oleObject2.bin"/><Relationship Id="rId140" Type="http://schemas.openxmlformats.org/officeDocument/2006/relationships/image" Target="media/image100.png"/><Relationship Id="rId145" Type="http://schemas.openxmlformats.org/officeDocument/2006/relationships/footer" Target="footer8.xml"/><Relationship Id="rId161" Type="http://schemas.openxmlformats.org/officeDocument/2006/relationships/hyperlink" Target="http://www.ephc.gov.au/taxonomy/term/39" TargetMode="External"/><Relationship Id="rId166" Type="http://schemas.openxmlformats.org/officeDocument/2006/relationships/hyperlink" Target="http://www.mssanz.org.au/modsim05/papers/ascough_1.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3.xml"/><Relationship Id="rId28" Type="http://schemas.openxmlformats.org/officeDocument/2006/relationships/header" Target="header6.xml"/><Relationship Id="rId36" Type="http://schemas.openxmlformats.org/officeDocument/2006/relationships/header" Target="header7.xml"/><Relationship Id="rId49" Type="http://schemas.openxmlformats.org/officeDocument/2006/relationships/header" Target="header13.xml"/><Relationship Id="rId57" Type="http://schemas.openxmlformats.org/officeDocument/2006/relationships/image" Target="media/image21.png"/><Relationship Id="rId106" Type="http://schemas.openxmlformats.org/officeDocument/2006/relationships/image" Target="media/image66.emf"/><Relationship Id="rId114" Type="http://schemas.openxmlformats.org/officeDocument/2006/relationships/image" Target="media/image74.png"/><Relationship Id="rId119" Type="http://schemas.openxmlformats.org/officeDocument/2006/relationships/image" Target="media/image79.jpeg"/><Relationship Id="rId127" Type="http://schemas.openxmlformats.org/officeDocument/2006/relationships/image" Target="media/image87.jpeg"/><Relationship Id="rId10" Type="http://schemas.openxmlformats.org/officeDocument/2006/relationships/image" Target="media/image2.jpeg"/><Relationship Id="rId31" Type="http://schemas.openxmlformats.org/officeDocument/2006/relationships/image" Target="media/image12.png"/><Relationship Id="rId44" Type="http://schemas.openxmlformats.org/officeDocument/2006/relationships/header" Target="header11.xml"/><Relationship Id="rId52" Type="http://schemas.openxmlformats.org/officeDocument/2006/relationships/header" Target="header15.xml"/><Relationship Id="rId60" Type="http://schemas.openxmlformats.org/officeDocument/2006/relationships/image" Target="media/image24.png"/><Relationship Id="rId65" Type="http://schemas.openxmlformats.org/officeDocument/2006/relationships/image" Target="media/image27.emf"/><Relationship Id="rId73" Type="http://schemas.openxmlformats.org/officeDocument/2006/relationships/image" Target="media/image34.wmf"/><Relationship Id="rId78" Type="http://schemas.openxmlformats.org/officeDocument/2006/relationships/image" Target="media/image39.png"/><Relationship Id="rId81" Type="http://schemas.openxmlformats.org/officeDocument/2006/relationships/image" Target="media/image42.emf"/><Relationship Id="rId86" Type="http://schemas.openxmlformats.org/officeDocument/2006/relationships/image" Target="media/image47.emf"/><Relationship Id="rId94" Type="http://schemas.openxmlformats.org/officeDocument/2006/relationships/image" Target="media/image55.png"/><Relationship Id="rId99" Type="http://schemas.openxmlformats.org/officeDocument/2006/relationships/image" Target="media/image59.wmf"/><Relationship Id="rId101" Type="http://schemas.openxmlformats.org/officeDocument/2006/relationships/image" Target="media/image61.emf"/><Relationship Id="rId122" Type="http://schemas.openxmlformats.org/officeDocument/2006/relationships/image" Target="media/image82.png"/><Relationship Id="rId130" Type="http://schemas.openxmlformats.org/officeDocument/2006/relationships/image" Target="media/image90.jpeg"/><Relationship Id="rId135" Type="http://schemas.openxmlformats.org/officeDocument/2006/relationships/image" Target="media/image95.emf"/><Relationship Id="rId143" Type="http://schemas.openxmlformats.org/officeDocument/2006/relationships/header" Target="header19.xml"/><Relationship Id="rId148" Type="http://schemas.openxmlformats.org/officeDocument/2006/relationships/image" Target="media/image103.png"/><Relationship Id="rId151" Type="http://schemas.openxmlformats.org/officeDocument/2006/relationships/footer" Target="footer10.xml"/><Relationship Id="rId156" Type="http://schemas.openxmlformats.org/officeDocument/2006/relationships/image" Target="media/image106.jpeg"/><Relationship Id="rId164" Type="http://schemas.openxmlformats.org/officeDocument/2006/relationships/hyperlink" Target="http://www.nrm.gov.au/publications/salinity-mapping" TargetMode="External"/><Relationship Id="rId169" Type="http://schemas.openxmlformats.org/officeDocument/2006/relationships/hyperlink" Target="http://en.wikipedia.org/wiki/Sedimentary_rock" TargetMode="Externa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hyperlink" Target="http://en.wikipedia.org/wiki/Igneous_rock" TargetMode="External"/><Relationship Id="rId13" Type="http://schemas.openxmlformats.org/officeDocument/2006/relationships/hyperlink" Target="feedback@ga.gov.au" TargetMode="External"/><Relationship Id="rId18" Type="http://schemas.openxmlformats.org/officeDocument/2006/relationships/image" Target="media/image7.jpeg"/><Relationship Id="rId39" Type="http://schemas.openxmlformats.org/officeDocument/2006/relationships/header" Target="header9.xml"/><Relationship Id="rId109" Type="http://schemas.openxmlformats.org/officeDocument/2006/relationships/image" Target="media/image69.png"/><Relationship Id="rId34" Type="http://schemas.openxmlformats.org/officeDocument/2006/relationships/image" Target="media/image15.jpeg"/><Relationship Id="rId50" Type="http://schemas.openxmlformats.org/officeDocument/2006/relationships/header" Target="header14.xml"/><Relationship Id="rId55" Type="http://schemas.openxmlformats.org/officeDocument/2006/relationships/footer" Target="footer7.xml"/><Relationship Id="rId76" Type="http://schemas.openxmlformats.org/officeDocument/2006/relationships/image" Target="media/image37.jpeg"/><Relationship Id="rId97" Type="http://schemas.openxmlformats.org/officeDocument/2006/relationships/image" Target="media/image57.emf"/><Relationship Id="rId104" Type="http://schemas.openxmlformats.org/officeDocument/2006/relationships/image" Target="media/image64.emf"/><Relationship Id="rId120" Type="http://schemas.openxmlformats.org/officeDocument/2006/relationships/image" Target="media/image80.png"/><Relationship Id="rId125" Type="http://schemas.openxmlformats.org/officeDocument/2006/relationships/image" Target="media/image85.png"/><Relationship Id="rId141" Type="http://schemas.openxmlformats.org/officeDocument/2006/relationships/image" Target="media/image101.jpeg"/><Relationship Id="rId146" Type="http://schemas.openxmlformats.org/officeDocument/2006/relationships/footer" Target="footer9.xml"/><Relationship Id="rId167" Type="http://schemas.openxmlformats.org/officeDocument/2006/relationships/hyperlink" Target="http://en.wikipedia.org/wiki/Sedimentation" TargetMode="External"/><Relationship Id="rId7" Type="http://schemas.openxmlformats.org/officeDocument/2006/relationships/footnotes" Target="footnotes.xml"/><Relationship Id="rId71" Type="http://schemas.openxmlformats.org/officeDocument/2006/relationships/image" Target="media/image32.wmf"/><Relationship Id="rId92" Type="http://schemas.openxmlformats.org/officeDocument/2006/relationships/image" Target="media/image53.png"/><Relationship Id="rId162" Type="http://schemas.openxmlformats.org/officeDocument/2006/relationships/hyperlink" Target="http://www.ephc.gov.au/taxonomy/term/39"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footer" Target="footer5.xml"/><Relationship Id="rId66" Type="http://schemas.openxmlformats.org/officeDocument/2006/relationships/image" Target="media/image28.emf"/><Relationship Id="rId87" Type="http://schemas.openxmlformats.org/officeDocument/2006/relationships/image" Target="media/image48.emf"/><Relationship Id="rId110" Type="http://schemas.openxmlformats.org/officeDocument/2006/relationships/image" Target="media/image70.jpeg"/><Relationship Id="rId115" Type="http://schemas.openxmlformats.org/officeDocument/2006/relationships/image" Target="media/image75.png"/><Relationship Id="rId131" Type="http://schemas.openxmlformats.org/officeDocument/2006/relationships/image" Target="media/image91.emf"/><Relationship Id="rId136" Type="http://schemas.openxmlformats.org/officeDocument/2006/relationships/image" Target="media/image96.emf"/><Relationship Id="rId157" Type="http://schemas.openxmlformats.org/officeDocument/2006/relationships/hyperlink" Target="http://unesdoc.unesco.org/images/0014/001492/149210e.pdf" TargetMode="External"/><Relationship Id="rId82" Type="http://schemas.openxmlformats.org/officeDocument/2006/relationships/image" Target="media/image43.emf"/><Relationship Id="rId152" Type="http://schemas.openxmlformats.org/officeDocument/2006/relationships/footer" Target="footer11.xml"/><Relationship Id="rId173" Type="http://schemas.openxmlformats.org/officeDocument/2006/relationships/fontTable" Target="fontTable.xml"/><Relationship Id="rId19" Type="http://schemas.openxmlformats.org/officeDocument/2006/relationships/image" Target="media/image8.emf"/><Relationship Id="rId14" Type="http://schemas.openxmlformats.org/officeDocument/2006/relationships/footer" Target="footer1.xml"/><Relationship Id="rId30" Type="http://schemas.openxmlformats.org/officeDocument/2006/relationships/image" Target="media/image11.jpeg"/><Relationship Id="rId35" Type="http://schemas.openxmlformats.org/officeDocument/2006/relationships/image" Target="media/image16.emf"/><Relationship Id="rId56" Type="http://schemas.openxmlformats.org/officeDocument/2006/relationships/header" Target="header18.xml"/><Relationship Id="rId77" Type="http://schemas.openxmlformats.org/officeDocument/2006/relationships/image" Target="media/image38.png"/><Relationship Id="rId100" Type="http://schemas.openxmlformats.org/officeDocument/2006/relationships/image" Target="media/image60.wmf"/><Relationship Id="rId105" Type="http://schemas.openxmlformats.org/officeDocument/2006/relationships/image" Target="media/image65.emf"/><Relationship Id="rId126" Type="http://schemas.openxmlformats.org/officeDocument/2006/relationships/image" Target="media/image86.jpeg"/><Relationship Id="rId147" Type="http://schemas.openxmlformats.org/officeDocument/2006/relationships/header" Target="header21.xml"/><Relationship Id="rId168" Type="http://schemas.openxmlformats.org/officeDocument/2006/relationships/hyperlink" Target="http://en.wikipedia.org/wiki/Platform_(geology)" TargetMode="External"/><Relationship Id="rId8" Type="http://schemas.openxmlformats.org/officeDocument/2006/relationships/endnotes" Target="endnotes.xml"/><Relationship Id="rId51" Type="http://schemas.openxmlformats.org/officeDocument/2006/relationships/footer" Target="footer6.xml"/><Relationship Id="rId72" Type="http://schemas.openxmlformats.org/officeDocument/2006/relationships/image" Target="media/image33.jpeg"/><Relationship Id="rId93" Type="http://schemas.openxmlformats.org/officeDocument/2006/relationships/image" Target="media/image54.png"/><Relationship Id="rId98" Type="http://schemas.openxmlformats.org/officeDocument/2006/relationships/image" Target="media/image58.emf"/><Relationship Id="rId121" Type="http://schemas.openxmlformats.org/officeDocument/2006/relationships/image" Target="media/image81.png"/><Relationship Id="rId142" Type="http://schemas.openxmlformats.org/officeDocument/2006/relationships/image" Target="media/image102.png"/><Relationship Id="rId163" Type="http://schemas.openxmlformats.org/officeDocument/2006/relationships/hyperlink" Target="http://www.clw.csiro.au/publications/waterforahealthycountry/2010/wfhc-MAR-case-study-risk-assessments.pdf" TargetMode="External"/><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header" Target="header12.xml"/><Relationship Id="rId67" Type="http://schemas.openxmlformats.org/officeDocument/2006/relationships/image" Target="media/image29.wmf"/><Relationship Id="rId116" Type="http://schemas.openxmlformats.org/officeDocument/2006/relationships/image" Target="media/image76.png"/><Relationship Id="rId137" Type="http://schemas.openxmlformats.org/officeDocument/2006/relationships/image" Target="media/image97.emf"/><Relationship Id="rId158" Type="http://schemas.openxmlformats.org/officeDocument/2006/relationships/hyperlink" Target="http://www.jstor.org/action/showPublication?journalCode=ecology" TargetMode="External"/><Relationship Id="rId20" Type="http://schemas.openxmlformats.org/officeDocument/2006/relationships/header" Target="header1.xml"/><Relationship Id="rId41" Type="http://schemas.openxmlformats.org/officeDocument/2006/relationships/image" Target="media/image18.png"/><Relationship Id="rId62" Type="http://schemas.openxmlformats.org/officeDocument/2006/relationships/image" Target="media/image25.emf"/><Relationship Id="rId83" Type="http://schemas.openxmlformats.org/officeDocument/2006/relationships/image" Target="media/image44.emf"/><Relationship Id="rId88" Type="http://schemas.openxmlformats.org/officeDocument/2006/relationships/image" Target="media/image49.emf"/><Relationship Id="rId111" Type="http://schemas.openxmlformats.org/officeDocument/2006/relationships/image" Target="media/image71.png"/><Relationship Id="rId132" Type="http://schemas.openxmlformats.org/officeDocument/2006/relationships/image" Target="media/image92.emf"/><Relationship Id="rId153" Type="http://schemas.openxmlformats.org/officeDocument/2006/relationships/header" Target="header24.xml"/><Relationship Id="rId174"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bom.gov.au/climate/averages/tables/cw_047031.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0EE8E3-4847-4625-9C0A-B7C0E1CD6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415997E2.dotm</Template>
  <TotalTime>85</TotalTime>
  <Pages>271</Pages>
  <Words>105138</Words>
  <Characters>644528</Characters>
  <Application>Microsoft Office Word</Application>
  <DocSecurity>0</DocSecurity>
  <Lines>5371</Lines>
  <Paragraphs>1496</Paragraphs>
  <ScaleCrop>false</ScaleCrop>
  <HeadingPairs>
    <vt:vector size="2" baseType="variant">
      <vt:variant>
        <vt:lpstr>Title</vt:lpstr>
      </vt:variant>
      <vt:variant>
        <vt:i4>1</vt:i4>
      </vt:variant>
    </vt:vector>
  </HeadingPairs>
  <TitlesOfParts>
    <vt:vector size="1" baseType="lpstr">
      <vt:lpstr/>
    </vt:vector>
  </TitlesOfParts>
  <Company>Geoscience Australia</Company>
  <LinksUpToDate>false</LinksUpToDate>
  <CharactersWithSpaces>748170</CharactersWithSpaces>
  <SharedDoc>false</SharedDoc>
  <HLinks>
    <vt:vector size="792" baseType="variant">
      <vt:variant>
        <vt:i4>1376370</vt:i4>
      </vt:variant>
      <vt:variant>
        <vt:i4>2646</vt:i4>
      </vt:variant>
      <vt:variant>
        <vt:i4>0</vt:i4>
      </vt:variant>
      <vt:variant>
        <vt:i4>5</vt:i4>
      </vt:variant>
      <vt:variant>
        <vt:lpwstr>http://en.wikipedia.org/wiki/Igneous_rock</vt:lpwstr>
      </vt:variant>
      <vt:variant>
        <vt:lpwstr/>
      </vt:variant>
      <vt:variant>
        <vt:i4>196727</vt:i4>
      </vt:variant>
      <vt:variant>
        <vt:i4>2643</vt:i4>
      </vt:variant>
      <vt:variant>
        <vt:i4>0</vt:i4>
      </vt:variant>
      <vt:variant>
        <vt:i4>5</vt:i4>
      </vt:variant>
      <vt:variant>
        <vt:lpwstr>http://en.wikipedia.org/wiki/Metamorphic_rock</vt:lpwstr>
      </vt:variant>
      <vt:variant>
        <vt:lpwstr/>
      </vt:variant>
      <vt:variant>
        <vt:i4>983164</vt:i4>
      </vt:variant>
      <vt:variant>
        <vt:i4>2640</vt:i4>
      </vt:variant>
      <vt:variant>
        <vt:i4>0</vt:i4>
      </vt:variant>
      <vt:variant>
        <vt:i4>5</vt:i4>
      </vt:variant>
      <vt:variant>
        <vt:lpwstr>http://en.wikipedia.org/wiki/Basin_(geology)</vt:lpwstr>
      </vt:variant>
      <vt:variant>
        <vt:lpwstr/>
      </vt:variant>
      <vt:variant>
        <vt:i4>131178</vt:i4>
      </vt:variant>
      <vt:variant>
        <vt:i4>2637</vt:i4>
      </vt:variant>
      <vt:variant>
        <vt:i4>0</vt:i4>
      </vt:variant>
      <vt:variant>
        <vt:i4>5</vt:i4>
      </vt:variant>
      <vt:variant>
        <vt:lpwstr>http://en.wikipedia.org/wiki/Sedimentary_rock</vt:lpwstr>
      </vt:variant>
      <vt:variant>
        <vt:lpwstr/>
      </vt:variant>
      <vt:variant>
        <vt:i4>5963881</vt:i4>
      </vt:variant>
      <vt:variant>
        <vt:i4>2634</vt:i4>
      </vt:variant>
      <vt:variant>
        <vt:i4>0</vt:i4>
      </vt:variant>
      <vt:variant>
        <vt:i4>5</vt:i4>
      </vt:variant>
      <vt:variant>
        <vt:lpwstr>http://en.wikipedia.org/wiki/Platform_(geology)</vt:lpwstr>
      </vt:variant>
      <vt:variant>
        <vt:lpwstr/>
      </vt:variant>
      <vt:variant>
        <vt:i4>7143475</vt:i4>
      </vt:variant>
      <vt:variant>
        <vt:i4>2631</vt:i4>
      </vt:variant>
      <vt:variant>
        <vt:i4>0</vt:i4>
      </vt:variant>
      <vt:variant>
        <vt:i4>5</vt:i4>
      </vt:variant>
      <vt:variant>
        <vt:lpwstr>http://en.wikipedia.org/wiki/Sedimentation</vt:lpwstr>
      </vt:variant>
      <vt:variant>
        <vt:lpwstr/>
      </vt:variant>
      <vt:variant>
        <vt:i4>7077897</vt:i4>
      </vt:variant>
      <vt:variant>
        <vt:i4>2628</vt:i4>
      </vt:variant>
      <vt:variant>
        <vt:i4>0</vt:i4>
      </vt:variant>
      <vt:variant>
        <vt:i4>5</vt:i4>
      </vt:variant>
      <vt:variant>
        <vt:lpwstr>http://www.mssanz.org.au/modsim05/papers/ascough_1.pdf</vt:lpwstr>
      </vt:variant>
      <vt:variant>
        <vt:lpwstr/>
      </vt:variant>
      <vt:variant>
        <vt:i4>4915237</vt:i4>
      </vt:variant>
      <vt:variant>
        <vt:i4>2625</vt:i4>
      </vt:variant>
      <vt:variant>
        <vt:i4>0</vt:i4>
      </vt:variant>
      <vt:variant>
        <vt:i4>5</vt:i4>
      </vt:variant>
      <vt:variant>
        <vt:lpwstr>http://www.ncbi.nlm.nih.gov/pubmed?term=Baezconde-Garbanati%20L%5BAuthor%5D&amp;cauthor=true&amp;cauthor_uid=14668085</vt:lpwstr>
      </vt:variant>
      <vt:variant>
        <vt:lpwstr/>
      </vt:variant>
      <vt:variant>
        <vt:i4>3276902</vt:i4>
      </vt:variant>
      <vt:variant>
        <vt:i4>2622</vt:i4>
      </vt:variant>
      <vt:variant>
        <vt:i4>0</vt:i4>
      </vt:variant>
      <vt:variant>
        <vt:i4>5</vt:i4>
      </vt:variant>
      <vt:variant>
        <vt:lpwstr>http://www.nrm.gov.au/publications/salinity-mapping</vt:lpwstr>
      </vt:variant>
      <vt:variant>
        <vt:lpwstr/>
      </vt:variant>
      <vt:variant>
        <vt:i4>3145765</vt:i4>
      </vt:variant>
      <vt:variant>
        <vt:i4>2619</vt:i4>
      </vt:variant>
      <vt:variant>
        <vt:i4>0</vt:i4>
      </vt:variant>
      <vt:variant>
        <vt:i4>5</vt:i4>
      </vt:variant>
      <vt:variant>
        <vt:lpwstr>http://www.clw.csiro.au/publications/waterforahealthycountry/2010/wfhc-MAR-case-study-risk-assessments.pdf</vt:lpwstr>
      </vt:variant>
      <vt:variant>
        <vt:lpwstr/>
      </vt:variant>
      <vt:variant>
        <vt:i4>2555949</vt:i4>
      </vt:variant>
      <vt:variant>
        <vt:i4>2616</vt:i4>
      </vt:variant>
      <vt:variant>
        <vt:i4>0</vt:i4>
      </vt:variant>
      <vt:variant>
        <vt:i4>5</vt:i4>
      </vt:variant>
      <vt:variant>
        <vt:lpwstr>http://www.ephc.gov.au/taxonomy/term/39</vt:lpwstr>
      </vt:variant>
      <vt:variant>
        <vt:lpwstr/>
      </vt:variant>
      <vt:variant>
        <vt:i4>2555949</vt:i4>
      </vt:variant>
      <vt:variant>
        <vt:i4>2613</vt:i4>
      </vt:variant>
      <vt:variant>
        <vt:i4>0</vt:i4>
      </vt:variant>
      <vt:variant>
        <vt:i4>5</vt:i4>
      </vt:variant>
      <vt:variant>
        <vt:lpwstr>http://www.ephc.gov.au/taxonomy/term/39</vt:lpwstr>
      </vt:variant>
      <vt:variant>
        <vt:lpwstr/>
      </vt:variant>
      <vt:variant>
        <vt:i4>3276917</vt:i4>
      </vt:variant>
      <vt:variant>
        <vt:i4>2610</vt:i4>
      </vt:variant>
      <vt:variant>
        <vt:i4>0</vt:i4>
      </vt:variant>
      <vt:variant>
        <vt:i4>5</vt:i4>
      </vt:variant>
      <vt:variant>
        <vt:lpwstr>http://www.groundwater2010.com/</vt:lpwstr>
      </vt:variant>
      <vt:variant>
        <vt:lpwstr/>
      </vt:variant>
      <vt:variant>
        <vt:i4>2883619</vt:i4>
      </vt:variant>
      <vt:variant>
        <vt:i4>2607</vt:i4>
      </vt:variant>
      <vt:variant>
        <vt:i4>0</vt:i4>
      </vt:variant>
      <vt:variant>
        <vt:i4>5</vt:i4>
      </vt:variant>
      <vt:variant>
        <vt:lpwstr>http://www.deh.gov.au/soe/2006/techncial/waterbirds/index.html</vt:lpwstr>
      </vt:variant>
      <vt:variant>
        <vt:lpwstr/>
      </vt:variant>
      <vt:variant>
        <vt:i4>7667752</vt:i4>
      </vt:variant>
      <vt:variant>
        <vt:i4>2604</vt:i4>
      </vt:variant>
      <vt:variant>
        <vt:i4>0</vt:i4>
      </vt:variant>
      <vt:variant>
        <vt:i4>5</vt:i4>
      </vt:variant>
      <vt:variant>
        <vt:lpwstr>http://www.jstor.org/action/showPublication?journalCode=ecology</vt:lpwstr>
      </vt:variant>
      <vt:variant>
        <vt:lpwstr/>
      </vt:variant>
      <vt:variant>
        <vt:i4>1507330</vt:i4>
      </vt:variant>
      <vt:variant>
        <vt:i4>2601</vt:i4>
      </vt:variant>
      <vt:variant>
        <vt:i4>0</vt:i4>
      </vt:variant>
      <vt:variant>
        <vt:i4>5</vt:i4>
      </vt:variant>
      <vt:variant>
        <vt:lpwstr>http://unesdoc.unesco.org/images/0014/001492/149210e.pdf</vt:lpwstr>
      </vt:variant>
      <vt:variant>
        <vt:lpwstr/>
      </vt:variant>
      <vt:variant>
        <vt:i4>4587531</vt:i4>
      </vt:variant>
      <vt:variant>
        <vt:i4>1152</vt:i4>
      </vt:variant>
      <vt:variant>
        <vt:i4>0</vt:i4>
      </vt:variant>
      <vt:variant>
        <vt:i4>5</vt:i4>
      </vt:variant>
      <vt:variant>
        <vt:lpwstr/>
      </vt:variant>
      <vt:variant>
        <vt:lpwstr>_ENREF_74</vt:lpwstr>
      </vt:variant>
      <vt:variant>
        <vt:i4>1900613</vt:i4>
      </vt:variant>
      <vt:variant>
        <vt:i4>1119</vt:i4>
      </vt:variant>
      <vt:variant>
        <vt:i4>0</vt:i4>
      </vt:variant>
      <vt:variant>
        <vt:i4>5</vt:i4>
      </vt:variant>
      <vt:variant>
        <vt:lpwstr>http://waterinfo.nsw.gov.au/</vt:lpwstr>
      </vt:variant>
      <vt:variant>
        <vt:lpwstr/>
      </vt:variant>
      <vt:variant>
        <vt:i4>1376309</vt:i4>
      </vt:variant>
      <vt:variant>
        <vt:i4>677</vt:i4>
      </vt:variant>
      <vt:variant>
        <vt:i4>0</vt:i4>
      </vt:variant>
      <vt:variant>
        <vt:i4>5</vt:i4>
      </vt:variant>
      <vt:variant>
        <vt:lpwstr/>
      </vt:variant>
      <vt:variant>
        <vt:lpwstr>_Toc359773836</vt:lpwstr>
      </vt:variant>
      <vt:variant>
        <vt:i4>1376309</vt:i4>
      </vt:variant>
      <vt:variant>
        <vt:i4>671</vt:i4>
      </vt:variant>
      <vt:variant>
        <vt:i4>0</vt:i4>
      </vt:variant>
      <vt:variant>
        <vt:i4>5</vt:i4>
      </vt:variant>
      <vt:variant>
        <vt:lpwstr/>
      </vt:variant>
      <vt:variant>
        <vt:lpwstr>_Toc359773835</vt:lpwstr>
      </vt:variant>
      <vt:variant>
        <vt:i4>1376309</vt:i4>
      </vt:variant>
      <vt:variant>
        <vt:i4>665</vt:i4>
      </vt:variant>
      <vt:variant>
        <vt:i4>0</vt:i4>
      </vt:variant>
      <vt:variant>
        <vt:i4>5</vt:i4>
      </vt:variant>
      <vt:variant>
        <vt:lpwstr/>
      </vt:variant>
      <vt:variant>
        <vt:lpwstr>_Toc359773834</vt:lpwstr>
      </vt:variant>
      <vt:variant>
        <vt:i4>1376309</vt:i4>
      </vt:variant>
      <vt:variant>
        <vt:i4>659</vt:i4>
      </vt:variant>
      <vt:variant>
        <vt:i4>0</vt:i4>
      </vt:variant>
      <vt:variant>
        <vt:i4>5</vt:i4>
      </vt:variant>
      <vt:variant>
        <vt:lpwstr/>
      </vt:variant>
      <vt:variant>
        <vt:lpwstr>_Toc359773833</vt:lpwstr>
      </vt:variant>
      <vt:variant>
        <vt:i4>1376309</vt:i4>
      </vt:variant>
      <vt:variant>
        <vt:i4>653</vt:i4>
      </vt:variant>
      <vt:variant>
        <vt:i4>0</vt:i4>
      </vt:variant>
      <vt:variant>
        <vt:i4>5</vt:i4>
      </vt:variant>
      <vt:variant>
        <vt:lpwstr/>
      </vt:variant>
      <vt:variant>
        <vt:lpwstr>_Toc359773832</vt:lpwstr>
      </vt:variant>
      <vt:variant>
        <vt:i4>1376309</vt:i4>
      </vt:variant>
      <vt:variant>
        <vt:i4>647</vt:i4>
      </vt:variant>
      <vt:variant>
        <vt:i4>0</vt:i4>
      </vt:variant>
      <vt:variant>
        <vt:i4>5</vt:i4>
      </vt:variant>
      <vt:variant>
        <vt:lpwstr/>
      </vt:variant>
      <vt:variant>
        <vt:lpwstr>_Toc359773831</vt:lpwstr>
      </vt:variant>
      <vt:variant>
        <vt:i4>1376309</vt:i4>
      </vt:variant>
      <vt:variant>
        <vt:i4>641</vt:i4>
      </vt:variant>
      <vt:variant>
        <vt:i4>0</vt:i4>
      </vt:variant>
      <vt:variant>
        <vt:i4>5</vt:i4>
      </vt:variant>
      <vt:variant>
        <vt:lpwstr/>
      </vt:variant>
      <vt:variant>
        <vt:lpwstr>_Toc359773830</vt:lpwstr>
      </vt:variant>
      <vt:variant>
        <vt:i4>1310773</vt:i4>
      </vt:variant>
      <vt:variant>
        <vt:i4>635</vt:i4>
      </vt:variant>
      <vt:variant>
        <vt:i4>0</vt:i4>
      </vt:variant>
      <vt:variant>
        <vt:i4>5</vt:i4>
      </vt:variant>
      <vt:variant>
        <vt:lpwstr/>
      </vt:variant>
      <vt:variant>
        <vt:lpwstr>_Toc359773829</vt:lpwstr>
      </vt:variant>
      <vt:variant>
        <vt:i4>1310773</vt:i4>
      </vt:variant>
      <vt:variant>
        <vt:i4>629</vt:i4>
      </vt:variant>
      <vt:variant>
        <vt:i4>0</vt:i4>
      </vt:variant>
      <vt:variant>
        <vt:i4>5</vt:i4>
      </vt:variant>
      <vt:variant>
        <vt:lpwstr/>
      </vt:variant>
      <vt:variant>
        <vt:lpwstr>_Toc359773828</vt:lpwstr>
      </vt:variant>
      <vt:variant>
        <vt:i4>1310773</vt:i4>
      </vt:variant>
      <vt:variant>
        <vt:i4>623</vt:i4>
      </vt:variant>
      <vt:variant>
        <vt:i4>0</vt:i4>
      </vt:variant>
      <vt:variant>
        <vt:i4>5</vt:i4>
      </vt:variant>
      <vt:variant>
        <vt:lpwstr/>
      </vt:variant>
      <vt:variant>
        <vt:lpwstr>_Toc359773827</vt:lpwstr>
      </vt:variant>
      <vt:variant>
        <vt:i4>1310773</vt:i4>
      </vt:variant>
      <vt:variant>
        <vt:i4>617</vt:i4>
      </vt:variant>
      <vt:variant>
        <vt:i4>0</vt:i4>
      </vt:variant>
      <vt:variant>
        <vt:i4>5</vt:i4>
      </vt:variant>
      <vt:variant>
        <vt:lpwstr/>
      </vt:variant>
      <vt:variant>
        <vt:lpwstr>_Toc359773826</vt:lpwstr>
      </vt:variant>
      <vt:variant>
        <vt:i4>1310773</vt:i4>
      </vt:variant>
      <vt:variant>
        <vt:i4>611</vt:i4>
      </vt:variant>
      <vt:variant>
        <vt:i4>0</vt:i4>
      </vt:variant>
      <vt:variant>
        <vt:i4>5</vt:i4>
      </vt:variant>
      <vt:variant>
        <vt:lpwstr/>
      </vt:variant>
      <vt:variant>
        <vt:lpwstr>_Toc359773825</vt:lpwstr>
      </vt:variant>
      <vt:variant>
        <vt:i4>1310773</vt:i4>
      </vt:variant>
      <vt:variant>
        <vt:i4>605</vt:i4>
      </vt:variant>
      <vt:variant>
        <vt:i4>0</vt:i4>
      </vt:variant>
      <vt:variant>
        <vt:i4>5</vt:i4>
      </vt:variant>
      <vt:variant>
        <vt:lpwstr/>
      </vt:variant>
      <vt:variant>
        <vt:lpwstr>_Toc359773824</vt:lpwstr>
      </vt:variant>
      <vt:variant>
        <vt:i4>1310773</vt:i4>
      </vt:variant>
      <vt:variant>
        <vt:i4>599</vt:i4>
      </vt:variant>
      <vt:variant>
        <vt:i4>0</vt:i4>
      </vt:variant>
      <vt:variant>
        <vt:i4>5</vt:i4>
      </vt:variant>
      <vt:variant>
        <vt:lpwstr/>
      </vt:variant>
      <vt:variant>
        <vt:lpwstr>_Toc359773823</vt:lpwstr>
      </vt:variant>
      <vt:variant>
        <vt:i4>1310773</vt:i4>
      </vt:variant>
      <vt:variant>
        <vt:i4>593</vt:i4>
      </vt:variant>
      <vt:variant>
        <vt:i4>0</vt:i4>
      </vt:variant>
      <vt:variant>
        <vt:i4>5</vt:i4>
      </vt:variant>
      <vt:variant>
        <vt:lpwstr/>
      </vt:variant>
      <vt:variant>
        <vt:lpwstr>_Toc359773822</vt:lpwstr>
      </vt:variant>
      <vt:variant>
        <vt:i4>1310773</vt:i4>
      </vt:variant>
      <vt:variant>
        <vt:i4>587</vt:i4>
      </vt:variant>
      <vt:variant>
        <vt:i4>0</vt:i4>
      </vt:variant>
      <vt:variant>
        <vt:i4>5</vt:i4>
      </vt:variant>
      <vt:variant>
        <vt:lpwstr/>
      </vt:variant>
      <vt:variant>
        <vt:lpwstr>_Toc359773821</vt:lpwstr>
      </vt:variant>
      <vt:variant>
        <vt:i4>1310773</vt:i4>
      </vt:variant>
      <vt:variant>
        <vt:i4>581</vt:i4>
      </vt:variant>
      <vt:variant>
        <vt:i4>0</vt:i4>
      </vt:variant>
      <vt:variant>
        <vt:i4>5</vt:i4>
      </vt:variant>
      <vt:variant>
        <vt:lpwstr/>
      </vt:variant>
      <vt:variant>
        <vt:lpwstr>_Toc359773820</vt:lpwstr>
      </vt:variant>
      <vt:variant>
        <vt:i4>1507381</vt:i4>
      </vt:variant>
      <vt:variant>
        <vt:i4>575</vt:i4>
      </vt:variant>
      <vt:variant>
        <vt:i4>0</vt:i4>
      </vt:variant>
      <vt:variant>
        <vt:i4>5</vt:i4>
      </vt:variant>
      <vt:variant>
        <vt:lpwstr/>
      </vt:variant>
      <vt:variant>
        <vt:lpwstr>_Toc359773819</vt:lpwstr>
      </vt:variant>
      <vt:variant>
        <vt:i4>1507381</vt:i4>
      </vt:variant>
      <vt:variant>
        <vt:i4>569</vt:i4>
      </vt:variant>
      <vt:variant>
        <vt:i4>0</vt:i4>
      </vt:variant>
      <vt:variant>
        <vt:i4>5</vt:i4>
      </vt:variant>
      <vt:variant>
        <vt:lpwstr/>
      </vt:variant>
      <vt:variant>
        <vt:lpwstr>_Toc359773818</vt:lpwstr>
      </vt:variant>
      <vt:variant>
        <vt:i4>1507381</vt:i4>
      </vt:variant>
      <vt:variant>
        <vt:i4>563</vt:i4>
      </vt:variant>
      <vt:variant>
        <vt:i4>0</vt:i4>
      </vt:variant>
      <vt:variant>
        <vt:i4>5</vt:i4>
      </vt:variant>
      <vt:variant>
        <vt:lpwstr/>
      </vt:variant>
      <vt:variant>
        <vt:lpwstr>_Toc359773817</vt:lpwstr>
      </vt:variant>
      <vt:variant>
        <vt:i4>1507381</vt:i4>
      </vt:variant>
      <vt:variant>
        <vt:i4>557</vt:i4>
      </vt:variant>
      <vt:variant>
        <vt:i4>0</vt:i4>
      </vt:variant>
      <vt:variant>
        <vt:i4>5</vt:i4>
      </vt:variant>
      <vt:variant>
        <vt:lpwstr/>
      </vt:variant>
      <vt:variant>
        <vt:lpwstr>_Toc359773816</vt:lpwstr>
      </vt:variant>
      <vt:variant>
        <vt:i4>1507381</vt:i4>
      </vt:variant>
      <vt:variant>
        <vt:i4>551</vt:i4>
      </vt:variant>
      <vt:variant>
        <vt:i4>0</vt:i4>
      </vt:variant>
      <vt:variant>
        <vt:i4>5</vt:i4>
      </vt:variant>
      <vt:variant>
        <vt:lpwstr/>
      </vt:variant>
      <vt:variant>
        <vt:lpwstr>_Toc359773815</vt:lpwstr>
      </vt:variant>
      <vt:variant>
        <vt:i4>1507381</vt:i4>
      </vt:variant>
      <vt:variant>
        <vt:i4>545</vt:i4>
      </vt:variant>
      <vt:variant>
        <vt:i4>0</vt:i4>
      </vt:variant>
      <vt:variant>
        <vt:i4>5</vt:i4>
      </vt:variant>
      <vt:variant>
        <vt:lpwstr/>
      </vt:variant>
      <vt:variant>
        <vt:lpwstr>_Toc359773814</vt:lpwstr>
      </vt:variant>
      <vt:variant>
        <vt:i4>1507381</vt:i4>
      </vt:variant>
      <vt:variant>
        <vt:i4>539</vt:i4>
      </vt:variant>
      <vt:variant>
        <vt:i4>0</vt:i4>
      </vt:variant>
      <vt:variant>
        <vt:i4>5</vt:i4>
      </vt:variant>
      <vt:variant>
        <vt:lpwstr/>
      </vt:variant>
      <vt:variant>
        <vt:lpwstr>_Toc359773813</vt:lpwstr>
      </vt:variant>
      <vt:variant>
        <vt:i4>1507381</vt:i4>
      </vt:variant>
      <vt:variant>
        <vt:i4>533</vt:i4>
      </vt:variant>
      <vt:variant>
        <vt:i4>0</vt:i4>
      </vt:variant>
      <vt:variant>
        <vt:i4>5</vt:i4>
      </vt:variant>
      <vt:variant>
        <vt:lpwstr/>
      </vt:variant>
      <vt:variant>
        <vt:lpwstr>_Toc359773812</vt:lpwstr>
      </vt:variant>
      <vt:variant>
        <vt:i4>1507381</vt:i4>
      </vt:variant>
      <vt:variant>
        <vt:i4>527</vt:i4>
      </vt:variant>
      <vt:variant>
        <vt:i4>0</vt:i4>
      </vt:variant>
      <vt:variant>
        <vt:i4>5</vt:i4>
      </vt:variant>
      <vt:variant>
        <vt:lpwstr/>
      </vt:variant>
      <vt:variant>
        <vt:lpwstr>_Toc359773811</vt:lpwstr>
      </vt:variant>
      <vt:variant>
        <vt:i4>1507381</vt:i4>
      </vt:variant>
      <vt:variant>
        <vt:i4>521</vt:i4>
      </vt:variant>
      <vt:variant>
        <vt:i4>0</vt:i4>
      </vt:variant>
      <vt:variant>
        <vt:i4>5</vt:i4>
      </vt:variant>
      <vt:variant>
        <vt:lpwstr/>
      </vt:variant>
      <vt:variant>
        <vt:lpwstr>_Toc359773810</vt:lpwstr>
      </vt:variant>
      <vt:variant>
        <vt:i4>1441845</vt:i4>
      </vt:variant>
      <vt:variant>
        <vt:i4>515</vt:i4>
      </vt:variant>
      <vt:variant>
        <vt:i4>0</vt:i4>
      </vt:variant>
      <vt:variant>
        <vt:i4>5</vt:i4>
      </vt:variant>
      <vt:variant>
        <vt:lpwstr/>
      </vt:variant>
      <vt:variant>
        <vt:lpwstr>_Toc359773809</vt:lpwstr>
      </vt:variant>
      <vt:variant>
        <vt:i4>1441845</vt:i4>
      </vt:variant>
      <vt:variant>
        <vt:i4>509</vt:i4>
      </vt:variant>
      <vt:variant>
        <vt:i4>0</vt:i4>
      </vt:variant>
      <vt:variant>
        <vt:i4>5</vt:i4>
      </vt:variant>
      <vt:variant>
        <vt:lpwstr/>
      </vt:variant>
      <vt:variant>
        <vt:lpwstr>_Toc359773808</vt:lpwstr>
      </vt:variant>
      <vt:variant>
        <vt:i4>1441845</vt:i4>
      </vt:variant>
      <vt:variant>
        <vt:i4>503</vt:i4>
      </vt:variant>
      <vt:variant>
        <vt:i4>0</vt:i4>
      </vt:variant>
      <vt:variant>
        <vt:i4>5</vt:i4>
      </vt:variant>
      <vt:variant>
        <vt:lpwstr/>
      </vt:variant>
      <vt:variant>
        <vt:lpwstr>_Toc359773807</vt:lpwstr>
      </vt:variant>
      <vt:variant>
        <vt:i4>1441845</vt:i4>
      </vt:variant>
      <vt:variant>
        <vt:i4>497</vt:i4>
      </vt:variant>
      <vt:variant>
        <vt:i4>0</vt:i4>
      </vt:variant>
      <vt:variant>
        <vt:i4>5</vt:i4>
      </vt:variant>
      <vt:variant>
        <vt:lpwstr/>
      </vt:variant>
      <vt:variant>
        <vt:lpwstr>_Toc359773806</vt:lpwstr>
      </vt:variant>
      <vt:variant>
        <vt:i4>1441845</vt:i4>
      </vt:variant>
      <vt:variant>
        <vt:i4>491</vt:i4>
      </vt:variant>
      <vt:variant>
        <vt:i4>0</vt:i4>
      </vt:variant>
      <vt:variant>
        <vt:i4>5</vt:i4>
      </vt:variant>
      <vt:variant>
        <vt:lpwstr/>
      </vt:variant>
      <vt:variant>
        <vt:lpwstr>_Toc359773805</vt:lpwstr>
      </vt:variant>
      <vt:variant>
        <vt:i4>1441845</vt:i4>
      </vt:variant>
      <vt:variant>
        <vt:i4>485</vt:i4>
      </vt:variant>
      <vt:variant>
        <vt:i4>0</vt:i4>
      </vt:variant>
      <vt:variant>
        <vt:i4>5</vt:i4>
      </vt:variant>
      <vt:variant>
        <vt:lpwstr/>
      </vt:variant>
      <vt:variant>
        <vt:lpwstr>_Toc359773804</vt:lpwstr>
      </vt:variant>
      <vt:variant>
        <vt:i4>1441845</vt:i4>
      </vt:variant>
      <vt:variant>
        <vt:i4>479</vt:i4>
      </vt:variant>
      <vt:variant>
        <vt:i4>0</vt:i4>
      </vt:variant>
      <vt:variant>
        <vt:i4>5</vt:i4>
      </vt:variant>
      <vt:variant>
        <vt:lpwstr/>
      </vt:variant>
      <vt:variant>
        <vt:lpwstr>_Toc359773803</vt:lpwstr>
      </vt:variant>
      <vt:variant>
        <vt:i4>1441845</vt:i4>
      </vt:variant>
      <vt:variant>
        <vt:i4>473</vt:i4>
      </vt:variant>
      <vt:variant>
        <vt:i4>0</vt:i4>
      </vt:variant>
      <vt:variant>
        <vt:i4>5</vt:i4>
      </vt:variant>
      <vt:variant>
        <vt:lpwstr/>
      </vt:variant>
      <vt:variant>
        <vt:lpwstr>_Toc359773802</vt:lpwstr>
      </vt:variant>
      <vt:variant>
        <vt:i4>1441845</vt:i4>
      </vt:variant>
      <vt:variant>
        <vt:i4>467</vt:i4>
      </vt:variant>
      <vt:variant>
        <vt:i4>0</vt:i4>
      </vt:variant>
      <vt:variant>
        <vt:i4>5</vt:i4>
      </vt:variant>
      <vt:variant>
        <vt:lpwstr/>
      </vt:variant>
      <vt:variant>
        <vt:lpwstr>_Toc359773801</vt:lpwstr>
      </vt:variant>
      <vt:variant>
        <vt:i4>1441845</vt:i4>
      </vt:variant>
      <vt:variant>
        <vt:i4>461</vt:i4>
      </vt:variant>
      <vt:variant>
        <vt:i4>0</vt:i4>
      </vt:variant>
      <vt:variant>
        <vt:i4>5</vt:i4>
      </vt:variant>
      <vt:variant>
        <vt:lpwstr/>
      </vt:variant>
      <vt:variant>
        <vt:lpwstr>_Toc359773800</vt:lpwstr>
      </vt:variant>
      <vt:variant>
        <vt:i4>2031674</vt:i4>
      </vt:variant>
      <vt:variant>
        <vt:i4>455</vt:i4>
      </vt:variant>
      <vt:variant>
        <vt:i4>0</vt:i4>
      </vt:variant>
      <vt:variant>
        <vt:i4>5</vt:i4>
      </vt:variant>
      <vt:variant>
        <vt:lpwstr/>
      </vt:variant>
      <vt:variant>
        <vt:lpwstr>_Toc359773799</vt:lpwstr>
      </vt:variant>
      <vt:variant>
        <vt:i4>2031674</vt:i4>
      </vt:variant>
      <vt:variant>
        <vt:i4>449</vt:i4>
      </vt:variant>
      <vt:variant>
        <vt:i4>0</vt:i4>
      </vt:variant>
      <vt:variant>
        <vt:i4>5</vt:i4>
      </vt:variant>
      <vt:variant>
        <vt:lpwstr/>
      </vt:variant>
      <vt:variant>
        <vt:lpwstr>_Toc359773798</vt:lpwstr>
      </vt:variant>
      <vt:variant>
        <vt:i4>2031674</vt:i4>
      </vt:variant>
      <vt:variant>
        <vt:i4>443</vt:i4>
      </vt:variant>
      <vt:variant>
        <vt:i4>0</vt:i4>
      </vt:variant>
      <vt:variant>
        <vt:i4>5</vt:i4>
      </vt:variant>
      <vt:variant>
        <vt:lpwstr/>
      </vt:variant>
      <vt:variant>
        <vt:lpwstr>_Toc359773797</vt:lpwstr>
      </vt:variant>
      <vt:variant>
        <vt:i4>2031674</vt:i4>
      </vt:variant>
      <vt:variant>
        <vt:i4>437</vt:i4>
      </vt:variant>
      <vt:variant>
        <vt:i4>0</vt:i4>
      </vt:variant>
      <vt:variant>
        <vt:i4>5</vt:i4>
      </vt:variant>
      <vt:variant>
        <vt:lpwstr/>
      </vt:variant>
      <vt:variant>
        <vt:lpwstr>_Toc359773796</vt:lpwstr>
      </vt:variant>
      <vt:variant>
        <vt:i4>2031674</vt:i4>
      </vt:variant>
      <vt:variant>
        <vt:i4>431</vt:i4>
      </vt:variant>
      <vt:variant>
        <vt:i4>0</vt:i4>
      </vt:variant>
      <vt:variant>
        <vt:i4>5</vt:i4>
      </vt:variant>
      <vt:variant>
        <vt:lpwstr/>
      </vt:variant>
      <vt:variant>
        <vt:lpwstr>_Toc359773795</vt:lpwstr>
      </vt:variant>
      <vt:variant>
        <vt:i4>2031674</vt:i4>
      </vt:variant>
      <vt:variant>
        <vt:i4>425</vt:i4>
      </vt:variant>
      <vt:variant>
        <vt:i4>0</vt:i4>
      </vt:variant>
      <vt:variant>
        <vt:i4>5</vt:i4>
      </vt:variant>
      <vt:variant>
        <vt:lpwstr/>
      </vt:variant>
      <vt:variant>
        <vt:lpwstr>_Toc359773794</vt:lpwstr>
      </vt:variant>
      <vt:variant>
        <vt:i4>2031674</vt:i4>
      </vt:variant>
      <vt:variant>
        <vt:i4>419</vt:i4>
      </vt:variant>
      <vt:variant>
        <vt:i4>0</vt:i4>
      </vt:variant>
      <vt:variant>
        <vt:i4>5</vt:i4>
      </vt:variant>
      <vt:variant>
        <vt:lpwstr/>
      </vt:variant>
      <vt:variant>
        <vt:lpwstr>_Toc359773793</vt:lpwstr>
      </vt:variant>
      <vt:variant>
        <vt:i4>2031674</vt:i4>
      </vt:variant>
      <vt:variant>
        <vt:i4>413</vt:i4>
      </vt:variant>
      <vt:variant>
        <vt:i4>0</vt:i4>
      </vt:variant>
      <vt:variant>
        <vt:i4>5</vt:i4>
      </vt:variant>
      <vt:variant>
        <vt:lpwstr/>
      </vt:variant>
      <vt:variant>
        <vt:lpwstr>_Toc359773792</vt:lpwstr>
      </vt:variant>
      <vt:variant>
        <vt:i4>2031674</vt:i4>
      </vt:variant>
      <vt:variant>
        <vt:i4>407</vt:i4>
      </vt:variant>
      <vt:variant>
        <vt:i4>0</vt:i4>
      </vt:variant>
      <vt:variant>
        <vt:i4>5</vt:i4>
      </vt:variant>
      <vt:variant>
        <vt:lpwstr/>
      </vt:variant>
      <vt:variant>
        <vt:lpwstr>_Toc359773791</vt:lpwstr>
      </vt:variant>
      <vt:variant>
        <vt:i4>2031674</vt:i4>
      </vt:variant>
      <vt:variant>
        <vt:i4>401</vt:i4>
      </vt:variant>
      <vt:variant>
        <vt:i4>0</vt:i4>
      </vt:variant>
      <vt:variant>
        <vt:i4>5</vt:i4>
      </vt:variant>
      <vt:variant>
        <vt:lpwstr/>
      </vt:variant>
      <vt:variant>
        <vt:lpwstr>_Toc359773790</vt:lpwstr>
      </vt:variant>
      <vt:variant>
        <vt:i4>1966138</vt:i4>
      </vt:variant>
      <vt:variant>
        <vt:i4>395</vt:i4>
      </vt:variant>
      <vt:variant>
        <vt:i4>0</vt:i4>
      </vt:variant>
      <vt:variant>
        <vt:i4>5</vt:i4>
      </vt:variant>
      <vt:variant>
        <vt:lpwstr/>
      </vt:variant>
      <vt:variant>
        <vt:lpwstr>_Toc359773789</vt:lpwstr>
      </vt:variant>
      <vt:variant>
        <vt:i4>1966138</vt:i4>
      </vt:variant>
      <vt:variant>
        <vt:i4>389</vt:i4>
      </vt:variant>
      <vt:variant>
        <vt:i4>0</vt:i4>
      </vt:variant>
      <vt:variant>
        <vt:i4>5</vt:i4>
      </vt:variant>
      <vt:variant>
        <vt:lpwstr/>
      </vt:variant>
      <vt:variant>
        <vt:lpwstr>_Toc359773788</vt:lpwstr>
      </vt:variant>
      <vt:variant>
        <vt:i4>1966138</vt:i4>
      </vt:variant>
      <vt:variant>
        <vt:i4>383</vt:i4>
      </vt:variant>
      <vt:variant>
        <vt:i4>0</vt:i4>
      </vt:variant>
      <vt:variant>
        <vt:i4>5</vt:i4>
      </vt:variant>
      <vt:variant>
        <vt:lpwstr/>
      </vt:variant>
      <vt:variant>
        <vt:lpwstr>_Toc359773787</vt:lpwstr>
      </vt:variant>
      <vt:variant>
        <vt:i4>1966138</vt:i4>
      </vt:variant>
      <vt:variant>
        <vt:i4>377</vt:i4>
      </vt:variant>
      <vt:variant>
        <vt:i4>0</vt:i4>
      </vt:variant>
      <vt:variant>
        <vt:i4>5</vt:i4>
      </vt:variant>
      <vt:variant>
        <vt:lpwstr/>
      </vt:variant>
      <vt:variant>
        <vt:lpwstr>_Toc359773786</vt:lpwstr>
      </vt:variant>
      <vt:variant>
        <vt:i4>1966138</vt:i4>
      </vt:variant>
      <vt:variant>
        <vt:i4>371</vt:i4>
      </vt:variant>
      <vt:variant>
        <vt:i4>0</vt:i4>
      </vt:variant>
      <vt:variant>
        <vt:i4>5</vt:i4>
      </vt:variant>
      <vt:variant>
        <vt:lpwstr/>
      </vt:variant>
      <vt:variant>
        <vt:lpwstr>_Toc359773785</vt:lpwstr>
      </vt:variant>
      <vt:variant>
        <vt:i4>1966138</vt:i4>
      </vt:variant>
      <vt:variant>
        <vt:i4>365</vt:i4>
      </vt:variant>
      <vt:variant>
        <vt:i4>0</vt:i4>
      </vt:variant>
      <vt:variant>
        <vt:i4>5</vt:i4>
      </vt:variant>
      <vt:variant>
        <vt:lpwstr/>
      </vt:variant>
      <vt:variant>
        <vt:lpwstr>_Toc359773784</vt:lpwstr>
      </vt:variant>
      <vt:variant>
        <vt:i4>1966138</vt:i4>
      </vt:variant>
      <vt:variant>
        <vt:i4>359</vt:i4>
      </vt:variant>
      <vt:variant>
        <vt:i4>0</vt:i4>
      </vt:variant>
      <vt:variant>
        <vt:i4>5</vt:i4>
      </vt:variant>
      <vt:variant>
        <vt:lpwstr/>
      </vt:variant>
      <vt:variant>
        <vt:lpwstr>_Toc359773783</vt:lpwstr>
      </vt:variant>
      <vt:variant>
        <vt:i4>1966138</vt:i4>
      </vt:variant>
      <vt:variant>
        <vt:i4>353</vt:i4>
      </vt:variant>
      <vt:variant>
        <vt:i4>0</vt:i4>
      </vt:variant>
      <vt:variant>
        <vt:i4>5</vt:i4>
      </vt:variant>
      <vt:variant>
        <vt:lpwstr/>
      </vt:variant>
      <vt:variant>
        <vt:lpwstr>_Toc359773782</vt:lpwstr>
      </vt:variant>
      <vt:variant>
        <vt:i4>1966138</vt:i4>
      </vt:variant>
      <vt:variant>
        <vt:i4>347</vt:i4>
      </vt:variant>
      <vt:variant>
        <vt:i4>0</vt:i4>
      </vt:variant>
      <vt:variant>
        <vt:i4>5</vt:i4>
      </vt:variant>
      <vt:variant>
        <vt:lpwstr/>
      </vt:variant>
      <vt:variant>
        <vt:lpwstr>_Toc359773781</vt:lpwstr>
      </vt:variant>
      <vt:variant>
        <vt:i4>1966138</vt:i4>
      </vt:variant>
      <vt:variant>
        <vt:i4>341</vt:i4>
      </vt:variant>
      <vt:variant>
        <vt:i4>0</vt:i4>
      </vt:variant>
      <vt:variant>
        <vt:i4>5</vt:i4>
      </vt:variant>
      <vt:variant>
        <vt:lpwstr/>
      </vt:variant>
      <vt:variant>
        <vt:lpwstr>_Toc359773780</vt:lpwstr>
      </vt:variant>
      <vt:variant>
        <vt:i4>1114170</vt:i4>
      </vt:variant>
      <vt:variant>
        <vt:i4>335</vt:i4>
      </vt:variant>
      <vt:variant>
        <vt:i4>0</vt:i4>
      </vt:variant>
      <vt:variant>
        <vt:i4>5</vt:i4>
      </vt:variant>
      <vt:variant>
        <vt:lpwstr/>
      </vt:variant>
      <vt:variant>
        <vt:lpwstr>_Toc359773779</vt:lpwstr>
      </vt:variant>
      <vt:variant>
        <vt:i4>1114170</vt:i4>
      </vt:variant>
      <vt:variant>
        <vt:i4>329</vt:i4>
      </vt:variant>
      <vt:variant>
        <vt:i4>0</vt:i4>
      </vt:variant>
      <vt:variant>
        <vt:i4>5</vt:i4>
      </vt:variant>
      <vt:variant>
        <vt:lpwstr/>
      </vt:variant>
      <vt:variant>
        <vt:lpwstr>_Toc359773778</vt:lpwstr>
      </vt:variant>
      <vt:variant>
        <vt:i4>1114170</vt:i4>
      </vt:variant>
      <vt:variant>
        <vt:i4>323</vt:i4>
      </vt:variant>
      <vt:variant>
        <vt:i4>0</vt:i4>
      </vt:variant>
      <vt:variant>
        <vt:i4>5</vt:i4>
      </vt:variant>
      <vt:variant>
        <vt:lpwstr/>
      </vt:variant>
      <vt:variant>
        <vt:lpwstr>_Toc359773777</vt:lpwstr>
      </vt:variant>
      <vt:variant>
        <vt:i4>1114170</vt:i4>
      </vt:variant>
      <vt:variant>
        <vt:i4>317</vt:i4>
      </vt:variant>
      <vt:variant>
        <vt:i4>0</vt:i4>
      </vt:variant>
      <vt:variant>
        <vt:i4>5</vt:i4>
      </vt:variant>
      <vt:variant>
        <vt:lpwstr/>
      </vt:variant>
      <vt:variant>
        <vt:lpwstr>_Toc359773776</vt:lpwstr>
      </vt:variant>
      <vt:variant>
        <vt:i4>1114170</vt:i4>
      </vt:variant>
      <vt:variant>
        <vt:i4>311</vt:i4>
      </vt:variant>
      <vt:variant>
        <vt:i4>0</vt:i4>
      </vt:variant>
      <vt:variant>
        <vt:i4>5</vt:i4>
      </vt:variant>
      <vt:variant>
        <vt:lpwstr/>
      </vt:variant>
      <vt:variant>
        <vt:lpwstr>_Toc359773775</vt:lpwstr>
      </vt:variant>
      <vt:variant>
        <vt:i4>1114170</vt:i4>
      </vt:variant>
      <vt:variant>
        <vt:i4>305</vt:i4>
      </vt:variant>
      <vt:variant>
        <vt:i4>0</vt:i4>
      </vt:variant>
      <vt:variant>
        <vt:i4>5</vt:i4>
      </vt:variant>
      <vt:variant>
        <vt:lpwstr/>
      </vt:variant>
      <vt:variant>
        <vt:lpwstr>_Toc359773774</vt:lpwstr>
      </vt:variant>
      <vt:variant>
        <vt:i4>1114170</vt:i4>
      </vt:variant>
      <vt:variant>
        <vt:i4>299</vt:i4>
      </vt:variant>
      <vt:variant>
        <vt:i4>0</vt:i4>
      </vt:variant>
      <vt:variant>
        <vt:i4>5</vt:i4>
      </vt:variant>
      <vt:variant>
        <vt:lpwstr/>
      </vt:variant>
      <vt:variant>
        <vt:lpwstr>_Toc359773773</vt:lpwstr>
      </vt:variant>
      <vt:variant>
        <vt:i4>1114170</vt:i4>
      </vt:variant>
      <vt:variant>
        <vt:i4>293</vt:i4>
      </vt:variant>
      <vt:variant>
        <vt:i4>0</vt:i4>
      </vt:variant>
      <vt:variant>
        <vt:i4>5</vt:i4>
      </vt:variant>
      <vt:variant>
        <vt:lpwstr/>
      </vt:variant>
      <vt:variant>
        <vt:lpwstr>_Toc359773772</vt:lpwstr>
      </vt:variant>
      <vt:variant>
        <vt:i4>1114170</vt:i4>
      </vt:variant>
      <vt:variant>
        <vt:i4>287</vt:i4>
      </vt:variant>
      <vt:variant>
        <vt:i4>0</vt:i4>
      </vt:variant>
      <vt:variant>
        <vt:i4>5</vt:i4>
      </vt:variant>
      <vt:variant>
        <vt:lpwstr/>
      </vt:variant>
      <vt:variant>
        <vt:lpwstr>_Toc359773771</vt:lpwstr>
      </vt:variant>
      <vt:variant>
        <vt:i4>1114170</vt:i4>
      </vt:variant>
      <vt:variant>
        <vt:i4>281</vt:i4>
      </vt:variant>
      <vt:variant>
        <vt:i4>0</vt:i4>
      </vt:variant>
      <vt:variant>
        <vt:i4>5</vt:i4>
      </vt:variant>
      <vt:variant>
        <vt:lpwstr/>
      </vt:variant>
      <vt:variant>
        <vt:lpwstr>_Toc359773770</vt:lpwstr>
      </vt:variant>
      <vt:variant>
        <vt:i4>1048634</vt:i4>
      </vt:variant>
      <vt:variant>
        <vt:i4>275</vt:i4>
      </vt:variant>
      <vt:variant>
        <vt:i4>0</vt:i4>
      </vt:variant>
      <vt:variant>
        <vt:i4>5</vt:i4>
      </vt:variant>
      <vt:variant>
        <vt:lpwstr/>
      </vt:variant>
      <vt:variant>
        <vt:lpwstr>_Toc359773769</vt:lpwstr>
      </vt:variant>
      <vt:variant>
        <vt:i4>1048634</vt:i4>
      </vt:variant>
      <vt:variant>
        <vt:i4>269</vt:i4>
      </vt:variant>
      <vt:variant>
        <vt:i4>0</vt:i4>
      </vt:variant>
      <vt:variant>
        <vt:i4>5</vt:i4>
      </vt:variant>
      <vt:variant>
        <vt:lpwstr/>
      </vt:variant>
      <vt:variant>
        <vt:lpwstr>_Toc359773768</vt:lpwstr>
      </vt:variant>
      <vt:variant>
        <vt:i4>1048634</vt:i4>
      </vt:variant>
      <vt:variant>
        <vt:i4>263</vt:i4>
      </vt:variant>
      <vt:variant>
        <vt:i4>0</vt:i4>
      </vt:variant>
      <vt:variant>
        <vt:i4>5</vt:i4>
      </vt:variant>
      <vt:variant>
        <vt:lpwstr/>
      </vt:variant>
      <vt:variant>
        <vt:lpwstr>_Toc359773767</vt:lpwstr>
      </vt:variant>
      <vt:variant>
        <vt:i4>1048634</vt:i4>
      </vt:variant>
      <vt:variant>
        <vt:i4>257</vt:i4>
      </vt:variant>
      <vt:variant>
        <vt:i4>0</vt:i4>
      </vt:variant>
      <vt:variant>
        <vt:i4>5</vt:i4>
      </vt:variant>
      <vt:variant>
        <vt:lpwstr/>
      </vt:variant>
      <vt:variant>
        <vt:lpwstr>_Toc359773766</vt:lpwstr>
      </vt:variant>
      <vt:variant>
        <vt:i4>1048634</vt:i4>
      </vt:variant>
      <vt:variant>
        <vt:i4>251</vt:i4>
      </vt:variant>
      <vt:variant>
        <vt:i4>0</vt:i4>
      </vt:variant>
      <vt:variant>
        <vt:i4>5</vt:i4>
      </vt:variant>
      <vt:variant>
        <vt:lpwstr/>
      </vt:variant>
      <vt:variant>
        <vt:lpwstr>_Toc359773765</vt:lpwstr>
      </vt:variant>
      <vt:variant>
        <vt:i4>1048634</vt:i4>
      </vt:variant>
      <vt:variant>
        <vt:i4>245</vt:i4>
      </vt:variant>
      <vt:variant>
        <vt:i4>0</vt:i4>
      </vt:variant>
      <vt:variant>
        <vt:i4>5</vt:i4>
      </vt:variant>
      <vt:variant>
        <vt:lpwstr/>
      </vt:variant>
      <vt:variant>
        <vt:lpwstr>_Toc359773764</vt:lpwstr>
      </vt:variant>
      <vt:variant>
        <vt:i4>1048634</vt:i4>
      </vt:variant>
      <vt:variant>
        <vt:i4>239</vt:i4>
      </vt:variant>
      <vt:variant>
        <vt:i4>0</vt:i4>
      </vt:variant>
      <vt:variant>
        <vt:i4>5</vt:i4>
      </vt:variant>
      <vt:variant>
        <vt:lpwstr/>
      </vt:variant>
      <vt:variant>
        <vt:lpwstr>_Toc359773763</vt:lpwstr>
      </vt:variant>
      <vt:variant>
        <vt:i4>1048634</vt:i4>
      </vt:variant>
      <vt:variant>
        <vt:i4>233</vt:i4>
      </vt:variant>
      <vt:variant>
        <vt:i4>0</vt:i4>
      </vt:variant>
      <vt:variant>
        <vt:i4>5</vt:i4>
      </vt:variant>
      <vt:variant>
        <vt:lpwstr/>
      </vt:variant>
      <vt:variant>
        <vt:lpwstr>_Toc359773762</vt:lpwstr>
      </vt:variant>
      <vt:variant>
        <vt:i4>1048634</vt:i4>
      </vt:variant>
      <vt:variant>
        <vt:i4>227</vt:i4>
      </vt:variant>
      <vt:variant>
        <vt:i4>0</vt:i4>
      </vt:variant>
      <vt:variant>
        <vt:i4>5</vt:i4>
      </vt:variant>
      <vt:variant>
        <vt:lpwstr/>
      </vt:variant>
      <vt:variant>
        <vt:lpwstr>_Toc359773761</vt:lpwstr>
      </vt:variant>
      <vt:variant>
        <vt:i4>1048634</vt:i4>
      </vt:variant>
      <vt:variant>
        <vt:i4>221</vt:i4>
      </vt:variant>
      <vt:variant>
        <vt:i4>0</vt:i4>
      </vt:variant>
      <vt:variant>
        <vt:i4>5</vt:i4>
      </vt:variant>
      <vt:variant>
        <vt:lpwstr/>
      </vt:variant>
      <vt:variant>
        <vt:lpwstr>_Toc359773760</vt:lpwstr>
      </vt:variant>
      <vt:variant>
        <vt:i4>1245242</vt:i4>
      </vt:variant>
      <vt:variant>
        <vt:i4>215</vt:i4>
      </vt:variant>
      <vt:variant>
        <vt:i4>0</vt:i4>
      </vt:variant>
      <vt:variant>
        <vt:i4>5</vt:i4>
      </vt:variant>
      <vt:variant>
        <vt:lpwstr/>
      </vt:variant>
      <vt:variant>
        <vt:lpwstr>_Toc359773759</vt:lpwstr>
      </vt:variant>
      <vt:variant>
        <vt:i4>1245242</vt:i4>
      </vt:variant>
      <vt:variant>
        <vt:i4>209</vt:i4>
      </vt:variant>
      <vt:variant>
        <vt:i4>0</vt:i4>
      </vt:variant>
      <vt:variant>
        <vt:i4>5</vt:i4>
      </vt:variant>
      <vt:variant>
        <vt:lpwstr/>
      </vt:variant>
      <vt:variant>
        <vt:lpwstr>_Toc359773758</vt:lpwstr>
      </vt:variant>
      <vt:variant>
        <vt:i4>1245242</vt:i4>
      </vt:variant>
      <vt:variant>
        <vt:i4>203</vt:i4>
      </vt:variant>
      <vt:variant>
        <vt:i4>0</vt:i4>
      </vt:variant>
      <vt:variant>
        <vt:i4>5</vt:i4>
      </vt:variant>
      <vt:variant>
        <vt:lpwstr/>
      </vt:variant>
      <vt:variant>
        <vt:lpwstr>_Toc359773757</vt:lpwstr>
      </vt:variant>
      <vt:variant>
        <vt:i4>1245242</vt:i4>
      </vt:variant>
      <vt:variant>
        <vt:i4>197</vt:i4>
      </vt:variant>
      <vt:variant>
        <vt:i4>0</vt:i4>
      </vt:variant>
      <vt:variant>
        <vt:i4>5</vt:i4>
      </vt:variant>
      <vt:variant>
        <vt:lpwstr/>
      </vt:variant>
      <vt:variant>
        <vt:lpwstr>_Toc359773756</vt:lpwstr>
      </vt:variant>
      <vt:variant>
        <vt:i4>1245242</vt:i4>
      </vt:variant>
      <vt:variant>
        <vt:i4>191</vt:i4>
      </vt:variant>
      <vt:variant>
        <vt:i4>0</vt:i4>
      </vt:variant>
      <vt:variant>
        <vt:i4>5</vt:i4>
      </vt:variant>
      <vt:variant>
        <vt:lpwstr/>
      </vt:variant>
      <vt:variant>
        <vt:lpwstr>_Toc359773755</vt:lpwstr>
      </vt:variant>
      <vt:variant>
        <vt:i4>1245242</vt:i4>
      </vt:variant>
      <vt:variant>
        <vt:i4>185</vt:i4>
      </vt:variant>
      <vt:variant>
        <vt:i4>0</vt:i4>
      </vt:variant>
      <vt:variant>
        <vt:i4>5</vt:i4>
      </vt:variant>
      <vt:variant>
        <vt:lpwstr/>
      </vt:variant>
      <vt:variant>
        <vt:lpwstr>_Toc359773754</vt:lpwstr>
      </vt:variant>
      <vt:variant>
        <vt:i4>1245242</vt:i4>
      </vt:variant>
      <vt:variant>
        <vt:i4>179</vt:i4>
      </vt:variant>
      <vt:variant>
        <vt:i4>0</vt:i4>
      </vt:variant>
      <vt:variant>
        <vt:i4>5</vt:i4>
      </vt:variant>
      <vt:variant>
        <vt:lpwstr/>
      </vt:variant>
      <vt:variant>
        <vt:lpwstr>_Toc359773753</vt:lpwstr>
      </vt:variant>
      <vt:variant>
        <vt:i4>1245242</vt:i4>
      </vt:variant>
      <vt:variant>
        <vt:i4>173</vt:i4>
      </vt:variant>
      <vt:variant>
        <vt:i4>0</vt:i4>
      </vt:variant>
      <vt:variant>
        <vt:i4>5</vt:i4>
      </vt:variant>
      <vt:variant>
        <vt:lpwstr/>
      </vt:variant>
      <vt:variant>
        <vt:lpwstr>_Toc359773752</vt:lpwstr>
      </vt:variant>
      <vt:variant>
        <vt:i4>1245242</vt:i4>
      </vt:variant>
      <vt:variant>
        <vt:i4>167</vt:i4>
      </vt:variant>
      <vt:variant>
        <vt:i4>0</vt:i4>
      </vt:variant>
      <vt:variant>
        <vt:i4>5</vt:i4>
      </vt:variant>
      <vt:variant>
        <vt:lpwstr/>
      </vt:variant>
      <vt:variant>
        <vt:lpwstr>_Toc359773751</vt:lpwstr>
      </vt:variant>
      <vt:variant>
        <vt:i4>1245242</vt:i4>
      </vt:variant>
      <vt:variant>
        <vt:i4>161</vt:i4>
      </vt:variant>
      <vt:variant>
        <vt:i4>0</vt:i4>
      </vt:variant>
      <vt:variant>
        <vt:i4>5</vt:i4>
      </vt:variant>
      <vt:variant>
        <vt:lpwstr/>
      </vt:variant>
      <vt:variant>
        <vt:lpwstr>_Toc359773750</vt:lpwstr>
      </vt:variant>
      <vt:variant>
        <vt:i4>1179706</vt:i4>
      </vt:variant>
      <vt:variant>
        <vt:i4>155</vt:i4>
      </vt:variant>
      <vt:variant>
        <vt:i4>0</vt:i4>
      </vt:variant>
      <vt:variant>
        <vt:i4>5</vt:i4>
      </vt:variant>
      <vt:variant>
        <vt:lpwstr/>
      </vt:variant>
      <vt:variant>
        <vt:lpwstr>_Toc359773749</vt:lpwstr>
      </vt:variant>
      <vt:variant>
        <vt:i4>1179706</vt:i4>
      </vt:variant>
      <vt:variant>
        <vt:i4>149</vt:i4>
      </vt:variant>
      <vt:variant>
        <vt:i4>0</vt:i4>
      </vt:variant>
      <vt:variant>
        <vt:i4>5</vt:i4>
      </vt:variant>
      <vt:variant>
        <vt:lpwstr/>
      </vt:variant>
      <vt:variant>
        <vt:lpwstr>_Toc359773748</vt:lpwstr>
      </vt:variant>
      <vt:variant>
        <vt:i4>1179706</vt:i4>
      </vt:variant>
      <vt:variant>
        <vt:i4>143</vt:i4>
      </vt:variant>
      <vt:variant>
        <vt:i4>0</vt:i4>
      </vt:variant>
      <vt:variant>
        <vt:i4>5</vt:i4>
      </vt:variant>
      <vt:variant>
        <vt:lpwstr/>
      </vt:variant>
      <vt:variant>
        <vt:lpwstr>_Toc359773747</vt:lpwstr>
      </vt:variant>
      <vt:variant>
        <vt:i4>1179706</vt:i4>
      </vt:variant>
      <vt:variant>
        <vt:i4>137</vt:i4>
      </vt:variant>
      <vt:variant>
        <vt:i4>0</vt:i4>
      </vt:variant>
      <vt:variant>
        <vt:i4>5</vt:i4>
      </vt:variant>
      <vt:variant>
        <vt:lpwstr/>
      </vt:variant>
      <vt:variant>
        <vt:lpwstr>_Toc359773746</vt:lpwstr>
      </vt:variant>
      <vt:variant>
        <vt:i4>1179706</vt:i4>
      </vt:variant>
      <vt:variant>
        <vt:i4>131</vt:i4>
      </vt:variant>
      <vt:variant>
        <vt:i4>0</vt:i4>
      </vt:variant>
      <vt:variant>
        <vt:i4>5</vt:i4>
      </vt:variant>
      <vt:variant>
        <vt:lpwstr/>
      </vt:variant>
      <vt:variant>
        <vt:lpwstr>_Toc359773745</vt:lpwstr>
      </vt:variant>
      <vt:variant>
        <vt:i4>1179706</vt:i4>
      </vt:variant>
      <vt:variant>
        <vt:i4>125</vt:i4>
      </vt:variant>
      <vt:variant>
        <vt:i4>0</vt:i4>
      </vt:variant>
      <vt:variant>
        <vt:i4>5</vt:i4>
      </vt:variant>
      <vt:variant>
        <vt:lpwstr/>
      </vt:variant>
      <vt:variant>
        <vt:lpwstr>_Toc359773744</vt:lpwstr>
      </vt:variant>
      <vt:variant>
        <vt:i4>1179706</vt:i4>
      </vt:variant>
      <vt:variant>
        <vt:i4>119</vt:i4>
      </vt:variant>
      <vt:variant>
        <vt:i4>0</vt:i4>
      </vt:variant>
      <vt:variant>
        <vt:i4>5</vt:i4>
      </vt:variant>
      <vt:variant>
        <vt:lpwstr/>
      </vt:variant>
      <vt:variant>
        <vt:lpwstr>_Toc359773743</vt:lpwstr>
      </vt:variant>
      <vt:variant>
        <vt:i4>1179706</vt:i4>
      </vt:variant>
      <vt:variant>
        <vt:i4>113</vt:i4>
      </vt:variant>
      <vt:variant>
        <vt:i4>0</vt:i4>
      </vt:variant>
      <vt:variant>
        <vt:i4>5</vt:i4>
      </vt:variant>
      <vt:variant>
        <vt:lpwstr/>
      </vt:variant>
      <vt:variant>
        <vt:lpwstr>_Toc359773742</vt:lpwstr>
      </vt:variant>
      <vt:variant>
        <vt:i4>1179706</vt:i4>
      </vt:variant>
      <vt:variant>
        <vt:i4>107</vt:i4>
      </vt:variant>
      <vt:variant>
        <vt:i4>0</vt:i4>
      </vt:variant>
      <vt:variant>
        <vt:i4>5</vt:i4>
      </vt:variant>
      <vt:variant>
        <vt:lpwstr/>
      </vt:variant>
      <vt:variant>
        <vt:lpwstr>_Toc359773741</vt:lpwstr>
      </vt:variant>
      <vt:variant>
        <vt:i4>1179706</vt:i4>
      </vt:variant>
      <vt:variant>
        <vt:i4>101</vt:i4>
      </vt:variant>
      <vt:variant>
        <vt:i4>0</vt:i4>
      </vt:variant>
      <vt:variant>
        <vt:i4>5</vt:i4>
      </vt:variant>
      <vt:variant>
        <vt:lpwstr/>
      </vt:variant>
      <vt:variant>
        <vt:lpwstr>_Toc359773740</vt:lpwstr>
      </vt:variant>
      <vt:variant>
        <vt:i4>1376314</vt:i4>
      </vt:variant>
      <vt:variant>
        <vt:i4>95</vt:i4>
      </vt:variant>
      <vt:variant>
        <vt:i4>0</vt:i4>
      </vt:variant>
      <vt:variant>
        <vt:i4>5</vt:i4>
      </vt:variant>
      <vt:variant>
        <vt:lpwstr/>
      </vt:variant>
      <vt:variant>
        <vt:lpwstr>_Toc359773739</vt:lpwstr>
      </vt:variant>
      <vt:variant>
        <vt:i4>1376314</vt:i4>
      </vt:variant>
      <vt:variant>
        <vt:i4>89</vt:i4>
      </vt:variant>
      <vt:variant>
        <vt:i4>0</vt:i4>
      </vt:variant>
      <vt:variant>
        <vt:i4>5</vt:i4>
      </vt:variant>
      <vt:variant>
        <vt:lpwstr/>
      </vt:variant>
      <vt:variant>
        <vt:lpwstr>_Toc359773738</vt:lpwstr>
      </vt:variant>
      <vt:variant>
        <vt:i4>1376314</vt:i4>
      </vt:variant>
      <vt:variant>
        <vt:i4>83</vt:i4>
      </vt:variant>
      <vt:variant>
        <vt:i4>0</vt:i4>
      </vt:variant>
      <vt:variant>
        <vt:i4>5</vt:i4>
      </vt:variant>
      <vt:variant>
        <vt:lpwstr/>
      </vt:variant>
      <vt:variant>
        <vt:lpwstr>_Toc359773737</vt:lpwstr>
      </vt:variant>
      <vt:variant>
        <vt:i4>1376314</vt:i4>
      </vt:variant>
      <vt:variant>
        <vt:i4>77</vt:i4>
      </vt:variant>
      <vt:variant>
        <vt:i4>0</vt:i4>
      </vt:variant>
      <vt:variant>
        <vt:i4>5</vt:i4>
      </vt:variant>
      <vt:variant>
        <vt:lpwstr/>
      </vt:variant>
      <vt:variant>
        <vt:lpwstr>_Toc359773736</vt:lpwstr>
      </vt:variant>
      <vt:variant>
        <vt:i4>1376314</vt:i4>
      </vt:variant>
      <vt:variant>
        <vt:i4>71</vt:i4>
      </vt:variant>
      <vt:variant>
        <vt:i4>0</vt:i4>
      </vt:variant>
      <vt:variant>
        <vt:i4>5</vt:i4>
      </vt:variant>
      <vt:variant>
        <vt:lpwstr/>
      </vt:variant>
      <vt:variant>
        <vt:lpwstr>_Toc359773735</vt:lpwstr>
      </vt:variant>
      <vt:variant>
        <vt:i4>1376314</vt:i4>
      </vt:variant>
      <vt:variant>
        <vt:i4>65</vt:i4>
      </vt:variant>
      <vt:variant>
        <vt:i4>0</vt:i4>
      </vt:variant>
      <vt:variant>
        <vt:i4>5</vt:i4>
      </vt:variant>
      <vt:variant>
        <vt:lpwstr/>
      </vt:variant>
      <vt:variant>
        <vt:lpwstr>_Toc359773734</vt:lpwstr>
      </vt:variant>
      <vt:variant>
        <vt:i4>1376314</vt:i4>
      </vt:variant>
      <vt:variant>
        <vt:i4>59</vt:i4>
      </vt:variant>
      <vt:variant>
        <vt:i4>0</vt:i4>
      </vt:variant>
      <vt:variant>
        <vt:i4>5</vt:i4>
      </vt:variant>
      <vt:variant>
        <vt:lpwstr/>
      </vt:variant>
      <vt:variant>
        <vt:lpwstr>_Toc359773733</vt:lpwstr>
      </vt:variant>
      <vt:variant>
        <vt:i4>1376314</vt:i4>
      </vt:variant>
      <vt:variant>
        <vt:i4>53</vt:i4>
      </vt:variant>
      <vt:variant>
        <vt:i4>0</vt:i4>
      </vt:variant>
      <vt:variant>
        <vt:i4>5</vt:i4>
      </vt:variant>
      <vt:variant>
        <vt:lpwstr/>
      </vt:variant>
      <vt:variant>
        <vt:lpwstr>_Toc359773732</vt:lpwstr>
      </vt:variant>
      <vt:variant>
        <vt:i4>1376314</vt:i4>
      </vt:variant>
      <vt:variant>
        <vt:i4>47</vt:i4>
      </vt:variant>
      <vt:variant>
        <vt:i4>0</vt:i4>
      </vt:variant>
      <vt:variant>
        <vt:i4>5</vt:i4>
      </vt:variant>
      <vt:variant>
        <vt:lpwstr/>
      </vt:variant>
      <vt:variant>
        <vt:lpwstr>_Toc359773731</vt:lpwstr>
      </vt:variant>
      <vt:variant>
        <vt:i4>1376314</vt:i4>
      </vt:variant>
      <vt:variant>
        <vt:i4>41</vt:i4>
      </vt:variant>
      <vt:variant>
        <vt:i4>0</vt:i4>
      </vt:variant>
      <vt:variant>
        <vt:i4>5</vt:i4>
      </vt:variant>
      <vt:variant>
        <vt:lpwstr/>
      </vt:variant>
      <vt:variant>
        <vt:lpwstr>_Toc359773730</vt:lpwstr>
      </vt:variant>
      <vt:variant>
        <vt:i4>1310778</vt:i4>
      </vt:variant>
      <vt:variant>
        <vt:i4>35</vt:i4>
      </vt:variant>
      <vt:variant>
        <vt:i4>0</vt:i4>
      </vt:variant>
      <vt:variant>
        <vt:i4>5</vt:i4>
      </vt:variant>
      <vt:variant>
        <vt:lpwstr/>
      </vt:variant>
      <vt:variant>
        <vt:lpwstr>_Toc359773729</vt:lpwstr>
      </vt:variant>
      <vt:variant>
        <vt:i4>1310778</vt:i4>
      </vt:variant>
      <vt:variant>
        <vt:i4>29</vt:i4>
      </vt:variant>
      <vt:variant>
        <vt:i4>0</vt:i4>
      </vt:variant>
      <vt:variant>
        <vt:i4>5</vt:i4>
      </vt:variant>
      <vt:variant>
        <vt:lpwstr/>
      </vt:variant>
      <vt:variant>
        <vt:lpwstr>_Toc359773728</vt:lpwstr>
      </vt:variant>
      <vt:variant>
        <vt:i4>1310778</vt:i4>
      </vt:variant>
      <vt:variant>
        <vt:i4>23</vt:i4>
      </vt:variant>
      <vt:variant>
        <vt:i4>0</vt:i4>
      </vt:variant>
      <vt:variant>
        <vt:i4>5</vt:i4>
      </vt:variant>
      <vt:variant>
        <vt:lpwstr/>
      </vt:variant>
      <vt:variant>
        <vt:lpwstr>_Toc359773727</vt:lpwstr>
      </vt:variant>
      <vt:variant>
        <vt:i4>1310778</vt:i4>
      </vt:variant>
      <vt:variant>
        <vt:i4>17</vt:i4>
      </vt:variant>
      <vt:variant>
        <vt:i4>0</vt:i4>
      </vt:variant>
      <vt:variant>
        <vt:i4>5</vt:i4>
      </vt:variant>
      <vt:variant>
        <vt:lpwstr/>
      </vt:variant>
      <vt:variant>
        <vt:lpwstr>_Toc359773726</vt:lpwstr>
      </vt:variant>
      <vt:variant>
        <vt:i4>1310778</vt:i4>
      </vt:variant>
      <vt:variant>
        <vt:i4>11</vt:i4>
      </vt:variant>
      <vt:variant>
        <vt:i4>0</vt:i4>
      </vt:variant>
      <vt:variant>
        <vt:i4>5</vt:i4>
      </vt:variant>
      <vt:variant>
        <vt:lpwstr/>
      </vt:variant>
      <vt:variant>
        <vt:lpwstr>_Toc359773725</vt:lpwstr>
      </vt:variant>
      <vt:variant>
        <vt:i4>1310778</vt:i4>
      </vt:variant>
      <vt:variant>
        <vt:i4>5</vt:i4>
      </vt:variant>
      <vt:variant>
        <vt:i4>0</vt:i4>
      </vt:variant>
      <vt:variant>
        <vt:i4>5</vt:i4>
      </vt:variant>
      <vt:variant>
        <vt:lpwstr/>
      </vt:variant>
      <vt:variant>
        <vt:lpwstr>_Toc359773724</vt:lpwstr>
      </vt:variant>
      <vt:variant>
        <vt:i4>327796</vt:i4>
      </vt:variant>
      <vt:variant>
        <vt:i4>0</vt:i4>
      </vt:variant>
      <vt:variant>
        <vt:i4>0</vt:i4>
      </vt:variant>
      <vt:variant>
        <vt:i4>5</vt:i4>
      </vt:variant>
      <vt:variant>
        <vt:lpwstr>http://www.bom.gov.au/climate/averages/tables/cw_047031.shtml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Lawrie</dc:creator>
  <cp:lastModifiedBy>Geoscience Australia</cp:lastModifiedBy>
  <cp:revision>6</cp:revision>
  <cp:lastPrinted>2013-10-08T23:46:00Z</cp:lastPrinted>
  <dcterms:created xsi:type="dcterms:W3CDTF">2014-06-14T03:31:00Z</dcterms:created>
  <dcterms:modified xsi:type="dcterms:W3CDTF">2014-06-24T05:19:00Z</dcterms:modified>
</cp:coreProperties>
</file>