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A50" w:rsidRDefault="00A9432D" w:rsidP="00A9111A">
      <w:pPr>
        <w:pStyle w:val="Documenttitle"/>
      </w:pPr>
      <w:bookmarkStart w:id="0" w:name="OLE_LINK8"/>
      <w:bookmarkStart w:id="1" w:name="OLE_LINK9"/>
      <w:r>
        <w:t>Stochastic ground-motion prediction equations for southeastern Australia</w:t>
      </w:r>
      <w:r w:rsidR="000F5E36">
        <w:t>n earthquakes</w:t>
      </w:r>
      <w:r>
        <w:t xml:space="preserve"> using updated source and attenuation parameters</w:t>
      </w:r>
      <w:bookmarkEnd w:id="0"/>
      <w:bookmarkEnd w:id="1"/>
    </w:p>
    <w:p w:rsidR="00927A50" w:rsidRDefault="00927A50"/>
    <w:p w:rsidR="00927A50" w:rsidRDefault="00927A50"/>
    <w:p w:rsidR="00927A50" w:rsidRDefault="00927A50"/>
    <w:p w:rsidR="00927A50" w:rsidRDefault="00927A50" w:rsidP="00A9111A">
      <w:pPr>
        <w:pStyle w:val="Record"/>
      </w:pPr>
      <w:bookmarkStart w:id="2" w:name="_Toc319656487"/>
      <w:r>
        <w:t xml:space="preserve">Geoscience </w:t>
      </w:r>
      <w:smartTag w:uri="urn:schemas-microsoft-com:office:smarttags" w:element="place">
        <w:smartTag w:uri="urn:schemas-microsoft-com:office:smarttags" w:element="country-region">
          <w:r>
            <w:t>Australia</w:t>
          </w:r>
        </w:smartTag>
      </w:smartTag>
      <w:bookmarkEnd w:id="2"/>
    </w:p>
    <w:p w:rsidR="00927A50" w:rsidRDefault="00A9432D" w:rsidP="00A9111A">
      <w:pPr>
        <w:pStyle w:val="Record"/>
      </w:pPr>
      <w:bookmarkStart w:id="3" w:name="_Toc319656488"/>
      <w:r>
        <w:t>Record 2012</w:t>
      </w:r>
      <w:r w:rsidR="00927A50">
        <w:t>/</w:t>
      </w:r>
      <w:bookmarkEnd w:id="3"/>
      <w:r w:rsidR="009A1EBC">
        <w:t>69</w:t>
      </w:r>
    </w:p>
    <w:p w:rsidR="00927A50" w:rsidRPr="00C36894" w:rsidRDefault="00927A50" w:rsidP="00C36894"/>
    <w:p w:rsidR="00927A50" w:rsidRPr="00C36894" w:rsidRDefault="00927A50" w:rsidP="00C36894"/>
    <w:p w:rsidR="00927A50" w:rsidRDefault="00927A50" w:rsidP="00C36894">
      <w:pPr>
        <w:pStyle w:val="BodyText"/>
      </w:pPr>
      <w:bookmarkStart w:id="4" w:name="_Toc319656489"/>
      <w:r>
        <w:t>by</w:t>
      </w:r>
      <w:bookmarkEnd w:id="4"/>
    </w:p>
    <w:p w:rsidR="00927A50" w:rsidRPr="00C36894" w:rsidRDefault="00927A50" w:rsidP="00C36894"/>
    <w:p w:rsidR="00927A50" w:rsidRPr="00C36894" w:rsidRDefault="00927A50" w:rsidP="00C36894"/>
    <w:p w:rsidR="00927A50" w:rsidRPr="00A9432D" w:rsidRDefault="00A9432D" w:rsidP="00A9111A">
      <w:pPr>
        <w:pStyle w:val="BodyText"/>
        <w:rPr>
          <w:vertAlign w:val="superscript"/>
        </w:rPr>
      </w:pPr>
      <w:bookmarkStart w:id="5" w:name="_Toc319656490"/>
      <w:r>
        <w:t>T.I. Allen</w:t>
      </w:r>
      <w:bookmarkEnd w:id="5"/>
    </w:p>
    <w:p w:rsidR="00927A50" w:rsidRPr="00C36894" w:rsidRDefault="00927A50" w:rsidP="00C36894"/>
    <w:p w:rsidR="00927A50" w:rsidRPr="00C36894" w:rsidRDefault="00927A50" w:rsidP="00C36894"/>
    <w:p w:rsidR="00927A50" w:rsidRPr="00C36894" w:rsidRDefault="00927A50" w:rsidP="00C36894"/>
    <w:p w:rsidR="00927A50" w:rsidRPr="00C36894" w:rsidRDefault="00927A50" w:rsidP="00C36894"/>
    <w:p w:rsidR="00927A50" w:rsidRPr="00C36894" w:rsidRDefault="00927A50" w:rsidP="00C36894"/>
    <w:p w:rsidR="00927A50" w:rsidRPr="00C36894" w:rsidRDefault="00927A50" w:rsidP="00C36894"/>
    <w:p w:rsidR="00927A50" w:rsidRPr="00C36894" w:rsidRDefault="00927A50" w:rsidP="00C36894"/>
    <w:p w:rsidR="00927A50" w:rsidRPr="00C36894" w:rsidRDefault="00927A50" w:rsidP="00C36894"/>
    <w:p w:rsidR="00927A50" w:rsidRPr="00C36894" w:rsidRDefault="00927A50" w:rsidP="00C36894"/>
    <w:p w:rsidR="00927A50" w:rsidRPr="00C36894" w:rsidRDefault="00927A50" w:rsidP="00C36894"/>
    <w:p w:rsidR="00927A50" w:rsidRPr="00C36894" w:rsidRDefault="00927A50" w:rsidP="00C36894"/>
    <w:p w:rsidR="00927A50" w:rsidRPr="00C36894" w:rsidRDefault="00927A50" w:rsidP="00C36894"/>
    <w:p w:rsidR="00927A50" w:rsidRPr="00C36894" w:rsidRDefault="00927A50" w:rsidP="00C36894"/>
    <w:p w:rsidR="00C36894" w:rsidRPr="00C36894" w:rsidRDefault="00C36894" w:rsidP="00C36894"/>
    <w:p w:rsidR="00C36894" w:rsidRPr="00C36894" w:rsidRDefault="00C36894" w:rsidP="00C36894"/>
    <w:p w:rsidR="00C36894" w:rsidRPr="00C36894" w:rsidRDefault="00C36894" w:rsidP="00C36894"/>
    <w:p w:rsidR="00927A50" w:rsidRDefault="00927A50" w:rsidP="00C36894"/>
    <w:p w:rsidR="0023276D" w:rsidRDefault="0023276D" w:rsidP="00C36894"/>
    <w:p w:rsidR="0023276D" w:rsidRDefault="0023276D" w:rsidP="00C36894"/>
    <w:p w:rsidR="0023276D" w:rsidRPr="00C36894" w:rsidRDefault="0023276D" w:rsidP="00C36894"/>
    <w:p w:rsidR="00927A50" w:rsidRPr="00C36894" w:rsidRDefault="00927A50" w:rsidP="00C36894"/>
    <w:p w:rsidR="0023276D" w:rsidRDefault="00551E1A" w:rsidP="0023276D">
      <w:r>
        <w:rPr>
          <w:noProof/>
        </w:rPr>
        <w:drawing>
          <wp:inline distT="0" distB="0" distL="0" distR="0">
            <wp:extent cx="2524125" cy="733425"/>
            <wp:effectExtent l="0" t="0" r="0" b="0"/>
            <wp:docPr id="1" name="Picture 1" descr="geoscience_inline_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733425"/>
                    </a:xfrm>
                    <a:prstGeom prst="rect">
                      <a:avLst/>
                    </a:prstGeom>
                    <a:noFill/>
                    <a:ln>
                      <a:noFill/>
                    </a:ln>
                  </pic:spPr>
                </pic:pic>
              </a:graphicData>
            </a:graphic>
          </wp:inline>
        </w:drawing>
      </w:r>
      <w:bookmarkStart w:id="6" w:name="_Toc319656499"/>
      <w:bookmarkStart w:id="7" w:name="_Toc319656588"/>
      <w:bookmarkStart w:id="8" w:name="_Toc319918543"/>
      <w:bookmarkStart w:id="9" w:name="_Toc319918812"/>
      <w:bookmarkStart w:id="10" w:name="_Toc319918941"/>
      <w:bookmarkStart w:id="11" w:name="_Toc319919195"/>
      <w:bookmarkStart w:id="12" w:name="_Toc320027088"/>
      <w:bookmarkStart w:id="13" w:name="_Toc320878131"/>
      <w:bookmarkStart w:id="14" w:name="_Toc338429178"/>
    </w:p>
    <w:p w:rsidR="00C36894" w:rsidRPr="00710117" w:rsidRDefault="00C36894" w:rsidP="0023276D">
      <w:pPr>
        <w:pStyle w:val="VersoBoldPgB4"/>
      </w:pPr>
      <w:r w:rsidRPr="00710117">
        <w:lastRenderedPageBreak/>
        <w:t>Department of Resources, Energy and Tourism</w:t>
      </w:r>
    </w:p>
    <w:p w:rsidR="00C36894" w:rsidRDefault="00C36894" w:rsidP="00C36894">
      <w:pPr>
        <w:pStyle w:val="Bodytextnolinespacing"/>
      </w:pPr>
      <w:r w:rsidRPr="00A32A11">
        <w:t xml:space="preserve">Minister for </w:t>
      </w:r>
      <w:r w:rsidRPr="00C36894">
        <w:t>Resources</w:t>
      </w:r>
      <w:r w:rsidRPr="00A32A11">
        <w:t xml:space="preserve"> and Energy: The Hon. Martin Ferguson, AM MP</w:t>
      </w:r>
    </w:p>
    <w:p w:rsidR="00C36894" w:rsidRPr="00A32A11" w:rsidRDefault="00C36894" w:rsidP="00C36894">
      <w:pPr>
        <w:pStyle w:val="Bodytextnolinespacing"/>
      </w:pPr>
      <w:r w:rsidRPr="00A32A11">
        <w:t>Secretary: Mr Drew Clarke</w:t>
      </w:r>
    </w:p>
    <w:p w:rsidR="00C36894" w:rsidRPr="00710117" w:rsidRDefault="00C36894" w:rsidP="00C36894">
      <w:pPr>
        <w:pStyle w:val="VersoBold"/>
      </w:pPr>
      <w:r w:rsidRPr="00710117">
        <w:t>Geoscience Australia</w:t>
      </w:r>
    </w:p>
    <w:p w:rsidR="00C36894" w:rsidRPr="009A398A" w:rsidRDefault="00C36894" w:rsidP="00C36894">
      <w:pPr>
        <w:pStyle w:val="Bodytextnolinespacing"/>
      </w:pPr>
      <w:r w:rsidRPr="009A398A">
        <w:t>Chief Executive Officer: Dr Chris Pigram</w:t>
      </w:r>
    </w:p>
    <w:p w:rsidR="00C36894" w:rsidRPr="00A32A11" w:rsidRDefault="00C36894" w:rsidP="00C36894">
      <w:pPr>
        <w:pStyle w:val="BodyText"/>
      </w:pPr>
      <w:r w:rsidRPr="00A32A11">
        <w:t xml:space="preserve">This paper is </w:t>
      </w:r>
      <w:r w:rsidRPr="002712FC">
        <w:t>published</w:t>
      </w:r>
      <w:r w:rsidRPr="00A32A11">
        <w:t xml:space="preserve"> with the permission of the CEO, </w:t>
      </w:r>
      <w:r w:rsidRPr="00C4340B">
        <w:t>Geoscience</w:t>
      </w:r>
      <w:r w:rsidRPr="00A32A11">
        <w:t xml:space="preserve"> </w:t>
      </w:r>
      <w:r w:rsidRPr="00CA6FF6">
        <w:t>Australia</w:t>
      </w:r>
    </w:p>
    <w:p w:rsidR="00C36894" w:rsidRPr="00F31412" w:rsidRDefault="00551E1A" w:rsidP="00C36894">
      <w:pPr>
        <w:pStyle w:val="BodyText"/>
      </w:pPr>
      <w:r>
        <w:rPr>
          <w:noProof/>
        </w:rPr>
        <w:drawing>
          <wp:inline distT="0" distB="0" distL="0" distR="0">
            <wp:extent cx="1000125" cy="361950"/>
            <wp:effectExtent l="0" t="0" r="0" b="0"/>
            <wp:docPr id="2" name="Picture 2" descr="cc3_logo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3_logo_GRE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C36894" w:rsidRPr="00A32A11" w:rsidRDefault="00C36894" w:rsidP="00C36894">
      <w:pPr>
        <w:pStyle w:val="BodyText"/>
      </w:pPr>
      <w:r w:rsidRPr="00A32A11">
        <w:t xml:space="preserve">© Commonwealth </w:t>
      </w:r>
      <w:r w:rsidRPr="00F31412">
        <w:t>of</w:t>
      </w:r>
      <w:r w:rsidRPr="00A32A11">
        <w:t xml:space="preserve"> </w:t>
      </w:r>
      <w:r w:rsidRPr="00F31412">
        <w:t>Australia</w:t>
      </w:r>
      <w:r w:rsidRPr="00A32A11">
        <w:t xml:space="preserve"> (Geoscience Australia) 2012</w:t>
      </w:r>
    </w:p>
    <w:p w:rsidR="00C36894" w:rsidRPr="009552DC" w:rsidRDefault="00C36894" w:rsidP="00C36894">
      <w:pPr>
        <w:pStyle w:val="BodyText"/>
      </w:pPr>
      <w:r w:rsidRPr="009552DC">
        <w:t>With the exception of the Commonwealth Coat of Arms and where otherwise noted, all material in this publication is provided under a Creative Commons Attrib</w:t>
      </w:r>
      <w:r>
        <w:t>ution 3.0 Australia Licence. (http</w:t>
      </w:r>
      <w:r w:rsidRPr="009552DC">
        <w:t>://</w:t>
      </w:r>
      <w:r>
        <w:t>www.</w:t>
      </w:r>
      <w:r w:rsidRPr="009552DC">
        <w:t>creativecommons.org/licenses/by/3.0/au/)</w:t>
      </w:r>
    </w:p>
    <w:p w:rsidR="00C36894" w:rsidRPr="009552DC" w:rsidRDefault="00C36894" w:rsidP="00C36894">
      <w:pPr>
        <w:pStyle w:val="BodyText"/>
      </w:pPr>
      <w:r w:rsidRPr="009552DC">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rsidR="00C36894" w:rsidRPr="00F77E2B" w:rsidRDefault="00C36894" w:rsidP="00C36894">
      <w:pPr>
        <w:pStyle w:val="VersoBold"/>
      </w:pPr>
      <w:r w:rsidRPr="00F77E2B">
        <w:t>ISSN 1448-2177</w:t>
      </w:r>
    </w:p>
    <w:p w:rsidR="00C36894" w:rsidRPr="00C36894" w:rsidRDefault="00C36894" w:rsidP="00C36894">
      <w:pPr>
        <w:pStyle w:val="VersoBold"/>
      </w:pPr>
      <w:r w:rsidRPr="00C36894">
        <w:t>IS</w:t>
      </w:r>
      <w:r w:rsidRPr="00ED3EA1">
        <w:t xml:space="preserve">BN </w:t>
      </w:r>
      <w:r w:rsidR="00ED3EA1" w:rsidRPr="00ED3EA1">
        <w:t>978-1-922103-97-0</w:t>
      </w:r>
      <w:r w:rsidRPr="00ED3EA1">
        <w:t xml:space="preserve"> (P</w:t>
      </w:r>
      <w:r w:rsidRPr="00C36894">
        <w:t>rint)</w:t>
      </w:r>
      <w:r w:rsidRPr="00C36894">
        <w:br/>
        <w:t>ISBN 978</w:t>
      </w:r>
      <w:r w:rsidR="00ED3EA1" w:rsidRPr="00C36894">
        <w:t>-1-922201-00-3</w:t>
      </w:r>
      <w:r w:rsidRPr="00C36894">
        <w:t xml:space="preserve"> (PDF)</w:t>
      </w:r>
    </w:p>
    <w:bookmarkEnd w:id="6"/>
    <w:bookmarkEnd w:id="7"/>
    <w:bookmarkEnd w:id="8"/>
    <w:bookmarkEnd w:id="9"/>
    <w:bookmarkEnd w:id="10"/>
    <w:bookmarkEnd w:id="11"/>
    <w:bookmarkEnd w:id="12"/>
    <w:bookmarkEnd w:id="13"/>
    <w:bookmarkEnd w:id="14"/>
    <w:p w:rsidR="00647BA5" w:rsidRPr="00F77E2B" w:rsidRDefault="00647BA5" w:rsidP="00647BA5">
      <w:pPr>
        <w:pStyle w:val="VersoBold"/>
      </w:pPr>
      <w:r w:rsidRPr="00F77E2B">
        <w:t xml:space="preserve">GeoCat </w:t>
      </w:r>
      <w:r>
        <w:t>74113</w:t>
      </w:r>
    </w:p>
    <w:p w:rsidR="00C36894" w:rsidRDefault="00C36894"/>
    <w:p w:rsidR="00927A50" w:rsidRDefault="00927A50" w:rsidP="00C36894">
      <w:pPr>
        <w:pStyle w:val="Bibliographicref"/>
        <w:jc w:val="left"/>
        <w:sectPr w:rsidR="00927A50" w:rsidSect="0023276D">
          <w:headerReference w:type="even" r:id="rId10"/>
          <w:headerReference w:type="first" r:id="rId11"/>
          <w:pgSz w:w="11907" w:h="16840" w:code="9"/>
          <w:pgMar w:top="1985" w:right="1701" w:bottom="1418" w:left="1701" w:header="720" w:footer="720" w:gutter="0"/>
          <w:cols w:space="720"/>
        </w:sectPr>
      </w:pPr>
      <w:bookmarkStart w:id="15" w:name="_Toc319656502"/>
      <w:bookmarkStart w:id="16" w:name="_Toc319656591"/>
      <w:r w:rsidRPr="00C36894">
        <w:rPr>
          <w:rStyle w:val="Bodytextbold"/>
          <w:rFonts w:eastAsia="Times"/>
        </w:rPr>
        <w:t>Bibliographic reference</w:t>
      </w:r>
      <w:bookmarkEnd w:id="15"/>
      <w:bookmarkEnd w:id="16"/>
      <w:r w:rsidRPr="00C36894">
        <w:rPr>
          <w:rStyle w:val="Bodytextbold"/>
        </w:rPr>
        <w:t xml:space="preserve">: </w:t>
      </w:r>
      <w:r w:rsidR="00A9432D">
        <w:t>Allen, T.I., 2012</w:t>
      </w:r>
      <w:r>
        <w:t xml:space="preserve">. </w:t>
      </w:r>
      <w:r w:rsidR="00DA2E0F" w:rsidRPr="00C36894">
        <w:rPr>
          <w:rStyle w:val="Bodytextitalic"/>
        </w:rPr>
        <w:t>Stochastic ground-motion prediction equations for southeastern Australian earthquakes using updated source and attenuation parameters</w:t>
      </w:r>
      <w:r>
        <w:t xml:space="preserve">. </w:t>
      </w:r>
      <w:r w:rsidR="00C36894">
        <w:t>Record 2012/69. Geoscience Australia: Canberra.</w:t>
      </w:r>
    </w:p>
    <w:p w:rsidR="00927A50" w:rsidRDefault="00927A50" w:rsidP="00ED3EA1">
      <w:pPr>
        <w:pStyle w:val="Contentsheading"/>
      </w:pPr>
      <w:bookmarkStart w:id="17" w:name="_Toc319656503"/>
      <w:bookmarkStart w:id="18" w:name="_Toc319656592"/>
      <w:bookmarkStart w:id="19" w:name="_Toc319918546"/>
      <w:bookmarkStart w:id="20" w:name="_Toc319918815"/>
      <w:bookmarkStart w:id="21" w:name="_Toc319918944"/>
      <w:bookmarkStart w:id="22" w:name="_Toc319919198"/>
      <w:bookmarkStart w:id="23" w:name="_Toc320027091"/>
      <w:bookmarkStart w:id="24" w:name="_Toc320878134"/>
      <w:r>
        <w:lastRenderedPageBreak/>
        <w:t>Contents</w:t>
      </w:r>
      <w:bookmarkEnd w:id="17"/>
      <w:bookmarkEnd w:id="18"/>
      <w:bookmarkEnd w:id="19"/>
      <w:bookmarkEnd w:id="20"/>
      <w:bookmarkEnd w:id="21"/>
      <w:bookmarkEnd w:id="22"/>
      <w:bookmarkEnd w:id="23"/>
      <w:bookmarkEnd w:id="24"/>
    </w:p>
    <w:bookmarkStart w:id="25" w:name="_Toc319656504"/>
    <w:p w:rsidR="00172353" w:rsidRDefault="00694E33">
      <w:pPr>
        <w:pStyle w:val="TOC1"/>
        <w:rPr>
          <w:rFonts w:asciiTheme="minorHAnsi" w:eastAsiaTheme="minorEastAsia" w:hAnsiTheme="minorHAnsi" w:cstheme="minorBidi"/>
          <w:b w:val="0"/>
          <w:bCs w:val="0"/>
          <w:sz w:val="22"/>
          <w:szCs w:val="22"/>
        </w:rPr>
      </w:pPr>
      <w:r>
        <w:fldChar w:fldCharType="begin"/>
      </w:r>
      <w:r>
        <w:instrText xml:space="preserve"> TOC \o "2-3" \h \z \t "Heading 1,1" </w:instrText>
      </w:r>
      <w:r>
        <w:fldChar w:fldCharType="separate"/>
      </w:r>
      <w:hyperlink w:anchor="_Toc349112527" w:history="1">
        <w:r w:rsidR="00172353" w:rsidRPr="00DC37D4">
          <w:rPr>
            <w:rStyle w:val="Hyperlink"/>
          </w:rPr>
          <w:t>Executive Summary</w:t>
        </w:r>
        <w:r w:rsidR="00172353">
          <w:rPr>
            <w:webHidden/>
          </w:rPr>
          <w:tab/>
        </w:r>
        <w:r w:rsidR="00172353">
          <w:rPr>
            <w:webHidden/>
          </w:rPr>
          <w:fldChar w:fldCharType="begin"/>
        </w:r>
        <w:r w:rsidR="00172353">
          <w:rPr>
            <w:webHidden/>
          </w:rPr>
          <w:instrText xml:space="preserve"> PAGEREF _Toc349112527 \h </w:instrText>
        </w:r>
        <w:r w:rsidR="00172353">
          <w:rPr>
            <w:webHidden/>
          </w:rPr>
        </w:r>
        <w:r w:rsidR="00172353">
          <w:rPr>
            <w:webHidden/>
          </w:rPr>
          <w:fldChar w:fldCharType="separate"/>
        </w:r>
        <w:r w:rsidR="00172353">
          <w:rPr>
            <w:webHidden/>
          </w:rPr>
          <w:t>vii</w:t>
        </w:r>
        <w:r w:rsidR="00172353">
          <w:rPr>
            <w:webHidden/>
          </w:rPr>
          <w:fldChar w:fldCharType="end"/>
        </w:r>
      </w:hyperlink>
    </w:p>
    <w:p w:rsidR="00172353" w:rsidRDefault="005E1338">
      <w:pPr>
        <w:pStyle w:val="TOC1"/>
        <w:rPr>
          <w:rFonts w:asciiTheme="minorHAnsi" w:eastAsiaTheme="minorEastAsia" w:hAnsiTheme="minorHAnsi" w:cstheme="minorBidi"/>
          <w:b w:val="0"/>
          <w:bCs w:val="0"/>
          <w:sz w:val="22"/>
          <w:szCs w:val="22"/>
        </w:rPr>
      </w:pPr>
      <w:hyperlink w:anchor="_Toc349112528" w:history="1">
        <w:r w:rsidR="00172353" w:rsidRPr="00DC37D4">
          <w:rPr>
            <w:rStyle w:val="Hyperlink"/>
          </w:rPr>
          <w:t>Introduction</w:t>
        </w:r>
        <w:r w:rsidR="00172353">
          <w:rPr>
            <w:webHidden/>
          </w:rPr>
          <w:tab/>
        </w:r>
        <w:r w:rsidR="00172353">
          <w:rPr>
            <w:webHidden/>
          </w:rPr>
          <w:fldChar w:fldCharType="begin"/>
        </w:r>
        <w:r w:rsidR="00172353">
          <w:rPr>
            <w:webHidden/>
          </w:rPr>
          <w:instrText xml:space="preserve"> PAGEREF _Toc349112528 \h </w:instrText>
        </w:r>
        <w:r w:rsidR="00172353">
          <w:rPr>
            <w:webHidden/>
          </w:rPr>
        </w:r>
        <w:r w:rsidR="00172353">
          <w:rPr>
            <w:webHidden/>
          </w:rPr>
          <w:fldChar w:fldCharType="separate"/>
        </w:r>
        <w:r w:rsidR="00172353">
          <w:rPr>
            <w:webHidden/>
          </w:rPr>
          <w:t>1</w:t>
        </w:r>
        <w:r w:rsidR="00172353">
          <w:rPr>
            <w:webHidden/>
          </w:rPr>
          <w:fldChar w:fldCharType="end"/>
        </w:r>
      </w:hyperlink>
    </w:p>
    <w:p w:rsidR="00172353" w:rsidRDefault="005E1338">
      <w:pPr>
        <w:pStyle w:val="TOC1"/>
        <w:rPr>
          <w:rFonts w:asciiTheme="minorHAnsi" w:eastAsiaTheme="minorEastAsia" w:hAnsiTheme="minorHAnsi" w:cstheme="minorBidi"/>
          <w:b w:val="0"/>
          <w:bCs w:val="0"/>
          <w:sz w:val="22"/>
          <w:szCs w:val="22"/>
        </w:rPr>
      </w:pPr>
      <w:hyperlink w:anchor="_Toc349112529" w:history="1">
        <w:r w:rsidR="00172353" w:rsidRPr="00DC37D4">
          <w:rPr>
            <w:rStyle w:val="Hyperlink"/>
          </w:rPr>
          <w:t>Stochastic Method</w:t>
        </w:r>
        <w:r w:rsidR="00172353">
          <w:rPr>
            <w:webHidden/>
          </w:rPr>
          <w:tab/>
        </w:r>
        <w:r w:rsidR="00172353">
          <w:rPr>
            <w:webHidden/>
          </w:rPr>
          <w:fldChar w:fldCharType="begin"/>
        </w:r>
        <w:r w:rsidR="00172353">
          <w:rPr>
            <w:webHidden/>
          </w:rPr>
          <w:instrText xml:space="preserve"> PAGEREF _Toc349112529 \h </w:instrText>
        </w:r>
        <w:r w:rsidR="00172353">
          <w:rPr>
            <w:webHidden/>
          </w:rPr>
        </w:r>
        <w:r w:rsidR="00172353">
          <w:rPr>
            <w:webHidden/>
          </w:rPr>
          <w:fldChar w:fldCharType="separate"/>
        </w:r>
        <w:r w:rsidR="00172353">
          <w:rPr>
            <w:webHidden/>
          </w:rPr>
          <w:t>3</w:t>
        </w:r>
        <w:r w:rsidR="00172353">
          <w:rPr>
            <w:webHidden/>
          </w:rPr>
          <w:fldChar w:fldCharType="end"/>
        </w:r>
      </w:hyperlink>
    </w:p>
    <w:p w:rsidR="00172353" w:rsidRDefault="005E1338">
      <w:pPr>
        <w:pStyle w:val="TOC1"/>
        <w:rPr>
          <w:rFonts w:asciiTheme="minorHAnsi" w:eastAsiaTheme="minorEastAsia" w:hAnsiTheme="minorHAnsi" w:cstheme="minorBidi"/>
          <w:b w:val="0"/>
          <w:bCs w:val="0"/>
          <w:sz w:val="22"/>
          <w:szCs w:val="22"/>
        </w:rPr>
      </w:pPr>
      <w:hyperlink w:anchor="_Toc349112530" w:history="1">
        <w:r w:rsidR="00172353" w:rsidRPr="00DC37D4">
          <w:rPr>
            <w:rStyle w:val="Hyperlink"/>
          </w:rPr>
          <w:t>Dataset and Ground-Motion Data Preparation</w:t>
        </w:r>
        <w:r w:rsidR="00172353">
          <w:rPr>
            <w:webHidden/>
          </w:rPr>
          <w:tab/>
        </w:r>
        <w:r w:rsidR="00172353">
          <w:rPr>
            <w:webHidden/>
          </w:rPr>
          <w:fldChar w:fldCharType="begin"/>
        </w:r>
        <w:r w:rsidR="00172353">
          <w:rPr>
            <w:webHidden/>
          </w:rPr>
          <w:instrText xml:space="preserve"> PAGEREF _Toc349112530 \h </w:instrText>
        </w:r>
        <w:r w:rsidR="00172353">
          <w:rPr>
            <w:webHidden/>
          </w:rPr>
        </w:r>
        <w:r w:rsidR="00172353">
          <w:rPr>
            <w:webHidden/>
          </w:rPr>
          <w:fldChar w:fldCharType="separate"/>
        </w:r>
        <w:r w:rsidR="00172353">
          <w:rPr>
            <w:webHidden/>
          </w:rPr>
          <w:t>6</w:t>
        </w:r>
        <w:r w:rsidR="00172353">
          <w:rPr>
            <w:webHidden/>
          </w:rPr>
          <w:fldChar w:fldCharType="end"/>
        </w:r>
      </w:hyperlink>
    </w:p>
    <w:p w:rsidR="00172353" w:rsidRDefault="005E1338">
      <w:pPr>
        <w:pStyle w:val="TOC1"/>
        <w:rPr>
          <w:rFonts w:asciiTheme="minorHAnsi" w:eastAsiaTheme="minorEastAsia" w:hAnsiTheme="minorHAnsi" w:cstheme="minorBidi"/>
          <w:b w:val="0"/>
          <w:bCs w:val="0"/>
          <w:sz w:val="22"/>
          <w:szCs w:val="22"/>
        </w:rPr>
      </w:pPr>
      <w:hyperlink w:anchor="_Toc349112531" w:history="1">
        <w:r w:rsidR="00172353" w:rsidRPr="00DC37D4">
          <w:rPr>
            <w:rStyle w:val="Hyperlink"/>
          </w:rPr>
          <w:t>Determination of Modelling Parameters</w:t>
        </w:r>
        <w:r w:rsidR="00172353">
          <w:rPr>
            <w:webHidden/>
          </w:rPr>
          <w:tab/>
        </w:r>
        <w:r w:rsidR="00172353">
          <w:rPr>
            <w:webHidden/>
          </w:rPr>
          <w:fldChar w:fldCharType="begin"/>
        </w:r>
        <w:r w:rsidR="00172353">
          <w:rPr>
            <w:webHidden/>
          </w:rPr>
          <w:instrText xml:space="preserve"> PAGEREF _Toc349112531 \h </w:instrText>
        </w:r>
        <w:r w:rsidR="00172353">
          <w:rPr>
            <w:webHidden/>
          </w:rPr>
        </w:r>
        <w:r w:rsidR="00172353">
          <w:rPr>
            <w:webHidden/>
          </w:rPr>
          <w:fldChar w:fldCharType="separate"/>
        </w:r>
        <w:r w:rsidR="00172353">
          <w:rPr>
            <w:webHidden/>
          </w:rPr>
          <w:t>13</w:t>
        </w:r>
        <w:r w:rsidR="00172353">
          <w:rPr>
            <w:webHidden/>
          </w:rPr>
          <w:fldChar w:fldCharType="end"/>
        </w:r>
      </w:hyperlink>
    </w:p>
    <w:p w:rsidR="00172353" w:rsidRDefault="005E1338">
      <w:pPr>
        <w:pStyle w:val="TOC2"/>
        <w:rPr>
          <w:rFonts w:asciiTheme="minorHAnsi" w:eastAsiaTheme="minorEastAsia" w:hAnsiTheme="minorHAnsi" w:cstheme="minorBidi"/>
          <w:i w:val="0"/>
          <w:sz w:val="22"/>
          <w:szCs w:val="22"/>
        </w:rPr>
      </w:pPr>
      <w:hyperlink w:anchor="_Toc349112532" w:history="1">
        <w:r w:rsidR="00172353" w:rsidRPr="00DC37D4">
          <w:rPr>
            <w:rStyle w:val="Hyperlink"/>
          </w:rPr>
          <w:t>Geometrical attenuation</w:t>
        </w:r>
        <w:r w:rsidR="00172353">
          <w:rPr>
            <w:webHidden/>
          </w:rPr>
          <w:tab/>
        </w:r>
        <w:r w:rsidR="00172353">
          <w:rPr>
            <w:webHidden/>
          </w:rPr>
          <w:fldChar w:fldCharType="begin"/>
        </w:r>
        <w:r w:rsidR="00172353">
          <w:rPr>
            <w:webHidden/>
          </w:rPr>
          <w:instrText xml:space="preserve"> PAGEREF _Toc349112532 \h </w:instrText>
        </w:r>
        <w:r w:rsidR="00172353">
          <w:rPr>
            <w:webHidden/>
          </w:rPr>
        </w:r>
        <w:r w:rsidR="00172353">
          <w:rPr>
            <w:webHidden/>
          </w:rPr>
          <w:fldChar w:fldCharType="separate"/>
        </w:r>
        <w:r w:rsidR="00172353">
          <w:rPr>
            <w:webHidden/>
          </w:rPr>
          <w:t>13</w:t>
        </w:r>
        <w:r w:rsidR="00172353">
          <w:rPr>
            <w:webHidden/>
          </w:rPr>
          <w:fldChar w:fldCharType="end"/>
        </w:r>
      </w:hyperlink>
    </w:p>
    <w:p w:rsidR="00172353" w:rsidRDefault="005E1338">
      <w:pPr>
        <w:pStyle w:val="TOC2"/>
        <w:rPr>
          <w:rFonts w:asciiTheme="minorHAnsi" w:eastAsiaTheme="minorEastAsia" w:hAnsiTheme="minorHAnsi" w:cstheme="minorBidi"/>
          <w:i w:val="0"/>
          <w:sz w:val="22"/>
          <w:szCs w:val="22"/>
        </w:rPr>
      </w:pPr>
      <w:hyperlink w:anchor="_Toc349112533" w:history="1">
        <w:r w:rsidR="00172353" w:rsidRPr="00DC37D4">
          <w:rPr>
            <w:rStyle w:val="Hyperlink"/>
          </w:rPr>
          <w:t>Anelastic Attenuation</w:t>
        </w:r>
        <w:r w:rsidR="00172353">
          <w:rPr>
            <w:webHidden/>
          </w:rPr>
          <w:tab/>
        </w:r>
        <w:r w:rsidR="00172353">
          <w:rPr>
            <w:webHidden/>
          </w:rPr>
          <w:fldChar w:fldCharType="begin"/>
        </w:r>
        <w:r w:rsidR="00172353">
          <w:rPr>
            <w:webHidden/>
          </w:rPr>
          <w:instrText xml:space="preserve"> PAGEREF _Toc349112533 \h </w:instrText>
        </w:r>
        <w:r w:rsidR="00172353">
          <w:rPr>
            <w:webHidden/>
          </w:rPr>
        </w:r>
        <w:r w:rsidR="00172353">
          <w:rPr>
            <w:webHidden/>
          </w:rPr>
          <w:fldChar w:fldCharType="separate"/>
        </w:r>
        <w:r w:rsidR="00172353">
          <w:rPr>
            <w:webHidden/>
          </w:rPr>
          <w:t>14</w:t>
        </w:r>
        <w:r w:rsidR="00172353">
          <w:rPr>
            <w:webHidden/>
          </w:rPr>
          <w:fldChar w:fldCharType="end"/>
        </w:r>
      </w:hyperlink>
    </w:p>
    <w:p w:rsidR="00172353" w:rsidRDefault="005E1338">
      <w:pPr>
        <w:pStyle w:val="TOC2"/>
        <w:rPr>
          <w:rFonts w:asciiTheme="minorHAnsi" w:eastAsiaTheme="minorEastAsia" w:hAnsiTheme="minorHAnsi" w:cstheme="minorBidi"/>
          <w:i w:val="0"/>
          <w:sz w:val="22"/>
          <w:szCs w:val="22"/>
        </w:rPr>
      </w:pPr>
      <w:hyperlink w:anchor="_Toc349112534" w:history="1">
        <w:r w:rsidR="00172353" w:rsidRPr="00DC37D4">
          <w:rPr>
            <w:rStyle w:val="Hyperlink"/>
          </w:rPr>
          <w:t>Kappa</w:t>
        </w:r>
        <w:r w:rsidR="00172353">
          <w:rPr>
            <w:webHidden/>
          </w:rPr>
          <w:tab/>
        </w:r>
        <w:r w:rsidR="00172353">
          <w:rPr>
            <w:webHidden/>
          </w:rPr>
          <w:fldChar w:fldCharType="begin"/>
        </w:r>
        <w:r w:rsidR="00172353">
          <w:rPr>
            <w:webHidden/>
          </w:rPr>
          <w:instrText xml:space="preserve"> PAGEREF _Toc349112534 \h </w:instrText>
        </w:r>
        <w:r w:rsidR="00172353">
          <w:rPr>
            <w:webHidden/>
          </w:rPr>
        </w:r>
        <w:r w:rsidR="00172353">
          <w:rPr>
            <w:webHidden/>
          </w:rPr>
          <w:fldChar w:fldCharType="separate"/>
        </w:r>
        <w:r w:rsidR="00172353">
          <w:rPr>
            <w:webHidden/>
          </w:rPr>
          <w:t>17</w:t>
        </w:r>
        <w:r w:rsidR="00172353">
          <w:rPr>
            <w:webHidden/>
          </w:rPr>
          <w:fldChar w:fldCharType="end"/>
        </w:r>
      </w:hyperlink>
    </w:p>
    <w:p w:rsidR="00172353" w:rsidRDefault="005E1338">
      <w:pPr>
        <w:pStyle w:val="TOC2"/>
        <w:rPr>
          <w:rFonts w:asciiTheme="minorHAnsi" w:eastAsiaTheme="minorEastAsia" w:hAnsiTheme="minorHAnsi" w:cstheme="minorBidi"/>
          <w:i w:val="0"/>
          <w:sz w:val="22"/>
          <w:szCs w:val="22"/>
        </w:rPr>
      </w:pPr>
      <w:hyperlink w:anchor="_Toc349112535" w:history="1">
        <w:r w:rsidR="00172353" w:rsidRPr="00DC37D4">
          <w:rPr>
            <w:rStyle w:val="Hyperlink"/>
          </w:rPr>
          <w:t>Moment Magnitude</w:t>
        </w:r>
        <w:r w:rsidR="00172353">
          <w:rPr>
            <w:webHidden/>
          </w:rPr>
          <w:tab/>
        </w:r>
        <w:r w:rsidR="00172353">
          <w:rPr>
            <w:webHidden/>
          </w:rPr>
          <w:fldChar w:fldCharType="begin"/>
        </w:r>
        <w:r w:rsidR="00172353">
          <w:rPr>
            <w:webHidden/>
          </w:rPr>
          <w:instrText xml:space="preserve"> PAGEREF _Toc349112535 \h </w:instrText>
        </w:r>
        <w:r w:rsidR="00172353">
          <w:rPr>
            <w:webHidden/>
          </w:rPr>
        </w:r>
        <w:r w:rsidR="00172353">
          <w:rPr>
            <w:webHidden/>
          </w:rPr>
          <w:fldChar w:fldCharType="separate"/>
        </w:r>
        <w:r w:rsidR="00172353">
          <w:rPr>
            <w:webHidden/>
          </w:rPr>
          <w:t>21</w:t>
        </w:r>
        <w:r w:rsidR="00172353">
          <w:rPr>
            <w:webHidden/>
          </w:rPr>
          <w:fldChar w:fldCharType="end"/>
        </w:r>
      </w:hyperlink>
    </w:p>
    <w:p w:rsidR="00172353" w:rsidRDefault="005E1338">
      <w:pPr>
        <w:pStyle w:val="TOC2"/>
        <w:rPr>
          <w:rFonts w:asciiTheme="minorHAnsi" w:eastAsiaTheme="minorEastAsia" w:hAnsiTheme="minorHAnsi" w:cstheme="minorBidi"/>
          <w:i w:val="0"/>
          <w:sz w:val="22"/>
          <w:szCs w:val="22"/>
        </w:rPr>
      </w:pPr>
      <w:hyperlink w:anchor="_Toc349112536" w:history="1">
        <w:r w:rsidR="00172353" w:rsidRPr="00DC37D4">
          <w:rPr>
            <w:rStyle w:val="Hyperlink"/>
          </w:rPr>
          <w:t>Brune Stress Drop</w:t>
        </w:r>
        <w:r w:rsidR="00172353">
          <w:rPr>
            <w:webHidden/>
          </w:rPr>
          <w:tab/>
        </w:r>
        <w:r w:rsidR="00172353">
          <w:rPr>
            <w:webHidden/>
          </w:rPr>
          <w:fldChar w:fldCharType="begin"/>
        </w:r>
        <w:r w:rsidR="00172353">
          <w:rPr>
            <w:webHidden/>
          </w:rPr>
          <w:instrText xml:space="preserve"> PAGEREF _Toc349112536 \h </w:instrText>
        </w:r>
        <w:r w:rsidR="00172353">
          <w:rPr>
            <w:webHidden/>
          </w:rPr>
        </w:r>
        <w:r w:rsidR="00172353">
          <w:rPr>
            <w:webHidden/>
          </w:rPr>
          <w:fldChar w:fldCharType="separate"/>
        </w:r>
        <w:r w:rsidR="00172353">
          <w:rPr>
            <w:webHidden/>
          </w:rPr>
          <w:t>22</w:t>
        </w:r>
        <w:r w:rsidR="00172353">
          <w:rPr>
            <w:webHidden/>
          </w:rPr>
          <w:fldChar w:fldCharType="end"/>
        </w:r>
      </w:hyperlink>
    </w:p>
    <w:p w:rsidR="00172353" w:rsidRDefault="005E1338">
      <w:pPr>
        <w:pStyle w:val="TOC2"/>
        <w:rPr>
          <w:rFonts w:asciiTheme="minorHAnsi" w:eastAsiaTheme="minorEastAsia" w:hAnsiTheme="minorHAnsi" w:cstheme="minorBidi"/>
          <w:i w:val="0"/>
          <w:sz w:val="22"/>
          <w:szCs w:val="22"/>
        </w:rPr>
      </w:pPr>
      <w:hyperlink w:anchor="_Toc349112537" w:history="1">
        <w:r w:rsidR="00172353" w:rsidRPr="00DC37D4">
          <w:rPr>
            <w:rStyle w:val="Hyperlink"/>
          </w:rPr>
          <w:t>Duration of Motion</w:t>
        </w:r>
        <w:r w:rsidR="00172353">
          <w:rPr>
            <w:webHidden/>
          </w:rPr>
          <w:tab/>
        </w:r>
        <w:r w:rsidR="00172353">
          <w:rPr>
            <w:webHidden/>
          </w:rPr>
          <w:fldChar w:fldCharType="begin"/>
        </w:r>
        <w:r w:rsidR="00172353">
          <w:rPr>
            <w:webHidden/>
          </w:rPr>
          <w:instrText xml:space="preserve"> PAGEREF _Toc349112537 \h </w:instrText>
        </w:r>
        <w:r w:rsidR="00172353">
          <w:rPr>
            <w:webHidden/>
          </w:rPr>
        </w:r>
        <w:r w:rsidR="00172353">
          <w:rPr>
            <w:webHidden/>
          </w:rPr>
          <w:fldChar w:fldCharType="separate"/>
        </w:r>
        <w:r w:rsidR="00172353">
          <w:rPr>
            <w:webHidden/>
          </w:rPr>
          <w:t>26</w:t>
        </w:r>
        <w:r w:rsidR="00172353">
          <w:rPr>
            <w:webHidden/>
          </w:rPr>
          <w:fldChar w:fldCharType="end"/>
        </w:r>
      </w:hyperlink>
    </w:p>
    <w:p w:rsidR="00172353" w:rsidRDefault="005E1338">
      <w:pPr>
        <w:pStyle w:val="TOC2"/>
        <w:rPr>
          <w:rFonts w:asciiTheme="minorHAnsi" w:eastAsiaTheme="minorEastAsia" w:hAnsiTheme="minorHAnsi" w:cstheme="minorBidi"/>
          <w:i w:val="0"/>
          <w:sz w:val="22"/>
          <w:szCs w:val="22"/>
        </w:rPr>
      </w:pPr>
      <w:hyperlink w:anchor="_Toc349112538" w:history="1">
        <w:r w:rsidR="00172353" w:rsidRPr="00DC37D4">
          <w:rPr>
            <w:rStyle w:val="Hyperlink"/>
          </w:rPr>
          <w:t>Vertical-to-Horizontal Amplifications</w:t>
        </w:r>
        <w:r w:rsidR="00172353">
          <w:rPr>
            <w:webHidden/>
          </w:rPr>
          <w:tab/>
        </w:r>
        <w:r w:rsidR="00172353">
          <w:rPr>
            <w:webHidden/>
          </w:rPr>
          <w:fldChar w:fldCharType="begin"/>
        </w:r>
        <w:r w:rsidR="00172353">
          <w:rPr>
            <w:webHidden/>
          </w:rPr>
          <w:instrText xml:space="preserve"> PAGEREF _Toc349112538 \h </w:instrText>
        </w:r>
        <w:r w:rsidR="00172353">
          <w:rPr>
            <w:webHidden/>
          </w:rPr>
        </w:r>
        <w:r w:rsidR="00172353">
          <w:rPr>
            <w:webHidden/>
          </w:rPr>
          <w:fldChar w:fldCharType="separate"/>
        </w:r>
        <w:r w:rsidR="00172353">
          <w:rPr>
            <w:webHidden/>
          </w:rPr>
          <w:t>27</w:t>
        </w:r>
        <w:r w:rsidR="00172353">
          <w:rPr>
            <w:webHidden/>
          </w:rPr>
          <w:fldChar w:fldCharType="end"/>
        </w:r>
      </w:hyperlink>
    </w:p>
    <w:p w:rsidR="00172353" w:rsidRDefault="005E1338">
      <w:pPr>
        <w:pStyle w:val="TOC2"/>
        <w:rPr>
          <w:rFonts w:asciiTheme="minorHAnsi" w:eastAsiaTheme="minorEastAsia" w:hAnsiTheme="minorHAnsi" w:cstheme="minorBidi"/>
          <w:i w:val="0"/>
          <w:sz w:val="22"/>
          <w:szCs w:val="22"/>
        </w:rPr>
      </w:pPr>
      <w:hyperlink w:anchor="_Toc349112539" w:history="1">
        <w:r w:rsidR="00172353" w:rsidRPr="00DC37D4">
          <w:rPr>
            <w:rStyle w:val="Hyperlink"/>
          </w:rPr>
          <w:t>Final Modelling Parameters</w:t>
        </w:r>
        <w:r w:rsidR="00172353">
          <w:rPr>
            <w:webHidden/>
          </w:rPr>
          <w:tab/>
        </w:r>
        <w:r w:rsidR="00172353">
          <w:rPr>
            <w:webHidden/>
          </w:rPr>
          <w:fldChar w:fldCharType="begin"/>
        </w:r>
        <w:r w:rsidR="00172353">
          <w:rPr>
            <w:webHidden/>
          </w:rPr>
          <w:instrText xml:space="preserve"> PAGEREF _Toc349112539 \h </w:instrText>
        </w:r>
        <w:r w:rsidR="00172353">
          <w:rPr>
            <w:webHidden/>
          </w:rPr>
        </w:r>
        <w:r w:rsidR="00172353">
          <w:rPr>
            <w:webHidden/>
          </w:rPr>
          <w:fldChar w:fldCharType="separate"/>
        </w:r>
        <w:r w:rsidR="00172353">
          <w:rPr>
            <w:webHidden/>
          </w:rPr>
          <w:t>28</w:t>
        </w:r>
        <w:r w:rsidR="00172353">
          <w:rPr>
            <w:webHidden/>
          </w:rPr>
          <w:fldChar w:fldCharType="end"/>
        </w:r>
      </w:hyperlink>
    </w:p>
    <w:p w:rsidR="00172353" w:rsidRDefault="005E1338">
      <w:pPr>
        <w:pStyle w:val="TOC1"/>
        <w:rPr>
          <w:rFonts w:asciiTheme="minorHAnsi" w:eastAsiaTheme="minorEastAsia" w:hAnsiTheme="minorHAnsi" w:cstheme="minorBidi"/>
          <w:b w:val="0"/>
          <w:bCs w:val="0"/>
          <w:sz w:val="22"/>
          <w:szCs w:val="22"/>
        </w:rPr>
      </w:pPr>
      <w:hyperlink w:anchor="_Toc349112540" w:history="1">
        <w:r w:rsidR="00172353" w:rsidRPr="00DC37D4">
          <w:rPr>
            <w:rStyle w:val="Hyperlink"/>
          </w:rPr>
          <w:t>Definition of an “Average Rock” Site</w:t>
        </w:r>
        <w:r w:rsidR="00172353">
          <w:rPr>
            <w:webHidden/>
          </w:rPr>
          <w:tab/>
        </w:r>
        <w:r w:rsidR="00172353">
          <w:rPr>
            <w:webHidden/>
          </w:rPr>
          <w:fldChar w:fldCharType="begin"/>
        </w:r>
        <w:r w:rsidR="00172353">
          <w:rPr>
            <w:webHidden/>
          </w:rPr>
          <w:instrText xml:space="preserve"> PAGEREF _Toc349112540 \h </w:instrText>
        </w:r>
        <w:r w:rsidR="00172353">
          <w:rPr>
            <w:webHidden/>
          </w:rPr>
        </w:r>
        <w:r w:rsidR="00172353">
          <w:rPr>
            <w:webHidden/>
          </w:rPr>
          <w:fldChar w:fldCharType="separate"/>
        </w:r>
        <w:r w:rsidR="00172353">
          <w:rPr>
            <w:webHidden/>
          </w:rPr>
          <w:t>30</w:t>
        </w:r>
        <w:r w:rsidR="00172353">
          <w:rPr>
            <w:webHidden/>
          </w:rPr>
          <w:fldChar w:fldCharType="end"/>
        </w:r>
      </w:hyperlink>
    </w:p>
    <w:p w:rsidR="00172353" w:rsidRDefault="005E1338">
      <w:pPr>
        <w:pStyle w:val="TOC1"/>
        <w:rPr>
          <w:rFonts w:asciiTheme="minorHAnsi" w:eastAsiaTheme="minorEastAsia" w:hAnsiTheme="minorHAnsi" w:cstheme="minorBidi"/>
          <w:b w:val="0"/>
          <w:bCs w:val="0"/>
          <w:sz w:val="22"/>
          <w:szCs w:val="22"/>
        </w:rPr>
      </w:pPr>
      <w:hyperlink w:anchor="_Toc349112541" w:history="1">
        <w:r w:rsidR="00172353" w:rsidRPr="00DC37D4">
          <w:rPr>
            <w:rStyle w:val="Hyperlink"/>
          </w:rPr>
          <w:t>Regression of Model Coefficients</w:t>
        </w:r>
        <w:r w:rsidR="00172353">
          <w:rPr>
            <w:webHidden/>
          </w:rPr>
          <w:tab/>
        </w:r>
        <w:r w:rsidR="00172353">
          <w:rPr>
            <w:webHidden/>
          </w:rPr>
          <w:fldChar w:fldCharType="begin"/>
        </w:r>
        <w:r w:rsidR="00172353">
          <w:rPr>
            <w:webHidden/>
          </w:rPr>
          <w:instrText xml:space="preserve"> PAGEREF _Toc349112541 \h </w:instrText>
        </w:r>
        <w:r w:rsidR="00172353">
          <w:rPr>
            <w:webHidden/>
          </w:rPr>
        </w:r>
        <w:r w:rsidR="00172353">
          <w:rPr>
            <w:webHidden/>
          </w:rPr>
          <w:fldChar w:fldCharType="separate"/>
        </w:r>
        <w:r w:rsidR="00172353">
          <w:rPr>
            <w:webHidden/>
          </w:rPr>
          <w:t>32</w:t>
        </w:r>
        <w:r w:rsidR="00172353">
          <w:rPr>
            <w:webHidden/>
          </w:rPr>
          <w:fldChar w:fldCharType="end"/>
        </w:r>
      </w:hyperlink>
    </w:p>
    <w:p w:rsidR="00172353" w:rsidRDefault="005E1338">
      <w:pPr>
        <w:pStyle w:val="TOC1"/>
        <w:rPr>
          <w:rFonts w:asciiTheme="minorHAnsi" w:eastAsiaTheme="minorEastAsia" w:hAnsiTheme="minorHAnsi" w:cstheme="minorBidi"/>
          <w:b w:val="0"/>
          <w:bCs w:val="0"/>
          <w:sz w:val="22"/>
          <w:szCs w:val="22"/>
        </w:rPr>
      </w:pPr>
      <w:hyperlink w:anchor="_Toc349112542" w:history="1">
        <w:r w:rsidR="00172353" w:rsidRPr="00DC37D4">
          <w:rPr>
            <w:rStyle w:val="Hyperlink"/>
          </w:rPr>
          <w:t>Comparison of GMPEs against Recorded Data</w:t>
        </w:r>
        <w:r w:rsidR="00172353">
          <w:rPr>
            <w:webHidden/>
          </w:rPr>
          <w:tab/>
        </w:r>
        <w:r w:rsidR="00172353">
          <w:rPr>
            <w:webHidden/>
          </w:rPr>
          <w:fldChar w:fldCharType="begin"/>
        </w:r>
        <w:r w:rsidR="00172353">
          <w:rPr>
            <w:webHidden/>
          </w:rPr>
          <w:instrText xml:space="preserve"> PAGEREF _Toc349112542 \h </w:instrText>
        </w:r>
        <w:r w:rsidR="00172353">
          <w:rPr>
            <w:webHidden/>
          </w:rPr>
        </w:r>
        <w:r w:rsidR="00172353">
          <w:rPr>
            <w:webHidden/>
          </w:rPr>
          <w:fldChar w:fldCharType="separate"/>
        </w:r>
        <w:r w:rsidR="00172353">
          <w:rPr>
            <w:webHidden/>
          </w:rPr>
          <w:t>42</w:t>
        </w:r>
        <w:r w:rsidR="00172353">
          <w:rPr>
            <w:webHidden/>
          </w:rPr>
          <w:fldChar w:fldCharType="end"/>
        </w:r>
      </w:hyperlink>
    </w:p>
    <w:p w:rsidR="00172353" w:rsidRDefault="005E1338">
      <w:pPr>
        <w:pStyle w:val="TOC2"/>
        <w:rPr>
          <w:rFonts w:asciiTheme="minorHAnsi" w:eastAsiaTheme="minorEastAsia" w:hAnsiTheme="minorHAnsi" w:cstheme="minorBidi"/>
          <w:i w:val="0"/>
          <w:sz w:val="22"/>
          <w:szCs w:val="22"/>
        </w:rPr>
      </w:pPr>
      <w:hyperlink w:anchor="_Toc349112543" w:history="1">
        <w:r w:rsidR="00172353" w:rsidRPr="00DC37D4">
          <w:rPr>
            <w:rStyle w:val="Hyperlink"/>
            <w:lang w:val="en-US"/>
          </w:rPr>
          <w:t>Comparison Against Recorded Eastern Australian Data</w:t>
        </w:r>
        <w:r w:rsidR="00172353">
          <w:rPr>
            <w:webHidden/>
          </w:rPr>
          <w:tab/>
        </w:r>
        <w:r w:rsidR="00172353">
          <w:rPr>
            <w:webHidden/>
          </w:rPr>
          <w:fldChar w:fldCharType="begin"/>
        </w:r>
        <w:r w:rsidR="00172353">
          <w:rPr>
            <w:webHidden/>
          </w:rPr>
          <w:instrText xml:space="preserve"> PAGEREF _Toc349112543 \h </w:instrText>
        </w:r>
        <w:r w:rsidR="00172353">
          <w:rPr>
            <w:webHidden/>
          </w:rPr>
        </w:r>
        <w:r w:rsidR="00172353">
          <w:rPr>
            <w:webHidden/>
          </w:rPr>
          <w:fldChar w:fldCharType="separate"/>
        </w:r>
        <w:r w:rsidR="00172353">
          <w:rPr>
            <w:webHidden/>
          </w:rPr>
          <w:t>42</w:t>
        </w:r>
        <w:r w:rsidR="00172353">
          <w:rPr>
            <w:webHidden/>
          </w:rPr>
          <w:fldChar w:fldCharType="end"/>
        </w:r>
      </w:hyperlink>
    </w:p>
    <w:p w:rsidR="00172353" w:rsidRDefault="005E1338">
      <w:pPr>
        <w:pStyle w:val="TOC2"/>
        <w:rPr>
          <w:rFonts w:asciiTheme="minorHAnsi" w:eastAsiaTheme="minorEastAsia" w:hAnsiTheme="minorHAnsi" w:cstheme="minorBidi"/>
          <w:i w:val="0"/>
          <w:sz w:val="22"/>
          <w:szCs w:val="22"/>
        </w:rPr>
      </w:pPr>
      <w:hyperlink w:anchor="_Toc349112544" w:history="1">
        <w:r w:rsidR="00172353" w:rsidRPr="00DC37D4">
          <w:rPr>
            <w:rStyle w:val="Hyperlink"/>
            <w:lang w:val="en-US"/>
          </w:rPr>
          <w:t>Comparison Against Recorded Western Australian Data</w:t>
        </w:r>
        <w:r w:rsidR="00172353">
          <w:rPr>
            <w:webHidden/>
          </w:rPr>
          <w:tab/>
        </w:r>
        <w:r w:rsidR="00172353">
          <w:rPr>
            <w:webHidden/>
          </w:rPr>
          <w:fldChar w:fldCharType="begin"/>
        </w:r>
        <w:r w:rsidR="00172353">
          <w:rPr>
            <w:webHidden/>
          </w:rPr>
          <w:instrText xml:space="preserve"> PAGEREF _Toc349112544 \h </w:instrText>
        </w:r>
        <w:r w:rsidR="00172353">
          <w:rPr>
            <w:webHidden/>
          </w:rPr>
        </w:r>
        <w:r w:rsidR="00172353">
          <w:rPr>
            <w:webHidden/>
          </w:rPr>
          <w:fldChar w:fldCharType="separate"/>
        </w:r>
        <w:r w:rsidR="00172353">
          <w:rPr>
            <w:webHidden/>
          </w:rPr>
          <w:t>43</w:t>
        </w:r>
        <w:r w:rsidR="00172353">
          <w:rPr>
            <w:webHidden/>
          </w:rPr>
          <w:fldChar w:fldCharType="end"/>
        </w:r>
      </w:hyperlink>
    </w:p>
    <w:p w:rsidR="00172353" w:rsidRDefault="005E1338">
      <w:pPr>
        <w:pStyle w:val="TOC2"/>
        <w:rPr>
          <w:rFonts w:asciiTheme="minorHAnsi" w:eastAsiaTheme="minorEastAsia" w:hAnsiTheme="minorHAnsi" w:cstheme="minorBidi"/>
          <w:i w:val="0"/>
          <w:sz w:val="22"/>
          <w:szCs w:val="22"/>
        </w:rPr>
      </w:pPr>
      <w:hyperlink w:anchor="_Toc349112545" w:history="1">
        <w:r w:rsidR="00172353" w:rsidRPr="00DC37D4">
          <w:rPr>
            <w:rStyle w:val="Hyperlink"/>
          </w:rPr>
          <w:t>Comparison against the 19 June 2012, M</w:t>
        </w:r>
        <w:r w:rsidR="00172353" w:rsidRPr="00DC37D4">
          <w:rPr>
            <w:rStyle w:val="Hyperlink"/>
            <w:vertAlign w:val="subscript"/>
          </w:rPr>
          <w:t>w</w:t>
        </w:r>
        <w:r w:rsidR="00172353" w:rsidRPr="00DC37D4">
          <w:rPr>
            <w:rStyle w:val="Hyperlink"/>
          </w:rPr>
          <w:t xml:space="preserve"> 5.0 Moe, Victoria Earthquake</w:t>
        </w:r>
        <w:r w:rsidR="00172353">
          <w:rPr>
            <w:webHidden/>
          </w:rPr>
          <w:tab/>
        </w:r>
        <w:r w:rsidR="00172353">
          <w:rPr>
            <w:webHidden/>
          </w:rPr>
          <w:fldChar w:fldCharType="begin"/>
        </w:r>
        <w:r w:rsidR="00172353">
          <w:rPr>
            <w:webHidden/>
          </w:rPr>
          <w:instrText xml:space="preserve"> PAGEREF _Toc349112545 \h </w:instrText>
        </w:r>
        <w:r w:rsidR="00172353">
          <w:rPr>
            <w:webHidden/>
          </w:rPr>
        </w:r>
        <w:r w:rsidR="00172353">
          <w:rPr>
            <w:webHidden/>
          </w:rPr>
          <w:fldChar w:fldCharType="separate"/>
        </w:r>
        <w:r w:rsidR="00172353">
          <w:rPr>
            <w:webHidden/>
          </w:rPr>
          <w:t>44</w:t>
        </w:r>
        <w:r w:rsidR="00172353">
          <w:rPr>
            <w:webHidden/>
          </w:rPr>
          <w:fldChar w:fldCharType="end"/>
        </w:r>
      </w:hyperlink>
    </w:p>
    <w:p w:rsidR="00172353" w:rsidRDefault="005E1338">
      <w:pPr>
        <w:pStyle w:val="TOC1"/>
        <w:rPr>
          <w:rFonts w:asciiTheme="minorHAnsi" w:eastAsiaTheme="minorEastAsia" w:hAnsiTheme="minorHAnsi" w:cstheme="minorBidi"/>
          <w:b w:val="0"/>
          <w:bCs w:val="0"/>
          <w:sz w:val="22"/>
          <w:szCs w:val="22"/>
        </w:rPr>
      </w:pPr>
      <w:hyperlink w:anchor="_Toc349112546" w:history="1">
        <w:r w:rsidR="00172353" w:rsidRPr="00DC37D4">
          <w:rPr>
            <w:rStyle w:val="Hyperlink"/>
          </w:rPr>
          <w:t>Discussion</w:t>
        </w:r>
        <w:r w:rsidR="00172353">
          <w:rPr>
            <w:webHidden/>
          </w:rPr>
          <w:tab/>
        </w:r>
        <w:r w:rsidR="00172353">
          <w:rPr>
            <w:webHidden/>
          </w:rPr>
          <w:fldChar w:fldCharType="begin"/>
        </w:r>
        <w:r w:rsidR="00172353">
          <w:rPr>
            <w:webHidden/>
          </w:rPr>
          <w:instrText xml:space="preserve"> PAGEREF _Toc349112546 \h </w:instrText>
        </w:r>
        <w:r w:rsidR="00172353">
          <w:rPr>
            <w:webHidden/>
          </w:rPr>
        </w:r>
        <w:r w:rsidR="00172353">
          <w:rPr>
            <w:webHidden/>
          </w:rPr>
          <w:fldChar w:fldCharType="separate"/>
        </w:r>
        <w:r w:rsidR="00172353">
          <w:rPr>
            <w:webHidden/>
          </w:rPr>
          <w:t>46</w:t>
        </w:r>
        <w:r w:rsidR="00172353">
          <w:rPr>
            <w:webHidden/>
          </w:rPr>
          <w:fldChar w:fldCharType="end"/>
        </w:r>
      </w:hyperlink>
    </w:p>
    <w:p w:rsidR="00172353" w:rsidRDefault="005E1338">
      <w:pPr>
        <w:pStyle w:val="TOC1"/>
        <w:rPr>
          <w:rFonts w:asciiTheme="minorHAnsi" w:eastAsiaTheme="minorEastAsia" w:hAnsiTheme="minorHAnsi" w:cstheme="minorBidi"/>
          <w:b w:val="0"/>
          <w:bCs w:val="0"/>
          <w:sz w:val="22"/>
          <w:szCs w:val="22"/>
        </w:rPr>
      </w:pPr>
      <w:hyperlink w:anchor="_Toc349112547" w:history="1">
        <w:r w:rsidR="00172353" w:rsidRPr="00DC37D4">
          <w:rPr>
            <w:rStyle w:val="Hyperlink"/>
          </w:rPr>
          <w:t>Conclusions</w:t>
        </w:r>
        <w:r w:rsidR="00172353">
          <w:rPr>
            <w:webHidden/>
          </w:rPr>
          <w:tab/>
        </w:r>
        <w:r w:rsidR="00172353">
          <w:rPr>
            <w:webHidden/>
          </w:rPr>
          <w:fldChar w:fldCharType="begin"/>
        </w:r>
        <w:r w:rsidR="00172353">
          <w:rPr>
            <w:webHidden/>
          </w:rPr>
          <w:instrText xml:space="preserve"> PAGEREF _Toc349112547 \h </w:instrText>
        </w:r>
        <w:r w:rsidR="00172353">
          <w:rPr>
            <w:webHidden/>
          </w:rPr>
        </w:r>
        <w:r w:rsidR="00172353">
          <w:rPr>
            <w:webHidden/>
          </w:rPr>
          <w:fldChar w:fldCharType="separate"/>
        </w:r>
        <w:r w:rsidR="00172353">
          <w:rPr>
            <w:webHidden/>
          </w:rPr>
          <w:t>48</w:t>
        </w:r>
        <w:r w:rsidR="00172353">
          <w:rPr>
            <w:webHidden/>
          </w:rPr>
          <w:fldChar w:fldCharType="end"/>
        </w:r>
      </w:hyperlink>
    </w:p>
    <w:p w:rsidR="00172353" w:rsidRDefault="005E1338">
      <w:pPr>
        <w:pStyle w:val="TOC1"/>
        <w:rPr>
          <w:rFonts w:asciiTheme="minorHAnsi" w:eastAsiaTheme="minorEastAsia" w:hAnsiTheme="minorHAnsi" w:cstheme="minorBidi"/>
          <w:b w:val="0"/>
          <w:bCs w:val="0"/>
          <w:sz w:val="22"/>
          <w:szCs w:val="22"/>
        </w:rPr>
      </w:pPr>
      <w:hyperlink w:anchor="_Toc349112548" w:history="1">
        <w:r w:rsidR="00172353" w:rsidRPr="00DC37D4">
          <w:rPr>
            <w:rStyle w:val="Hyperlink"/>
          </w:rPr>
          <w:t>Data and Resources</w:t>
        </w:r>
        <w:r w:rsidR="00172353">
          <w:rPr>
            <w:webHidden/>
          </w:rPr>
          <w:tab/>
        </w:r>
        <w:r w:rsidR="00172353">
          <w:rPr>
            <w:webHidden/>
          </w:rPr>
          <w:fldChar w:fldCharType="begin"/>
        </w:r>
        <w:r w:rsidR="00172353">
          <w:rPr>
            <w:webHidden/>
          </w:rPr>
          <w:instrText xml:space="preserve"> PAGEREF _Toc349112548 \h </w:instrText>
        </w:r>
        <w:r w:rsidR="00172353">
          <w:rPr>
            <w:webHidden/>
          </w:rPr>
        </w:r>
        <w:r w:rsidR="00172353">
          <w:rPr>
            <w:webHidden/>
          </w:rPr>
          <w:fldChar w:fldCharType="separate"/>
        </w:r>
        <w:r w:rsidR="00172353">
          <w:rPr>
            <w:webHidden/>
          </w:rPr>
          <w:t>49</w:t>
        </w:r>
        <w:r w:rsidR="00172353">
          <w:rPr>
            <w:webHidden/>
          </w:rPr>
          <w:fldChar w:fldCharType="end"/>
        </w:r>
      </w:hyperlink>
    </w:p>
    <w:p w:rsidR="00172353" w:rsidRDefault="005E1338">
      <w:pPr>
        <w:pStyle w:val="TOC1"/>
        <w:rPr>
          <w:rFonts w:asciiTheme="minorHAnsi" w:eastAsiaTheme="minorEastAsia" w:hAnsiTheme="minorHAnsi" w:cstheme="minorBidi"/>
          <w:b w:val="0"/>
          <w:bCs w:val="0"/>
          <w:sz w:val="22"/>
          <w:szCs w:val="22"/>
        </w:rPr>
      </w:pPr>
      <w:hyperlink w:anchor="_Toc349112549" w:history="1">
        <w:r w:rsidR="00172353" w:rsidRPr="00DC37D4">
          <w:rPr>
            <w:rStyle w:val="Hyperlink"/>
          </w:rPr>
          <w:t>Acknowledgments</w:t>
        </w:r>
        <w:r w:rsidR="00172353">
          <w:rPr>
            <w:webHidden/>
          </w:rPr>
          <w:tab/>
        </w:r>
        <w:r w:rsidR="00172353">
          <w:rPr>
            <w:webHidden/>
          </w:rPr>
          <w:fldChar w:fldCharType="begin"/>
        </w:r>
        <w:r w:rsidR="00172353">
          <w:rPr>
            <w:webHidden/>
          </w:rPr>
          <w:instrText xml:space="preserve"> PAGEREF _Toc349112549 \h </w:instrText>
        </w:r>
        <w:r w:rsidR="00172353">
          <w:rPr>
            <w:webHidden/>
          </w:rPr>
        </w:r>
        <w:r w:rsidR="00172353">
          <w:rPr>
            <w:webHidden/>
          </w:rPr>
          <w:fldChar w:fldCharType="separate"/>
        </w:r>
        <w:r w:rsidR="00172353">
          <w:rPr>
            <w:webHidden/>
          </w:rPr>
          <w:t>49</w:t>
        </w:r>
        <w:r w:rsidR="00172353">
          <w:rPr>
            <w:webHidden/>
          </w:rPr>
          <w:fldChar w:fldCharType="end"/>
        </w:r>
      </w:hyperlink>
    </w:p>
    <w:p w:rsidR="00172353" w:rsidRDefault="005E1338">
      <w:pPr>
        <w:pStyle w:val="TOC1"/>
        <w:rPr>
          <w:rFonts w:asciiTheme="minorHAnsi" w:eastAsiaTheme="minorEastAsia" w:hAnsiTheme="minorHAnsi" w:cstheme="minorBidi"/>
          <w:b w:val="0"/>
          <w:bCs w:val="0"/>
          <w:sz w:val="22"/>
          <w:szCs w:val="22"/>
        </w:rPr>
      </w:pPr>
      <w:hyperlink w:anchor="_Toc349112550" w:history="1">
        <w:r w:rsidR="00172353" w:rsidRPr="00DC37D4">
          <w:rPr>
            <w:rStyle w:val="Hyperlink"/>
          </w:rPr>
          <w:t>References</w:t>
        </w:r>
        <w:r w:rsidR="00172353">
          <w:rPr>
            <w:webHidden/>
          </w:rPr>
          <w:tab/>
        </w:r>
        <w:r w:rsidR="00172353">
          <w:rPr>
            <w:webHidden/>
          </w:rPr>
          <w:fldChar w:fldCharType="begin"/>
        </w:r>
        <w:r w:rsidR="00172353">
          <w:rPr>
            <w:webHidden/>
          </w:rPr>
          <w:instrText xml:space="preserve"> PAGEREF _Toc349112550 \h </w:instrText>
        </w:r>
        <w:r w:rsidR="00172353">
          <w:rPr>
            <w:webHidden/>
          </w:rPr>
        </w:r>
        <w:r w:rsidR="00172353">
          <w:rPr>
            <w:webHidden/>
          </w:rPr>
          <w:fldChar w:fldCharType="separate"/>
        </w:r>
        <w:r w:rsidR="00172353">
          <w:rPr>
            <w:webHidden/>
          </w:rPr>
          <w:t>50</w:t>
        </w:r>
        <w:r w:rsidR="00172353">
          <w:rPr>
            <w:webHidden/>
          </w:rPr>
          <w:fldChar w:fldCharType="end"/>
        </w:r>
      </w:hyperlink>
    </w:p>
    <w:p w:rsidR="00172353" w:rsidRDefault="005E1338">
      <w:pPr>
        <w:pStyle w:val="TOC1"/>
        <w:rPr>
          <w:rFonts w:asciiTheme="minorHAnsi" w:eastAsiaTheme="minorEastAsia" w:hAnsiTheme="minorHAnsi" w:cstheme="minorBidi"/>
          <w:b w:val="0"/>
          <w:bCs w:val="0"/>
          <w:sz w:val="22"/>
          <w:szCs w:val="22"/>
        </w:rPr>
      </w:pPr>
      <w:hyperlink w:anchor="_Toc349112551" w:history="1">
        <w:r w:rsidR="00172353" w:rsidRPr="00DC37D4">
          <w:rPr>
            <w:rStyle w:val="Hyperlink"/>
          </w:rPr>
          <w:t>Appendix I</w:t>
        </w:r>
        <w:r w:rsidR="00172353">
          <w:rPr>
            <w:webHidden/>
          </w:rPr>
          <w:tab/>
        </w:r>
        <w:r w:rsidR="00172353">
          <w:rPr>
            <w:webHidden/>
          </w:rPr>
          <w:fldChar w:fldCharType="begin"/>
        </w:r>
        <w:r w:rsidR="00172353">
          <w:rPr>
            <w:webHidden/>
          </w:rPr>
          <w:instrText xml:space="preserve"> PAGEREF _Toc349112551 \h </w:instrText>
        </w:r>
        <w:r w:rsidR="00172353">
          <w:rPr>
            <w:webHidden/>
          </w:rPr>
        </w:r>
        <w:r w:rsidR="00172353">
          <w:rPr>
            <w:webHidden/>
          </w:rPr>
          <w:fldChar w:fldCharType="separate"/>
        </w:r>
        <w:r w:rsidR="00172353">
          <w:rPr>
            <w:webHidden/>
          </w:rPr>
          <w:t>56</w:t>
        </w:r>
        <w:r w:rsidR="00172353">
          <w:rPr>
            <w:webHidden/>
          </w:rPr>
          <w:fldChar w:fldCharType="end"/>
        </w:r>
      </w:hyperlink>
    </w:p>
    <w:p w:rsidR="00A9111A" w:rsidRDefault="00694E33" w:rsidP="003166B9">
      <w:pPr>
        <w:pStyle w:val="BodyText"/>
        <w:tabs>
          <w:tab w:val="right" w:leader="dot" w:pos="9072"/>
        </w:tabs>
        <w:ind w:right="282"/>
      </w:pPr>
      <w:r>
        <w:fldChar w:fldCharType="end"/>
      </w:r>
    </w:p>
    <w:p w:rsidR="00694E33" w:rsidRDefault="00694E33" w:rsidP="00ED3EA1">
      <w:pPr>
        <w:pStyle w:val="Contentsheading"/>
      </w:pPr>
      <w:bookmarkStart w:id="26" w:name="_Toc319656593"/>
      <w:r>
        <w:br w:type="page"/>
      </w:r>
      <w:r>
        <w:lastRenderedPageBreak/>
        <w:t>List of Figures</w:t>
      </w:r>
    </w:p>
    <w:p w:rsidR="00FC57B1" w:rsidRDefault="00694E33" w:rsidP="003166B9">
      <w:pPr>
        <w:pStyle w:val="TableofFigures"/>
        <w:tabs>
          <w:tab w:val="right" w:leader="dot" w:pos="9072"/>
        </w:tabs>
        <w:spacing w:before="120" w:after="120"/>
        <w:ind w:right="282"/>
        <w:rPr>
          <w:rFonts w:eastAsia="MS Mincho"/>
          <w:noProof/>
          <w:sz w:val="24"/>
          <w:szCs w:val="24"/>
          <w:lang w:eastAsia="ja-JP"/>
        </w:rPr>
      </w:pPr>
      <w:r>
        <w:fldChar w:fldCharType="begin"/>
      </w:r>
      <w:r>
        <w:instrText xml:space="preserve"> TOC \h \z \c "Figure" </w:instrText>
      </w:r>
      <w:r>
        <w:fldChar w:fldCharType="separate"/>
      </w:r>
      <w:hyperlink w:anchor="_Toc338429315" w:history="1">
        <w:r w:rsidR="00FC57B1" w:rsidRPr="00305656">
          <w:rPr>
            <w:rStyle w:val="Hyperlink"/>
            <w:b/>
            <w:noProof/>
          </w:rPr>
          <w:t>Figure 1:</w:t>
        </w:r>
        <w:r w:rsidR="00FC57B1" w:rsidRPr="00305656">
          <w:rPr>
            <w:rStyle w:val="Hyperlink"/>
            <w:noProof/>
          </w:rPr>
          <w:t xml:space="preserve"> </w:t>
        </w:r>
        <w:r w:rsidR="00FC57B1" w:rsidRPr="00305656">
          <w:rPr>
            <w:rStyle w:val="Hyperlink"/>
            <w:noProof/>
            <w:lang w:val="en-US"/>
          </w:rPr>
          <w:t xml:space="preserve"> Magnitude-distance distribution of the southeastern Australian (SEA).</w:t>
        </w:r>
        <w:r w:rsidR="00FC57B1">
          <w:rPr>
            <w:noProof/>
            <w:webHidden/>
          </w:rPr>
          <w:tab/>
        </w:r>
        <w:r w:rsidR="00FC57B1">
          <w:rPr>
            <w:noProof/>
            <w:webHidden/>
          </w:rPr>
          <w:fldChar w:fldCharType="begin"/>
        </w:r>
        <w:r w:rsidR="00FC57B1">
          <w:rPr>
            <w:noProof/>
            <w:webHidden/>
          </w:rPr>
          <w:instrText xml:space="preserve"> PAGEREF _Toc338429315 \h </w:instrText>
        </w:r>
        <w:r w:rsidR="00FC57B1">
          <w:rPr>
            <w:noProof/>
            <w:webHidden/>
          </w:rPr>
        </w:r>
        <w:r w:rsidR="00FC57B1">
          <w:rPr>
            <w:noProof/>
            <w:webHidden/>
          </w:rPr>
          <w:fldChar w:fldCharType="separate"/>
        </w:r>
        <w:r w:rsidR="00CB090F">
          <w:rPr>
            <w:noProof/>
            <w:webHidden/>
          </w:rPr>
          <w:t>6</w:t>
        </w:r>
        <w:r w:rsidR="00FC57B1">
          <w:rPr>
            <w:noProof/>
            <w:webHidden/>
          </w:rPr>
          <w:fldChar w:fldCharType="end"/>
        </w:r>
      </w:hyperlink>
    </w:p>
    <w:p w:rsidR="00FC57B1" w:rsidRDefault="005E1338" w:rsidP="003166B9">
      <w:pPr>
        <w:pStyle w:val="TableofFigures"/>
        <w:tabs>
          <w:tab w:val="right" w:leader="dot" w:pos="9072"/>
        </w:tabs>
        <w:spacing w:after="120"/>
        <w:ind w:right="282"/>
        <w:rPr>
          <w:rFonts w:eastAsia="MS Mincho"/>
          <w:noProof/>
          <w:sz w:val="24"/>
          <w:szCs w:val="24"/>
          <w:lang w:eastAsia="ja-JP"/>
        </w:rPr>
      </w:pPr>
      <w:hyperlink w:anchor="_Toc338429316" w:history="1">
        <w:r w:rsidR="00FC57B1" w:rsidRPr="00305656">
          <w:rPr>
            <w:rStyle w:val="Hyperlink"/>
            <w:b/>
            <w:noProof/>
          </w:rPr>
          <w:t>Figure 2:</w:t>
        </w:r>
        <w:r w:rsidR="00FC57B1" w:rsidRPr="00305656">
          <w:rPr>
            <w:rStyle w:val="Hyperlink"/>
            <w:noProof/>
          </w:rPr>
          <w:t xml:space="preserve">  </w:t>
        </w:r>
        <w:r w:rsidR="00FC57B1" w:rsidRPr="00305656">
          <w:rPr>
            <w:rStyle w:val="Hyperlink"/>
            <w:noProof/>
            <w:lang w:val="en-US"/>
          </w:rPr>
          <w:t>Spatial distribution of SEA earthquakes.</w:t>
        </w:r>
        <w:r w:rsidR="00FC57B1">
          <w:rPr>
            <w:noProof/>
            <w:webHidden/>
          </w:rPr>
          <w:tab/>
        </w:r>
        <w:r w:rsidR="00FC57B1">
          <w:rPr>
            <w:noProof/>
            <w:webHidden/>
          </w:rPr>
          <w:fldChar w:fldCharType="begin"/>
        </w:r>
        <w:r w:rsidR="00FC57B1">
          <w:rPr>
            <w:noProof/>
            <w:webHidden/>
          </w:rPr>
          <w:instrText xml:space="preserve"> PAGEREF _Toc338429316 \h </w:instrText>
        </w:r>
        <w:r w:rsidR="00FC57B1">
          <w:rPr>
            <w:noProof/>
            <w:webHidden/>
          </w:rPr>
        </w:r>
        <w:r w:rsidR="00FC57B1">
          <w:rPr>
            <w:noProof/>
            <w:webHidden/>
          </w:rPr>
          <w:fldChar w:fldCharType="separate"/>
        </w:r>
        <w:r w:rsidR="00CB090F">
          <w:rPr>
            <w:noProof/>
            <w:webHidden/>
          </w:rPr>
          <w:t>11</w:t>
        </w:r>
        <w:r w:rsidR="00FC57B1">
          <w:rPr>
            <w:noProof/>
            <w:webHidden/>
          </w:rPr>
          <w:fldChar w:fldCharType="end"/>
        </w:r>
      </w:hyperlink>
    </w:p>
    <w:p w:rsidR="00FC57B1" w:rsidRDefault="005E1338" w:rsidP="003166B9">
      <w:pPr>
        <w:pStyle w:val="TableofFigures"/>
        <w:tabs>
          <w:tab w:val="right" w:leader="dot" w:pos="9072"/>
        </w:tabs>
        <w:spacing w:after="120"/>
        <w:ind w:right="282"/>
        <w:rPr>
          <w:rFonts w:eastAsia="MS Mincho"/>
          <w:noProof/>
          <w:sz w:val="24"/>
          <w:szCs w:val="24"/>
          <w:lang w:eastAsia="ja-JP"/>
        </w:rPr>
      </w:pPr>
      <w:hyperlink w:anchor="_Toc338429317" w:history="1">
        <w:r w:rsidR="00FC57B1" w:rsidRPr="00305656">
          <w:rPr>
            <w:rStyle w:val="Hyperlink"/>
            <w:b/>
            <w:noProof/>
          </w:rPr>
          <w:t>Figure 3:</w:t>
        </w:r>
        <w:r w:rsidR="00FC57B1" w:rsidRPr="00305656">
          <w:rPr>
            <w:rStyle w:val="Hyperlink"/>
            <w:noProof/>
          </w:rPr>
          <w:t xml:space="preserve">  Histogram</w:t>
        </w:r>
        <w:r w:rsidR="00FC57B1" w:rsidRPr="00305656">
          <w:rPr>
            <w:rStyle w:val="Hyperlink"/>
            <w:noProof/>
            <w:lang w:val="en-US"/>
          </w:rPr>
          <w:t xml:space="preserve"> of within-event ge</w:t>
        </w:r>
        <w:r w:rsidR="00D611F5">
          <w:rPr>
            <w:rStyle w:val="Hyperlink"/>
            <w:noProof/>
            <w:lang w:val="en-US"/>
          </w:rPr>
          <w:t>ometrical attenuation at 2 Hz</w:t>
        </w:r>
        <w:r w:rsidR="00FC57B1">
          <w:rPr>
            <w:noProof/>
            <w:webHidden/>
          </w:rPr>
          <w:tab/>
        </w:r>
        <w:r w:rsidR="00FC57B1">
          <w:rPr>
            <w:noProof/>
            <w:webHidden/>
          </w:rPr>
          <w:fldChar w:fldCharType="begin"/>
        </w:r>
        <w:r w:rsidR="00FC57B1">
          <w:rPr>
            <w:noProof/>
            <w:webHidden/>
          </w:rPr>
          <w:instrText xml:space="preserve"> PAGEREF _Toc338429317 \h </w:instrText>
        </w:r>
        <w:r w:rsidR="00FC57B1">
          <w:rPr>
            <w:noProof/>
            <w:webHidden/>
          </w:rPr>
        </w:r>
        <w:r w:rsidR="00FC57B1">
          <w:rPr>
            <w:noProof/>
            <w:webHidden/>
          </w:rPr>
          <w:fldChar w:fldCharType="separate"/>
        </w:r>
        <w:r w:rsidR="00CB090F">
          <w:rPr>
            <w:noProof/>
            <w:webHidden/>
          </w:rPr>
          <w:t>12</w:t>
        </w:r>
        <w:r w:rsidR="00FC57B1">
          <w:rPr>
            <w:noProof/>
            <w:webHidden/>
          </w:rPr>
          <w:fldChar w:fldCharType="end"/>
        </w:r>
      </w:hyperlink>
    </w:p>
    <w:p w:rsidR="00FC57B1" w:rsidRDefault="005E1338" w:rsidP="003166B9">
      <w:pPr>
        <w:pStyle w:val="TableofFigures"/>
        <w:tabs>
          <w:tab w:val="right" w:leader="dot" w:pos="9072"/>
        </w:tabs>
        <w:spacing w:after="120"/>
        <w:ind w:right="282"/>
        <w:rPr>
          <w:rFonts w:eastAsia="MS Mincho"/>
          <w:noProof/>
          <w:sz w:val="24"/>
          <w:szCs w:val="24"/>
          <w:lang w:eastAsia="ja-JP"/>
        </w:rPr>
      </w:pPr>
      <w:hyperlink w:anchor="_Toc338429318" w:history="1">
        <w:r w:rsidR="00FC57B1" w:rsidRPr="00305656">
          <w:rPr>
            <w:rStyle w:val="Hyperlink"/>
            <w:b/>
            <w:noProof/>
          </w:rPr>
          <w:t>Figure 4:</w:t>
        </w:r>
        <w:r w:rsidR="00FC57B1" w:rsidRPr="00305656">
          <w:rPr>
            <w:rStyle w:val="Hyperlink"/>
            <w:noProof/>
          </w:rPr>
          <w:t xml:space="preserve">  The geometrical attenuation curve </w:t>
        </w:r>
        <w:r w:rsidR="00FC57B1" w:rsidRPr="00AC07A5">
          <w:rPr>
            <w:rStyle w:val="Hyperlink"/>
            <w:i/>
            <w:noProof/>
            <w:spacing w:val="20"/>
          </w:rPr>
          <w:t>G</w:t>
        </w:r>
        <w:r w:rsidR="00FC57B1" w:rsidRPr="00305656">
          <w:rPr>
            <w:rStyle w:val="Hyperlink"/>
            <w:noProof/>
          </w:rPr>
          <w:t>(</w:t>
        </w:r>
        <w:r w:rsidR="00FC57B1" w:rsidRPr="00AC07A5">
          <w:rPr>
            <w:rStyle w:val="Hyperlink"/>
            <w:i/>
            <w:noProof/>
          </w:rPr>
          <w:t>R</w:t>
        </w:r>
        <w:r w:rsidR="00FC57B1" w:rsidRPr="00305656">
          <w:rPr>
            <w:rStyle w:val="Hyperlink"/>
            <w:noProof/>
          </w:rPr>
          <w:t xml:space="preserve">) derived for SEA.  </w:t>
        </w:r>
        <w:r w:rsidR="00FC57B1">
          <w:rPr>
            <w:noProof/>
            <w:webHidden/>
          </w:rPr>
          <w:tab/>
        </w:r>
        <w:r w:rsidR="00FC57B1">
          <w:rPr>
            <w:noProof/>
            <w:webHidden/>
          </w:rPr>
          <w:fldChar w:fldCharType="begin"/>
        </w:r>
        <w:r w:rsidR="00FC57B1">
          <w:rPr>
            <w:noProof/>
            <w:webHidden/>
          </w:rPr>
          <w:instrText xml:space="preserve"> PAGEREF _Toc338429318 \h </w:instrText>
        </w:r>
        <w:r w:rsidR="00FC57B1">
          <w:rPr>
            <w:noProof/>
            <w:webHidden/>
          </w:rPr>
        </w:r>
        <w:r w:rsidR="00FC57B1">
          <w:rPr>
            <w:noProof/>
            <w:webHidden/>
          </w:rPr>
          <w:fldChar w:fldCharType="separate"/>
        </w:r>
        <w:r w:rsidR="00CB090F">
          <w:rPr>
            <w:noProof/>
            <w:webHidden/>
          </w:rPr>
          <w:t>14</w:t>
        </w:r>
        <w:r w:rsidR="00FC57B1">
          <w:rPr>
            <w:noProof/>
            <w:webHidden/>
          </w:rPr>
          <w:fldChar w:fldCharType="end"/>
        </w:r>
      </w:hyperlink>
    </w:p>
    <w:p w:rsidR="00FC57B1" w:rsidRDefault="005E1338" w:rsidP="003166B9">
      <w:pPr>
        <w:pStyle w:val="TableofFigures"/>
        <w:tabs>
          <w:tab w:val="right" w:leader="dot" w:pos="9072"/>
        </w:tabs>
        <w:spacing w:after="120"/>
        <w:ind w:right="282"/>
        <w:rPr>
          <w:rFonts w:eastAsia="MS Mincho"/>
          <w:noProof/>
          <w:sz w:val="24"/>
          <w:szCs w:val="24"/>
          <w:lang w:eastAsia="ja-JP"/>
        </w:rPr>
      </w:pPr>
      <w:hyperlink w:anchor="_Toc338429319" w:history="1">
        <w:r w:rsidR="00FC57B1" w:rsidRPr="00305656">
          <w:rPr>
            <w:rStyle w:val="Hyperlink"/>
            <w:b/>
            <w:noProof/>
          </w:rPr>
          <w:t>Figure 5:</w:t>
        </w:r>
        <w:r w:rsidR="00FC57B1" w:rsidRPr="00305656">
          <w:rPr>
            <w:rStyle w:val="Hyperlink"/>
            <w:noProof/>
          </w:rPr>
          <w:t xml:space="preserve">  Normalized 2 Hz Fourier displacement spectra corrected for geometrical attenuation and plotted against </w:t>
        </w:r>
        <w:r w:rsidR="00FC57B1" w:rsidRPr="00D611F5">
          <w:rPr>
            <w:rStyle w:val="Hyperlink"/>
            <w:i/>
            <w:noProof/>
          </w:rPr>
          <w:t>R</w:t>
        </w:r>
        <w:r w:rsidR="00FC57B1" w:rsidRPr="00305656">
          <w:rPr>
            <w:rStyle w:val="Hyperlink"/>
            <w:noProof/>
          </w:rPr>
          <w:t xml:space="preserve"> for a suite of six sp</w:t>
        </w:r>
        <w:r w:rsidR="00D611F5">
          <w:rPr>
            <w:rStyle w:val="Hyperlink"/>
            <w:noProof/>
          </w:rPr>
          <w:t>ectral frequencies from 1-20 Hz</w:t>
        </w:r>
        <w:r w:rsidR="00FC57B1" w:rsidRPr="00305656">
          <w:rPr>
            <w:rStyle w:val="Hyperlink"/>
            <w:bCs/>
            <w:noProof/>
            <w:lang w:val="en-US"/>
          </w:rPr>
          <w:t>.</w:t>
        </w:r>
        <w:r w:rsidR="00FC57B1">
          <w:rPr>
            <w:noProof/>
            <w:webHidden/>
          </w:rPr>
          <w:tab/>
        </w:r>
        <w:r w:rsidR="00FC57B1">
          <w:rPr>
            <w:noProof/>
            <w:webHidden/>
          </w:rPr>
          <w:fldChar w:fldCharType="begin"/>
        </w:r>
        <w:r w:rsidR="00FC57B1">
          <w:rPr>
            <w:noProof/>
            <w:webHidden/>
          </w:rPr>
          <w:instrText xml:space="preserve"> PAGEREF _Toc338429319 \h </w:instrText>
        </w:r>
        <w:r w:rsidR="00FC57B1">
          <w:rPr>
            <w:noProof/>
            <w:webHidden/>
          </w:rPr>
        </w:r>
        <w:r w:rsidR="00FC57B1">
          <w:rPr>
            <w:noProof/>
            <w:webHidden/>
          </w:rPr>
          <w:fldChar w:fldCharType="separate"/>
        </w:r>
        <w:r w:rsidR="00CB090F">
          <w:rPr>
            <w:noProof/>
            <w:webHidden/>
          </w:rPr>
          <w:t>16</w:t>
        </w:r>
        <w:r w:rsidR="00FC57B1">
          <w:rPr>
            <w:noProof/>
            <w:webHidden/>
          </w:rPr>
          <w:fldChar w:fldCharType="end"/>
        </w:r>
      </w:hyperlink>
    </w:p>
    <w:p w:rsidR="00FC57B1" w:rsidRDefault="005E1338" w:rsidP="003166B9">
      <w:pPr>
        <w:pStyle w:val="TableofFigures"/>
        <w:tabs>
          <w:tab w:val="right" w:leader="dot" w:pos="9072"/>
        </w:tabs>
        <w:spacing w:after="120"/>
        <w:ind w:right="282"/>
        <w:rPr>
          <w:rFonts w:eastAsia="MS Mincho"/>
          <w:noProof/>
          <w:sz w:val="24"/>
          <w:szCs w:val="24"/>
          <w:lang w:eastAsia="ja-JP"/>
        </w:rPr>
      </w:pPr>
      <w:hyperlink w:anchor="_Toc338429320" w:history="1">
        <w:r w:rsidR="00FC57B1" w:rsidRPr="00305656">
          <w:rPr>
            <w:rStyle w:val="Hyperlink"/>
            <w:b/>
            <w:noProof/>
          </w:rPr>
          <w:t>Figure 6:</w:t>
        </w:r>
        <w:r w:rsidR="00FC57B1" w:rsidRPr="00305656">
          <w:rPr>
            <w:rStyle w:val="Hyperlink"/>
            <w:noProof/>
          </w:rPr>
          <w:t xml:space="preserve">  The anelastic attenuation coefficient, </w:t>
        </w:r>
        <w:r w:rsidR="00FC57B1" w:rsidRPr="00D611F5">
          <w:rPr>
            <w:rStyle w:val="Hyperlink"/>
            <w:i/>
            <w:noProof/>
          </w:rPr>
          <w:t>q</w:t>
        </w:r>
        <w:r w:rsidR="00FC57B1" w:rsidRPr="00305656">
          <w:rPr>
            <w:rStyle w:val="Hyperlink"/>
            <w:noProof/>
          </w:rPr>
          <w:t>(</w:t>
        </w:r>
        <w:r w:rsidR="00FC57B1" w:rsidRPr="00D611F5">
          <w:rPr>
            <w:rStyle w:val="Hyperlink"/>
            <w:i/>
            <w:noProof/>
            <w:spacing w:val="20"/>
          </w:rPr>
          <w:t>f</w:t>
        </w:r>
        <w:r w:rsidR="00FC57B1" w:rsidRPr="00305656">
          <w:rPr>
            <w:rStyle w:val="Hyperlink"/>
            <w:noProof/>
          </w:rPr>
          <w:t>), indicating the change in the rate of anelastic attenuation with frequency.</w:t>
        </w:r>
        <w:r w:rsidR="00FC57B1">
          <w:rPr>
            <w:noProof/>
            <w:webHidden/>
          </w:rPr>
          <w:tab/>
        </w:r>
        <w:r w:rsidR="00FC57B1">
          <w:rPr>
            <w:noProof/>
            <w:webHidden/>
          </w:rPr>
          <w:fldChar w:fldCharType="begin"/>
        </w:r>
        <w:r w:rsidR="00FC57B1">
          <w:rPr>
            <w:noProof/>
            <w:webHidden/>
          </w:rPr>
          <w:instrText xml:space="preserve"> PAGEREF _Toc338429320 \h </w:instrText>
        </w:r>
        <w:r w:rsidR="00FC57B1">
          <w:rPr>
            <w:noProof/>
            <w:webHidden/>
          </w:rPr>
        </w:r>
        <w:r w:rsidR="00FC57B1">
          <w:rPr>
            <w:noProof/>
            <w:webHidden/>
          </w:rPr>
          <w:fldChar w:fldCharType="separate"/>
        </w:r>
        <w:r w:rsidR="00CB090F">
          <w:rPr>
            <w:noProof/>
            <w:webHidden/>
          </w:rPr>
          <w:t>16</w:t>
        </w:r>
        <w:r w:rsidR="00FC57B1">
          <w:rPr>
            <w:noProof/>
            <w:webHidden/>
          </w:rPr>
          <w:fldChar w:fldCharType="end"/>
        </w:r>
      </w:hyperlink>
    </w:p>
    <w:p w:rsidR="00FC57B1" w:rsidRDefault="005E1338" w:rsidP="003166B9">
      <w:pPr>
        <w:pStyle w:val="TableofFigures"/>
        <w:tabs>
          <w:tab w:val="right" w:leader="dot" w:pos="9072"/>
        </w:tabs>
        <w:spacing w:after="120"/>
        <w:ind w:right="282"/>
        <w:rPr>
          <w:rFonts w:eastAsia="MS Mincho"/>
          <w:noProof/>
          <w:sz w:val="24"/>
          <w:szCs w:val="24"/>
          <w:lang w:eastAsia="ja-JP"/>
        </w:rPr>
      </w:pPr>
      <w:hyperlink w:anchor="_Toc338429321" w:history="1">
        <w:r w:rsidR="00FC57B1" w:rsidRPr="00305656">
          <w:rPr>
            <w:rStyle w:val="Hyperlink"/>
            <w:b/>
            <w:noProof/>
          </w:rPr>
          <w:t>Figure 7:</w:t>
        </w:r>
        <w:r w:rsidR="00FC57B1" w:rsidRPr="00305656">
          <w:rPr>
            <w:rStyle w:val="Hyperlink"/>
            <w:noProof/>
          </w:rPr>
          <w:t xml:space="preserve">  Normalised 2 Hz Fourier displacement spectra corrected for both geometrical attenuation and anelastic attenuation, plotted against </w:t>
        </w:r>
        <w:r w:rsidR="00FC57B1" w:rsidRPr="00D611F5">
          <w:rPr>
            <w:rStyle w:val="Hyperlink"/>
            <w:i/>
            <w:noProof/>
          </w:rPr>
          <w:t>R</w:t>
        </w:r>
        <w:r w:rsidR="00FC57B1" w:rsidRPr="00305656">
          <w:rPr>
            <w:rStyle w:val="Hyperlink"/>
            <w:noProof/>
          </w:rPr>
          <w:t xml:space="preserve"> for a suite of six spectral frequencies from 1-20 Hz.</w:t>
        </w:r>
        <w:r w:rsidR="00FC57B1">
          <w:rPr>
            <w:noProof/>
            <w:webHidden/>
          </w:rPr>
          <w:tab/>
        </w:r>
        <w:r w:rsidR="00FC57B1">
          <w:rPr>
            <w:noProof/>
            <w:webHidden/>
          </w:rPr>
          <w:fldChar w:fldCharType="begin"/>
        </w:r>
        <w:r w:rsidR="00FC57B1">
          <w:rPr>
            <w:noProof/>
            <w:webHidden/>
          </w:rPr>
          <w:instrText xml:space="preserve"> PAGEREF _Toc338429321 \h </w:instrText>
        </w:r>
        <w:r w:rsidR="00FC57B1">
          <w:rPr>
            <w:noProof/>
            <w:webHidden/>
          </w:rPr>
        </w:r>
        <w:r w:rsidR="00FC57B1">
          <w:rPr>
            <w:noProof/>
            <w:webHidden/>
          </w:rPr>
          <w:fldChar w:fldCharType="separate"/>
        </w:r>
        <w:r w:rsidR="00CB090F">
          <w:rPr>
            <w:noProof/>
            <w:webHidden/>
          </w:rPr>
          <w:t>17</w:t>
        </w:r>
        <w:r w:rsidR="00FC57B1">
          <w:rPr>
            <w:noProof/>
            <w:webHidden/>
          </w:rPr>
          <w:fldChar w:fldCharType="end"/>
        </w:r>
      </w:hyperlink>
    </w:p>
    <w:p w:rsidR="00FC57B1" w:rsidRDefault="005E1338" w:rsidP="003166B9">
      <w:pPr>
        <w:pStyle w:val="TableofFigures"/>
        <w:tabs>
          <w:tab w:val="right" w:leader="dot" w:pos="9072"/>
        </w:tabs>
        <w:spacing w:after="120"/>
        <w:ind w:right="282"/>
        <w:rPr>
          <w:rFonts w:eastAsia="MS Mincho"/>
          <w:noProof/>
          <w:sz w:val="24"/>
          <w:szCs w:val="24"/>
          <w:lang w:eastAsia="ja-JP"/>
        </w:rPr>
      </w:pPr>
      <w:hyperlink w:anchor="_Toc338429322" w:history="1">
        <w:r w:rsidR="00FC57B1" w:rsidRPr="00305656">
          <w:rPr>
            <w:rStyle w:val="Hyperlink"/>
            <w:b/>
            <w:noProof/>
          </w:rPr>
          <w:t>Figure 8:</w:t>
        </w:r>
        <w:r w:rsidR="00FC57B1" w:rsidRPr="00305656">
          <w:rPr>
            <w:rStyle w:val="Hyperlink"/>
            <w:noProof/>
          </w:rPr>
          <w:t xml:space="preserve">  Examples of </w:t>
        </w:r>
        <w:r w:rsidR="00FC57B1" w:rsidRPr="007E1E43">
          <w:rPr>
            <w:rStyle w:val="Hyperlink"/>
            <w:i/>
            <w:noProof/>
          </w:rPr>
          <w:t>κ</w:t>
        </w:r>
        <w:r w:rsidR="00FC57B1" w:rsidRPr="00305656">
          <w:rPr>
            <w:rStyle w:val="Hyperlink"/>
            <w:noProof/>
            <w:vertAlign w:val="subscript"/>
          </w:rPr>
          <w:t>0</w:t>
        </w:r>
        <w:r w:rsidR="00FC57B1" w:rsidRPr="00305656">
          <w:rPr>
            <w:rStyle w:val="Hyperlink"/>
            <w:noProof/>
          </w:rPr>
          <w:t xml:space="preserve"> calculation for representative stations in southeastern Australia</w:t>
        </w:r>
        <w:r w:rsidR="00FC57B1">
          <w:rPr>
            <w:noProof/>
            <w:webHidden/>
          </w:rPr>
          <w:tab/>
        </w:r>
        <w:r w:rsidR="00FC57B1">
          <w:rPr>
            <w:noProof/>
            <w:webHidden/>
          </w:rPr>
          <w:fldChar w:fldCharType="begin"/>
        </w:r>
        <w:r w:rsidR="00FC57B1">
          <w:rPr>
            <w:noProof/>
            <w:webHidden/>
          </w:rPr>
          <w:instrText xml:space="preserve"> PAGEREF _Toc338429322 \h </w:instrText>
        </w:r>
        <w:r w:rsidR="00FC57B1">
          <w:rPr>
            <w:noProof/>
            <w:webHidden/>
          </w:rPr>
        </w:r>
        <w:r w:rsidR="00FC57B1">
          <w:rPr>
            <w:noProof/>
            <w:webHidden/>
          </w:rPr>
          <w:fldChar w:fldCharType="separate"/>
        </w:r>
        <w:r w:rsidR="00CB090F">
          <w:rPr>
            <w:noProof/>
            <w:webHidden/>
          </w:rPr>
          <w:t>19</w:t>
        </w:r>
        <w:r w:rsidR="00FC57B1">
          <w:rPr>
            <w:noProof/>
            <w:webHidden/>
          </w:rPr>
          <w:fldChar w:fldCharType="end"/>
        </w:r>
      </w:hyperlink>
    </w:p>
    <w:p w:rsidR="00FC57B1" w:rsidRDefault="005E1338" w:rsidP="003166B9">
      <w:pPr>
        <w:pStyle w:val="TableofFigures"/>
        <w:tabs>
          <w:tab w:val="right" w:leader="dot" w:pos="9072"/>
        </w:tabs>
        <w:spacing w:after="120"/>
        <w:ind w:right="282"/>
        <w:rPr>
          <w:rFonts w:eastAsia="MS Mincho"/>
          <w:noProof/>
          <w:sz w:val="24"/>
          <w:szCs w:val="24"/>
          <w:lang w:eastAsia="ja-JP"/>
        </w:rPr>
      </w:pPr>
      <w:hyperlink w:anchor="_Toc338429323" w:history="1">
        <w:r w:rsidR="00FC57B1" w:rsidRPr="00305656">
          <w:rPr>
            <w:rStyle w:val="Hyperlink"/>
            <w:b/>
            <w:noProof/>
          </w:rPr>
          <w:t xml:space="preserve">Figure 9:  </w:t>
        </w:r>
        <w:r w:rsidR="00FC57B1" w:rsidRPr="00305656">
          <w:rPr>
            <w:rStyle w:val="Hyperlink"/>
            <w:noProof/>
          </w:rPr>
          <w:t xml:space="preserve">Histogram of the calculated </w:t>
        </w:r>
        <w:r w:rsidR="00FC57B1" w:rsidRPr="007E1E43">
          <w:rPr>
            <w:rStyle w:val="Hyperlink"/>
            <w:i/>
            <w:noProof/>
          </w:rPr>
          <w:t>κ</w:t>
        </w:r>
        <w:r w:rsidR="00FC57B1" w:rsidRPr="00305656">
          <w:rPr>
            <w:rStyle w:val="Hyperlink"/>
            <w:noProof/>
            <w:vertAlign w:val="subscript"/>
          </w:rPr>
          <w:t>0</w:t>
        </w:r>
        <w:r w:rsidR="00FC57B1" w:rsidRPr="00305656">
          <w:rPr>
            <w:rStyle w:val="Hyperlink"/>
            <w:noProof/>
          </w:rPr>
          <w:t xml:space="preserve"> values </w:t>
        </w:r>
        <w:r w:rsidR="007E1E43">
          <w:rPr>
            <w:rStyle w:val="Hyperlink"/>
            <w:noProof/>
          </w:rPr>
          <w:t>for SEA sites</w:t>
        </w:r>
        <w:r w:rsidR="00FC57B1">
          <w:rPr>
            <w:noProof/>
            <w:webHidden/>
          </w:rPr>
          <w:tab/>
        </w:r>
        <w:r w:rsidR="00FC57B1">
          <w:rPr>
            <w:noProof/>
            <w:webHidden/>
          </w:rPr>
          <w:fldChar w:fldCharType="begin"/>
        </w:r>
        <w:r w:rsidR="00FC57B1">
          <w:rPr>
            <w:noProof/>
            <w:webHidden/>
          </w:rPr>
          <w:instrText xml:space="preserve"> PAGEREF _Toc338429323 \h </w:instrText>
        </w:r>
        <w:r w:rsidR="00FC57B1">
          <w:rPr>
            <w:noProof/>
            <w:webHidden/>
          </w:rPr>
        </w:r>
        <w:r w:rsidR="00FC57B1">
          <w:rPr>
            <w:noProof/>
            <w:webHidden/>
          </w:rPr>
          <w:fldChar w:fldCharType="separate"/>
        </w:r>
        <w:r w:rsidR="00CB090F">
          <w:rPr>
            <w:noProof/>
            <w:webHidden/>
          </w:rPr>
          <w:t>20</w:t>
        </w:r>
        <w:r w:rsidR="00FC57B1">
          <w:rPr>
            <w:noProof/>
            <w:webHidden/>
          </w:rPr>
          <w:fldChar w:fldCharType="end"/>
        </w:r>
      </w:hyperlink>
    </w:p>
    <w:p w:rsidR="00FC57B1" w:rsidRDefault="005E1338" w:rsidP="003166B9">
      <w:pPr>
        <w:pStyle w:val="TableofFigures"/>
        <w:tabs>
          <w:tab w:val="right" w:leader="dot" w:pos="9072"/>
        </w:tabs>
        <w:spacing w:after="120"/>
        <w:ind w:right="282"/>
        <w:rPr>
          <w:rFonts w:eastAsia="MS Mincho"/>
          <w:noProof/>
          <w:sz w:val="24"/>
          <w:szCs w:val="24"/>
          <w:lang w:eastAsia="ja-JP"/>
        </w:rPr>
      </w:pPr>
      <w:hyperlink w:anchor="_Toc338429324" w:history="1">
        <w:r w:rsidR="00FC57B1" w:rsidRPr="00305656">
          <w:rPr>
            <w:rStyle w:val="Hyperlink"/>
            <w:b/>
            <w:noProof/>
          </w:rPr>
          <w:t>Figure 10:</w:t>
        </w:r>
        <w:r w:rsidR="00FC57B1" w:rsidRPr="00305656">
          <w:rPr>
            <w:rStyle w:val="Hyperlink"/>
            <w:noProof/>
          </w:rPr>
          <w:t xml:space="preserve">  Intra-site kappa residuals (mean site kappa minus kappa from individual records)</w:t>
        </w:r>
        <w:r w:rsidR="00EA1BD4">
          <w:rPr>
            <w:rStyle w:val="Hyperlink"/>
            <w:noProof/>
          </w:rPr>
          <w:t xml:space="preserve"> against hypocentral distance</w:t>
        </w:r>
        <w:r w:rsidR="00FC57B1">
          <w:rPr>
            <w:noProof/>
            <w:webHidden/>
          </w:rPr>
          <w:tab/>
        </w:r>
        <w:r w:rsidR="00FC57B1">
          <w:rPr>
            <w:noProof/>
            <w:webHidden/>
          </w:rPr>
          <w:fldChar w:fldCharType="begin"/>
        </w:r>
        <w:r w:rsidR="00FC57B1">
          <w:rPr>
            <w:noProof/>
            <w:webHidden/>
          </w:rPr>
          <w:instrText xml:space="preserve"> PAGEREF _Toc338429324 \h </w:instrText>
        </w:r>
        <w:r w:rsidR="00FC57B1">
          <w:rPr>
            <w:noProof/>
            <w:webHidden/>
          </w:rPr>
        </w:r>
        <w:r w:rsidR="00FC57B1">
          <w:rPr>
            <w:noProof/>
            <w:webHidden/>
          </w:rPr>
          <w:fldChar w:fldCharType="separate"/>
        </w:r>
        <w:r w:rsidR="00CB090F">
          <w:rPr>
            <w:noProof/>
            <w:webHidden/>
          </w:rPr>
          <w:t>21</w:t>
        </w:r>
        <w:r w:rsidR="00FC57B1">
          <w:rPr>
            <w:noProof/>
            <w:webHidden/>
          </w:rPr>
          <w:fldChar w:fldCharType="end"/>
        </w:r>
      </w:hyperlink>
    </w:p>
    <w:p w:rsidR="00FC57B1" w:rsidRDefault="005E1338" w:rsidP="003166B9">
      <w:pPr>
        <w:pStyle w:val="TableofFigures"/>
        <w:tabs>
          <w:tab w:val="right" w:leader="dot" w:pos="9072"/>
        </w:tabs>
        <w:spacing w:after="120"/>
        <w:ind w:right="282"/>
        <w:rPr>
          <w:rFonts w:eastAsia="MS Mincho"/>
          <w:noProof/>
          <w:sz w:val="24"/>
          <w:szCs w:val="24"/>
          <w:lang w:eastAsia="ja-JP"/>
        </w:rPr>
      </w:pPr>
      <w:hyperlink w:anchor="_Toc338429325" w:history="1">
        <w:r w:rsidR="00FC57B1" w:rsidRPr="00305656">
          <w:rPr>
            <w:rStyle w:val="Hyperlink"/>
            <w:b/>
            <w:noProof/>
          </w:rPr>
          <w:t>Figure 11:</w:t>
        </w:r>
        <w:r w:rsidR="00FC57B1" w:rsidRPr="00305656">
          <w:rPr>
            <w:rStyle w:val="Hyperlink"/>
            <w:noProof/>
          </w:rPr>
          <w:t xml:space="preserve">  The average source spectrum, superimposed on individual source-corrected spectra, for several representative earthquakes.</w:t>
        </w:r>
        <w:r w:rsidR="00FC57B1">
          <w:rPr>
            <w:noProof/>
            <w:webHidden/>
          </w:rPr>
          <w:tab/>
        </w:r>
        <w:r w:rsidR="00FC57B1">
          <w:rPr>
            <w:noProof/>
            <w:webHidden/>
          </w:rPr>
          <w:fldChar w:fldCharType="begin"/>
        </w:r>
        <w:r w:rsidR="00FC57B1">
          <w:rPr>
            <w:noProof/>
            <w:webHidden/>
          </w:rPr>
          <w:instrText xml:space="preserve"> PAGEREF _Toc338429325 \h </w:instrText>
        </w:r>
        <w:r w:rsidR="00FC57B1">
          <w:rPr>
            <w:noProof/>
            <w:webHidden/>
          </w:rPr>
        </w:r>
        <w:r w:rsidR="00FC57B1">
          <w:rPr>
            <w:noProof/>
            <w:webHidden/>
          </w:rPr>
          <w:fldChar w:fldCharType="separate"/>
        </w:r>
        <w:r w:rsidR="00CB090F">
          <w:rPr>
            <w:noProof/>
            <w:webHidden/>
          </w:rPr>
          <w:t>22</w:t>
        </w:r>
        <w:r w:rsidR="00FC57B1">
          <w:rPr>
            <w:noProof/>
            <w:webHidden/>
          </w:rPr>
          <w:fldChar w:fldCharType="end"/>
        </w:r>
      </w:hyperlink>
    </w:p>
    <w:p w:rsidR="00FC57B1" w:rsidRDefault="005E1338" w:rsidP="003166B9">
      <w:pPr>
        <w:pStyle w:val="TableofFigures"/>
        <w:tabs>
          <w:tab w:val="right" w:leader="dot" w:pos="9072"/>
        </w:tabs>
        <w:spacing w:after="120"/>
        <w:ind w:right="282"/>
        <w:rPr>
          <w:rFonts w:eastAsia="MS Mincho"/>
          <w:noProof/>
          <w:sz w:val="24"/>
          <w:szCs w:val="24"/>
          <w:lang w:eastAsia="ja-JP"/>
        </w:rPr>
      </w:pPr>
      <w:hyperlink w:anchor="_Toc338429326" w:history="1">
        <w:r w:rsidR="00FC57B1" w:rsidRPr="00305656">
          <w:rPr>
            <w:rStyle w:val="Hyperlink"/>
            <w:b/>
            <w:noProof/>
          </w:rPr>
          <w:t>Figure 12:</w:t>
        </w:r>
        <w:r w:rsidR="00FC57B1" w:rsidRPr="00305656">
          <w:rPr>
            <w:rStyle w:val="Hyperlink"/>
            <w:noProof/>
          </w:rPr>
          <w:t xml:space="preserve">  (a) The variation ∆</w:t>
        </w:r>
        <w:r w:rsidR="00FC57B1" w:rsidRPr="006D2E32">
          <w:rPr>
            <w:rStyle w:val="Hyperlink"/>
            <w:i/>
            <w:noProof/>
          </w:rPr>
          <w:sym w:font="Symbol" w:char="F073"/>
        </w:r>
        <w:r w:rsidR="00FC57B1" w:rsidRPr="00305656">
          <w:rPr>
            <w:rStyle w:val="Hyperlink"/>
            <w:noProof/>
          </w:rPr>
          <w:t xml:space="preserve"> with </w:t>
        </w:r>
        <w:r w:rsidR="00FC57B1" w:rsidRPr="006D2E32">
          <w:rPr>
            <w:rStyle w:val="Hyperlink"/>
            <w:i/>
            <w:noProof/>
          </w:rPr>
          <w:t>M</w:t>
        </w:r>
        <w:r w:rsidR="00FC57B1" w:rsidRPr="006D2E32">
          <w:rPr>
            <w:rStyle w:val="Hyperlink"/>
            <w:i/>
            <w:noProof/>
            <w:vertAlign w:val="subscript"/>
          </w:rPr>
          <w:t>W</w:t>
        </w:r>
        <w:r w:rsidR="006D2E32">
          <w:rPr>
            <w:rStyle w:val="Hyperlink"/>
            <w:noProof/>
          </w:rPr>
          <w:t xml:space="preserve"> and</w:t>
        </w:r>
        <w:r w:rsidR="00FC57B1" w:rsidRPr="00305656">
          <w:rPr>
            <w:rStyle w:val="Hyperlink"/>
            <w:noProof/>
          </w:rPr>
          <w:t xml:space="preserve"> (b) </w:t>
        </w:r>
        <w:r w:rsidR="006D2E32">
          <w:rPr>
            <w:rStyle w:val="Hyperlink"/>
            <w:noProof/>
          </w:rPr>
          <w:t>t</w:t>
        </w:r>
        <w:r w:rsidR="00FC57B1" w:rsidRPr="00305656">
          <w:rPr>
            <w:rStyle w:val="Hyperlink"/>
            <w:noProof/>
          </w:rPr>
          <w:t>he variation ∆</w:t>
        </w:r>
        <w:r w:rsidR="00FC57B1" w:rsidRPr="006D2E32">
          <w:rPr>
            <w:rStyle w:val="Hyperlink"/>
            <w:i/>
            <w:noProof/>
          </w:rPr>
          <w:sym w:font="Symbol" w:char="F073"/>
        </w:r>
        <w:r w:rsidR="006D2E32">
          <w:rPr>
            <w:rStyle w:val="Hyperlink"/>
            <w:noProof/>
          </w:rPr>
          <w:t xml:space="preserve"> with depth</w:t>
        </w:r>
        <w:r w:rsidR="00FC57B1">
          <w:rPr>
            <w:noProof/>
            <w:webHidden/>
          </w:rPr>
          <w:tab/>
        </w:r>
        <w:r w:rsidR="00FC57B1">
          <w:rPr>
            <w:noProof/>
            <w:webHidden/>
          </w:rPr>
          <w:fldChar w:fldCharType="begin"/>
        </w:r>
        <w:r w:rsidR="00FC57B1">
          <w:rPr>
            <w:noProof/>
            <w:webHidden/>
          </w:rPr>
          <w:instrText xml:space="preserve"> PAGEREF _Toc338429326 \h </w:instrText>
        </w:r>
        <w:r w:rsidR="00FC57B1">
          <w:rPr>
            <w:noProof/>
            <w:webHidden/>
          </w:rPr>
        </w:r>
        <w:r w:rsidR="00FC57B1">
          <w:rPr>
            <w:noProof/>
            <w:webHidden/>
          </w:rPr>
          <w:fldChar w:fldCharType="separate"/>
        </w:r>
        <w:r w:rsidR="00CB090F">
          <w:rPr>
            <w:noProof/>
            <w:webHidden/>
          </w:rPr>
          <w:t>25</w:t>
        </w:r>
        <w:r w:rsidR="00FC57B1">
          <w:rPr>
            <w:noProof/>
            <w:webHidden/>
          </w:rPr>
          <w:fldChar w:fldCharType="end"/>
        </w:r>
      </w:hyperlink>
    </w:p>
    <w:p w:rsidR="00FC57B1" w:rsidRDefault="005E1338" w:rsidP="003166B9">
      <w:pPr>
        <w:pStyle w:val="TableofFigures"/>
        <w:tabs>
          <w:tab w:val="right" w:leader="dot" w:pos="9072"/>
        </w:tabs>
        <w:spacing w:after="120"/>
        <w:ind w:right="282"/>
        <w:rPr>
          <w:rFonts w:eastAsia="MS Mincho"/>
          <w:noProof/>
          <w:sz w:val="24"/>
          <w:szCs w:val="24"/>
          <w:lang w:eastAsia="ja-JP"/>
        </w:rPr>
      </w:pPr>
      <w:hyperlink w:anchor="_Toc338429327" w:history="1">
        <w:r w:rsidR="00FC57B1" w:rsidRPr="00305656">
          <w:rPr>
            <w:rStyle w:val="Hyperlink"/>
            <w:b/>
            <w:noProof/>
          </w:rPr>
          <w:t>Figure 13:</w:t>
        </w:r>
        <w:r w:rsidR="00FC57B1" w:rsidRPr="00305656">
          <w:rPr>
            <w:rStyle w:val="Hyperlink"/>
            <w:noProof/>
          </w:rPr>
          <w:t xml:space="preserve"> Modelled duration of earthquake coda for southeastern Australian earthquakes from filtered time-histories about 1.0 Hz</w:t>
        </w:r>
        <w:r w:rsidR="00FC57B1">
          <w:rPr>
            <w:noProof/>
            <w:webHidden/>
          </w:rPr>
          <w:tab/>
        </w:r>
        <w:r w:rsidR="00FC57B1">
          <w:rPr>
            <w:noProof/>
            <w:webHidden/>
          </w:rPr>
          <w:fldChar w:fldCharType="begin"/>
        </w:r>
        <w:r w:rsidR="00FC57B1">
          <w:rPr>
            <w:noProof/>
            <w:webHidden/>
          </w:rPr>
          <w:instrText xml:space="preserve"> PAGEREF _Toc338429327 \h </w:instrText>
        </w:r>
        <w:r w:rsidR="00FC57B1">
          <w:rPr>
            <w:noProof/>
            <w:webHidden/>
          </w:rPr>
        </w:r>
        <w:r w:rsidR="00FC57B1">
          <w:rPr>
            <w:noProof/>
            <w:webHidden/>
          </w:rPr>
          <w:fldChar w:fldCharType="separate"/>
        </w:r>
        <w:r w:rsidR="00CB090F">
          <w:rPr>
            <w:noProof/>
            <w:webHidden/>
          </w:rPr>
          <w:t>27</w:t>
        </w:r>
        <w:r w:rsidR="00FC57B1">
          <w:rPr>
            <w:noProof/>
            <w:webHidden/>
          </w:rPr>
          <w:fldChar w:fldCharType="end"/>
        </w:r>
      </w:hyperlink>
    </w:p>
    <w:p w:rsidR="00FC57B1" w:rsidRDefault="005E1338" w:rsidP="003166B9">
      <w:pPr>
        <w:pStyle w:val="TableofFigures"/>
        <w:tabs>
          <w:tab w:val="right" w:leader="dot" w:pos="9072"/>
        </w:tabs>
        <w:spacing w:after="120"/>
        <w:ind w:right="282"/>
        <w:rPr>
          <w:rFonts w:eastAsia="MS Mincho"/>
          <w:noProof/>
          <w:sz w:val="24"/>
          <w:szCs w:val="24"/>
          <w:lang w:eastAsia="ja-JP"/>
        </w:rPr>
      </w:pPr>
      <w:hyperlink w:anchor="_Toc338429328" w:history="1">
        <w:r w:rsidR="00FC57B1" w:rsidRPr="00305656">
          <w:rPr>
            <w:rStyle w:val="Hyperlink"/>
            <w:b/>
            <w:noProof/>
          </w:rPr>
          <w:t>Figure 14:</w:t>
        </w:r>
        <w:r w:rsidR="00FC57B1" w:rsidRPr="00305656">
          <w:rPr>
            <w:rStyle w:val="Hyperlink"/>
            <w:noProof/>
          </w:rPr>
          <w:t xml:space="preserve">  The correlation between </w:t>
        </w:r>
        <w:r w:rsidR="00FC57B1" w:rsidRPr="006D2E32">
          <w:rPr>
            <w:rStyle w:val="Hyperlink"/>
            <w:i/>
            <w:noProof/>
          </w:rPr>
          <w:t>V</w:t>
        </w:r>
        <w:r w:rsidR="00FC57B1" w:rsidRPr="006D2E32">
          <w:rPr>
            <w:rStyle w:val="Hyperlink"/>
            <w:i/>
            <w:noProof/>
            <w:vertAlign w:val="subscript"/>
          </w:rPr>
          <w:t>S</w:t>
        </w:r>
        <w:r w:rsidR="00FC57B1" w:rsidRPr="00305656">
          <w:rPr>
            <w:rStyle w:val="Hyperlink"/>
            <w:noProof/>
            <w:vertAlign w:val="subscript"/>
          </w:rPr>
          <w:t>30</w:t>
        </w:r>
        <w:r w:rsidR="00FC57B1" w:rsidRPr="00305656">
          <w:rPr>
            <w:rStyle w:val="Hyperlink"/>
            <w:noProof/>
          </w:rPr>
          <w:t xml:space="preserve"> and </w:t>
        </w:r>
        <w:r w:rsidR="00FC57B1" w:rsidRPr="006D2E32">
          <w:rPr>
            <w:rStyle w:val="Hyperlink"/>
            <w:i/>
            <w:noProof/>
          </w:rPr>
          <w:t>κ</w:t>
        </w:r>
        <w:r w:rsidR="00FC57B1" w:rsidRPr="00305656">
          <w:rPr>
            <w:rStyle w:val="Hyperlink"/>
            <w:noProof/>
            <w:vertAlign w:val="subscript"/>
          </w:rPr>
          <w:t>0</w:t>
        </w:r>
        <w:r w:rsidR="00FC57B1" w:rsidRPr="00305656">
          <w:rPr>
            <w:rStyle w:val="Hyperlink"/>
            <w:noProof/>
          </w:rPr>
          <w:t xml:space="preserve"> estimated at seismic stations in southeastern Australia</w:t>
        </w:r>
        <w:r w:rsidR="00FC57B1">
          <w:rPr>
            <w:noProof/>
            <w:webHidden/>
          </w:rPr>
          <w:tab/>
        </w:r>
        <w:r w:rsidR="00FC57B1">
          <w:rPr>
            <w:noProof/>
            <w:webHidden/>
          </w:rPr>
          <w:fldChar w:fldCharType="begin"/>
        </w:r>
        <w:r w:rsidR="00FC57B1">
          <w:rPr>
            <w:noProof/>
            <w:webHidden/>
          </w:rPr>
          <w:instrText xml:space="preserve"> PAGEREF _Toc338429328 \h </w:instrText>
        </w:r>
        <w:r w:rsidR="00FC57B1">
          <w:rPr>
            <w:noProof/>
            <w:webHidden/>
          </w:rPr>
        </w:r>
        <w:r w:rsidR="00FC57B1">
          <w:rPr>
            <w:noProof/>
            <w:webHidden/>
          </w:rPr>
          <w:fldChar w:fldCharType="separate"/>
        </w:r>
        <w:r w:rsidR="00CB090F">
          <w:rPr>
            <w:noProof/>
            <w:webHidden/>
          </w:rPr>
          <w:t>31</w:t>
        </w:r>
        <w:r w:rsidR="00FC57B1">
          <w:rPr>
            <w:noProof/>
            <w:webHidden/>
          </w:rPr>
          <w:fldChar w:fldCharType="end"/>
        </w:r>
      </w:hyperlink>
    </w:p>
    <w:p w:rsidR="00FC57B1" w:rsidRDefault="005E1338" w:rsidP="003166B9">
      <w:pPr>
        <w:pStyle w:val="TableofFigures"/>
        <w:tabs>
          <w:tab w:val="right" w:leader="dot" w:pos="9072"/>
        </w:tabs>
        <w:spacing w:after="120"/>
        <w:ind w:right="282"/>
        <w:rPr>
          <w:rFonts w:eastAsia="MS Mincho"/>
          <w:noProof/>
          <w:sz w:val="24"/>
          <w:szCs w:val="24"/>
          <w:lang w:eastAsia="ja-JP"/>
        </w:rPr>
      </w:pPr>
      <w:hyperlink w:anchor="_Toc338429329" w:history="1">
        <w:r w:rsidR="00FC57B1" w:rsidRPr="00305656">
          <w:rPr>
            <w:rStyle w:val="Hyperlink"/>
            <w:b/>
            <w:noProof/>
          </w:rPr>
          <w:t>Figure 15:</w:t>
        </w:r>
        <w:r w:rsidR="00FC57B1" w:rsidRPr="00305656">
          <w:rPr>
            <w:rStyle w:val="Hyperlink"/>
            <w:noProof/>
          </w:rPr>
          <w:t xml:space="preserve">  Simulated 5% damped response spectral acceleration at a period of </w:t>
        </w:r>
        <w:r w:rsidR="00FC57B1" w:rsidRPr="00305656">
          <w:rPr>
            <w:rStyle w:val="Hyperlink"/>
            <w:noProof/>
            <w:lang w:val="en-US"/>
          </w:rPr>
          <w:t>1.0 s for the deep-earthquake model (i.e., high B</w:t>
        </w:r>
        <w:r w:rsidR="006D2E32">
          <w:rPr>
            <w:rStyle w:val="Hyperlink"/>
            <w:noProof/>
            <w:lang w:val="en-US"/>
          </w:rPr>
          <w:t>rune stress drop)</w:t>
        </w:r>
        <w:r w:rsidR="00FC57B1">
          <w:rPr>
            <w:noProof/>
            <w:webHidden/>
          </w:rPr>
          <w:tab/>
        </w:r>
        <w:r w:rsidR="00FC57B1">
          <w:rPr>
            <w:noProof/>
            <w:webHidden/>
          </w:rPr>
          <w:fldChar w:fldCharType="begin"/>
        </w:r>
        <w:r w:rsidR="00FC57B1">
          <w:rPr>
            <w:noProof/>
            <w:webHidden/>
          </w:rPr>
          <w:instrText xml:space="preserve"> PAGEREF _Toc338429329 \h </w:instrText>
        </w:r>
        <w:r w:rsidR="00FC57B1">
          <w:rPr>
            <w:noProof/>
            <w:webHidden/>
          </w:rPr>
        </w:r>
        <w:r w:rsidR="00FC57B1">
          <w:rPr>
            <w:noProof/>
            <w:webHidden/>
          </w:rPr>
          <w:fldChar w:fldCharType="separate"/>
        </w:r>
        <w:r w:rsidR="00CB090F">
          <w:rPr>
            <w:noProof/>
            <w:webHidden/>
          </w:rPr>
          <w:t>33</w:t>
        </w:r>
        <w:r w:rsidR="00FC57B1">
          <w:rPr>
            <w:noProof/>
            <w:webHidden/>
          </w:rPr>
          <w:fldChar w:fldCharType="end"/>
        </w:r>
      </w:hyperlink>
    </w:p>
    <w:p w:rsidR="00FC57B1" w:rsidRDefault="005E1338" w:rsidP="003166B9">
      <w:pPr>
        <w:pStyle w:val="TableofFigures"/>
        <w:tabs>
          <w:tab w:val="right" w:leader="dot" w:pos="9072"/>
        </w:tabs>
        <w:spacing w:after="120"/>
        <w:ind w:right="282"/>
        <w:rPr>
          <w:rFonts w:eastAsia="MS Mincho"/>
          <w:noProof/>
          <w:sz w:val="24"/>
          <w:szCs w:val="24"/>
          <w:lang w:eastAsia="ja-JP"/>
        </w:rPr>
      </w:pPr>
      <w:hyperlink w:anchor="_Toc338429330" w:history="1">
        <w:r w:rsidR="00FC57B1" w:rsidRPr="00305656">
          <w:rPr>
            <w:rStyle w:val="Hyperlink"/>
            <w:b/>
            <w:noProof/>
          </w:rPr>
          <w:t>Figure 16:</w:t>
        </w:r>
        <w:r w:rsidR="00FC57B1" w:rsidRPr="00305656">
          <w:rPr>
            <w:rStyle w:val="Hyperlink"/>
            <w:noProof/>
          </w:rPr>
          <w:t xml:space="preserve">  </w:t>
        </w:r>
        <w:r w:rsidR="00FC57B1" w:rsidRPr="00305656">
          <w:rPr>
            <w:rStyle w:val="Hyperlink"/>
            <w:noProof/>
            <w:lang w:val="en-US"/>
          </w:rPr>
          <w:t xml:space="preserve">Residuals for the shallow, low-stress drop </w:t>
        </w:r>
        <w:r w:rsidR="00D657B5">
          <w:rPr>
            <w:rStyle w:val="Hyperlink"/>
            <w:noProof/>
            <w:lang w:val="en-US"/>
          </w:rPr>
          <w:t>GMPE</w:t>
        </w:r>
        <w:r w:rsidR="00FC57B1" w:rsidRPr="00305656">
          <w:rPr>
            <w:rStyle w:val="Hyperlink"/>
            <w:noProof/>
            <w:lang w:val="en-US"/>
          </w:rPr>
          <w:t xml:space="preserve"> (Table 7), across a range of response spectral frequencies for M</w:t>
        </w:r>
        <w:r w:rsidR="00FC57B1" w:rsidRPr="00305656">
          <w:rPr>
            <w:rStyle w:val="Hyperlink"/>
            <w:noProof/>
            <w:vertAlign w:val="subscript"/>
            <w:lang w:val="en-US"/>
          </w:rPr>
          <w:t>W</w:t>
        </w:r>
        <w:r w:rsidR="00FC57B1" w:rsidRPr="00305656">
          <w:rPr>
            <w:rStyle w:val="Hyperlink"/>
            <w:noProof/>
            <w:lang w:val="en-US"/>
          </w:rPr>
          <w:t xml:space="preserve"> 6.5 earthquake</w:t>
        </w:r>
        <w:r w:rsidR="00FC57B1">
          <w:rPr>
            <w:noProof/>
            <w:webHidden/>
          </w:rPr>
          <w:tab/>
        </w:r>
        <w:r w:rsidR="00FC57B1">
          <w:rPr>
            <w:noProof/>
            <w:webHidden/>
          </w:rPr>
          <w:fldChar w:fldCharType="begin"/>
        </w:r>
        <w:r w:rsidR="00FC57B1">
          <w:rPr>
            <w:noProof/>
            <w:webHidden/>
          </w:rPr>
          <w:instrText xml:space="preserve"> PAGEREF _Toc338429330 \h </w:instrText>
        </w:r>
        <w:r w:rsidR="00FC57B1">
          <w:rPr>
            <w:noProof/>
            <w:webHidden/>
          </w:rPr>
        </w:r>
        <w:r w:rsidR="00FC57B1">
          <w:rPr>
            <w:noProof/>
            <w:webHidden/>
          </w:rPr>
          <w:fldChar w:fldCharType="separate"/>
        </w:r>
        <w:r w:rsidR="00CB090F">
          <w:rPr>
            <w:noProof/>
            <w:webHidden/>
          </w:rPr>
          <w:t>34</w:t>
        </w:r>
        <w:r w:rsidR="00FC57B1">
          <w:rPr>
            <w:noProof/>
            <w:webHidden/>
          </w:rPr>
          <w:fldChar w:fldCharType="end"/>
        </w:r>
      </w:hyperlink>
    </w:p>
    <w:p w:rsidR="00FC57B1" w:rsidRDefault="005E1338" w:rsidP="003166B9">
      <w:pPr>
        <w:pStyle w:val="TableofFigures"/>
        <w:tabs>
          <w:tab w:val="right" w:leader="dot" w:pos="9072"/>
        </w:tabs>
        <w:spacing w:after="120"/>
        <w:ind w:right="282"/>
        <w:rPr>
          <w:rFonts w:eastAsia="MS Mincho"/>
          <w:noProof/>
          <w:sz w:val="24"/>
          <w:szCs w:val="24"/>
          <w:lang w:eastAsia="ja-JP"/>
        </w:rPr>
      </w:pPr>
      <w:hyperlink w:anchor="_Toc338429331" w:history="1">
        <w:r w:rsidR="00FC57B1" w:rsidRPr="00305656">
          <w:rPr>
            <w:rStyle w:val="Hyperlink"/>
            <w:b/>
            <w:noProof/>
          </w:rPr>
          <w:t>Figure 17:</w:t>
        </w:r>
        <w:r w:rsidR="00FC57B1" w:rsidRPr="00305656">
          <w:rPr>
            <w:rStyle w:val="Hyperlink"/>
            <w:noProof/>
          </w:rPr>
          <w:t xml:space="preserve"> </w:t>
        </w:r>
        <w:r w:rsidR="00FC57B1" w:rsidRPr="00305656">
          <w:rPr>
            <w:rStyle w:val="Hyperlink"/>
            <w:noProof/>
            <w:lang w:val="en-US"/>
          </w:rPr>
          <w:t xml:space="preserve"> Comparison of the median 5% damped response spectral acceleration response spectra for the shallow- and deep-earthquake GMPEs for a scenario </w:t>
        </w:r>
        <w:r w:rsidR="00FC57B1" w:rsidRPr="00825D55">
          <w:rPr>
            <w:rStyle w:val="Hyperlink"/>
            <w:i/>
            <w:noProof/>
            <w:lang w:val="en-US"/>
          </w:rPr>
          <w:t>M</w:t>
        </w:r>
        <w:r w:rsidR="00FC57B1" w:rsidRPr="00825D55">
          <w:rPr>
            <w:rStyle w:val="Hyperlink"/>
            <w:i/>
            <w:noProof/>
            <w:vertAlign w:val="subscript"/>
            <w:lang w:val="en-US"/>
          </w:rPr>
          <w:t>W</w:t>
        </w:r>
        <w:r w:rsidR="00FC57B1" w:rsidRPr="00305656">
          <w:rPr>
            <w:rStyle w:val="Hyperlink"/>
            <w:noProof/>
            <w:lang w:val="en-US"/>
          </w:rPr>
          <w:t xml:space="preserve"> 5.0 earthquake at a range of rupture distances</w:t>
        </w:r>
        <w:r w:rsidR="00FC57B1">
          <w:rPr>
            <w:noProof/>
            <w:webHidden/>
          </w:rPr>
          <w:tab/>
        </w:r>
        <w:r w:rsidR="00FC57B1">
          <w:rPr>
            <w:noProof/>
            <w:webHidden/>
          </w:rPr>
          <w:fldChar w:fldCharType="begin"/>
        </w:r>
        <w:r w:rsidR="00FC57B1">
          <w:rPr>
            <w:noProof/>
            <w:webHidden/>
          </w:rPr>
          <w:instrText xml:space="preserve"> PAGEREF _Toc338429331 \h </w:instrText>
        </w:r>
        <w:r w:rsidR="00FC57B1">
          <w:rPr>
            <w:noProof/>
            <w:webHidden/>
          </w:rPr>
        </w:r>
        <w:r w:rsidR="00FC57B1">
          <w:rPr>
            <w:noProof/>
            <w:webHidden/>
          </w:rPr>
          <w:fldChar w:fldCharType="separate"/>
        </w:r>
        <w:r w:rsidR="00CB090F">
          <w:rPr>
            <w:noProof/>
            <w:webHidden/>
          </w:rPr>
          <w:t>37</w:t>
        </w:r>
        <w:r w:rsidR="00FC57B1">
          <w:rPr>
            <w:noProof/>
            <w:webHidden/>
          </w:rPr>
          <w:fldChar w:fldCharType="end"/>
        </w:r>
      </w:hyperlink>
    </w:p>
    <w:p w:rsidR="00FC57B1" w:rsidRDefault="005E1338" w:rsidP="003166B9">
      <w:pPr>
        <w:pStyle w:val="TableofFigures"/>
        <w:tabs>
          <w:tab w:val="right" w:leader="dot" w:pos="9072"/>
        </w:tabs>
        <w:spacing w:after="120"/>
        <w:ind w:right="282"/>
        <w:rPr>
          <w:rFonts w:eastAsia="MS Mincho"/>
          <w:noProof/>
          <w:sz w:val="24"/>
          <w:szCs w:val="24"/>
          <w:lang w:eastAsia="ja-JP"/>
        </w:rPr>
      </w:pPr>
      <w:hyperlink w:anchor="_Toc338429332" w:history="1">
        <w:r w:rsidR="00FC57B1" w:rsidRPr="00305656">
          <w:rPr>
            <w:rStyle w:val="Hyperlink"/>
            <w:b/>
            <w:noProof/>
          </w:rPr>
          <w:t>Figure 18:</w:t>
        </w:r>
        <w:r w:rsidR="00FC57B1" w:rsidRPr="00305656">
          <w:rPr>
            <w:rStyle w:val="Hyperlink"/>
            <w:noProof/>
          </w:rPr>
          <w:t xml:space="preserve"> </w:t>
        </w:r>
        <w:r w:rsidR="00FC57B1" w:rsidRPr="00305656">
          <w:rPr>
            <w:rStyle w:val="Hyperlink"/>
            <w:noProof/>
            <w:lang w:val="en-US"/>
          </w:rPr>
          <w:t xml:space="preserve"> </w:t>
        </w:r>
        <w:r w:rsidR="00825D55" w:rsidRPr="00825D55">
          <w:rPr>
            <w:rStyle w:val="Hyperlink"/>
            <w:noProof/>
            <w:lang w:val="en-US"/>
          </w:rPr>
          <w:t xml:space="preserve">Comparison of the median 5% damped response spectral acceleration response spectra for the shallow- and deep-earthquake GMPEs for a scenario </w:t>
        </w:r>
        <w:r w:rsidR="00825D55" w:rsidRPr="00825D55">
          <w:rPr>
            <w:rStyle w:val="Hyperlink"/>
            <w:i/>
            <w:noProof/>
            <w:lang w:val="en-US"/>
          </w:rPr>
          <w:t>M</w:t>
        </w:r>
        <w:r w:rsidR="00825D55" w:rsidRPr="00825D55">
          <w:rPr>
            <w:rStyle w:val="Hyperlink"/>
            <w:i/>
            <w:noProof/>
            <w:vertAlign w:val="subscript"/>
            <w:lang w:val="en-US"/>
          </w:rPr>
          <w:t>W</w:t>
        </w:r>
        <w:r w:rsidR="00825D55" w:rsidRPr="00825D55">
          <w:rPr>
            <w:rStyle w:val="Hyperlink"/>
            <w:noProof/>
            <w:lang w:val="en-US"/>
          </w:rPr>
          <w:t xml:space="preserve"> </w:t>
        </w:r>
        <w:r w:rsidR="00825D55">
          <w:rPr>
            <w:rStyle w:val="Hyperlink"/>
            <w:noProof/>
            <w:lang w:val="en-US"/>
          </w:rPr>
          <w:t>6</w:t>
        </w:r>
        <w:r w:rsidR="00825D55" w:rsidRPr="00825D55">
          <w:rPr>
            <w:rStyle w:val="Hyperlink"/>
            <w:noProof/>
            <w:lang w:val="en-US"/>
          </w:rPr>
          <w:t>.0 earthquake at a range of rupture distances</w:t>
        </w:r>
        <w:r w:rsidR="00FC57B1">
          <w:rPr>
            <w:noProof/>
            <w:webHidden/>
          </w:rPr>
          <w:tab/>
        </w:r>
        <w:r w:rsidR="00FC57B1">
          <w:rPr>
            <w:noProof/>
            <w:webHidden/>
          </w:rPr>
          <w:fldChar w:fldCharType="begin"/>
        </w:r>
        <w:r w:rsidR="00FC57B1">
          <w:rPr>
            <w:noProof/>
            <w:webHidden/>
          </w:rPr>
          <w:instrText xml:space="preserve"> PAGEREF _Toc338429332 \h </w:instrText>
        </w:r>
        <w:r w:rsidR="00FC57B1">
          <w:rPr>
            <w:noProof/>
            <w:webHidden/>
          </w:rPr>
        </w:r>
        <w:r w:rsidR="00FC57B1">
          <w:rPr>
            <w:noProof/>
            <w:webHidden/>
          </w:rPr>
          <w:fldChar w:fldCharType="separate"/>
        </w:r>
        <w:r w:rsidR="00CB090F">
          <w:rPr>
            <w:noProof/>
            <w:webHidden/>
          </w:rPr>
          <w:t>38</w:t>
        </w:r>
        <w:r w:rsidR="00FC57B1">
          <w:rPr>
            <w:noProof/>
            <w:webHidden/>
          </w:rPr>
          <w:fldChar w:fldCharType="end"/>
        </w:r>
      </w:hyperlink>
    </w:p>
    <w:p w:rsidR="00FC57B1" w:rsidRPr="00825D55" w:rsidRDefault="005E1338" w:rsidP="003166B9">
      <w:pPr>
        <w:pStyle w:val="TableofFigures"/>
        <w:tabs>
          <w:tab w:val="right" w:leader="dot" w:pos="9072"/>
        </w:tabs>
        <w:spacing w:after="120"/>
        <w:ind w:right="282"/>
        <w:rPr>
          <w:rFonts w:eastAsia="MS Mincho"/>
          <w:noProof/>
          <w:sz w:val="24"/>
          <w:szCs w:val="24"/>
          <w:lang w:eastAsia="ja-JP"/>
        </w:rPr>
      </w:pPr>
      <w:hyperlink w:anchor="_Toc338429333" w:history="1">
        <w:r w:rsidR="00FC57B1" w:rsidRPr="00825D55">
          <w:rPr>
            <w:rStyle w:val="Hyperlink"/>
            <w:b/>
            <w:noProof/>
          </w:rPr>
          <w:t>Figure 19:</w:t>
        </w:r>
        <w:r w:rsidR="00FC57B1" w:rsidRPr="00825D55">
          <w:rPr>
            <w:rStyle w:val="Hyperlink"/>
            <w:noProof/>
          </w:rPr>
          <w:t xml:space="preserve">  Comparison of the median </w:t>
        </w:r>
        <w:r w:rsidR="00FC57B1" w:rsidRPr="00825D55">
          <w:rPr>
            <w:rStyle w:val="Hyperlink"/>
            <w:noProof/>
            <w:lang w:val="en-US"/>
          </w:rPr>
          <w:t xml:space="preserve">5% damped response spectral acceleration </w:t>
        </w:r>
        <w:r w:rsidR="00FC57B1" w:rsidRPr="00825D55">
          <w:rPr>
            <w:rStyle w:val="Hyperlink"/>
            <w:noProof/>
          </w:rPr>
          <w:t xml:space="preserve">response spectra for the shallow- and deep-earthquake GMPEs for a scenario </w:t>
        </w:r>
        <w:r w:rsidR="00FC57B1" w:rsidRPr="00825D55">
          <w:rPr>
            <w:rStyle w:val="Hyperlink"/>
            <w:i/>
            <w:noProof/>
          </w:rPr>
          <w:t>M</w:t>
        </w:r>
        <w:r w:rsidR="00FC57B1" w:rsidRPr="00825D55">
          <w:rPr>
            <w:rStyle w:val="Hyperlink"/>
            <w:i/>
            <w:noProof/>
            <w:vertAlign w:val="subscript"/>
          </w:rPr>
          <w:t>W</w:t>
        </w:r>
        <w:r w:rsidR="00FC57B1" w:rsidRPr="00825D55">
          <w:rPr>
            <w:rStyle w:val="Hyperlink"/>
            <w:noProof/>
          </w:rPr>
          <w:t xml:space="preserve"> 7.0 earthquake at a range of rupture distances</w:t>
        </w:r>
        <w:r w:rsidR="00FC57B1" w:rsidRPr="00825D55">
          <w:rPr>
            <w:noProof/>
            <w:webHidden/>
          </w:rPr>
          <w:tab/>
        </w:r>
        <w:r w:rsidR="00FC57B1" w:rsidRPr="00825D55">
          <w:rPr>
            <w:noProof/>
            <w:webHidden/>
          </w:rPr>
          <w:fldChar w:fldCharType="begin"/>
        </w:r>
        <w:r w:rsidR="00FC57B1" w:rsidRPr="00825D55">
          <w:rPr>
            <w:noProof/>
            <w:webHidden/>
          </w:rPr>
          <w:instrText xml:space="preserve"> PAGEREF _Toc338429333 \h </w:instrText>
        </w:r>
        <w:r w:rsidR="00FC57B1" w:rsidRPr="00825D55">
          <w:rPr>
            <w:noProof/>
            <w:webHidden/>
          </w:rPr>
        </w:r>
        <w:r w:rsidR="00FC57B1" w:rsidRPr="00825D55">
          <w:rPr>
            <w:noProof/>
            <w:webHidden/>
          </w:rPr>
          <w:fldChar w:fldCharType="separate"/>
        </w:r>
        <w:r w:rsidR="00CB090F">
          <w:rPr>
            <w:noProof/>
            <w:webHidden/>
          </w:rPr>
          <w:t>39</w:t>
        </w:r>
        <w:r w:rsidR="00FC57B1" w:rsidRPr="00825D55">
          <w:rPr>
            <w:noProof/>
            <w:webHidden/>
          </w:rPr>
          <w:fldChar w:fldCharType="end"/>
        </w:r>
      </w:hyperlink>
    </w:p>
    <w:p w:rsidR="00FC57B1" w:rsidRPr="00825D55" w:rsidRDefault="005E1338" w:rsidP="003166B9">
      <w:pPr>
        <w:pStyle w:val="TableofFigures"/>
        <w:tabs>
          <w:tab w:val="right" w:leader="dot" w:pos="9072"/>
        </w:tabs>
        <w:spacing w:after="120"/>
        <w:ind w:right="282"/>
        <w:rPr>
          <w:rFonts w:eastAsia="MS Mincho"/>
          <w:noProof/>
          <w:sz w:val="24"/>
          <w:szCs w:val="24"/>
          <w:lang w:eastAsia="ja-JP"/>
        </w:rPr>
      </w:pPr>
      <w:hyperlink w:anchor="_Toc338429334" w:history="1">
        <w:r w:rsidR="00FC57B1" w:rsidRPr="00825D55">
          <w:rPr>
            <w:rStyle w:val="Hyperlink"/>
            <w:b/>
            <w:noProof/>
          </w:rPr>
          <w:t>Figure 20:</w:t>
        </w:r>
        <w:r w:rsidR="00FC57B1" w:rsidRPr="00825D55">
          <w:rPr>
            <w:rStyle w:val="Hyperlink"/>
            <w:noProof/>
          </w:rPr>
          <w:t xml:space="preserve">  Comparison of the median horizontal </w:t>
        </w:r>
        <w:r w:rsidR="00FC57B1" w:rsidRPr="00825D55">
          <w:rPr>
            <w:rStyle w:val="Hyperlink"/>
            <w:noProof/>
            <w:lang w:val="en-US"/>
          </w:rPr>
          <w:t xml:space="preserve">5% damped response spectral acceleration </w:t>
        </w:r>
        <w:r w:rsidR="00FC57B1" w:rsidRPr="00825D55">
          <w:rPr>
            <w:rStyle w:val="Hyperlink"/>
            <w:noProof/>
          </w:rPr>
          <w:t xml:space="preserve">response spectra for the shallow- and deep-earthquake GMPEs for a scenario </w:t>
        </w:r>
        <w:r w:rsidR="00FC57B1" w:rsidRPr="00825D55">
          <w:rPr>
            <w:rStyle w:val="Hyperlink"/>
            <w:i/>
            <w:noProof/>
          </w:rPr>
          <w:t>M</w:t>
        </w:r>
        <w:r w:rsidR="00FC57B1" w:rsidRPr="00825D55">
          <w:rPr>
            <w:rStyle w:val="Hyperlink"/>
            <w:i/>
            <w:noProof/>
            <w:vertAlign w:val="subscript"/>
          </w:rPr>
          <w:t>W</w:t>
        </w:r>
        <w:r w:rsidR="00FC57B1" w:rsidRPr="00825D55">
          <w:rPr>
            <w:rStyle w:val="Hyperlink"/>
            <w:noProof/>
          </w:rPr>
          <w:t xml:space="preserve"> 5.5 earthquake against </w:t>
        </w:r>
        <w:r w:rsidR="00FC57B1" w:rsidRPr="00825D55">
          <w:rPr>
            <w:rStyle w:val="Hyperlink"/>
            <w:i/>
            <w:noProof/>
          </w:rPr>
          <w:t>R</w:t>
        </w:r>
        <w:r w:rsidR="00FC57B1" w:rsidRPr="00825D55">
          <w:rPr>
            <w:rStyle w:val="Hyperlink"/>
            <w:i/>
            <w:noProof/>
            <w:vertAlign w:val="subscript"/>
          </w:rPr>
          <w:t>rup</w:t>
        </w:r>
        <w:r w:rsidR="00FC57B1" w:rsidRPr="00825D55">
          <w:rPr>
            <w:rStyle w:val="Hyperlink"/>
            <w:noProof/>
          </w:rPr>
          <w:t xml:space="preserve"> for a series of response spectral periods</w:t>
        </w:r>
        <w:r w:rsidR="00FC57B1" w:rsidRPr="00825D55">
          <w:rPr>
            <w:noProof/>
            <w:webHidden/>
          </w:rPr>
          <w:tab/>
        </w:r>
        <w:r w:rsidR="00FC57B1" w:rsidRPr="00825D55">
          <w:rPr>
            <w:noProof/>
            <w:webHidden/>
          </w:rPr>
          <w:fldChar w:fldCharType="begin"/>
        </w:r>
        <w:r w:rsidR="00FC57B1" w:rsidRPr="00825D55">
          <w:rPr>
            <w:noProof/>
            <w:webHidden/>
          </w:rPr>
          <w:instrText xml:space="preserve"> PAGEREF _Toc338429334 \h </w:instrText>
        </w:r>
        <w:r w:rsidR="00FC57B1" w:rsidRPr="00825D55">
          <w:rPr>
            <w:noProof/>
            <w:webHidden/>
          </w:rPr>
        </w:r>
        <w:r w:rsidR="00FC57B1" w:rsidRPr="00825D55">
          <w:rPr>
            <w:noProof/>
            <w:webHidden/>
          </w:rPr>
          <w:fldChar w:fldCharType="separate"/>
        </w:r>
        <w:r w:rsidR="00CB090F">
          <w:rPr>
            <w:noProof/>
            <w:webHidden/>
          </w:rPr>
          <w:t>40</w:t>
        </w:r>
        <w:r w:rsidR="00FC57B1" w:rsidRPr="00825D55">
          <w:rPr>
            <w:noProof/>
            <w:webHidden/>
          </w:rPr>
          <w:fldChar w:fldCharType="end"/>
        </w:r>
      </w:hyperlink>
    </w:p>
    <w:p w:rsidR="00FC57B1" w:rsidRPr="00825D55" w:rsidRDefault="005E1338" w:rsidP="003166B9">
      <w:pPr>
        <w:pStyle w:val="TableofFigures"/>
        <w:tabs>
          <w:tab w:val="right" w:leader="dot" w:pos="9072"/>
        </w:tabs>
        <w:spacing w:after="120"/>
        <w:ind w:right="282"/>
        <w:rPr>
          <w:rFonts w:eastAsia="MS Mincho"/>
          <w:noProof/>
          <w:sz w:val="24"/>
          <w:szCs w:val="24"/>
          <w:lang w:eastAsia="ja-JP"/>
        </w:rPr>
      </w:pPr>
      <w:hyperlink w:anchor="_Toc338429335" w:history="1">
        <w:r w:rsidR="00FC57B1" w:rsidRPr="00825D55">
          <w:rPr>
            <w:rStyle w:val="Hyperlink"/>
            <w:b/>
            <w:noProof/>
          </w:rPr>
          <w:t>Figure 21:</w:t>
        </w:r>
        <w:r w:rsidR="00FC57B1" w:rsidRPr="00825D55">
          <w:rPr>
            <w:rStyle w:val="Hyperlink"/>
            <w:noProof/>
          </w:rPr>
          <w:t xml:space="preserve">  Comparison of the median horizontal </w:t>
        </w:r>
        <w:r w:rsidR="00FC57B1" w:rsidRPr="00825D55">
          <w:rPr>
            <w:rStyle w:val="Hyperlink"/>
            <w:noProof/>
            <w:lang w:val="en-US"/>
          </w:rPr>
          <w:t xml:space="preserve">5% damped response spectral acceleration </w:t>
        </w:r>
        <w:r w:rsidR="00FC57B1" w:rsidRPr="00825D55">
          <w:rPr>
            <w:rStyle w:val="Hyperlink"/>
            <w:noProof/>
          </w:rPr>
          <w:t xml:space="preserve">response spectra for the shallow- and deep-earthquake GMPEs for a scenario </w:t>
        </w:r>
        <w:r w:rsidR="00FC57B1" w:rsidRPr="00825D55">
          <w:rPr>
            <w:rStyle w:val="Hyperlink"/>
            <w:i/>
            <w:noProof/>
          </w:rPr>
          <w:t>M</w:t>
        </w:r>
        <w:r w:rsidR="00FC57B1" w:rsidRPr="00825D55">
          <w:rPr>
            <w:rStyle w:val="Hyperlink"/>
            <w:i/>
            <w:noProof/>
            <w:vertAlign w:val="subscript"/>
          </w:rPr>
          <w:t>W</w:t>
        </w:r>
        <w:r w:rsidR="00FC57B1" w:rsidRPr="00825D55">
          <w:rPr>
            <w:rStyle w:val="Hyperlink"/>
            <w:noProof/>
          </w:rPr>
          <w:t xml:space="preserve"> 6.5 earthquake against </w:t>
        </w:r>
        <w:r w:rsidR="00FC57B1" w:rsidRPr="00825D55">
          <w:rPr>
            <w:rStyle w:val="Hyperlink"/>
            <w:i/>
            <w:noProof/>
          </w:rPr>
          <w:t>R</w:t>
        </w:r>
        <w:r w:rsidR="00FC57B1" w:rsidRPr="00825D55">
          <w:rPr>
            <w:rStyle w:val="Hyperlink"/>
            <w:i/>
            <w:noProof/>
            <w:vertAlign w:val="subscript"/>
          </w:rPr>
          <w:t>rup</w:t>
        </w:r>
        <w:r w:rsidR="00FC57B1" w:rsidRPr="00825D55">
          <w:rPr>
            <w:rStyle w:val="Hyperlink"/>
            <w:noProof/>
          </w:rPr>
          <w:t xml:space="preserve"> for a series of response spectral periods</w:t>
        </w:r>
        <w:r w:rsidR="00FC57B1" w:rsidRPr="00825D55">
          <w:rPr>
            <w:noProof/>
            <w:webHidden/>
          </w:rPr>
          <w:tab/>
        </w:r>
        <w:r w:rsidR="00FC57B1" w:rsidRPr="00825D55">
          <w:rPr>
            <w:noProof/>
            <w:webHidden/>
          </w:rPr>
          <w:fldChar w:fldCharType="begin"/>
        </w:r>
        <w:r w:rsidR="00FC57B1" w:rsidRPr="00825D55">
          <w:rPr>
            <w:noProof/>
            <w:webHidden/>
          </w:rPr>
          <w:instrText xml:space="preserve"> PAGEREF _Toc338429335 \h </w:instrText>
        </w:r>
        <w:r w:rsidR="00FC57B1" w:rsidRPr="00825D55">
          <w:rPr>
            <w:noProof/>
            <w:webHidden/>
          </w:rPr>
        </w:r>
        <w:r w:rsidR="00FC57B1" w:rsidRPr="00825D55">
          <w:rPr>
            <w:noProof/>
            <w:webHidden/>
          </w:rPr>
          <w:fldChar w:fldCharType="separate"/>
        </w:r>
        <w:r w:rsidR="00CB090F">
          <w:rPr>
            <w:noProof/>
            <w:webHidden/>
          </w:rPr>
          <w:t>41</w:t>
        </w:r>
        <w:r w:rsidR="00FC57B1" w:rsidRPr="00825D55">
          <w:rPr>
            <w:noProof/>
            <w:webHidden/>
          </w:rPr>
          <w:fldChar w:fldCharType="end"/>
        </w:r>
      </w:hyperlink>
    </w:p>
    <w:p w:rsidR="00FC57B1" w:rsidRDefault="005E1338" w:rsidP="003166B9">
      <w:pPr>
        <w:pStyle w:val="TableofFigures"/>
        <w:tabs>
          <w:tab w:val="right" w:leader="dot" w:pos="9072"/>
        </w:tabs>
        <w:spacing w:after="120"/>
        <w:ind w:right="282"/>
        <w:rPr>
          <w:rFonts w:eastAsia="MS Mincho"/>
          <w:noProof/>
          <w:sz w:val="24"/>
          <w:szCs w:val="24"/>
          <w:lang w:eastAsia="ja-JP"/>
        </w:rPr>
      </w:pPr>
      <w:hyperlink w:anchor="_Toc338429336" w:history="1">
        <w:r w:rsidR="00FC57B1" w:rsidRPr="00305656">
          <w:rPr>
            <w:rStyle w:val="Hyperlink"/>
            <w:b/>
            <w:noProof/>
          </w:rPr>
          <w:t>Figure 22:</w:t>
        </w:r>
        <w:r w:rsidR="00FC57B1" w:rsidRPr="00305656">
          <w:rPr>
            <w:rStyle w:val="Hyperlink"/>
            <w:noProof/>
          </w:rPr>
          <w:t xml:space="preserve">  Residuals (log10 observed – log10 predicted) of 5% damped response spectral accelerations recorded from all </w:t>
        </w:r>
        <w:r w:rsidR="00FC57B1" w:rsidRPr="00511C33">
          <w:rPr>
            <w:rStyle w:val="Hyperlink"/>
            <w:i/>
            <w:noProof/>
          </w:rPr>
          <w:t>M</w:t>
        </w:r>
        <w:r w:rsidR="00FC57B1" w:rsidRPr="00511C33">
          <w:rPr>
            <w:rStyle w:val="Hyperlink"/>
            <w:i/>
            <w:noProof/>
            <w:vertAlign w:val="subscript"/>
          </w:rPr>
          <w:t>W</w:t>
        </w:r>
        <w:r w:rsidR="00FC57B1" w:rsidRPr="00305656">
          <w:rPr>
            <w:rStyle w:val="Hyperlink"/>
            <w:noProof/>
          </w:rPr>
          <w:t xml:space="preserve"> </w:t>
        </w:r>
        <w:r w:rsidR="00FC57B1" w:rsidRPr="00305656">
          <w:rPr>
            <w:rStyle w:val="Hyperlink"/>
            <w:noProof/>
          </w:rPr>
          <w:sym w:font="Symbol" w:char="F0B3"/>
        </w:r>
        <w:r w:rsidR="00FC57B1" w:rsidRPr="00305656">
          <w:rPr>
            <w:rStyle w:val="Hyperlink"/>
            <w:noProof/>
          </w:rPr>
          <w:t xml:space="preserve"> 4.0 earthquakes in southeastern Australia</w:t>
        </w:r>
        <w:r w:rsidR="00FC57B1">
          <w:rPr>
            <w:noProof/>
            <w:webHidden/>
          </w:rPr>
          <w:tab/>
        </w:r>
        <w:r w:rsidR="00FC57B1">
          <w:rPr>
            <w:noProof/>
            <w:webHidden/>
          </w:rPr>
          <w:fldChar w:fldCharType="begin"/>
        </w:r>
        <w:r w:rsidR="00FC57B1">
          <w:rPr>
            <w:noProof/>
            <w:webHidden/>
          </w:rPr>
          <w:instrText xml:space="preserve"> PAGEREF _Toc338429336 \h </w:instrText>
        </w:r>
        <w:r w:rsidR="00FC57B1">
          <w:rPr>
            <w:noProof/>
            <w:webHidden/>
          </w:rPr>
        </w:r>
        <w:r w:rsidR="00FC57B1">
          <w:rPr>
            <w:noProof/>
            <w:webHidden/>
          </w:rPr>
          <w:fldChar w:fldCharType="separate"/>
        </w:r>
        <w:r w:rsidR="00CB090F">
          <w:rPr>
            <w:noProof/>
            <w:webHidden/>
          </w:rPr>
          <w:t>42</w:t>
        </w:r>
        <w:r w:rsidR="00FC57B1">
          <w:rPr>
            <w:noProof/>
            <w:webHidden/>
          </w:rPr>
          <w:fldChar w:fldCharType="end"/>
        </w:r>
      </w:hyperlink>
    </w:p>
    <w:p w:rsidR="00FC57B1" w:rsidRDefault="005E1338" w:rsidP="003166B9">
      <w:pPr>
        <w:pStyle w:val="TableofFigures"/>
        <w:tabs>
          <w:tab w:val="right" w:leader="dot" w:pos="9072"/>
        </w:tabs>
        <w:spacing w:after="120"/>
        <w:ind w:right="282"/>
        <w:rPr>
          <w:rFonts w:eastAsia="MS Mincho"/>
          <w:noProof/>
          <w:sz w:val="24"/>
          <w:szCs w:val="24"/>
          <w:lang w:eastAsia="ja-JP"/>
        </w:rPr>
      </w:pPr>
      <w:hyperlink w:anchor="_Toc338429337" w:history="1">
        <w:r w:rsidR="00FC57B1" w:rsidRPr="00305656">
          <w:rPr>
            <w:rStyle w:val="Hyperlink"/>
            <w:b/>
            <w:noProof/>
          </w:rPr>
          <w:t>Figure 23:</w:t>
        </w:r>
        <w:r w:rsidR="00FC57B1" w:rsidRPr="00305656">
          <w:rPr>
            <w:rStyle w:val="Hyperlink"/>
            <w:noProof/>
          </w:rPr>
          <w:t xml:space="preserve">  Residuals (log10 observed – log10 predicted) of 5% damped response spectral accelerations recorded from earthquakes </w:t>
        </w:r>
        <w:r w:rsidR="00FC57B1" w:rsidRPr="00511C33">
          <w:rPr>
            <w:rStyle w:val="Hyperlink"/>
            <w:i/>
            <w:noProof/>
          </w:rPr>
          <w:t>M</w:t>
        </w:r>
        <w:r w:rsidR="00FC57B1" w:rsidRPr="00511C33">
          <w:rPr>
            <w:rStyle w:val="Hyperlink"/>
            <w:i/>
            <w:noProof/>
            <w:vertAlign w:val="subscript"/>
          </w:rPr>
          <w:t>W</w:t>
        </w:r>
        <w:r w:rsidR="00FC57B1" w:rsidRPr="00305656">
          <w:rPr>
            <w:rStyle w:val="Hyperlink"/>
            <w:noProof/>
          </w:rPr>
          <w:t xml:space="preserve"> </w:t>
        </w:r>
        <w:r w:rsidR="00FC57B1" w:rsidRPr="00305656">
          <w:rPr>
            <w:rStyle w:val="Hyperlink"/>
            <w:noProof/>
          </w:rPr>
          <w:sym w:font="Symbol" w:char="F0B3"/>
        </w:r>
        <w:r w:rsidR="00FC57B1" w:rsidRPr="00305656">
          <w:rPr>
            <w:rStyle w:val="Hyperlink"/>
            <w:noProof/>
          </w:rPr>
          <w:t xml:space="preserve"> 4.0 in southeastern Australia not used to determine attenuation parameters</w:t>
        </w:r>
        <w:r w:rsidR="00FC57B1">
          <w:rPr>
            <w:noProof/>
            <w:webHidden/>
          </w:rPr>
          <w:tab/>
        </w:r>
        <w:r w:rsidR="00FC57B1">
          <w:rPr>
            <w:noProof/>
            <w:webHidden/>
          </w:rPr>
          <w:fldChar w:fldCharType="begin"/>
        </w:r>
        <w:r w:rsidR="00FC57B1">
          <w:rPr>
            <w:noProof/>
            <w:webHidden/>
          </w:rPr>
          <w:instrText xml:space="preserve"> PAGEREF _Toc338429337 \h </w:instrText>
        </w:r>
        <w:r w:rsidR="00FC57B1">
          <w:rPr>
            <w:noProof/>
            <w:webHidden/>
          </w:rPr>
        </w:r>
        <w:r w:rsidR="00FC57B1">
          <w:rPr>
            <w:noProof/>
            <w:webHidden/>
          </w:rPr>
          <w:fldChar w:fldCharType="separate"/>
        </w:r>
        <w:r w:rsidR="00CB090F">
          <w:rPr>
            <w:noProof/>
            <w:webHidden/>
          </w:rPr>
          <w:t>43</w:t>
        </w:r>
        <w:r w:rsidR="00FC57B1">
          <w:rPr>
            <w:noProof/>
            <w:webHidden/>
          </w:rPr>
          <w:fldChar w:fldCharType="end"/>
        </w:r>
      </w:hyperlink>
    </w:p>
    <w:p w:rsidR="00FC57B1" w:rsidRDefault="005E1338" w:rsidP="003166B9">
      <w:pPr>
        <w:pStyle w:val="TableofFigures"/>
        <w:tabs>
          <w:tab w:val="right" w:leader="dot" w:pos="9072"/>
        </w:tabs>
        <w:spacing w:after="120"/>
        <w:ind w:right="282"/>
        <w:rPr>
          <w:rFonts w:eastAsia="MS Mincho"/>
          <w:noProof/>
          <w:sz w:val="24"/>
          <w:szCs w:val="24"/>
          <w:lang w:eastAsia="ja-JP"/>
        </w:rPr>
      </w:pPr>
      <w:hyperlink w:anchor="_Toc338429338" w:history="1">
        <w:r w:rsidR="00FC57B1" w:rsidRPr="00305656">
          <w:rPr>
            <w:rStyle w:val="Hyperlink"/>
            <w:b/>
            <w:noProof/>
          </w:rPr>
          <w:t>Figure 24:</w:t>
        </w:r>
        <w:r w:rsidR="00FC57B1" w:rsidRPr="00305656">
          <w:rPr>
            <w:rStyle w:val="Hyperlink"/>
            <w:noProof/>
          </w:rPr>
          <w:t xml:space="preserve">  Residuals (log10 observed – log10 predicted) of 5% damped response spectral accelerations recorded from earthquakes M</w:t>
        </w:r>
        <w:r w:rsidR="00FC57B1" w:rsidRPr="00305656">
          <w:rPr>
            <w:rStyle w:val="Hyperlink"/>
            <w:noProof/>
            <w:vertAlign w:val="subscript"/>
          </w:rPr>
          <w:t>W</w:t>
        </w:r>
        <w:r w:rsidR="00FC57B1" w:rsidRPr="00305656">
          <w:rPr>
            <w:rStyle w:val="Hyperlink"/>
            <w:noProof/>
          </w:rPr>
          <w:t xml:space="preserve"> </w:t>
        </w:r>
        <w:r w:rsidR="00FC57B1" w:rsidRPr="00305656">
          <w:rPr>
            <w:rStyle w:val="Hyperlink"/>
            <w:noProof/>
          </w:rPr>
          <w:sym w:font="Symbol" w:char="F0B3"/>
        </w:r>
        <w:r w:rsidR="00FC57B1" w:rsidRPr="00305656">
          <w:rPr>
            <w:rStyle w:val="Hyperlink"/>
            <w:noProof/>
          </w:rPr>
          <w:t xml:space="preserve"> 4.0 in Western Australia relative to the southeastern Australian model</w:t>
        </w:r>
        <w:r w:rsidR="00FC57B1">
          <w:rPr>
            <w:noProof/>
            <w:webHidden/>
          </w:rPr>
          <w:tab/>
        </w:r>
        <w:r w:rsidR="00FC57B1">
          <w:rPr>
            <w:noProof/>
            <w:webHidden/>
          </w:rPr>
          <w:fldChar w:fldCharType="begin"/>
        </w:r>
        <w:r w:rsidR="00FC57B1">
          <w:rPr>
            <w:noProof/>
            <w:webHidden/>
          </w:rPr>
          <w:instrText xml:space="preserve"> PAGEREF _Toc338429338 \h </w:instrText>
        </w:r>
        <w:r w:rsidR="00FC57B1">
          <w:rPr>
            <w:noProof/>
            <w:webHidden/>
          </w:rPr>
        </w:r>
        <w:r w:rsidR="00FC57B1">
          <w:rPr>
            <w:noProof/>
            <w:webHidden/>
          </w:rPr>
          <w:fldChar w:fldCharType="separate"/>
        </w:r>
        <w:r w:rsidR="00CB090F">
          <w:rPr>
            <w:noProof/>
            <w:webHidden/>
          </w:rPr>
          <w:t>44</w:t>
        </w:r>
        <w:r w:rsidR="00FC57B1">
          <w:rPr>
            <w:noProof/>
            <w:webHidden/>
          </w:rPr>
          <w:fldChar w:fldCharType="end"/>
        </w:r>
      </w:hyperlink>
    </w:p>
    <w:p w:rsidR="00FC57B1" w:rsidRDefault="005E1338" w:rsidP="003166B9">
      <w:pPr>
        <w:pStyle w:val="TableofFigures"/>
        <w:tabs>
          <w:tab w:val="right" w:leader="dot" w:pos="9072"/>
        </w:tabs>
        <w:spacing w:after="120"/>
        <w:ind w:right="282"/>
        <w:rPr>
          <w:rFonts w:eastAsia="MS Mincho"/>
          <w:noProof/>
          <w:sz w:val="24"/>
          <w:szCs w:val="24"/>
          <w:lang w:eastAsia="ja-JP"/>
        </w:rPr>
      </w:pPr>
      <w:hyperlink w:anchor="_Toc338429339" w:history="1">
        <w:r w:rsidR="00FC57B1" w:rsidRPr="00305656">
          <w:rPr>
            <w:rStyle w:val="Hyperlink"/>
            <w:b/>
            <w:noProof/>
          </w:rPr>
          <w:t xml:space="preserve">Figure 25:  </w:t>
        </w:r>
        <w:r w:rsidR="00FC57B1" w:rsidRPr="00305656">
          <w:rPr>
            <w:rStyle w:val="Hyperlink"/>
            <w:noProof/>
          </w:rPr>
          <w:t xml:space="preserve">Comparison of the median </w:t>
        </w:r>
        <w:r w:rsidR="00FC57B1" w:rsidRPr="00305656">
          <w:rPr>
            <w:rStyle w:val="Hyperlink"/>
            <w:noProof/>
            <w:lang w:val="en-US"/>
          </w:rPr>
          <w:t xml:space="preserve">5% damped response spectral acceleration </w:t>
        </w:r>
        <w:r w:rsidR="00FC57B1" w:rsidRPr="00305656">
          <w:rPr>
            <w:rStyle w:val="Hyperlink"/>
            <w:noProof/>
          </w:rPr>
          <w:t>from the 19 June 2012 M</w:t>
        </w:r>
        <w:r w:rsidR="00FC57B1" w:rsidRPr="00305656">
          <w:rPr>
            <w:rStyle w:val="Hyperlink"/>
            <w:noProof/>
            <w:vertAlign w:val="subscript"/>
          </w:rPr>
          <w:t>W</w:t>
        </w:r>
        <w:r w:rsidR="00FC57B1" w:rsidRPr="00305656">
          <w:rPr>
            <w:rStyle w:val="Hyperlink"/>
            <w:noProof/>
          </w:rPr>
          <w:t xml:space="preserve"> 5.0 earthquake near Moe, Victoria, recorded on seismographs located at (a) </w:t>
        </w:r>
        <w:r w:rsidR="00FC57B1" w:rsidRPr="00305656">
          <w:rPr>
            <w:rStyle w:val="Hyperlink"/>
            <w:iCs/>
            <w:noProof/>
            <w:lang w:val="en-US"/>
          </w:rPr>
          <w:t>Jeeralang Junction (JENM) and (b) Toolangi (TOO)</w:t>
        </w:r>
        <w:r w:rsidR="00FC57B1">
          <w:rPr>
            <w:noProof/>
            <w:webHidden/>
          </w:rPr>
          <w:tab/>
        </w:r>
        <w:r w:rsidR="00FC57B1">
          <w:rPr>
            <w:noProof/>
            <w:webHidden/>
          </w:rPr>
          <w:fldChar w:fldCharType="begin"/>
        </w:r>
        <w:r w:rsidR="00FC57B1">
          <w:rPr>
            <w:noProof/>
            <w:webHidden/>
          </w:rPr>
          <w:instrText xml:space="preserve"> PAGEREF _Toc338429339 \h </w:instrText>
        </w:r>
        <w:r w:rsidR="00FC57B1">
          <w:rPr>
            <w:noProof/>
            <w:webHidden/>
          </w:rPr>
        </w:r>
        <w:r w:rsidR="00FC57B1">
          <w:rPr>
            <w:noProof/>
            <w:webHidden/>
          </w:rPr>
          <w:fldChar w:fldCharType="separate"/>
        </w:r>
        <w:r w:rsidR="00CB090F">
          <w:rPr>
            <w:noProof/>
            <w:webHidden/>
          </w:rPr>
          <w:t>45</w:t>
        </w:r>
        <w:r w:rsidR="00FC57B1">
          <w:rPr>
            <w:noProof/>
            <w:webHidden/>
          </w:rPr>
          <w:fldChar w:fldCharType="end"/>
        </w:r>
      </w:hyperlink>
    </w:p>
    <w:p w:rsidR="00FA1876" w:rsidRPr="00ED3EA1" w:rsidRDefault="00694E33" w:rsidP="003166B9">
      <w:pPr>
        <w:tabs>
          <w:tab w:val="right" w:leader="dot" w:pos="8505"/>
          <w:tab w:val="right" w:leader="dot" w:pos="9072"/>
        </w:tabs>
        <w:ind w:right="566"/>
      </w:pPr>
      <w:r>
        <w:fldChar w:fldCharType="end"/>
      </w:r>
    </w:p>
    <w:p w:rsidR="00922CFD" w:rsidRDefault="00FA1876" w:rsidP="00ED3EA1">
      <w:pPr>
        <w:pStyle w:val="Contentsheading"/>
      </w:pPr>
      <w:r>
        <w:br w:type="page"/>
      </w:r>
      <w:r w:rsidR="00922CFD">
        <w:lastRenderedPageBreak/>
        <w:t>List of Tables</w:t>
      </w:r>
    </w:p>
    <w:p w:rsidR="004778A7" w:rsidRDefault="00922CFD" w:rsidP="003166B9">
      <w:pPr>
        <w:pStyle w:val="TableofFigures"/>
        <w:tabs>
          <w:tab w:val="right" w:leader="dot" w:pos="9072"/>
        </w:tabs>
        <w:spacing w:before="120" w:after="120"/>
        <w:ind w:right="282"/>
        <w:rPr>
          <w:rFonts w:eastAsia="MS Mincho"/>
          <w:noProof/>
          <w:sz w:val="24"/>
          <w:szCs w:val="24"/>
          <w:lang w:eastAsia="ja-JP"/>
        </w:rPr>
      </w:pPr>
      <w:r>
        <w:fldChar w:fldCharType="begin"/>
      </w:r>
      <w:r>
        <w:instrText xml:space="preserve"> TOC \h \z \c "Table" </w:instrText>
      </w:r>
      <w:r>
        <w:fldChar w:fldCharType="separate"/>
      </w:r>
      <w:hyperlink w:anchor="_Toc338429895" w:history="1">
        <w:r w:rsidR="004778A7" w:rsidRPr="005B6814">
          <w:rPr>
            <w:rStyle w:val="Hyperlink"/>
            <w:b/>
            <w:noProof/>
          </w:rPr>
          <w:t>Table 1:</w:t>
        </w:r>
        <w:r w:rsidR="004778A7" w:rsidRPr="005B6814">
          <w:rPr>
            <w:rStyle w:val="Hyperlink"/>
            <w:noProof/>
          </w:rPr>
          <w:t xml:space="preserve"> A description of selected key parameters introduced in this paper</w:t>
        </w:r>
        <w:r w:rsidR="004778A7">
          <w:rPr>
            <w:noProof/>
            <w:webHidden/>
          </w:rPr>
          <w:tab/>
        </w:r>
        <w:r w:rsidR="004778A7">
          <w:rPr>
            <w:noProof/>
            <w:webHidden/>
          </w:rPr>
          <w:fldChar w:fldCharType="begin"/>
        </w:r>
        <w:r w:rsidR="004778A7">
          <w:rPr>
            <w:noProof/>
            <w:webHidden/>
          </w:rPr>
          <w:instrText xml:space="preserve"> PAGEREF _Toc338429895 \h </w:instrText>
        </w:r>
        <w:r w:rsidR="004778A7">
          <w:rPr>
            <w:noProof/>
            <w:webHidden/>
          </w:rPr>
        </w:r>
        <w:r w:rsidR="004778A7">
          <w:rPr>
            <w:noProof/>
            <w:webHidden/>
          </w:rPr>
          <w:fldChar w:fldCharType="separate"/>
        </w:r>
        <w:r w:rsidR="00CB090F">
          <w:rPr>
            <w:noProof/>
            <w:webHidden/>
          </w:rPr>
          <w:t>4</w:t>
        </w:r>
        <w:r w:rsidR="004778A7">
          <w:rPr>
            <w:noProof/>
            <w:webHidden/>
          </w:rPr>
          <w:fldChar w:fldCharType="end"/>
        </w:r>
      </w:hyperlink>
    </w:p>
    <w:p w:rsidR="004778A7" w:rsidRDefault="005E1338" w:rsidP="003166B9">
      <w:pPr>
        <w:pStyle w:val="TableofFigures"/>
        <w:tabs>
          <w:tab w:val="right" w:leader="dot" w:pos="9072"/>
        </w:tabs>
        <w:spacing w:after="120"/>
        <w:ind w:right="282"/>
        <w:rPr>
          <w:rFonts w:eastAsia="MS Mincho"/>
          <w:noProof/>
          <w:sz w:val="24"/>
          <w:szCs w:val="24"/>
          <w:lang w:eastAsia="ja-JP"/>
        </w:rPr>
      </w:pPr>
      <w:hyperlink w:anchor="_Toc338429896" w:history="1">
        <w:r w:rsidR="004778A7" w:rsidRPr="005B6814">
          <w:rPr>
            <w:rStyle w:val="Hyperlink"/>
            <w:b/>
            <w:noProof/>
          </w:rPr>
          <w:t>Table 2:</w:t>
        </w:r>
        <w:r w:rsidR="004778A7" w:rsidRPr="005B6814">
          <w:rPr>
            <w:rStyle w:val="Hyperlink"/>
            <w:noProof/>
          </w:rPr>
          <w:t xml:space="preserve">  List of earthquakes used in the present analysis</w:t>
        </w:r>
        <w:r w:rsidR="004778A7">
          <w:rPr>
            <w:noProof/>
            <w:webHidden/>
          </w:rPr>
          <w:tab/>
        </w:r>
        <w:r w:rsidR="004778A7">
          <w:rPr>
            <w:noProof/>
            <w:webHidden/>
          </w:rPr>
          <w:fldChar w:fldCharType="begin"/>
        </w:r>
        <w:r w:rsidR="004778A7">
          <w:rPr>
            <w:noProof/>
            <w:webHidden/>
          </w:rPr>
          <w:instrText xml:space="preserve"> PAGEREF _Toc338429896 \h </w:instrText>
        </w:r>
        <w:r w:rsidR="004778A7">
          <w:rPr>
            <w:noProof/>
            <w:webHidden/>
          </w:rPr>
        </w:r>
        <w:r w:rsidR="004778A7">
          <w:rPr>
            <w:noProof/>
            <w:webHidden/>
          </w:rPr>
          <w:fldChar w:fldCharType="separate"/>
        </w:r>
        <w:r w:rsidR="00CB090F">
          <w:rPr>
            <w:noProof/>
            <w:webHidden/>
          </w:rPr>
          <w:t>7</w:t>
        </w:r>
        <w:r w:rsidR="004778A7">
          <w:rPr>
            <w:noProof/>
            <w:webHidden/>
          </w:rPr>
          <w:fldChar w:fldCharType="end"/>
        </w:r>
      </w:hyperlink>
    </w:p>
    <w:p w:rsidR="004778A7" w:rsidRDefault="005E1338" w:rsidP="003166B9">
      <w:pPr>
        <w:pStyle w:val="TableofFigures"/>
        <w:tabs>
          <w:tab w:val="right" w:leader="dot" w:pos="9072"/>
        </w:tabs>
        <w:spacing w:after="120"/>
        <w:ind w:right="282"/>
        <w:rPr>
          <w:rFonts w:eastAsia="MS Mincho"/>
          <w:noProof/>
          <w:sz w:val="24"/>
          <w:szCs w:val="24"/>
          <w:lang w:eastAsia="ja-JP"/>
        </w:rPr>
      </w:pPr>
      <w:hyperlink w:anchor="_Toc338429897" w:history="1">
        <w:r w:rsidR="004778A7" w:rsidRPr="005B6814">
          <w:rPr>
            <w:rStyle w:val="Hyperlink"/>
            <w:b/>
            <w:noProof/>
          </w:rPr>
          <w:t>Table 3:</w:t>
        </w:r>
        <w:r w:rsidR="004778A7" w:rsidRPr="005B6814">
          <w:rPr>
            <w:rStyle w:val="Hyperlink"/>
            <w:noProof/>
          </w:rPr>
          <w:t xml:space="preserve">  Comparison of geometrical attenuation coefficients described in Equation 4 from the Allen et al. (2007) and p</w:t>
        </w:r>
        <w:r w:rsidR="004778A7">
          <w:rPr>
            <w:rStyle w:val="Hyperlink"/>
            <w:noProof/>
          </w:rPr>
          <w:t>resent study</w:t>
        </w:r>
        <w:r w:rsidR="004778A7">
          <w:rPr>
            <w:noProof/>
            <w:webHidden/>
          </w:rPr>
          <w:tab/>
        </w:r>
        <w:r w:rsidR="004778A7">
          <w:rPr>
            <w:noProof/>
            <w:webHidden/>
          </w:rPr>
          <w:fldChar w:fldCharType="begin"/>
        </w:r>
        <w:r w:rsidR="004778A7">
          <w:rPr>
            <w:noProof/>
            <w:webHidden/>
          </w:rPr>
          <w:instrText xml:space="preserve"> PAGEREF _Toc338429897 \h </w:instrText>
        </w:r>
        <w:r w:rsidR="004778A7">
          <w:rPr>
            <w:noProof/>
            <w:webHidden/>
          </w:rPr>
        </w:r>
        <w:r w:rsidR="004778A7">
          <w:rPr>
            <w:noProof/>
            <w:webHidden/>
          </w:rPr>
          <w:fldChar w:fldCharType="separate"/>
        </w:r>
        <w:r w:rsidR="00CB090F">
          <w:rPr>
            <w:noProof/>
            <w:webHidden/>
          </w:rPr>
          <w:t>14</w:t>
        </w:r>
        <w:r w:rsidR="004778A7">
          <w:rPr>
            <w:noProof/>
            <w:webHidden/>
          </w:rPr>
          <w:fldChar w:fldCharType="end"/>
        </w:r>
      </w:hyperlink>
    </w:p>
    <w:p w:rsidR="004778A7" w:rsidRDefault="005E1338" w:rsidP="003166B9">
      <w:pPr>
        <w:pStyle w:val="TableofFigures"/>
        <w:tabs>
          <w:tab w:val="right" w:leader="dot" w:pos="9072"/>
        </w:tabs>
        <w:spacing w:after="120"/>
        <w:ind w:right="282"/>
        <w:rPr>
          <w:rFonts w:eastAsia="MS Mincho"/>
          <w:noProof/>
          <w:sz w:val="24"/>
          <w:szCs w:val="24"/>
          <w:lang w:eastAsia="ja-JP"/>
        </w:rPr>
      </w:pPr>
      <w:hyperlink w:anchor="_Toc338429898" w:history="1">
        <w:r w:rsidR="004778A7" w:rsidRPr="005B6814">
          <w:rPr>
            <w:rStyle w:val="Hyperlink"/>
            <w:b/>
            <w:noProof/>
          </w:rPr>
          <w:t>Table 4:</w:t>
        </w:r>
        <w:r w:rsidR="004778A7" w:rsidRPr="005B6814">
          <w:rPr>
            <w:rStyle w:val="Hyperlink"/>
            <w:noProof/>
          </w:rPr>
          <w:t xml:space="preserve">  Site amplification factors used for typical rock sites in southeastern Australia (SEA) as used in the stochastic simulation</w:t>
        </w:r>
        <w:r w:rsidR="002E034A">
          <w:rPr>
            <w:rStyle w:val="Hyperlink"/>
            <w:noProof/>
          </w:rPr>
          <w:t>.</w:t>
        </w:r>
        <w:r w:rsidR="004778A7" w:rsidRPr="005B6814">
          <w:rPr>
            <w:rStyle w:val="Hyperlink"/>
            <w:noProof/>
          </w:rPr>
          <w:t xml:space="preserve"> The amplification factors used in the Atkinson and Boore (2006) GMPE for eastern North American rock sites are shown for comparison</w:t>
        </w:r>
        <w:r w:rsidR="004778A7">
          <w:rPr>
            <w:noProof/>
            <w:webHidden/>
          </w:rPr>
          <w:tab/>
        </w:r>
        <w:r w:rsidR="004778A7">
          <w:rPr>
            <w:noProof/>
            <w:webHidden/>
          </w:rPr>
          <w:fldChar w:fldCharType="begin"/>
        </w:r>
        <w:r w:rsidR="004778A7">
          <w:rPr>
            <w:noProof/>
            <w:webHidden/>
          </w:rPr>
          <w:instrText xml:space="preserve"> PAGEREF _Toc338429898 \h </w:instrText>
        </w:r>
        <w:r w:rsidR="004778A7">
          <w:rPr>
            <w:noProof/>
            <w:webHidden/>
          </w:rPr>
        </w:r>
        <w:r w:rsidR="004778A7">
          <w:rPr>
            <w:noProof/>
            <w:webHidden/>
          </w:rPr>
          <w:fldChar w:fldCharType="separate"/>
        </w:r>
        <w:r w:rsidR="00CB090F">
          <w:rPr>
            <w:noProof/>
            <w:webHidden/>
          </w:rPr>
          <w:t>28</w:t>
        </w:r>
        <w:r w:rsidR="004778A7">
          <w:rPr>
            <w:noProof/>
            <w:webHidden/>
          </w:rPr>
          <w:fldChar w:fldCharType="end"/>
        </w:r>
      </w:hyperlink>
    </w:p>
    <w:p w:rsidR="004778A7" w:rsidRDefault="005E1338" w:rsidP="003166B9">
      <w:pPr>
        <w:pStyle w:val="TableofFigures"/>
        <w:tabs>
          <w:tab w:val="right" w:leader="dot" w:pos="9072"/>
        </w:tabs>
        <w:spacing w:after="120"/>
        <w:ind w:right="282"/>
        <w:rPr>
          <w:rFonts w:eastAsia="MS Mincho"/>
          <w:noProof/>
          <w:sz w:val="24"/>
          <w:szCs w:val="24"/>
          <w:lang w:eastAsia="ja-JP"/>
        </w:rPr>
      </w:pPr>
      <w:hyperlink w:anchor="_Toc338429899" w:history="1">
        <w:r w:rsidR="004778A7" w:rsidRPr="005B6814">
          <w:rPr>
            <w:rStyle w:val="Hyperlink"/>
            <w:b/>
            <w:noProof/>
          </w:rPr>
          <w:t xml:space="preserve">Table 5: </w:t>
        </w:r>
        <w:r w:rsidR="004778A7" w:rsidRPr="005B6814">
          <w:rPr>
            <w:rStyle w:val="Hyperlink"/>
            <w:noProof/>
          </w:rPr>
          <w:t xml:space="preserve">Mean parameter values for SEA ground-motion simulations with EXSIM </w:t>
        </w:r>
        <w:r w:rsidR="004778A7" w:rsidRPr="005B6814">
          <w:rPr>
            <w:rStyle w:val="Hyperlink"/>
            <w:rFonts w:ascii="Times-Roman" w:hAnsi="Times-Roman" w:cs="Times-Roman"/>
            <w:noProof/>
          </w:rPr>
          <w:t>for shallow- and deep-earthquake models</w:t>
        </w:r>
        <w:r w:rsidR="004778A7" w:rsidRPr="005B6814">
          <w:rPr>
            <w:rStyle w:val="Hyperlink"/>
            <w:noProof/>
          </w:rPr>
          <w:t>.</w:t>
        </w:r>
        <w:r w:rsidR="004778A7">
          <w:rPr>
            <w:noProof/>
            <w:webHidden/>
          </w:rPr>
          <w:tab/>
        </w:r>
        <w:r w:rsidR="004778A7">
          <w:rPr>
            <w:noProof/>
            <w:webHidden/>
          </w:rPr>
          <w:fldChar w:fldCharType="begin"/>
        </w:r>
        <w:r w:rsidR="004778A7">
          <w:rPr>
            <w:noProof/>
            <w:webHidden/>
          </w:rPr>
          <w:instrText xml:space="preserve"> PAGEREF _Toc338429899 \h </w:instrText>
        </w:r>
        <w:r w:rsidR="004778A7">
          <w:rPr>
            <w:noProof/>
            <w:webHidden/>
          </w:rPr>
        </w:r>
        <w:r w:rsidR="004778A7">
          <w:rPr>
            <w:noProof/>
            <w:webHidden/>
          </w:rPr>
          <w:fldChar w:fldCharType="separate"/>
        </w:r>
        <w:r w:rsidR="00CB090F">
          <w:rPr>
            <w:noProof/>
            <w:webHidden/>
          </w:rPr>
          <w:t>29</w:t>
        </w:r>
        <w:r w:rsidR="004778A7">
          <w:rPr>
            <w:noProof/>
            <w:webHidden/>
          </w:rPr>
          <w:fldChar w:fldCharType="end"/>
        </w:r>
      </w:hyperlink>
    </w:p>
    <w:p w:rsidR="004778A7" w:rsidRDefault="005E1338" w:rsidP="003166B9">
      <w:pPr>
        <w:pStyle w:val="TableofFigures"/>
        <w:tabs>
          <w:tab w:val="right" w:leader="dot" w:pos="9072"/>
        </w:tabs>
        <w:spacing w:after="120"/>
        <w:ind w:right="282"/>
        <w:rPr>
          <w:rFonts w:eastAsia="MS Mincho"/>
          <w:noProof/>
          <w:sz w:val="24"/>
          <w:szCs w:val="24"/>
          <w:lang w:eastAsia="ja-JP"/>
        </w:rPr>
      </w:pPr>
      <w:hyperlink w:anchor="_Toc338429900" w:history="1">
        <w:r w:rsidR="004778A7" w:rsidRPr="005B6814">
          <w:rPr>
            <w:rStyle w:val="Hyperlink"/>
            <w:b/>
            <w:noProof/>
          </w:rPr>
          <w:t>Table 6:</w:t>
        </w:r>
        <w:r w:rsidR="004778A7" w:rsidRPr="005B6814">
          <w:rPr>
            <w:rStyle w:val="Hyperlink"/>
            <w:noProof/>
          </w:rPr>
          <w:t xml:space="preserve"> </w:t>
        </w:r>
        <w:r w:rsidR="004778A7" w:rsidRPr="005B6814">
          <w:rPr>
            <w:rStyle w:val="Hyperlink"/>
            <w:rFonts w:ascii="Times-Roman" w:hAnsi="Times-Roman" w:cs="Times-Roman"/>
            <w:noProof/>
          </w:rPr>
          <w:t>Aleatory uncertainty (variability) in key model parameters using normal distribution for shallow- and deep-earthquake models.</w:t>
        </w:r>
        <w:r w:rsidR="004778A7">
          <w:rPr>
            <w:noProof/>
            <w:webHidden/>
          </w:rPr>
          <w:tab/>
        </w:r>
        <w:r w:rsidR="004778A7">
          <w:rPr>
            <w:noProof/>
            <w:webHidden/>
          </w:rPr>
          <w:fldChar w:fldCharType="begin"/>
        </w:r>
        <w:r w:rsidR="004778A7">
          <w:rPr>
            <w:noProof/>
            <w:webHidden/>
          </w:rPr>
          <w:instrText xml:space="preserve"> PAGEREF _Toc338429900 \h </w:instrText>
        </w:r>
        <w:r w:rsidR="004778A7">
          <w:rPr>
            <w:noProof/>
            <w:webHidden/>
          </w:rPr>
        </w:r>
        <w:r w:rsidR="004778A7">
          <w:rPr>
            <w:noProof/>
            <w:webHidden/>
          </w:rPr>
          <w:fldChar w:fldCharType="separate"/>
        </w:r>
        <w:r w:rsidR="00CB090F">
          <w:rPr>
            <w:noProof/>
            <w:webHidden/>
          </w:rPr>
          <w:t>29</w:t>
        </w:r>
        <w:r w:rsidR="004778A7">
          <w:rPr>
            <w:noProof/>
            <w:webHidden/>
          </w:rPr>
          <w:fldChar w:fldCharType="end"/>
        </w:r>
      </w:hyperlink>
    </w:p>
    <w:p w:rsidR="004778A7" w:rsidRDefault="005E1338" w:rsidP="003166B9">
      <w:pPr>
        <w:pStyle w:val="TableofFigures"/>
        <w:tabs>
          <w:tab w:val="right" w:leader="dot" w:pos="9072"/>
        </w:tabs>
        <w:spacing w:after="120"/>
        <w:ind w:right="282"/>
        <w:rPr>
          <w:rFonts w:eastAsia="MS Mincho"/>
          <w:noProof/>
          <w:sz w:val="24"/>
          <w:szCs w:val="24"/>
          <w:lang w:eastAsia="ja-JP"/>
        </w:rPr>
      </w:pPr>
      <w:hyperlink w:anchor="_Toc338429901" w:history="1">
        <w:r w:rsidR="004778A7" w:rsidRPr="005B6814">
          <w:rPr>
            <w:rStyle w:val="Hyperlink"/>
            <w:b/>
            <w:noProof/>
          </w:rPr>
          <w:t>Table 7:</w:t>
        </w:r>
        <w:r w:rsidR="004778A7" w:rsidRPr="005B6814">
          <w:rPr>
            <w:rStyle w:val="Hyperlink"/>
            <w:noProof/>
          </w:rPr>
          <w:t xml:space="preserve"> Coefficients for predicting 5% damped PSA for median horizontal component ground motions for shallow (h &lt; 10 km) earthquakes for average SEA site condition</w:t>
        </w:r>
        <w:r w:rsidR="004778A7">
          <w:rPr>
            <w:noProof/>
            <w:webHidden/>
          </w:rPr>
          <w:tab/>
        </w:r>
        <w:r w:rsidR="004778A7">
          <w:rPr>
            <w:noProof/>
            <w:webHidden/>
          </w:rPr>
          <w:fldChar w:fldCharType="begin"/>
        </w:r>
        <w:r w:rsidR="004778A7">
          <w:rPr>
            <w:noProof/>
            <w:webHidden/>
          </w:rPr>
          <w:instrText xml:space="preserve"> PAGEREF _Toc338429901 \h </w:instrText>
        </w:r>
        <w:r w:rsidR="004778A7">
          <w:rPr>
            <w:noProof/>
            <w:webHidden/>
          </w:rPr>
        </w:r>
        <w:r w:rsidR="004778A7">
          <w:rPr>
            <w:noProof/>
            <w:webHidden/>
          </w:rPr>
          <w:fldChar w:fldCharType="separate"/>
        </w:r>
        <w:r w:rsidR="00CB090F">
          <w:rPr>
            <w:noProof/>
            <w:webHidden/>
          </w:rPr>
          <w:t>35</w:t>
        </w:r>
        <w:r w:rsidR="004778A7">
          <w:rPr>
            <w:noProof/>
            <w:webHidden/>
          </w:rPr>
          <w:fldChar w:fldCharType="end"/>
        </w:r>
      </w:hyperlink>
    </w:p>
    <w:p w:rsidR="004778A7" w:rsidRDefault="005E1338" w:rsidP="003166B9">
      <w:pPr>
        <w:pStyle w:val="TableofFigures"/>
        <w:tabs>
          <w:tab w:val="right" w:leader="dot" w:pos="9072"/>
        </w:tabs>
        <w:spacing w:after="120"/>
        <w:ind w:right="282"/>
        <w:rPr>
          <w:rFonts w:eastAsia="MS Mincho"/>
          <w:noProof/>
          <w:sz w:val="24"/>
          <w:szCs w:val="24"/>
          <w:lang w:eastAsia="ja-JP"/>
        </w:rPr>
      </w:pPr>
      <w:hyperlink w:anchor="_Toc338429902" w:history="1">
        <w:r w:rsidR="004778A7" w:rsidRPr="005B6814">
          <w:rPr>
            <w:rStyle w:val="Hyperlink"/>
            <w:b/>
            <w:noProof/>
          </w:rPr>
          <w:t>Table 8:</w:t>
        </w:r>
        <w:r w:rsidR="004778A7" w:rsidRPr="005B6814">
          <w:rPr>
            <w:rStyle w:val="Hyperlink"/>
            <w:noProof/>
          </w:rPr>
          <w:t xml:space="preserve">  Coefficients for predicting 5% damped PSA for median horizontal component ground motions for deep (h </w:t>
        </w:r>
        <w:r w:rsidR="004778A7" w:rsidRPr="005B6814">
          <w:rPr>
            <w:rStyle w:val="Hyperlink"/>
            <w:noProof/>
          </w:rPr>
          <w:sym w:font="Symbol" w:char="F0B3"/>
        </w:r>
        <w:r w:rsidR="004778A7" w:rsidRPr="005B6814">
          <w:rPr>
            <w:rStyle w:val="Hyperlink"/>
            <w:noProof/>
          </w:rPr>
          <w:t xml:space="preserve"> 10 km) earthquakes for average SEA site conditions</w:t>
        </w:r>
        <w:r w:rsidR="004778A7">
          <w:rPr>
            <w:noProof/>
            <w:webHidden/>
          </w:rPr>
          <w:tab/>
        </w:r>
        <w:r w:rsidR="004778A7">
          <w:rPr>
            <w:noProof/>
            <w:webHidden/>
          </w:rPr>
          <w:fldChar w:fldCharType="begin"/>
        </w:r>
        <w:r w:rsidR="004778A7">
          <w:rPr>
            <w:noProof/>
            <w:webHidden/>
          </w:rPr>
          <w:instrText xml:space="preserve"> PAGEREF _Toc338429902 \h </w:instrText>
        </w:r>
        <w:r w:rsidR="004778A7">
          <w:rPr>
            <w:noProof/>
            <w:webHidden/>
          </w:rPr>
        </w:r>
        <w:r w:rsidR="004778A7">
          <w:rPr>
            <w:noProof/>
            <w:webHidden/>
          </w:rPr>
          <w:fldChar w:fldCharType="separate"/>
        </w:r>
        <w:r w:rsidR="00CB090F">
          <w:rPr>
            <w:noProof/>
            <w:webHidden/>
          </w:rPr>
          <w:t>36</w:t>
        </w:r>
        <w:r w:rsidR="004778A7">
          <w:rPr>
            <w:noProof/>
            <w:webHidden/>
          </w:rPr>
          <w:fldChar w:fldCharType="end"/>
        </w:r>
      </w:hyperlink>
    </w:p>
    <w:p w:rsidR="00ED3EA1" w:rsidRPr="00ED3EA1" w:rsidRDefault="00922CFD" w:rsidP="003166B9">
      <w:pPr>
        <w:tabs>
          <w:tab w:val="right" w:leader="dot" w:pos="9072"/>
        </w:tabs>
        <w:ind w:right="282"/>
      </w:pPr>
      <w:r>
        <w:fldChar w:fldCharType="end"/>
      </w:r>
    </w:p>
    <w:p w:rsidR="00ED3EA1" w:rsidRPr="00ED3EA1" w:rsidRDefault="00ED3EA1" w:rsidP="00ED3EA1"/>
    <w:p w:rsidR="00ED3EA1" w:rsidRPr="00ED3EA1" w:rsidRDefault="00ED3EA1" w:rsidP="00ED3EA1"/>
    <w:p w:rsidR="00927A50" w:rsidRDefault="0030259D" w:rsidP="00ED3EA1">
      <w:pPr>
        <w:pStyle w:val="Heading1"/>
      </w:pPr>
      <w:r w:rsidRPr="00ED3EA1">
        <w:br w:type="page"/>
      </w:r>
      <w:bookmarkStart w:id="27" w:name="_Toc319918547"/>
      <w:bookmarkStart w:id="28" w:name="_Toc319918816"/>
      <w:bookmarkStart w:id="29" w:name="_Toc338429185"/>
      <w:bookmarkStart w:id="30" w:name="_Toc349112527"/>
      <w:r w:rsidR="00927A50">
        <w:lastRenderedPageBreak/>
        <w:t>Executive Summary</w:t>
      </w:r>
      <w:bookmarkEnd w:id="25"/>
      <w:bookmarkEnd w:id="26"/>
      <w:bookmarkEnd w:id="27"/>
      <w:bookmarkEnd w:id="28"/>
      <w:bookmarkEnd w:id="29"/>
      <w:bookmarkEnd w:id="30"/>
    </w:p>
    <w:p w:rsidR="00B2522A" w:rsidRDefault="00B2522A" w:rsidP="00B2522A">
      <w:pPr>
        <w:pStyle w:val="BodyText"/>
      </w:pPr>
      <w:r>
        <w:t xml:space="preserve">Stochastic finite-fault ground-motion prediction equations (GMPEs) are developed for the stable continental region of southeastern Australia (SEA). </w:t>
      </w:r>
      <w:r w:rsidR="00D57847">
        <w:t xml:space="preserve">The models are based on reinterpreted source and attenuation parameters for small-to-moderate </w:t>
      </w:r>
      <w:r w:rsidR="009B4BDF">
        <w:t xml:space="preserve">magnitude </w:t>
      </w:r>
      <w:r w:rsidR="00D57847">
        <w:t xml:space="preserve">local earthquakes and a dataset augmented with ground-motion records from recent </w:t>
      </w:r>
      <w:r w:rsidR="00864974">
        <w:t xml:space="preserve">well-recorded moderate-magnitude </w:t>
      </w:r>
      <w:r w:rsidR="00D57847">
        <w:t>earthquakes</w:t>
      </w:r>
      <w:r w:rsidR="00864974">
        <w:t xml:space="preserve"> relative to those used in prior studies (Allen </w:t>
      </w:r>
      <w:r w:rsidR="00864974" w:rsidRPr="00332AA7">
        <w:rPr>
          <w:rStyle w:val="Bodytextitalic"/>
        </w:rPr>
        <w:t>et al</w:t>
      </w:r>
      <w:r w:rsidR="00864974">
        <w:t>., 2007)</w:t>
      </w:r>
      <w:r w:rsidR="00D57847">
        <w:t xml:space="preserve">.  </w:t>
      </w:r>
      <w:r>
        <w:t xml:space="preserve">The models are applicable </w:t>
      </w:r>
      <w:r w:rsidR="00864974">
        <w:t>for median</w:t>
      </w:r>
      <w:r w:rsidR="009B4BDF">
        <w:t xml:space="preserve"> </w:t>
      </w:r>
      <w:r>
        <w:t>horizontal-component ground</w:t>
      </w:r>
      <w:r w:rsidR="009B4BDF">
        <w:t>-</w:t>
      </w:r>
      <w:r>
        <w:t>motions for earthquakes</w:t>
      </w:r>
      <w:r w:rsidR="00A50B7E">
        <w:t xml:space="preserve"> of moment magnitude</w:t>
      </w:r>
      <w:r>
        <w:t xml:space="preserve"> 4.0 &lt;= </w:t>
      </w:r>
      <w:r w:rsidRPr="00332AA7">
        <w:rPr>
          <w:rStyle w:val="Bodytextitalic"/>
        </w:rPr>
        <w:t>M</w:t>
      </w:r>
      <w:r w:rsidRPr="00172353">
        <w:rPr>
          <w:rStyle w:val="Subscriptitalic"/>
        </w:rPr>
        <w:t>W</w:t>
      </w:r>
      <w:r w:rsidRPr="00332AA7">
        <w:rPr>
          <w:rStyle w:val="Bodytextitalic"/>
        </w:rPr>
        <w:t xml:space="preserve"> </w:t>
      </w:r>
      <w:r>
        <w:t xml:space="preserve">&lt;= 7.5 and </w:t>
      </w:r>
      <w:r w:rsidR="009B4BDF">
        <w:t xml:space="preserve">at </w:t>
      </w:r>
      <w:r w:rsidR="000F5E36">
        <w:t xml:space="preserve">rupture </w:t>
      </w:r>
      <w:r>
        <w:t>distances less than 400</w:t>
      </w:r>
      <w:r w:rsidR="00DC313D">
        <w:t xml:space="preserve"> </w:t>
      </w:r>
      <w:r>
        <w:t xml:space="preserve">km. </w:t>
      </w:r>
    </w:p>
    <w:p w:rsidR="00B2522A" w:rsidRDefault="00B2522A" w:rsidP="00B2522A">
      <w:pPr>
        <w:pStyle w:val="BodyText"/>
      </w:pPr>
      <w:r>
        <w:t xml:space="preserve">Careful analysis of well-constrained </w:t>
      </w:r>
      <w:r w:rsidR="000F5E36">
        <w:t xml:space="preserve">Brune </w:t>
      </w:r>
      <w:r>
        <w:t xml:space="preserve">stress </w:t>
      </w:r>
      <w:r w:rsidR="000F5E36">
        <w:t xml:space="preserve">drops </w:t>
      </w:r>
      <w:r>
        <w:t>indicates a</w:t>
      </w:r>
      <w:r w:rsidR="00905C65">
        <w:t>n apparent</w:t>
      </w:r>
      <w:r>
        <w:t xml:space="preserve"> dependence on hypocentral depth. It is speculated that this is the effect of an increasing crustal stress profile with depth. However, rather than a continuous increase, the change in stress </w:t>
      </w:r>
      <w:r w:rsidR="000F5E36">
        <w:t xml:space="preserve">drop </w:t>
      </w:r>
      <w:r>
        <w:t xml:space="preserve">appears to indicate a discrete step near 10 km depth. Average </w:t>
      </w:r>
      <w:r w:rsidR="000F5E36">
        <w:t xml:space="preserve">Brune </w:t>
      </w:r>
      <w:r>
        <w:t xml:space="preserve">stress </w:t>
      </w:r>
      <w:r w:rsidR="000F5E36">
        <w:t xml:space="preserve">drops </w:t>
      </w:r>
      <w:r>
        <w:t xml:space="preserve">for SEA earthquakes shallower and deeper than 10 km are estimated to be 23 MPa and 50 MPa, respectively. These stress parameters are </w:t>
      </w:r>
      <w:r w:rsidR="000F5E36">
        <w:t xml:space="preserve">subsequently </w:t>
      </w:r>
      <w:r>
        <w:t>input into the stochastic ground-motion simulations for the development of two discrete GMPEs for shallow and deep events.</w:t>
      </w:r>
    </w:p>
    <w:p w:rsidR="00B2522A" w:rsidRDefault="00B2522A" w:rsidP="00B2522A">
      <w:pPr>
        <w:pStyle w:val="BodyText"/>
      </w:pPr>
      <w:r>
        <w:t xml:space="preserve">The GMPEs estimate response spectral accelerations </w:t>
      </w:r>
      <w:r w:rsidR="00870F93">
        <w:t xml:space="preserve">that are </w:t>
      </w:r>
      <w:r w:rsidR="00864974">
        <w:t xml:space="preserve">similar </w:t>
      </w:r>
      <w:r>
        <w:t xml:space="preserve">to the Atkinson and Boore (2006) GMPE for eastern North America (ENA) at short rupture distances (less than approximately 100 km). However, owing to higher attenuation observed in the SEA crust (Allen and Atkinson, 2007), the SEA GMPEs estimate lower </w:t>
      </w:r>
      <w:r w:rsidR="00E239F0">
        <w:t xml:space="preserve">median </w:t>
      </w:r>
      <w:r>
        <w:t>ground-motions than ENA models at larger distances</w:t>
      </w:r>
      <w:r w:rsidR="00864974">
        <w:t>.  These differences become most obvious at distances greater than 200 km</w:t>
      </w:r>
      <w:r>
        <w:t>.</w:t>
      </w:r>
    </w:p>
    <w:p w:rsidR="00057389" w:rsidRDefault="00057389" w:rsidP="00B2522A">
      <w:pPr>
        <w:pStyle w:val="BodyText"/>
      </w:pPr>
      <w:r>
        <w:rPr>
          <w:lang w:val="en-US"/>
        </w:rPr>
        <w:t xml:space="preserve">A correlation between measured </w:t>
      </w:r>
      <w:r w:rsidR="00864974">
        <w:rPr>
          <w:lang w:val="en-US"/>
        </w:rPr>
        <w:t>near-surface shear-wave velocity</w:t>
      </w:r>
      <w:r w:rsidR="00572EBF">
        <w:rPr>
          <w:lang w:val="en-US"/>
        </w:rPr>
        <w:t>, defined as the time-averaged shear-wave velocity in the top 30 m of the site profile</w:t>
      </w:r>
      <w:r w:rsidR="00864974">
        <w:rPr>
          <w:lang w:val="en-US"/>
        </w:rPr>
        <w:t xml:space="preserve"> (</w:t>
      </w:r>
      <w:r w:rsidR="00172353" w:rsidRPr="00332AA7">
        <w:rPr>
          <w:rStyle w:val="Bodytextitalic"/>
        </w:rPr>
        <w:t>V</w:t>
      </w:r>
      <w:r w:rsidR="00172353" w:rsidRPr="00172353">
        <w:rPr>
          <w:rStyle w:val="Subscriptitalic"/>
        </w:rPr>
        <w:t>S30</w:t>
      </w:r>
      <w:r w:rsidR="00864974">
        <w:t>)</w:t>
      </w:r>
      <w:r w:rsidR="00572EBF">
        <w:t>,</w:t>
      </w:r>
      <w:r>
        <w:t xml:space="preserve"> and </w:t>
      </w:r>
      <w:r w:rsidR="00864974">
        <w:t>the site-dependent diminution term (</w:t>
      </w:r>
      <w:r w:rsidRPr="00332AA7">
        <w:rPr>
          <w:rStyle w:val="Bodytextitalic"/>
        </w:rPr>
        <w:t>κ</w:t>
      </w:r>
      <w:r w:rsidRPr="00632C3C">
        <w:rPr>
          <w:vertAlign w:val="subscript"/>
        </w:rPr>
        <w:t>0</w:t>
      </w:r>
      <w:r w:rsidR="00864974">
        <w:t>)</w:t>
      </w:r>
      <w:r>
        <w:t xml:space="preserve"> was developed from the limited data available to determine the average site condition to which the GMPEs are applicable.  </w:t>
      </w:r>
      <w:r>
        <w:rPr>
          <w:lang w:val="en-US"/>
        </w:rPr>
        <w:t xml:space="preserve">Assuming the correlation holds, a </w:t>
      </w:r>
      <w:r w:rsidR="00172353" w:rsidRPr="00332AA7">
        <w:rPr>
          <w:rStyle w:val="Bodytextitalic"/>
        </w:rPr>
        <w:t>V</w:t>
      </w:r>
      <w:r w:rsidR="00172353" w:rsidRPr="00172353">
        <w:rPr>
          <w:rStyle w:val="Subscriptitalic"/>
        </w:rPr>
        <w:t>S30</w:t>
      </w:r>
      <w:r w:rsidR="00172353">
        <w:t xml:space="preserve"> </w:t>
      </w:r>
      <w:r>
        <w:t xml:space="preserve">of approximately 820 m/s is obtained assuming an average path-independent diminution term </w:t>
      </w:r>
      <w:r w:rsidRPr="00332AA7">
        <w:rPr>
          <w:rStyle w:val="Bodytextitalic"/>
        </w:rPr>
        <w:t>κ</w:t>
      </w:r>
      <w:r w:rsidRPr="00632C3C">
        <w:rPr>
          <w:vertAlign w:val="subscript"/>
        </w:rPr>
        <w:t>0</w:t>
      </w:r>
      <w:r>
        <w:t xml:space="preserve"> of 0.006 s from </w:t>
      </w:r>
      <w:r w:rsidR="009B4BDF">
        <w:t>SEA</w:t>
      </w:r>
      <w:r>
        <w:t xml:space="preserve"> seismic stations.  Consequently, the GMPE presented herein can be assumed to be appropriate for rock sites of </w:t>
      </w:r>
      <w:r w:rsidR="00E239F0">
        <w:t>approximately</w:t>
      </w:r>
      <w:r>
        <w:t xml:space="preserve"> B</w:t>
      </w:r>
      <w:r w:rsidR="00E239F0">
        <w:t>/</w:t>
      </w:r>
      <w:r>
        <w:t xml:space="preserve">C site class in the </w:t>
      </w:r>
      <w:r w:rsidR="00445C20">
        <w:t xml:space="preserve">modified </w:t>
      </w:r>
      <w:r w:rsidR="00A4373B" w:rsidRPr="00A4373B">
        <w:rPr>
          <w:bCs/>
        </w:rPr>
        <w:t>National Earthquake Hazards Reduction Program</w:t>
      </w:r>
      <w:r w:rsidR="00A4373B">
        <w:rPr>
          <w:bCs/>
        </w:rPr>
        <w:t xml:space="preserve"> </w:t>
      </w:r>
      <w:r w:rsidR="00445C20">
        <w:fldChar w:fldCharType="begin"/>
      </w:r>
      <w:r w:rsidR="00F202D0">
        <w:instrText xml:space="preserve"> ADDIN EN.CITE &lt;EndNote&gt;&lt;Cite&gt;&lt;Author&gt;Wills&lt;/Author&gt;&lt;Year&gt;2000&lt;/Year&gt;&lt;RecNum&gt;19&lt;/RecNum&gt;&lt;record&gt;&lt;rec-number&gt;19&lt;/rec-number&gt;&lt;foreign-keys&gt;&lt;key app="EN" db-id="se5z02d5txder3eax2p5wz5j59zvz2tdzdd2"&gt;19&lt;/key&gt;&lt;/foreign-keys&gt;&lt;ref-type name="Journal Article"&gt;17&lt;/ref-type&gt;&lt;contributors&gt;&lt;authors&gt;&lt;author&gt;Wills, C. J. &lt;/author&gt;&lt;author&gt;Petersen, M.&lt;/author&gt;&lt;author&gt;Bryant, W. A. &lt;/author&gt;&lt;author&gt;Reichle, M.&lt;/author&gt;&lt;author&gt;Saucedo, G. J.&lt;/author&gt;&lt;author&gt;Tan, S.&lt;/author&gt;&lt;author&gt;Taylor, G.&lt;/author&gt;&lt;author&gt;Treiman, J.&lt;/author&gt;&lt;/authors&gt;&lt;/contributors&gt;&lt;titles&gt;&lt;title&gt;A site-conditions map for California based on geology and shear-wave velocity&lt;/title&gt;&lt;secondary-title&gt;Bull. Seism. Soc. Am.&lt;/secondary-title&gt;&lt;/titles&gt;&lt;periodical&gt;&lt;full-title&gt;Bull. Seism. Soc. Am.&lt;/full-title&gt;&lt;/periodical&gt;&lt;pages&gt;S187–S208&lt;/pages&gt;&lt;volume&gt;90&lt;/volume&gt;&lt;number&gt;6B&lt;/number&gt;&lt;keywords&gt;&lt;keyword&gt;California site class, NEHRP&lt;/keyword&gt;&lt;/keywords&gt;&lt;dates&gt;&lt;year&gt;2000&lt;/year&gt;&lt;/dates&gt;&lt;urls&gt;&lt;pdf-urls&gt;&lt;url&gt;internal-pdf://Wills_etal.2000.CA_site_classes-1092864768/Wills_etal.2000.CA_site_classes.pdf&lt;/url&gt;&lt;/pdf-urls&gt;&lt;/urls&gt;&lt;/record&gt;&lt;/Cite&gt;&lt;Cite&gt;&lt;Author&gt;Building Seismic Safety Council&lt;/Author&gt;&lt;Year&gt;2003&lt;/Year&gt;&lt;RecNum&gt;28&lt;/RecNum&gt;&lt;record&gt;&lt;rec-number&gt;28&lt;/rec-number&gt;&lt;foreign-keys&gt;&lt;key app='EN' db-id='se5z02d5txder3eax2p5wz5j59zvz2tdzdd2'&gt;28&lt;/key&gt;&lt;/foreign-keys&gt;&lt;ref-type name='Report'&gt;27&lt;/ref-type&gt;&lt;contributors&gt;&lt;authors&gt;&lt;author&gt;Building Seismic Safety Council,&lt;/author&gt;&lt;/authors&gt;&lt;/contributors&gt;&lt;titles&gt;&lt;title&gt;NEHRP Recommended Provisions for seismic regulations for new buildings and other structures, 2003 edition&lt;/title&gt;&lt;/titles&gt;&lt;pages&gt;338&lt;/pages&gt;&lt;dates&gt;&lt;year&gt;2003&lt;/year&gt;&lt;/dates&gt;&lt;pub-location&gt;Washington, D.C.&lt;/pub-location&gt;&lt;publisher&gt;Federal Emergency Management Agency 450&lt;/publisher&gt;&lt;urls&gt;&lt;pdf-urls&gt;&lt;url&gt;internal-pdf://fema450provisions-3951166218/fema450provisions.pdf&lt;/url&gt;&lt;/pdf-urls&gt;&lt;/urls&gt;&lt;/record&gt;&lt;/Cite&gt;&lt;/EndNote&gt;</w:instrText>
      </w:r>
      <w:r w:rsidR="00445C20">
        <w:fldChar w:fldCharType="separate"/>
      </w:r>
      <w:r w:rsidR="00445C20">
        <w:t>(Wills</w:t>
      </w:r>
      <w:r w:rsidR="00445C20" w:rsidRPr="00445C20">
        <w:rPr>
          <w:i/>
        </w:rPr>
        <w:t xml:space="preserve"> et al.</w:t>
      </w:r>
      <w:r w:rsidR="00445C20">
        <w:t>, 2000; Building Seismic Safety Council, 2003)</w:t>
      </w:r>
      <w:r w:rsidR="00445C20">
        <w:fldChar w:fldCharType="end"/>
      </w:r>
      <w:r>
        <w:t xml:space="preserve"> site classification scheme.</w:t>
      </w:r>
    </w:p>
    <w:p w:rsidR="00B2522A" w:rsidRPr="00332AA7" w:rsidRDefault="00B2522A" w:rsidP="00B2522A">
      <w:pPr>
        <w:pStyle w:val="BodyText"/>
      </w:pPr>
      <w:r>
        <w:t xml:space="preserve">The response spectral models are </w:t>
      </w:r>
      <w:r w:rsidR="00864974">
        <w:t xml:space="preserve">compared </w:t>
      </w:r>
      <w:r>
        <w:t>a</w:t>
      </w:r>
      <w:smartTag w:uri="urn:schemas-microsoft-com:office:smarttags" w:element="PersonName">
        <w:r>
          <w:t>ga</w:t>
        </w:r>
      </w:smartTag>
      <w:r>
        <w:t>inst moderate-</w:t>
      </w:r>
      <w:r w:rsidRPr="002572A5">
        <w:t>magnitude</w:t>
      </w:r>
      <w:r>
        <w:t xml:space="preserve"> </w:t>
      </w:r>
      <w:r w:rsidR="009B4BDF">
        <w:t>(</w:t>
      </w:r>
      <w:r>
        <w:t xml:space="preserve">4.0 &lt;= </w:t>
      </w:r>
      <w:r w:rsidRPr="00332AA7">
        <w:rPr>
          <w:rStyle w:val="Bodytextitalic"/>
        </w:rPr>
        <w:t>M</w:t>
      </w:r>
      <w:r w:rsidRPr="00172353">
        <w:rPr>
          <w:rStyle w:val="Subscriptitalic"/>
        </w:rPr>
        <w:t>W</w:t>
      </w:r>
      <w:r w:rsidRPr="00332AA7">
        <w:rPr>
          <w:rStyle w:val="Bodytextitalic"/>
        </w:rPr>
        <w:t xml:space="preserve"> </w:t>
      </w:r>
      <w:r>
        <w:t>&lt;= 5.3</w:t>
      </w:r>
      <w:r w:rsidR="009B4BDF">
        <w:t xml:space="preserve">) </w:t>
      </w:r>
      <w:r>
        <w:t xml:space="preserve">earthquakes from eastern </w:t>
      </w:r>
      <w:smartTag w:uri="urn:schemas-microsoft-com:office:smarttags" w:element="place">
        <w:smartTag w:uri="urn:schemas-microsoft-com:office:smarttags" w:element="country-region">
          <w:r>
            <w:t>Australia</w:t>
          </w:r>
        </w:smartTag>
      </w:smartTag>
      <w:r>
        <w:t xml:space="preserve">. Overall the SEA GMPEs show low median residuals across the full range of </w:t>
      </w:r>
      <w:r w:rsidR="000F5E36">
        <w:t xml:space="preserve">spectral </w:t>
      </w:r>
      <w:r>
        <w:t>period and distance</w:t>
      </w:r>
      <w:r w:rsidR="00422A38">
        <w:t>s considered</w:t>
      </w:r>
      <w:r>
        <w:t>. In contrast, E</w:t>
      </w:r>
      <w:r w:rsidR="009B4BDF">
        <w:t>NA</w:t>
      </w:r>
      <w:r>
        <w:t xml:space="preserve"> models tend to overestimate response spectra at larger distances. Because of these differences, the present analysis justifies the need to develop Australian-specific GMPEs where ground-motion hazard from a distant seismic source may become important.</w:t>
      </w:r>
    </w:p>
    <w:p w:rsidR="00927A50" w:rsidRDefault="00E033F4" w:rsidP="00B2522A">
      <w:pPr>
        <w:pStyle w:val="BodyText"/>
      </w:pPr>
      <w:r>
        <w:br w:type="page"/>
      </w:r>
    </w:p>
    <w:p w:rsidR="00927A50" w:rsidRPr="00ED3EA1" w:rsidRDefault="00927A50" w:rsidP="00ED3EA1"/>
    <w:p w:rsidR="00927A50" w:rsidRPr="00ED3EA1" w:rsidRDefault="00927A50" w:rsidP="00ED3EA1"/>
    <w:p w:rsidR="00927A50" w:rsidRDefault="00927A50">
      <w:pPr>
        <w:pStyle w:val="Heading1"/>
        <w:sectPr w:rsidR="00927A50" w:rsidSect="003166B9">
          <w:headerReference w:type="even" r:id="rId12"/>
          <w:headerReference w:type="default" r:id="rId13"/>
          <w:footerReference w:type="default" r:id="rId14"/>
          <w:headerReference w:type="first" r:id="rId15"/>
          <w:pgSz w:w="11907" w:h="16840" w:code="9"/>
          <w:pgMar w:top="1985" w:right="1418" w:bottom="1701" w:left="1418" w:header="720" w:footer="720" w:gutter="0"/>
          <w:pgNumType w:fmt="lowerRoman" w:start="3"/>
          <w:cols w:space="720"/>
        </w:sectPr>
      </w:pPr>
    </w:p>
    <w:p w:rsidR="00927A50" w:rsidRDefault="00927A50" w:rsidP="00C409B2">
      <w:pPr>
        <w:pStyle w:val="Heading1"/>
      </w:pPr>
      <w:bookmarkStart w:id="34" w:name="_Toc319656505"/>
      <w:bookmarkStart w:id="35" w:name="_Toc319656594"/>
      <w:bookmarkStart w:id="36" w:name="_Toc319918548"/>
      <w:bookmarkStart w:id="37" w:name="_Toc319918817"/>
      <w:bookmarkStart w:id="38" w:name="_Toc349112528"/>
      <w:r>
        <w:lastRenderedPageBreak/>
        <w:t>Introduction</w:t>
      </w:r>
      <w:bookmarkEnd w:id="34"/>
      <w:bookmarkEnd w:id="35"/>
      <w:bookmarkEnd w:id="36"/>
      <w:bookmarkEnd w:id="37"/>
      <w:bookmarkEnd w:id="38"/>
    </w:p>
    <w:p w:rsidR="00B15AC0" w:rsidRPr="00683C29" w:rsidRDefault="00B15AC0" w:rsidP="003F4034">
      <w:pPr>
        <w:pStyle w:val="BodyText"/>
        <w:rPr>
          <w:bCs/>
        </w:rPr>
      </w:pPr>
      <w:bookmarkStart w:id="39" w:name="_Toc17558428"/>
      <w:bookmarkStart w:id="40" w:name="_Toc55379359"/>
      <w:r>
        <w:t xml:space="preserve">Although the likelihood of a large earthquake occurring in a major urban centre is much lower in Australia than in more </w:t>
      </w:r>
      <w:r w:rsidR="004E26FE">
        <w:t xml:space="preserve">seismically </w:t>
      </w:r>
      <w:r>
        <w:t xml:space="preserve">active regions of the world (e.g., western North America, </w:t>
      </w:r>
      <w:smartTag w:uri="urn:schemas-microsoft-com:office:smarttags" w:element="country-region">
        <w:r>
          <w:t>Japan</w:t>
        </w:r>
      </w:smartTag>
      <w:r>
        <w:t xml:space="preserve"> and </w:t>
      </w:r>
      <w:smartTag w:uri="urn:schemas-microsoft-com:office:smarttags" w:element="place">
        <w:smartTag w:uri="urn:schemas-microsoft-com:office:smarttags" w:element="country-region">
          <w:r>
            <w:t>New Zealand</w:t>
          </w:r>
        </w:smartTag>
      </w:smartTag>
      <w:r>
        <w:t xml:space="preserve">), intraplate earthquakes have the potential to produce significant damage to property and critical infrastructure.  This was poignantly demonstrated by the devastating 1989 Newcastle, New South Wales, earthquake </w:t>
      </w:r>
      <w:r>
        <w:fldChar w:fldCharType="begin"/>
      </w:r>
      <w:r w:rsidR="00F202D0">
        <w:instrText xml:space="preserve"> ADDIN EN.CITE &lt;EndNote&gt;&lt;Cite&gt;&lt;Author&gt;Dhu&lt;/Author&gt;&lt;Year&gt;2002&lt;/Year&gt;&lt;RecNum&gt;32&lt;/RecNum&gt;&lt;Prefix&gt;local magnitude ML 5.6 [MW 5.4], &lt;/Prefix&gt;&lt;record&gt;&lt;rec-number&gt;32&lt;/rec-number&gt;&lt;foreign-keys&gt;&lt;key app="EN" db-id="se5z02d5txder3eax2p5wz5j59zvz2tdzdd2"&gt;32&lt;/key&gt;&lt;/foreign-keys&gt;&lt;ref-type name="Journal Article"&gt;17&lt;/ref-type&gt;&lt;contributors&gt;&lt;authors&gt;&lt;author&gt;Dhu, T.&lt;/author&gt;&lt;author&gt;Jones, T.&lt;/author&gt;&lt;/authors&gt;&lt;/contributors&gt;&lt;titles&gt;&lt;title&gt;Earthquake risk in Newcastle and Lake Macquarie&lt;/title&gt;&lt;secondary-title&gt;Geoscience Australia Record 2002/15&lt;/secondary-title&gt;&lt;/titles&gt;&lt;periodical&gt;&lt;full-title&gt;Geoscience Australia Record 2002/15&lt;/full-title&gt;&lt;/periodical&gt;&lt;dates&gt;&lt;year&gt;2002&lt;/year&gt;&lt;/dates&gt;&lt;urls&gt;&lt;related-urls&gt;&lt;url&gt;http://www.ga.gov.au/urban/projects/archive/newcastle.jsp&lt;/url&gt;&lt;/related-urls&gt;&lt;pdf-urls&gt;&lt;url&gt;internal-pdf://Dhu&amp;amp;Jones.2002.Newcastle.GA report-0964194878/Dhu&amp;amp;Jones.2002.Newcastle.GA report.pdf&lt;/url&gt;&lt;url&gt;internal-pdf://GA4190-2935712796/GA4190.pdf&lt;/url&gt;&lt;/pdf-urls&gt;&lt;/urls&gt;&lt;/record&gt;&lt;/Cite&gt;&lt;Cite&gt;&lt;Author&gt;McCue&lt;/Author&gt;&lt;Year&gt;1990&lt;/Year&gt;&lt;RecNum&gt;867&lt;/RecNum&gt;&lt;record&gt;&lt;rec-number&gt;867&lt;/rec-number&gt;&lt;foreign-keys&gt;&lt;key app="EN" db-id="se5z02d5txder3eax2p5wz5j59zvz2tdzdd2"&gt;867&lt;/key&gt;&lt;/foreign-keys&gt;&lt;ref-type name="Journal Article"&gt;17&lt;/ref-type&gt;&lt;contributors&gt;&lt;authors&gt;&lt;author&gt;McCue, K.&lt;/author&gt;&lt;author&gt;Wesson, V.&lt;/author&gt;&lt;author&gt;Gibson, G.&lt;/author&gt;&lt;/authors&gt;&lt;/contributors&gt;&lt;titles&gt;&lt;title&gt;The Newcastle, New South Wales, earthquake of 28 December 1989&lt;/title&gt;&lt;secondary-title&gt;BMR J. Aust. Geol. Geophys.&lt;/secondary-title&gt;&lt;/titles&gt;&lt;periodical&gt;&lt;full-title&gt;BMR J. Aust. Geol. Geophys.&lt;/full-title&gt;&lt;/periodical&gt;&lt;pages&gt;559–567&lt;/pages&gt;&lt;volume&gt;11&lt;/volume&gt;&lt;number&gt;4&lt;/number&gt;&lt;dates&gt;&lt;year&gt;1990&lt;/year&gt;&lt;/dates&gt;&lt;urls&gt;&lt;pdf-urls&gt;&lt;url&gt;internal-pdf://McCue etal (1990).Newcastle.eq-2919891507/McCue etal (1990).Newcastle.eq.pdf&lt;/url&gt;&lt;/pdf-urls&gt;&lt;/urls&gt;&lt;/record&gt;&lt;/Cite&gt;&lt;/EndNote&gt;</w:instrText>
      </w:r>
      <w:r>
        <w:fldChar w:fldCharType="separate"/>
      </w:r>
      <w:r w:rsidR="00ED1C32">
        <w:t xml:space="preserve">(local magnitude </w:t>
      </w:r>
      <w:r w:rsidR="00ED1C32" w:rsidRPr="00172353">
        <w:rPr>
          <w:rStyle w:val="Bodytextitalic"/>
        </w:rPr>
        <w:t>M</w:t>
      </w:r>
      <w:r w:rsidR="00ED1C32" w:rsidRPr="00172353">
        <w:rPr>
          <w:rStyle w:val="Subscriptitalic"/>
        </w:rPr>
        <w:t>L</w:t>
      </w:r>
      <w:r w:rsidR="00ED1C32">
        <w:t xml:space="preserve"> 5.6 [</w:t>
      </w:r>
      <w:r w:rsidR="00ED1C32" w:rsidRPr="00172353">
        <w:rPr>
          <w:rStyle w:val="Bodytextitalic"/>
        </w:rPr>
        <w:t>M</w:t>
      </w:r>
      <w:r w:rsidR="00ED1C32" w:rsidRPr="00172353">
        <w:rPr>
          <w:rStyle w:val="Subscriptitalic"/>
        </w:rPr>
        <w:t>W</w:t>
      </w:r>
      <w:r w:rsidR="00ED1C32">
        <w:t xml:space="preserve"> 5.4], McCue</w:t>
      </w:r>
      <w:r w:rsidR="00ED1C32" w:rsidRPr="00ED1C32">
        <w:rPr>
          <w:i/>
        </w:rPr>
        <w:t xml:space="preserve"> et al.</w:t>
      </w:r>
      <w:r w:rsidR="00ED1C32">
        <w:t>, 1990; Dhu and Jones, 2002)</w:t>
      </w:r>
      <w:r>
        <w:fldChar w:fldCharType="end"/>
      </w:r>
      <w:r>
        <w:t xml:space="preserve">.  </w:t>
      </w:r>
      <w:r w:rsidR="009B4BDF">
        <w:t xml:space="preserve">Despite </w:t>
      </w:r>
      <w:r w:rsidR="00CB012F">
        <w:t>being a moderate-sized</w:t>
      </w:r>
      <w:r>
        <w:t xml:space="preserve"> earthquake by </w:t>
      </w:r>
      <w:r w:rsidR="004E26FE">
        <w:t xml:space="preserve">global </w:t>
      </w:r>
      <w:r>
        <w:t>standards, the event claimed 13 lives and caused extensive damage to many buildings; particularly, poor quality un-reinforced masonry structures</w:t>
      </w:r>
      <w:r w:rsidR="00872040">
        <w:t xml:space="preserve"> </w:t>
      </w:r>
      <w:r w:rsidR="00872040">
        <w:fldChar w:fldCharType="begin"/>
      </w:r>
      <w:r w:rsidR="00F202D0">
        <w:instrText xml:space="preserve"> ADDIN EN.CITE &lt;EndNote&gt;&lt;Cite&gt;&lt;Author&gt;Geoscience Australia&lt;/Author&gt;&lt;Year&gt;2004&lt;/Year&gt;&lt;RecNum&gt;1235&lt;/RecNum&gt;&lt;record&gt;&lt;rec-number&gt;1235&lt;/rec-number&gt;&lt;foreign-keys&gt;&lt;key app="EN" db-id="se5z02d5txder3eax2p5wz5j59zvz2tdzdd2"&gt;1235&lt;/key&gt;&lt;/foreign-keys&gt;&lt;ref-type name="Report"&gt;27&lt;/ref-type&gt;&lt;contributors&gt;&lt;authors&gt;&lt;author&gt;Geoscience Australia,&lt;/author&gt;&lt;/authors&gt;&lt;/contributors&gt;&lt;titles&gt;&lt;title&gt;Newcastle Earthquake&lt;/title&gt;&lt;/titles&gt;&lt;pages&gt;http://www.ga.gov.au/image_cache/GA10000.pdf&lt;/pages&gt;&lt;dates&gt;&lt;year&gt;2004&lt;/year&gt;&lt;/dates&gt;&lt;publisher&gt;Geoscience Australia, Canberra,&lt;/publisher&gt;&lt;urls&gt;&lt;related-urls&gt;&lt;url&gt;http://www.ga.gov.au/image_cache/GA10000.pdf&lt;/url&gt;&lt;/related-urls&gt;&lt;pdf-urls&gt;&lt;url&gt;internal-pdf://GA(2004).Newcastle_damage.GA10000-0868485636/GA(2004).Newcastle_damage.GA10000.pdf&lt;/url&gt;&lt;/pdf-urls&gt;&lt;/urls&gt;&lt;/record&gt;&lt;/Cite&gt;&lt;Cite&gt;&lt;Author&gt;McCue&lt;/Author&gt;&lt;Year&gt;1990&lt;/Year&gt;&lt;RecNum&gt;867&lt;/RecNum&gt;&lt;record&gt;&lt;rec-number&gt;867&lt;/rec-number&gt;&lt;foreign-keys&gt;&lt;key app="EN" db-id="se5z02d5txder3eax2p5wz5j59zvz2tdzdd2"&gt;867&lt;/key&gt;&lt;/foreign-keys&gt;&lt;ref-type name="Journal Article"&gt;17&lt;/ref-type&gt;&lt;contributors&gt;&lt;authors&gt;&lt;author&gt;McCue, K.&lt;/author&gt;&lt;author&gt;Wesson, V.&lt;/author&gt;&lt;author&gt;Gibson, G.&lt;/author&gt;&lt;/authors&gt;&lt;/contributors&gt;&lt;titles&gt;&lt;title&gt;The Newcastle, New South Wales, earthquake of 28 December 1989&lt;/title&gt;&lt;secondary-title&gt;BMR J. Aust. Geol. Geophys.&lt;/secondary-title&gt;&lt;/titles&gt;&lt;periodical&gt;&lt;full-title&gt;BMR J. Aust. Geol. Geophys.&lt;/full-title&gt;&lt;/periodical&gt;&lt;pages&gt;559–567&lt;/pages&gt;&lt;volume&gt;11&lt;/volume&gt;&lt;number&gt;4&lt;/number&gt;&lt;dates&gt;&lt;year&gt;1990&lt;/year&gt;&lt;/dates&gt;&lt;urls&gt;&lt;pdf-urls&gt;&lt;url&gt;internal-pdf://McCue etal (1990).Newcastle.eq-2919891507/McCue etal (1990).Newcastle.eq.pdf&lt;/url&gt;&lt;/pdf-urls&gt;&lt;/urls&gt;&lt;/record&gt;&lt;/Cite&gt;&lt;/EndNote&gt;</w:instrText>
      </w:r>
      <w:r w:rsidR="00872040">
        <w:fldChar w:fldCharType="separate"/>
      </w:r>
      <w:r w:rsidR="00872040">
        <w:t>(McCue</w:t>
      </w:r>
      <w:r w:rsidR="00872040" w:rsidRPr="00872040">
        <w:rPr>
          <w:i/>
        </w:rPr>
        <w:t xml:space="preserve"> et al.</w:t>
      </w:r>
      <w:r w:rsidR="00872040">
        <w:t>, 1990; Geoscience Australia, 2004)</w:t>
      </w:r>
      <w:r w:rsidR="00872040">
        <w:fldChar w:fldCharType="end"/>
      </w:r>
      <w:r>
        <w:t>.  The 1989 Newcastle earthquake resulted in approximately AU$</w:t>
      </w:r>
      <w:r w:rsidR="00872040">
        <w:t>3.2</w:t>
      </w:r>
      <w:r>
        <w:t xml:space="preserve"> billion in insured losses (</w:t>
      </w:r>
      <w:r w:rsidR="00872040">
        <w:t xml:space="preserve">2011 </w:t>
      </w:r>
      <w:r>
        <w:t xml:space="preserve">dollars) </w:t>
      </w:r>
      <w:r w:rsidRPr="00683C29">
        <w:t xml:space="preserve">and remains </w:t>
      </w:r>
      <w:r w:rsidR="00872040">
        <w:t xml:space="preserve">one of </w:t>
      </w:r>
      <w:r w:rsidRPr="00683C29">
        <w:t>Australia’s most costly natural disaster</w:t>
      </w:r>
      <w:r w:rsidR="00872040">
        <w:t>s</w:t>
      </w:r>
      <w:r>
        <w:t xml:space="preserve"> </w:t>
      </w:r>
      <w:r w:rsidR="00872040">
        <w:fldChar w:fldCharType="begin"/>
      </w:r>
      <w:r w:rsidR="00F202D0">
        <w:instrText xml:space="preserve"> ADDIN EN.CITE &lt;EndNote&gt;&lt;Cite&gt;&lt;Author&gt;Insurance Council of Australia&lt;/Author&gt;&lt;Year&gt;2012&lt;/Year&gt;&lt;RecNum&gt;1084&lt;/RecNum&gt;&lt;record&gt;&lt;rec-number&gt;1084&lt;/rec-number&gt;&lt;foreign-keys&gt;&lt;key app="EN" db-id="se5z02d5txder3eax2p5wz5j59zvz2tdzdd2"&gt;1084&lt;/key&gt;&lt;/foreign-keys&gt;&lt;ref-type name="Web Page"&gt;12&lt;/ref-type&gt;&lt;contributors&gt;&lt;authors&gt;&lt;author&gt;Insurance Council of Australia,&lt;/author&gt;&lt;/authors&gt;&lt;/contributors&gt;&lt;titles&gt;&lt;title&gt;Insurance Council of Australia - historical disaster statistics&lt;/title&gt;&lt;/titles&gt;&lt;number&gt;30 March 2012&lt;/number&gt;&lt;dates&gt;&lt;year&gt;2012&lt;/year&gt;&lt;/dates&gt;&lt;urls&gt;&lt;related-urls&gt;&lt;url&gt;http://www.insurancecouncil.com.au/Default.aspx?tabid=1572&lt;/url&gt;&lt;/related-urls&gt;&lt;pdf-urls&gt;&lt;url&gt;internal-pdf://ICA (2012).Aust_disataster_stats-3788274436/ICA (2012).Aust_disataster_stats.pdf&lt;/url&gt;&lt;/pdf-urls&gt;&lt;/urls&gt;&lt;/record&gt;&lt;/Cite&gt;&lt;/EndNote&gt;</w:instrText>
      </w:r>
      <w:r w:rsidR="00872040">
        <w:fldChar w:fldCharType="separate"/>
      </w:r>
      <w:r w:rsidR="00872040">
        <w:t>(Insurance Council of Australia, 2012)</w:t>
      </w:r>
      <w:r w:rsidR="00872040">
        <w:fldChar w:fldCharType="end"/>
      </w:r>
      <w:r>
        <w:t>.</w:t>
      </w:r>
    </w:p>
    <w:p w:rsidR="00B15AC0" w:rsidRDefault="00B15AC0" w:rsidP="003F4034">
      <w:pPr>
        <w:pStyle w:val="BodyText"/>
      </w:pPr>
      <w:r>
        <w:t xml:space="preserve">To support the update of future earthquake loading standards in Australia </w:t>
      </w:r>
      <w:r>
        <w:fldChar w:fldCharType="begin"/>
      </w:r>
      <w:r w:rsidR="00F202D0">
        <w:instrText xml:space="preserve"> ADDIN EN.CITE &lt;EndNote&gt;&lt;Cite&gt;&lt;Author&gt;Standards Australia&lt;/Author&gt;&lt;Year&gt;2007&lt;/Year&gt;&lt;RecNum&gt;682&lt;/RecNum&gt;&lt;record&gt;&lt;rec-number&gt;682&lt;/rec-number&gt;&lt;foreign-keys&gt;&lt;key app="EN" db-id="se5z02d5txder3eax2p5wz5j59zvz2tdzdd2"&gt;682&lt;/key&gt;&lt;/foreign-keys&gt;&lt;ref-type name="Report"&gt;27&lt;/ref-type&gt;&lt;contributors&gt;&lt;authors&gt;&lt;author&gt;Standards Australia,&lt;/author&gt;&lt;/authors&gt;&lt;/contributors&gt;&lt;titles&gt;&lt;title&gt;Structural design actions, part 4: Earthquake actions in Australia&lt;/title&gt;&lt;/titles&gt;&lt;pages&gt;52&lt;/pages&gt;&lt;number&gt;AS 1170.4—2007&lt;/number&gt;&lt;dates&gt;&lt;year&gt;2007&lt;/year&gt;&lt;/dates&gt;&lt;publisher&gt;Standards Australia&lt;/publisher&gt;&lt;urls&gt;&lt;pdf-urls&gt;&lt;url&gt;internal-pdf://AS1170_4-2007 - Australian EQ Loading Standard-0108057903/AS1170_4-2007 - Australian EQ Loading Standard.pdf&lt;/url&gt;&lt;/pdf-urls&gt;&lt;/urls&gt;&lt;/record&gt;&lt;/Cite&gt;&lt;/EndNote&gt;</w:instrText>
      </w:r>
      <w:r>
        <w:fldChar w:fldCharType="separate"/>
      </w:r>
      <w:r>
        <w:rPr>
          <w:noProof/>
        </w:rPr>
        <w:t>(Standards Australia, 2007)</w:t>
      </w:r>
      <w:r>
        <w:fldChar w:fldCharType="end"/>
      </w:r>
      <w:r>
        <w:t xml:space="preserve">, Geoscience Australia </w:t>
      </w:r>
      <w:r w:rsidR="004E26FE">
        <w:t>is developing</w:t>
      </w:r>
      <w:r>
        <w:t xml:space="preserve"> a revised national earthquake hazard </w:t>
      </w:r>
      <w:r w:rsidR="00D122D7">
        <w:t xml:space="preserve">map </w:t>
      </w:r>
      <w:r>
        <w:t>through a rigorous probabilistic seismic hazard analys</w:t>
      </w:r>
      <w:r w:rsidR="009B4BDF">
        <w:t>i</w:t>
      </w:r>
      <w:r>
        <w:t xml:space="preserve">s </w:t>
      </w:r>
      <w:r w:rsidR="00CE03A4">
        <w:fldChar w:fldCharType="begin"/>
      </w:r>
      <w:r w:rsidR="00F202D0">
        <w:instrText xml:space="preserve"> ADDIN EN.CITE &lt;EndNote&gt;&lt;Cite&gt;&lt;Author&gt;Burbidge&lt;/Author&gt;&lt;Year&gt;2010&lt;/Year&gt;&lt;RecNum&gt;769&lt;/RecNum&gt;&lt;record&gt;&lt;rec-number&gt;769&lt;/rec-number&gt;&lt;foreign-keys&gt;&lt;key app="EN" db-id="se5z02d5txder3eax2p5wz5j59zvz2tdzdd2"&gt;769&lt;/key&gt;&lt;/foreign-keys&gt;&lt;ref-type name="Report"&gt;27&lt;/ref-type&gt;&lt;contributors&gt;&lt;authors&gt;&lt;author&gt;Burbidge, D. R.&lt;/author&gt;&lt;author&gt;Allen, T.&lt;/author&gt;&lt;author&gt;Collins, C.&lt;/author&gt;&lt;author&gt;McPherson, A.&lt;/author&gt;&lt;author&gt;Drummond, B.&lt;/author&gt;&lt;author&gt;Leonard, M.&lt;/author&gt;&lt;author&gt;Clark, D.&lt;/author&gt;&lt;author&gt;Cummins, P.&lt;/author&gt;&lt;author&gt;Cuthbertson, R.&lt;/author&gt;&lt;author&gt;Dentith, M.&lt;/author&gt;&lt;author&gt;Gaull, B.&lt;/author&gt;&lt;author&gt;Gibson, G.&lt;/author&gt;&lt;author&gt;Leiba, M.&lt;/author&gt;&lt;author&gt;Love, D.&lt;/author&gt;&lt;author&gt;McCue, K.&lt;/author&gt;&lt;author&gt;Somerville, P.&lt;/author&gt;&lt;author&gt;Rynn, J.&lt;/author&gt;&lt;author&gt;Wilson, J.&lt;/author&gt;&lt;/authors&gt;&lt;/contributors&gt;&lt;titles&gt;&lt;title&gt;Future directions for the National Earthquake Hazard Map for Australia&lt;/title&gt;&lt;secondary-title&gt;Geoscience Australia Record 2010/04&lt;/secondary-title&gt;&lt;/titles&gt;&lt;pages&gt;26&lt;/pages&gt;&lt;number&gt;2010/04&lt;/number&gt;&lt;dates&gt;&lt;year&gt;2010&lt;/year&gt;&lt;/dates&gt;&lt;pub-location&gt;Canberra&lt;/pub-location&gt;&lt;publisher&gt;Geoscience Australia&lt;/publisher&gt;&lt;urls&gt;&lt;pdf-urls&gt;&lt;url&gt;internal-pdf://National_Hazard_Map_Report_final-3789730565/National_Hazard_Map_Report_final.pdf&lt;/url&gt;&lt;/pdf-urls&gt;&lt;/urls&gt;&lt;/record&gt;&lt;/Cite&gt;&lt;Cite&gt;&lt;Author&gt;Burbidge&lt;/Author&gt;&lt;Year&gt;2012&lt;/Year&gt;&lt;RecNum&gt;1224&lt;/RecNum&gt;&lt;record&gt;&lt;rec-number&gt;1224&lt;/rec-number&gt;&lt;foreign-keys&gt;&lt;key app="EN" db-id="se5z02d5txder3eax2p5wz5j59zvz2tdzdd2"&gt;1224&lt;/key&gt;&lt;/foreign-keys&gt;&lt;ref-type name="Edited Book"&gt;28&lt;/ref-type&gt;&lt;contributors&gt;&lt;authors&gt;&lt;author&gt;Burbidge, D. R.&lt;/author&gt;&lt;/authors&gt;&lt;/contributors&gt;&lt;titles&gt;&lt;title&gt;The 2012 Australian Earthquake Hazard Map&lt;/title&gt;&lt;/titles&gt;&lt;dates&gt;&lt;year&gt;2012&lt;/year&gt;&lt;/dates&gt;&lt;publisher&gt;Geoscience Australia, Record 2012/XX&lt;/publisher&gt;&lt;urls&gt;&lt;/urls&gt;&lt;/record&gt;&lt;/Cite&gt;&lt;/EndNote&gt;</w:instrText>
      </w:r>
      <w:r w:rsidR="00CE03A4">
        <w:fldChar w:fldCharType="separate"/>
      </w:r>
      <w:r w:rsidR="00F202D0">
        <w:t>(Burbidge</w:t>
      </w:r>
      <w:r w:rsidR="00F202D0" w:rsidRPr="00F202D0">
        <w:rPr>
          <w:i/>
        </w:rPr>
        <w:t xml:space="preserve"> et al.</w:t>
      </w:r>
      <w:r w:rsidR="00F202D0">
        <w:t>, 2010; Burbidge, 2012)</w:t>
      </w:r>
      <w:r w:rsidR="00CE03A4">
        <w:fldChar w:fldCharType="end"/>
      </w:r>
      <w:r>
        <w:t>.  G</w:t>
      </w:r>
      <w:r w:rsidRPr="0056778A">
        <w:t>round-</w:t>
      </w:r>
      <w:r>
        <w:t>m</w:t>
      </w:r>
      <w:r w:rsidRPr="0056778A">
        <w:t xml:space="preserve">otion </w:t>
      </w:r>
      <w:r>
        <w:t xml:space="preserve">prediction equations (GMPEs) are a critical component in any PSHA </w:t>
      </w:r>
      <w:r>
        <w:fldChar w:fldCharType="begin"/>
      </w:r>
      <w:r w:rsidR="00F202D0">
        <w:instrText xml:space="preserve"> ADDIN EN.CITE &lt;EndNote&gt;&lt;Cite&gt;&lt;Author&gt;Petersen&lt;/Author&gt;&lt;Year&gt;2008&lt;/Year&gt;&lt;RecNum&gt;442&lt;/RecNum&gt;&lt;Prefix&gt;e.g.`, &lt;/Prefix&gt;&lt;record&gt;&lt;rec-number&gt;442&lt;/rec-number&gt;&lt;foreign-keys&gt;&lt;key app="EN" db-id="se5z02d5txder3eax2p5wz5j59zvz2tdzdd2"&gt;442&lt;/key&gt;&lt;/foreign-keys&gt;&lt;ref-type name="Report"&gt;27&lt;/ref-type&gt;&lt;contributors&gt;&lt;authors&gt;&lt;author&gt;Petersen, M. D.&lt;/author&gt;&lt;author&gt;Frankel, A. D.&lt;/author&gt;&lt;author&gt;Harmsen, S. C.&lt;/author&gt;&lt;author&gt;Mueller, C. S.&lt;/author&gt;&lt;author&gt;Haller, K. M.&lt;/author&gt;&lt;author&gt;Wheeler, R. L.&lt;/author&gt;&lt;author&gt;Wesson, R. L.&lt;/author&gt;&lt;author&gt;Zeng, Y.&lt;/author&gt;&lt;author&gt;Boyd, O. S.&lt;/author&gt;&lt;author&gt;Perkins, D. M.&lt;/author&gt;&lt;author&gt;Luco, N.&lt;/author&gt;&lt;author&gt;Field, E. H.&lt;/author&gt;&lt;author&gt;Wills, C. J.&lt;/author&gt;&lt;author&gt;Rukstales, K. S.&lt;/author&gt;&lt;/authors&gt;&lt;/contributors&gt;&lt;titles&gt;&lt;title&gt;Documentation for the 2008 update of the United States National Seismic Hazard Maps&lt;/title&gt;&lt;/titles&gt;&lt;pages&gt;128&lt;/pages&gt;&lt;dates&gt;&lt;year&gt;2008&lt;/year&gt;&lt;/dates&gt;&lt;publisher&gt;U.S. Geological Survey Open-File Report 2008–1128&lt;/publisher&gt;&lt;urls&gt;&lt;pdf-urls&gt;&lt;url&gt;internal-pdf://OF08-1128_v1.1-0284411925/OF08-1128_v1.1.pdf&lt;/url&gt;&lt;/pdf-urls&gt;&lt;/urls&gt;&lt;/record&gt;&lt;/Cite&gt;&lt;Cite&gt;&lt;Author&gt;Burbidge&lt;/Author&gt;&lt;Year&gt;2011&lt;/Year&gt;&lt;RecNum&gt;1030&lt;/RecNum&gt;&lt;record&gt;&lt;rec-number&gt;1030&lt;/rec-number&gt;&lt;foreign-keys&gt;&lt;key app="EN" db-id="se5z02d5txder3eax2p5wz5j59zvz2tdzdd2"&gt;1030&lt;/key&gt;&lt;/foreign-keys&gt;&lt;ref-type name="Conference Proceedings"&gt;10&lt;/ref-type&gt;&lt;contributors&gt;&lt;authors&gt;&lt;author&gt;Burbidge, D.&lt;/author&gt;&lt;author&gt;Leonard, M.&lt;/author&gt;&lt;/authors&gt;&lt;/contributors&gt;&lt;titles&gt;&lt;title&gt;The 2012 Australian Seismic Hazard Map – draft maps&lt;/title&gt;&lt;secondary-title&gt;Proceedings of the 2011 Australian Earthquake Engineering Society Conference&lt;/secondary-title&gt;&lt;/titles&gt;&lt;dates&gt;&lt;year&gt;2011&lt;/year&gt;&lt;/dates&gt;&lt;pub-location&gt;Barossa Valley, South Australia&lt;/pub-location&gt;&lt;publisher&gt;Australian Earthquake Engineering Society&lt;/publisher&gt;&lt;urls&gt;&lt;pdf-urls&gt;&lt;url&gt;internal-pdf://AEES_papers_IV_Burbidge_revised_v2-0818196229/AEES_papers_IV_Burbidge_revised_v2.pdf&lt;/url&gt;&lt;/pdf-urls&gt;&lt;/urls&gt;&lt;/record&gt;&lt;/Cite&gt;&lt;/EndNote&gt;</w:instrText>
      </w:r>
      <w:r>
        <w:fldChar w:fldCharType="separate"/>
      </w:r>
      <w:r>
        <w:rPr>
          <w:noProof/>
        </w:rPr>
        <w:t>(e.g., Petersen</w:t>
      </w:r>
      <w:r w:rsidRPr="003D3528">
        <w:rPr>
          <w:i/>
          <w:noProof/>
        </w:rPr>
        <w:t xml:space="preserve"> et al.</w:t>
      </w:r>
      <w:r>
        <w:rPr>
          <w:noProof/>
        </w:rPr>
        <w:t>, 2008; Burbidge and Leonard, 2011)</w:t>
      </w:r>
      <w:r>
        <w:fldChar w:fldCharType="end"/>
      </w:r>
      <w:r>
        <w:t xml:space="preserve"> and underpin earthquake loading codes used in the design of </w:t>
      </w:r>
      <w:r w:rsidR="004E26FE">
        <w:t xml:space="preserve">engineered </w:t>
      </w:r>
      <w:r>
        <w:t xml:space="preserve">structures </w:t>
      </w:r>
      <w:r>
        <w:fldChar w:fldCharType="begin"/>
      </w:r>
      <w:r w:rsidR="00F202D0">
        <w:instrText xml:space="preserve"> ADDIN EN.CITE &lt;EndNote&gt;&lt;Cite&gt;&lt;Author&gt;Standards Australia&lt;/Author&gt;&lt;Year&gt;2007&lt;/Year&gt;&lt;RecNum&gt;682&lt;/RecNum&gt;&lt;record&gt;&lt;rec-number&gt;682&lt;/rec-number&gt;&lt;foreign-keys&gt;&lt;key app="EN" db-id="se5z02d5txder3eax2p5wz5j59zvz2tdzdd2"&gt;682&lt;/key&gt;&lt;/foreign-keys&gt;&lt;ref-type name="Report"&gt;27&lt;/ref-type&gt;&lt;contributors&gt;&lt;authors&gt;&lt;author&gt;Standards Australia,&lt;/author&gt;&lt;/authors&gt;&lt;/contributors&gt;&lt;titles&gt;&lt;title&gt;Structural design actions, part 4: Earthquake actions in Australia&lt;/title&gt;&lt;/titles&gt;&lt;pages&gt;52&lt;/pages&gt;&lt;number&gt;AS 1170.4—2007&lt;/number&gt;&lt;dates&gt;&lt;year&gt;2007&lt;/year&gt;&lt;/dates&gt;&lt;publisher&gt;Standards Australia&lt;/publisher&gt;&lt;urls&gt;&lt;pdf-urls&gt;&lt;url&gt;internal-pdf://AS1170_4-2007 - Australian EQ Loading Standard-0108057903/AS1170_4-2007 - Australian EQ Loading Standard.pdf&lt;/url&gt;&lt;/pdf-urls&gt;&lt;/urls&gt;&lt;/record&gt;&lt;/Cite&gt;&lt;/EndNote&gt;</w:instrText>
      </w:r>
      <w:r>
        <w:fldChar w:fldCharType="separate"/>
      </w:r>
      <w:r>
        <w:rPr>
          <w:noProof/>
        </w:rPr>
        <w:t>(Standards Australia, 2007)</w:t>
      </w:r>
      <w:r>
        <w:fldChar w:fldCharType="end"/>
      </w:r>
      <w:r>
        <w:t xml:space="preserve">.  In designing a project to update Australia’s National </w:t>
      </w:r>
      <w:r w:rsidR="00D122D7">
        <w:t xml:space="preserve">Earthquake </w:t>
      </w:r>
      <w:r>
        <w:t>Hazard M</w:t>
      </w:r>
      <w:r w:rsidR="00D122D7">
        <w:t>ap</w:t>
      </w:r>
      <w:r>
        <w:t>, it was identified that there was a requirement to use of Australian-specific GMPEs where possible</w:t>
      </w:r>
      <w:r w:rsidR="009B4BDF">
        <w:t xml:space="preserve"> </w:t>
      </w:r>
      <w:r w:rsidR="009B4BDF">
        <w:fldChar w:fldCharType="begin"/>
      </w:r>
      <w:r w:rsidR="00F202D0">
        <w:instrText xml:space="preserve"> ADDIN EN.CITE &lt;EndNote&gt;&lt;Cite&gt;&lt;Author&gt;Burbidge&lt;/Author&gt;&lt;Year&gt;2010&lt;/Year&gt;&lt;RecNum&gt;769&lt;/RecNum&gt;&lt;record&gt;&lt;rec-number&gt;769&lt;/rec-number&gt;&lt;foreign-keys&gt;&lt;key app="EN" db-id="se5z02d5txder3eax2p5wz5j59zvz2tdzdd2"&gt;769&lt;/key&gt;&lt;/foreign-keys&gt;&lt;ref-type name="Report"&gt;27&lt;/ref-type&gt;&lt;contributors&gt;&lt;authors&gt;&lt;author&gt;Burbidge, D. R.&lt;/author&gt;&lt;author&gt;Allen, T.&lt;/author&gt;&lt;author&gt;Collins, C.&lt;/author&gt;&lt;author&gt;McPherson, A.&lt;/author&gt;&lt;author&gt;Drummond, B.&lt;/author&gt;&lt;author&gt;Leonard, M.&lt;/author&gt;&lt;author&gt;Clark, D.&lt;/author&gt;&lt;author&gt;Cummins, P.&lt;/author&gt;&lt;author&gt;Cuthbertson, R.&lt;/author&gt;&lt;author&gt;Dentith, M.&lt;/author&gt;&lt;author&gt;Gaull, B.&lt;/author&gt;&lt;author&gt;Gibson, G.&lt;/author&gt;&lt;author&gt;Leiba, M.&lt;/author&gt;&lt;author&gt;Love, D.&lt;/author&gt;&lt;author&gt;McCue, K.&lt;/author&gt;&lt;author&gt;Somerville, P.&lt;/author&gt;&lt;author&gt;Rynn, J.&lt;/author&gt;&lt;author&gt;Wilson, J.&lt;/author&gt;&lt;/authors&gt;&lt;/contributors&gt;&lt;titles&gt;&lt;title&gt;Future directions for the National Earthquake Hazard Map for Australia&lt;/title&gt;&lt;secondary-title&gt;Geoscience Australia Record 2010/04&lt;/secondary-title&gt;&lt;/titles&gt;&lt;pages&gt;26&lt;/pages&gt;&lt;number&gt;2010/04&lt;/number&gt;&lt;dates&gt;&lt;year&gt;2010&lt;/year&gt;&lt;/dates&gt;&lt;pub-location&gt;Canberra&lt;/pub-location&gt;&lt;publisher&gt;Geoscience Australia&lt;/publisher&gt;&lt;urls&gt;&lt;pdf-urls&gt;&lt;url&gt;internal-pdf://National_Hazard_Map_Report_final-3789730565/National_Hazard_Map_Report_final.pdf&lt;/url&gt;&lt;/pdf-urls&gt;&lt;/urls&gt;&lt;/record&gt;&lt;/Cite&gt;&lt;/EndNote&gt;</w:instrText>
      </w:r>
      <w:r w:rsidR="009B4BDF">
        <w:fldChar w:fldCharType="separate"/>
      </w:r>
      <w:r w:rsidR="009B4BDF" w:rsidRPr="00153E78">
        <w:rPr>
          <w:noProof/>
        </w:rPr>
        <w:t>(Burbidge</w:t>
      </w:r>
      <w:r w:rsidR="009B4BDF" w:rsidRPr="00153E78">
        <w:rPr>
          <w:i/>
          <w:noProof/>
        </w:rPr>
        <w:t xml:space="preserve"> et al.</w:t>
      </w:r>
      <w:r w:rsidR="009B4BDF" w:rsidRPr="00153E78">
        <w:rPr>
          <w:noProof/>
        </w:rPr>
        <w:t>, 2010)</w:t>
      </w:r>
      <w:r w:rsidR="009B4BDF">
        <w:fldChar w:fldCharType="end"/>
      </w:r>
      <w:r w:rsidRPr="00153E78">
        <w:t xml:space="preserve">.  Allen </w:t>
      </w:r>
      <w:r>
        <w:fldChar w:fldCharType="begin"/>
      </w:r>
      <w:r w:rsidR="00F202D0">
        <w:instrText xml:space="preserve"> ADDIN EN.CITE &lt;EndNote&gt;&lt;Cite ExcludeAuth="1"&gt;&lt;Author&gt;Allen&lt;/Author&gt;&lt;Year&gt;2010&lt;/Year&gt;&lt;RecNum&gt;885&lt;/RecNum&gt;&lt;record&gt;&lt;rec-number&gt;885&lt;/rec-number&gt;&lt;foreign-keys&gt;&lt;key app="EN" db-id="se5z02d5txder3eax2p5wz5j59zvz2tdzdd2"&gt;885&lt;/key&gt;&lt;/foreign-keys&gt;&lt;ref-type name="Conference Proceedings"&gt;10&lt;/ref-type&gt;&lt;contributors&gt;&lt;authors&gt;&lt;author&gt;Allen, T. I.&lt;/author&gt;&lt;/authors&gt;&lt;/contributors&gt;&lt;titles&gt;&lt;title&gt;The influence of attenuation in earthquake ground-motion and magnitude estimation: implications for Australian earthquake hazard&lt;/title&gt;&lt;secondary-title&gt;Proc. 2010 Aust. Earthq. Eng. Soc. Conf.&lt;/secondary-title&gt;&lt;/titles&gt;&lt;pages&gt;13&lt;/pages&gt;&lt;keywords&gt;&lt;keyword&gt;earthquake loss, damage, economic, fatalities&lt;/keyword&gt;&lt;/keywords&gt;&lt;dates&gt;&lt;year&gt;2010&lt;/year&gt;&lt;/dates&gt;&lt;pub-location&gt;Perth, Western Australia&lt;/pub-location&gt;&lt;urls&gt;&lt;pdf-urls&gt;&lt;url&gt;internal-pdf://TAllen.AEES.paper.v6-2995638026/TAllen.AEES.paper.v6.pdf&lt;/url&gt;&lt;/pdf-urls&gt;&lt;/urls&gt;&lt;/record&gt;&lt;/Cite&gt;&lt;/EndNote&gt;</w:instrText>
      </w:r>
      <w:r>
        <w:fldChar w:fldCharType="separate"/>
      </w:r>
      <w:r w:rsidRPr="00153E78">
        <w:rPr>
          <w:noProof/>
        </w:rPr>
        <w:t>(2010)</w:t>
      </w:r>
      <w:r>
        <w:fldChar w:fldCharType="end"/>
      </w:r>
      <w:r w:rsidRPr="00153E78">
        <w:t xml:space="preserve"> summarises previous studies undertaken to evaluate ground-motion attenuation characteristics across the Australian stable continental region; from attenuation based on mean radii from isoseismal maps </w:t>
      </w:r>
      <w:r>
        <w:fldChar w:fldCharType="begin"/>
      </w:r>
      <w:r w:rsidR="00F202D0">
        <w:instrText xml:space="preserve"> ADDIN EN.CITE &lt;EndNote&gt;&lt;Cite&gt;&lt;Author&gt;Gaull&lt;/Author&gt;&lt;Year&gt;1990&lt;/Year&gt;&lt;RecNum&gt;568&lt;/RecNum&gt;&lt;Prefix&gt;e.g.`, &lt;/Prefix&gt;&lt;record&gt;&lt;rec-number&gt;568&lt;/rec-number&gt;&lt;foreign-keys&gt;&lt;key app="EN" db-id="se5z02d5txder3eax2p5wz5j59zvz2tdzdd2"&gt;568&lt;/key&gt;&lt;/foreign-keys&gt;&lt;ref-type name="Journal Article"&gt;17&lt;/ref-type&gt;&lt;contributors&gt;&lt;authors&gt;&lt;author&gt;Gaull, B. A.&lt;/author&gt;&lt;author&gt;Michael-Leiba, M. O. &lt;/author&gt;&lt;author&gt;Rynn, J. M. W.&lt;/author&gt;&lt;/authors&gt;&lt;/contributors&gt;&lt;titles&gt;&lt;title&gt;Probabilistic earthquake risk maps of Australia&lt;/title&gt;&lt;secondary-title&gt;Aust. J. Earth. Sci.&lt;/secondary-title&gt;&lt;/titles&gt;&lt;periodical&gt;&lt;full-title&gt;Aust. J. Earth. Sci.&lt;/full-title&gt;&lt;/periodical&gt;&lt;pages&gt;169-187&lt;/pages&gt;&lt;volume&gt;37&lt;/volume&gt;&lt;number&gt;2&lt;/number&gt;&lt;keywords&gt;&lt;keyword&gt;Australia, earthquake hazard&lt;/keyword&gt;&lt;/keywords&gt;&lt;dates&gt;&lt;year&gt;1990&lt;/year&gt;&lt;/dates&gt;&lt;urls&gt;&lt;pdf-urls&gt;&lt;url&gt;internal-pdf://Gaull et al (1990).Australia.hazard-3318622986/Gaull et al (1990).Australia.hazard.pdf&lt;/url&gt;&lt;/pdf-urls&gt;&lt;/urls&gt;&lt;/record&gt;&lt;/Cite&gt;&lt;/EndNote&gt;</w:instrText>
      </w:r>
      <w:r>
        <w:fldChar w:fldCharType="separate"/>
      </w:r>
      <w:r>
        <w:rPr>
          <w:noProof/>
        </w:rPr>
        <w:t>(e.g., Gaull</w:t>
      </w:r>
      <w:r w:rsidRPr="003D3528">
        <w:rPr>
          <w:i/>
          <w:noProof/>
        </w:rPr>
        <w:t xml:space="preserve"> et al.</w:t>
      </w:r>
      <w:r>
        <w:rPr>
          <w:noProof/>
        </w:rPr>
        <w:t>, 1990)</w:t>
      </w:r>
      <w:r>
        <w:fldChar w:fldCharType="end"/>
      </w:r>
      <w:r>
        <w:t xml:space="preserve"> through to modern GMPEs developed using sophisticated numerical simulation techniques </w:t>
      </w:r>
      <w:r>
        <w:fldChar w:fldCharType="begin">
          <w:fldData xml:space="preserve">PEVuZE5vdGU+PENpdGU+PEF1dGhvcj5MaWFuZzwvQXV0aG9yPjxZZWFyPjIwMDg8L1llYXI+PFJl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</w:fldData>
        </w:fldChar>
      </w:r>
      <w:r w:rsidR="00F202D0">
        <w:instrText xml:space="preserve"> ADDIN EN.CITE </w:instrText>
      </w:r>
      <w:r w:rsidR="00F202D0">
        <w:fldChar w:fldCharType="begin">
          <w:fldData xml:space="preserve">PEVuZE5vdGU+PENpdGU+PEF1dGhvcj5MaWFuZzwvQXV0aG9yPjxZZWFyPjIwMDg8L1llYXI+PFJl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</w:fldData>
        </w:fldChar>
      </w:r>
      <w:r w:rsidR="00F202D0">
        <w:instrText xml:space="preserve"> ADDIN EN.CITE.DATA </w:instrText>
      </w:r>
      <w:r w:rsidR="00F202D0">
        <w:fldChar w:fldCharType="end"/>
      </w:r>
      <w:r>
        <w:fldChar w:fldCharType="separate"/>
      </w:r>
      <w:r>
        <w:rPr>
          <w:noProof/>
        </w:rPr>
        <w:t>(e.g., Lam and Wilson, 2008; Liang</w:t>
      </w:r>
      <w:r w:rsidRPr="003D3528">
        <w:rPr>
          <w:i/>
          <w:noProof/>
        </w:rPr>
        <w:t xml:space="preserve"> et al.</w:t>
      </w:r>
      <w:r>
        <w:rPr>
          <w:noProof/>
        </w:rPr>
        <w:t>, 2008; Somerville</w:t>
      </w:r>
      <w:r w:rsidRPr="003D3528">
        <w:rPr>
          <w:i/>
          <w:noProof/>
        </w:rPr>
        <w:t xml:space="preserve"> et al.</w:t>
      </w:r>
      <w:r>
        <w:rPr>
          <w:noProof/>
        </w:rPr>
        <w:t>, 2009)</w:t>
      </w:r>
      <w:r>
        <w:fldChar w:fldCharType="end"/>
      </w:r>
      <w:r>
        <w:t>.  A subsequent review of Australian-specific GMPEs and those developed for other regions a</w:t>
      </w:r>
      <w:smartTag w:uri="urn:schemas-microsoft-com:office:smarttags" w:element="PersonName">
        <w:r>
          <w:t>ga</w:t>
        </w:r>
      </w:smartTag>
      <w:r>
        <w:t xml:space="preserve">inst recorded ground-motions by Allen </w:t>
      </w:r>
      <w:r w:rsidRPr="00332AA7">
        <w:rPr>
          <w:rStyle w:val="Bodytextitalic"/>
        </w:rPr>
        <w:t>et al</w:t>
      </w:r>
      <w:r>
        <w:t xml:space="preserve">. </w:t>
      </w:r>
      <w:r>
        <w:fldChar w:fldCharType="begin"/>
      </w:r>
      <w:r w:rsidR="00F202D0">
        <w:instrText xml:space="preserve"> ADDIN EN.CITE &lt;EndNote&gt;&lt;Cite ExcludeAuth="1"&gt;&lt;Author&gt;Allen&lt;/Author&gt;&lt;Year&gt;2011&lt;/Year&gt;&lt;RecNum&gt;1029&lt;/RecNum&gt;&lt;record&gt;&lt;rec-number&gt;1029&lt;/rec-number&gt;&lt;foreign-keys&gt;&lt;key app="EN" db-id="se5z02d5txder3eax2p5wz5j59zvz2tdzdd2"&gt;1029&lt;/key&gt;&lt;/foreign-keys&gt;&lt;ref-type name="Conference Proceedings"&gt;10&lt;/ref-type&gt;&lt;contributors&gt;&lt;authors&gt;&lt;author&gt;Allen, T.&lt;/author&gt;&lt;author&gt;Leonard, M.&lt;/author&gt;&lt;author&gt;Collins, C.&lt;/author&gt;&lt;/authors&gt;&lt;/contributors&gt;&lt;titles&gt;&lt;title&gt;The 2012 Australian Seismic Hazard Map – catalogue and ground motion prediction equations&lt;/title&gt;&lt;secondary-title&gt;Proceedings of the 2011 Australian Earthquake Engineering Society Conference&lt;/secondary-title&gt;&lt;/titles&gt;&lt;dates&gt;&lt;year&gt;2011&lt;/year&gt;&lt;/dates&gt;&lt;pub-location&gt;Barossa Valley, South Australia&lt;/pub-location&gt;&lt;publisher&gt;Australian Earthquake Engineering Society&lt;/publisher&gt;&lt;urls&gt;&lt;pdf-urls&gt;&lt;url&gt;internal-pdf://Allen etal (2011).AEES_paper_II.v9-3737335045/Allen etal (2011).AEES_paper_II.v9.pdf&lt;/url&gt;&lt;/pdf-urls&gt;&lt;/urls&gt;&lt;/record&gt;&lt;/Cite&gt;&lt;/EndNote&gt;</w:instrText>
      </w:r>
      <w:r>
        <w:fldChar w:fldCharType="separate"/>
      </w:r>
      <w:r>
        <w:rPr>
          <w:noProof/>
        </w:rPr>
        <w:t>(2011)</w:t>
      </w:r>
      <w:r>
        <w:fldChar w:fldCharType="end"/>
      </w:r>
      <w:r>
        <w:t xml:space="preserve"> indicated that two of the models </w:t>
      </w:r>
      <w:r>
        <w:fldChar w:fldCharType="begin"/>
      </w:r>
      <w:r w:rsidR="00F202D0">
        <w:instrText xml:space="preserve"> ADDIN EN.CITE &lt;EndNote&gt;&lt;Cite&gt;&lt;Author&gt;Atkinson&lt;/Author&gt;&lt;Year&gt;2006&lt;/Year&gt;&lt;RecNum&gt;4&lt;/RecNum&gt;&lt;record&gt;&lt;rec-number&gt;4&lt;/rec-number&gt;&lt;foreign-keys&gt;&lt;key app="EN" db-id="se5z02d5txder3eax2p5wz5j59zvz2tdzdd2"&gt;4&lt;/key&gt;&lt;/foreign-keys&gt;&lt;ref-type name="Journal Article"&gt;17&lt;/ref-type&gt;&lt;contributors&gt;&lt;authors&gt;&lt;author&gt;Atkinson, G. M.&lt;/author&gt;&lt;author&gt;Boore, D. M.&lt;/author&gt;&lt;/authors&gt;&lt;/contributors&gt;&lt;titles&gt;&lt;title&gt;Earthquake ground-motion predictions for eastern North America&lt;/title&gt;&lt;secondary-title&gt;Bull. Seism. Soc. Am.&lt;/secondary-title&gt;&lt;/titles&gt;&lt;periodical&gt;&lt;full-title&gt;Bull. Seism. Soc. Am.&lt;/full-title&gt;&lt;/periodical&gt;&lt;pages&gt;2181-2205&lt;/pages&gt;&lt;volume&gt;96&lt;/volume&gt;&lt;dates&gt;&lt;year&gt;2006&lt;/year&gt;&lt;/dates&gt;&lt;urls&gt;&lt;pdf-urls&gt;&lt;url&gt;internal-pdf://Atkinson and Boore (2006) GMPE for E. North America-1948709120/Atkinson and Boore (2006) GMPE for E. North America.pdf&lt;/url&gt;&lt;/pdf-urls&gt;&lt;/urls&gt;&lt;/record&gt;&lt;/Cite&gt;&lt;Cite&gt;&lt;Author&gt;Chiou&lt;/Author&gt;&lt;Year&gt;2008&lt;/Year&gt;&lt;RecNum&gt;395&lt;/RecNum&gt;&lt;record&gt;&lt;rec-number&gt;395&lt;/rec-number&gt;&lt;foreign-keys&gt;&lt;key app="EN" db-id="se5z02d5txder3eax2p5wz5j59zvz2tdzdd2"&gt;395&lt;/key&gt;&lt;/foreign-keys&gt;&lt;ref-type name="Journal Article"&gt;17&lt;/ref-type&gt;&lt;contributors&gt;&lt;authors&gt;&lt;author&gt;Chiou, B. S.-J.&lt;/author&gt;&lt;author&gt;Youngs, R. R.&lt;/author&gt;&lt;/authors&gt;&lt;/contributors&gt;&lt;titles&gt;&lt;title&gt;An NGA model for the average horizontal component of peak ground motion and response spectra&lt;/title&gt;&lt;secondary-title&gt;Earthq. Spectra&lt;/secondary-title&gt;&lt;/titles&gt;&lt;periodical&gt;&lt;full-title&gt;Earthq. Spectra&lt;/full-title&gt;&lt;/periodical&gt;&lt;pages&gt;173–215&lt;/pages&gt;&lt;volume&gt;24&lt;/volume&gt;&lt;number&gt;1&lt;/number&gt;&lt;keywords&gt;&lt;keyword&gt;NGA, California, GMPE, ground motion&lt;/keyword&gt;&lt;/keywords&gt;&lt;dates&gt;&lt;year&gt;2008&lt;/year&gt;&lt;/dates&gt;&lt;urls&gt;&lt;pdf-urls&gt;&lt;url&gt;internal-pdf://Chiou &amp;amp; Youngs (2008) NGA-2649968661/Chiou &amp;amp; Youngs (2008) NGA.pdf&lt;/url&gt;&lt;/pdf-urls&gt;&lt;/urls&gt;&lt;/record&gt;&lt;/Cite&gt;&lt;/EndNote&gt;</w:instrText>
      </w:r>
      <w:r>
        <w:fldChar w:fldCharType="separate"/>
      </w:r>
      <w:r>
        <w:rPr>
          <w:noProof/>
        </w:rPr>
        <w:t>(Atkinson and Boore, 2006; Chiou and Youngs, 2008)</w:t>
      </w:r>
      <w:r>
        <w:fldChar w:fldCharType="end"/>
      </w:r>
      <w:r>
        <w:t xml:space="preserve"> appeared to approximate Australian ground-motions at periods appropriate for the national hazard model</w:t>
      </w:r>
      <w:r w:rsidR="00890F92">
        <w:t xml:space="preserve"> at short source-receiver distances</w:t>
      </w:r>
      <w:r>
        <w:t>.</w:t>
      </w:r>
      <w:r w:rsidR="003314F8">
        <w:t xml:space="preserve">  For the national hazard model, we are most interested in short period ground motions (i.e. peak ground acceleration)</w:t>
      </w:r>
      <w:r w:rsidR="00890683">
        <w:t xml:space="preserve">, and the conclusions inferred by Allen </w:t>
      </w:r>
      <w:r w:rsidR="00890683" w:rsidRPr="00332AA7">
        <w:rPr>
          <w:rStyle w:val="Bodytextitalic"/>
        </w:rPr>
        <w:t xml:space="preserve">et al. </w:t>
      </w:r>
      <w:r w:rsidR="00890683">
        <w:t>(2011) reflect this requirement.</w:t>
      </w:r>
      <w:r>
        <w:t xml:space="preserve">  However, the long-distance characteristics of the aforementioned models are not appropriate for the attenuation of ground-motion observed in southeastern Australia </w:t>
      </w:r>
      <w:r>
        <w:fldChar w:fldCharType="begin"/>
      </w:r>
      <w:r w:rsidR="00F202D0">
        <w:instrText xml:space="preserve"> ADDIN EN.CITE &lt;EndNote&gt;&lt;Cite&gt;&lt;Author&gt;Allen&lt;/Author&gt;&lt;Year&gt;2011&lt;/Year&gt;&lt;RecNum&gt;1029&lt;/RecNum&gt;&lt;record&gt;&lt;rec-number&gt;1029&lt;/rec-number&gt;&lt;foreign-keys&gt;&lt;key app="EN" db-id="se5z02d5txder3eax2p5wz5j59zvz2tdzdd2"&gt;1029&lt;/key&gt;&lt;/foreign-keys&gt;&lt;ref-type name="Conference Proceedings"&gt;10&lt;/ref-type&gt;&lt;contributors&gt;&lt;authors&gt;&lt;author&gt;Allen, T.&lt;/author&gt;&lt;author&gt;Leonard, M.&lt;/author&gt;&lt;author&gt;Collins, C.&lt;/author&gt;&lt;/authors&gt;&lt;/contributors&gt;&lt;titles&gt;&lt;title&gt;The 2012 Australian Seismic Hazard Map – catalogue and ground motion prediction equations&lt;/title&gt;&lt;secondary-title&gt;Proceedings of the 2011 Australian Earthquake Engineering Society Conference&lt;/secondary-title&gt;&lt;/titles&gt;&lt;dates&gt;&lt;year&gt;2011&lt;/year&gt;&lt;/dates&gt;&lt;pub-location&gt;Barossa Valley, South Australia&lt;/pub-location&gt;&lt;publisher&gt;Australian Earthquake Engineering Society&lt;/publisher&gt;&lt;urls&gt;&lt;pdf-urls&gt;&lt;url&gt;internal-pdf://Allen etal (2011).AEES_paper_II.v9-3737335045/Allen etal (2011).AEES_paper_II.v9.pdf&lt;/url&gt;&lt;/pdf-urls&gt;&lt;/urls&gt;&lt;/record&gt;&lt;/Cite&gt;&lt;/EndNote&gt;</w:instrText>
      </w:r>
      <w:r>
        <w:fldChar w:fldCharType="separate"/>
      </w:r>
      <w:r>
        <w:rPr>
          <w:noProof/>
        </w:rPr>
        <w:t>(Allen</w:t>
      </w:r>
      <w:r w:rsidRPr="003D3528">
        <w:rPr>
          <w:i/>
          <w:noProof/>
        </w:rPr>
        <w:t xml:space="preserve"> et al.</w:t>
      </w:r>
      <w:r>
        <w:rPr>
          <w:noProof/>
        </w:rPr>
        <w:t>, 2011)</w:t>
      </w:r>
      <w:r>
        <w:fldChar w:fldCharType="end"/>
      </w:r>
      <w:r>
        <w:t xml:space="preserve">.  To capture the epistemic uncertainty, due to lack of knowledge, it is has become standard practice to use multiple GMPEs in a weighted logic tree analysis for </w:t>
      </w:r>
      <w:r w:rsidR="00872040">
        <w:t>probabilistic seismic hazard analysis (</w:t>
      </w:r>
      <w:r>
        <w:t>PSHA</w:t>
      </w:r>
      <w:r w:rsidR="00872040">
        <w:t>)</w:t>
      </w:r>
      <w:r>
        <w:t xml:space="preserve"> </w:t>
      </w:r>
      <w:r>
        <w:fldChar w:fldCharType="begin"/>
      </w:r>
      <w:r w:rsidR="00F202D0">
        <w:instrText xml:space="preserve"> ADDIN EN.CITE &lt;EndNote&gt;&lt;Cite&gt;&lt;Author&gt;Bommer&lt;/Author&gt;&lt;Year&gt;2005&lt;/Year&gt;&lt;RecNum&gt;512&lt;/RecNum&gt;&lt;Prefix&gt;e.g.`, &lt;/Prefix&gt;&lt;record&gt;&lt;rec-number&gt;512&lt;/rec-number&gt;&lt;foreign-keys&gt;&lt;key app="EN" db-id="se5z02d5txder3eax2p5wz5j59zvz2tdzdd2"&gt;512&lt;/key&gt;&lt;/foreign-keys&gt;&lt;ref-type name="Journal Article"&gt;17&lt;/ref-type&gt;&lt;contributors&gt;&lt;authors&gt;&lt;author&gt;Bommer, J. J.&lt;/author&gt;&lt;author&gt;Scherbaum, F.&lt;/author&gt;&lt;author&gt;Bungum, H.&lt;/author&gt;&lt;author&gt;Cotton, F.&lt;/author&gt;&lt;author&gt;Sabetta, F.&lt;/author&gt;&lt;author&gt;Abrahamson, N. A.&lt;/author&gt;&lt;/authors&gt;&lt;/contributors&gt;&lt;titles&gt;&lt;title&gt;On the use of logic trees for ground-motion prediction equations in seismic-hazard analysis&lt;/title&gt;&lt;secondary-title&gt;Bull. Seism. Soc. Am.&lt;/secondary-title&gt;&lt;/titles&gt;&lt;periodical&gt;&lt;full-title&gt;Bull. Seism. Soc. Am.&lt;/full-title&gt;&lt;/periodical&gt;&lt;pages&gt;377–389&lt;/pages&gt;&lt;volume&gt;95&lt;/volume&gt;&lt;number&gt;2&lt;/number&gt;&lt;keywords&gt;&lt;keyword&gt;GMPE selection, logic tree, uncertainty&lt;/keyword&gt;&lt;/keywords&gt;&lt;dates&gt;&lt;year&gt;2005&lt;/year&gt;&lt;/dates&gt;&lt;urls&gt;&lt;pdf-urls&gt;&lt;url&gt;internal-pdf://Bommer etal (2005).GMPE.logic-tree.PSHA-1843356764/Bommer etal (2005).GMPE.logic-tree.PSHA.pdf&lt;/url&gt;&lt;/pdf-urls&gt;&lt;/urls&gt;&lt;/record&gt;&lt;/Cite&gt;&lt;/EndNote&gt;</w:instrText>
      </w:r>
      <w:r>
        <w:fldChar w:fldCharType="separate"/>
      </w:r>
      <w:r>
        <w:rPr>
          <w:noProof/>
        </w:rPr>
        <w:t>(e.g., Bommer</w:t>
      </w:r>
      <w:r w:rsidRPr="003D3528">
        <w:rPr>
          <w:i/>
          <w:noProof/>
        </w:rPr>
        <w:t xml:space="preserve"> et al.</w:t>
      </w:r>
      <w:r>
        <w:rPr>
          <w:noProof/>
        </w:rPr>
        <w:t>, 2005)</w:t>
      </w:r>
      <w:r>
        <w:fldChar w:fldCharType="end"/>
      </w:r>
      <w:r>
        <w:t xml:space="preserve">.  Consequently, a need was seen to incorporate additional GMPEs </w:t>
      </w:r>
      <w:r w:rsidR="003830DD">
        <w:t xml:space="preserve">that were more representative of ground-motions observed in </w:t>
      </w:r>
      <w:smartTag w:uri="urn:schemas-microsoft-com:office:smarttags" w:element="place">
        <w:smartTag w:uri="urn:schemas-microsoft-com:office:smarttags" w:element="country-region">
          <w:r w:rsidR="003830DD">
            <w:t>Australia</w:t>
          </w:r>
        </w:smartTag>
      </w:smartTag>
      <w:r w:rsidR="003830DD">
        <w:t xml:space="preserve"> </w:t>
      </w:r>
      <w:r w:rsidR="009B4BDF">
        <w:t>in</w:t>
      </w:r>
      <w:r w:rsidR="003830DD">
        <w:t>to</w:t>
      </w:r>
      <w:r>
        <w:t xml:space="preserve"> the national hazard model.</w:t>
      </w:r>
    </w:p>
    <w:p w:rsidR="00B15AC0" w:rsidRDefault="00B15AC0" w:rsidP="003F4034">
      <w:pPr>
        <w:pStyle w:val="BodyText"/>
      </w:pPr>
      <w:r>
        <w:t xml:space="preserve">There is currently a major effort to develop a new suite of GMPEs for the Central and Eastern United States (CEUS) – a region often thought to be tectonically analogous to Australia – through the Next Generation Attenuation (NGA)-East Project </w:t>
      </w:r>
      <w:r>
        <w:fldChar w:fldCharType="begin"/>
      </w:r>
      <w:r w:rsidR="00F202D0">
        <w:instrText xml:space="preserve"> ADDIN EN.CITE &lt;EndNote&gt;&lt;Cite&gt;&lt;Author&gt;Goulet&lt;/Author&gt;&lt;Year&gt;2011&lt;/Year&gt;&lt;RecNum&gt;1083&lt;/RecNum&gt;&lt;record&gt;&lt;rec-number&gt;1083&lt;/rec-number&gt;&lt;foreign-keys&gt;&lt;key app="EN" db-id="se5z02d5txder3eax2p5wz5j59zvz2tdzdd2"&gt;1083&lt;/key&gt;&lt;/foreign-keys&gt;&lt;ref-type name="Report"&gt;27&lt;/ref-type&gt;&lt;contributors&gt;&lt;authors&gt;&lt;author&gt;Goulet, C.&lt;/author&gt;&lt;author&gt;Abrahamson, N.&lt;/author&gt;&lt;author&gt;Bozorgnia, Y.&lt;/author&gt;&lt;/authors&gt;&lt;/contributors&gt;&lt;titles&gt;&lt;title&gt;NGA-East final project plan&lt;/title&gt;&lt;/titles&gt;&lt;pages&gt;34&lt;/pages&gt;&lt;dates&gt;&lt;year&gt;2011&lt;/year&gt;&lt;pub-dates&gt;&lt;date&gt;July 2011&lt;/date&gt;&lt;/pub-dates&gt;&lt;/dates&gt;&lt;publisher&gt;Pacific Earthquake Engineering Research Center (PEER), Berkeley, CA&lt;/publisher&gt;&lt;urls&gt;&lt;pdf-urls&gt;&lt;url&gt;internal-pdf://Goulet etal (2011).NGA_East_FinalProjectPlan-2159264308/Goulet etal (2011).NGA_East_FinalProjectPlan.pdf&lt;/url&gt;&lt;/pdf-urls&gt;&lt;/urls&gt;&lt;/record&gt;&lt;/Cite&gt;&lt;/EndNote&gt;</w:instrText>
      </w:r>
      <w:r>
        <w:fldChar w:fldCharType="separate"/>
      </w:r>
      <w:r>
        <w:rPr>
          <w:noProof/>
        </w:rPr>
        <w:t>(Goulet</w:t>
      </w:r>
      <w:r w:rsidRPr="003D3528">
        <w:rPr>
          <w:i/>
          <w:noProof/>
        </w:rPr>
        <w:t xml:space="preserve"> et al.</w:t>
      </w:r>
      <w:r>
        <w:rPr>
          <w:noProof/>
        </w:rPr>
        <w:t>, 2011)</w:t>
      </w:r>
      <w:r>
        <w:fldChar w:fldCharType="end"/>
      </w:r>
      <w:r>
        <w:t xml:space="preserve">.  While Australian ground-motion data have been contributed to this effort and the deliverables from this Project will be highly relevant to seismic hazard applications throughout </w:t>
      </w:r>
      <w:smartTag w:uri="urn:schemas-microsoft-com:office:smarttags" w:element="place">
        <w:smartTag w:uri="urn:schemas-microsoft-com:office:smarttags" w:element="country-region">
          <w:r>
            <w:t>Australia</w:t>
          </w:r>
        </w:smartTag>
      </w:smartTag>
      <w:r>
        <w:t xml:space="preserve">, the outcomes of </w:t>
      </w:r>
      <w:r w:rsidR="004E26FE">
        <w:t xml:space="preserve">the </w:t>
      </w:r>
      <w:r>
        <w:t xml:space="preserve">NGA-East Project were not available for the revision of the 2012 Australian National Earthquake Hazard </w:t>
      </w:r>
      <w:r w:rsidR="00872040">
        <w:t xml:space="preserve">Map </w:t>
      </w:r>
      <w:r>
        <w:t>(ANEHM).</w:t>
      </w:r>
    </w:p>
    <w:p w:rsidR="00B15AC0" w:rsidRDefault="00B15AC0" w:rsidP="00332AA7">
      <w:pPr>
        <w:pStyle w:val="BodyText"/>
      </w:pPr>
      <w:r>
        <w:t xml:space="preserve">This manuscript </w:t>
      </w:r>
      <w:r w:rsidR="00AA75AA">
        <w:t>ou</w:t>
      </w:r>
      <w:r w:rsidR="007021B6">
        <w:t>t</w:t>
      </w:r>
      <w:r w:rsidR="00AA75AA">
        <w:t xml:space="preserve">lines </w:t>
      </w:r>
      <w:r>
        <w:t xml:space="preserve">the development of a stochastic GMPE developed from </w:t>
      </w:r>
      <w:r w:rsidR="004E26FE">
        <w:t xml:space="preserve">source and attenuation </w:t>
      </w:r>
      <w:r>
        <w:t>parameters derived from a suite of ground-motion data recorded in southeastern Australia</w:t>
      </w:r>
      <w:r w:rsidR="00950318">
        <w:t xml:space="preserve"> (SEA)</w:t>
      </w:r>
      <w:r>
        <w:t xml:space="preserve">.  The source and </w:t>
      </w:r>
      <w:r w:rsidRPr="00332AA7">
        <w:t>attenuation</w:t>
      </w:r>
      <w:r>
        <w:t xml:space="preserve"> parameters provided in Allen</w:t>
      </w:r>
      <w:r w:rsidRPr="00332AA7">
        <w:rPr>
          <w:rStyle w:val="Bodytextitalic"/>
        </w:rPr>
        <w:t xml:space="preserve"> et al.</w:t>
      </w:r>
      <w:r>
        <w:t xml:space="preserve"> </w:t>
      </w:r>
      <w:r>
        <w:fldChar w:fldCharType="begin"/>
      </w:r>
      <w:r w:rsidR="00F202D0">
        <w:instrText xml:space="preserve"> ADDIN EN.CITE &lt;EndNote&gt;&lt;Cite ExcludeAuth="1"&gt;&lt;Author&gt;Allen&lt;/Author&gt;&lt;Year&gt;2007&lt;/Year&gt;&lt;RecNum&gt;526&lt;/RecNum&gt;&lt;record&gt;&lt;rec-number&gt;526&lt;/rec-number&gt;&lt;foreign-keys&gt;&lt;key app="EN" db-id="se5z02d5txder3eax2p5wz5j59zvz2tdzdd2"&gt;526&lt;/key&gt;&lt;/foreign-keys&gt;&lt;ref-type name="Journal Article"&gt;17&lt;/ref-type&gt;&lt;contributors&gt;&lt;authors&gt;&lt;author&gt;Allen, T. I.&lt;/author&gt;&lt;author&gt;Cummins, P. R.&lt;/author&gt;&lt;author&gt;Dhu, T.&lt;/author&gt;&lt;author&gt;Schneider, J. F.&lt;/author&gt;&lt;/authors&gt;&lt;/contributors&gt;&lt;titles&gt;&lt;title&gt;Attenuation of ground-motion spectral amplitudes in southeastern Australia&lt;/title&gt;&lt;secondary-title&gt;Bull. Seism. Soc. Am.&lt;/secondary-title&gt;&lt;/titles&gt;&lt;periodical&gt;&lt;full-title&gt;Bull. Seism. Soc. Am.&lt;/full-title&gt;&lt;/periodical&gt;&lt;pages&gt;1279–1292&lt;/pages&gt;&lt;volume&gt;97&lt;/volume&gt;&lt;number&gt;4&lt;/number&gt;&lt;keywords&gt;&lt;keyword&gt;southeastern Australia, attenuation, Fourier&lt;/keyword&gt;&lt;/keywords&gt;&lt;dates&gt;&lt;year&gt;2007&lt;/year&gt;&lt;/dates&gt;&lt;urls&gt;&lt;pdf-urls&gt;&lt;url&gt;internal-pdf://Allen et al (2007). SE Aust.atten-2994310402/Allen et al (2007). SE Aust.atten.pdf&lt;/url&gt;&lt;/pdf-urls&gt;&lt;/urls&gt;&lt;/record&gt;&lt;/Cite&gt;&lt;/EndNote&gt;</w:instrText>
      </w:r>
      <w:r>
        <w:fldChar w:fldCharType="separate"/>
      </w:r>
      <w:r>
        <w:rPr>
          <w:noProof/>
        </w:rPr>
        <w:t>(2007)</w:t>
      </w:r>
      <w:r>
        <w:fldChar w:fldCharType="end"/>
      </w:r>
      <w:r>
        <w:t xml:space="preserve"> are first reviewed and modified in light of </w:t>
      </w:r>
      <w:r w:rsidR="003830DD">
        <w:t xml:space="preserve">additional </w:t>
      </w:r>
      <w:r>
        <w:t xml:space="preserve">data and more rigorous statistical analysis.  This includes the revision of geometrical attenuation and anelastic attenuation models, which </w:t>
      </w:r>
      <w:r w:rsidR="004E26FE">
        <w:t xml:space="preserve">subsequently </w:t>
      </w:r>
      <w:r>
        <w:t xml:space="preserve">allow the update of earthquake source parameters: moment magnitude and stress drop.  The dependence of stress drop </w:t>
      </w:r>
      <w:r w:rsidR="003830DD">
        <w:t xml:space="preserve">on </w:t>
      </w:r>
      <w:r w:rsidR="00AA75AA">
        <w:t xml:space="preserve">hypocentral </w:t>
      </w:r>
      <w:r>
        <w:t xml:space="preserve">depth is examined, and options are provided for variable </w:t>
      </w:r>
      <w:r w:rsidR="004E26FE">
        <w:t xml:space="preserve">Brune </w:t>
      </w:r>
      <w:r>
        <w:t>stress drops in</w:t>
      </w:r>
      <w:r w:rsidR="00950318">
        <w:t xml:space="preserve"> the</w:t>
      </w:r>
      <w:r>
        <w:t xml:space="preserve"> predictive GMPE.  The near-surface</w:t>
      </w:r>
      <w:r w:rsidR="00950318">
        <w:t>, path-independent</w:t>
      </w:r>
      <w:r>
        <w:t xml:space="preserve"> </w:t>
      </w:r>
      <w:r w:rsidR="00950318">
        <w:t xml:space="preserve">diminution </w:t>
      </w:r>
      <w:r>
        <w:t xml:space="preserve">parameter immediately beneath the station, </w:t>
      </w:r>
      <w:r w:rsidRPr="00332AA7">
        <w:rPr>
          <w:rStyle w:val="Bodytextitalic"/>
        </w:rPr>
        <w:sym w:font="Symbol" w:char="F06B"/>
      </w:r>
      <w:r w:rsidRPr="002F0D96">
        <w:rPr>
          <w:vertAlign w:val="subscript"/>
        </w:rPr>
        <w:t>0</w:t>
      </w:r>
      <w:r>
        <w:t xml:space="preserve">, </w:t>
      </w:r>
      <w:r>
        <w:fldChar w:fldCharType="begin"/>
      </w:r>
      <w:r w:rsidR="00ED1C32">
        <w:instrText xml:space="preserve"> ADDIN EN.CITE </w:instrText>
      </w:r>
      <w:r w:rsidR="00ED1C32">
        <w:fldChar w:fldCharType="begin"/>
      </w:r>
      <w:r w:rsidR="00ED1C32">
        <w:instrText xml:space="preserve"> ADDIN EN.CITE.DATA </w:instrText>
      </w:r>
      <w:r w:rsidR="00ED1C32">
        <w:instrText>笁</w:instrText>
      </w:r>
      <w:r w:rsidR="00ED1C32">
        <w:fldChar w:fldCharType="end"/>
      </w:r>
      <w:r>
        <w:fldChar w:fldCharType="separate"/>
      </w:r>
      <w:r>
        <w:t>(Anderson and Hough, 1984; Campbell, 2009; Van Houtte</w:t>
      </w:r>
      <w:r w:rsidRPr="00A871B6">
        <w:rPr>
          <w:i/>
        </w:rPr>
        <w:t xml:space="preserve"> et al.</w:t>
      </w:r>
      <w:r>
        <w:t>, 2011)</w:t>
      </w:r>
      <w:r>
        <w:fldChar w:fldCharType="end"/>
      </w:r>
      <w:r>
        <w:t xml:space="preserve"> is also examined for average station conditions</w:t>
      </w:r>
      <w:r w:rsidR="00950318">
        <w:t xml:space="preserve"> in SEA</w:t>
      </w:r>
      <w:r>
        <w:t xml:space="preserve">, in addition to the parameter’s correspondence with a limited dataset of </w:t>
      </w:r>
      <w:r w:rsidR="004B3250">
        <w:t>time-</w:t>
      </w:r>
      <w:r>
        <w:t>average</w:t>
      </w:r>
      <w:r w:rsidR="004B3250">
        <w:t>d</w:t>
      </w:r>
      <w:r>
        <w:t xml:space="preserve"> shear-wave velocity measurements in the upper 30 m (</w:t>
      </w:r>
      <w:r w:rsidR="00172353" w:rsidRPr="00332AA7">
        <w:rPr>
          <w:rStyle w:val="Bodytextitalic"/>
        </w:rPr>
        <w:t>V</w:t>
      </w:r>
      <w:r w:rsidR="00172353" w:rsidRPr="00172353">
        <w:rPr>
          <w:rStyle w:val="Subscriptitalic"/>
        </w:rPr>
        <w:t>S30</w:t>
      </w:r>
      <w:r>
        <w:t>) at seismic recording stations across Australia.</w:t>
      </w:r>
    </w:p>
    <w:p w:rsidR="00B15AC0" w:rsidRDefault="00B15AC0" w:rsidP="003F4034">
      <w:pPr>
        <w:pStyle w:val="BodyText"/>
      </w:pPr>
      <w:r>
        <w:lastRenderedPageBreak/>
        <w:t xml:space="preserve">Finally, the updated source and attenuation parameters are used as inputs to the </w:t>
      </w:r>
      <w:r w:rsidRPr="0056778A">
        <w:t>stochastic</w:t>
      </w:r>
      <w:r>
        <w:t xml:space="preserve"> </w:t>
      </w:r>
      <w:r w:rsidRPr="0056778A">
        <w:t xml:space="preserve">finite-fault </w:t>
      </w:r>
      <w:r>
        <w:t xml:space="preserve">software package, EXSIM </w:t>
      </w:r>
      <w:r>
        <w:fldChar w:fldCharType="begin"/>
      </w:r>
      <w:r w:rsidR="00F202D0">
        <w:instrText xml:space="preserve"> ADDIN EN.CITE &lt;EndNote&gt;&lt;Cite&gt;&lt;Author&gt;Motazedian&lt;/Author&gt;&lt;Year&gt;2005&lt;/Year&gt;&lt;RecNum&gt;1082&lt;/RecNum&gt;&lt;record&gt;&lt;rec-number&gt;1082&lt;/rec-number&gt;&lt;foreign-keys&gt;&lt;key app="EN" db-id="se5z02d5txder3eax2p5wz5j59zvz2tdzdd2"&gt;1082&lt;/key&gt;&lt;/foreign-keys&gt;&lt;ref-type name="Journal Article"&gt;17&lt;/ref-type&gt;&lt;contributors&gt;&lt;authors&gt;&lt;author&gt;Motazedian, D.&lt;/author&gt;&lt;author&gt;Atkinson, G. M.&lt;/author&gt;&lt;/authors&gt;&lt;/contributors&gt;&lt;titles&gt;&lt;title&gt;Stochastic finite-fault modeling based on a dynamic corner frequency&lt;/title&gt;&lt;secondary-title&gt;Bull. Seism. Soc. Am.&lt;/secondary-title&gt;&lt;/titles&gt;&lt;periodical&gt;&lt;full-title&gt;Bull. Seism. Soc. Am.&lt;/full-title&gt;&lt;/periodical&gt;&lt;pages&gt;995–1010&lt;/pages&gt;&lt;volume&gt;95&lt;/volume&gt;&lt;number&gt;3&lt;/number&gt;&lt;keywords&gt;&lt;keyword&gt;eXSIM, SMSIM, stochastic&lt;/keyword&gt;&lt;/keywords&gt;&lt;dates&gt;&lt;year&gt;2005&lt;/year&gt;&lt;/dates&gt;&lt;urls&gt;&lt;pdf-urls&gt;&lt;url&gt;internal-pdf://Motazedian &amp;amp; Atkinson (2005).stochasitc.gm_sim.exsi-3096532020/Motazedian &amp;amp; Atkinson (2005).stochasitc.gm_sim.exsim.pdf&lt;/url&gt;&lt;/pdf-urls&gt;&lt;/urls&gt;&lt;/record&gt;&lt;/Cite&gt;&lt;Cite&gt;&lt;Author&gt;Atkinson&lt;/Author&gt;&lt;Year&gt;2006&lt;/Year&gt;&lt;RecNum&gt;4&lt;/RecNum&gt;&lt;record&gt;&lt;rec-number&gt;4&lt;/rec-number&gt;&lt;foreign-keys&gt;&lt;key app="EN" db-id="se5z02d5txder3eax2p5wz5j59zvz2tdzdd2"&gt;4&lt;/key&gt;&lt;/foreign-keys&gt;&lt;ref-type name="Journal Article"&gt;17&lt;/ref-type&gt;&lt;contributors&gt;&lt;authors&gt;&lt;author&gt;Atkinson, G. M.&lt;/author&gt;&lt;author&gt;Boore, D. M.&lt;/author&gt;&lt;/authors&gt;&lt;/contributors&gt;&lt;titles&gt;&lt;title&gt;Earthquake ground-motion predictions for eastern North America&lt;/title&gt;&lt;secondary-title&gt;Bull. Seism. Soc. Am.&lt;/secondary-title&gt;&lt;/titles&gt;&lt;periodical&gt;&lt;full-title&gt;Bull. Seism. Soc. Am.&lt;/full-title&gt;&lt;/periodical&gt;&lt;pages&gt;2181-2205&lt;/pages&gt;&lt;volume&gt;96&lt;/volume&gt;&lt;dates&gt;&lt;year&gt;2006&lt;/year&gt;&lt;/dates&gt;&lt;urls&gt;&lt;pdf-urls&gt;&lt;url&gt;internal-pdf://Atkinson and Boore (2006) GMPE for E. North America-1948709120/Atkinson and Boore (2006) GMPE for E. North America.pdf&lt;/url&gt;&lt;/pdf-urls&gt;&lt;/urls&gt;&lt;/record&gt;&lt;/Cite&gt;&lt;/EndNote&gt;</w:instrText>
      </w:r>
      <w:r>
        <w:fldChar w:fldCharType="separate"/>
      </w:r>
      <w:r>
        <w:rPr>
          <w:noProof/>
        </w:rPr>
        <w:t>(Motazedian and Atkinson, 2005; Atkinson and Boore, 2006)</w:t>
      </w:r>
      <w:r>
        <w:fldChar w:fldCharType="end"/>
      </w:r>
      <w:r>
        <w:t xml:space="preserve">.  Five-percent damped response spectral accelerations are simulated for earthquakes of moment magnitude </w:t>
      </w:r>
      <w:r w:rsidR="00172353" w:rsidRPr="00172353">
        <w:rPr>
          <w:rStyle w:val="Bodytextitalic"/>
        </w:rPr>
        <w:t>M</w:t>
      </w:r>
      <w:r w:rsidR="00172353" w:rsidRPr="00172353">
        <w:rPr>
          <w:rStyle w:val="Subscriptitalic"/>
        </w:rPr>
        <w:t>W</w:t>
      </w:r>
      <w:r w:rsidR="00172353">
        <w:t xml:space="preserve"> </w:t>
      </w:r>
      <w:r>
        <w:t>4.0 to 7.5. These stochastic data are then regressed to obtain model coefficients and the resulting model is evaluated a</w:t>
      </w:r>
      <w:smartTag w:uri="urn:schemas-microsoft-com:office:smarttags" w:element="PersonName">
        <w:r>
          <w:t>ga</w:t>
        </w:r>
      </w:smartTag>
      <w:r>
        <w:t xml:space="preserve">inst recorded response spectral data for moderate-magnitude earthquakes recorded in southeastern </w:t>
      </w:r>
      <w:smartTag w:uri="urn:schemas-microsoft-com:office:smarttags" w:element="place">
        <w:smartTag w:uri="urn:schemas-microsoft-com:office:smarttags" w:element="country-region">
          <w:r>
            <w:t>Australia</w:t>
          </w:r>
        </w:smartTag>
      </w:smartTag>
      <w:r>
        <w:t>.  The</w:t>
      </w:r>
      <w:r w:rsidRPr="00F956AD">
        <w:t xml:space="preserve"> products </w:t>
      </w:r>
      <w:r>
        <w:t xml:space="preserve">presented herein </w:t>
      </w:r>
      <w:r w:rsidR="003830DD">
        <w:t xml:space="preserve">provide an </w:t>
      </w:r>
      <w:r w:rsidRPr="00F956AD">
        <w:t>improved prediction of earthquake ground</w:t>
      </w:r>
      <w:r w:rsidR="003830DD">
        <w:t>-</w:t>
      </w:r>
      <w:r w:rsidRPr="00F956AD">
        <w:t xml:space="preserve">shaking potential in </w:t>
      </w:r>
      <w:smartTag w:uri="urn:schemas-microsoft-com:office:smarttags" w:element="place">
        <w:smartTag w:uri="urn:schemas-microsoft-com:office:smarttags" w:element="country-region">
          <w:r w:rsidRPr="00F956AD">
            <w:t>Australia</w:t>
          </w:r>
        </w:smartTag>
      </w:smartTag>
      <w:r w:rsidRPr="00F956AD">
        <w:t xml:space="preserve"> </w:t>
      </w:r>
      <w:r>
        <w:t>for the</w:t>
      </w:r>
      <w:r w:rsidR="004517EE">
        <w:t xml:space="preserve"> Australian National Earthquake Hazard Map</w:t>
      </w:r>
      <w:r>
        <w:t xml:space="preserve"> </w:t>
      </w:r>
      <w:r w:rsidR="004517EE">
        <w:t>(</w:t>
      </w:r>
      <w:r>
        <w:t>ANEHM</w:t>
      </w:r>
      <w:r w:rsidR="004517EE">
        <w:t>)</w:t>
      </w:r>
      <w:r>
        <w:t xml:space="preserve"> and future PSHA studies.  Furthermore, the models have the potential to </w:t>
      </w:r>
      <w:r w:rsidRPr="00F956AD">
        <w:t>provide critical decision support information for planners and emergency managers involved in disaster miti</w:t>
      </w:r>
      <w:smartTag w:uri="urn:schemas-microsoft-com:office:smarttags" w:element="PersonName">
        <w:r w:rsidRPr="00F956AD">
          <w:t>ga</w:t>
        </w:r>
      </w:smartTag>
      <w:r w:rsidRPr="00F956AD">
        <w:t xml:space="preserve">tion </w:t>
      </w:r>
      <w:r>
        <w:t>and response.</w:t>
      </w:r>
    </w:p>
    <w:p w:rsidR="00B15AC0" w:rsidRDefault="00050122" w:rsidP="0030259D">
      <w:pPr>
        <w:pStyle w:val="Heading1"/>
      </w:pPr>
      <w:bookmarkStart w:id="41" w:name="_Toc319656506"/>
      <w:bookmarkStart w:id="42" w:name="_Toc319656595"/>
      <w:r>
        <w:br w:type="page"/>
      </w:r>
      <w:bookmarkStart w:id="43" w:name="_Toc319918549"/>
      <w:bookmarkStart w:id="44" w:name="_Toc319918818"/>
      <w:bookmarkStart w:id="45" w:name="_Toc349112529"/>
      <w:r w:rsidR="00B15AC0">
        <w:lastRenderedPageBreak/>
        <w:t>Stochastic Method</w:t>
      </w:r>
      <w:bookmarkEnd w:id="41"/>
      <w:bookmarkEnd w:id="42"/>
      <w:bookmarkEnd w:id="43"/>
      <w:bookmarkEnd w:id="44"/>
      <w:bookmarkEnd w:id="45"/>
    </w:p>
    <w:p w:rsidR="00B15AC0" w:rsidRDefault="00B15AC0" w:rsidP="003F4034">
      <w:pPr>
        <w:pStyle w:val="BodyText"/>
      </w:pPr>
      <w:r>
        <w:t xml:space="preserve">The stochastic method is particularly useful for simulating earthquake ground-motions in regions of the world where recordings from large damaging earthquakes are simply not available </w:t>
      </w:r>
      <w:r>
        <w:fldChar w:fldCharType="begin"/>
      </w:r>
      <w:r w:rsidR="00F202D0">
        <w:instrText xml:space="preserve"> ADDIN EN.CITE &lt;EndNote&gt;&lt;Cite&gt;&lt;Author&gt;Boore&lt;/Author&gt;&lt;Year&gt;2003&lt;/Year&gt;&lt;RecNum&gt;99&lt;/RecNum&gt;&lt;record&gt;&lt;rec-number&gt;99&lt;/rec-number&gt;&lt;foreign-keys&gt;&lt;key app="EN" db-id="se5z02d5txder3eax2p5wz5j59zvz2tdzdd2"&gt;99&lt;/key&gt;&lt;/foreign-keys&gt;&lt;ref-type name="Journal Article"&gt;17&lt;/ref-type&gt;&lt;contributors&gt;&lt;authors&gt;&lt;author&gt;Boore, D. M.&lt;/author&gt;&lt;/authors&gt;&lt;/contributors&gt;&lt;titles&gt;&lt;title&gt;Simulation of ground motion using the stochastic method&lt;/title&gt;&lt;secondary-title&gt;Pure appl. geophys.&lt;/secondary-title&gt;&lt;/titles&gt;&lt;periodical&gt;&lt;full-title&gt;Pure appl. geophys.&lt;/full-title&gt;&lt;/periodical&gt;&lt;pages&gt;635-676&lt;/pages&gt;&lt;volume&gt;160&lt;/volume&gt;&lt;dates&gt;&lt;year&gt;2003&lt;/year&gt;&lt;/dates&gt;&lt;urls&gt;&lt;pdf-urls&gt;&lt;url&gt;internal-pdf://Boore (2003) Stochastic ground motion-3611261696/Boore (2003) Stochastic ground motion.pdf&lt;/url&gt;&lt;/pdf-urls&gt;&lt;/urls&gt;&lt;/record&gt;&lt;/Cite&gt;&lt;Cite&gt;&lt;Author&gt;Boore&lt;/Author&gt;&lt;Year&gt;1983&lt;/Year&gt;&lt;RecNum&gt;846&lt;/RecNum&gt;&lt;record&gt;&lt;rec-number&gt;846&lt;/rec-number&gt;&lt;foreign-keys&gt;&lt;key app="EN" db-id="se5z02d5txder3eax2p5wz5j59zvz2tdzdd2"&gt;846&lt;/key&gt;&lt;/foreign-keys&gt;&lt;ref-type name="Journal Article"&gt;17&lt;/ref-type&gt;&lt;contributors&gt;&lt;authors&gt;&lt;author&gt;Boore, D. M.&lt;/author&gt;&lt;/authors&gt;&lt;/contributors&gt;&lt;titles&gt;&lt;title&gt;Stochastic simulation of high-frequency ground motions based on seismological models of the radiated spectra&lt;/title&gt;&lt;secondary-title&gt;Bull. Seism. Soc. Am.&lt;/secondary-title&gt;&lt;/titles&gt;&lt;periodical&gt;&lt;full-title&gt;Bull. Seism. Soc. Am.&lt;/full-title&gt;&lt;/periodical&gt;&lt;pages&gt;1865-1894&lt;/pages&gt;&lt;volume&gt;73&lt;/volume&gt;&lt;number&gt;6&lt;/number&gt;&lt;dates&gt;&lt;year&gt;1983&lt;/year&gt;&lt;/dates&gt;&lt;urls&gt;&lt;pdf-urls&gt;&lt;url&gt;internal-pdf://Boore (1983).stochastic simulation of gm-1563857927/Boore (1983).stochastic simulation of gm.pdf&lt;/url&gt;&lt;/pdf-urls&gt;&lt;/urls&gt;&lt;/record&gt;&lt;/Cite&gt;&lt;/EndNote&gt;</w:instrText>
      </w:r>
      <w:r>
        <w:fldChar w:fldCharType="separate"/>
      </w:r>
      <w:r>
        <w:rPr>
          <w:noProof/>
        </w:rPr>
        <w:t>(Boore, 1983; 2003)</w:t>
      </w:r>
      <w:r>
        <w:fldChar w:fldCharType="end"/>
      </w:r>
      <w:r>
        <w:t xml:space="preserve"> and has been used in several commonly-used GMPEs for global stable continental regions </w:t>
      </w:r>
      <w:r>
        <w:fldChar w:fldCharType="begin"/>
      </w:r>
      <w:r w:rsidR="00073AEF">
        <w:instrText xml:space="preserve"> ADDIN EN.CITE </w:instrText>
      </w:r>
      <w:r w:rsidR="00073AEF">
        <w:fldChar w:fldCharType="begin"/>
      </w:r>
      <w:r w:rsidR="00073AEF">
        <w:instrText xml:space="preserve"> ADDIN EN.CITE.DATA </w:instrText>
      </w:r>
      <w:r w:rsidR="00073AEF">
        <w:instrText>企</w:instrText>
      </w:r>
      <w:r w:rsidR="00073AEF">
        <w:fldChar w:fldCharType="end"/>
      </w:r>
      <w:r>
        <w:fldChar w:fldCharType="separate"/>
      </w:r>
      <w:r>
        <w:rPr>
          <w:noProof/>
        </w:rPr>
        <w:t>(Boore and Atkinson, 1987; Toro</w:t>
      </w:r>
      <w:r w:rsidRPr="003D3528">
        <w:rPr>
          <w:i/>
          <w:noProof/>
        </w:rPr>
        <w:t xml:space="preserve"> et al.</w:t>
      </w:r>
      <w:r>
        <w:rPr>
          <w:noProof/>
        </w:rPr>
        <w:t>, 1997; Bay</w:t>
      </w:r>
      <w:r w:rsidRPr="003D3528">
        <w:rPr>
          <w:i/>
          <w:noProof/>
        </w:rPr>
        <w:t xml:space="preserve"> et al.</w:t>
      </w:r>
      <w:r>
        <w:rPr>
          <w:noProof/>
        </w:rPr>
        <w:t>, 2005; Atkinson and Boore, 2006; Rietbrock</w:t>
      </w:r>
      <w:r w:rsidRPr="003D3528">
        <w:rPr>
          <w:i/>
          <w:noProof/>
        </w:rPr>
        <w:t xml:space="preserve"> et al.</w:t>
      </w:r>
      <w:r>
        <w:rPr>
          <w:noProof/>
        </w:rPr>
        <w:t>, in press)</w:t>
      </w:r>
      <w:r>
        <w:fldChar w:fldCharType="end"/>
      </w:r>
      <w:r>
        <w:t xml:space="preserve">. The stochastic finite-fault simulation software EXSIM </w:t>
      </w:r>
      <w:r>
        <w:fldChar w:fldCharType="begin"/>
      </w:r>
      <w:r w:rsidR="00F202D0">
        <w:instrText xml:space="preserve"> ADDIN EN.CITE &lt;EndNote&gt;&lt;Cite&gt;&lt;Author&gt;Motazedian&lt;/Author&gt;&lt;Year&gt;2005&lt;/Year&gt;&lt;RecNum&gt;1082&lt;/RecNum&gt;&lt;record&gt;&lt;rec-number&gt;1082&lt;/rec-number&gt;&lt;foreign-keys&gt;&lt;key app="EN" db-id="se5z02d5txder3eax2p5wz5j59zvz2tdzdd2"&gt;1082&lt;/key&gt;&lt;/foreign-keys&gt;&lt;ref-type name="Journal Article"&gt;17&lt;/ref-type&gt;&lt;contributors&gt;&lt;authors&gt;&lt;author&gt;Motazedian, D.&lt;/author&gt;&lt;author&gt;Atkinson, G. M.&lt;/author&gt;&lt;/authors&gt;&lt;/contributors&gt;&lt;titles&gt;&lt;title&gt;Stochastic finite-fault modeling based on a dynamic corner frequency&lt;/title&gt;&lt;secondary-title&gt;Bull. Seism. Soc. Am.&lt;/secondary-title&gt;&lt;/titles&gt;&lt;periodical&gt;&lt;full-title&gt;Bull. Seism. Soc. Am.&lt;/full-title&gt;&lt;/periodical&gt;&lt;pages&gt;995–1010&lt;/pages&gt;&lt;volume&gt;95&lt;/volume&gt;&lt;number&gt;3&lt;/number&gt;&lt;keywords&gt;&lt;keyword&gt;eXSIM, SMSIM, stochastic&lt;/keyword&gt;&lt;/keywords&gt;&lt;dates&gt;&lt;year&gt;2005&lt;/year&gt;&lt;/dates&gt;&lt;urls&gt;&lt;pdf-urls&gt;&lt;url&gt;internal-pdf://Motazedian &amp;amp; Atkinson (2005).stochasitc.gm_sim.exsi-3096532020/Motazedian &amp;amp; Atkinson (2005).stochasitc.gm_sim.exsim.pdf&lt;/url&gt;&lt;/pdf-urls&gt;&lt;/urls&gt;&lt;/record&gt;&lt;/Cite&gt;&lt;/EndNote&gt;</w:instrText>
      </w:r>
      <w:r>
        <w:fldChar w:fldCharType="separate"/>
      </w:r>
      <w:r>
        <w:t>(Motazedian and Atkinson, 2005)</w:t>
      </w:r>
      <w:r>
        <w:fldChar w:fldCharType="end"/>
      </w:r>
      <w:r>
        <w:t xml:space="preserve"> is used to simulate the magnitude dependence on ground</w:t>
      </w:r>
      <w:r w:rsidR="00516053">
        <w:t>-</w:t>
      </w:r>
      <w:r>
        <w:t xml:space="preserve">shaking for larger earthquakes in southeastern Australia. This version of </w:t>
      </w:r>
      <w:r w:rsidR="004517EE">
        <w:t xml:space="preserve">the </w:t>
      </w:r>
      <w:r>
        <w:t>software</w:t>
      </w:r>
      <w:r>
        <w:rPr>
          <w:noProof/>
        </w:rPr>
        <w:t xml:space="preserve"> </w:t>
      </w:r>
      <w:r>
        <w:t>has been used successfully to develop ground-motion attenuation models for ENA (</w:t>
      </w:r>
      <w:hyperlink w:anchor="_ENREF_4" w:tooltip="Atkinson, 2006 #4" w:history="1">
        <w:r>
          <w:rPr>
            <w:noProof/>
          </w:rPr>
          <w:t>Atkinson and Boore, 2006</w:t>
        </w:r>
      </w:hyperlink>
      <w:r>
        <w:rPr>
          <w:noProof/>
        </w:rPr>
        <w:t>)</w:t>
      </w:r>
      <w:r>
        <w:t xml:space="preserve">.  </w:t>
      </w:r>
      <w:r w:rsidR="001E6F88">
        <w:t>I</w:t>
      </w:r>
      <w:r>
        <w:t>t has since been recognised by Atkinson</w:t>
      </w:r>
      <w:r w:rsidRPr="00332AA7">
        <w:rPr>
          <w:rStyle w:val="Bodytextitalic"/>
        </w:rPr>
        <w:t xml:space="preserve"> et al. </w:t>
      </w:r>
      <w:r>
        <w:fldChar w:fldCharType="begin"/>
      </w:r>
      <w:r w:rsidR="00F202D0">
        <w:instrText xml:space="preserve"> ADDIN EN.CITE &lt;EndNote&gt;&lt;Cite ExcludeAuth="1"&gt;&lt;Author&gt;Atkinson&lt;/Author&gt;&lt;Year&gt;2009&lt;/Year&gt;&lt;RecNum&gt;1041&lt;/RecNum&gt;&lt;record&gt;&lt;rec-number&gt;1041&lt;/rec-number&gt;&lt;foreign-keys&gt;&lt;key app="EN" db-id="se5z02d5txder3eax2p5wz5j59zvz2tdzdd2"&gt;1041&lt;/key&gt;&lt;/foreign-keys&gt;&lt;ref-type name="Journal Article"&gt;17&lt;/ref-type&gt;&lt;contributors&gt;&lt;authors&gt;&lt;author&gt;Atkinson, G. M.&lt;/author&gt;&lt;author&gt;Assatourians, K.&lt;/author&gt;&lt;author&gt;Boore, D. M.&lt;/author&gt;&lt;author&gt;Campbell, K.&lt;/author&gt;&lt;author&gt;Motazedian, D.&lt;/author&gt;&lt;/authors&gt;&lt;/contributors&gt;&lt;titles&gt;&lt;title&gt;A guide to differences between stochastic point-source and stochastic finite-fault simulations&lt;/title&gt;&lt;secondary-title&gt;Bull. Seism. Soc. Am.&lt;/secondary-title&gt;&lt;/titles&gt;&lt;periodical&gt;&lt;full-title&gt;Bull. Seism. Soc. Am.&lt;/full-title&gt;&lt;/periodical&gt;&lt;pages&gt;3192–3201&lt;/pages&gt;&lt;volume&gt;99&lt;/volume&gt;&lt;number&gt;6&lt;/number&gt;&lt;keywords&gt;&lt;keyword&gt;EXSIM, SMSIM, stochastic&lt;/keyword&gt;&lt;/keywords&gt;&lt;dates&gt;&lt;year&gt;2009&lt;/year&gt;&lt;/dates&gt;&lt;urls&gt;&lt;pdf-urls&gt;&lt;url&gt;internal-pdf://Atkinson etal (2009).ptsrc.extsrc.sims-0514371088/Atkinson etal (2009).ptsrc.extsrc.sims.pdf&lt;/url&gt;&lt;/pdf-urls&gt;&lt;/urls&gt;&lt;electronic-resource-num&gt;doi: 10.1785/0120090058&lt;/electronic-resource-num&gt;&lt;/record&gt;&lt;/Cite&gt;&lt;/EndNote&gt;</w:instrText>
      </w:r>
      <w:r>
        <w:fldChar w:fldCharType="separate"/>
      </w:r>
      <w:r>
        <w:t>(2009)</w:t>
      </w:r>
      <w:r>
        <w:fldChar w:fldCharType="end"/>
      </w:r>
      <w:r w:rsidR="001E6F88">
        <w:t>, however,</w:t>
      </w:r>
      <w:r>
        <w:t xml:space="preserve"> that finite-fault ground-motion simulations for small earthquakes (approximately </w:t>
      </w:r>
      <w:r w:rsidR="00172353" w:rsidRPr="00172353">
        <w:rPr>
          <w:rStyle w:val="Bodytextitalic"/>
        </w:rPr>
        <w:t>M</w:t>
      </w:r>
      <w:r w:rsidR="00172353" w:rsidRPr="00172353">
        <w:rPr>
          <w:rStyle w:val="Subscriptitalic"/>
        </w:rPr>
        <w:t>W</w:t>
      </w:r>
      <w:r w:rsidR="00172353">
        <w:t xml:space="preserve"> </w:t>
      </w:r>
      <w:r>
        <w:t>5.0) using</w:t>
      </w:r>
      <w:r w:rsidR="004517EE">
        <w:t xml:space="preserve"> this version of</w:t>
      </w:r>
      <w:r>
        <w:t xml:space="preserve"> EXSIM do not compare well with point source simulations </w:t>
      </w:r>
      <w:r>
        <w:fldChar w:fldCharType="begin"/>
      </w:r>
      <w:r w:rsidR="00F202D0">
        <w:instrText xml:space="preserve"> ADDIN EN.CITE &lt;EndNote&gt;&lt;Cite&gt;&lt;Author&gt;Boore&lt;/Author&gt;&lt;Year&gt;2003&lt;/Year&gt;&lt;RecNum&gt;99&lt;/RecNum&gt;&lt;Prefix&gt;e.g., &lt;/Prefix&gt;&lt;record&gt;&lt;rec-number&gt;99&lt;/rec-number&gt;&lt;foreign-keys&gt;&lt;key app="EN" db-id="se5z02d5txder3eax2p5wz5j59zvz2tdzdd2"&gt;99&lt;/key&gt;&lt;/foreign-keys&gt;&lt;ref-type name="Journal Article"&gt;17&lt;/ref-type&gt;&lt;contributors&gt;&lt;authors&gt;&lt;author&gt;Boore, D. M.&lt;/author&gt;&lt;/authors&gt;&lt;/contributors&gt;&lt;titles&gt;&lt;title&gt;Simulation of ground motion using the stochastic method&lt;/title&gt;&lt;secondary-title&gt;Pure appl. geophys.&lt;/secondary-title&gt;&lt;/titles&gt;&lt;periodical&gt;&lt;full-title&gt;Pure appl. geophys.&lt;/full-title&gt;&lt;/periodical&gt;&lt;pages&gt;635-676&lt;/pages&gt;&lt;volume&gt;160&lt;/volume&gt;&lt;dates&gt;&lt;year&gt;2003&lt;/year&gt;&lt;/dates&gt;&lt;urls&gt;&lt;pdf-urls&gt;&lt;url&gt;internal-pdf://Boore (2003) Stochastic ground motion-3611261696/Boore (2003) Stochastic ground motion.pdf&lt;/url&gt;&lt;/pdf-urls&gt;&lt;/urls&gt;&lt;/record&gt;&lt;/Cite&gt;&lt;/EndNote&gt;</w:instrText>
      </w:r>
      <w:r>
        <w:fldChar w:fldCharType="separate"/>
      </w:r>
      <w:r>
        <w:t>(e.g., Boore, 2003)</w:t>
      </w:r>
      <w:r>
        <w:fldChar w:fldCharType="end"/>
      </w:r>
      <w:r>
        <w:t xml:space="preserve"> at large distances (</w:t>
      </w:r>
      <w:r w:rsidRPr="00332AA7">
        <w:rPr>
          <w:rStyle w:val="Bodytextitalic"/>
        </w:rPr>
        <w:t>R</w:t>
      </w:r>
      <w:r>
        <w:t xml:space="preserve"> </w:t>
      </w:r>
      <w:r>
        <w:sym w:font="Symbol" w:char="F0B3"/>
      </w:r>
      <w:r>
        <w:t xml:space="preserve"> 100 km), where it should be expected that the two simulation techniques would agree.  In a companion article, Boore </w:t>
      </w:r>
      <w:r>
        <w:fldChar w:fldCharType="begin"/>
      </w:r>
      <w:r w:rsidR="00F202D0">
        <w:instrText xml:space="preserve"> ADDIN EN.CITE &lt;EndNote&gt;&lt;Cite ExcludeAuth="1"&gt;&lt;Author&gt;Boore&lt;/Author&gt;&lt;Year&gt;2009&lt;/Year&gt;&lt;RecNum&gt;1042&lt;/RecNum&gt;&lt;record&gt;&lt;rec-number&gt;1042&lt;/rec-number&gt;&lt;foreign-keys&gt;&lt;key app="EN" db-id="se5z02d5txder3eax2p5wz5j59zvz2tdzdd2"&gt;1042&lt;/key&gt;&lt;/foreign-keys&gt;&lt;ref-type name="Journal Article"&gt;17&lt;/ref-type&gt;&lt;contributors&gt;&lt;authors&gt;&lt;author&gt;Boore, D. M.&lt;/author&gt;&lt;/authors&gt;&lt;/contributors&gt;&lt;titles&gt;&lt;title&gt;Comparing stochastic point-source and finite-source ground-motion simulations: SMSIM and EXSIM&lt;/title&gt;&lt;secondary-title&gt;Bull. Seism. Soc. Am.&lt;/secondary-title&gt;&lt;/titles&gt;&lt;periodical&gt;&lt;full-title&gt;Bull. Seism. Soc. Am.&lt;/full-title&gt;&lt;/periodical&gt;&lt;pages&gt;3202–3216&lt;/pages&gt;&lt;volume&gt;99&lt;/volume&gt;&lt;number&gt;6&lt;/number&gt;&lt;dates&gt;&lt;year&gt;2009&lt;/year&gt;&lt;/dates&gt;&lt;urls&gt;&lt;pdf-urls&gt;&lt;url&gt;internal-pdf://Boore (2009).EXSIM.SMSIM-2729063952/Boore (2009).EXSIM.SMSIM.pdf&lt;/url&gt;&lt;/pdf-urls&gt;&lt;/urls&gt;&lt;electronic-resource-num&gt;doi: 10.1785/0120090056&lt;/electronic-resource-num&gt;&lt;/record&gt;&lt;/Cite&gt;&lt;/EndNote&gt;</w:instrText>
      </w:r>
      <w:r>
        <w:fldChar w:fldCharType="separate"/>
      </w:r>
      <w:r>
        <w:t>(2009)</w:t>
      </w:r>
      <w:r>
        <w:fldChar w:fldCharType="end"/>
      </w:r>
      <w:r>
        <w:t xml:space="preserve"> finds that </w:t>
      </w:r>
      <w:r w:rsidR="001E6F88">
        <w:t>high</w:t>
      </w:r>
      <w:r>
        <w:t xml:space="preserve">-frequency Fourier amplitude spectra from the extended fault method (EXSIM) are lower than point source simulations from the program SMSIM </w:t>
      </w:r>
      <w:r>
        <w:fldChar w:fldCharType="begin"/>
      </w:r>
      <w:r w:rsidR="00F202D0">
        <w:instrText xml:space="preserve"> ADDIN EN.CITE &lt;EndNote&gt;&lt;Cite&gt;&lt;Author&gt;Boore&lt;/Author&gt;&lt;Year&gt;2003&lt;/Year&gt;&lt;RecNum&gt;99&lt;/RecNum&gt;&lt;record&gt;&lt;rec-number&gt;99&lt;/rec-number&gt;&lt;foreign-keys&gt;&lt;key app="EN" db-id="se5z02d5txder3eax2p5wz5j59zvz2tdzdd2"&gt;99&lt;/key&gt;&lt;/foreign-keys&gt;&lt;ref-type name="Journal Article"&gt;17&lt;/ref-type&gt;&lt;contributors&gt;&lt;authors&gt;&lt;author&gt;Boore, D. M.&lt;/author&gt;&lt;/authors&gt;&lt;/contributors&gt;&lt;titles&gt;&lt;title&gt;Simulation of ground motion using the stochastic method&lt;/title&gt;&lt;secondary-title&gt;Pure appl. geophys.&lt;/secondary-title&gt;&lt;/titles&gt;&lt;periodical&gt;&lt;full-title&gt;Pure appl. geophys.&lt;/full-title&gt;&lt;/periodical&gt;&lt;pages&gt;635-676&lt;/pages&gt;&lt;volume&gt;160&lt;/volume&gt;&lt;dates&gt;&lt;year&gt;2003&lt;/year&gt;&lt;/dates&gt;&lt;urls&gt;&lt;pdf-urls&gt;&lt;url&gt;internal-pdf://Boore (2003) Stochastic ground motion-3611261696/Boore (2003) Stochastic ground motion.pdf&lt;/url&gt;&lt;/pdf-urls&gt;&lt;/urls&gt;&lt;/record&gt;&lt;/Cite&gt;&lt;/EndNote&gt;</w:instrText>
      </w:r>
      <w:r>
        <w:fldChar w:fldCharType="separate"/>
      </w:r>
      <w:r>
        <w:t>(Boore, 2003)</w:t>
      </w:r>
      <w:r>
        <w:fldChar w:fldCharType="end"/>
      </w:r>
      <w:r>
        <w:t xml:space="preserve">.  It was observed by Boore </w:t>
      </w:r>
      <w:r>
        <w:fldChar w:fldCharType="begin"/>
      </w:r>
      <w:r w:rsidR="00F202D0">
        <w:instrText xml:space="preserve"> ADDIN EN.CITE &lt;EndNote&gt;&lt;Cite ExcludeAuth="1"&gt;&lt;Author&gt;Boore&lt;/Author&gt;&lt;Year&gt;2009&lt;/Year&gt;&lt;RecNum&gt;1042&lt;/RecNum&gt;&lt;record&gt;&lt;rec-number&gt;1042&lt;/rec-number&gt;&lt;foreign-keys&gt;&lt;key app="EN" db-id="se5z02d5txder3eax2p5wz5j59zvz2tdzdd2"&gt;1042&lt;/key&gt;&lt;/foreign-keys&gt;&lt;ref-type name="Journal Article"&gt;17&lt;/ref-type&gt;&lt;contributors&gt;&lt;authors&gt;&lt;author&gt;Boore, D. M.&lt;/author&gt;&lt;/authors&gt;&lt;/contributors&gt;&lt;titles&gt;&lt;title&gt;Comparing stochastic point-source and finite-source ground-motion simulations: SMSIM and EXSIM&lt;/title&gt;&lt;secondary-title&gt;Bull. Seism. Soc. Am.&lt;/secondary-title&gt;&lt;/titles&gt;&lt;periodical&gt;&lt;full-title&gt;Bull. Seism. Soc. Am.&lt;/full-title&gt;&lt;/periodical&gt;&lt;pages&gt;3202–3216&lt;/pages&gt;&lt;volume&gt;99&lt;/volume&gt;&lt;number&gt;6&lt;/number&gt;&lt;dates&gt;&lt;year&gt;2009&lt;/year&gt;&lt;/dates&gt;&lt;urls&gt;&lt;pdf-urls&gt;&lt;url&gt;internal-pdf://Boore (2009).EXSIM.SMSIM-2729063952/Boore (2009).EXSIM.SMSIM.pdf&lt;/url&gt;&lt;/pdf-urls&gt;&lt;/urls&gt;&lt;electronic-resource-num&gt;doi: 10.1785/0120090056&lt;/electronic-resource-num&gt;&lt;/record&gt;&lt;/Cite&gt;&lt;/EndNote&gt;</w:instrText>
      </w:r>
      <w:r>
        <w:fldChar w:fldCharType="separate"/>
      </w:r>
      <w:r>
        <w:t>(2009)</w:t>
      </w:r>
      <w:r>
        <w:fldChar w:fldCharType="end"/>
      </w:r>
      <w:r>
        <w:t xml:space="preserve"> that the differences between EXSIM and SMSIM were minimised if fewer sub</w:t>
      </w:r>
      <w:r w:rsidR="00516053">
        <w:t>-</w:t>
      </w:r>
      <w:r>
        <w:t>faults were used and sub</w:t>
      </w:r>
      <w:r w:rsidR="00516053">
        <w:t>-</w:t>
      </w:r>
      <w:r>
        <w:t xml:space="preserve">fault “pulsing” was considered.  The pulsing term is incorporated to consider that only part of the fault </w:t>
      </w:r>
      <w:r w:rsidR="005705C3">
        <w:t>m</w:t>
      </w:r>
      <w:r w:rsidR="00516053">
        <w:t xml:space="preserve">ay be </w:t>
      </w:r>
      <w:r>
        <w:t>active</w:t>
      </w:r>
      <w:r w:rsidR="00202C63">
        <w:t>ly rupturing</w:t>
      </w:r>
      <w:r>
        <w:t xml:space="preserve"> at any one time.  </w:t>
      </w:r>
      <w:r w:rsidRPr="00A4366F">
        <w:t>In such a model, the areas that are actively</w:t>
      </w:r>
      <w:r>
        <w:t xml:space="preserve"> </w:t>
      </w:r>
      <w:r w:rsidRPr="00A4366F">
        <w:t>pulsing contribute to the ground-motion radiation, but the</w:t>
      </w:r>
      <w:r>
        <w:t xml:space="preserve"> </w:t>
      </w:r>
      <w:r w:rsidRPr="00A4366F">
        <w:t>other areas on the fault are passive</w:t>
      </w:r>
      <w:r>
        <w:t xml:space="preserve"> </w:t>
      </w:r>
      <w:r>
        <w:fldChar w:fldCharType="begin"/>
      </w:r>
      <w:r w:rsidR="00F202D0">
        <w:instrText xml:space="preserve"> ADDIN EN.CITE &lt;EndNote&gt;&lt;Cite&gt;&lt;Author&gt;Motazedian&lt;/Author&gt;&lt;Year&gt;2005&lt;/Year&gt;&lt;RecNum&gt;1082&lt;/RecNum&gt;&lt;record&gt;&lt;rec-number&gt;1082&lt;/rec-number&gt;&lt;foreign-keys&gt;&lt;key app="EN" db-id="se5z02d5txder3eax2p5wz5j59zvz2tdzdd2"&gt;1082&lt;/key&gt;&lt;/foreign-keys&gt;&lt;ref-type name="Journal Article"&gt;17&lt;/ref-type&gt;&lt;contributors&gt;&lt;authors&gt;&lt;author&gt;Motazedian, D.&lt;/author&gt;&lt;author&gt;Atkinson, G. M.&lt;/author&gt;&lt;/authors&gt;&lt;/contributors&gt;&lt;titles&gt;&lt;title&gt;Stochastic finite-fault modeling based on a dynamic corner frequency&lt;/title&gt;&lt;secondary-title&gt;Bull. Seism. Soc. Am.&lt;/secondary-title&gt;&lt;/titles&gt;&lt;periodical&gt;&lt;full-title&gt;Bull. Seism. Soc. Am.&lt;/full-title&gt;&lt;/periodical&gt;&lt;pages&gt;995–1010&lt;/pages&gt;&lt;volume&gt;95&lt;/volume&gt;&lt;number&gt;3&lt;/number&gt;&lt;keywords&gt;&lt;keyword&gt;eXSIM, SMSIM, stochastic&lt;/keyword&gt;&lt;/keywords&gt;&lt;dates&gt;&lt;year&gt;2005&lt;/year&gt;&lt;/dates&gt;&lt;urls&gt;&lt;pdf-urls&gt;&lt;url&gt;internal-pdf://Motazedian &amp;amp; Atkinson (2005).stochasitc.gm_sim.exsi-3096532020/Motazedian &amp;amp; Atkinson (2005).stochasitc.gm_sim.exsim.pdf&lt;/url&gt;&lt;/pdf-urls&gt;&lt;/urls&gt;&lt;/record&gt;&lt;/Cite&gt;&lt;/EndNote&gt;</w:instrText>
      </w:r>
      <w:r>
        <w:fldChar w:fldCharType="separate"/>
      </w:r>
      <w:r>
        <w:t>(Motazedian and Atkinson, 2005)</w:t>
      </w:r>
      <w:r>
        <w:fldChar w:fldCharType="end"/>
      </w:r>
      <w:r w:rsidRPr="00A4366F">
        <w:t>.</w:t>
      </w:r>
      <w:r w:rsidR="001E6F88">
        <w:t xml:space="preserve">  To address this discrepancy, Boore </w:t>
      </w:r>
      <w:r w:rsidR="001E6F88">
        <w:fldChar w:fldCharType="begin"/>
      </w:r>
      <w:r w:rsidR="00F202D0">
        <w:instrText xml:space="preserve"> ADDIN EN.CITE &lt;EndNote&gt;&lt;Cite ExcludeAuth="1"&gt;&lt;Author&gt;Boore&lt;/Author&gt;&lt;Year&gt;2009&lt;/Year&gt;&lt;RecNum&gt;1042&lt;/RecNum&gt;&lt;record&gt;&lt;rec-number&gt;1042&lt;/rec-number&gt;&lt;foreign-keys&gt;&lt;key app="EN" db-id="se5z02d5txder3eax2p5wz5j59zvz2tdzdd2"&gt;1042&lt;/key&gt;&lt;/foreign-keys&gt;&lt;ref-type name="Journal Article"&gt;17&lt;/ref-type&gt;&lt;contributors&gt;&lt;authors&gt;&lt;author&gt;Boore, D. M.&lt;/author&gt;&lt;/authors&gt;&lt;/contributors&gt;&lt;titles&gt;&lt;title&gt;Comparing stochastic point-source and finite-source ground-motion simulations: SMSIM and EXSIM&lt;/title&gt;&lt;secondary-title&gt;Bull. Seism. Soc. Am.&lt;/secondary-title&gt;&lt;/titles&gt;&lt;periodical&gt;&lt;full-title&gt;Bull. Seism. Soc. Am.&lt;/full-title&gt;&lt;/periodical&gt;&lt;pages&gt;3202–3216&lt;/pages&gt;&lt;volume&gt;99&lt;/volume&gt;&lt;number&gt;6&lt;/number&gt;&lt;dates&gt;&lt;year&gt;2009&lt;/year&gt;&lt;/dates&gt;&lt;urls&gt;&lt;pdf-urls&gt;&lt;url&gt;internal-pdf://Boore (2009).EXSIM.SMSIM-2729063952/Boore (2009).EXSIM.SMSIM.pdf&lt;/url&gt;&lt;/pdf-urls&gt;&lt;/urls&gt;&lt;electronic-resource-num&gt;doi: 10.1785/0120090056&lt;/electronic-resource-num&gt;&lt;/record&gt;&lt;/Cite&gt;&lt;/EndNote&gt;</w:instrText>
      </w:r>
      <w:r w:rsidR="001E6F88">
        <w:fldChar w:fldCharType="separate"/>
      </w:r>
      <w:r w:rsidR="001E6F88">
        <w:t>(2009)</w:t>
      </w:r>
      <w:r w:rsidR="001E6F88">
        <w:fldChar w:fldCharType="end"/>
      </w:r>
      <w:r w:rsidR="001E6F88">
        <w:t xml:space="preserve"> recommended several enhancements to the Motazedian and Atkinson (2005) implementation of EXSIM.  </w:t>
      </w:r>
    </w:p>
    <w:p w:rsidR="00B15AC0" w:rsidRDefault="00B15AC0" w:rsidP="003F4034">
      <w:pPr>
        <w:pStyle w:val="BodyText"/>
      </w:pPr>
      <w:r>
        <w:t xml:space="preserve">The Motazedian and Atkinson (2005) implementation of EXSIM as used in Atkinson and Boore </w:t>
      </w:r>
      <w:r>
        <w:fldChar w:fldCharType="begin"/>
      </w:r>
      <w:r w:rsidR="00F202D0">
        <w:instrText xml:space="preserve"> ADDIN EN.CITE &lt;EndNote&gt;&lt;Cite ExcludeAuth="1"&gt;&lt;Author&gt;Atkinson&lt;/Author&gt;&lt;Year&gt;2006&lt;/Year&gt;&lt;RecNum&gt;4&lt;/RecNum&gt;&lt;record&gt;&lt;rec-number&gt;4&lt;/rec-number&gt;&lt;foreign-keys&gt;&lt;key app="EN" db-id="se5z02d5txder3eax2p5wz5j59zvz2tdzdd2"&gt;4&lt;/key&gt;&lt;/foreign-keys&gt;&lt;ref-type name="Journal Article"&gt;17&lt;/ref-type&gt;&lt;contributors&gt;&lt;authors&gt;&lt;author&gt;Atkinson, G. M.&lt;/author&gt;&lt;author&gt;Boore, D. M.&lt;/author&gt;&lt;/authors&gt;&lt;/contributors&gt;&lt;titles&gt;&lt;title&gt;Earthquake ground-motion predictions for eastern North America&lt;/title&gt;&lt;secondary-title&gt;Bull. Seism. Soc. Am.&lt;/secondary-title&gt;&lt;/titles&gt;&lt;periodical&gt;&lt;full-title&gt;Bull. Seism. Soc. Am.&lt;/full-title&gt;&lt;/periodical&gt;&lt;pages&gt;2181-2205&lt;/pages&gt;&lt;volume&gt;96&lt;/volume&gt;&lt;dates&gt;&lt;year&gt;2006&lt;/year&gt;&lt;/dates&gt;&lt;urls&gt;&lt;pdf-urls&gt;&lt;url&gt;internal-pdf://Atkinson and Boore (2006) GMPE for E. North America-1948709120/Atkinson and Boore (2006) GMPE for E. North America.pdf&lt;/url&gt;&lt;/pdf-urls&gt;&lt;/urls&gt;&lt;/record&gt;&lt;/Cite&gt;&lt;/EndNote&gt;</w:instrText>
      </w:r>
      <w:r>
        <w:fldChar w:fldCharType="separate"/>
      </w:r>
      <w:r>
        <w:t>(2006)</w:t>
      </w:r>
      <w:r>
        <w:fldChar w:fldCharType="end"/>
      </w:r>
      <w:r>
        <w:t xml:space="preserve"> was extensively modified for the purpose of randomising the input stochastic parameters for GMPE development.  Unfortunately, this functionality was not carried through to the most recent update of EXSIM (David Boore, pers. comm., 2012).  Due to time restrictions in developing an effective GMPE for eastern Australia that could be used for the ANEHM, I use the Motazedian and Atkinson (2005) implementation of EXSIM and attempt to minimise the aforementioned discrepancies between finite-fault and point-source simulations by using fewer sub</w:t>
      </w:r>
      <w:r w:rsidR="00280C5D">
        <w:t>-</w:t>
      </w:r>
      <w:r>
        <w:t>faults and by applying a 25% pulsing source.</w:t>
      </w:r>
    </w:p>
    <w:p w:rsidR="00B15AC0" w:rsidRDefault="00B15AC0" w:rsidP="003F4034">
      <w:pPr>
        <w:pStyle w:val="BodyText"/>
      </w:pPr>
      <w:r>
        <w:t xml:space="preserve">In practice, the observed earthquake displacement spectrum of the shear wave on rock, </w:t>
      </w:r>
      <w:r w:rsidRPr="00332AA7">
        <w:rPr>
          <w:rStyle w:val="Bodytextitalic"/>
        </w:rPr>
        <w:t>A</w:t>
      </w:r>
      <w:r>
        <w:t>(</w:t>
      </w:r>
      <w:r w:rsidRPr="00332AA7">
        <w:rPr>
          <w:rStyle w:val="Bodytextitalic"/>
        </w:rPr>
        <w:t>M</w:t>
      </w:r>
      <w:r w:rsidRPr="00C2650A">
        <w:rPr>
          <w:vertAlign w:val="subscript"/>
        </w:rPr>
        <w:t>0</w:t>
      </w:r>
      <w:r>
        <w:t>,</w:t>
      </w:r>
      <w:r w:rsidRPr="00332AA7">
        <w:rPr>
          <w:rStyle w:val="Bodytextitalic"/>
        </w:rPr>
        <w:t>R</w:t>
      </w:r>
      <w:r w:rsidRPr="00332AA7">
        <w:rPr>
          <w:spacing w:val="40"/>
        </w:rPr>
        <w:t>,</w:t>
      </w:r>
      <w:r w:rsidRPr="00332AA7">
        <w:rPr>
          <w:rStyle w:val="Bodytextitalic"/>
        </w:rPr>
        <w:t>f</w:t>
      </w:r>
      <w:r>
        <w:t xml:space="preserve">), can be generalized as the convolution of several factors; the earthquake </w:t>
      </w:r>
      <w:r w:rsidR="001E6F88">
        <w:t xml:space="preserve">point </w:t>
      </w:r>
      <w:r>
        <w:t>source spectrum, the propa</w:t>
      </w:r>
      <w:smartTag w:uri="urn:schemas-microsoft-com:office:smarttags" w:element="PersonName">
        <w:r>
          <w:t>ga</w:t>
        </w:r>
      </w:smartTag>
      <w:r>
        <w:t xml:space="preserve">tion path that incorporates both </w:t>
      </w:r>
      <w:r>
        <w:rPr>
          <w:lang w:val="en-US"/>
        </w:rPr>
        <w:t xml:space="preserve">geometrical and anelastic </w:t>
      </w:r>
      <w:r w:rsidRPr="00C2650A">
        <w:rPr>
          <w:lang w:val="en-US"/>
        </w:rPr>
        <w:t>attenuation</w:t>
      </w:r>
      <w:r w:rsidR="001E6F88">
        <w:rPr>
          <w:lang w:val="en-US"/>
        </w:rPr>
        <w:t>, and path-independent diminution</w:t>
      </w:r>
      <w:r w:rsidR="009F3201">
        <w:t xml:space="preserve"> </w:t>
      </w:r>
      <w:r>
        <w:t>such that:</w:t>
      </w:r>
    </w:p>
    <w:bookmarkStart w:id="46" w:name="_GoBack"/>
    <w:p w:rsidR="00E80707" w:rsidRPr="00E80707" w:rsidRDefault="005E1338" w:rsidP="00E80707">
      <w:pPr>
        <w:pStyle w:val="Equation"/>
      </w:pPr>
      <w:r w:rsidRPr="00E80707">
        <w:rPr>
          <w:position w:val="-12"/>
        </w:rPr>
        <w:object w:dxaOrig="6039"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02.2pt;height:21.8pt" o:ole="">
            <v:imagedata r:id="rId16" o:title=""/>
          </v:shape>
          <o:OLEObject Type="Embed" ProgID="Equation.3" ShapeID="_x0000_i1050" DrawAspect="Content" ObjectID="_1426934402" r:id="rId17"/>
        </w:object>
      </w:r>
      <w:bookmarkEnd w:id="46"/>
      <w:r w:rsidR="00E80707">
        <w:tab/>
        <w:t>(1)</w:t>
      </w:r>
    </w:p>
    <w:p w:rsidR="00B15AC0" w:rsidRDefault="00B15AC0" w:rsidP="003F4034">
      <w:pPr>
        <w:pStyle w:val="BodyText"/>
      </w:pPr>
      <w:r>
        <w:rPr>
          <w:lang w:val="en-NZ"/>
        </w:rPr>
        <w:t xml:space="preserve">where ground-motion is dependent on </w:t>
      </w:r>
      <w:r>
        <w:t xml:space="preserve">the seismic moment </w:t>
      </w:r>
      <w:r w:rsidRPr="00332AA7">
        <w:rPr>
          <w:rStyle w:val="Bodytextitalic"/>
        </w:rPr>
        <w:t>M</w:t>
      </w:r>
      <w:r w:rsidRPr="00C2650A">
        <w:rPr>
          <w:vertAlign w:val="subscript"/>
        </w:rPr>
        <w:t>0</w:t>
      </w:r>
      <w:r>
        <w:t>, the frequency of motion</w:t>
      </w:r>
      <w:r w:rsidRPr="0061073C">
        <w:rPr>
          <w:spacing w:val="40"/>
        </w:rPr>
        <w:t xml:space="preserve"> </w:t>
      </w:r>
      <w:r w:rsidRPr="00332AA7">
        <w:rPr>
          <w:rStyle w:val="Bodytextitalic"/>
        </w:rPr>
        <w:t xml:space="preserve">f </w:t>
      </w:r>
      <w:r>
        <w:t xml:space="preserve">and the hypocentral distance </w:t>
      </w:r>
      <w:r w:rsidRPr="00332AA7">
        <w:rPr>
          <w:rStyle w:val="Bodytextitalic"/>
        </w:rPr>
        <w:t>R</w:t>
      </w:r>
      <w:r>
        <w:t xml:space="preserve">. The constant </w:t>
      </w:r>
      <w:r w:rsidRPr="00332AA7">
        <w:rPr>
          <w:rStyle w:val="Bodytextitalic"/>
        </w:rPr>
        <w:t>C</w:t>
      </w:r>
      <w:r>
        <w:t xml:space="preserve"> is given by </w:t>
      </w:r>
      <w:r w:rsidRPr="00332AA7">
        <w:rPr>
          <w:rStyle w:val="Bodytextitalic"/>
        </w:rPr>
        <w:sym w:font="Symbol" w:char="F0C2"/>
      </w:r>
      <w:r w:rsidRPr="00C55730">
        <w:rPr>
          <w:rStyle w:val="Subscriptitalic"/>
        </w:rPr>
        <w:sym w:font="Symbol" w:char="F071"/>
      </w:r>
      <w:r w:rsidRPr="00C55730">
        <w:rPr>
          <w:rStyle w:val="Subscriptitalic"/>
        </w:rPr>
        <w:sym w:font="Symbol" w:char="F066"/>
      </w:r>
      <w:r w:rsidRPr="00C55730">
        <w:rPr>
          <w:rStyle w:val="Subscriptitalic"/>
        </w:rPr>
        <w:t xml:space="preserve"> </w:t>
      </w:r>
      <w:r w:rsidRPr="00332AA7">
        <w:rPr>
          <w:rStyle w:val="Bodytextitalic"/>
        </w:rPr>
        <w:t>FV</w:t>
      </w:r>
      <w:r w:rsidRPr="00813ADC">
        <w:rPr>
          <w:i/>
          <w:spacing w:val="20"/>
        </w:rPr>
        <w:t>/</w:t>
      </w:r>
      <w:r>
        <w:t>(4</w:t>
      </w:r>
      <w:r w:rsidRPr="00332AA7">
        <w:rPr>
          <w:rStyle w:val="Bodytextitalic"/>
        </w:rPr>
        <w:sym w:font="Symbol" w:char="F070"/>
      </w:r>
      <w:r w:rsidRPr="00813ADC">
        <w:rPr>
          <w:i/>
          <w:spacing w:val="20"/>
        </w:rPr>
        <w:sym w:font="Symbol" w:char="F072"/>
      </w:r>
      <w:r w:rsidRPr="00813ADC">
        <w:rPr>
          <w:i/>
          <w:spacing w:val="20"/>
        </w:rPr>
        <w:sym w:font="Symbol" w:char="F062"/>
      </w:r>
      <w:r>
        <w:rPr>
          <w:vertAlign w:val="superscript"/>
        </w:rPr>
        <w:t>3</w:t>
      </w:r>
      <w:r>
        <w:t xml:space="preserve">), where </w:t>
      </w:r>
      <w:r w:rsidRPr="00332AA7">
        <w:rPr>
          <w:rStyle w:val="Bodytextitalic"/>
        </w:rPr>
        <w:sym w:font="Symbol" w:char="F0C2"/>
      </w:r>
      <w:r w:rsidRPr="00C55730">
        <w:rPr>
          <w:rStyle w:val="Subscriptitalic"/>
        </w:rPr>
        <w:sym w:font="Symbol" w:char="F071"/>
      </w:r>
      <w:r w:rsidRPr="00C55730">
        <w:rPr>
          <w:rStyle w:val="Subscriptitalic"/>
        </w:rPr>
        <w:sym w:font="Symbol" w:char="F066"/>
      </w:r>
      <w:r w:rsidRPr="00C55730">
        <w:rPr>
          <w:rStyle w:val="Subscriptitalic"/>
        </w:rPr>
        <w:t xml:space="preserve"> </w:t>
      </w:r>
      <w:r>
        <w:t xml:space="preserve">= 0.55 is the average radiation pattern </w:t>
      </w:r>
      <w:r>
        <w:fldChar w:fldCharType="begin"/>
      </w:r>
      <w:r w:rsidR="00F202D0">
        <w:instrText xml:space="preserve"> ADDIN EN.CITE &lt;EndNote&gt;&lt;Cite&gt;&lt;Author&gt;Boore&lt;/Author&gt;&lt;Year&gt;1984&lt;/Year&gt;&lt;RecNum&gt;1114&lt;/RecNum&gt;&lt;record&gt;&lt;rec-number&gt;1114&lt;/rec-number&gt;&lt;foreign-keys&gt;&lt;key app="EN" db-id="se5z02d5txder3eax2p5wz5j59zvz2tdzdd2"&gt;1114&lt;/key&gt;&lt;/foreign-keys&gt;&lt;ref-type name="Journal Article"&gt;17&lt;/ref-type&gt;&lt;contributors&gt;&lt;authors&gt;&lt;author&gt;Boore, D. M.&lt;/author&gt;&lt;author&gt;Boatwright, J.&lt;/author&gt;&lt;/authors&gt;&lt;/contributors&gt;&lt;titles&gt;&lt;title&gt;Average body-wave radiation coefficients&lt;/title&gt;&lt;secondary-title&gt;Bull. Seism. Soc. Am.&lt;/secondary-title&gt;&lt;/titles&gt;&lt;periodical&gt;&lt;full-title&gt;Bull. Seism. Soc. Am.&lt;/full-title&gt;&lt;/periodical&gt;&lt;pages&gt;1615-1621&lt;/pages&gt;&lt;volume&gt;74&lt;/volume&gt;&lt;number&gt;5&lt;/number&gt;&lt;dates&gt;&lt;year&gt;1984&lt;/year&gt;&lt;/dates&gt;&lt;urls&gt;&lt;pdf-urls&gt;&lt;url&gt;internal-pdf://Boore &amp;amp; Boatwright (1984).radiation_coefs-0090696453/Boore &amp;amp; Boatwright (1984).radiation_coefs.pdf&lt;/url&gt;&lt;/pdf-urls&gt;&lt;/urls&gt;&lt;/record&gt;&lt;/Cite&gt;&lt;/EndNote&gt;</w:instrText>
      </w:r>
      <w:r>
        <w:fldChar w:fldCharType="separate"/>
      </w:r>
      <w:r>
        <w:rPr>
          <w:noProof/>
        </w:rPr>
        <w:t>(Boore and Boatwright, 1984)</w:t>
      </w:r>
      <w:r>
        <w:fldChar w:fldCharType="end"/>
      </w:r>
      <w:r>
        <w:t xml:space="preserve">, </w:t>
      </w:r>
      <w:r w:rsidRPr="00332AA7">
        <w:rPr>
          <w:rStyle w:val="Bodytextitalic"/>
        </w:rPr>
        <w:t>F</w:t>
      </w:r>
      <w:r w:rsidRPr="0061073C">
        <w:t xml:space="preserve"> = </w:t>
      </w:r>
      <w:r>
        <w:t xml:space="preserve">2 is the free-surface amplification, </w:t>
      </w:r>
      <w:r w:rsidRPr="00332AA7">
        <w:rPr>
          <w:rStyle w:val="Bodytextitalic"/>
        </w:rPr>
        <w:t>V</w:t>
      </w:r>
      <w:r>
        <w:t xml:space="preserve"> = 0.71 represents the partition to two horizontal components, </w:t>
      </w:r>
      <w:r w:rsidRPr="00332AA7">
        <w:rPr>
          <w:rStyle w:val="Bodytextitalic"/>
        </w:rPr>
        <w:sym w:font="Symbol" w:char="F072"/>
      </w:r>
      <w:r>
        <w:t xml:space="preserve"> is the density in kg/m</w:t>
      </w:r>
      <w:r>
        <w:rPr>
          <w:vertAlign w:val="superscript"/>
        </w:rPr>
        <w:t>3</w:t>
      </w:r>
      <w:r>
        <w:t xml:space="preserve"> and </w:t>
      </w:r>
      <w:r w:rsidRPr="00332AA7">
        <w:rPr>
          <w:rStyle w:val="Bodytextitalic"/>
        </w:rPr>
        <w:sym w:font="Symbol" w:char="F062"/>
      </w:r>
      <w:r>
        <w:t xml:space="preserve"> is the shear-wave velocity in m/s (Boore, 2003). The corner frequency</w:t>
      </w:r>
      <w:r w:rsidR="00672908">
        <w:t xml:space="preserve"> of the Fourier displacement spectrum is given by</w:t>
      </w:r>
      <w:r>
        <w:t xml:space="preserve"> </w:t>
      </w:r>
      <w:r w:rsidRPr="00332AA7">
        <w:rPr>
          <w:rStyle w:val="Bodytextitalic"/>
        </w:rPr>
        <w:t>f</w:t>
      </w:r>
      <w:r w:rsidRPr="00F37231">
        <w:rPr>
          <w:vertAlign w:val="subscript"/>
        </w:rPr>
        <w:t>0</w:t>
      </w:r>
      <w:r w:rsidR="00672908">
        <w:t>.</w:t>
      </w:r>
      <w:r>
        <w:t xml:space="preserve"> The seismic quality factor </w:t>
      </w:r>
      <w:r w:rsidRPr="00332AA7">
        <w:rPr>
          <w:rStyle w:val="Bodytextitalic"/>
        </w:rPr>
        <w:t>Q</w:t>
      </w:r>
      <w:r>
        <w:t xml:space="preserve"> represents a measure of the anelastic attenuation through the propa</w:t>
      </w:r>
      <w:smartTag w:uri="urn:schemas-microsoft-com:office:smarttags" w:element="PersonName">
        <w:r>
          <w:t>ga</w:t>
        </w:r>
      </w:smartTag>
      <w:r>
        <w:t xml:space="preserve">tion path, </w:t>
      </w:r>
      <w:r w:rsidRPr="00332AA7">
        <w:rPr>
          <w:rStyle w:val="Bodytextitalic"/>
        </w:rPr>
        <w:t>κ</w:t>
      </w:r>
      <w:r w:rsidRPr="00557D20">
        <w:rPr>
          <w:vertAlign w:val="subscript"/>
        </w:rPr>
        <w:t>0</w:t>
      </w:r>
      <w:r>
        <w:t xml:space="preserve"> is the near-surface </w:t>
      </w:r>
      <w:r w:rsidR="001E6F88">
        <w:rPr>
          <w:lang w:val="en-US"/>
        </w:rPr>
        <w:t>diminution</w:t>
      </w:r>
      <w:r w:rsidR="001E6F88">
        <w:t xml:space="preserve"> </w:t>
      </w:r>
      <w:r>
        <w:t xml:space="preserve">term which affects the high-frequency component of the Fourier spectrum and </w:t>
      </w:r>
      <w:r w:rsidRPr="00332AA7">
        <w:rPr>
          <w:rStyle w:val="Bodytextitalic"/>
        </w:rPr>
        <w:t>b</w:t>
      </w:r>
      <w:r>
        <w:t xml:space="preserve"> is the geometrical attenuation coefficient, which approximates the spreading of shear-waves in a whole space. In theory, </w:t>
      </w:r>
      <w:r w:rsidRPr="00332AA7">
        <w:rPr>
          <w:rStyle w:val="Bodytextitalic"/>
        </w:rPr>
        <w:t>b</w:t>
      </w:r>
      <w:r>
        <w:t xml:space="preserve"> is equal to 1.0 for body-wave spreading (Aki and Richards, 2002), but may vary owing to deviations in crustal attenuation properties and the arrival of other phases within the shear-wave window; for example, postcritical reflections from the Moho or other mid-crustal discontinuities </w:t>
      </w:r>
      <w:r>
        <w:fldChar w:fldCharType="begin">
          <w:fldData xml:space="preserve">PEVuZE5vdGU+PENpdGU+PEF1dGhvcj5BbGxlbjwvQXV0aG9yPjxZZWFyPjIwMDc8L1llYXI+PFJl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</w:fldData>
        </w:fldChar>
      </w:r>
      <w:r w:rsidR="00F202D0">
        <w:instrText xml:space="preserve"> ADDIN EN.CITE </w:instrText>
      </w:r>
      <w:r w:rsidR="00F202D0">
        <w:fldChar w:fldCharType="begin">
          <w:fldData xml:space="preserve">PEVuZE5vdGU+PENpdGU+PEF1dGhvcj5BbGxlbjwvQXV0aG9yPjxZZWFyPjIwMDc8L1llYXI+PFJl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</w:fldData>
        </w:fldChar>
      </w:r>
      <w:r w:rsidR="00F202D0">
        <w:instrText xml:space="preserve"> ADDIN EN.CITE.DATA </w:instrText>
      </w:r>
      <w:r w:rsidR="00F202D0">
        <w:fldChar w:fldCharType="end"/>
      </w:r>
      <w:r>
        <w:fldChar w:fldCharType="separate"/>
      </w:r>
      <w:r w:rsidR="00E80707">
        <w:t>(Ou and Herrmann, 1990; Atkinson, 2004; Allen</w:t>
      </w:r>
      <w:r w:rsidR="00E80707" w:rsidRPr="00E80707">
        <w:rPr>
          <w:i/>
        </w:rPr>
        <w:t xml:space="preserve"> et al.</w:t>
      </w:r>
      <w:r w:rsidR="00E80707">
        <w:t>, 2007)</w:t>
      </w:r>
      <w:r>
        <w:fldChar w:fldCharType="end"/>
      </w:r>
      <w:r>
        <w:t>.  Table 1 provides a listing of the key aforementioned parameters as well as those introduced later.</w:t>
      </w:r>
    </w:p>
    <w:p w:rsidR="003166B9" w:rsidRDefault="003166B9" w:rsidP="003F4034">
      <w:pPr>
        <w:pStyle w:val="BodyText"/>
      </w:pPr>
    </w:p>
    <w:p w:rsidR="00C55730" w:rsidRDefault="00B15AC0" w:rsidP="00E54229">
      <w:pPr>
        <w:pStyle w:val="Tabletitle"/>
      </w:pPr>
      <w:r w:rsidRPr="00F903B7">
        <w:t xml:space="preserve"> </w:t>
      </w:r>
      <w:bookmarkStart w:id="47" w:name="_Toc338429895"/>
      <w:r w:rsidR="00C55730">
        <w:br w:type="page"/>
      </w:r>
    </w:p>
    <w:p w:rsidR="00B15AC0" w:rsidRPr="00F903B7" w:rsidRDefault="00B15AC0" w:rsidP="00E54229">
      <w:pPr>
        <w:pStyle w:val="Tabletitle"/>
      </w:pPr>
      <w:r w:rsidRPr="00ED3EA1">
        <w:rPr>
          <w:rStyle w:val="Bodytextbold"/>
        </w:rPr>
        <w:lastRenderedPageBreak/>
        <w:t xml:space="preserve">Table </w:t>
      </w:r>
      <w:r w:rsidRPr="00C409B2">
        <w:rPr>
          <w:b/>
        </w:rPr>
        <w:fldChar w:fldCharType="begin"/>
      </w:r>
      <w:r w:rsidRPr="00C409B2">
        <w:rPr>
          <w:b/>
        </w:rPr>
        <w:instrText xml:space="preserve"> SEQ Table \* ARABIC </w:instrText>
      </w:r>
      <w:r w:rsidRPr="00C409B2">
        <w:rPr>
          <w:b/>
        </w:rPr>
        <w:fldChar w:fldCharType="separate"/>
      </w:r>
      <w:r w:rsidR="007D4E78">
        <w:rPr>
          <w:b/>
          <w:noProof/>
        </w:rPr>
        <w:t>1</w:t>
      </w:r>
      <w:r w:rsidRPr="00C409B2">
        <w:rPr>
          <w:b/>
        </w:rPr>
        <w:fldChar w:fldCharType="end"/>
      </w:r>
      <w:r w:rsidRPr="00ED3EA1">
        <w:rPr>
          <w:rStyle w:val="Bodytextbold"/>
        </w:rPr>
        <w:t>:</w:t>
      </w:r>
      <w:r>
        <w:t xml:space="preserve"> </w:t>
      </w:r>
      <w:r w:rsidRPr="00F903B7">
        <w:t xml:space="preserve">A description of selected key parameters introduced in this </w:t>
      </w:r>
      <w:bookmarkEnd w:id="47"/>
      <w:r w:rsidR="007021B6">
        <w:t>manuscript</w:t>
      </w:r>
    </w:p>
    <w:tbl>
      <w:tblPr>
        <w:tblW w:w="8613" w:type="dxa"/>
        <w:tblLook w:val="01E0" w:firstRow="1" w:lastRow="1" w:firstColumn="1" w:lastColumn="1" w:noHBand="0" w:noVBand="0"/>
      </w:tblPr>
      <w:tblGrid>
        <w:gridCol w:w="1327"/>
        <w:gridCol w:w="1121"/>
        <w:gridCol w:w="6165"/>
      </w:tblGrid>
      <w:tr w:rsidR="00B15AC0" w:rsidRPr="001D3C3C" w:rsidTr="00C24397">
        <w:tc>
          <w:tcPr>
            <w:tcW w:w="1327" w:type="dxa"/>
            <w:tcBorders>
              <w:top w:val="single" w:sz="4" w:space="0" w:color="auto"/>
              <w:bottom w:val="single" w:sz="4" w:space="0" w:color="auto"/>
            </w:tcBorders>
            <w:shd w:val="clear" w:color="auto" w:fill="D9D9D9"/>
            <w:vAlign w:val="center"/>
          </w:tcPr>
          <w:p w:rsidR="00B15AC0" w:rsidRPr="001D3C3C" w:rsidRDefault="00B15AC0" w:rsidP="001A3699">
            <w:pPr>
              <w:pStyle w:val="Tableheadingrow"/>
            </w:pPr>
            <w:r w:rsidRPr="001D3C3C">
              <w:t>Parameter</w:t>
            </w:r>
          </w:p>
        </w:tc>
        <w:tc>
          <w:tcPr>
            <w:tcW w:w="1121" w:type="dxa"/>
            <w:tcBorders>
              <w:top w:val="single" w:sz="4" w:space="0" w:color="auto"/>
              <w:bottom w:val="single" w:sz="4" w:space="0" w:color="auto"/>
            </w:tcBorders>
            <w:shd w:val="clear" w:color="auto" w:fill="D9D9D9"/>
            <w:vAlign w:val="center"/>
          </w:tcPr>
          <w:p w:rsidR="00B15AC0" w:rsidRPr="001D3C3C" w:rsidRDefault="00B15AC0" w:rsidP="001A3699">
            <w:pPr>
              <w:pStyle w:val="Tableheadingrow"/>
            </w:pPr>
            <w:r w:rsidRPr="001D3C3C">
              <w:t>Units</w:t>
            </w:r>
          </w:p>
        </w:tc>
        <w:tc>
          <w:tcPr>
            <w:tcW w:w="6165" w:type="dxa"/>
            <w:tcBorders>
              <w:top w:val="single" w:sz="4" w:space="0" w:color="auto"/>
              <w:bottom w:val="single" w:sz="4" w:space="0" w:color="auto"/>
            </w:tcBorders>
            <w:shd w:val="clear" w:color="auto" w:fill="D9D9D9"/>
            <w:vAlign w:val="center"/>
          </w:tcPr>
          <w:p w:rsidR="00B15AC0" w:rsidRPr="001D3C3C" w:rsidRDefault="00B15AC0" w:rsidP="001A3699">
            <w:pPr>
              <w:pStyle w:val="Tableheadingrow"/>
            </w:pPr>
            <w:r w:rsidRPr="001D3C3C">
              <w:t>Description</w:t>
            </w:r>
          </w:p>
        </w:tc>
      </w:tr>
      <w:tr w:rsidR="00B15AC0" w:rsidRPr="001D3C3C" w:rsidTr="00C24397">
        <w:tc>
          <w:tcPr>
            <w:tcW w:w="1327" w:type="dxa"/>
            <w:tcBorders>
              <w:top w:val="single" w:sz="4" w:space="0" w:color="auto"/>
            </w:tcBorders>
            <w:vAlign w:val="center"/>
          </w:tcPr>
          <w:p w:rsidR="00B15AC0" w:rsidRPr="008818F0" w:rsidRDefault="00B15AC0" w:rsidP="001A3699">
            <w:pPr>
              <w:pStyle w:val="Tabletext"/>
              <w:rPr>
                <w:i/>
              </w:rPr>
            </w:pPr>
            <w:r w:rsidRPr="008818F0">
              <w:rPr>
                <w:i/>
              </w:rPr>
              <w:t>M</w:t>
            </w:r>
            <w:r w:rsidRPr="008818F0">
              <w:rPr>
                <w:vertAlign w:val="subscript"/>
              </w:rPr>
              <w:t>0</w:t>
            </w:r>
          </w:p>
        </w:tc>
        <w:tc>
          <w:tcPr>
            <w:tcW w:w="1121" w:type="dxa"/>
            <w:tcBorders>
              <w:top w:val="single" w:sz="4" w:space="0" w:color="auto"/>
            </w:tcBorders>
            <w:vAlign w:val="center"/>
          </w:tcPr>
          <w:p w:rsidR="00B15AC0" w:rsidRPr="001D3C3C" w:rsidRDefault="00B15AC0" w:rsidP="001A3699">
            <w:pPr>
              <w:pStyle w:val="Tabletext"/>
            </w:pPr>
            <w:r w:rsidRPr="001D3C3C">
              <w:t>N-m</w:t>
            </w:r>
          </w:p>
        </w:tc>
        <w:tc>
          <w:tcPr>
            <w:tcW w:w="6165" w:type="dxa"/>
            <w:tcBorders>
              <w:top w:val="single" w:sz="4" w:space="0" w:color="auto"/>
            </w:tcBorders>
            <w:vAlign w:val="center"/>
          </w:tcPr>
          <w:p w:rsidR="00B15AC0" w:rsidRPr="001D3C3C" w:rsidRDefault="00B15AC0" w:rsidP="001A3699">
            <w:pPr>
              <w:pStyle w:val="Tabletext"/>
            </w:pPr>
            <w:r w:rsidRPr="001D3C3C">
              <w:t>Seismic moment</w:t>
            </w:r>
          </w:p>
        </w:tc>
      </w:tr>
      <w:tr w:rsidR="00B15AC0" w:rsidRPr="001D3C3C" w:rsidTr="00C24397">
        <w:tc>
          <w:tcPr>
            <w:tcW w:w="1327" w:type="dxa"/>
            <w:vAlign w:val="center"/>
          </w:tcPr>
          <w:p w:rsidR="00B15AC0" w:rsidRPr="008818F0" w:rsidRDefault="00B15AC0" w:rsidP="001A3699">
            <w:pPr>
              <w:pStyle w:val="Tabletext"/>
              <w:rPr>
                <w:i/>
              </w:rPr>
            </w:pPr>
            <w:r w:rsidRPr="008818F0">
              <w:rPr>
                <w:i/>
              </w:rPr>
              <w:t>R</w:t>
            </w:r>
          </w:p>
        </w:tc>
        <w:tc>
          <w:tcPr>
            <w:tcW w:w="1121" w:type="dxa"/>
            <w:vAlign w:val="center"/>
          </w:tcPr>
          <w:p w:rsidR="00B15AC0" w:rsidRPr="001D3C3C" w:rsidRDefault="00B15AC0" w:rsidP="001A3699">
            <w:pPr>
              <w:pStyle w:val="Tabletext"/>
            </w:pPr>
            <w:r w:rsidRPr="001D3C3C">
              <w:t>km</w:t>
            </w:r>
          </w:p>
        </w:tc>
        <w:tc>
          <w:tcPr>
            <w:tcW w:w="6165" w:type="dxa"/>
            <w:vAlign w:val="center"/>
          </w:tcPr>
          <w:p w:rsidR="00B15AC0" w:rsidRPr="001D3C3C" w:rsidRDefault="00B15AC0" w:rsidP="001A3699">
            <w:pPr>
              <w:pStyle w:val="Tabletext"/>
            </w:pPr>
            <w:r w:rsidRPr="001D3C3C">
              <w:t>Hypocentral distance</w:t>
            </w:r>
          </w:p>
        </w:tc>
      </w:tr>
      <w:tr w:rsidR="0040672D" w:rsidRPr="001D3C3C" w:rsidTr="00C24397">
        <w:tc>
          <w:tcPr>
            <w:tcW w:w="1327" w:type="dxa"/>
            <w:vAlign w:val="center"/>
          </w:tcPr>
          <w:p w:rsidR="0040672D" w:rsidRPr="008818F0" w:rsidRDefault="0040672D" w:rsidP="002710C3">
            <w:pPr>
              <w:pStyle w:val="Tabletext"/>
              <w:rPr>
                <w:i/>
                <w:vertAlign w:val="subscript"/>
              </w:rPr>
            </w:pPr>
            <w:r w:rsidRPr="008818F0">
              <w:rPr>
                <w:i/>
              </w:rPr>
              <w:t>R</w:t>
            </w:r>
            <w:r w:rsidRPr="00172353">
              <w:rPr>
                <w:rStyle w:val="Subscriptitalic"/>
              </w:rPr>
              <w:t>rup</w:t>
            </w:r>
          </w:p>
        </w:tc>
        <w:tc>
          <w:tcPr>
            <w:tcW w:w="1121" w:type="dxa"/>
            <w:vAlign w:val="center"/>
          </w:tcPr>
          <w:p w:rsidR="0040672D" w:rsidRPr="001D3C3C" w:rsidRDefault="0040672D" w:rsidP="002710C3">
            <w:pPr>
              <w:pStyle w:val="Tabletext"/>
            </w:pPr>
            <w:r w:rsidRPr="001D3C3C">
              <w:t>km</w:t>
            </w:r>
          </w:p>
        </w:tc>
        <w:tc>
          <w:tcPr>
            <w:tcW w:w="6165" w:type="dxa"/>
            <w:vAlign w:val="center"/>
          </w:tcPr>
          <w:p w:rsidR="0040672D" w:rsidRPr="001D3C3C" w:rsidRDefault="0040672D" w:rsidP="00C24397">
            <w:pPr>
              <w:pStyle w:val="Tabletext"/>
              <w:ind w:right="791"/>
            </w:pPr>
            <w:r>
              <w:t>Closest</w:t>
            </w:r>
            <w:r w:rsidRPr="001D3C3C">
              <w:t xml:space="preserve"> distance</w:t>
            </w:r>
            <w:r>
              <w:t xml:space="preserve"> to rupture</w:t>
            </w:r>
          </w:p>
        </w:tc>
      </w:tr>
      <w:tr w:rsidR="00B15AC0" w:rsidRPr="001D3C3C" w:rsidTr="00C24397">
        <w:tc>
          <w:tcPr>
            <w:tcW w:w="1327" w:type="dxa"/>
            <w:vAlign w:val="center"/>
          </w:tcPr>
          <w:p w:rsidR="00B15AC0" w:rsidRPr="008818F0" w:rsidRDefault="00B15AC0" w:rsidP="001A3699">
            <w:pPr>
              <w:pStyle w:val="Tabletext"/>
              <w:rPr>
                <w:i/>
              </w:rPr>
            </w:pPr>
            <w:r w:rsidRPr="008818F0">
              <w:rPr>
                <w:i/>
              </w:rPr>
              <w:t>f</w:t>
            </w:r>
          </w:p>
        </w:tc>
        <w:tc>
          <w:tcPr>
            <w:tcW w:w="1121" w:type="dxa"/>
            <w:vAlign w:val="center"/>
          </w:tcPr>
          <w:p w:rsidR="00B15AC0" w:rsidRPr="001D3C3C" w:rsidRDefault="00B15AC0" w:rsidP="001A3699">
            <w:pPr>
              <w:pStyle w:val="Tabletext"/>
            </w:pPr>
            <w:r w:rsidRPr="001D3C3C">
              <w:t>Hz</w:t>
            </w:r>
          </w:p>
        </w:tc>
        <w:tc>
          <w:tcPr>
            <w:tcW w:w="6165" w:type="dxa"/>
            <w:vAlign w:val="center"/>
          </w:tcPr>
          <w:p w:rsidR="00B15AC0" w:rsidRPr="001D3C3C" w:rsidRDefault="00B15AC0" w:rsidP="001A3699">
            <w:pPr>
              <w:pStyle w:val="Tabletext"/>
            </w:pPr>
            <w:r w:rsidRPr="001D3C3C">
              <w:t>Number of cycles per second</w:t>
            </w:r>
          </w:p>
        </w:tc>
      </w:tr>
      <w:tr w:rsidR="00B15AC0" w:rsidRPr="001D3C3C" w:rsidTr="00C24397">
        <w:tc>
          <w:tcPr>
            <w:tcW w:w="1327" w:type="dxa"/>
            <w:vAlign w:val="center"/>
          </w:tcPr>
          <w:p w:rsidR="00B15AC0" w:rsidRPr="008818F0" w:rsidRDefault="00B15AC0" w:rsidP="001A3699">
            <w:pPr>
              <w:pStyle w:val="Tabletext"/>
              <w:rPr>
                <w:i/>
              </w:rPr>
            </w:pPr>
            <w:r w:rsidRPr="008818F0">
              <w:rPr>
                <w:i/>
              </w:rPr>
              <w:t>f</w:t>
            </w:r>
            <w:r w:rsidRPr="008818F0">
              <w:rPr>
                <w:vertAlign w:val="subscript"/>
              </w:rPr>
              <w:t>0</w:t>
            </w:r>
          </w:p>
        </w:tc>
        <w:tc>
          <w:tcPr>
            <w:tcW w:w="1121" w:type="dxa"/>
            <w:vAlign w:val="center"/>
          </w:tcPr>
          <w:p w:rsidR="00B15AC0" w:rsidRPr="001D3C3C" w:rsidRDefault="00B15AC0" w:rsidP="001A3699">
            <w:pPr>
              <w:pStyle w:val="Tabletext"/>
            </w:pPr>
            <w:r w:rsidRPr="001D3C3C">
              <w:t>Hz</w:t>
            </w:r>
          </w:p>
        </w:tc>
        <w:tc>
          <w:tcPr>
            <w:tcW w:w="6165" w:type="dxa"/>
            <w:vAlign w:val="center"/>
          </w:tcPr>
          <w:p w:rsidR="00B15AC0" w:rsidRPr="001D3C3C" w:rsidRDefault="00B15AC0" w:rsidP="001A3699">
            <w:pPr>
              <w:pStyle w:val="Tabletext"/>
            </w:pPr>
            <w:r w:rsidRPr="001D3C3C">
              <w:t>The corner frequency, or the frequency at which the high-frequency displacement spectr</w:t>
            </w:r>
            <w:r w:rsidR="003C30CA">
              <w:t>um</w:t>
            </w:r>
            <w:r w:rsidRPr="001D3C3C">
              <w:t xml:space="preserve"> begin</w:t>
            </w:r>
            <w:r w:rsidR="003C30CA">
              <w:t>s</w:t>
            </w:r>
            <w:r w:rsidRPr="001D3C3C">
              <w:t xml:space="preserve"> to decay as a function of </w:t>
            </w:r>
            <w:r w:rsidRPr="008818F0">
              <w:rPr>
                <w:i/>
              </w:rPr>
              <w:sym w:font="Symbol" w:char="F077"/>
            </w:r>
            <w:r w:rsidRPr="008818F0">
              <w:rPr>
                <w:vertAlign w:val="superscript"/>
              </w:rPr>
              <w:t>2</w:t>
            </w:r>
            <w:r w:rsidRPr="001D3C3C">
              <w:t xml:space="preserve"> [= (2</w:t>
            </w:r>
            <w:r w:rsidRPr="008818F0">
              <w:rPr>
                <w:i/>
              </w:rPr>
              <w:sym w:font="Symbol" w:char="F070"/>
            </w:r>
            <w:r w:rsidRPr="008818F0">
              <w:rPr>
                <w:i/>
              </w:rPr>
              <w:t>f</w:t>
            </w:r>
            <w:r w:rsidRPr="001D3C3C">
              <w:t>)</w:t>
            </w:r>
            <w:r w:rsidRPr="008818F0">
              <w:rPr>
                <w:vertAlign w:val="superscript"/>
              </w:rPr>
              <w:t>2</w:t>
            </w:r>
            <w:r w:rsidRPr="001D3C3C">
              <w:t>]</w:t>
            </w:r>
          </w:p>
        </w:tc>
      </w:tr>
      <w:tr w:rsidR="00B15AC0" w:rsidRPr="001D3C3C" w:rsidTr="00C24397">
        <w:tc>
          <w:tcPr>
            <w:tcW w:w="1327" w:type="dxa"/>
            <w:vAlign w:val="center"/>
          </w:tcPr>
          <w:p w:rsidR="00B15AC0" w:rsidRPr="001D3C3C" w:rsidRDefault="00B15AC0" w:rsidP="001A3699">
            <w:pPr>
              <w:pStyle w:val="Tabletext"/>
            </w:pPr>
            <w:r w:rsidRPr="008818F0">
              <w:sym w:font="Symbol" w:char="F044"/>
            </w:r>
            <w:r w:rsidRPr="008818F0">
              <w:rPr>
                <w:i/>
                <w:spacing w:val="50"/>
              </w:rPr>
              <w:sym w:font="Symbol" w:char="F073"/>
            </w:r>
          </w:p>
        </w:tc>
        <w:tc>
          <w:tcPr>
            <w:tcW w:w="1121" w:type="dxa"/>
            <w:vAlign w:val="center"/>
          </w:tcPr>
          <w:p w:rsidR="00B15AC0" w:rsidRPr="001D3C3C" w:rsidRDefault="00B15AC0" w:rsidP="001A3699">
            <w:pPr>
              <w:pStyle w:val="Tabletext"/>
            </w:pPr>
            <w:r w:rsidRPr="001D3C3C">
              <w:t>MPa</w:t>
            </w:r>
          </w:p>
        </w:tc>
        <w:tc>
          <w:tcPr>
            <w:tcW w:w="6165" w:type="dxa"/>
            <w:vAlign w:val="center"/>
          </w:tcPr>
          <w:p w:rsidR="00B15AC0" w:rsidRPr="001D3C3C" w:rsidRDefault="00B15AC0" w:rsidP="001A3699">
            <w:pPr>
              <w:pStyle w:val="Tabletext"/>
            </w:pPr>
            <w:r w:rsidRPr="001D3C3C">
              <w:t>The Brune (1970,1971) stress drop</w:t>
            </w:r>
          </w:p>
        </w:tc>
      </w:tr>
      <w:tr w:rsidR="00B15AC0" w:rsidRPr="001D3C3C" w:rsidTr="00C24397">
        <w:tc>
          <w:tcPr>
            <w:tcW w:w="1327" w:type="dxa"/>
            <w:vAlign w:val="center"/>
          </w:tcPr>
          <w:p w:rsidR="00B15AC0" w:rsidRPr="001D3C3C" w:rsidRDefault="00B15AC0" w:rsidP="001A3699">
            <w:pPr>
              <w:pStyle w:val="Tabletext"/>
            </w:pPr>
            <w:r w:rsidRPr="008818F0">
              <w:rPr>
                <w:i/>
              </w:rPr>
              <w:t>Q</w:t>
            </w:r>
            <w:r w:rsidRPr="001D3C3C">
              <w:t>(</w:t>
            </w:r>
            <w:r w:rsidRPr="008818F0">
              <w:rPr>
                <w:i/>
              </w:rPr>
              <w:t>f</w:t>
            </w:r>
            <w:r w:rsidRPr="001D3C3C">
              <w:t>)</w:t>
            </w:r>
          </w:p>
        </w:tc>
        <w:tc>
          <w:tcPr>
            <w:tcW w:w="1121" w:type="dxa"/>
            <w:vAlign w:val="center"/>
          </w:tcPr>
          <w:p w:rsidR="00B15AC0" w:rsidRPr="001D3C3C" w:rsidRDefault="00B15AC0" w:rsidP="001A3699">
            <w:pPr>
              <w:pStyle w:val="Tabletext"/>
            </w:pPr>
            <w:r w:rsidRPr="001D3C3C">
              <w:t>-</w:t>
            </w:r>
          </w:p>
        </w:tc>
        <w:tc>
          <w:tcPr>
            <w:tcW w:w="6165" w:type="dxa"/>
            <w:vAlign w:val="center"/>
          </w:tcPr>
          <w:p w:rsidR="00B15AC0" w:rsidRPr="001D3C3C" w:rsidRDefault="00B15AC0" w:rsidP="001A3699">
            <w:pPr>
              <w:pStyle w:val="Tabletext"/>
            </w:pPr>
            <w:r w:rsidRPr="001D3C3C">
              <w:t xml:space="preserve">The frequency-dependent seismic </w:t>
            </w:r>
            <w:r w:rsidRPr="008818F0">
              <w:rPr>
                <w:i/>
              </w:rPr>
              <w:t>quality factor</w:t>
            </w:r>
            <w:r w:rsidRPr="001D3C3C">
              <w:t xml:space="preserve"> or the </w:t>
            </w:r>
            <w:r w:rsidRPr="008818F0">
              <w:rPr>
                <w:bCs/>
                <w:i/>
                <w:lang w:val="en"/>
              </w:rPr>
              <w:t>anelastic attenuation factor</w:t>
            </w:r>
            <w:r w:rsidRPr="008818F0">
              <w:rPr>
                <w:bCs/>
                <w:lang w:val="en"/>
              </w:rPr>
              <w:t xml:space="preserve"> which accounts for the attenuation of seismic signal through internal absorption</w:t>
            </w:r>
            <w:r w:rsidR="003C30CA">
              <w:rPr>
                <w:bCs/>
                <w:lang w:val="en"/>
              </w:rPr>
              <w:t xml:space="preserve"> and scattering</w:t>
            </w:r>
          </w:p>
        </w:tc>
      </w:tr>
      <w:tr w:rsidR="00B15AC0" w:rsidRPr="00F903B7" w:rsidTr="00C24397">
        <w:tc>
          <w:tcPr>
            <w:tcW w:w="1327" w:type="dxa"/>
            <w:vAlign w:val="center"/>
          </w:tcPr>
          <w:p w:rsidR="00B15AC0" w:rsidRPr="008818F0" w:rsidRDefault="00B15AC0" w:rsidP="001A3699">
            <w:pPr>
              <w:pStyle w:val="Tabletext"/>
              <w:rPr>
                <w:vertAlign w:val="subscript"/>
                <w:lang w:val="en-US"/>
              </w:rPr>
            </w:pPr>
            <w:r w:rsidRPr="008818F0">
              <w:rPr>
                <w:i/>
                <w:lang w:val="en-US"/>
              </w:rPr>
              <w:sym w:font="Symbol" w:char="F06B"/>
            </w:r>
            <w:r w:rsidRPr="008818F0">
              <w:rPr>
                <w:vertAlign w:val="subscript"/>
                <w:lang w:val="en-US"/>
              </w:rPr>
              <w:t>0</w:t>
            </w:r>
          </w:p>
        </w:tc>
        <w:tc>
          <w:tcPr>
            <w:tcW w:w="1121" w:type="dxa"/>
            <w:vAlign w:val="center"/>
          </w:tcPr>
          <w:p w:rsidR="00B15AC0" w:rsidRPr="00F903B7" w:rsidRDefault="00B15AC0" w:rsidP="001A3699">
            <w:pPr>
              <w:pStyle w:val="Tabletext"/>
            </w:pPr>
            <w:r w:rsidRPr="00F903B7">
              <w:t>s</w:t>
            </w:r>
          </w:p>
        </w:tc>
        <w:tc>
          <w:tcPr>
            <w:tcW w:w="6165" w:type="dxa"/>
            <w:vAlign w:val="center"/>
          </w:tcPr>
          <w:p w:rsidR="00B15AC0" w:rsidRPr="00F903B7" w:rsidRDefault="00B15AC0" w:rsidP="001A3699">
            <w:pPr>
              <w:pStyle w:val="Tabletext"/>
            </w:pPr>
            <w:r w:rsidRPr="00F903B7">
              <w:t>Path-independent site attenuation parameter (kappa)</w:t>
            </w:r>
          </w:p>
        </w:tc>
      </w:tr>
      <w:tr w:rsidR="0040672D" w:rsidRPr="001D3C3C" w:rsidTr="00C24397">
        <w:tc>
          <w:tcPr>
            <w:tcW w:w="1327" w:type="dxa"/>
            <w:vAlign w:val="center"/>
          </w:tcPr>
          <w:p w:rsidR="0040672D" w:rsidRPr="008818F0" w:rsidRDefault="00172353" w:rsidP="001A3699">
            <w:pPr>
              <w:pStyle w:val="Tabletext"/>
              <w:rPr>
                <w:lang w:val="en-US"/>
              </w:rPr>
            </w:pPr>
            <w:r w:rsidRPr="00332AA7">
              <w:rPr>
                <w:rStyle w:val="Bodytextitalic"/>
              </w:rPr>
              <w:t>V</w:t>
            </w:r>
            <w:r w:rsidRPr="00172353">
              <w:rPr>
                <w:rStyle w:val="Subscriptitalic"/>
              </w:rPr>
              <w:t>S30</w:t>
            </w:r>
          </w:p>
        </w:tc>
        <w:tc>
          <w:tcPr>
            <w:tcW w:w="1121" w:type="dxa"/>
            <w:vAlign w:val="center"/>
          </w:tcPr>
          <w:p w:rsidR="0040672D" w:rsidRPr="001D3C3C" w:rsidRDefault="0040672D" w:rsidP="001A3699">
            <w:pPr>
              <w:pStyle w:val="Tabletext"/>
            </w:pPr>
            <w:r>
              <w:t>m/s</w:t>
            </w:r>
          </w:p>
        </w:tc>
        <w:tc>
          <w:tcPr>
            <w:tcW w:w="6165" w:type="dxa"/>
            <w:vAlign w:val="center"/>
          </w:tcPr>
          <w:p w:rsidR="0040672D" w:rsidRPr="001D3C3C" w:rsidRDefault="0040672D" w:rsidP="001A3699">
            <w:pPr>
              <w:pStyle w:val="Tabletext"/>
            </w:pPr>
            <w:r>
              <w:t>Average shear-wave velocity in the upper 30 m of the crust</w:t>
            </w:r>
          </w:p>
        </w:tc>
      </w:tr>
      <w:tr w:rsidR="00B15AC0" w:rsidRPr="001D3C3C" w:rsidTr="00C24397">
        <w:tc>
          <w:tcPr>
            <w:tcW w:w="1327" w:type="dxa"/>
            <w:vAlign w:val="center"/>
          </w:tcPr>
          <w:p w:rsidR="00B15AC0" w:rsidRPr="001D3C3C" w:rsidRDefault="00B15AC0" w:rsidP="001A3699">
            <w:pPr>
              <w:pStyle w:val="Tabletext"/>
            </w:pPr>
            <w:r w:rsidRPr="008818F0">
              <w:rPr>
                <w:i/>
                <w:lang w:val="en-US"/>
              </w:rPr>
              <w:t>b’</w:t>
            </w:r>
          </w:p>
        </w:tc>
        <w:tc>
          <w:tcPr>
            <w:tcW w:w="1121" w:type="dxa"/>
            <w:vAlign w:val="center"/>
          </w:tcPr>
          <w:p w:rsidR="00B15AC0" w:rsidRPr="001D3C3C" w:rsidRDefault="00B15AC0" w:rsidP="001A3699">
            <w:pPr>
              <w:pStyle w:val="Tabletext"/>
            </w:pPr>
            <w:r w:rsidRPr="001D3C3C">
              <w:t>-</w:t>
            </w:r>
          </w:p>
        </w:tc>
        <w:tc>
          <w:tcPr>
            <w:tcW w:w="6165" w:type="dxa"/>
            <w:vAlign w:val="center"/>
          </w:tcPr>
          <w:p w:rsidR="00B15AC0" w:rsidRPr="001D3C3C" w:rsidRDefault="00B15AC0" w:rsidP="001A3699">
            <w:pPr>
              <w:pStyle w:val="Tabletext"/>
            </w:pPr>
            <w:r w:rsidRPr="001D3C3C">
              <w:t>Initial starting value of near-source (</w:t>
            </w:r>
            <w:r w:rsidRPr="008818F0">
              <w:rPr>
                <w:i/>
              </w:rPr>
              <w:t xml:space="preserve">R </w:t>
            </w:r>
            <w:r w:rsidRPr="001D3C3C">
              <w:t>&lt; 100 km) geometrical attenuation used in the data normalisation process to solve for the final geometrical attenuation factors</w:t>
            </w:r>
          </w:p>
        </w:tc>
      </w:tr>
      <w:tr w:rsidR="00B15AC0" w:rsidRPr="001D3C3C" w:rsidTr="00C24397">
        <w:tc>
          <w:tcPr>
            <w:tcW w:w="1327" w:type="dxa"/>
            <w:vAlign w:val="center"/>
          </w:tcPr>
          <w:p w:rsidR="00B15AC0" w:rsidRPr="001D3C3C" w:rsidRDefault="00B15AC0" w:rsidP="001A3699">
            <w:pPr>
              <w:pStyle w:val="Tabletext"/>
            </w:pPr>
            <w:r w:rsidRPr="008818F0">
              <w:rPr>
                <w:i/>
                <w:lang w:val="en-US"/>
              </w:rPr>
              <w:t>b</w:t>
            </w:r>
            <w:r w:rsidRPr="008818F0">
              <w:rPr>
                <w:vertAlign w:val="subscript"/>
                <w:lang w:val="en-US"/>
              </w:rPr>
              <w:t>1</w:t>
            </w:r>
          </w:p>
        </w:tc>
        <w:tc>
          <w:tcPr>
            <w:tcW w:w="1121" w:type="dxa"/>
            <w:vAlign w:val="center"/>
          </w:tcPr>
          <w:p w:rsidR="00B15AC0" w:rsidRPr="001D3C3C" w:rsidRDefault="00B15AC0" w:rsidP="001A3699">
            <w:pPr>
              <w:pStyle w:val="Tabletext"/>
            </w:pPr>
            <w:r w:rsidRPr="001D3C3C">
              <w:t>-</w:t>
            </w:r>
          </w:p>
        </w:tc>
        <w:tc>
          <w:tcPr>
            <w:tcW w:w="6165" w:type="dxa"/>
            <w:vAlign w:val="center"/>
          </w:tcPr>
          <w:p w:rsidR="00B15AC0" w:rsidRPr="008818F0" w:rsidRDefault="00B15AC0" w:rsidP="001A3699">
            <w:pPr>
              <w:pStyle w:val="Tabletext"/>
              <w:rPr>
                <w:i/>
              </w:rPr>
            </w:pPr>
            <w:r w:rsidRPr="001D3C3C">
              <w:t>Geometrical attenuation</w:t>
            </w:r>
            <w:r>
              <w:t xml:space="preserve"> coefficient</w:t>
            </w:r>
            <w:r w:rsidRPr="001D3C3C">
              <w:t xml:space="preserve"> for </w:t>
            </w:r>
            <w:r w:rsidRPr="008818F0">
              <w:rPr>
                <w:i/>
              </w:rPr>
              <w:t xml:space="preserve">R </w:t>
            </w:r>
            <w:r w:rsidRPr="008818F0">
              <w:sym w:font="Symbol" w:char="F0A3"/>
            </w:r>
            <w:r w:rsidRPr="001D3C3C">
              <w:t xml:space="preserve"> 90 km</w:t>
            </w:r>
          </w:p>
        </w:tc>
      </w:tr>
      <w:tr w:rsidR="00B15AC0" w:rsidRPr="001D3C3C" w:rsidTr="00C24397">
        <w:tc>
          <w:tcPr>
            <w:tcW w:w="1327" w:type="dxa"/>
            <w:vAlign w:val="center"/>
          </w:tcPr>
          <w:p w:rsidR="00B15AC0" w:rsidRPr="001D3C3C" w:rsidRDefault="00B15AC0" w:rsidP="001A3699">
            <w:pPr>
              <w:pStyle w:val="Tabletext"/>
            </w:pPr>
            <w:r w:rsidRPr="008818F0">
              <w:rPr>
                <w:i/>
                <w:lang w:val="en-US"/>
              </w:rPr>
              <w:t>b</w:t>
            </w:r>
            <w:r w:rsidRPr="008818F0">
              <w:rPr>
                <w:vertAlign w:val="subscript"/>
                <w:lang w:val="en-US"/>
              </w:rPr>
              <w:t>2</w:t>
            </w:r>
          </w:p>
        </w:tc>
        <w:tc>
          <w:tcPr>
            <w:tcW w:w="1121" w:type="dxa"/>
            <w:vAlign w:val="center"/>
          </w:tcPr>
          <w:p w:rsidR="00B15AC0" w:rsidRPr="001D3C3C" w:rsidRDefault="00B15AC0" w:rsidP="001A3699">
            <w:pPr>
              <w:pStyle w:val="Tabletext"/>
            </w:pPr>
            <w:r w:rsidRPr="001D3C3C">
              <w:t>-</w:t>
            </w:r>
          </w:p>
        </w:tc>
        <w:tc>
          <w:tcPr>
            <w:tcW w:w="6165" w:type="dxa"/>
            <w:vAlign w:val="center"/>
          </w:tcPr>
          <w:p w:rsidR="00B15AC0" w:rsidRPr="008818F0" w:rsidRDefault="00B15AC0" w:rsidP="001A3699">
            <w:pPr>
              <w:pStyle w:val="Tabletext"/>
              <w:rPr>
                <w:i/>
              </w:rPr>
            </w:pPr>
            <w:r w:rsidRPr="001D3C3C">
              <w:t>Geometrical attenuation</w:t>
            </w:r>
            <w:r>
              <w:t xml:space="preserve"> coefficient</w:t>
            </w:r>
            <w:r w:rsidRPr="001D3C3C">
              <w:t xml:space="preserve"> for </w:t>
            </w:r>
            <w:r>
              <w:t xml:space="preserve">90 </w:t>
            </w:r>
            <w:r w:rsidRPr="008818F0">
              <w:sym w:font="Symbol" w:char="F0A3"/>
            </w:r>
            <w:r>
              <w:t xml:space="preserve"> </w:t>
            </w:r>
            <w:r w:rsidRPr="008818F0">
              <w:rPr>
                <w:i/>
              </w:rPr>
              <w:t xml:space="preserve">R </w:t>
            </w:r>
            <w:r w:rsidRPr="008818F0">
              <w:sym w:font="Symbol" w:char="F0A3"/>
            </w:r>
            <w:r w:rsidRPr="001D3C3C">
              <w:t xml:space="preserve"> </w:t>
            </w:r>
            <w:r>
              <w:t>150</w:t>
            </w:r>
            <w:r w:rsidRPr="001D3C3C">
              <w:t xml:space="preserve"> km</w:t>
            </w:r>
          </w:p>
        </w:tc>
      </w:tr>
      <w:tr w:rsidR="00B15AC0" w:rsidRPr="001D3C3C" w:rsidTr="00C24397">
        <w:tc>
          <w:tcPr>
            <w:tcW w:w="1327" w:type="dxa"/>
            <w:vAlign w:val="center"/>
          </w:tcPr>
          <w:p w:rsidR="00B15AC0" w:rsidRPr="001D3C3C" w:rsidRDefault="00B15AC0" w:rsidP="001A3699">
            <w:pPr>
              <w:pStyle w:val="Tabletext"/>
            </w:pPr>
            <w:r w:rsidRPr="008818F0">
              <w:rPr>
                <w:i/>
                <w:lang w:val="en-US"/>
              </w:rPr>
              <w:t>b</w:t>
            </w:r>
            <w:r w:rsidRPr="008818F0">
              <w:rPr>
                <w:vertAlign w:val="subscript"/>
                <w:lang w:val="en-US"/>
              </w:rPr>
              <w:t>3</w:t>
            </w:r>
          </w:p>
        </w:tc>
        <w:tc>
          <w:tcPr>
            <w:tcW w:w="1121" w:type="dxa"/>
            <w:vAlign w:val="center"/>
          </w:tcPr>
          <w:p w:rsidR="00B15AC0" w:rsidRPr="001D3C3C" w:rsidRDefault="00B15AC0" w:rsidP="001A3699">
            <w:pPr>
              <w:pStyle w:val="Tabletext"/>
            </w:pPr>
            <w:r w:rsidRPr="001D3C3C">
              <w:t>-</w:t>
            </w:r>
          </w:p>
        </w:tc>
        <w:tc>
          <w:tcPr>
            <w:tcW w:w="6165" w:type="dxa"/>
            <w:vAlign w:val="center"/>
          </w:tcPr>
          <w:p w:rsidR="00B15AC0" w:rsidRPr="008818F0" w:rsidRDefault="00B15AC0" w:rsidP="001A3699">
            <w:pPr>
              <w:pStyle w:val="Tabletext"/>
              <w:rPr>
                <w:i/>
              </w:rPr>
            </w:pPr>
            <w:r w:rsidRPr="001D3C3C">
              <w:t>Geometrical attenuation</w:t>
            </w:r>
            <w:r>
              <w:t xml:space="preserve"> coefficient</w:t>
            </w:r>
            <w:r w:rsidRPr="001D3C3C">
              <w:t xml:space="preserve"> for </w:t>
            </w:r>
            <w:r w:rsidRPr="008818F0">
              <w:rPr>
                <w:i/>
              </w:rPr>
              <w:t xml:space="preserve">R </w:t>
            </w:r>
            <w:r>
              <w:t>&gt;</w:t>
            </w:r>
            <w:r w:rsidRPr="001D3C3C">
              <w:t xml:space="preserve"> </w:t>
            </w:r>
            <w:r>
              <w:t>15</w:t>
            </w:r>
            <w:r w:rsidRPr="001D3C3C">
              <w:t>0 km</w:t>
            </w:r>
          </w:p>
        </w:tc>
      </w:tr>
      <w:tr w:rsidR="00B15AC0" w:rsidRPr="001D3C3C" w:rsidTr="00C24397">
        <w:tc>
          <w:tcPr>
            <w:tcW w:w="1327" w:type="dxa"/>
            <w:vAlign w:val="center"/>
          </w:tcPr>
          <w:p w:rsidR="00B15AC0" w:rsidRPr="001D3C3C" w:rsidRDefault="00B15AC0" w:rsidP="001A3699">
            <w:pPr>
              <w:pStyle w:val="Tabletext"/>
            </w:pPr>
            <w:r w:rsidRPr="008818F0">
              <w:rPr>
                <w:i/>
              </w:rPr>
              <w:t>A</w:t>
            </w:r>
            <w:r w:rsidRPr="008818F0">
              <w:rPr>
                <w:i/>
                <w:vertAlign w:val="subscript"/>
              </w:rPr>
              <w:t>ij</w:t>
            </w:r>
            <w:r w:rsidRPr="001D3C3C">
              <w:t>(</w:t>
            </w:r>
            <w:r w:rsidRPr="008818F0">
              <w:rPr>
                <w:i/>
                <w:spacing w:val="50"/>
              </w:rPr>
              <w:t>f</w:t>
            </w:r>
            <w:r w:rsidRPr="001D3C3C">
              <w:t>)</w:t>
            </w:r>
          </w:p>
        </w:tc>
        <w:tc>
          <w:tcPr>
            <w:tcW w:w="1121" w:type="dxa"/>
            <w:vAlign w:val="center"/>
          </w:tcPr>
          <w:p w:rsidR="00B15AC0" w:rsidRPr="001D3C3C" w:rsidRDefault="00B15AC0" w:rsidP="001A3699">
            <w:pPr>
              <w:pStyle w:val="Tabletext"/>
            </w:pPr>
            <w:r w:rsidRPr="001D3C3C">
              <w:t>m</w:t>
            </w:r>
            <w:r w:rsidR="0040672D">
              <w:t>-</w:t>
            </w:r>
            <w:r w:rsidRPr="001D3C3C">
              <w:t>s</w:t>
            </w:r>
          </w:p>
        </w:tc>
        <w:tc>
          <w:tcPr>
            <w:tcW w:w="6165" w:type="dxa"/>
            <w:vAlign w:val="center"/>
          </w:tcPr>
          <w:p w:rsidR="00B15AC0" w:rsidRPr="008818F0" w:rsidRDefault="00B15AC0" w:rsidP="001A3699">
            <w:pPr>
              <w:pStyle w:val="Tabletext"/>
              <w:rPr>
                <w:i/>
              </w:rPr>
            </w:pPr>
            <w:r w:rsidRPr="001D3C3C">
              <w:t xml:space="preserve">Frequency dependent Fourier </w:t>
            </w:r>
            <w:r w:rsidR="0040672D">
              <w:t>displacement</w:t>
            </w:r>
            <w:r w:rsidR="0040672D" w:rsidRPr="001D3C3C">
              <w:t xml:space="preserve"> </w:t>
            </w:r>
            <w:r w:rsidRPr="001D3C3C">
              <w:t xml:space="preserve">spectra at a site </w:t>
            </w:r>
            <w:r w:rsidRPr="008818F0">
              <w:rPr>
                <w:i/>
              </w:rPr>
              <w:t>R</w:t>
            </w:r>
            <w:r w:rsidRPr="001D3C3C">
              <w:t xml:space="preserve"> kilometres from the seismic source</w:t>
            </w:r>
            <w:r>
              <w:t xml:space="preserve"> for earthquake </w:t>
            </w:r>
            <w:r w:rsidRPr="008818F0">
              <w:rPr>
                <w:i/>
              </w:rPr>
              <w:t>i</w:t>
            </w:r>
            <w:r>
              <w:t xml:space="preserve"> at site </w:t>
            </w:r>
            <w:r w:rsidRPr="008818F0">
              <w:rPr>
                <w:i/>
              </w:rPr>
              <w:t>j</w:t>
            </w:r>
          </w:p>
        </w:tc>
      </w:tr>
      <w:tr w:rsidR="00B15AC0" w:rsidRPr="00F53AB9" w:rsidTr="00C24397">
        <w:tc>
          <w:tcPr>
            <w:tcW w:w="1327" w:type="dxa"/>
            <w:vAlign w:val="center"/>
          </w:tcPr>
          <w:p w:rsidR="00B15AC0" w:rsidRPr="00F53AB9" w:rsidRDefault="00B15AC0" w:rsidP="001A3699">
            <w:pPr>
              <w:pStyle w:val="Tabletext"/>
            </w:pPr>
            <w:r w:rsidRPr="008818F0">
              <w:rPr>
                <w:bCs/>
                <w:i/>
                <w:lang w:val="en-US"/>
              </w:rPr>
              <w:t>A</w:t>
            </w:r>
            <w:r w:rsidRPr="008818F0">
              <w:rPr>
                <w:bCs/>
                <w:vertAlign w:val="subscript"/>
                <w:lang w:val="en-US"/>
              </w:rPr>
              <w:t>0</w:t>
            </w:r>
            <w:r w:rsidRPr="008818F0">
              <w:rPr>
                <w:bCs/>
                <w:i/>
                <w:vertAlign w:val="subscript"/>
                <w:lang w:val="en-US"/>
              </w:rPr>
              <w:t>,i</w:t>
            </w:r>
            <w:r w:rsidRPr="008818F0">
              <w:rPr>
                <w:spacing w:val="60"/>
              </w:rPr>
              <w:t>(</w:t>
            </w:r>
            <w:r w:rsidRPr="008818F0">
              <w:rPr>
                <w:i/>
                <w:spacing w:val="50"/>
              </w:rPr>
              <w:t>f</w:t>
            </w:r>
            <w:r w:rsidRPr="00F53AB9">
              <w:t>)</w:t>
            </w:r>
          </w:p>
        </w:tc>
        <w:tc>
          <w:tcPr>
            <w:tcW w:w="1121" w:type="dxa"/>
            <w:vAlign w:val="center"/>
          </w:tcPr>
          <w:p w:rsidR="00B15AC0" w:rsidRPr="00F53AB9" w:rsidRDefault="00B15AC0" w:rsidP="001A3699">
            <w:pPr>
              <w:pStyle w:val="Tabletext"/>
            </w:pPr>
            <w:r w:rsidRPr="00F53AB9">
              <w:t>m</w:t>
            </w:r>
            <w:r w:rsidR="0040672D">
              <w:t>-</w:t>
            </w:r>
            <w:r w:rsidRPr="00F53AB9">
              <w:t>s</w:t>
            </w:r>
          </w:p>
        </w:tc>
        <w:tc>
          <w:tcPr>
            <w:tcW w:w="6165" w:type="dxa"/>
            <w:vAlign w:val="center"/>
          </w:tcPr>
          <w:p w:rsidR="00B15AC0" w:rsidRPr="00F53AB9" w:rsidRDefault="00B15AC0" w:rsidP="001A3699">
            <w:pPr>
              <w:pStyle w:val="Tabletext"/>
            </w:pPr>
            <w:r w:rsidRPr="00F53AB9">
              <w:t xml:space="preserve">Estimated Fourier </w:t>
            </w:r>
            <w:r w:rsidR="0040672D">
              <w:t>displacement</w:t>
            </w:r>
            <w:r w:rsidR="0040672D" w:rsidRPr="001D3C3C">
              <w:t xml:space="preserve"> </w:t>
            </w:r>
            <w:r w:rsidRPr="00F53AB9">
              <w:t>source spectr</w:t>
            </w:r>
            <w:r w:rsidR="0040672D">
              <w:t>um</w:t>
            </w:r>
            <w:r w:rsidRPr="00F53AB9">
              <w:t xml:space="preserve"> for event </w:t>
            </w:r>
            <w:r w:rsidRPr="008818F0">
              <w:rPr>
                <w:i/>
              </w:rPr>
              <w:t>i</w:t>
            </w:r>
            <w:r w:rsidRPr="00F53AB9">
              <w:t xml:space="preserve"> </w:t>
            </w:r>
          </w:p>
        </w:tc>
      </w:tr>
      <w:tr w:rsidR="00B15AC0" w:rsidRPr="00F53AB9" w:rsidTr="00C24397">
        <w:tc>
          <w:tcPr>
            <w:tcW w:w="1327" w:type="dxa"/>
            <w:vAlign w:val="center"/>
          </w:tcPr>
          <w:p w:rsidR="00B15AC0" w:rsidRPr="00F53AB9" w:rsidRDefault="00B15AC0" w:rsidP="001A3699">
            <w:pPr>
              <w:pStyle w:val="Tabletext"/>
            </w:pPr>
            <w:r w:rsidRPr="008818F0">
              <w:rPr>
                <w:bCs/>
                <w:i/>
                <w:lang w:val="en-US"/>
              </w:rPr>
              <w:t>A</w:t>
            </w:r>
            <w:r w:rsidRPr="008818F0">
              <w:rPr>
                <w:bCs/>
                <w:i/>
                <w:vertAlign w:val="subscript"/>
                <w:lang w:val="en-US"/>
              </w:rPr>
              <w:t>n,ij</w:t>
            </w:r>
            <w:r w:rsidRPr="008818F0">
              <w:rPr>
                <w:spacing w:val="60"/>
              </w:rPr>
              <w:t>(</w:t>
            </w:r>
            <w:r w:rsidRPr="008818F0">
              <w:rPr>
                <w:i/>
                <w:spacing w:val="50"/>
              </w:rPr>
              <w:t>f</w:t>
            </w:r>
            <w:r w:rsidRPr="00F53AB9">
              <w:t>)</w:t>
            </w:r>
          </w:p>
        </w:tc>
        <w:tc>
          <w:tcPr>
            <w:tcW w:w="1121" w:type="dxa"/>
            <w:vAlign w:val="center"/>
          </w:tcPr>
          <w:p w:rsidR="00B15AC0" w:rsidRPr="00F53AB9" w:rsidRDefault="00202C63" w:rsidP="001A3699">
            <w:pPr>
              <w:pStyle w:val="Tabletext"/>
            </w:pPr>
            <w:r>
              <w:t>-</w:t>
            </w:r>
          </w:p>
        </w:tc>
        <w:tc>
          <w:tcPr>
            <w:tcW w:w="6165" w:type="dxa"/>
            <w:vAlign w:val="center"/>
          </w:tcPr>
          <w:p w:rsidR="00B15AC0" w:rsidRPr="00F53AB9" w:rsidRDefault="006B06B2" w:rsidP="001A3699">
            <w:pPr>
              <w:pStyle w:val="Tabletext"/>
            </w:pPr>
            <w:r>
              <w:t>N</w:t>
            </w:r>
            <w:r w:rsidRPr="00F903B7">
              <w:t>ormali</w:t>
            </w:r>
            <w:r>
              <w:t>s</w:t>
            </w:r>
            <w:r w:rsidRPr="00F903B7">
              <w:t xml:space="preserve">ed </w:t>
            </w:r>
            <w:r w:rsidR="00B15AC0" w:rsidRPr="00F903B7">
              <w:t xml:space="preserve">Fourier displacement </w:t>
            </w:r>
            <w:r w:rsidR="00B15AC0">
              <w:t>amplitude</w:t>
            </w:r>
            <w:r w:rsidR="00B15AC0" w:rsidRPr="008818F0">
              <w:rPr>
                <w:lang w:val="en-US"/>
              </w:rPr>
              <w:t xml:space="preserve"> for an earthquake </w:t>
            </w:r>
            <w:r w:rsidR="00B15AC0" w:rsidRPr="008818F0">
              <w:rPr>
                <w:bCs/>
                <w:i/>
                <w:lang w:val="en-US"/>
              </w:rPr>
              <w:t>i</w:t>
            </w:r>
            <w:r w:rsidR="00B15AC0" w:rsidRPr="008818F0">
              <w:rPr>
                <w:bCs/>
                <w:lang w:val="en-US"/>
              </w:rPr>
              <w:t xml:space="preserve"> </w:t>
            </w:r>
            <w:r w:rsidR="00B15AC0" w:rsidRPr="008818F0">
              <w:rPr>
                <w:lang w:val="en-US"/>
              </w:rPr>
              <w:t xml:space="preserve">at the </w:t>
            </w:r>
            <w:r w:rsidR="00B15AC0" w:rsidRPr="008818F0">
              <w:rPr>
                <w:bCs/>
                <w:i/>
                <w:lang w:val="en-US"/>
              </w:rPr>
              <w:t>j</w:t>
            </w:r>
            <w:r w:rsidR="00B15AC0" w:rsidRPr="008818F0">
              <w:rPr>
                <w:lang w:val="en-US"/>
              </w:rPr>
              <w:t>th site</w:t>
            </w:r>
          </w:p>
        </w:tc>
      </w:tr>
      <w:tr w:rsidR="00B15AC0" w:rsidRPr="00F903B7" w:rsidTr="00C24397">
        <w:tc>
          <w:tcPr>
            <w:tcW w:w="1327" w:type="dxa"/>
            <w:vAlign w:val="center"/>
          </w:tcPr>
          <w:p w:rsidR="00B15AC0" w:rsidRPr="00F903B7" w:rsidRDefault="00B15AC0" w:rsidP="001A3699">
            <w:pPr>
              <w:pStyle w:val="Tabletext"/>
            </w:pPr>
            <w:r w:rsidRPr="008818F0">
              <w:rPr>
                <w:bCs/>
                <w:i/>
                <w:lang w:val="en-US"/>
              </w:rPr>
              <w:t>A</w:t>
            </w:r>
            <w:r w:rsidRPr="008818F0">
              <w:rPr>
                <w:bCs/>
                <w:i/>
                <w:vertAlign w:val="subscript"/>
                <w:lang w:val="en-US"/>
              </w:rPr>
              <w:t>g,ij</w:t>
            </w:r>
            <w:r w:rsidRPr="008818F0">
              <w:rPr>
                <w:spacing w:val="60"/>
              </w:rPr>
              <w:t>(</w:t>
            </w:r>
            <w:r w:rsidRPr="008818F0">
              <w:rPr>
                <w:i/>
                <w:spacing w:val="50"/>
              </w:rPr>
              <w:t>f</w:t>
            </w:r>
            <w:r w:rsidRPr="00F903B7">
              <w:t>)</w:t>
            </w:r>
            <w:r w:rsidRPr="008818F0">
              <w:rPr>
                <w:bCs/>
                <w:lang w:val="en-US"/>
              </w:rPr>
              <w:t xml:space="preserve"> </w:t>
            </w:r>
          </w:p>
        </w:tc>
        <w:tc>
          <w:tcPr>
            <w:tcW w:w="1121" w:type="dxa"/>
            <w:vAlign w:val="center"/>
          </w:tcPr>
          <w:p w:rsidR="00B15AC0" w:rsidRPr="00F903B7" w:rsidRDefault="00202C63" w:rsidP="001A3699">
            <w:pPr>
              <w:pStyle w:val="Tabletext"/>
            </w:pPr>
            <w:r>
              <w:t>-</w:t>
            </w:r>
          </w:p>
        </w:tc>
        <w:tc>
          <w:tcPr>
            <w:tcW w:w="6165" w:type="dxa"/>
            <w:vAlign w:val="center"/>
          </w:tcPr>
          <w:p w:rsidR="00B15AC0" w:rsidRPr="00F903B7" w:rsidRDefault="006B06B2" w:rsidP="001A3699">
            <w:pPr>
              <w:pStyle w:val="Tabletext"/>
            </w:pPr>
            <w:r>
              <w:t>N</w:t>
            </w:r>
            <w:r w:rsidRPr="00F903B7">
              <w:t>ormali</w:t>
            </w:r>
            <w:r>
              <w:t>s</w:t>
            </w:r>
            <w:r w:rsidRPr="00F903B7">
              <w:t xml:space="preserve">ed </w:t>
            </w:r>
            <w:r w:rsidR="00B15AC0" w:rsidRPr="00F903B7">
              <w:t xml:space="preserve">Fourier displacement </w:t>
            </w:r>
            <w:r w:rsidR="00B15AC0">
              <w:t>amplitude</w:t>
            </w:r>
            <w:r>
              <w:t>s</w:t>
            </w:r>
            <w:r w:rsidR="00B15AC0" w:rsidRPr="008818F0">
              <w:rPr>
                <w:lang w:val="en-US"/>
              </w:rPr>
              <w:t xml:space="preserve"> </w:t>
            </w:r>
            <w:r w:rsidR="00B15AC0" w:rsidRPr="008818F0">
              <w:rPr>
                <w:bCs/>
                <w:lang w:val="en-US"/>
              </w:rPr>
              <w:t>corrected for geometrical attenuation</w:t>
            </w:r>
          </w:p>
        </w:tc>
      </w:tr>
      <w:tr w:rsidR="00B15AC0" w:rsidRPr="00F903B7" w:rsidTr="00C24397">
        <w:tc>
          <w:tcPr>
            <w:tcW w:w="1327" w:type="dxa"/>
            <w:vAlign w:val="center"/>
          </w:tcPr>
          <w:p w:rsidR="00B15AC0" w:rsidRPr="00F903B7" w:rsidRDefault="00B15AC0" w:rsidP="001A3699">
            <w:pPr>
              <w:pStyle w:val="Tabletext"/>
            </w:pPr>
            <w:r w:rsidRPr="008818F0">
              <w:rPr>
                <w:bCs/>
                <w:i/>
                <w:lang w:val="en-US"/>
              </w:rPr>
              <w:t>A</w:t>
            </w:r>
            <w:r w:rsidRPr="008818F0">
              <w:rPr>
                <w:bCs/>
                <w:i/>
                <w:vertAlign w:val="subscript"/>
                <w:lang w:val="en-US"/>
              </w:rPr>
              <w:t>q,ij</w:t>
            </w:r>
            <w:r w:rsidRPr="008818F0">
              <w:rPr>
                <w:spacing w:val="60"/>
              </w:rPr>
              <w:t>(</w:t>
            </w:r>
            <w:r w:rsidRPr="008818F0">
              <w:rPr>
                <w:i/>
                <w:spacing w:val="50"/>
              </w:rPr>
              <w:t>f</w:t>
            </w:r>
            <w:r w:rsidRPr="00F903B7">
              <w:t>)</w:t>
            </w:r>
          </w:p>
        </w:tc>
        <w:tc>
          <w:tcPr>
            <w:tcW w:w="1121" w:type="dxa"/>
            <w:vAlign w:val="center"/>
          </w:tcPr>
          <w:p w:rsidR="00B15AC0" w:rsidRPr="00F903B7" w:rsidRDefault="00202C63" w:rsidP="001A3699">
            <w:pPr>
              <w:pStyle w:val="Tabletext"/>
            </w:pPr>
            <w:r>
              <w:t>-</w:t>
            </w:r>
          </w:p>
        </w:tc>
        <w:tc>
          <w:tcPr>
            <w:tcW w:w="6165" w:type="dxa"/>
            <w:vAlign w:val="center"/>
          </w:tcPr>
          <w:p w:rsidR="00B15AC0" w:rsidRPr="00F903B7" w:rsidRDefault="006B06B2" w:rsidP="001A3699">
            <w:pPr>
              <w:pStyle w:val="Tabletext"/>
            </w:pPr>
            <w:r>
              <w:t>N</w:t>
            </w:r>
            <w:r w:rsidRPr="00F903B7">
              <w:t>ormali</w:t>
            </w:r>
            <w:r>
              <w:t>s</w:t>
            </w:r>
            <w:r w:rsidRPr="00F903B7">
              <w:t xml:space="preserve">ed </w:t>
            </w:r>
            <w:r w:rsidR="00B15AC0" w:rsidRPr="00F903B7">
              <w:t xml:space="preserve">Fourier displacement </w:t>
            </w:r>
            <w:r w:rsidR="00B15AC0">
              <w:t>amplitude</w:t>
            </w:r>
            <w:r>
              <w:t>s</w:t>
            </w:r>
            <w:r w:rsidR="00B15AC0" w:rsidRPr="00F903B7">
              <w:t xml:space="preserve"> corrected for both </w:t>
            </w:r>
            <w:r w:rsidR="00B15AC0">
              <w:t>geometrical attenuation</w:t>
            </w:r>
            <w:r w:rsidR="00B15AC0" w:rsidRPr="00F903B7">
              <w:t xml:space="preserve"> and anelastic attenuation</w:t>
            </w:r>
          </w:p>
        </w:tc>
      </w:tr>
      <w:tr w:rsidR="0040672D" w:rsidRPr="00F903B7" w:rsidTr="00C24397">
        <w:tc>
          <w:tcPr>
            <w:tcW w:w="1327" w:type="dxa"/>
            <w:vAlign w:val="center"/>
          </w:tcPr>
          <w:p w:rsidR="0040672D" w:rsidRPr="00F903B7" w:rsidRDefault="0040672D" w:rsidP="002710C3">
            <w:pPr>
              <w:pStyle w:val="Tabletext"/>
            </w:pPr>
            <w:r w:rsidRPr="008818F0">
              <w:rPr>
                <w:bCs/>
                <w:i/>
                <w:lang w:val="en-US"/>
              </w:rPr>
              <w:t>a</w:t>
            </w:r>
            <w:r w:rsidRPr="008818F0">
              <w:rPr>
                <w:bCs/>
                <w:i/>
                <w:vertAlign w:val="subscript"/>
                <w:lang w:val="en-US"/>
              </w:rPr>
              <w:sym w:font="Symbol" w:char="F06B"/>
            </w:r>
            <w:r w:rsidRPr="008818F0">
              <w:rPr>
                <w:bCs/>
                <w:i/>
                <w:vertAlign w:val="subscript"/>
                <w:lang w:val="en-US"/>
              </w:rPr>
              <w:t>,ij</w:t>
            </w:r>
            <w:r w:rsidRPr="008818F0">
              <w:rPr>
                <w:spacing w:val="60"/>
              </w:rPr>
              <w:t>(</w:t>
            </w:r>
            <w:r w:rsidRPr="008818F0">
              <w:rPr>
                <w:i/>
                <w:spacing w:val="50"/>
              </w:rPr>
              <w:t>f</w:t>
            </w:r>
            <w:r w:rsidRPr="00F903B7">
              <w:t>)</w:t>
            </w:r>
          </w:p>
        </w:tc>
        <w:tc>
          <w:tcPr>
            <w:tcW w:w="1121" w:type="dxa"/>
            <w:vAlign w:val="center"/>
          </w:tcPr>
          <w:p w:rsidR="0040672D" w:rsidRPr="00F903B7" w:rsidRDefault="00202C63" w:rsidP="002710C3">
            <w:pPr>
              <w:pStyle w:val="Tabletext"/>
            </w:pPr>
            <w:r>
              <w:t>-</w:t>
            </w:r>
          </w:p>
        </w:tc>
        <w:tc>
          <w:tcPr>
            <w:tcW w:w="6165" w:type="dxa"/>
            <w:vAlign w:val="center"/>
          </w:tcPr>
          <w:p w:rsidR="0040672D" w:rsidRPr="00F903B7" w:rsidRDefault="0040672D" w:rsidP="002710C3">
            <w:pPr>
              <w:pStyle w:val="Tabletext"/>
            </w:pPr>
            <w:r w:rsidRPr="00F903B7">
              <w:t xml:space="preserve">Fourier </w:t>
            </w:r>
            <w:r w:rsidR="006B06B2">
              <w:t>acceleration</w:t>
            </w:r>
            <w:r w:rsidRPr="00F903B7">
              <w:t xml:space="preserve"> </w:t>
            </w:r>
            <w:r>
              <w:t>amplitude</w:t>
            </w:r>
            <w:r w:rsidR="006B06B2">
              <w:t>s</w:t>
            </w:r>
            <w:r w:rsidRPr="00F903B7">
              <w:t xml:space="preserve">, corrected for </w:t>
            </w:r>
            <w:r>
              <w:t>attenuation</w:t>
            </w:r>
            <w:r w:rsidRPr="00F903B7">
              <w:t xml:space="preserve"> and anelastic attenuation</w:t>
            </w:r>
            <w:r w:rsidR="006B06B2">
              <w:t xml:space="preserve"> and normalised at 2 Hz</w:t>
            </w:r>
          </w:p>
        </w:tc>
      </w:tr>
      <w:tr w:rsidR="00B15AC0" w:rsidRPr="001D3C3C" w:rsidTr="00C24397">
        <w:tc>
          <w:tcPr>
            <w:tcW w:w="1327" w:type="dxa"/>
            <w:tcBorders>
              <w:bottom w:val="single" w:sz="4" w:space="0" w:color="auto"/>
            </w:tcBorders>
            <w:vAlign w:val="center"/>
          </w:tcPr>
          <w:p w:rsidR="00B15AC0" w:rsidRPr="0040672D" w:rsidRDefault="0040672D" w:rsidP="001A3699">
            <w:pPr>
              <w:pStyle w:val="Tabletext"/>
            </w:pPr>
            <w:r w:rsidRPr="008818F0">
              <w:rPr>
                <w:i/>
              </w:rPr>
              <w:t>Y</w:t>
            </w:r>
            <w:r>
              <w:t>(</w:t>
            </w:r>
            <w:r w:rsidRPr="008818F0">
              <w:rPr>
                <w:i/>
              </w:rPr>
              <w:t>T</w:t>
            </w:r>
            <w:r>
              <w:t>)</w:t>
            </w:r>
          </w:p>
        </w:tc>
        <w:tc>
          <w:tcPr>
            <w:tcW w:w="1121" w:type="dxa"/>
            <w:tcBorders>
              <w:bottom w:val="single" w:sz="4" w:space="0" w:color="auto"/>
            </w:tcBorders>
            <w:vAlign w:val="center"/>
          </w:tcPr>
          <w:p w:rsidR="00B15AC0" w:rsidRPr="0040672D" w:rsidRDefault="0040672D" w:rsidP="001A3699">
            <w:pPr>
              <w:pStyle w:val="Tabletext"/>
            </w:pPr>
            <w:r>
              <w:t>cm/s</w:t>
            </w:r>
            <w:r w:rsidRPr="008818F0">
              <w:rPr>
                <w:vertAlign w:val="superscript"/>
              </w:rPr>
              <w:t>2</w:t>
            </w:r>
          </w:p>
        </w:tc>
        <w:tc>
          <w:tcPr>
            <w:tcW w:w="6165" w:type="dxa"/>
            <w:tcBorders>
              <w:bottom w:val="single" w:sz="4" w:space="0" w:color="auto"/>
            </w:tcBorders>
            <w:vAlign w:val="center"/>
          </w:tcPr>
          <w:p w:rsidR="00B15AC0" w:rsidRPr="001D3C3C" w:rsidRDefault="0040672D" w:rsidP="001A3699">
            <w:pPr>
              <w:pStyle w:val="Tabletext"/>
            </w:pPr>
            <w:r>
              <w:t xml:space="preserve">Five percent damped </w:t>
            </w:r>
            <w:r w:rsidR="00202C63">
              <w:t xml:space="preserve">pseudo </w:t>
            </w:r>
            <w:r>
              <w:t>response spectral acceleration (RSA)</w:t>
            </w:r>
            <w:r w:rsidRPr="003B581A">
              <w:t xml:space="preserve"> </w:t>
            </w:r>
            <w:r>
              <w:t>for median horizontal component ground motions.</w:t>
            </w:r>
          </w:p>
        </w:tc>
      </w:tr>
    </w:tbl>
    <w:p w:rsidR="003166B9" w:rsidRDefault="003166B9" w:rsidP="003F4034">
      <w:pPr>
        <w:pStyle w:val="BodyText"/>
      </w:pPr>
    </w:p>
    <w:p w:rsidR="00B15AC0" w:rsidRPr="00A2080B" w:rsidRDefault="00B15AC0" w:rsidP="003F4034">
      <w:pPr>
        <w:pStyle w:val="BodyText"/>
      </w:pPr>
      <w:r>
        <w:t>The use of stochastic finite-fault methods are important for improving our estimates of strong ground shaking for larger earthquakes where point source models become inappropriate, particularly at short source-receiver distances (Atkinson and Boore, 2006).  The method employed by EXSIM is to divide the simulated rupture plane into a number of sub</w:t>
      </w:r>
      <w:r w:rsidR="005705C3">
        <w:t>-</w:t>
      </w:r>
      <w:r>
        <w:t xml:space="preserve">faults, each of which is modelled as a small point source </w:t>
      </w:r>
      <w:r>
        <w:fldChar w:fldCharType="begin"/>
      </w:r>
      <w:r w:rsidR="00F202D0">
        <w:instrText xml:space="preserve"> ADDIN EN.CITE &lt;EndNote&gt;&lt;Cite&gt;&lt;Author&gt;Hartzell&lt;/Author&gt;&lt;Year&gt;1978&lt;/Year&gt;&lt;RecNum&gt;1115&lt;/RecNum&gt;&lt;Prefix&gt;e.g.`, &lt;/Prefix&gt;&lt;record&gt;&lt;rec-number&gt;1115&lt;/rec-number&gt;&lt;foreign-keys&gt;&lt;key app="EN" db-id="se5z02d5txder3eax2p5wz5j59zvz2tdzdd2"&gt;1115&lt;/key&gt;&lt;/foreign-keys&gt;&lt;ref-type name="Journal Article"&gt;17&lt;/ref-type&gt;&lt;contributors&gt;&lt;authors&gt;&lt;author&gt;Hartzell, S. H.&lt;/author&gt;&lt;/authors&gt;&lt;/contributors&gt;&lt;titles&gt;&lt;title&gt;Earthquake aftershocks as Green&amp;apos;s Functions&lt;/title&gt;&lt;secondary-title&gt;Geophys. Res. Lett.&lt;/secondary-title&gt;&lt;/titles&gt;&lt;periodical&gt;&lt;full-title&gt;Geophys. Res. Lett.&lt;/full-title&gt;&lt;/periodical&gt;&lt;pages&gt;1-4&lt;/pages&gt;&lt;volume&gt;5&lt;/volume&gt;&lt;number&gt;1&lt;/number&gt;&lt;keywords&gt;&lt;keyword&gt;point sources distributed over the fault plane.&lt;/keyword&gt;&lt;/keywords&gt;&lt;dates&gt;&lt;year&gt;1978&lt;/year&gt;&lt;/dates&gt;&lt;urls&gt;&lt;pdf-urls&gt;&lt;url&gt;internal-pdf://Hartzell (1978).aftershocks as Greens Functions-1818871301/Hartzell (1978).aftershocks as Greens Functions.pdf&lt;/url&gt;&lt;/pdf-urls&gt;&lt;/urls&gt;&lt;/record&gt;&lt;/Cite&gt;&lt;/EndNote&gt;</w:instrText>
      </w:r>
      <w:r>
        <w:fldChar w:fldCharType="separate"/>
      </w:r>
      <w:r>
        <w:rPr>
          <w:noProof/>
        </w:rPr>
        <w:t>(e.g., Hartzell, 1978)</w:t>
      </w:r>
      <w:r>
        <w:fldChar w:fldCharType="end"/>
      </w:r>
      <w:r>
        <w:t>.  The total contribution from each sub</w:t>
      </w:r>
      <w:r w:rsidR="005705C3">
        <w:t>-</w:t>
      </w:r>
      <w:r>
        <w:t>fault at an observation point is then summed to provide an estimate of the ground</w:t>
      </w:r>
      <w:r w:rsidR="005705C3">
        <w:t>-</w:t>
      </w:r>
      <w:r>
        <w:t>shaking from the full rupture assuming appropriate time delays.  More detailed discussion of this technique is described in Motazedian and Atkinson (2005).</w:t>
      </w:r>
    </w:p>
    <w:p w:rsidR="00060E92" w:rsidRPr="00306012" w:rsidRDefault="00060E92" w:rsidP="00060E92">
      <w:pPr>
        <w:pStyle w:val="BodyText"/>
      </w:pPr>
      <w:bookmarkStart w:id="48" w:name="_Toc319656507"/>
      <w:bookmarkStart w:id="49" w:name="_Toc319656596"/>
      <w:r>
        <w:t xml:space="preserve">In the present study, the EXSIM FORTRAN code enabled to randomise source and attenuation properties for GMPE development have been modified to accommodate the alternative anelastic attenuation model </w:t>
      </w:r>
      <w:r w:rsidR="00CF195B">
        <w:t>described below</w:t>
      </w:r>
      <w:r w:rsidR="007021B6">
        <w:t>,</w:t>
      </w:r>
      <w:r w:rsidR="00CF195B">
        <w:t xml:space="preserve"> </w:t>
      </w:r>
      <w:r>
        <w:t xml:space="preserve">and also to incorporate the Leonard </w:t>
      </w:r>
      <w:r>
        <w:fldChar w:fldCharType="begin"/>
      </w:r>
      <w:r w:rsidR="00F202D0">
        <w:instrText xml:space="preserve"> ADDIN EN.CITE &lt;EndNote&gt;&lt;Cite ExcludeAuth="1"&gt;&lt;Author&gt;Leonard&lt;/Author&gt;&lt;Year&gt;2010&lt;/Year&gt;&lt;RecNum&gt;827&lt;/RecNum&gt;&lt;record&gt;&lt;rec-number&gt;827&lt;/rec-number&gt;&lt;foreign-keys&gt;&lt;key app="EN" db-id="se5z02d5txder3eax2p5wz5j59zvz2tdzdd2"&gt;827&lt;/key&gt;&lt;/foreign-keys&gt;&lt;ref-type name="Journal Article"&gt;17&lt;/ref-type&gt;&lt;contributors&gt;&lt;authors&gt;&lt;author&gt;Leonard, M.&lt;/author&gt;&lt;/authors&gt;&lt;/contributors&gt;&lt;titles&gt;&lt;title&gt;Earthquake fault scaling: self-consistent relating of rupture length, width, average displacement, and moment release&lt;/title&gt;&lt;secondary-title&gt;Bull. Seism. Soc. Am.&lt;/secondary-title&gt;&lt;/titles&gt;&lt;periodical&gt;&lt;full-title&gt;Bull. Seism. Soc. Am.&lt;/full-title&gt;&lt;/periodical&gt;&lt;pages&gt;1971–1988&lt;/pages&gt;&lt;volume&gt;100&lt;/volume&gt;&lt;number&gt;5A&lt;/number&gt;&lt;keywords&gt;&lt;keyword&gt;magnitude scaling, Mw&lt;/keyword&gt;&lt;/keywords&gt;&lt;dates&gt;&lt;year&gt;2010&lt;/year&gt;&lt;/dates&gt;&lt;urls&gt;&lt;pdf-urls&gt;&lt;url&gt;internal-pdf://leonard (2010).source_scaling-1325554705/leonard (2010).source_scaling.pdf&lt;/url&gt;&lt;/pdf-urls&gt;&lt;/urls&gt;&lt;/record&gt;&lt;/Cite&gt;&lt;/EndNote&gt;</w:instrText>
      </w:r>
      <w:r>
        <w:fldChar w:fldCharType="separate"/>
      </w:r>
      <w:r>
        <w:t>(2010)</w:t>
      </w:r>
      <w:r>
        <w:fldChar w:fldCharType="end"/>
      </w:r>
      <w:r>
        <w:t xml:space="preserve"> fault scaling relations </w:t>
      </w:r>
      <w:r w:rsidR="00E90678">
        <w:t xml:space="preserve">appropriate for stable continental regions </w:t>
      </w:r>
      <w:r>
        <w:t xml:space="preserve">rather than the Wells and Coppersmith </w:t>
      </w:r>
      <w:r>
        <w:fldChar w:fldCharType="begin"/>
      </w:r>
      <w:r w:rsidR="00F202D0">
        <w:instrText xml:space="preserve"> ADDIN EN.CITE &lt;EndNote&gt;&lt;Cite ExcludeAuth="1"&gt;&lt;Author&gt;Wells&lt;/Author&gt;&lt;Year&gt;1994&lt;/Year&gt;&lt;RecNum&gt;320&lt;/RecNum&gt;&lt;record&gt;&lt;rec-number&gt;320&lt;/rec-number&gt;&lt;foreign-keys&gt;&lt;key app="EN" db-id="se5z02d5txder3eax2p5wz5j59zvz2tdzdd2"&gt;320&lt;/key&gt;&lt;/foreign-keys&gt;&lt;ref-type name="Journal Article"&gt;17&lt;/ref-type&gt;&lt;contributors&gt;&lt;authors&gt;&lt;author&gt;Wells, D. L.&lt;/author&gt;&lt;author&gt;Coppersmith, K.  J.&lt;/author&gt;&lt;/authors&gt;&lt;/contributors&gt;&lt;titles&gt;&lt;title&gt;New empirical relationships among magnitude, rupture length, rupture width, rupture area, and surface displacement&lt;/title&gt;&lt;secondary-title&gt;Bull. Seism. Soc. Am.&lt;/secondary-title&gt;&lt;/titles&gt;&lt;periodical&gt;&lt;full-title&gt;Bull. Seism. Soc. Am.&lt;/full-title&gt;&lt;/periodical&gt;&lt;pages&gt;974-1002&lt;/pages&gt;&lt;volume&gt;84&lt;/volume&gt;&lt;number&gt;4&lt;/number&gt;&lt;keywords&gt;&lt;keyword&gt;finite fault, rupture length, empirical&lt;/keyword&gt;&lt;/keywords&gt;&lt;dates&gt;&lt;year&gt;1994&lt;/year&gt;&lt;/dates&gt;&lt;urls&gt;&lt;pdf-urls&gt;&lt;url&gt;internal-pdf://Wells&amp;amp;Coppersmith.fault dimensions.1994-1868852746/Wells&amp;amp;Coppersmith.fault dimensions.1994.pdf&lt;/url&gt;&lt;/pdf-urls&gt;&lt;/urls&gt;&lt;/record&gt;&lt;/Cite&gt;&lt;/EndNote&gt;</w:instrText>
      </w:r>
      <w:r>
        <w:fldChar w:fldCharType="separate"/>
      </w:r>
      <w:r>
        <w:t>(1994)</w:t>
      </w:r>
      <w:r>
        <w:fldChar w:fldCharType="end"/>
      </w:r>
      <w:r>
        <w:t xml:space="preserve"> relations.</w:t>
      </w:r>
      <w:r w:rsidR="006B06B2">
        <w:t xml:space="preserve">  </w:t>
      </w:r>
      <w:r w:rsidR="00306012">
        <w:t>T</w:t>
      </w:r>
      <w:r w:rsidR="006B06B2">
        <w:t xml:space="preserve">he empirical analysis of source and path parameters </w:t>
      </w:r>
      <w:r w:rsidR="00306012">
        <w:t xml:space="preserve">uses hypocentral distance </w:t>
      </w:r>
      <w:r w:rsidR="00306012" w:rsidRPr="00332AA7">
        <w:rPr>
          <w:rStyle w:val="Bodytextitalic"/>
        </w:rPr>
        <w:t>R</w:t>
      </w:r>
      <w:r w:rsidR="00306012">
        <w:t>.  F</w:t>
      </w:r>
      <w:r w:rsidR="00B63C6F">
        <w:t>or the</w:t>
      </w:r>
      <w:r w:rsidR="00306012">
        <w:t xml:space="preserve"> small-magnitude earthquakes </w:t>
      </w:r>
      <w:r w:rsidR="00B63C6F">
        <w:t xml:space="preserve">investigated, </w:t>
      </w:r>
      <w:r w:rsidR="00306012">
        <w:t xml:space="preserve">it is assumed that hypocentral distance and closest distance to </w:t>
      </w:r>
      <w:r w:rsidR="00306012">
        <w:lastRenderedPageBreak/>
        <w:t>rupture are equivalent.  Consequently, the attenuation parameters derived from the point source hypocentral distance measurements are assumed to be applicable for forward modelling of larger-magnitude earthquake ground-motions.</w:t>
      </w:r>
    </w:p>
    <w:p w:rsidR="00B15AC0" w:rsidRDefault="00060E92" w:rsidP="001E6F88">
      <w:pPr>
        <w:pStyle w:val="Heading1"/>
      </w:pPr>
      <w:r w:rsidRPr="00453FE1">
        <w:rPr>
          <w:rStyle w:val="BodyTextChar"/>
        </w:rPr>
        <w:t xml:space="preserve"> </w:t>
      </w:r>
      <w:r w:rsidR="00050122" w:rsidRPr="00453FE1">
        <w:rPr>
          <w:rStyle w:val="BodyTextChar"/>
        </w:rPr>
        <w:br w:type="page"/>
      </w:r>
      <w:bookmarkStart w:id="50" w:name="_Toc319918550"/>
      <w:bookmarkStart w:id="51" w:name="_Toc319918819"/>
      <w:bookmarkStart w:id="52" w:name="_Toc320878141"/>
      <w:bookmarkStart w:id="53" w:name="_Toc349112530"/>
      <w:r w:rsidR="00B15AC0">
        <w:lastRenderedPageBreak/>
        <w:t>Dataset and Ground-Motion Data Preparation</w:t>
      </w:r>
      <w:bookmarkEnd w:id="48"/>
      <w:bookmarkEnd w:id="49"/>
      <w:bookmarkEnd w:id="50"/>
      <w:bookmarkEnd w:id="51"/>
      <w:bookmarkEnd w:id="52"/>
      <w:bookmarkEnd w:id="53"/>
    </w:p>
    <w:p w:rsidR="00B15AC0" w:rsidRDefault="00B15AC0" w:rsidP="003F4034">
      <w:pPr>
        <w:pStyle w:val="BodyText"/>
        <w:rPr>
          <w:lang w:val="en-US"/>
        </w:rPr>
      </w:pPr>
      <w:r>
        <w:rPr>
          <w:lang w:val="en-US"/>
        </w:rPr>
        <w:t xml:space="preserve">In updating earthquake source and attenuation parameters, the dataset used by </w:t>
      </w:r>
      <w:r>
        <w:rPr>
          <w:noProof/>
        </w:rPr>
        <w:t>Allen</w:t>
      </w:r>
      <w:r w:rsidRPr="00332AA7">
        <w:rPr>
          <w:rStyle w:val="Bodytextitalic"/>
        </w:rPr>
        <w:t xml:space="preserve"> et al.</w:t>
      </w:r>
      <w:r>
        <w:t xml:space="preserve"> </w:t>
      </w:r>
      <w:r>
        <w:fldChar w:fldCharType="begin"/>
      </w:r>
      <w:r w:rsidR="00F202D0">
        <w:instrText xml:space="preserve"> ADDIN EN.CITE &lt;EndNote&gt;&lt;Cite ExcludeAuth="1"&gt;&lt;Author&gt;Allen&lt;/Author&gt;&lt;Year&gt;2007&lt;/Year&gt;&lt;RecNum&gt;526&lt;/RecNum&gt;&lt;record&gt;&lt;rec-number&gt;526&lt;/rec-number&gt;&lt;foreign-keys&gt;&lt;key app="EN" db-id="se5z02d5txder3eax2p5wz5j59zvz2tdzdd2"&gt;526&lt;/key&gt;&lt;/foreign-keys&gt;&lt;ref-type name="Journal Article"&gt;17&lt;/ref-type&gt;&lt;contributors&gt;&lt;authors&gt;&lt;author&gt;Allen, T. I.&lt;/author&gt;&lt;author&gt;Cummins, P. R.&lt;/author&gt;&lt;author&gt;Dhu, T.&lt;/author&gt;&lt;author&gt;Schneider, J. F.&lt;/author&gt;&lt;/authors&gt;&lt;/contributors&gt;&lt;titles&gt;&lt;title&gt;Attenuation of ground-motion spectral amplitudes in southeastern Australia&lt;/title&gt;&lt;secondary-title&gt;Bull. Seism. Soc. Am.&lt;/secondary-title&gt;&lt;/titles&gt;&lt;periodical&gt;&lt;full-title&gt;Bull. Seism. Soc. Am.&lt;/full-title&gt;&lt;/periodical&gt;&lt;pages&gt;1279–1292&lt;/pages&gt;&lt;volume&gt;97&lt;/volume&gt;&lt;number&gt;4&lt;/number&gt;&lt;keywords&gt;&lt;keyword&gt;southeastern Australia, attenuation, Fourier&lt;/keyword&gt;&lt;/keywords&gt;&lt;dates&gt;&lt;year&gt;2007&lt;/year&gt;&lt;/dates&gt;&lt;urls&gt;&lt;pdf-urls&gt;&lt;url&gt;internal-pdf://Allen et al (2007). SE Aust.atten-2994310402/Allen et al (2007). SE Aust.atten.pdf&lt;/url&gt;&lt;/pdf-urls&gt;&lt;/urls&gt;&lt;/record&gt;&lt;/Cite&gt;&lt;/EndNote&gt;</w:instrText>
      </w:r>
      <w:r>
        <w:fldChar w:fldCharType="separate"/>
      </w:r>
      <w:r>
        <w:rPr>
          <w:noProof/>
        </w:rPr>
        <w:t>(2007)</w:t>
      </w:r>
      <w:r>
        <w:fldChar w:fldCharType="end"/>
      </w:r>
      <w:r>
        <w:t xml:space="preserve"> is augmented with data recorded from recent earthquakes. </w:t>
      </w:r>
      <w:r w:rsidRPr="00F84DE1">
        <w:rPr>
          <w:lang w:val="en-US"/>
        </w:rPr>
        <w:t>The inclusion of data is limited by the</w:t>
      </w:r>
      <w:r>
        <w:rPr>
          <w:lang w:val="en-US"/>
        </w:rPr>
        <w:t xml:space="preserve"> </w:t>
      </w:r>
      <w:r w:rsidRPr="00F84DE1">
        <w:rPr>
          <w:lang w:val="en-US"/>
        </w:rPr>
        <w:t>magnitude-distance crite</w:t>
      </w:r>
      <w:r>
        <w:rPr>
          <w:lang w:val="en-US"/>
        </w:rPr>
        <w:t>rion employed by Atkinson (2004</w:t>
      </w:r>
      <w:r w:rsidRPr="00F84DE1">
        <w:rPr>
          <w:lang w:val="en-US"/>
        </w:rPr>
        <w:t>)</w:t>
      </w:r>
      <w:r>
        <w:rPr>
          <w:lang w:val="en-US"/>
        </w:rPr>
        <w:t xml:space="preserve"> </w:t>
      </w:r>
      <w:r w:rsidRPr="00F84DE1">
        <w:rPr>
          <w:lang w:val="en-US"/>
        </w:rPr>
        <w:t>to eliminate low-amplitude quantization noise problems.</w:t>
      </w:r>
      <w:r>
        <w:rPr>
          <w:lang w:val="en-US"/>
        </w:rPr>
        <w:t xml:space="preserve">  </w:t>
      </w:r>
      <w:r w:rsidRPr="00F84DE1">
        <w:rPr>
          <w:lang w:val="en-US"/>
        </w:rPr>
        <w:t>Figure 1 indicates the magnitude-distance distribution</w:t>
      </w:r>
      <w:r>
        <w:rPr>
          <w:lang w:val="en-US"/>
        </w:rPr>
        <w:t xml:space="preserve"> of the datasets.</w:t>
      </w:r>
      <w:r w:rsidRPr="00F84DE1">
        <w:rPr>
          <w:lang w:val="en-US"/>
        </w:rPr>
        <w:t xml:space="preserve"> </w:t>
      </w:r>
      <w:r>
        <w:rPr>
          <w:lang w:val="en-US"/>
        </w:rPr>
        <w:t xml:space="preserve"> </w:t>
      </w:r>
      <w:r w:rsidRPr="00F84DE1">
        <w:rPr>
          <w:lang w:val="en-US"/>
        </w:rPr>
        <w:t>The</w:t>
      </w:r>
      <w:r>
        <w:rPr>
          <w:lang w:val="en-US"/>
        </w:rPr>
        <w:t xml:space="preserve"> </w:t>
      </w:r>
      <w:r w:rsidRPr="00F84DE1">
        <w:rPr>
          <w:lang w:val="en-US"/>
        </w:rPr>
        <w:t>magnitude of all events is represented by moment magnitude</w:t>
      </w:r>
      <w:r>
        <w:rPr>
          <w:lang w:val="en-US"/>
        </w:rPr>
        <w:t xml:space="preserve"> </w:t>
      </w:r>
      <w:r w:rsidR="00172353" w:rsidRPr="00172353">
        <w:rPr>
          <w:rStyle w:val="Bodytextitalic"/>
        </w:rPr>
        <w:t>M</w:t>
      </w:r>
      <w:r w:rsidR="00172353" w:rsidRPr="00172353">
        <w:rPr>
          <w:rStyle w:val="Subscriptitalic"/>
        </w:rPr>
        <w:t>W</w:t>
      </w:r>
      <w:r w:rsidR="00172353">
        <w:t xml:space="preserve"> </w:t>
      </w:r>
      <w:r>
        <w:rPr>
          <w:lang w:val="en-US"/>
        </w:rPr>
        <w:t xml:space="preserve">and </w:t>
      </w:r>
      <w:r w:rsidR="00370694">
        <w:rPr>
          <w:lang w:val="en-US"/>
        </w:rPr>
        <w:t xml:space="preserve">is </w:t>
      </w:r>
      <w:r>
        <w:rPr>
          <w:lang w:val="en-US"/>
        </w:rPr>
        <w:t xml:space="preserve">calculated using the updated attenuation parameters determined from the present analysis.  The spatial distribution of the dataset is indicated in Figure 2.  </w:t>
      </w:r>
      <w:r w:rsidRPr="00F84DE1">
        <w:rPr>
          <w:lang w:val="en-US"/>
        </w:rPr>
        <w:t xml:space="preserve">The dataset comprises some </w:t>
      </w:r>
      <w:r>
        <w:rPr>
          <w:lang w:val="en-US"/>
        </w:rPr>
        <w:t>1,079</w:t>
      </w:r>
      <w:r w:rsidRPr="00F84DE1">
        <w:rPr>
          <w:lang w:val="en-US"/>
        </w:rPr>
        <w:t xml:space="preserve"> strong- and weak</w:t>
      </w:r>
      <w:r>
        <w:rPr>
          <w:lang w:val="en-US"/>
        </w:rPr>
        <w:t>-</w:t>
      </w:r>
      <w:r w:rsidRPr="00F84DE1">
        <w:rPr>
          <w:lang w:val="en-US"/>
        </w:rPr>
        <w:t>motion</w:t>
      </w:r>
      <w:r>
        <w:rPr>
          <w:lang w:val="en-US"/>
        </w:rPr>
        <w:t xml:space="preserve"> </w:t>
      </w:r>
      <w:r w:rsidRPr="00F84DE1">
        <w:rPr>
          <w:lang w:val="en-US"/>
        </w:rPr>
        <w:t xml:space="preserve">records from </w:t>
      </w:r>
      <w:r>
        <w:rPr>
          <w:lang w:val="en-US"/>
        </w:rPr>
        <w:t>75</w:t>
      </w:r>
      <w:r w:rsidRPr="00F84DE1">
        <w:rPr>
          <w:lang w:val="en-US"/>
        </w:rPr>
        <w:t xml:space="preserve"> earthquakes (Table </w:t>
      </w:r>
      <w:r>
        <w:rPr>
          <w:lang w:val="en-US"/>
        </w:rPr>
        <w:t>2</w:t>
      </w:r>
      <w:r w:rsidRPr="00F84DE1">
        <w:rPr>
          <w:lang w:val="en-US"/>
        </w:rPr>
        <w:t>). These events</w:t>
      </w:r>
      <w:r>
        <w:rPr>
          <w:lang w:val="en-US"/>
        </w:rPr>
        <w:t xml:space="preserve"> </w:t>
      </w:r>
      <w:r w:rsidRPr="00F84DE1">
        <w:rPr>
          <w:lang w:val="en-US"/>
        </w:rPr>
        <w:t>range in magnitude from</w:t>
      </w:r>
      <w:r>
        <w:rPr>
          <w:lang w:val="en-US"/>
        </w:rPr>
        <w:t xml:space="preserve"> moment magnitude </w:t>
      </w:r>
      <w:r w:rsidRPr="009F1130">
        <w:rPr>
          <w:lang w:val="en-US"/>
        </w:rPr>
        <w:t>2.</w:t>
      </w:r>
      <w:r>
        <w:rPr>
          <w:lang w:val="en-US"/>
        </w:rPr>
        <w:t xml:space="preserve">8 ≤ </w:t>
      </w:r>
      <w:r w:rsidR="00172353" w:rsidRPr="00172353">
        <w:rPr>
          <w:rStyle w:val="Bodytextitalic"/>
        </w:rPr>
        <w:t>M</w:t>
      </w:r>
      <w:r w:rsidR="00172353" w:rsidRPr="00172353">
        <w:rPr>
          <w:rStyle w:val="Subscriptitalic"/>
        </w:rPr>
        <w:t>W</w:t>
      </w:r>
      <w:r w:rsidR="00172353">
        <w:t xml:space="preserve"> </w:t>
      </w:r>
      <w:r>
        <w:rPr>
          <w:lang w:val="en-US"/>
        </w:rPr>
        <w:t>≤ 5.4 recorded between 1989 and 2011.</w:t>
      </w:r>
    </w:p>
    <w:p w:rsidR="00E033F4" w:rsidRDefault="00551E1A" w:rsidP="00E033F4">
      <w:pPr>
        <w:pStyle w:val="InlineObject"/>
        <w:rPr>
          <w:lang w:val="en-US"/>
        </w:rPr>
      </w:pPr>
      <w:r>
        <w:rPr>
          <w:noProof/>
        </w:rPr>
        <w:drawing>
          <wp:inline distT="0" distB="0" distL="0" distR="0">
            <wp:extent cx="2952750" cy="2943225"/>
            <wp:effectExtent l="0" t="0" r="0" b="0"/>
            <wp:docPr id="4" name="Picture 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750" cy="2943225"/>
                    </a:xfrm>
                    <a:prstGeom prst="rect">
                      <a:avLst/>
                    </a:prstGeom>
                    <a:noFill/>
                    <a:ln>
                      <a:noFill/>
                    </a:ln>
                  </pic:spPr>
                </pic:pic>
              </a:graphicData>
            </a:graphic>
          </wp:inline>
        </w:drawing>
      </w:r>
      <w:bookmarkStart w:id="54" w:name="_Toc338429315"/>
    </w:p>
    <w:p w:rsidR="00E033F4" w:rsidRPr="008818F0" w:rsidRDefault="00E033F4" w:rsidP="001A3699">
      <w:pPr>
        <w:pStyle w:val="Captions"/>
        <w:tabs>
          <w:tab w:val="left" w:pos="4863"/>
        </w:tabs>
        <w:rPr>
          <w:lang w:val="en-US"/>
        </w:rPr>
      </w:pPr>
      <w:r w:rsidRPr="00ED3EA1">
        <w:rPr>
          <w:rStyle w:val="Bodytextbold"/>
        </w:rPr>
        <w:t xml:space="preserve">Figure </w:t>
      </w:r>
      <w:r w:rsidRPr="008818F0">
        <w:rPr>
          <w:b/>
        </w:rPr>
        <w:fldChar w:fldCharType="begin"/>
      </w:r>
      <w:r w:rsidRPr="008818F0">
        <w:rPr>
          <w:b/>
        </w:rPr>
        <w:instrText xml:space="preserve"> SEQ Figure \* ARABIC </w:instrText>
      </w:r>
      <w:r w:rsidRPr="008818F0">
        <w:rPr>
          <w:b/>
        </w:rPr>
        <w:fldChar w:fldCharType="separate"/>
      </w:r>
      <w:r>
        <w:rPr>
          <w:b/>
          <w:noProof/>
        </w:rPr>
        <w:t>1</w:t>
      </w:r>
      <w:r w:rsidRPr="008818F0">
        <w:rPr>
          <w:b/>
        </w:rPr>
        <w:fldChar w:fldCharType="end"/>
      </w:r>
      <w:r w:rsidRPr="00ED3EA1">
        <w:rPr>
          <w:rStyle w:val="Bodytextbold"/>
        </w:rPr>
        <w:t>:</w:t>
      </w:r>
      <w:r>
        <w:t xml:space="preserve"> </w:t>
      </w:r>
      <w:r w:rsidRPr="008818F0">
        <w:rPr>
          <w:lang w:val="en-US"/>
        </w:rPr>
        <w:t xml:space="preserve"> Magnitude-distance distribution of the southeastern Australian (SEA) dataset used to derive the stochastic suite of parameters.  Moment magnitudes, M</w:t>
      </w:r>
      <w:r w:rsidRPr="008818F0">
        <w:rPr>
          <w:vertAlign w:val="subscript"/>
          <w:lang w:val="en-US"/>
        </w:rPr>
        <w:t>W</w:t>
      </w:r>
      <w:r w:rsidRPr="008818F0">
        <w:rPr>
          <w:lang w:val="en-US"/>
        </w:rPr>
        <w:t>, are calculated using the attenuation parameters derived in the present study.</w:t>
      </w:r>
      <w:bookmarkEnd w:id="54"/>
    </w:p>
    <w:p w:rsidR="001D2FE9" w:rsidRDefault="001D2FE9" w:rsidP="001D2FE9">
      <w:pPr>
        <w:pStyle w:val="BodyText"/>
      </w:pPr>
      <w:r w:rsidRPr="00F84DE1">
        <w:rPr>
          <w:lang w:val="en-US"/>
        </w:rPr>
        <w:t xml:space="preserve">Note that </w:t>
      </w:r>
      <w:r>
        <w:rPr>
          <w:lang w:val="en-US"/>
        </w:rPr>
        <w:t>many</w:t>
      </w:r>
      <w:r w:rsidRPr="00F84DE1">
        <w:rPr>
          <w:lang w:val="en-US"/>
        </w:rPr>
        <w:t xml:space="preserve"> of the data</w:t>
      </w:r>
      <w:r>
        <w:rPr>
          <w:lang w:val="en-US"/>
        </w:rPr>
        <w:t xml:space="preserve"> employed from SEA </w:t>
      </w:r>
      <w:r w:rsidRPr="00F84DE1">
        <w:rPr>
          <w:lang w:val="en-US"/>
        </w:rPr>
        <w:t>were recorded on short-period weak</w:t>
      </w:r>
      <w:r>
        <w:rPr>
          <w:lang w:val="en-US"/>
        </w:rPr>
        <w:t>-</w:t>
      </w:r>
      <w:r w:rsidRPr="00F84DE1">
        <w:rPr>
          <w:lang w:val="en-US"/>
        </w:rPr>
        <w:t>motion</w:t>
      </w:r>
      <w:r>
        <w:rPr>
          <w:lang w:val="en-US"/>
        </w:rPr>
        <w:t xml:space="preserve"> </w:t>
      </w:r>
      <w:r w:rsidRPr="00F84DE1">
        <w:rPr>
          <w:lang w:val="en-US"/>
        </w:rPr>
        <w:t>instruments with natural frequencies at 1.0 or 2.0 Hz</w:t>
      </w:r>
      <w:r>
        <w:rPr>
          <w:lang w:val="en-US"/>
        </w:rPr>
        <w:t xml:space="preserve"> </w:t>
      </w:r>
      <w:r>
        <w:rPr>
          <w:lang w:val="en-US"/>
        </w:rPr>
        <w:fldChar w:fldCharType="begin"/>
      </w:r>
      <w:r w:rsidR="00F202D0">
        <w:rPr>
          <w:lang w:val="en-US"/>
        </w:rPr>
        <w:instrText xml:space="preserve"> ADDIN EN.CITE &lt;EndNote&gt;&lt;Cite&gt;&lt;Author&gt;Allen&lt;/Author&gt;&lt;Year&gt;2007&lt;/Year&gt;&lt;RecNum&gt;526&lt;/RecNum&gt;&lt;record&gt;&lt;rec-number&gt;526&lt;/rec-number&gt;&lt;foreign-keys&gt;&lt;key app="EN" db-id="se5z02d5txder3eax2p5wz5j59zvz2tdzdd2"&gt;526&lt;/key&gt;&lt;/foreign-keys&gt;&lt;ref-type name="Journal Article"&gt;17&lt;/ref-type&gt;&lt;contributors&gt;&lt;authors&gt;&lt;author&gt;Allen, T. I.&lt;/author&gt;&lt;author&gt;Cummins, P. R.&lt;/author&gt;&lt;author&gt;Dhu, T.&lt;/author&gt;&lt;author&gt;Schneider, J. F.&lt;/author&gt;&lt;/authors&gt;&lt;/contributors&gt;&lt;titles&gt;&lt;title&gt;Attenuation of ground-motion spectral amplitudes in southeastern Australia&lt;/title&gt;&lt;secondary-title&gt;Bull. Seism. Soc. Am.&lt;/secondary-title&gt;&lt;/titles&gt;&lt;periodical&gt;&lt;full-title&gt;Bull. Seism. Soc. Am.&lt;/full-title&gt;&lt;/periodical&gt;&lt;pages&gt;1279–1292&lt;/pages&gt;&lt;volume&gt;97&lt;/volume&gt;&lt;number&gt;4&lt;/number&gt;&lt;keywords&gt;&lt;keyword&gt;southeastern Australia, attenuation, Fourier&lt;/keyword&gt;&lt;/keywords&gt;&lt;dates&gt;&lt;year&gt;2007&lt;/year&gt;&lt;/dates&gt;&lt;urls&gt;&lt;pdf-urls&gt;&lt;url&gt;internal-pdf://Allen et al (2007). SE Aust.atten-2994310402/Allen et al (2007). SE Aust.atten.pdf&lt;/url&gt;&lt;/pdf-urls&gt;&lt;/urls&gt;&lt;/record&gt;&lt;/Cite&gt;&lt;/EndNote&gt;</w:instrText>
      </w:r>
      <w:r>
        <w:rPr>
          <w:lang w:val="en-US"/>
        </w:rPr>
        <w:fldChar w:fldCharType="separate"/>
      </w:r>
      <w:r>
        <w:rPr>
          <w:noProof/>
          <w:lang w:val="en-US"/>
        </w:rPr>
        <w:t>(Allen</w:t>
      </w:r>
      <w:r w:rsidRPr="003D3528">
        <w:rPr>
          <w:i/>
          <w:noProof/>
          <w:lang w:val="en-US"/>
        </w:rPr>
        <w:t xml:space="preserve"> et al.</w:t>
      </w:r>
      <w:r>
        <w:rPr>
          <w:noProof/>
          <w:lang w:val="en-US"/>
        </w:rPr>
        <w:t>, 2007)</w:t>
      </w:r>
      <w:r>
        <w:rPr>
          <w:lang w:val="en-US"/>
        </w:rPr>
        <w:fldChar w:fldCharType="end"/>
      </w:r>
      <w:r w:rsidRPr="00F84DE1">
        <w:rPr>
          <w:lang w:val="en-US"/>
        </w:rPr>
        <w:t>.</w:t>
      </w:r>
      <w:r>
        <w:rPr>
          <w:lang w:val="en-US"/>
        </w:rPr>
        <w:t xml:space="preserve">  While every effort was made to correct for instrument response, the limited bandwidth </w:t>
      </w:r>
      <w:r w:rsidR="00F116B8">
        <w:rPr>
          <w:lang w:val="en-US"/>
        </w:rPr>
        <w:t xml:space="preserve">of </w:t>
      </w:r>
      <w:r>
        <w:rPr>
          <w:lang w:val="en-US"/>
        </w:rPr>
        <w:t xml:space="preserve">many of the instruments </w:t>
      </w:r>
      <w:r w:rsidR="00F116B8">
        <w:rPr>
          <w:lang w:val="en-US"/>
        </w:rPr>
        <w:t xml:space="preserve">makes </w:t>
      </w:r>
      <w:r w:rsidR="008574FB">
        <w:rPr>
          <w:lang w:val="en-US"/>
        </w:rPr>
        <w:t xml:space="preserve">the </w:t>
      </w:r>
      <w:r w:rsidR="00F116B8">
        <w:rPr>
          <w:lang w:val="en-US"/>
        </w:rPr>
        <w:t>data</w:t>
      </w:r>
      <w:r>
        <w:rPr>
          <w:lang w:val="en-US"/>
        </w:rPr>
        <w:t xml:space="preserve"> potentially </w:t>
      </w:r>
      <w:r w:rsidRPr="00F84DE1">
        <w:rPr>
          <w:lang w:val="en-US"/>
        </w:rPr>
        <w:t xml:space="preserve">less reliable </w:t>
      </w:r>
      <w:r>
        <w:rPr>
          <w:lang w:val="en-US"/>
        </w:rPr>
        <w:t xml:space="preserve">at frequencies </w:t>
      </w:r>
      <w:r w:rsidR="008B4A86">
        <w:rPr>
          <w:lang w:val="en-US"/>
        </w:rPr>
        <w:t xml:space="preserve">lower </w:t>
      </w:r>
      <w:r>
        <w:rPr>
          <w:lang w:val="en-US"/>
        </w:rPr>
        <w:t xml:space="preserve">than the </w:t>
      </w:r>
      <w:r w:rsidR="00E90678">
        <w:rPr>
          <w:lang w:val="en-US"/>
        </w:rPr>
        <w:t xml:space="preserve">instrumental </w:t>
      </w:r>
      <w:r>
        <w:rPr>
          <w:lang w:val="en-US"/>
        </w:rPr>
        <w:t>natural</w:t>
      </w:r>
      <w:r w:rsidRPr="00F84DE1">
        <w:rPr>
          <w:lang w:val="en-US"/>
        </w:rPr>
        <w:t xml:space="preserve"> </w:t>
      </w:r>
      <w:r>
        <w:rPr>
          <w:lang w:val="en-US"/>
        </w:rPr>
        <w:t>frequency</w:t>
      </w:r>
      <w:r w:rsidR="00E90678">
        <w:rPr>
          <w:lang w:val="en-US"/>
        </w:rPr>
        <w:t>.</w:t>
      </w:r>
    </w:p>
    <w:p w:rsidR="001D2FE9" w:rsidRDefault="001D2FE9" w:rsidP="001D2FE9">
      <w:pPr>
        <w:pStyle w:val="BodyText"/>
        <w:rPr>
          <w:lang w:val="en-US"/>
        </w:rPr>
      </w:pPr>
      <w:r w:rsidRPr="0054604C">
        <w:rPr>
          <w:lang w:val="en-US"/>
        </w:rPr>
        <w:t>Windowed shear-wave displacement spectra were calculated</w:t>
      </w:r>
      <w:r>
        <w:rPr>
          <w:lang w:val="en-US"/>
        </w:rPr>
        <w:t xml:space="preserve"> </w:t>
      </w:r>
      <w:r w:rsidRPr="0054604C">
        <w:rPr>
          <w:lang w:val="en-US"/>
        </w:rPr>
        <w:t xml:space="preserve">and smoothed using the </w:t>
      </w:r>
      <w:r>
        <w:rPr>
          <w:lang w:val="en-US"/>
        </w:rPr>
        <w:t>spline</w:t>
      </w:r>
      <w:r w:rsidRPr="0054604C">
        <w:rPr>
          <w:lang w:val="en-US"/>
        </w:rPr>
        <w:t xml:space="preserve"> </w:t>
      </w:r>
      <w:r>
        <w:rPr>
          <w:lang w:val="en-US"/>
        </w:rPr>
        <w:t>interpolation algorithm to minimize the effect of extreme Fourier spectral values</w:t>
      </w:r>
      <w:r w:rsidRPr="0054604C">
        <w:rPr>
          <w:lang w:val="en-US"/>
        </w:rPr>
        <w:t>.</w:t>
      </w:r>
      <w:r>
        <w:rPr>
          <w:lang w:val="en-US"/>
        </w:rPr>
        <w:t xml:space="preserve"> </w:t>
      </w:r>
      <w:r w:rsidRPr="0054604C">
        <w:rPr>
          <w:lang w:val="en-US"/>
        </w:rPr>
        <w:t xml:space="preserve"> The shear window length varied for each</w:t>
      </w:r>
      <w:r>
        <w:rPr>
          <w:lang w:val="en-US"/>
        </w:rPr>
        <w:t xml:space="preserve"> </w:t>
      </w:r>
      <w:r w:rsidRPr="0054604C">
        <w:rPr>
          <w:lang w:val="en-US"/>
        </w:rPr>
        <w:t>record, with each window chosen to include the strongest</w:t>
      </w:r>
      <w:r>
        <w:rPr>
          <w:lang w:val="en-US"/>
        </w:rPr>
        <w:t xml:space="preserve"> </w:t>
      </w:r>
      <w:r w:rsidRPr="0054604C">
        <w:rPr>
          <w:lang w:val="en-US"/>
        </w:rPr>
        <w:t xml:space="preserve">shaking. </w:t>
      </w:r>
      <w:r>
        <w:rPr>
          <w:lang w:val="en-US"/>
        </w:rPr>
        <w:t xml:space="preserve"> </w:t>
      </w:r>
      <w:r w:rsidRPr="0054604C">
        <w:rPr>
          <w:lang w:val="en-US"/>
        </w:rPr>
        <w:t>A series o</w:t>
      </w:r>
      <w:r>
        <w:rPr>
          <w:lang w:val="en-US"/>
        </w:rPr>
        <w:t xml:space="preserve">f 22 discrete amplitudes </w:t>
      </w:r>
      <w:r w:rsidRPr="0054604C">
        <w:rPr>
          <w:lang w:val="en-US"/>
        </w:rPr>
        <w:t>were extracted</w:t>
      </w:r>
      <w:r>
        <w:rPr>
          <w:lang w:val="en-US"/>
        </w:rPr>
        <w:t xml:space="preserve"> </w:t>
      </w:r>
      <w:r w:rsidRPr="0054604C">
        <w:rPr>
          <w:lang w:val="en-US"/>
        </w:rPr>
        <w:t>from each record, lo</w:t>
      </w:r>
      <w:smartTag w:uri="urn:schemas-microsoft-com:office:smarttags" w:element="PersonName">
        <w:r w:rsidRPr="0054604C">
          <w:rPr>
            <w:lang w:val="en-US"/>
          </w:rPr>
          <w:t>ga</w:t>
        </w:r>
      </w:smartTag>
      <w:r w:rsidRPr="0054604C">
        <w:rPr>
          <w:lang w:val="en-US"/>
        </w:rPr>
        <w:t>rithmically distributed from</w:t>
      </w:r>
      <w:r>
        <w:rPr>
          <w:lang w:val="en-US"/>
        </w:rPr>
        <w:t xml:space="preserve"> </w:t>
      </w:r>
      <w:r w:rsidRPr="00267E46">
        <w:rPr>
          <w:lang w:val="en-US"/>
        </w:rPr>
        <w:t xml:space="preserve">0.2 to </w:t>
      </w:r>
      <w:r w:rsidR="00CF195B" w:rsidRPr="00267E46">
        <w:rPr>
          <w:lang w:val="en-US"/>
        </w:rPr>
        <w:t>24</w:t>
      </w:r>
      <w:r w:rsidR="00CF195B">
        <w:rPr>
          <w:lang w:val="en-US"/>
        </w:rPr>
        <w:t> </w:t>
      </w:r>
      <w:r w:rsidRPr="0054604C">
        <w:rPr>
          <w:lang w:val="en-US"/>
        </w:rPr>
        <w:t xml:space="preserve">Hz. </w:t>
      </w:r>
      <w:r>
        <w:rPr>
          <w:lang w:val="en-US"/>
        </w:rPr>
        <w:t xml:space="preserve"> An average pre-event noise spectrum was </w:t>
      </w:r>
      <w:r w:rsidR="00B63C6F">
        <w:rPr>
          <w:lang w:val="en-US"/>
        </w:rPr>
        <w:t xml:space="preserve">also </w:t>
      </w:r>
      <w:r>
        <w:rPr>
          <w:lang w:val="en-US"/>
        </w:rPr>
        <w:t>calculated for each station.  For each frequency of ground</w:t>
      </w:r>
      <w:r w:rsidR="008574FB">
        <w:rPr>
          <w:lang w:val="en-US"/>
        </w:rPr>
        <w:t>-</w:t>
      </w:r>
      <w:r>
        <w:rPr>
          <w:lang w:val="en-US"/>
        </w:rPr>
        <w:t xml:space="preserve">shaking, data less than twice the average noise spectrum are removed from the analysis </w:t>
      </w:r>
      <w:r w:rsidRPr="00C36D84">
        <w:rPr>
          <w:lang w:val="en-US"/>
        </w:rPr>
        <w:fldChar w:fldCharType="begin"/>
      </w:r>
      <w:r w:rsidR="00F202D0">
        <w:rPr>
          <w:lang w:val="en-US"/>
        </w:rPr>
        <w:instrText xml:space="preserve"> ADDIN EN.CITE &lt;EndNote&gt;&lt;Cite&gt;&lt;Author&gt;Atkinson&lt;/Author&gt;&lt;Year&gt;1992&lt;/Year&gt;&lt;RecNum&gt;919&lt;/RecNum&gt;&lt;Prefix&gt;e.g.`, &lt;/Prefix&gt;&lt;record&gt;&lt;rec-number&gt;919&lt;/rec-number&gt;&lt;foreign-keys&gt;&lt;key app="EN" db-id="se5z02d5txder3eax2p5wz5j59zvz2tdzdd2"&gt;919&lt;/key&gt;&lt;/foreign-keys&gt;&lt;ref-type name="Journal Article"&gt;17&lt;/ref-type&gt;&lt;contributors&gt;&lt;authors&gt;&lt;author&gt;Atkinson, G. M.&lt;/author&gt;&lt;author&gt;Mereu, R. F.&lt;/author&gt;&lt;/authors&gt;&lt;/contributors&gt;&lt;titles&gt;&lt;title&gt;The shape of ground motion attenuation curves in southeastern Canada&lt;/title&gt;&lt;secondary-title&gt;Bull. Seism. Soc. Am.&lt;/secondary-title&gt;&lt;/titles&gt;&lt;periodical&gt;&lt;full-title&gt;Bull. Seism. Soc. Am.&lt;/full-title&gt;&lt;/periodical&gt;&lt;pages&gt;2014-2031&lt;/pages&gt;&lt;volume&gt;82&lt;/volume&gt;&lt;number&gt;5&lt;/number&gt;&lt;keywords&gt;&lt;keyword&gt;geometrical spreading, Q&lt;/keyword&gt;&lt;/keywords&gt;&lt;dates&gt;&lt;year&gt;1992&lt;/year&gt;&lt;/dates&gt;&lt;urls&gt;&lt;pdf-urls&gt;&lt;url&gt;internal-pdf://Atkinson and Mereu (1992).attenuation_shape.SECan-2444104709/Atkinson and Mereu (1992).attenuation_shape.SECan.pdf&lt;/url&gt;&lt;/pdf-urls&gt;&lt;/urls&gt;&lt;/record&gt;&lt;/Cite&gt;&lt;/EndNote&gt;</w:instrText>
      </w:r>
      <w:r w:rsidRPr="00C36D84">
        <w:rPr>
          <w:lang w:val="en-US"/>
        </w:rPr>
        <w:fldChar w:fldCharType="separate"/>
      </w:r>
      <w:r>
        <w:rPr>
          <w:noProof/>
          <w:lang w:val="en-US"/>
        </w:rPr>
        <w:t>(e.g., Atkinson and Mereu, 1992)</w:t>
      </w:r>
      <w:r w:rsidRPr="00C36D84">
        <w:rPr>
          <w:lang w:val="en-US"/>
        </w:rPr>
        <w:fldChar w:fldCharType="end"/>
      </w:r>
      <w:r w:rsidRPr="00C36D84">
        <w:rPr>
          <w:lang w:val="en-US"/>
        </w:rPr>
        <w:t>.</w:t>
      </w:r>
      <w:r>
        <w:rPr>
          <w:lang w:val="en-US"/>
        </w:rPr>
        <w:t xml:space="preserve">  Because the majority of the weak-motion data used in the empirical analysis were recorded at 100 samples per second, Fourier spectral frequencies at frequencies greater than 25 Hz were not considered owing to Nyquist frequency and aliasing effects.</w:t>
      </w:r>
    </w:p>
    <w:p w:rsidR="00B15AC0" w:rsidRDefault="00B15AC0" w:rsidP="00B15AC0">
      <w:pPr>
        <w:rPr>
          <w:lang w:val="en-US"/>
        </w:rPr>
      </w:pPr>
    </w:p>
    <w:p w:rsidR="003A4C3C" w:rsidRPr="00ED3EA1" w:rsidRDefault="003A4C3C" w:rsidP="003A4C3C">
      <w:pPr>
        <w:pStyle w:val="Captions"/>
        <w:rPr>
          <w:rStyle w:val="Bodytextbold"/>
        </w:rPr>
        <w:sectPr w:rsidR="003A4C3C" w:rsidRPr="00ED3EA1" w:rsidSect="003166B9">
          <w:headerReference w:type="even" r:id="rId19"/>
          <w:headerReference w:type="default" r:id="rId20"/>
          <w:footerReference w:type="default" r:id="rId21"/>
          <w:headerReference w:type="first" r:id="rId22"/>
          <w:pgSz w:w="11907" w:h="16840" w:code="9"/>
          <w:pgMar w:top="1985" w:right="1418" w:bottom="1701" w:left="1418" w:header="720" w:footer="720" w:gutter="0"/>
          <w:pgNumType w:start="1"/>
          <w:cols w:space="720"/>
        </w:sectPr>
      </w:pPr>
    </w:p>
    <w:p w:rsidR="00B15AC0" w:rsidRPr="003A4C3C" w:rsidRDefault="00A34F7F" w:rsidP="00E033F4">
      <w:pPr>
        <w:pStyle w:val="Tabletitle"/>
      </w:pPr>
      <w:bookmarkStart w:id="55" w:name="_Toc338429896"/>
      <w:r w:rsidRPr="00ED3EA1">
        <w:rPr>
          <w:rStyle w:val="Bodytextbold"/>
        </w:rPr>
        <w:lastRenderedPageBreak/>
        <w:t xml:space="preserve">Table </w:t>
      </w:r>
      <w:r w:rsidRPr="003A4C3C">
        <w:rPr>
          <w:b/>
        </w:rPr>
        <w:fldChar w:fldCharType="begin"/>
      </w:r>
      <w:r w:rsidRPr="003A4C3C">
        <w:rPr>
          <w:b/>
        </w:rPr>
        <w:instrText xml:space="preserve"> SEQ Table \* ARABIC </w:instrText>
      </w:r>
      <w:r w:rsidRPr="003A4C3C">
        <w:rPr>
          <w:b/>
        </w:rPr>
        <w:fldChar w:fldCharType="separate"/>
      </w:r>
      <w:r w:rsidR="007D4E78">
        <w:rPr>
          <w:b/>
          <w:noProof/>
        </w:rPr>
        <w:t>2</w:t>
      </w:r>
      <w:r w:rsidRPr="003A4C3C">
        <w:rPr>
          <w:b/>
        </w:rPr>
        <w:fldChar w:fldCharType="end"/>
      </w:r>
      <w:r w:rsidR="003A4C3C" w:rsidRPr="00ED3EA1">
        <w:rPr>
          <w:rStyle w:val="Bodytextbold"/>
        </w:rPr>
        <w:t>:</w:t>
      </w:r>
      <w:r w:rsidR="003A4C3C" w:rsidRPr="003A4C3C">
        <w:t xml:space="preserve">  </w:t>
      </w:r>
      <w:r w:rsidR="0020613F">
        <w:t>List of earthquakes used in the present analysis.  Moment magnitude M</w:t>
      </w:r>
      <w:r w:rsidR="0020613F">
        <w:rPr>
          <w:vertAlign w:val="subscript"/>
        </w:rPr>
        <w:t>W</w:t>
      </w:r>
      <w:r w:rsidR="0020613F">
        <w:t xml:space="preserve"> and Brune stress drop </w:t>
      </w:r>
      <w:r w:rsidR="0020613F" w:rsidRPr="00332AA7">
        <w:t>Δ</w:t>
      </w:r>
      <w:r w:rsidR="0020613F">
        <w:t>σ were calculated using the attenuation parameters derived in the present study</w:t>
      </w:r>
      <w:r w:rsidR="00ED1C32">
        <w:t xml:space="preserve"> and fitting corrected Fourier displacement source spectra (see Fig. 11)</w:t>
      </w:r>
      <w:r w:rsidR="0020613F">
        <w:t xml:space="preserve">.  While stress drops were estimated for all events, only the most well-constrained values are included herein and used for further analysis.  The distance range indicates the minimum and maximum </w:t>
      </w:r>
      <w:r w:rsidR="000263F6">
        <w:t xml:space="preserve">hypocentral </w:t>
      </w:r>
      <w:r w:rsidR="0020613F">
        <w:t>distance of stations used.  Those events with an asterisk (*) have three or more stations at hypocentral distances less than 100 km, and these events were used to determine the path parameters.</w:t>
      </w:r>
      <w:bookmarkEnd w:id="55"/>
    </w:p>
    <w:tbl>
      <w:tblPr>
        <w:tblW w:w="12631" w:type="dxa"/>
        <w:jc w:val="center"/>
        <w:tblInd w:w="93" w:type="dxa"/>
        <w:tblLayout w:type="fixed"/>
        <w:tblLook w:val="0000" w:firstRow="0" w:lastRow="0" w:firstColumn="0" w:lastColumn="0" w:noHBand="0" w:noVBand="0"/>
      </w:tblPr>
      <w:tblGrid>
        <w:gridCol w:w="1716"/>
        <w:gridCol w:w="2552"/>
        <w:gridCol w:w="1418"/>
        <w:gridCol w:w="1276"/>
        <w:gridCol w:w="1133"/>
        <w:gridCol w:w="851"/>
        <w:gridCol w:w="1275"/>
        <w:gridCol w:w="851"/>
        <w:gridCol w:w="1559"/>
      </w:tblGrid>
      <w:tr w:rsidR="00B0175C" w:rsidRPr="000263F6" w:rsidTr="00C24397">
        <w:trPr>
          <w:trHeight w:val="255"/>
          <w:tblHeader/>
          <w:jc w:val="center"/>
        </w:trPr>
        <w:tc>
          <w:tcPr>
            <w:tcW w:w="1716" w:type="dxa"/>
            <w:tcBorders>
              <w:top w:val="single" w:sz="4" w:space="0" w:color="auto"/>
              <w:left w:val="nil"/>
              <w:bottom w:val="single" w:sz="4" w:space="0" w:color="auto"/>
              <w:right w:val="nil"/>
            </w:tcBorders>
            <w:shd w:val="clear" w:color="auto" w:fill="D9D9D9"/>
            <w:noWrap/>
            <w:vAlign w:val="center"/>
          </w:tcPr>
          <w:p w:rsidR="00B0175C" w:rsidRPr="00ED3EA1" w:rsidRDefault="00B0175C" w:rsidP="00ED3EA1">
            <w:pPr>
              <w:pStyle w:val="Tableheadingrow"/>
            </w:pPr>
            <w:r w:rsidRPr="00ED3EA1">
              <w:t>Origin</w:t>
            </w:r>
          </w:p>
        </w:tc>
        <w:tc>
          <w:tcPr>
            <w:tcW w:w="2552" w:type="dxa"/>
            <w:tcBorders>
              <w:top w:val="single" w:sz="4" w:space="0" w:color="auto"/>
              <w:left w:val="nil"/>
              <w:bottom w:val="single" w:sz="4" w:space="0" w:color="auto"/>
              <w:right w:val="nil"/>
            </w:tcBorders>
            <w:shd w:val="clear" w:color="auto" w:fill="D9D9D9"/>
            <w:noWrap/>
            <w:vAlign w:val="center"/>
          </w:tcPr>
          <w:p w:rsidR="00B0175C" w:rsidRPr="00ED3EA1" w:rsidRDefault="00B0175C" w:rsidP="00ED3EA1">
            <w:pPr>
              <w:pStyle w:val="Tableheadingrow"/>
            </w:pPr>
            <w:r w:rsidRPr="00ED3EA1">
              <w:t>l</w:t>
            </w:r>
            <w:r w:rsidR="00BB47A7" w:rsidRPr="00ED3EA1">
              <w:t>ocation</w:t>
            </w:r>
          </w:p>
        </w:tc>
        <w:tc>
          <w:tcPr>
            <w:tcW w:w="1418" w:type="dxa"/>
            <w:tcBorders>
              <w:top w:val="single" w:sz="4" w:space="0" w:color="auto"/>
              <w:left w:val="nil"/>
              <w:bottom w:val="single" w:sz="4" w:space="0" w:color="auto"/>
              <w:right w:val="nil"/>
            </w:tcBorders>
            <w:shd w:val="clear" w:color="auto" w:fill="D9D9D9"/>
            <w:noWrap/>
            <w:vAlign w:val="center"/>
          </w:tcPr>
          <w:p w:rsidR="00B0175C" w:rsidRPr="00ED3EA1" w:rsidRDefault="00B0175C" w:rsidP="00ED3EA1">
            <w:pPr>
              <w:pStyle w:val="Tableheadingrow"/>
            </w:pPr>
            <w:r w:rsidRPr="00ED3EA1">
              <w:t>LonGITUDE</w:t>
            </w:r>
          </w:p>
        </w:tc>
        <w:tc>
          <w:tcPr>
            <w:tcW w:w="1276" w:type="dxa"/>
            <w:tcBorders>
              <w:top w:val="single" w:sz="4" w:space="0" w:color="auto"/>
              <w:left w:val="nil"/>
              <w:bottom w:val="single" w:sz="4" w:space="0" w:color="auto"/>
              <w:right w:val="nil"/>
            </w:tcBorders>
            <w:shd w:val="clear" w:color="auto" w:fill="D9D9D9"/>
            <w:noWrap/>
            <w:vAlign w:val="center"/>
          </w:tcPr>
          <w:p w:rsidR="00B0175C" w:rsidRPr="00ED3EA1" w:rsidRDefault="00B0175C" w:rsidP="00ED3EA1">
            <w:pPr>
              <w:pStyle w:val="Tableheadingrow"/>
            </w:pPr>
            <w:r w:rsidRPr="00ED3EA1">
              <w:t>LatITUDE</w:t>
            </w:r>
          </w:p>
        </w:tc>
        <w:tc>
          <w:tcPr>
            <w:tcW w:w="1133" w:type="dxa"/>
            <w:tcBorders>
              <w:top w:val="single" w:sz="4" w:space="0" w:color="auto"/>
              <w:left w:val="nil"/>
              <w:bottom w:val="single" w:sz="4" w:space="0" w:color="auto"/>
              <w:right w:val="nil"/>
            </w:tcBorders>
            <w:shd w:val="clear" w:color="auto" w:fill="D9D9D9"/>
            <w:noWrap/>
            <w:vAlign w:val="center"/>
          </w:tcPr>
          <w:p w:rsidR="00B0175C" w:rsidRPr="000263F6" w:rsidRDefault="00B0175C" w:rsidP="00D33AA0">
            <w:pPr>
              <w:pStyle w:val="Tableheadingrow"/>
              <w:rPr>
                <w:sz w:val="18"/>
                <w:szCs w:val="18"/>
              </w:rPr>
            </w:pPr>
            <w:r w:rsidRPr="00ED3EA1">
              <w:t>Depth (</w:t>
            </w:r>
            <w:r w:rsidR="00D33AA0" w:rsidRPr="000263F6">
              <w:rPr>
                <w:caps w:val="0"/>
                <w:sz w:val="18"/>
                <w:szCs w:val="18"/>
              </w:rPr>
              <w:t>km</w:t>
            </w:r>
            <w:r w:rsidRPr="00ED3EA1">
              <w:t>)</w:t>
            </w:r>
          </w:p>
        </w:tc>
        <w:tc>
          <w:tcPr>
            <w:tcW w:w="851" w:type="dxa"/>
            <w:tcBorders>
              <w:top w:val="single" w:sz="4" w:space="0" w:color="auto"/>
              <w:left w:val="nil"/>
              <w:bottom w:val="single" w:sz="4" w:space="0" w:color="auto"/>
              <w:right w:val="nil"/>
            </w:tcBorders>
            <w:shd w:val="clear" w:color="auto" w:fill="D9D9D9"/>
            <w:noWrap/>
            <w:vAlign w:val="center"/>
          </w:tcPr>
          <w:p w:rsidR="00B0175C" w:rsidRPr="00ED3EA1" w:rsidRDefault="00B0175C" w:rsidP="00ED3EA1">
            <w:pPr>
              <w:pStyle w:val="Tableheadingrow"/>
              <w:rPr>
                <w:bCs/>
                <w:i/>
                <w:iCs/>
                <w:sz w:val="18"/>
                <w:vertAlign w:val="subscript"/>
              </w:rPr>
            </w:pPr>
            <w:r w:rsidRPr="00ED3EA1">
              <w:rPr>
                <w:bCs/>
                <w:i/>
                <w:iCs/>
                <w:sz w:val="18"/>
              </w:rPr>
              <w:t>M</w:t>
            </w:r>
            <w:r w:rsidRPr="00ED3EA1">
              <w:rPr>
                <w:bCs/>
                <w:i/>
                <w:iCs/>
                <w:sz w:val="18"/>
                <w:vertAlign w:val="subscript"/>
              </w:rPr>
              <w:t>W</w:t>
            </w:r>
          </w:p>
        </w:tc>
        <w:tc>
          <w:tcPr>
            <w:tcW w:w="1275" w:type="dxa"/>
            <w:tcBorders>
              <w:top w:val="single" w:sz="4" w:space="0" w:color="auto"/>
              <w:left w:val="nil"/>
              <w:bottom w:val="single" w:sz="4" w:space="0" w:color="auto"/>
              <w:right w:val="nil"/>
            </w:tcBorders>
            <w:shd w:val="clear" w:color="auto" w:fill="D9D9D9"/>
            <w:noWrap/>
            <w:vAlign w:val="center"/>
          </w:tcPr>
          <w:p w:rsidR="00B0175C" w:rsidRPr="000263F6" w:rsidRDefault="00B0175C" w:rsidP="00D33AA0">
            <w:pPr>
              <w:pStyle w:val="Tableheadingrow"/>
              <w:rPr>
                <w:sz w:val="18"/>
                <w:szCs w:val="18"/>
              </w:rPr>
            </w:pPr>
            <w:r w:rsidRPr="00ED3EA1">
              <w:t>Stress Drop (MP</w:t>
            </w:r>
            <w:r w:rsidRPr="000263F6">
              <w:rPr>
                <w:caps w:val="0"/>
                <w:sz w:val="18"/>
                <w:szCs w:val="18"/>
              </w:rPr>
              <w:t>a</w:t>
            </w:r>
            <w:r w:rsidRPr="00ED3EA1">
              <w:t>)</w:t>
            </w:r>
          </w:p>
        </w:tc>
        <w:tc>
          <w:tcPr>
            <w:tcW w:w="851" w:type="dxa"/>
            <w:tcBorders>
              <w:top w:val="single" w:sz="4" w:space="0" w:color="auto"/>
              <w:left w:val="nil"/>
              <w:bottom w:val="single" w:sz="4" w:space="0" w:color="auto"/>
              <w:right w:val="nil"/>
            </w:tcBorders>
            <w:shd w:val="clear" w:color="auto" w:fill="D9D9D9"/>
            <w:vAlign w:val="center"/>
          </w:tcPr>
          <w:p w:rsidR="00B0175C" w:rsidRPr="00ED3EA1" w:rsidRDefault="006113E4" w:rsidP="00ED3EA1">
            <w:pPr>
              <w:pStyle w:val="Tableheadingrow"/>
            </w:pPr>
            <w:r w:rsidRPr="00ED3EA1">
              <w:t>NO.</w:t>
            </w:r>
            <w:r w:rsidR="001D389F" w:rsidRPr="00ED3EA1">
              <w:t xml:space="preserve"> </w:t>
            </w:r>
            <w:r w:rsidR="00B0175C" w:rsidRPr="00ED3EA1">
              <w:t>Recs</w:t>
            </w:r>
          </w:p>
        </w:tc>
        <w:tc>
          <w:tcPr>
            <w:tcW w:w="1559" w:type="dxa"/>
            <w:tcBorders>
              <w:top w:val="single" w:sz="4" w:space="0" w:color="auto"/>
              <w:left w:val="nil"/>
              <w:bottom w:val="single" w:sz="4" w:space="0" w:color="auto"/>
              <w:right w:val="nil"/>
            </w:tcBorders>
            <w:shd w:val="clear" w:color="auto" w:fill="D9D9D9"/>
            <w:noWrap/>
            <w:vAlign w:val="center"/>
          </w:tcPr>
          <w:p w:rsidR="00B0175C" w:rsidRPr="000263F6" w:rsidRDefault="00B0175C" w:rsidP="00D33AA0">
            <w:pPr>
              <w:pStyle w:val="Tableheadingrow"/>
              <w:rPr>
                <w:sz w:val="18"/>
                <w:szCs w:val="18"/>
              </w:rPr>
            </w:pPr>
            <w:r w:rsidRPr="00ED3EA1">
              <w:t>Distance Range (</w:t>
            </w:r>
            <w:r w:rsidR="00D33AA0" w:rsidRPr="000263F6">
              <w:rPr>
                <w:caps w:val="0"/>
                <w:sz w:val="18"/>
                <w:szCs w:val="18"/>
              </w:rPr>
              <w:t>km</w:t>
            </w:r>
            <w:r w:rsidRPr="00ED3EA1">
              <w:t>)</w:t>
            </w:r>
          </w:p>
        </w:tc>
      </w:tr>
      <w:tr w:rsidR="00FA08BE" w:rsidRPr="000263F6" w:rsidTr="00C24397">
        <w:trPr>
          <w:trHeight w:val="255"/>
          <w:jc w:val="center"/>
        </w:trPr>
        <w:tc>
          <w:tcPr>
            <w:tcW w:w="1716" w:type="dxa"/>
            <w:tcBorders>
              <w:top w:val="single" w:sz="4" w:space="0" w:color="auto"/>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1989-12-27 23:24</w:t>
            </w:r>
          </w:p>
        </w:tc>
        <w:tc>
          <w:tcPr>
            <w:tcW w:w="2552" w:type="dxa"/>
            <w:tcBorders>
              <w:top w:val="single" w:sz="4" w:space="0" w:color="auto"/>
              <w:left w:val="nil"/>
              <w:bottom w:val="nil"/>
              <w:right w:val="nil"/>
            </w:tcBorders>
            <w:shd w:val="clear" w:color="auto" w:fill="auto"/>
            <w:noWrap/>
            <w:vAlign w:val="center"/>
          </w:tcPr>
          <w:p w:rsidR="00FA08BE" w:rsidRPr="000263F6" w:rsidRDefault="00FA08BE" w:rsidP="00D33AA0">
            <w:pPr>
              <w:pStyle w:val="Tabletext"/>
              <w:rPr>
                <w:rFonts w:cs="Arial"/>
                <w:szCs w:val="18"/>
              </w:rPr>
            </w:pPr>
            <w:smartTag w:uri="urn:schemas-microsoft-com:office:smarttags" w:element="place">
              <w:smartTag w:uri="urn:schemas-microsoft-com:office:smarttags" w:element="City">
                <w:r w:rsidRPr="000263F6">
                  <w:rPr>
                    <w:rFonts w:cs="Arial"/>
                    <w:szCs w:val="18"/>
                  </w:rPr>
                  <w:t>Newcastle</w:t>
                </w:r>
              </w:smartTag>
            </w:smartTag>
            <w:r w:rsidRPr="000263F6">
              <w:rPr>
                <w:rFonts w:cs="Arial"/>
                <w:szCs w:val="18"/>
              </w:rPr>
              <w:t>, NSW</w:t>
            </w:r>
          </w:p>
        </w:tc>
        <w:tc>
          <w:tcPr>
            <w:tcW w:w="1418" w:type="dxa"/>
            <w:tcBorders>
              <w:top w:val="single" w:sz="4" w:space="0" w:color="auto"/>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151.61</w:t>
            </w:r>
          </w:p>
        </w:tc>
        <w:tc>
          <w:tcPr>
            <w:tcW w:w="1276" w:type="dxa"/>
            <w:tcBorders>
              <w:top w:val="single" w:sz="4" w:space="0" w:color="auto"/>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-32.95</w:t>
            </w:r>
          </w:p>
        </w:tc>
        <w:tc>
          <w:tcPr>
            <w:tcW w:w="1133" w:type="dxa"/>
            <w:tcBorders>
              <w:top w:val="single" w:sz="4" w:space="0" w:color="auto"/>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10.5</w:t>
            </w:r>
          </w:p>
        </w:tc>
        <w:tc>
          <w:tcPr>
            <w:tcW w:w="851" w:type="dxa"/>
            <w:tcBorders>
              <w:top w:val="single" w:sz="4" w:space="0" w:color="auto"/>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5.4</w:t>
            </w:r>
          </w:p>
        </w:tc>
        <w:tc>
          <w:tcPr>
            <w:tcW w:w="1275" w:type="dxa"/>
            <w:tcBorders>
              <w:top w:val="single" w:sz="4" w:space="0" w:color="auto"/>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single" w:sz="4" w:space="0" w:color="auto"/>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7</w:t>
            </w:r>
          </w:p>
        </w:tc>
        <w:tc>
          <w:tcPr>
            <w:tcW w:w="1559" w:type="dxa"/>
            <w:tcBorders>
              <w:top w:val="single" w:sz="4" w:space="0" w:color="auto"/>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568.2-829.2</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1993-07-24 13:33</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Churchill,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146.49</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-38.35</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15.0</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3.2</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5</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31.2-277.0</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1993-09-25 02:40</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T</w:t>
            </w:r>
            <w:r w:rsidR="008F1CD4">
              <w:rPr>
                <w:rFonts w:cs="Arial"/>
                <w:szCs w:val="18"/>
              </w:rPr>
              <w:t>r</w:t>
            </w:r>
            <w:r w:rsidRPr="000263F6">
              <w:rPr>
                <w:rFonts w:cs="Arial"/>
                <w:szCs w:val="18"/>
              </w:rPr>
              <w:t>aralgon South,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146.53</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-38.31</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10.2</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3.3</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7</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26.0-214.9*</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1994-02-01 05:53</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Boolarra South,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146.35</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-38.54</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17.1</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3.7</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12</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51.5-605.3</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1994-05-21 08:59</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Ettamogah, NSW</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146.96</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-36.03</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3.0</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3.2</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8</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71.9-364.3</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1994-08-06 11:03</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Ellalong, NSW</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151.29</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-32.92</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0.6</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4.7</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20.7</w:t>
            </w: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19</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96.1-805.6</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1995-01-03 13:51</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Bowral, NSW</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150.48</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-34.53</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7.0</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2.9</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10</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16.2-94.4*</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1995-01-11 07:11</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Warragul,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145.99</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-38.17</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8.7</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3.1</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5</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40.5-274.4</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1995-02-01 10:21</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Boolarra South,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146.26</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-38.46</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10.1</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3.1</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5</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43.2-294.6</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1995-03-26 06:53</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Dora Dora, NSW</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147.23</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-35.96</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3.7</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3.2</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11</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13.6-350.2*</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1995-05-03 04:24</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Newnes, NSW</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150.25</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-33.19</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10.7</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3.2</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18</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53.7-245.5</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1995-05-03 17:48</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Boolarra South,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146.28</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-38.47</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15.0</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3.4</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8</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45.0-240.4*</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1995-05-20 11:29</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smartTag w:uri="urn:schemas-microsoft-com:office:smarttags" w:element="place">
              <w:smartTag w:uri="urn:schemas-microsoft-com:office:smarttags" w:element="PlaceName">
                <w:r w:rsidRPr="000263F6">
                  <w:rPr>
                    <w:rFonts w:cs="Arial"/>
                    <w:szCs w:val="18"/>
                  </w:rPr>
                  <w:t>Jenolan</w:t>
                </w:r>
              </w:smartTag>
              <w:r w:rsidRPr="000263F6">
                <w:rPr>
                  <w:rFonts w:cs="Arial"/>
                  <w:szCs w:val="18"/>
                </w:rPr>
                <w:t xml:space="preserve"> </w:t>
              </w:r>
              <w:smartTag w:uri="urn:schemas-microsoft-com:office:smarttags" w:element="PlaceType">
                <w:r w:rsidRPr="000263F6">
                  <w:rPr>
                    <w:rFonts w:cs="Arial"/>
                    <w:szCs w:val="18"/>
                  </w:rPr>
                  <w:t>Caves</w:t>
                </w:r>
              </w:smartTag>
            </w:smartTag>
            <w:r w:rsidRPr="000263F6">
              <w:rPr>
                <w:rFonts w:cs="Arial"/>
                <w:szCs w:val="18"/>
              </w:rPr>
              <w:t>, NSW</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150.08</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-33.87</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13.8</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3.5</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16</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19.8-379.3*</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1995-07-21 14:26</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Adaminaby, NSW</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148.86</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-36.03</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4.8</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3.3</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17</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121.6-364.8</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1995-07-29 13:43</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Frogmore, NSW</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148.74</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-34.28</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2.8</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2.9</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11</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75.2-196.1</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1995-07-30 04:41</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Benambra,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147.66</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-36.76</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11.3</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3.5</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63</w:t>
            </w: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15</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11.7-377.0*</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1995-08-17 01:41</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Boor</w:t>
            </w:r>
            <w:r w:rsidR="008574FB">
              <w:rPr>
                <w:rFonts w:cs="Arial"/>
                <w:szCs w:val="18"/>
              </w:rPr>
              <w:t>o</w:t>
            </w:r>
            <w:r w:rsidRPr="000263F6">
              <w:rPr>
                <w:rFonts w:cs="Arial"/>
                <w:szCs w:val="18"/>
              </w:rPr>
              <w:t>wa, NSW</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148.74</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-34.31</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3.6</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2.9</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16</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71.9-249.3</w:t>
            </w:r>
          </w:p>
        </w:tc>
      </w:tr>
      <w:tr w:rsidR="00FA08BE" w:rsidRPr="000263F6" w:rsidTr="00C24397">
        <w:trPr>
          <w:trHeight w:val="255"/>
          <w:jc w:val="center"/>
        </w:trPr>
        <w:tc>
          <w:tcPr>
            <w:tcW w:w="1716"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1995-08-19 09:01</w:t>
            </w:r>
          </w:p>
        </w:tc>
        <w:tc>
          <w:tcPr>
            <w:tcW w:w="2552" w:type="dxa"/>
            <w:tcBorders>
              <w:top w:val="nil"/>
              <w:left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Boor</w:t>
            </w:r>
            <w:r w:rsidR="008574FB">
              <w:rPr>
                <w:rFonts w:cs="Arial"/>
                <w:szCs w:val="18"/>
              </w:rPr>
              <w:t>o</w:t>
            </w:r>
            <w:r w:rsidRPr="000263F6">
              <w:rPr>
                <w:rFonts w:cs="Arial"/>
                <w:szCs w:val="18"/>
              </w:rPr>
              <w:t>wa, NSW</w:t>
            </w:r>
          </w:p>
        </w:tc>
        <w:tc>
          <w:tcPr>
            <w:tcW w:w="1418"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148.74</w:t>
            </w:r>
          </w:p>
        </w:tc>
        <w:tc>
          <w:tcPr>
            <w:tcW w:w="1276"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-34.31</w:t>
            </w:r>
          </w:p>
        </w:tc>
        <w:tc>
          <w:tcPr>
            <w:tcW w:w="1133"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1.3</w:t>
            </w:r>
          </w:p>
        </w:tc>
        <w:tc>
          <w:tcPr>
            <w:tcW w:w="851"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3.1</w:t>
            </w:r>
          </w:p>
        </w:tc>
        <w:tc>
          <w:tcPr>
            <w:tcW w:w="1275" w:type="dxa"/>
            <w:tcBorders>
              <w:top w:val="nil"/>
              <w:left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right w:val="nil"/>
            </w:tcBorders>
            <w:vAlign w:val="center"/>
          </w:tcPr>
          <w:p w:rsidR="00FA08BE" w:rsidRPr="000263F6" w:rsidRDefault="00FA08BE" w:rsidP="00D33AA0">
            <w:pPr>
              <w:pStyle w:val="Tabletext"/>
              <w:rPr>
                <w:rFonts w:cs="Arial"/>
                <w:szCs w:val="18"/>
              </w:rPr>
            </w:pPr>
            <w:r w:rsidRPr="000263F6">
              <w:rPr>
                <w:rFonts w:cs="Arial"/>
                <w:szCs w:val="18"/>
              </w:rPr>
              <w:t>20</w:t>
            </w:r>
          </w:p>
        </w:tc>
        <w:tc>
          <w:tcPr>
            <w:tcW w:w="1559"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71.8-296.2</w:t>
            </w:r>
          </w:p>
        </w:tc>
      </w:tr>
      <w:tr w:rsidR="00FA08BE" w:rsidRPr="000263F6" w:rsidTr="00C24397">
        <w:trPr>
          <w:trHeight w:val="255"/>
          <w:jc w:val="center"/>
        </w:trPr>
        <w:tc>
          <w:tcPr>
            <w:tcW w:w="1716"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1995-09-12 10:23</w:t>
            </w:r>
          </w:p>
        </w:tc>
        <w:tc>
          <w:tcPr>
            <w:tcW w:w="2552" w:type="dxa"/>
            <w:tcBorders>
              <w:top w:val="nil"/>
              <w:left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Boor</w:t>
            </w:r>
            <w:r w:rsidR="008574FB">
              <w:rPr>
                <w:rFonts w:cs="Arial"/>
                <w:szCs w:val="18"/>
              </w:rPr>
              <w:t>o</w:t>
            </w:r>
            <w:r w:rsidRPr="000263F6">
              <w:rPr>
                <w:rFonts w:cs="Arial"/>
                <w:szCs w:val="18"/>
              </w:rPr>
              <w:t>wa, NSW</w:t>
            </w:r>
          </w:p>
        </w:tc>
        <w:tc>
          <w:tcPr>
            <w:tcW w:w="1418"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148.72</w:t>
            </w:r>
          </w:p>
        </w:tc>
        <w:tc>
          <w:tcPr>
            <w:tcW w:w="1276"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-34.31</w:t>
            </w:r>
          </w:p>
        </w:tc>
        <w:tc>
          <w:tcPr>
            <w:tcW w:w="1133"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1.1</w:t>
            </w:r>
          </w:p>
        </w:tc>
        <w:tc>
          <w:tcPr>
            <w:tcW w:w="851"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3.2</w:t>
            </w:r>
          </w:p>
        </w:tc>
        <w:tc>
          <w:tcPr>
            <w:tcW w:w="1275" w:type="dxa"/>
            <w:tcBorders>
              <w:top w:val="nil"/>
              <w:left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right w:val="nil"/>
            </w:tcBorders>
            <w:vAlign w:val="center"/>
          </w:tcPr>
          <w:p w:rsidR="00FA08BE" w:rsidRPr="000263F6" w:rsidRDefault="00FA08BE" w:rsidP="00D33AA0">
            <w:pPr>
              <w:pStyle w:val="Tabletext"/>
              <w:rPr>
                <w:rFonts w:cs="Arial"/>
                <w:szCs w:val="18"/>
              </w:rPr>
            </w:pPr>
            <w:r w:rsidRPr="000263F6">
              <w:rPr>
                <w:rFonts w:cs="Arial"/>
                <w:szCs w:val="18"/>
              </w:rPr>
              <w:t>20</w:t>
            </w:r>
          </w:p>
        </w:tc>
        <w:tc>
          <w:tcPr>
            <w:tcW w:w="1559"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71.6-295.5</w:t>
            </w:r>
          </w:p>
        </w:tc>
      </w:tr>
      <w:tr w:rsidR="00FA08BE" w:rsidRPr="000263F6" w:rsidTr="00C24397">
        <w:trPr>
          <w:trHeight w:val="255"/>
          <w:jc w:val="center"/>
        </w:trPr>
        <w:tc>
          <w:tcPr>
            <w:tcW w:w="1716" w:type="dxa"/>
            <w:tcBorders>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1995-10-14 04:11</w:t>
            </w:r>
          </w:p>
        </w:tc>
        <w:tc>
          <w:tcPr>
            <w:tcW w:w="2552" w:type="dxa"/>
            <w:tcBorders>
              <w:left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Frogmore, NSW</w:t>
            </w:r>
          </w:p>
        </w:tc>
        <w:tc>
          <w:tcPr>
            <w:tcW w:w="1418" w:type="dxa"/>
            <w:tcBorders>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148.76</w:t>
            </w:r>
          </w:p>
        </w:tc>
        <w:tc>
          <w:tcPr>
            <w:tcW w:w="1276" w:type="dxa"/>
            <w:tcBorders>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-34.32</w:t>
            </w:r>
          </w:p>
        </w:tc>
        <w:tc>
          <w:tcPr>
            <w:tcW w:w="1133" w:type="dxa"/>
            <w:tcBorders>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3.0</w:t>
            </w:r>
          </w:p>
        </w:tc>
        <w:tc>
          <w:tcPr>
            <w:tcW w:w="851" w:type="dxa"/>
            <w:tcBorders>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3.2</w:t>
            </w:r>
          </w:p>
        </w:tc>
        <w:tc>
          <w:tcPr>
            <w:tcW w:w="1275" w:type="dxa"/>
            <w:tcBorders>
              <w:left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left w:val="nil"/>
              <w:right w:val="nil"/>
            </w:tcBorders>
            <w:vAlign w:val="center"/>
          </w:tcPr>
          <w:p w:rsidR="00FA08BE" w:rsidRPr="000263F6" w:rsidRDefault="00FA08BE" w:rsidP="00D33AA0">
            <w:pPr>
              <w:pStyle w:val="Tabletext"/>
              <w:rPr>
                <w:rFonts w:cs="Arial"/>
                <w:szCs w:val="18"/>
              </w:rPr>
            </w:pPr>
            <w:r w:rsidRPr="000263F6">
              <w:rPr>
                <w:rFonts w:cs="Arial"/>
                <w:szCs w:val="18"/>
              </w:rPr>
              <w:t>21</w:t>
            </w:r>
          </w:p>
        </w:tc>
        <w:tc>
          <w:tcPr>
            <w:tcW w:w="1559" w:type="dxa"/>
            <w:tcBorders>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71.0-295.9</w:t>
            </w:r>
          </w:p>
        </w:tc>
      </w:tr>
      <w:tr w:rsidR="00FA08BE" w:rsidRPr="000263F6" w:rsidTr="00C24397">
        <w:trPr>
          <w:trHeight w:val="255"/>
          <w:jc w:val="center"/>
        </w:trPr>
        <w:tc>
          <w:tcPr>
            <w:tcW w:w="1716" w:type="dxa"/>
            <w:tcBorders>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1995-11-18 09:32</w:t>
            </w:r>
          </w:p>
        </w:tc>
        <w:tc>
          <w:tcPr>
            <w:tcW w:w="2552" w:type="dxa"/>
            <w:tcBorders>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Tooborac, VIC</w:t>
            </w:r>
          </w:p>
        </w:tc>
        <w:tc>
          <w:tcPr>
            <w:tcW w:w="1418" w:type="dxa"/>
            <w:tcBorders>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144.76</w:t>
            </w:r>
          </w:p>
        </w:tc>
        <w:tc>
          <w:tcPr>
            <w:tcW w:w="1276" w:type="dxa"/>
            <w:tcBorders>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-37.11</w:t>
            </w:r>
          </w:p>
        </w:tc>
        <w:tc>
          <w:tcPr>
            <w:tcW w:w="1133" w:type="dxa"/>
            <w:tcBorders>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13.5</w:t>
            </w:r>
          </w:p>
        </w:tc>
        <w:tc>
          <w:tcPr>
            <w:tcW w:w="851" w:type="dxa"/>
            <w:tcBorders>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3.5</w:t>
            </w:r>
          </w:p>
        </w:tc>
        <w:tc>
          <w:tcPr>
            <w:tcW w:w="1275" w:type="dxa"/>
            <w:tcBorders>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21</w:t>
            </w:r>
          </w:p>
        </w:tc>
        <w:tc>
          <w:tcPr>
            <w:tcW w:w="1559" w:type="dxa"/>
            <w:tcBorders>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59.5-633.1</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lastRenderedPageBreak/>
              <w:t>1996-01-16 10:30</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Mt Martha,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145.07</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-38.28</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10.7</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3.0</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7</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74.5-130.6</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1996-02-18 19:34</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Eucumbene, NSW</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148.67</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-36.15</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12.8</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3.5</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18</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81.2-430.0</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1996-05-10 05:48</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Toorongo,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146.15</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-37.73</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10.6</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3.0</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10</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24.9-177.8*</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1996-08-13 12:33</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smartTag w:uri="urn:schemas-microsoft-com:office:smarttags" w:element="place">
              <w:smartTag w:uri="urn:schemas-microsoft-com:office:smarttags" w:element="City">
                <w:r w:rsidRPr="000263F6">
                  <w:rPr>
                    <w:rFonts w:cs="Arial"/>
                    <w:szCs w:val="18"/>
                  </w:rPr>
                  <w:t>Dalton</w:t>
                </w:r>
              </w:smartTag>
            </w:smartTag>
            <w:r w:rsidRPr="000263F6">
              <w:rPr>
                <w:rFonts w:cs="Arial"/>
                <w:szCs w:val="18"/>
              </w:rPr>
              <w:t>, NSW</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149.21</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-34.75</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1.0</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3.0</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21</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56.1-252.7</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1996-09-25 04:53</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Thomson Reservoir,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146.43</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-37.86</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10.8</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3.3</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16</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11.3-237.8*</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1996-09-25 07:49</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Thomson Reservoir,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146.42</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-37.86</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11.4</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4.4</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106.9</w:t>
            </w: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26</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11.7-580.9*</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1996-10-01 21:42</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Katoomba, NSW</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150.39</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-33.83</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8.7</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3.2</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21</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23.7-396.6*</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1996-12-10 12:54</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Thirlmere, NSW</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150.50</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-34.15</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12.3</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3.1</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22</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15.3-385.7*</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1996-12-10 12:58</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Thirlmere, NSW</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150.50</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-34.15</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12.4</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2.9</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17</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15.4-192.1*</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1996-12-24 22:28</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smartTag w:uri="urn:schemas-microsoft-com:office:smarttags" w:element="place">
              <w:smartTag w:uri="urn:schemas-microsoft-com:office:smarttags" w:element="PlaceType">
                <w:r w:rsidRPr="000263F6">
                  <w:rPr>
                    <w:rFonts w:cs="Arial"/>
                    <w:szCs w:val="18"/>
                  </w:rPr>
                  <w:t>Cape</w:t>
                </w:r>
              </w:smartTag>
              <w:r w:rsidRPr="000263F6">
                <w:rPr>
                  <w:rFonts w:cs="Arial"/>
                  <w:szCs w:val="18"/>
                </w:rPr>
                <w:t xml:space="preserve"> </w:t>
              </w:r>
              <w:smartTag w:uri="urn:schemas-microsoft-com:office:smarttags" w:element="PlaceName">
                <w:r w:rsidRPr="000263F6">
                  <w:rPr>
                    <w:rFonts w:cs="Arial"/>
                    <w:szCs w:val="18"/>
                  </w:rPr>
                  <w:t>Paterson</w:t>
                </w:r>
              </w:smartTag>
            </w:smartTag>
            <w:r w:rsidRPr="000263F6">
              <w:rPr>
                <w:rFonts w:cs="Arial"/>
                <w:szCs w:val="18"/>
              </w:rPr>
              <w:t>,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145.53</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-38.70</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17.2</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3.3</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12</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44.7-345.5</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1997-05-04 22:33</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Warragul,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145.96</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-38.14</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14.0</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3.2</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11</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44.0-223.8*</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1997-06-27 03:20</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Tatong,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146.09</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-36.78</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8.6</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3.9</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17.2</w:t>
            </w: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23</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113.5-514.5</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1997-08-23 00:13</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Cootamundra, NSW</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148.20</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-34.63</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3.6</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3.2</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17</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54.3-246.1</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1998-02-14 18:23</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Brindabella, NSW</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148.70</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-35.38</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8.5</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3.8</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123.7</w:t>
            </w: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23</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48.7-642.4</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1998-03-09 12:41</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Merriwa, NSW</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150.06</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-32.17</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3.7</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3.3</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10</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132.5-290.8</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1998-04-04 09:55</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Fish Creek,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146.12</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-38.71</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16.2</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3.4</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11</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20.0-325.2</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1998-07-17 01:22</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Corryong, NSW</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148.01</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-36.44</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20.3</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3.9</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14</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25.1-365.6*</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1998-11-07 22:42</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Wee Jasper, NSW</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148.89</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-35.14</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6.7</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3.0</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17</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31.3-219.0</w:t>
            </w:r>
          </w:p>
        </w:tc>
      </w:tr>
      <w:tr w:rsidR="00FA08BE" w:rsidRPr="000263F6" w:rsidTr="00C24397">
        <w:trPr>
          <w:trHeight w:val="255"/>
          <w:jc w:val="center"/>
        </w:trPr>
        <w:tc>
          <w:tcPr>
            <w:tcW w:w="1716"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1998-12-31 06:11</w:t>
            </w:r>
          </w:p>
        </w:tc>
        <w:tc>
          <w:tcPr>
            <w:tcW w:w="2552" w:type="dxa"/>
            <w:tcBorders>
              <w:top w:val="nil"/>
              <w:left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Michelago, NSW</w:t>
            </w:r>
          </w:p>
        </w:tc>
        <w:tc>
          <w:tcPr>
            <w:tcW w:w="1418"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149.15</w:t>
            </w:r>
          </w:p>
        </w:tc>
        <w:tc>
          <w:tcPr>
            <w:tcW w:w="1276"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-35.78</w:t>
            </w:r>
          </w:p>
        </w:tc>
        <w:tc>
          <w:tcPr>
            <w:tcW w:w="1133"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4.4</w:t>
            </w:r>
          </w:p>
        </w:tc>
        <w:tc>
          <w:tcPr>
            <w:tcW w:w="851"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3.2</w:t>
            </w:r>
          </w:p>
        </w:tc>
        <w:tc>
          <w:tcPr>
            <w:tcW w:w="1275" w:type="dxa"/>
            <w:tcBorders>
              <w:top w:val="nil"/>
              <w:left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right w:val="nil"/>
            </w:tcBorders>
            <w:vAlign w:val="center"/>
          </w:tcPr>
          <w:p w:rsidR="00FA08BE" w:rsidRPr="000263F6" w:rsidRDefault="00FA08BE" w:rsidP="00D33AA0">
            <w:pPr>
              <w:pStyle w:val="Tabletext"/>
              <w:rPr>
                <w:rFonts w:cs="Arial"/>
                <w:szCs w:val="18"/>
              </w:rPr>
            </w:pPr>
            <w:r w:rsidRPr="000263F6">
              <w:rPr>
                <w:rFonts w:cs="Arial"/>
                <w:szCs w:val="18"/>
              </w:rPr>
              <w:t>17</w:t>
            </w:r>
          </w:p>
        </w:tc>
        <w:tc>
          <w:tcPr>
            <w:tcW w:w="1559"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103.0-353.9</w:t>
            </w:r>
          </w:p>
        </w:tc>
      </w:tr>
      <w:tr w:rsidR="00FA08BE" w:rsidRPr="000263F6" w:rsidTr="00C24397">
        <w:trPr>
          <w:trHeight w:val="255"/>
          <w:jc w:val="center"/>
        </w:trPr>
        <w:tc>
          <w:tcPr>
            <w:tcW w:w="1716"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1999-01-13 09:40</w:t>
            </w:r>
          </w:p>
        </w:tc>
        <w:tc>
          <w:tcPr>
            <w:tcW w:w="2552" w:type="dxa"/>
            <w:tcBorders>
              <w:top w:val="nil"/>
              <w:left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Yallourn North, VIC</w:t>
            </w:r>
          </w:p>
        </w:tc>
        <w:tc>
          <w:tcPr>
            <w:tcW w:w="1418"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146.32</w:t>
            </w:r>
          </w:p>
        </w:tc>
        <w:tc>
          <w:tcPr>
            <w:tcW w:w="1276"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-38.10</w:t>
            </w:r>
          </w:p>
        </w:tc>
        <w:tc>
          <w:tcPr>
            <w:tcW w:w="1133"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12.3</w:t>
            </w:r>
          </w:p>
        </w:tc>
        <w:tc>
          <w:tcPr>
            <w:tcW w:w="851"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3.5</w:t>
            </w:r>
          </w:p>
        </w:tc>
        <w:tc>
          <w:tcPr>
            <w:tcW w:w="1275"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68.7</w:t>
            </w:r>
          </w:p>
        </w:tc>
        <w:tc>
          <w:tcPr>
            <w:tcW w:w="851" w:type="dxa"/>
            <w:tcBorders>
              <w:top w:val="nil"/>
              <w:left w:val="nil"/>
              <w:right w:val="nil"/>
            </w:tcBorders>
            <w:vAlign w:val="center"/>
          </w:tcPr>
          <w:p w:rsidR="00FA08BE" w:rsidRPr="000263F6" w:rsidRDefault="00FA08BE" w:rsidP="00D33AA0">
            <w:pPr>
              <w:pStyle w:val="Tabletext"/>
              <w:rPr>
                <w:rFonts w:cs="Arial"/>
                <w:szCs w:val="18"/>
              </w:rPr>
            </w:pPr>
            <w:r w:rsidRPr="000263F6">
              <w:rPr>
                <w:rFonts w:cs="Arial"/>
                <w:szCs w:val="18"/>
              </w:rPr>
              <w:t>18</w:t>
            </w:r>
          </w:p>
        </w:tc>
        <w:tc>
          <w:tcPr>
            <w:tcW w:w="1559"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15.9-605.7*</w:t>
            </w:r>
          </w:p>
        </w:tc>
      </w:tr>
      <w:tr w:rsidR="00FA08BE" w:rsidRPr="000263F6" w:rsidTr="00C24397">
        <w:trPr>
          <w:trHeight w:val="255"/>
          <w:jc w:val="center"/>
        </w:trPr>
        <w:tc>
          <w:tcPr>
            <w:tcW w:w="1716" w:type="dxa"/>
            <w:tcBorders>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1999-03-14 00:13</w:t>
            </w:r>
          </w:p>
        </w:tc>
        <w:tc>
          <w:tcPr>
            <w:tcW w:w="2552" w:type="dxa"/>
            <w:tcBorders>
              <w:left w:val="nil"/>
              <w:right w:val="nil"/>
            </w:tcBorders>
            <w:shd w:val="clear" w:color="auto" w:fill="auto"/>
            <w:noWrap/>
            <w:vAlign w:val="center"/>
          </w:tcPr>
          <w:p w:rsidR="00FA08BE" w:rsidRPr="000263F6" w:rsidRDefault="00FA08BE" w:rsidP="00D33AA0">
            <w:pPr>
              <w:pStyle w:val="Tabletext"/>
              <w:rPr>
                <w:rFonts w:cs="Arial"/>
                <w:szCs w:val="18"/>
              </w:rPr>
            </w:pPr>
            <w:smartTag w:uri="urn:schemas-microsoft-com:office:smarttags" w:element="place">
              <w:r w:rsidRPr="000263F6">
                <w:rPr>
                  <w:rFonts w:cs="Arial"/>
                  <w:szCs w:val="18"/>
                </w:rPr>
                <w:t>West Wyalong</w:t>
              </w:r>
            </w:smartTag>
            <w:r w:rsidRPr="000263F6">
              <w:rPr>
                <w:rFonts w:cs="Arial"/>
                <w:szCs w:val="18"/>
              </w:rPr>
              <w:t>, NSW</w:t>
            </w:r>
          </w:p>
        </w:tc>
        <w:tc>
          <w:tcPr>
            <w:tcW w:w="1418" w:type="dxa"/>
            <w:tcBorders>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147.07</w:t>
            </w:r>
          </w:p>
        </w:tc>
        <w:tc>
          <w:tcPr>
            <w:tcW w:w="1276" w:type="dxa"/>
            <w:tcBorders>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-34.01</w:t>
            </w:r>
          </w:p>
        </w:tc>
        <w:tc>
          <w:tcPr>
            <w:tcW w:w="1133" w:type="dxa"/>
            <w:tcBorders>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12.2</w:t>
            </w:r>
          </w:p>
        </w:tc>
        <w:tc>
          <w:tcPr>
            <w:tcW w:w="851" w:type="dxa"/>
            <w:tcBorders>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3.9</w:t>
            </w:r>
          </w:p>
        </w:tc>
        <w:tc>
          <w:tcPr>
            <w:tcW w:w="1275" w:type="dxa"/>
            <w:tcBorders>
              <w:left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left w:val="nil"/>
              <w:right w:val="nil"/>
            </w:tcBorders>
            <w:vAlign w:val="center"/>
          </w:tcPr>
          <w:p w:rsidR="00FA08BE" w:rsidRPr="000263F6" w:rsidRDefault="00FA08BE" w:rsidP="00D33AA0">
            <w:pPr>
              <w:pStyle w:val="Tabletext"/>
              <w:rPr>
                <w:rFonts w:cs="Arial"/>
                <w:szCs w:val="18"/>
              </w:rPr>
            </w:pPr>
            <w:r w:rsidRPr="000263F6">
              <w:rPr>
                <w:rFonts w:cs="Arial"/>
                <w:szCs w:val="18"/>
              </w:rPr>
              <w:t>12</w:t>
            </w:r>
          </w:p>
        </w:tc>
        <w:tc>
          <w:tcPr>
            <w:tcW w:w="1559" w:type="dxa"/>
            <w:tcBorders>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137.5-434.5</w:t>
            </w:r>
          </w:p>
        </w:tc>
      </w:tr>
      <w:tr w:rsidR="00FA08BE" w:rsidRPr="000263F6" w:rsidTr="00C24397">
        <w:trPr>
          <w:trHeight w:val="255"/>
          <w:jc w:val="center"/>
        </w:trPr>
        <w:tc>
          <w:tcPr>
            <w:tcW w:w="1716"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1999-03-17 01:58</w:t>
            </w:r>
          </w:p>
        </w:tc>
        <w:tc>
          <w:tcPr>
            <w:tcW w:w="2552" w:type="dxa"/>
            <w:tcBorders>
              <w:top w:val="nil"/>
              <w:left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Appin, NSW</w:t>
            </w:r>
          </w:p>
        </w:tc>
        <w:tc>
          <w:tcPr>
            <w:tcW w:w="1418"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150.75</w:t>
            </w:r>
          </w:p>
        </w:tc>
        <w:tc>
          <w:tcPr>
            <w:tcW w:w="1276"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-34.25</w:t>
            </w:r>
          </w:p>
        </w:tc>
        <w:tc>
          <w:tcPr>
            <w:tcW w:w="1133"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5.3</w:t>
            </w:r>
          </w:p>
        </w:tc>
        <w:tc>
          <w:tcPr>
            <w:tcW w:w="851"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4.3</w:t>
            </w:r>
          </w:p>
        </w:tc>
        <w:tc>
          <w:tcPr>
            <w:tcW w:w="1275"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4.6</w:t>
            </w:r>
          </w:p>
        </w:tc>
        <w:tc>
          <w:tcPr>
            <w:tcW w:w="851" w:type="dxa"/>
            <w:tcBorders>
              <w:top w:val="nil"/>
              <w:left w:val="nil"/>
              <w:right w:val="nil"/>
            </w:tcBorders>
            <w:vAlign w:val="center"/>
          </w:tcPr>
          <w:p w:rsidR="00FA08BE" w:rsidRPr="000263F6" w:rsidRDefault="00FA08BE" w:rsidP="00D33AA0">
            <w:pPr>
              <w:pStyle w:val="Tabletext"/>
              <w:rPr>
                <w:rFonts w:cs="Arial"/>
                <w:szCs w:val="18"/>
              </w:rPr>
            </w:pPr>
            <w:r w:rsidRPr="000263F6">
              <w:rPr>
                <w:rFonts w:cs="Arial"/>
                <w:szCs w:val="18"/>
              </w:rPr>
              <w:t>14</w:t>
            </w:r>
          </w:p>
        </w:tc>
        <w:tc>
          <w:tcPr>
            <w:tcW w:w="1559"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7.9-720.3*</w:t>
            </w:r>
          </w:p>
        </w:tc>
      </w:tr>
      <w:tr w:rsidR="00FA08BE" w:rsidRPr="000263F6" w:rsidTr="00C24397">
        <w:trPr>
          <w:trHeight w:val="255"/>
          <w:jc w:val="center"/>
        </w:trPr>
        <w:tc>
          <w:tcPr>
            <w:tcW w:w="1716" w:type="dxa"/>
            <w:tcBorders>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1999-04-16 10:51</w:t>
            </w:r>
          </w:p>
        </w:tc>
        <w:tc>
          <w:tcPr>
            <w:tcW w:w="2552" w:type="dxa"/>
            <w:tcBorders>
              <w:left w:val="nil"/>
              <w:bottom w:val="nil"/>
              <w:right w:val="nil"/>
            </w:tcBorders>
            <w:shd w:val="clear" w:color="auto" w:fill="auto"/>
            <w:noWrap/>
            <w:vAlign w:val="center"/>
          </w:tcPr>
          <w:p w:rsidR="00FA08BE" w:rsidRPr="000263F6" w:rsidRDefault="00FA08BE" w:rsidP="00D33AA0">
            <w:pPr>
              <w:pStyle w:val="Tabletext"/>
              <w:rPr>
                <w:rFonts w:cs="Arial"/>
                <w:szCs w:val="18"/>
              </w:rPr>
            </w:pPr>
            <w:smartTag w:uri="urn:schemas-microsoft-com:office:smarttags" w:element="place">
              <w:smartTag w:uri="urn:schemas-microsoft-com:office:smarttags" w:element="PlaceType">
                <w:r w:rsidRPr="000263F6">
                  <w:rPr>
                    <w:rFonts w:cs="Arial"/>
                    <w:szCs w:val="18"/>
                  </w:rPr>
                  <w:t>Lake</w:t>
                </w:r>
              </w:smartTag>
              <w:r w:rsidRPr="000263F6">
                <w:rPr>
                  <w:rFonts w:cs="Arial"/>
                  <w:szCs w:val="18"/>
                </w:rPr>
                <w:t xml:space="preserve"> </w:t>
              </w:r>
              <w:smartTag w:uri="urn:schemas-microsoft-com:office:smarttags" w:element="PlaceType">
                <w:r w:rsidRPr="000263F6">
                  <w:rPr>
                    <w:rFonts w:cs="Arial"/>
                    <w:szCs w:val="18"/>
                  </w:rPr>
                  <w:t>Mountain</w:t>
                </w:r>
              </w:smartTag>
            </w:smartTag>
            <w:r w:rsidRPr="000263F6">
              <w:rPr>
                <w:rFonts w:cs="Arial"/>
                <w:szCs w:val="18"/>
              </w:rPr>
              <w:t>, VIC</w:t>
            </w:r>
          </w:p>
        </w:tc>
        <w:tc>
          <w:tcPr>
            <w:tcW w:w="1418" w:type="dxa"/>
            <w:tcBorders>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145.98</w:t>
            </w:r>
          </w:p>
        </w:tc>
        <w:tc>
          <w:tcPr>
            <w:tcW w:w="1276" w:type="dxa"/>
            <w:tcBorders>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-37.41</w:t>
            </w:r>
          </w:p>
        </w:tc>
        <w:tc>
          <w:tcPr>
            <w:tcW w:w="1133" w:type="dxa"/>
            <w:tcBorders>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3.6</w:t>
            </w:r>
          </w:p>
        </w:tc>
        <w:tc>
          <w:tcPr>
            <w:tcW w:w="851" w:type="dxa"/>
            <w:tcBorders>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3.2</w:t>
            </w:r>
          </w:p>
        </w:tc>
        <w:tc>
          <w:tcPr>
            <w:tcW w:w="1275" w:type="dxa"/>
            <w:tcBorders>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17</w:t>
            </w:r>
          </w:p>
        </w:tc>
        <w:tc>
          <w:tcPr>
            <w:tcW w:w="1559" w:type="dxa"/>
            <w:tcBorders>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49.9-203.2*</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1999-04-16 11:08</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smartTag w:uri="urn:schemas-microsoft-com:office:smarttags" w:element="place">
              <w:smartTag w:uri="urn:schemas-microsoft-com:office:smarttags" w:element="PlaceType">
                <w:r w:rsidRPr="000263F6">
                  <w:rPr>
                    <w:rFonts w:cs="Arial"/>
                    <w:szCs w:val="18"/>
                  </w:rPr>
                  <w:t>Lake</w:t>
                </w:r>
              </w:smartTag>
              <w:r w:rsidRPr="000263F6">
                <w:rPr>
                  <w:rFonts w:cs="Arial"/>
                  <w:szCs w:val="18"/>
                </w:rPr>
                <w:t xml:space="preserve"> </w:t>
              </w:r>
              <w:smartTag w:uri="urn:schemas-microsoft-com:office:smarttags" w:element="PlaceType">
                <w:r w:rsidRPr="000263F6">
                  <w:rPr>
                    <w:rFonts w:cs="Arial"/>
                    <w:szCs w:val="18"/>
                  </w:rPr>
                  <w:t>Mountain</w:t>
                </w:r>
              </w:smartTag>
            </w:smartTag>
            <w:r w:rsidRPr="000263F6">
              <w:rPr>
                <w:rFonts w:cs="Arial"/>
                <w:szCs w:val="18"/>
              </w:rPr>
              <w:t>,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145.97</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-37.42</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3.7</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2.9</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17</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49.8-364.7*</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lastRenderedPageBreak/>
              <w:t>1999-07-13 01:42</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Frogmore, NSW</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148.98</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-34.29</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3.7</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3.2</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18</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79.7-268.7</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1999-08-19 17:10</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Epping,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144.99</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-37.50</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3.8</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2.8</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11</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15.8-165.4*</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1999-09-27 09:29</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smartTag w:uri="urn:schemas-microsoft-com:office:smarttags" w:element="place">
              <w:smartTag w:uri="urn:schemas-microsoft-com:office:smarttags" w:element="City">
                <w:r w:rsidRPr="000263F6">
                  <w:rPr>
                    <w:rFonts w:cs="Arial"/>
                    <w:szCs w:val="18"/>
                  </w:rPr>
                  <w:t>Dalton</w:t>
                </w:r>
              </w:smartTag>
            </w:smartTag>
            <w:r w:rsidRPr="000263F6">
              <w:rPr>
                <w:rFonts w:cs="Arial"/>
                <w:szCs w:val="18"/>
              </w:rPr>
              <w:t>, NSW</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149.16</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-34.75</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3.6</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2.8</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11</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52.1-165.8</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2000-03-16 13:26</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Gaffneys Creek</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146.10</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-37.50</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8.4</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3.5</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15</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36.2-205.2*</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2000-06-11 18:40</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Boolarra South,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146.30</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-38.43</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16.6</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2.9</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8</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47.7-180.4*</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2000-06-22 18:13</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Graytown,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144.86</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-36.82</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5.7</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3.3</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12</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19.8-237.6*</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2000-07-24 07:47</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Dandenong,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145.27</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-37.96</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19.5</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3.1</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11</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40.6-280.7*</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2000-08-03 11:29</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Fish Creek,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145.99</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-38.75</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16.2</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3.2</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13</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16.2-377.5*</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2000-08-29 10:20</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Boolarra South,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146.24</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-38.39</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14.6</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3.0</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13</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16.0-234.1*</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2000-08-29 12:05</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Boolarra South,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146.25</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-38.40</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15.1</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4.1</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95.7</w:t>
            </w: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24</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27.2-636.4*</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2001-01-05 16:04</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Mt Worth,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146.01</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-38.26</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8.0</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2.9</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8</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37.7-155.8*</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2001-08-21 23:13</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Tooradin,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145.45</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-38.18</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5.0</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3.7</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16</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49.6-304.9*</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2001-10-13 04:42</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Benambra,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147.69</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-36.80</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11.6</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3.4</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18</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23.6-470.9*</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2001-10-27 07:58</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Swan Hill,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143.39</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-35.50</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9.0</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4.2</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47.6</w:t>
            </w: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15</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92.4-670.2</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2001-11-23 03:33</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Grenfell, NSW</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148.39</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-33.87</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4.0</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3.6</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15</w:t>
            </w: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20</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48.5-584.0</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2002-02-14 13:27</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smartTag w:uri="urn:schemas-microsoft-com:office:smarttags" w:element="place">
              <w:smartTag w:uri="urn:schemas-microsoft-com:office:smarttags" w:element="PlaceType">
                <w:r w:rsidRPr="000263F6">
                  <w:rPr>
                    <w:rFonts w:cs="Arial"/>
                    <w:szCs w:val="18"/>
                  </w:rPr>
                  <w:t>Lake</w:t>
                </w:r>
              </w:smartTag>
              <w:r w:rsidRPr="000263F6">
                <w:rPr>
                  <w:rFonts w:cs="Arial"/>
                  <w:szCs w:val="18"/>
                </w:rPr>
                <w:t xml:space="preserve"> </w:t>
              </w:r>
              <w:smartTag w:uri="urn:schemas-microsoft-com:office:smarttags" w:element="PlaceName">
                <w:r w:rsidRPr="000263F6">
                  <w:rPr>
                    <w:rFonts w:cs="Arial"/>
                    <w:szCs w:val="18"/>
                  </w:rPr>
                  <w:t>Avon</w:t>
                </w:r>
              </w:smartTag>
            </w:smartTag>
            <w:r w:rsidRPr="000263F6">
              <w:rPr>
                <w:rFonts w:cs="Arial"/>
                <w:szCs w:val="18"/>
              </w:rPr>
              <w:t>, NSW</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150.74</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-34.52</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5.0</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3.5</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16</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12.6-669.5*</w:t>
            </w:r>
          </w:p>
        </w:tc>
      </w:tr>
      <w:tr w:rsidR="00FA08BE" w:rsidRPr="000263F6" w:rsidTr="00C24397">
        <w:trPr>
          <w:trHeight w:val="255"/>
          <w:jc w:val="center"/>
        </w:trPr>
        <w:tc>
          <w:tcPr>
            <w:tcW w:w="1716"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2002-08-22 21:23</w:t>
            </w:r>
          </w:p>
        </w:tc>
        <w:tc>
          <w:tcPr>
            <w:tcW w:w="2552" w:type="dxa"/>
            <w:tcBorders>
              <w:top w:val="nil"/>
              <w:left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Grenfell, NSW</w:t>
            </w:r>
          </w:p>
        </w:tc>
        <w:tc>
          <w:tcPr>
            <w:tcW w:w="1418"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148.35</w:t>
            </w:r>
          </w:p>
        </w:tc>
        <w:tc>
          <w:tcPr>
            <w:tcW w:w="1276"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-33.87</w:t>
            </w:r>
          </w:p>
        </w:tc>
        <w:tc>
          <w:tcPr>
            <w:tcW w:w="1133"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3.0</w:t>
            </w:r>
          </w:p>
        </w:tc>
        <w:tc>
          <w:tcPr>
            <w:tcW w:w="851"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3.6</w:t>
            </w:r>
          </w:p>
        </w:tc>
        <w:tc>
          <w:tcPr>
            <w:tcW w:w="1275"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24.1</w:t>
            </w:r>
          </w:p>
        </w:tc>
        <w:tc>
          <w:tcPr>
            <w:tcW w:w="851" w:type="dxa"/>
            <w:tcBorders>
              <w:top w:val="nil"/>
              <w:left w:val="nil"/>
              <w:right w:val="nil"/>
            </w:tcBorders>
            <w:vAlign w:val="center"/>
          </w:tcPr>
          <w:p w:rsidR="00FA08BE" w:rsidRPr="000263F6" w:rsidRDefault="00FA08BE" w:rsidP="00D33AA0">
            <w:pPr>
              <w:pStyle w:val="Tabletext"/>
              <w:rPr>
                <w:rFonts w:cs="Arial"/>
                <w:szCs w:val="18"/>
              </w:rPr>
            </w:pPr>
            <w:r w:rsidRPr="000263F6">
              <w:rPr>
                <w:rFonts w:cs="Arial"/>
                <w:szCs w:val="18"/>
              </w:rPr>
              <w:t>19</w:t>
            </w:r>
          </w:p>
        </w:tc>
        <w:tc>
          <w:tcPr>
            <w:tcW w:w="1559"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48.5-582.7</w:t>
            </w:r>
          </w:p>
        </w:tc>
      </w:tr>
      <w:tr w:rsidR="00FA08BE" w:rsidRPr="000263F6" w:rsidTr="00C24397">
        <w:trPr>
          <w:trHeight w:val="255"/>
          <w:jc w:val="center"/>
        </w:trPr>
        <w:tc>
          <w:tcPr>
            <w:tcW w:w="1716"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2002-09-24 07:42</w:t>
            </w:r>
          </w:p>
        </w:tc>
        <w:tc>
          <w:tcPr>
            <w:tcW w:w="2552" w:type="dxa"/>
            <w:tcBorders>
              <w:top w:val="nil"/>
              <w:left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Fish Creek, VIC</w:t>
            </w:r>
          </w:p>
        </w:tc>
        <w:tc>
          <w:tcPr>
            <w:tcW w:w="1418"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146.08</w:t>
            </w:r>
          </w:p>
        </w:tc>
        <w:tc>
          <w:tcPr>
            <w:tcW w:w="1276"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-38.67</w:t>
            </w:r>
          </w:p>
        </w:tc>
        <w:tc>
          <w:tcPr>
            <w:tcW w:w="1133"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3.4</w:t>
            </w:r>
          </w:p>
        </w:tc>
        <w:tc>
          <w:tcPr>
            <w:tcW w:w="851"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3.7</w:t>
            </w:r>
          </w:p>
        </w:tc>
        <w:tc>
          <w:tcPr>
            <w:tcW w:w="1275"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29.7</w:t>
            </w:r>
          </w:p>
        </w:tc>
        <w:tc>
          <w:tcPr>
            <w:tcW w:w="851" w:type="dxa"/>
            <w:tcBorders>
              <w:top w:val="nil"/>
              <w:left w:val="nil"/>
              <w:right w:val="nil"/>
            </w:tcBorders>
            <w:vAlign w:val="center"/>
          </w:tcPr>
          <w:p w:rsidR="00FA08BE" w:rsidRPr="000263F6" w:rsidRDefault="00FA08BE" w:rsidP="00D33AA0">
            <w:pPr>
              <w:pStyle w:val="Tabletext"/>
              <w:rPr>
                <w:rFonts w:cs="Arial"/>
                <w:szCs w:val="18"/>
              </w:rPr>
            </w:pPr>
            <w:r w:rsidRPr="000263F6">
              <w:rPr>
                <w:rFonts w:cs="Arial"/>
                <w:szCs w:val="18"/>
              </w:rPr>
              <w:t>19</w:t>
            </w:r>
          </w:p>
        </w:tc>
        <w:tc>
          <w:tcPr>
            <w:tcW w:w="1559"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12.4-578.6*</w:t>
            </w:r>
          </w:p>
        </w:tc>
      </w:tr>
      <w:tr w:rsidR="00FA08BE" w:rsidRPr="000263F6" w:rsidTr="00C24397">
        <w:trPr>
          <w:trHeight w:val="255"/>
          <w:jc w:val="center"/>
        </w:trPr>
        <w:tc>
          <w:tcPr>
            <w:tcW w:w="1716" w:type="dxa"/>
            <w:tcBorders>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2002-09-24 13:39</w:t>
            </w:r>
          </w:p>
        </w:tc>
        <w:tc>
          <w:tcPr>
            <w:tcW w:w="2552" w:type="dxa"/>
            <w:tcBorders>
              <w:left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Fish Creek, VIC</w:t>
            </w:r>
          </w:p>
        </w:tc>
        <w:tc>
          <w:tcPr>
            <w:tcW w:w="1418" w:type="dxa"/>
            <w:tcBorders>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146.10</w:t>
            </w:r>
          </w:p>
        </w:tc>
        <w:tc>
          <w:tcPr>
            <w:tcW w:w="1276" w:type="dxa"/>
            <w:tcBorders>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-38.66</w:t>
            </w:r>
          </w:p>
        </w:tc>
        <w:tc>
          <w:tcPr>
            <w:tcW w:w="1133" w:type="dxa"/>
            <w:tcBorders>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5.0</w:t>
            </w:r>
          </w:p>
        </w:tc>
        <w:tc>
          <w:tcPr>
            <w:tcW w:w="851" w:type="dxa"/>
            <w:tcBorders>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3.4</w:t>
            </w:r>
          </w:p>
        </w:tc>
        <w:tc>
          <w:tcPr>
            <w:tcW w:w="1275" w:type="dxa"/>
            <w:tcBorders>
              <w:left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left w:val="nil"/>
              <w:right w:val="nil"/>
            </w:tcBorders>
            <w:vAlign w:val="center"/>
          </w:tcPr>
          <w:p w:rsidR="00FA08BE" w:rsidRPr="000263F6" w:rsidRDefault="00FA08BE" w:rsidP="00D33AA0">
            <w:pPr>
              <w:pStyle w:val="Tabletext"/>
              <w:rPr>
                <w:rFonts w:cs="Arial"/>
                <w:szCs w:val="18"/>
              </w:rPr>
            </w:pPr>
            <w:r w:rsidRPr="000263F6">
              <w:rPr>
                <w:rFonts w:cs="Arial"/>
                <w:szCs w:val="18"/>
              </w:rPr>
              <w:t>19</w:t>
            </w:r>
          </w:p>
        </w:tc>
        <w:tc>
          <w:tcPr>
            <w:tcW w:w="1559" w:type="dxa"/>
            <w:tcBorders>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14.7-470.6*</w:t>
            </w:r>
          </w:p>
        </w:tc>
      </w:tr>
      <w:tr w:rsidR="00FA08BE" w:rsidRPr="000263F6" w:rsidTr="00C24397">
        <w:trPr>
          <w:trHeight w:val="255"/>
          <w:jc w:val="center"/>
        </w:trPr>
        <w:tc>
          <w:tcPr>
            <w:tcW w:w="1716"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2003-12-11 10:19</w:t>
            </w:r>
          </w:p>
        </w:tc>
        <w:tc>
          <w:tcPr>
            <w:tcW w:w="2552" w:type="dxa"/>
            <w:tcBorders>
              <w:top w:val="nil"/>
              <w:left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Bowral, NSW</w:t>
            </w:r>
          </w:p>
        </w:tc>
        <w:tc>
          <w:tcPr>
            <w:tcW w:w="1418"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150.44</w:t>
            </w:r>
          </w:p>
        </w:tc>
        <w:tc>
          <w:tcPr>
            <w:tcW w:w="1276"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-34.49</w:t>
            </w:r>
          </w:p>
        </w:tc>
        <w:tc>
          <w:tcPr>
            <w:tcW w:w="1133"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13.3</w:t>
            </w:r>
          </w:p>
        </w:tc>
        <w:tc>
          <w:tcPr>
            <w:tcW w:w="851"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3.8</w:t>
            </w:r>
          </w:p>
        </w:tc>
        <w:tc>
          <w:tcPr>
            <w:tcW w:w="1275"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43.1</w:t>
            </w:r>
          </w:p>
        </w:tc>
        <w:tc>
          <w:tcPr>
            <w:tcW w:w="851" w:type="dxa"/>
            <w:tcBorders>
              <w:top w:val="nil"/>
              <w:left w:val="nil"/>
              <w:right w:val="nil"/>
            </w:tcBorders>
            <w:vAlign w:val="center"/>
          </w:tcPr>
          <w:p w:rsidR="00FA08BE" w:rsidRPr="000263F6" w:rsidRDefault="00FA08BE" w:rsidP="00D33AA0">
            <w:pPr>
              <w:pStyle w:val="Tabletext"/>
              <w:rPr>
                <w:rFonts w:cs="Arial"/>
                <w:szCs w:val="18"/>
              </w:rPr>
            </w:pPr>
            <w:r w:rsidRPr="000263F6">
              <w:rPr>
                <w:rFonts w:cs="Arial"/>
                <w:szCs w:val="18"/>
              </w:rPr>
              <w:t>19</w:t>
            </w:r>
          </w:p>
        </w:tc>
        <w:tc>
          <w:tcPr>
            <w:tcW w:w="1559"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21.6-618.1*</w:t>
            </w:r>
          </w:p>
        </w:tc>
      </w:tr>
      <w:tr w:rsidR="00FA08BE" w:rsidRPr="000263F6" w:rsidTr="00C24397">
        <w:trPr>
          <w:trHeight w:val="255"/>
          <w:jc w:val="center"/>
        </w:trPr>
        <w:tc>
          <w:tcPr>
            <w:tcW w:w="1716"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2004-02-28 11:32</w:t>
            </w:r>
          </w:p>
        </w:tc>
        <w:tc>
          <w:tcPr>
            <w:tcW w:w="2552" w:type="dxa"/>
            <w:tcBorders>
              <w:top w:val="nil"/>
              <w:left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Junee, NSW</w:t>
            </w:r>
          </w:p>
        </w:tc>
        <w:tc>
          <w:tcPr>
            <w:tcW w:w="1418"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147.68</w:t>
            </w:r>
          </w:p>
        </w:tc>
        <w:tc>
          <w:tcPr>
            <w:tcW w:w="1276"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-35.00</w:t>
            </w:r>
          </w:p>
        </w:tc>
        <w:tc>
          <w:tcPr>
            <w:tcW w:w="1133"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12.3</w:t>
            </w:r>
          </w:p>
        </w:tc>
        <w:tc>
          <w:tcPr>
            <w:tcW w:w="851"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3.5</w:t>
            </w:r>
          </w:p>
        </w:tc>
        <w:tc>
          <w:tcPr>
            <w:tcW w:w="1275" w:type="dxa"/>
            <w:tcBorders>
              <w:top w:val="nil"/>
              <w:left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right w:val="nil"/>
            </w:tcBorders>
            <w:vAlign w:val="center"/>
          </w:tcPr>
          <w:p w:rsidR="00FA08BE" w:rsidRPr="000263F6" w:rsidRDefault="00FA08BE" w:rsidP="00D33AA0">
            <w:pPr>
              <w:pStyle w:val="Tabletext"/>
              <w:rPr>
                <w:rFonts w:cs="Arial"/>
                <w:szCs w:val="18"/>
              </w:rPr>
            </w:pPr>
            <w:r w:rsidRPr="000263F6">
              <w:rPr>
                <w:rFonts w:cs="Arial"/>
                <w:szCs w:val="18"/>
              </w:rPr>
              <w:t>18</w:t>
            </w:r>
          </w:p>
        </w:tc>
        <w:tc>
          <w:tcPr>
            <w:tcW w:w="1559"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89.0-457.4</w:t>
            </w:r>
          </w:p>
        </w:tc>
      </w:tr>
      <w:tr w:rsidR="00FA08BE" w:rsidRPr="000263F6" w:rsidTr="00C24397">
        <w:trPr>
          <w:trHeight w:val="255"/>
          <w:jc w:val="center"/>
        </w:trPr>
        <w:tc>
          <w:tcPr>
            <w:tcW w:w="1716" w:type="dxa"/>
            <w:tcBorders>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2007-03-08 02:34</w:t>
            </w:r>
          </w:p>
        </w:tc>
        <w:tc>
          <w:tcPr>
            <w:tcW w:w="2552" w:type="dxa"/>
            <w:tcBorders>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Gilderoy, VIC</w:t>
            </w:r>
          </w:p>
        </w:tc>
        <w:tc>
          <w:tcPr>
            <w:tcW w:w="1418" w:type="dxa"/>
            <w:tcBorders>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145.74</w:t>
            </w:r>
          </w:p>
        </w:tc>
        <w:tc>
          <w:tcPr>
            <w:tcW w:w="1276" w:type="dxa"/>
            <w:tcBorders>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-37.90</w:t>
            </w:r>
          </w:p>
        </w:tc>
        <w:tc>
          <w:tcPr>
            <w:tcW w:w="1133" w:type="dxa"/>
            <w:tcBorders>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9.7</w:t>
            </w:r>
          </w:p>
        </w:tc>
        <w:tc>
          <w:tcPr>
            <w:tcW w:w="851" w:type="dxa"/>
            <w:tcBorders>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3.7</w:t>
            </w:r>
          </w:p>
        </w:tc>
        <w:tc>
          <w:tcPr>
            <w:tcW w:w="1275" w:type="dxa"/>
            <w:tcBorders>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18</w:t>
            </w:r>
          </w:p>
        </w:tc>
        <w:tc>
          <w:tcPr>
            <w:tcW w:w="1559" w:type="dxa"/>
            <w:tcBorders>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29.7-319.3*</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2009-01-12 08:48</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Korumburra,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145.87</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-38.42</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10.0</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3.5</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15.2</w:t>
            </w: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9</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49.6-303.9*</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2009-03-06 09:55</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Korumburra,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145.86</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-38.41</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17.3</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4.4</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60.8</w:t>
            </w: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14</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43.9-517.5*</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lastRenderedPageBreak/>
              <w:t>2009-03-09 06:39</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Korumburra,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145.86</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-38.40</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7.6</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3.3</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14.0</w:t>
            </w: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7</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42.5-228.2*</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2009-03-18 05:28</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Korumburra,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145.87</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-38.42</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10.0</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4.3</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77.2</w:t>
            </w: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18</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10.3-458.4*</w:t>
            </w:r>
          </w:p>
        </w:tc>
      </w:tr>
      <w:tr w:rsidR="00FA08BE" w:rsidRPr="000263F6" w:rsidTr="00C24397">
        <w:trPr>
          <w:trHeight w:val="255"/>
          <w:jc w:val="center"/>
        </w:trPr>
        <w:tc>
          <w:tcPr>
            <w:tcW w:w="171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2009-03-18 08:57</w:t>
            </w:r>
          </w:p>
        </w:tc>
        <w:tc>
          <w:tcPr>
            <w:tcW w:w="2552" w:type="dxa"/>
            <w:tcBorders>
              <w:top w:val="nil"/>
              <w:left w:val="nil"/>
              <w:bottom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Korumburra, VIC</w:t>
            </w:r>
          </w:p>
        </w:tc>
        <w:tc>
          <w:tcPr>
            <w:tcW w:w="1418"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145.87</w:t>
            </w:r>
          </w:p>
        </w:tc>
        <w:tc>
          <w:tcPr>
            <w:tcW w:w="1276"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-38.40</w:t>
            </w:r>
          </w:p>
        </w:tc>
        <w:tc>
          <w:tcPr>
            <w:tcW w:w="1133"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8.8</w:t>
            </w:r>
          </w:p>
        </w:tc>
        <w:tc>
          <w:tcPr>
            <w:tcW w:w="851"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3.0</w:t>
            </w:r>
          </w:p>
        </w:tc>
        <w:tc>
          <w:tcPr>
            <w:tcW w:w="1275"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nil"/>
              <w:right w:val="nil"/>
            </w:tcBorders>
            <w:vAlign w:val="center"/>
          </w:tcPr>
          <w:p w:rsidR="00FA08BE" w:rsidRPr="000263F6" w:rsidRDefault="00FA08BE" w:rsidP="00D33AA0">
            <w:pPr>
              <w:pStyle w:val="Tabletext"/>
              <w:rPr>
                <w:rFonts w:cs="Arial"/>
                <w:szCs w:val="18"/>
              </w:rPr>
            </w:pPr>
            <w:r w:rsidRPr="000263F6">
              <w:rPr>
                <w:rFonts w:cs="Arial"/>
                <w:szCs w:val="18"/>
              </w:rPr>
              <w:t>7</w:t>
            </w:r>
          </w:p>
        </w:tc>
        <w:tc>
          <w:tcPr>
            <w:tcW w:w="1559" w:type="dxa"/>
            <w:tcBorders>
              <w:top w:val="nil"/>
              <w:left w:val="nil"/>
              <w:bottom w:val="nil"/>
              <w:right w:val="nil"/>
            </w:tcBorders>
            <w:shd w:val="clear" w:color="auto" w:fill="auto"/>
            <w:noWrap/>
            <w:vAlign w:val="center"/>
          </w:tcPr>
          <w:p w:rsidR="00FA08BE" w:rsidRPr="000263F6" w:rsidRDefault="00FA08BE" w:rsidP="00D33AA0">
            <w:pPr>
              <w:pStyle w:val="Tabletext"/>
              <w:rPr>
                <w:szCs w:val="18"/>
              </w:rPr>
            </w:pPr>
            <w:r w:rsidRPr="000263F6">
              <w:rPr>
                <w:szCs w:val="18"/>
              </w:rPr>
              <w:t>9.0-153.0*</w:t>
            </w:r>
          </w:p>
        </w:tc>
      </w:tr>
      <w:tr w:rsidR="00FA08BE" w:rsidRPr="000263F6" w:rsidTr="00C24397">
        <w:trPr>
          <w:trHeight w:val="255"/>
          <w:jc w:val="center"/>
        </w:trPr>
        <w:tc>
          <w:tcPr>
            <w:tcW w:w="1716"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2011-04-16 05:31</w:t>
            </w:r>
          </w:p>
        </w:tc>
        <w:tc>
          <w:tcPr>
            <w:tcW w:w="2552" w:type="dxa"/>
            <w:tcBorders>
              <w:top w:val="nil"/>
              <w:left w:val="nil"/>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Bowen, QLD</w:t>
            </w:r>
          </w:p>
        </w:tc>
        <w:tc>
          <w:tcPr>
            <w:tcW w:w="1418"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147.76</w:t>
            </w:r>
          </w:p>
        </w:tc>
        <w:tc>
          <w:tcPr>
            <w:tcW w:w="1276"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-20.09</w:t>
            </w:r>
          </w:p>
        </w:tc>
        <w:tc>
          <w:tcPr>
            <w:tcW w:w="1133"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7.0</w:t>
            </w:r>
          </w:p>
        </w:tc>
        <w:tc>
          <w:tcPr>
            <w:tcW w:w="851"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5.3</w:t>
            </w:r>
          </w:p>
        </w:tc>
        <w:tc>
          <w:tcPr>
            <w:tcW w:w="1275"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29.3</w:t>
            </w:r>
          </w:p>
        </w:tc>
        <w:tc>
          <w:tcPr>
            <w:tcW w:w="851" w:type="dxa"/>
            <w:tcBorders>
              <w:top w:val="nil"/>
              <w:left w:val="nil"/>
              <w:right w:val="nil"/>
            </w:tcBorders>
            <w:vAlign w:val="center"/>
          </w:tcPr>
          <w:p w:rsidR="00FA08BE" w:rsidRPr="000263F6" w:rsidRDefault="00FA08BE" w:rsidP="00D33AA0">
            <w:pPr>
              <w:pStyle w:val="Tabletext"/>
              <w:rPr>
                <w:rFonts w:cs="Arial"/>
                <w:szCs w:val="18"/>
              </w:rPr>
            </w:pPr>
            <w:r w:rsidRPr="000263F6">
              <w:rPr>
                <w:rFonts w:cs="Arial"/>
                <w:szCs w:val="18"/>
              </w:rPr>
              <w:t>3</w:t>
            </w:r>
          </w:p>
        </w:tc>
        <w:tc>
          <w:tcPr>
            <w:tcW w:w="1559" w:type="dxa"/>
            <w:tcBorders>
              <w:top w:val="nil"/>
              <w:left w:val="nil"/>
              <w:right w:val="nil"/>
            </w:tcBorders>
            <w:shd w:val="clear" w:color="auto" w:fill="auto"/>
            <w:noWrap/>
            <w:vAlign w:val="center"/>
          </w:tcPr>
          <w:p w:rsidR="00FA08BE" w:rsidRPr="000263F6" w:rsidRDefault="00FA08BE" w:rsidP="00D33AA0">
            <w:pPr>
              <w:pStyle w:val="Tabletext"/>
              <w:rPr>
                <w:szCs w:val="18"/>
              </w:rPr>
            </w:pPr>
            <w:r w:rsidRPr="000263F6">
              <w:rPr>
                <w:szCs w:val="18"/>
              </w:rPr>
              <w:t>157.7-463.0</w:t>
            </w:r>
          </w:p>
        </w:tc>
      </w:tr>
      <w:tr w:rsidR="00FA08BE" w:rsidRPr="000263F6" w:rsidTr="00C24397">
        <w:trPr>
          <w:trHeight w:val="255"/>
          <w:jc w:val="center"/>
        </w:trPr>
        <w:tc>
          <w:tcPr>
            <w:tcW w:w="1716" w:type="dxa"/>
            <w:tcBorders>
              <w:top w:val="nil"/>
              <w:left w:val="nil"/>
              <w:bottom w:val="single" w:sz="4" w:space="0" w:color="auto"/>
              <w:right w:val="nil"/>
            </w:tcBorders>
            <w:shd w:val="clear" w:color="auto" w:fill="auto"/>
            <w:noWrap/>
            <w:vAlign w:val="center"/>
          </w:tcPr>
          <w:p w:rsidR="00FA08BE" w:rsidRPr="000263F6" w:rsidRDefault="00FA08BE" w:rsidP="00D33AA0">
            <w:pPr>
              <w:pStyle w:val="Tabletext"/>
              <w:rPr>
                <w:szCs w:val="18"/>
              </w:rPr>
            </w:pPr>
            <w:r w:rsidRPr="000263F6">
              <w:rPr>
                <w:szCs w:val="18"/>
              </w:rPr>
              <w:t>2011-04-16 07:06</w:t>
            </w:r>
          </w:p>
        </w:tc>
        <w:tc>
          <w:tcPr>
            <w:tcW w:w="2552" w:type="dxa"/>
            <w:tcBorders>
              <w:top w:val="nil"/>
              <w:left w:val="nil"/>
              <w:bottom w:val="single" w:sz="4" w:space="0" w:color="auto"/>
              <w:right w:val="nil"/>
            </w:tcBorders>
            <w:shd w:val="clear" w:color="auto" w:fill="auto"/>
            <w:noWrap/>
            <w:vAlign w:val="center"/>
          </w:tcPr>
          <w:p w:rsidR="00FA08BE" w:rsidRPr="000263F6" w:rsidRDefault="00FA08BE" w:rsidP="00D33AA0">
            <w:pPr>
              <w:pStyle w:val="Tabletext"/>
              <w:rPr>
                <w:rFonts w:cs="Arial"/>
                <w:szCs w:val="18"/>
              </w:rPr>
            </w:pPr>
            <w:r w:rsidRPr="000263F6">
              <w:rPr>
                <w:rFonts w:cs="Arial"/>
                <w:szCs w:val="18"/>
              </w:rPr>
              <w:t>Bowen, QLD</w:t>
            </w:r>
          </w:p>
        </w:tc>
        <w:tc>
          <w:tcPr>
            <w:tcW w:w="1418" w:type="dxa"/>
            <w:tcBorders>
              <w:top w:val="nil"/>
              <w:left w:val="nil"/>
              <w:bottom w:val="single" w:sz="4" w:space="0" w:color="auto"/>
              <w:right w:val="nil"/>
            </w:tcBorders>
            <w:shd w:val="clear" w:color="auto" w:fill="auto"/>
            <w:noWrap/>
            <w:vAlign w:val="center"/>
          </w:tcPr>
          <w:p w:rsidR="00FA08BE" w:rsidRPr="000263F6" w:rsidRDefault="00FA08BE" w:rsidP="00D33AA0">
            <w:pPr>
              <w:pStyle w:val="Tabletext"/>
              <w:rPr>
                <w:szCs w:val="18"/>
              </w:rPr>
            </w:pPr>
            <w:r w:rsidRPr="000263F6">
              <w:rPr>
                <w:szCs w:val="18"/>
              </w:rPr>
              <w:t>147.68</w:t>
            </w:r>
          </w:p>
        </w:tc>
        <w:tc>
          <w:tcPr>
            <w:tcW w:w="1276" w:type="dxa"/>
            <w:tcBorders>
              <w:top w:val="nil"/>
              <w:left w:val="nil"/>
              <w:bottom w:val="single" w:sz="4" w:space="0" w:color="auto"/>
              <w:right w:val="nil"/>
            </w:tcBorders>
            <w:shd w:val="clear" w:color="auto" w:fill="auto"/>
            <w:noWrap/>
            <w:vAlign w:val="center"/>
          </w:tcPr>
          <w:p w:rsidR="00FA08BE" w:rsidRPr="000263F6" w:rsidRDefault="00FA08BE" w:rsidP="00D33AA0">
            <w:pPr>
              <w:pStyle w:val="Tabletext"/>
              <w:rPr>
                <w:szCs w:val="18"/>
              </w:rPr>
            </w:pPr>
            <w:r w:rsidRPr="000263F6">
              <w:rPr>
                <w:szCs w:val="18"/>
              </w:rPr>
              <w:t>-20.17</w:t>
            </w:r>
          </w:p>
        </w:tc>
        <w:tc>
          <w:tcPr>
            <w:tcW w:w="1133" w:type="dxa"/>
            <w:tcBorders>
              <w:top w:val="nil"/>
              <w:left w:val="nil"/>
              <w:bottom w:val="single" w:sz="4" w:space="0" w:color="auto"/>
              <w:right w:val="nil"/>
            </w:tcBorders>
            <w:shd w:val="clear" w:color="auto" w:fill="auto"/>
            <w:noWrap/>
            <w:vAlign w:val="center"/>
          </w:tcPr>
          <w:p w:rsidR="00FA08BE" w:rsidRPr="000263F6" w:rsidRDefault="00FA08BE" w:rsidP="00D33AA0">
            <w:pPr>
              <w:pStyle w:val="Tabletext"/>
              <w:rPr>
                <w:szCs w:val="18"/>
              </w:rPr>
            </w:pPr>
            <w:r w:rsidRPr="000263F6">
              <w:rPr>
                <w:szCs w:val="18"/>
              </w:rPr>
              <w:t>7.0</w:t>
            </w:r>
          </w:p>
        </w:tc>
        <w:tc>
          <w:tcPr>
            <w:tcW w:w="851" w:type="dxa"/>
            <w:tcBorders>
              <w:top w:val="nil"/>
              <w:left w:val="nil"/>
              <w:bottom w:val="single" w:sz="4" w:space="0" w:color="auto"/>
              <w:right w:val="nil"/>
            </w:tcBorders>
            <w:shd w:val="clear" w:color="auto" w:fill="auto"/>
            <w:noWrap/>
            <w:vAlign w:val="center"/>
          </w:tcPr>
          <w:p w:rsidR="00FA08BE" w:rsidRPr="000263F6" w:rsidRDefault="00FA08BE" w:rsidP="00D33AA0">
            <w:pPr>
              <w:pStyle w:val="Tabletext"/>
              <w:rPr>
                <w:szCs w:val="18"/>
              </w:rPr>
            </w:pPr>
            <w:r w:rsidRPr="000263F6">
              <w:rPr>
                <w:szCs w:val="18"/>
              </w:rPr>
              <w:t>4.1</w:t>
            </w:r>
          </w:p>
        </w:tc>
        <w:tc>
          <w:tcPr>
            <w:tcW w:w="1275" w:type="dxa"/>
            <w:tcBorders>
              <w:top w:val="nil"/>
              <w:left w:val="nil"/>
              <w:bottom w:val="single" w:sz="4" w:space="0" w:color="auto"/>
              <w:right w:val="nil"/>
            </w:tcBorders>
            <w:shd w:val="clear" w:color="auto" w:fill="auto"/>
            <w:noWrap/>
            <w:vAlign w:val="center"/>
          </w:tcPr>
          <w:p w:rsidR="00FA08BE" w:rsidRPr="000263F6" w:rsidRDefault="00FA08BE" w:rsidP="00D33AA0">
            <w:pPr>
              <w:pStyle w:val="Tabletext"/>
              <w:rPr>
                <w:szCs w:val="18"/>
              </w:rPr>
            </w:pPr>
          </w:p>
        </w:tc>
        <w:tc>
          <w:tcPr>
            <w:tcW w:w="851" w:type="dxa"/>
            <w:tcBorders>
              <w:top w:val="nil"/>
              <w:left w:val="nil"/>
              <w:bottom w:val="single" w:sz="4" w:space="0" w:color="auto"/>
              <w:right w:val="nil"/>
            </w:tcBorders>
            <w:vAlign w:val="center"/>
          </w:tcPr>
          <w:p w:rsidR="00FA08BE" w:rsidRPr="000263F6" w:rsidRDefault="00FA08BE" w:rsidP="00D33AA0">
            <w:pPr>
              <w:pStyle w:val="Tabletext"/>
              <w:rPr>
                <w:rFonts w:cs="Arial"/>
                <w:szCs w:val="18"/>
              </w:rPr>
            </w:pPr>
            <w:r w:rsidRPr="000263F6">
              <w:rPr>
                <w:rFonts w:cs="Arial"/>
                <w:szCs w:val="18"/>
              </w:rPr>
              <w:t>2</w:t>
            </w:r>
          </w:p>
        </w:tc>
        <w:tc>
          <w:tcPr>
            <w:tcW w:w="1559" w:type="dxa"/>
            <w:tcBorders>
              <w:top w:val="nil"/>
              <w:left w:val="nil"/>
              <w:bottom w:val="single" w:sz="4" w:space="0" w:color="auto"/>
              <w:right w:val="nil"/>
            </w:tcBorders>
            <w:shd w:val="clear" w:color="auto" w:fill="auto"/>
            <w:noWrap/>
            <w:vAlign w:val="center"/>
          </w:tcPr>
          <w:p w:rsidR="00FA08BE" w:rsidRPr="000263F6" w:rsidRDefault="00FA08BE" w:rsidP="00D33AA0">
            <w:pPr>
              <w:pStyle w:val="Tabletext"/>
              <w:rPr>
                <w:szCs w:val="18"/>
              </w:rPr>
            </w:pPr>
            <w:r w:rsidRPr="000263F6">
              <w:rPr>
                <w:szCs w:val="18"/>
              </w:rPr>
              <w:t>149.1-419.5</w:t>
            </w:r>
          </w:p>
        </w:tc>
      </w:tr>
    </w:tbl>
    <w:p w:rsidR="00A34F7F" w:rsidRPr="00A34F7F" w:rsidRDefault="00A34F7F" w:rsidP="00A34F7F">
      <w:pPr>
        <w:rPr>
          <w:lang w:eastAsia="ko-KR"/>
        </w:rPr>
      </w:pPr>
    </w:p>
    <w:p w:rsidR="003A4C3C" w:rsidRDefault="003A4C3C" w:rsidP="008D7DE6">
      <w:pPr>
        <w:rPr>
          <w:lang w:val="en-US"/>
        </w:rPr>
        <w:sectPr w:rsidR="003A4C3C" w:rsidSect="003166B9">
          <w:headerReference w:type="even" r:id="rId23"/>
          <w:headerReference w:type="default" r:id="rId24"/>
          <w:headerReference w:type="first" r:id="rId25"/>
          <w:pgSz w:w="16840" w:h="11907" w:orient="landscape" w:code="9"/>
          <w:pgMar w:top="1701" w:right="1701" w:bottom="1701" w:left="1985" w:header="720" w:footer="720" w:gutter="0"/>
          <w:cols w:space="720"/>
        </w:sectPr>
      </w:pPr>
    </w:p>
    <w:p w:rsidR="00E033F4" w:rsidRPr="005F4902" w:rsidRDefault="00551E1A" w:rsidP="003166B9">
      <w:pPr>
        <w:pStyle w:val="InlineObject"/>
        <w:rPr>
          <w:lang w:val="en-US"/>
        </w:rPr>
      </w:pPr>
      <w:r>
        <w:rPr>
          <w:noProof/>
        </w:rPr>
        <w:lastRenderedPageBreak/>
        <w:drawing>
          <wp:inline distT="0" distB="0" distL="0" distR="0">
            <wp:extent cx="2466975" cy="5143500"/>
            <wp:effectExtent l="0" t="0" r="0" b="0"/>
            <wp:docPr id="5" name="Picture 5" descr="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6975" cy="5143500"/>
                    </a:xfrm>
                    <a:prstGeom prst="rect">
                      <a:avLst/>
                    </a:prstGeom>
                    <a:noFill/>
                    <a:ln>
                      <a:noFill/>
                    </a:ln>
                  </pic:spPr>
                </pic:pic>
              </a:graphicData>
            </a:graphic>
          </wp:inline>
        </w:drawing>
      </w:r>
      <w:r w:rsidR="00E033F4">
        <w:rPr>
          <w:lang w:val="en-US"/>
        </w:rPr>
        <w:t xml:space="preserve">    </w:t>
      </w:r>
      <w:r>
        <w:rPr>
          <w:noProof/>
        </w:rPr>
        <w:drawing>
          <wp:inline distT="0" distB="0" distL="0" distR="0">
            <wp:extent cx="2705100" cy="3019425"/>
            <wp:effectExtent l="0" t="0" r="0" b="0"/>
            <wp:docPr id="6" name="Picture 6" descr="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5100" cy="3019425"/>
                    </a:xfrm>
                    <a:prstGeom prst="rect">
                      <a:avLst/>
                    </a:prstGeom>
                    <a:noFill/>
                    <a:ln>
                      <a:noFill/>
                    </a:ln>
                  </pic:spPr>
                </pic:pic>
              </a:graphicData>
            </a:graphic>
          </wp:inline>
        </w:drawing>
      </w:r>
    </w:p>
    <w:p w:rsidR="00E033F4" w:rsidRPr="00ED3EA1" w:rsidRDefault="00E033F4" w:rsidP="00ED3EA1">
      <w:pPr>
        <w:pStyle w:val="Captions"/>
      </w:pPr>
      <w:bookmarkStart w:id="56" w:name="_Toc338429316"/>
      <w:r w:rsidRPr="00ED3EA1">
        <w:rPr>
          <w:rStyle w:val="Bodytextbold"/>
        </w:rPr>
        <w:t xml:space="preserve">Figure </w:t>
      </w:r>
      <w:r w:rsidRPr="00ED3EA1">
        <w:rPr>
          <w:rStyle w:val="Bodytextbold"/>
        </w:rPr>
        <w:fldChar w:fldCharType="begin"/>
      </w:r>
      <w:r w:rsidRPr="00ED3EA1">
        <w:rPr>
          <w:rStyle w:val="Bodytextbold"/>
        </w:rPr>
        <w:instrText xml:space="preserve"> SEQ Figure \* ARABIC </w:instrText>
      </w:r>
      <w:r w:rsidRPr="00ED3EA1">
        <w:rPr>
          <w:rStyle w:val="Bodytextbold"/>
        </w:rPr>
        <w:fldChar w:fldCharType="separate"/>
      </w:r>
      <w:r w:rsidRPr="00ED3EA1">
        <w:rPr>
          <w:rStyle w:val="Bodytextbold"/>
        </w:rPr>
        <w:t>2</w:t>
      </w:r>
      <w:r w:rsidRPr="00ED3EA1">
        <w:rPr>
          <w:rStyle w:val="Bodytextbold"/>
        </w:rPr>
        <w:fldChar w:fldCharType="end"/>
      </w:r>
      <w:r w:rsidRPr="00ED3EA1">
        <w:rPr>
          <w:rStyle w:val="Bodytextbold"/>
        </w:rPr>
        <w:t>:</w:t>
      </w:r>
      <w:r w:rsidRPr="00ED3EA1">
        <w:t xml:space="preserve">  Spatial </w:t>
      </w:r>
      <w:r w:rsidRPr="00E033F4">
        <w:t>distribution</w:t>
      </w:r>
      <w:r w:rsidRPr="00ED3EA1">
        <w:t xml:space="preserve"> of SEA earthquakes in the states of New South Wales (NSW), Victoria (VIC) and Queensland (QLD).  (a) Two moderate-sized earthquakes from Queensland (QLD) are also included in the primary dataset (b).  Solid black circles and white triangles indicate earthquake epicenters and locations of recording stations, respectively.  Grey lines indicate ray paths uses in the present analysis.</w:t>
      </w:r>
      <w:bookmarkEnd w:id="56"/>
    </w:p>
    <w:p w:rsidR="00B15AC0" w:rsidRDefault="00B15AC0" w:rsidP="003F4034">
      <w:pPr>
        <w:pStyle w:val="BodyText"/>
        <w:rPr>
          <w:lang w:val="en-US"/>
        </w:rPr>
      </w:pPr>
      <w:r w:rsidRPr="0054604C">
        <w:rPr>
          <w:lang w:val="en-US"/>
        </w:rPr>
        <w:t xml:space="preserve">Since </w:t>
      </w:r>
      <w:r w:rsidR="007021B6">
        <w:rPr>
          <w:lang w:val="en-US"/>
        </w:rPr>
        <w:t>there are</w:t>
      </w:r>
      <w:r w:rsidRPr="0054604C">
        <w:rPr>
          <w:lang w:val="en-US"/>
        </w:rPr>
        <w:t xml:space="preserve"> a limited number of data with which to</w:t>
      </w:r>
      <w:r>
        <w:rPr>
          <w:lang w:val="en-US"/>
        </w:rPr>
        <w:t xml:space="preserve"> </w:t>
      </w:r>
      <w:r w:rsidRPr="0054604C">
        <w:rPr>
          <w:lang w:val="en-US"/>
        </w:rPr>
        <w:t>perform regressions in any one</w:t>
      </w:r>
      <w:r>
        <w:rPr>
          <w:lang w:val="en-US"/>
        </w:rPr>
        <w:t>-magnitude</w:t>
      </w:r>
      <w:r w:rsidRPr="0054604C">
        <w:rPr>
          <w:lang w:val="en-US"/>
        </w:rPr>
        <w:t xml:space="preserve"> range, Fourier</w:t>
      </w:r>
      <w:r>
        <w:rPr>
          <w:lang w:val="en-US"/>
        </w:rPr>
        <w:t xml:space="preserve"> </w:t>
      </w:r>
      <w:r w:rsidRPr="0054604C">
        <w:rPr>
          <w:lang w:val="en-US"/>
        </w:rPr>
        <w:t xml:space="preserve">amplitude spectra </w:t>
      </w:r>
      <w:r w:rsidR="00E90678">
        <w:rPr>
          <w:lang w:val="en-US"/>
        </w:rPr>
        <w:t>were</w:t>
      </w:r>
      <w:r w:rsidR="00E90678" w:rsidRPr="0054604C">
        <w:rPr>
          <w:lang w:val="en-US"/>
        </w:rPr>
        <w:t xml:space="preserve"> </w:t>
      </w:r>
      <w:r w:rsidR="00C02C43" w:rsidRPr="0054604C">
        <w:rPr>
          <w:lang w:val="en-US"/>
        </w:rPr>
        <w:t>normali</w:t>
      </w:r>
      <w:r w:rsidR="00C02C43">
        <w:rPr>
          <w:lang w:val="en-US"/>
        </w:rPr>
        <w:t>s</w:t>
      </w:r>
      <w:r w:rsidR="00C02C43" w:rsidRPr="0054604C">
        <w:rPr>
          <w:lang w:val="en-US"/>
        </w:rPr>
        <w:t xml:space="preserve">ed </w:t>
      </w:r>
      <w:r w:rsidRPr="0054604C">
        <w:rPr>
          <w:lang w:val="en-US"/>
        </w:rPr>
        <w:t xml:space="preserve">to obtain </w:t>
      </w:r>
      <w:r>
        <w:rPr>
          <w:lang w:val="en-US"/>
        </w:rPr>
        <w:t xml:space="preserve">attenuation </w:t>
      </w:r>
      <w:r w:rsidRPr="0054604C">
        <w:rPr>
          <w:lang w:val="en-US"/>
        </w:rPr>
        <w:t xml:space="preserve">coefficients </w:t>
      </w:r>
      <w:r>
        <w:rPr>
          <w:lang w:val="en-US"/>
        </w:rPr>
        <w:t xml:space="preserve">(geometrical attenuation and anelastic attenuation) </w:t>
      </w:r>
      <w:r w:rsidRPr="0054604C">
        <w:rPr>
          <w:lang w:val="en-US"/>
        </w:rPr>
        <w:t>for the southeastern Australian dataset.</w:t>
      </w:r>
      <w:r>
        <w:rPr>
          <w:lang w:val="en-US"/>
        </w:rPr>
        <w:t xml:space="preserve">  </w:t>
      </w:r>
      <w:r w:rsidRPr="0054604C">
        <w:rPr>
          <w:lang w:val="en-US"/>
        </w:rPr>
        <w:t>This process</w:t>
      </w:r>
      <w:r w:rsidR="00BB47A7">
        <w:rPr>
          <w:lang w:val="en-US"/>
        </w:rPr>
        <w:t>, which</w:t>
      </w:r>
      <w:r w:rsidRPr="0054604C">
        <w:rPr>
          <w:lang w:val="en-US"/>
        </w:rPr>
        <w:t xml:space="preserve"> </w:t>
      </w:r>
      <w:r w:rsidR="00BB47A7" w:rsidRPr="0054604C">
        <w:rPr>
          <w:lang w:val="en-US"/>
        </w:rPr>
        <w:t>is described in more</w:t>
      </w:r>
      <w:r w:rsidR="00BB47A7">
        <w:rPr>
          <w:lang w:val="en-US"/>
        </w:rPr>
        <w:t xml:space="preserve"> </w:t>
      </w:r>
      <w:r w:rsidR="00BB47A7" w:rsidRPr="0054604C">
        <w:rPr>
          <w:lang w:val="en-US"/>
        </w:rPr>
        <w:t>detail below</w:t>
      </w:r>
      <w:r w:rsidR="00BB47A7">
        <w:rPr>
          <w:lang w:val="en-US"/>
        </w:rPr>
        <w:t xml:space="preserve">, </w:t>
      </w:r>
      <w:r w:rsidRPr="0054604C">
        <w:rPr>
          <w:lang w:val="en-US"/>
        </w:rPr>
        <w:t>was performed so that all data could be</w:t>
      </w:r>
      <w:r>
        <w:rPr>
          <w:lang w:val="en-US"/>
        </w:rPr>
        <w:t xml:space="preserve"> </w:t>
      </w:r>
      <w:r w:rsidRPr="0054604C">
        <w:rPr>
          <w:lang w:val="en-US"/>
        </w:rPr>
        <w:t>considered in the single regression</w:t>
      </w:r>
      <w:r w:rsidR="00BB47A7">
        <w:rPr>
          <w:lang w:val="en-US"/>
        </w:rPr>
        <w:t>.</w:t>
      </w:r>
      <w:r>
        <w:rPr>
          <w:lang w:val="en-US"/>
        </w:rPr>
        <w:t xml:space="preserve">  An </w:t>
      </w:r>
      <w:r w:rsidRPr="0054604C">
        <w:rPr>
          <w:lang w:val="en-US"/>
        </w:rPr>
        <w:t xml:space="preserve">initial assumption </w:t>
      </w:r>
      <w:r>
        <w:rPr>
          <w:lang w:val="en-US"/>
        </w:rPr>
        <w:t xml:space="preserve">is made such </w:t>
      </w:r>
      <w:r w:rsidRPr="0054604C">
        <w:rPr>
          <w:lang w:val="en-US"/>
        </w:rPr>
        <w:t>that low</w:t>
      </w:r>
      <w:r>
        <w:rPr>
          <w:lang w:val="en-US"/>
        </w:rPr>
        <w:t>-</w:t>
      </w:r>
      <w:r w:rsidRPr="0054604C">
        <w:rPr>
          <w:lang w:val="en-US"/>
        </w:rPr>
        <w:t>frequency</w:t>
      </w:r>
      <w:r>
        <w:rPr>
          <w:lang w:val="en-US"/>
        </w:rPr>
        <w:t xml:space="preserve"> </w:t>
      </w:r>
      <w:r w:rsidRPr="0054604C">
        <w:rPr>
          <w:lang w:val="en-US"/>
        </w:rPr>
        <w:t>eart</w:t>
      </w:r>
      <w:r>
        <w:rPr>
          <w:lang w:val="en-US"/>
        </w:rPr>
        <w:t xml:space="preserve">hquake source spectra (i.e., </w:t>
      </w:r>
      <w:r w:rsidR="003B3096" w:rsidRPr="00332AA7">
        <w:rPr>
          <w:rStyle w:val="Bodytextitalic"/>
        </w:rPr>
        <w:t>R</w:t>
      </w:r>
      <w:r w:rsidR="003B3096">
        <w:rPr>
          <w:lang w:val="en-US"/>
        </w:rPr>
        <w:t> </w:t>
      </w:r>
      <w:r>
        <w:rPr>
          <w:lang w:val="en-US"/>
        </w:rPr>
        <w:t>=</w:t>
      </w:r>
      <w:r w:rsidRPr="0054604C">
        <w:rPr>
          <w:lang w:val="en-US"/>
        </w:rPr>
        <w:t xml:space="preserve"> 1</w:t>
      </w:r>
      <w:r w:rsidR="00E90678">
        <w:rPr>
          <w:lang w:val="en-US"/>
        </w:rPr>
        <w:t>.0</w:t>
      </w:r>
      <w:r w:rsidR="00CF195B">
        <w:rPr>
          <w:lang w:val="en-US"/>
        </w:rPr>
        <w:t xml:space="preserve"> </w:t>
      </w:r>
      <w:r w:rsidRPr="0054604C">
        <w:rPr>
          <w:lang w:val="en-US"/>
        </w:rPr>
        <w:t>km) can</w:t>
      </w:r>
      <w:r>
        <w:rPr>
          <w:lang w:val="en-US"/>
        </w:rPr>
        <w:t xml:space="preserve"> </w:t>
      </w:r>
      <w:r w:rsidRPr="0054604C">
        <w:rPr>
          <w:lang w:val="en-US"/>
        </w:rPr>
        <w:t>be approximated by multiplying observed spectra by a factor</w:t>
      </w:r>
      <w:r>
        <w:rPr>
          <w:lang w:val="en-US"/>
        </w:rPr>
        <w:t xml:space="preserve"> of </w:t>
      </w:r>
      <w:r w:rsidRPr="00332AA7">
        <w:rPr>
          <w:rStyle w:val="Bodytextitalic"/>
        </w:rPr>
        <w:t>R</w:t>
      </w:r>
      <w:r w:rsidRPr="00C55730">
        <w:rPr>
          <w:rStyle w:val="Bodytextitalic"/>
          <w:vertAlign w:val="superscript"/>
        </w:rPr>
        <w:t>-b</w:t>
      </w:r>
      <w:r w:rsidRPr="00332AA7">
        <w:rPr>
          <w:rStyle w:val="Bodytextitalic"/>
        </w:rPr>
        <w:t>’</w:t>
      </w:r>
      <w:r w:rsidRPr="0054604C">
        <w:rPr>
          <w:lang w:val="en-US"/>
        </w:rPr>
        <w:t xml:space="preserve"> for all ground-motions recorded at hypocentral distances</w:t>
      </w:r>
      <w:r>
        <w:rPr>
          <w:lang w:val="en-US"/>
        </w:rPr>
        <w:t xml:space="preserve"> </w:t>
      </w:r>
      <w:r w:rsidRPr="00332AA7">
        <w:rPr>
          <w:rStyle w:val="Bodytextitalic"/>
        </w:rPr>
        <w:t>R</w:t>
      </w:r>
      <w:r>
        <w:rPr>
          <w:lang w:val="en-US"/>
        </w:rPr>
        <w:t xml:space="preserve"> &lt; </w:t>
      </w:r>
      <w:r w:rsidRPr="0054604C">
        <w:rPr>
          <w:lang w:val="en-US"/>
        </w:rPr>
        <w:t>100 km</w:t>
      </w:r>
      <w:r>
        <w:rPr>
          <w:lang w:val="en-US"/>
        </w:rPr>
        <w:t xml:space="preserve">.  The coefficient </w:t>
      </w:r>
      <w:r w:rsidRPr="00332AA7">
        <w:rPr>
          <w:rStyle w:val="Bodytextitalic"/>
        </w:rPr>
        <w:t>b’</w:t>
      </w:r>
      <w:r>
        <w:rPr>
          <w:lang w:val="en-US"/>
        </w:rPr>
        <w:t xml:space="preserve"> is an initial assumption of </w:t>
      </w:r>
      <w:r w:rsidR="00E90678">
        <w:rPr>
          <w:lang w:val="en-US"/>
        </w:rPr>
        <w:t xml:space="preserve">the </w:t>
      </w:r>
      <w:r>
        <w:rPr>
          <w:lang w:val="en-US"/>
        </w:rPr>
        <w:t xml:space="preserve">near-source geometrical attenuation coefficient.  This assumption should not precondition the final geometrical attenuation coefficients since this process is performed to estimate an approximate within-event source spectrum from which to </w:t>
      </w:r>
      <w:r w:rsidR="00CF1B53">
        <w:rPr>
          <w:lang w:val="en-US"/>
        </w:rPr>
        <w:t xml:space="preserve">normalise </w:t>
      </w:r>
      <w:r>
        <w:rPr>
          <w:lang w:val="en-US"/>
        </w:rPr>
        <w:t xml:space="preserve">the data for a single earthquake </w:t>
      </w:r>
      <w:r w:rsidRPr="00332AA7">
        <w:rPr>
          <w:rStyle w:val="Bodytextitalic"/>
        </w:rPr>
        <w:t>i</w:t>
      </w:r>
      <w:r>
        <w:rPr>
          <w:lang w:val="en-US"/>
        </w:rPr>
        <w:t>.</w:t>
      </w:r>
    </w:p>
    <w:p w:rsidR="00B15AC0" w:rsidRDefault="00B15AC0" w:rsidP="003F4034">
      <w:pPr>
        <w:pStyle w:val="BodyText"/>
        <w:rPr>
          <w:lang w:val="en-US"/>
        </w:rPr>
      </w:pPr>
      <w:r>
        <w:rPr>
          <w:lang w:val="en-US"/>
        </w:rPr>
        <w:t xml:space="preserve">Only earthquakes recorded </w:t>
      </w:r>
      <w:r w:rsidR="00C02C43">
        <w:rPr>
          <w:lang w:val="en-US"/>
        </w:rPr>
        <w:t xml:space="preserve">on </w:t>
      </w:r>
      <w:r>
        <w:rPr>
          <w:lang w:val="en-US"/>
        </w:rPr>
        <w:t xml:space="preserve">three or more stations at distances </w:t>
      </w:r>
      <w:r w:rsidRPr="00332AA7">
        <w:rPr>
          <w:rStyle w:val="Bodytextitalic"/>
        </w:rPr>
        <w:t>R</w:t>
      </w:r>
      <w:r>
        <w:rPr>
          <w:lang w:val="en-US"/>
        </w:rPr>
        <w:t xml:space="preserve"> ≤ 100 km – with at least one station at a distance </w:t>
      </w:r>
      <w:r w:rsidRPr="00332AA7">
        <w:rPr>
          <w:rStyle w:val="Bodytextitalic"/>
        </w:rPr>
        <w:t>R</w:t>
      </w:r>
      <w:r>
        <w:rPr>
          <w:lang w:val="en-US"/>
        </w:rPr>
        <w:t xml:space="preserve"> ≤ 50 km – are used to estimate the initial geometrical attenuation coefficient </w:t>
      </w:r>
      <w:r w:rsidRPr="00332AA7">
        <w:rPr>
          <w:rStyle w:val="Bodytextitalic"/>
        </w:rPr>
        <w:t>b’</w:t>
      </w:r>
      <w:r>
        <w:rPr>
          <w:lang w:val="en-US"/>
        </w:rPr>
        <w:t xml:space="preserve">.  Fourier spectral displacements log </w:t>
      </w:r>
      <w:r w:rsidRPr="00332AA7">
        <w:rPr>
          <w:rStyle w:val="Bodytextitalic"/>
        </w:rPr>
        <w:t>A</w:t>
      </w:r>
      <w:r w:rsidRPr="00C55730">
        <w:rPr>
          <w:rStyle w:val="Subscriptitalic"/>
        </w:rPr>
        <w:t>ik</w:t>
      </w:r>
      <w:r w:rsidRPr="00332AA7">
        <w:rPr>
          <w:spacing w:val="40"/>
        </w:rPr>
        <w:t>(</w:t>
      </w:r>
      <w:r w:rsidRPr="00332AA7">
        <w:rPr>
          <w:rStyle w:val="Bodytextitalic"/>
        </w:rPr>
        <w:t>f</w:t>
      </w:r>
      <w:r>
        <w:t>)</w:t>
      </w:r>
      <w:r>
        <w:rPr>
          <w:lang w:val="en-US"/>
        </w:rPr>
        <w:t xml:space="preserve"> at 2 Hz </w:t>
      </w:r>
      <w:r w:rsidR="00337ACF">
        <w:rPr>
          <w:lang w:val="en-US"/>
        </w:rPr>
        <w:t xml:space="preserve">for each earthquake </w:t>
      </w:r>
      <w:r w:rsidR="00337ACF" w:rsidRPr="00332AA7">
        <w:rPr>
          <w:rStyle w:val="Bodytextitalic"/>
        </w:rPr>
        <w:t>i</w:t>
      </w:r>
      <w:r w:rsidR="00337ACF">
        <w:rPr>
          <w:lang w:val="en-US"/>
        </w:rPr>
        <w:t xml:space="preserve"> </w:t>
      </w:r>
      <w:r>
        <w:rPr>
          <w:lang w:val="en-US"/>
        </w:rPr>
        <w:t xml:space="preserve">are regressed against </w:t>
      </w:r>
      <w:r w:rsidR="00337ACF">
        <w:rPr>
          <w:lang w:val="en-US"/>
        </w:rPr>
        <w:t>log</w:t>
      </w:r>
      <w:r w:rsidR="00720E93">
        <w:rPr>
          <w:lang w:val="en-US"/>
        </w:rPr>
        <w:t> </w:t>
      </w:r>
      <w:r w:rsidRPr="00332AA7">
        <w:rPr>
          <w:rStyle w:val="Bodytextitalic"/>
        </w:rPr>
        <w:t>R</w:t>
      </w:r>
      <w:r>
        <w:rPr>
          <w:lang w:val="en-US"/>
        </w:rPr>
        <w:t xml:space="preserve"> using linear least squares, where </w:t>
      </w:r>
      <w:r w:rsidRPr="00332AA7">
        <w:rPr>
          <w:rStyle w:val="Bodytextitalic"/>
        </w:rPr>
        <w:t>k</w:t>
      </w:r>
      <w:r>
        <w:rPr>
          <w:lang w:val="en-US"/>
        </w:rPr>
        <w:t xml:space="preserve"> </w:t>
      </w:r>
      <w:r w:rsidR="005D0522">
        <w:rPr>
          <w:lang w:val="en-US"/>
        </w:rPr>
        <w:t>represent</w:t>
      </w:r>
      <w:r w:rsidR="005D0522" w:rsidRPr="00A3524D">
        <w:rPr>
          <w:lang w:val="en-US"/>
        </w:rPr>
        <w:t xml:space="preserve"> </w:t>
      </w:r>
      <w:r w:rsidRPr="00A3524D">
        <w:rPr>
          <w:lang w:val="en-US"/>
        </w:rPr>
        <w:t>the</w:t>
      </w:r>
      <w:r>
        <w:rPr>
          <w:lang w:val="en-US"/>
        </w:rPr>
        <w:t xml:space="preserve"> </w:t>
      </w:r>
      <w:r w:rsidRPr="00A3524D">
        <w:rPr>
          <w:lang w:val="en-US"/>
        </w:rPr>
        <w:t>sites that satisfy the hypocentral distance criterion</w:t>
      </w:r>
      <w:r>
        <w:rPr>
          <w:lang w:val="en-US"/>
        </w:rPr>
        <w:t xml:space="preserve"> above.  The within-event geometrical attenuation was then aggregated and the me</w:t>
      </w:r>
      <w:r w:rsidR="00E67D1C">
        <w:rPr>
          <w:lang w:val="en-US"/>
        </w:rPr>
        <w:t>di</w:t>
      </w:r>
      <w:r>
        <w:rPr>
          <w:lang w:val="en-US"/>
        </w:rPr>
        <w:t xml:space="preserve">an value was </w:t>
      </w:r>
      <w:r>
        <w:rPr>
          <w:lang w:val="en-US"/>
        </w:rPr>
        <w:lastRenderedPageBreak/>
        <w:t>used as</w:t>
      </w:r>
      <w:r w:rsidR="00337ACF">
        <w:rPr>
          <w:lang w:val="en-US"/>
        </w:rPr>
        <w:t xml:space="preserve"> the initial assumption for the near source geometrical attenuation exponent,</w:t>
      </w:r>
      <w:r>
        <w:rPr>
          <w:lang w:val="en-US"/>
        </w:rPr>
        <w:t xml:space="preserve"> </w:t>
      </w:r>
      <w:r w:rsidRPr="00332AA7">
        <w:rPr>
          <w:rStyle w:val="Bodytextitalic"/>
        </w:rPr>
        <w:t>b’</w:t>
      </w:r>
      <w:r>
        <w:rPr>
          <w:lang w:val="en-US"/>
        </w:rPr>
        <w:t xml:space="preserve">.  Figure 3 plots the histogram of within-event geometrical attenuation at 2 Hz for all earthquakes with three stations less than 100 km from the earthquake source.  Based on this analysis, an initial value of </w:t>
      </w:r>
      <w:r w:rsidRPr="00332AA7">
        <w:rPr>
          <w:rStyle w:val="Bodytextitalic"/>
        </w:rPr>
        <w:t>b’</w:t>
      </w:r>
      <w:r>
        <w:rPr>
          <w:lang w:val="en-US"/>
        </w:rPr>
        <w:t xml:space="preserve"> = -1.29 was used for the optimization of the geometrical attenuation parameters</w:t>
      </w:r>
      <w:r w:rsidR="00337ACF">
        <w:rPr>
          <w:lang w:val="en-US"/>
        </w:rPr>
        <w:t xml:space="preserve"> for the full wave path</w:t>
      </w:r>
      <w:r>
        <w:rPr>
          <w:lang w:val="en-US"/>
        </w:rPr>
        <w:t xml:space="preserve">.  The frequency of 2 Hz was chosen to model the geometrical attenuation coefficients because it is almost always lower than the corner frequency </w:t>
      </w:r>
      <w:r w:rsidRPr="00332AA7">
        <w:rPr>
          <w:rStyle w:val="Bodytextitalic"/>
        </w:rPr>
        <w:t>f</w:t>
      </w:r>
      <w:r>
        <w:rPr>
          <w:vertAlign w:val="subscript"/>
          <w:lang w:val="en-US"/>
        </w:rPr>
        <w:t>0</w:t>
      </w:r>
      <w:r>
        <w:rPr>
          <w:lang w:val="en-US"/>
        </w:rPr>
        <w:t xml:space="preserve"> for all earthquakes studies, and the frequency is above</w:t>
      </w:r>
      <w:r w:rsidR="00337ACF">
        <w:rPr>
          <w:lang w:val="en-US"/>
        </w:rPr>
        <w:t>, or equal to,</w:t>
      </w:r>
      <w:r>
        <w:rPr>
          <w:lang w:val="en-US"/>
        </w:rPr>
        <w:t xml:space="preserve"> the natural frequency of the typical weak-motion instruments used to record the bulk of the data used herein.</w:t>
      </w:r>
    </w:p>
    <w:p w:rsidR="00E033F4" w:rsidRPr="008818F0" w:rsidRDefault="00551E1A" w:rsidP="00E033F4">
      <w:pPr>
        <w:pStyle w:val="InlineObject"/>
        <w:rPr>
          <w:lang w:val="en-US"/>
        </w:rPr>
      </w:pPr>
      <w:r>
        <w:rPr>
          <w:noProof/>
        </w:rPr>
        <w:drawing>
          <wp:inline distT="0" distB="0" distL="0" distR="0">
            <wp:extent cx="2390775" cy="2800350"/>
            <wp:effectExtent l="0" t="0" r="0" b="0"/>
            <wp:docPr id="7" name="Picture 7" descr="withinev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thinevG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0775" cy="2800350"/>
                    </a:xfrm>
                    <a:prstGeom prst="rect">
                      <a:avLst/>
                    </a:prstGeom>
                    <a:noFill/>
                    <a:ln>
                      <a:noFill/>
                    </a:ln>
                  </pic:spPr>
                </pic:pic>
              </a:graphicData>
            </a:graphic>
          </wp:inline>
        </w:drawing>
      </w:r>
    </w:p>
    <w:p w:rsidR="00E033F4" w:rsidRPr="008818F0" w:rsidRDefault="00E033F4" w:rsidP="00CE4366">
      <w:pPr>
        <w:pStyle w:val="Captions"/>
        <w:rPr>
          <w:lang w:val="en-US"/>
        </w:rPr>
      </w:pPr>
      <w:bookmarkStart w:id="57" w:name="_Toc338429317"/>
      <w:r w:rsidRPr="00ED3EA1">
        <w:rPr>
          <w:rStyle w:val="Bodytextbold"/>
        </w:rPr>
        <w:t xml:space="preserve">Figure </w:t>
      </w:r>
      <w:r w:rsidRPr="008818F0">
        <w:rPr>
          <w:b/>
        </w:rPr>
        <w:fldChar w:fldCharType="begin"/>
      </w:r>
      <w:r w:rsidRPr="008818F0">
        <w:rPr>
          <w:b/>
        </w:rPr>
        <w:instrText xml:space="preserve"> SEQ Figure \* ARABIC </w:instrText>
      </w:r>
      <w:r w:rsidRPr="008818F0">
        <w:rPr>
          <w:b/>
        </w:rPr>
        <w:fldChar w:fldCharType="separate"/>
      </w:r>
      <w:r>
        <w:rPr>
          <w:b/>
          <w:noProof/>
        </w:rPr>
        <w:t>3</w:t>
      </w:r>
      <w:r w:rsidRPr="008818F0">
        <w:rPr>
          <w:b/>
        </w:rPr>
        <w:fldChar w:fldCharType="end"/>
      </w:r>
      <w:r w:rsidRPr="00ED3EA1">
        <w:rPr>
          <w:rStyle w:val="Bodytextbold"/>
        </w:rPr>
        <w:t>:</w:t>
      </w:r>
      <w:r>
        <w:t xml:space="preserve">  Histogram</w:t>
      </w:r>
      <w:r w:rsidRPr="008818F0">
        <w:rPr>
          <w:lang w:val="en-US"/>
        </w:rPr>
        <w:t xml:space="preserve"> of within-event geometrical attenuation at 2 Hz.  Only earthquakes with three stations at hypocentral distances less than 100 km from the earthquake source are used.  One station must also be at a hypocentral distance less than 50 km.</w:t>
      </w:r>
      <w:bookmarkEnd w:id="57"/>
    </w:p>
    <w:p w:rsidR="00B15AC0" w:rsidRDefault="00B15AC0" w:rsidP="003F4034">
      <w:pPr>
        <w:pStyle w:val="BodyText"/>
        <w:rPr>
          <w:bCs/>
          <w:lang w:val="en-US"/>
        </w:rPr>
      </w:pPr>
      <w:r w:rsidRPr="009353A1">
        <w:rPr>
          <w:lang w:val="en-US"/>
        </w:rPr>
        <w:t>Equipped</w:t>
      </w:r>
      <w:r>
        <w:rPr>
          <w:lang w:val="en-US"/>
        </w:rPr>
        <w:t xml:space="preserve"> with the provisional near-source geometrical attenuation factor </w:t>
      </w:r>
      <w:r w:rsidRPr="00332AA7">
        <w:rPr>
          <w:rStyle w:val="Bodytextitalic"/>
        </w:rPr>
        <w:t>b’</w:t>
      </w:r>
      <w:r>
        <w:rPr>
          <w:lang w:val="en-US"/>
        </w:rPr>
        <w:t xml:space="preserve">, the dataset </w:t>
      </w:r>
      <w:r w:rsidR="005D0522">
        <w:rPr>
          <w:lang w:val="en-US"/>
        </w:rPr>
        <w:t>was</w:t>
      </w:r>
      <w:r>
        <w:rPr>
          <w:lang w:val="en-US"/>
        </w:rPr>
        <w:t xml:space="preserve"> normalized for further analysis.  The first goal </w:t>
      </w:r>
      <w:r w:rsidR="005D0522">
        <w:rPr>
          <w:lang w:val="en-US"/>
        </w:rPr>
        <w:t xml:space="preserve">was </w:t>
      </w:r>
      <w:r>
        <w:rPr>
          <w:lang w:val="en-US"/>
        </w:rPr>
        <w:t xml:space="preserve">to estimate an approximate source </w:t>
      </w:r>
      <w:r w:rsidR="00CF1B53">
        <w:rPr>
          <w:lang w:val="en-US"/>
        </w:rPr>
        <w:t>sp</w:t>
      </w:r>
      <w:r w:rsidR="001D5670">
        <w:rPr>
          <w:lang w:val="en-US"/>
        </w:rPr>
        <w:t xml:space="preserve">ectrum </w:t>
      </w:r>
      <w:r>
        <w:rPr>
          <w:lang w:val="en-US"/>
        </w:rPr>
        <w:t xml:space="preserve">for each event with which to </w:t>
      </w:r>
      <w:r w:rsidR="00337ACF">
        <w:rPr>
          <w:lang w:val="en-US"/>
        </w:rPr>
        <w:t xml:space="preserve">normalise </w:t>
      </w:r>
      <w:r>
        <w:rPr>
          <w:lang w:val="en-US"/>
        </w:rPr>
        <w:t>each station</w:t>
      </w:r>
      <w:r w:rsidR="00337ACF">
        <w:rPr>
          <w:lang w:val="en-US"/>
        </w:rPr>
        <w:t xml:space="preserve"> over the full wave path</w:t>
      </w:r>
      <w:r>
        <w:rPr>
          <w:lang w:val="en-US"/>
        </w:rPr>
        <w:t xml:space="preserve">. The </w:t>
      </w:r>
      <w:r w:rsidR="001D5670">
        <w:rPr>
          <w:lang w:val="en-US"/>
        </w:rPr>
        <w:t>normalising</w:t>
      </w:r>
      <w:r w:rsidR="001D5670" w:rsidRPr="003A0A74">
        <w:rPr>
          <w:lang w:val="en-US"/>
        </w:rPr>
        <w:t xml:space="preserve"> </w:t>
      </w:r>
      <w:r w:rsidRPr="003A0A74">
        <w:rPr>
          <w:lang w:val="en-US"/>
        </w:rPr>
        <w:t xml:space="preserve">spectra, </w:t>
      </w:r>
      <w:r w:rsidRPr="00332AA7">
        <w:rPr>
          <w:rStyle w:val="Bodytextitalic"/>
        </w:rPr>
        <w:t>A</w:t>
      </w:r>
      <w:r w:rsidRPr="002358C5">
        <w:rPr>
          <w:bCs/>
          <w:vertAlign w:val="subscript"/>
          <w:lang w:val="en-US"/>
        </w:rPr>
        <w:t>0</w:t>
      </w:r>
      <w:r w:rsidRPr="00332AA7">
        <w:rPr>
          <w:rStyle w:val="Bodytextitalic"/>
        </w:rPr>
        <w:t>,</w:t>
      </w:r>
      <w:r w:rsidRPr="00C55730">
        <w:rPr>
          <w:rStyle w:val="Subscriptitalic"/>
        </w:rPr>
        <w:t>i</w:t>
      </w:r>
      <w:r w:rsidRPr="00332AA7">
        <w:rPr>
          <w:spacing w:val="40"/>
        </w:rPr>
        <w:t>(</w:t>
      </w:r>
      <w:r w:rsidRPr="00332AA7">
        <w:rPr>
          <w:rStyle w:val="Bodytextitalic"/>
        </w:rPr>
        <w:t>f</w:t>
      </w:r>
      <w:r>
        <w:t>)</w:t>
      </w:r>
      <w:r w:rsidRPr="003A0A74">
        <w:rPr>
          <w:lang w:val="en-US"/>
        </w:rPr>
        <w:t xml:space="preserve"> is </w:t>
      </w:r>
      <w:r>
        <w:rPr>
          <w:lang w:val="en-US"/>
        </w:rPr>
        <w:t>calculated</w:t>
      </w:r>
      <w:r w:rsidRPr="003A0A74">
        <w:rPr>
          <w:lang w:val="en-US"/>
        </w:rPr>
        <w:t xml:space="preserve"> by averaging</w:t>
      </w:r>
      <w:r>
        <w:rPr>
          <w:lang w:val="en-US"/>
        </w:rPr>
        <w:t xml:space="preserve"> </w:t>
      </w:r>
      <w:r w:rsidRPr="00332AA7">
        <w:rPr>
          <w:rStyle w:val="Bodytextitalic"/>
        </w:rPr>
        <w:t>A</w:t>
      </w:r>
      <w:r w:rsidRPr="00C55730">
        <w:rPr>
          <w:rStyle w:val="Subscriptitalic"/>
        </w:rPr>
        <w:t>ik</w:t>
      </w:r>
      <w:r w:rsidRPr="00332AA7">
        <w:rPr>
          <w:spacing w:val="40"/>
        </w:rPr>
        <w:t>(</w:t>
      </w:r>
      <w:r w:rsidRPr="00332AA7">
        <w:rPr>
          <w:rStyle w:val="Bodytextitalic"/>
        </w:rPr>
        <w:t>f</w:t>
      </w:r>
      <w:r>
        <w:t>)</w:t>
      </w:r>
      <w:r>
        <w:rPr>
          <w:lang w:val="en-US"/>
        </w:rPr>
        <w:t xml:space="preserve">, corrected for geometrical attenuation, </w:t>
      </w:r>
      <w:r w:rsidRPr="003A0A74">
        <w:rPr>
          <w:lang w:val="en-US"/>
        </w:rPr>
        <w:t xml:space="preserve">over the number of stations </w:t>
      </w:r>
      <w:r w:rsidRPr="00332AA7">
        <w:rPr>
          <w:rStyle w:val="Bodytextitalic"/>
        </w:rPr>
        <w:t>N</w:t>
      </w:r>
      <w:r w:rsidRPr="00C55730">
        <w:rPr>
          <w:rStyle w:val="Subscriptitalic"/>
        </w:rPr>
        <w:t>ik</w:t>
      </w:r>
      <w:r w:rsidRPr="00332AA7">
        <w:rPr>
          <w:rStyle w:val="Bodytextitalic"/>
        </w:rPr>
        <w:t xml:space="preserve"> </w:t>
      </w:r>
      <w:r w:rsidRPr="004F10E8">
        <w:rPr>
          <w:bCs/>
          <w:lang w:val="en-US"/>
        </w:rPr>
        <w:t>following</w:t>
      </w:r>
      <w:r>
        <w:rPr>
          <w:bCs/>
          <w:lang w:val="en-US"/>
        </w:rPr>
        <w:t>:</w:t>
      </w:r>
    </w:p>
    <w:p w:rsidR="00B15AC0" w:rsidRDefault="00CF1B53" w:rsidP="00BF4007">
      <w:pPr>
        <w:pStyle w:val="Equation"/>
      </w:pPr>
      <w:r w:rsidRPr="00A23322">
        <w:rPr>
          <w:position w:val="-28"/>
        </w:rPr>
        <w:object w:dxaOrig="3960" w:dyaOrig="680">
          <v:shape id="_x0000_i1026" type="#_x0000_t75" style="width:198.25pt;height:33.95pt" o:ole="">
            <v:imagedata r:id="rId29" o:title=""/>
          </v:shape>
          <o:OLEObject Type="Embed" ProgID="Equation.3" ShapeID="_x0000_i1026" DrawAspect="Content" ObjectID="_1426934403" r:id="rId30"/>
        </w:object>
      </w:r>
      <w:r w:rsidR="00B15AC0">
        <w:tab/>
        <w:t>(2)</w:t>
      </w:r>
    </w:p>
    <w:p w:rsidR="00B15AC0" w:rsidRPr="009353A1" w:rsidRDefault="00B15AC0" w:rsidP="003F4034">
      <w:pPr>
        <w:pStyle w:val="BodyText"/>
      </w:pPr>
      <w:r>
        <w:rPr>
          <w:lang w:val="en-US"/>
        </w:rPr>
        <w:t xml:space="preserve">for all </w:t>
      </w:r>
      <w:r w:rsidRPr="00332AA7">
        <w:rPr>
          <w:rStyle w:val="Bodytextitalic"/>
        </w:rPr>
        <w:t>k</w:t>
      </w:r>
      <w:r>
        <w:rPr>
          <w:lang w:val="en-US"/>
        </w:rPr>
        <w:t xml:space="preserve"> </w:t>
      </w:r>
      <w:r w:rsidRPr="009353A1">
        <w:rPr>
          <w:lang w:val="en-US"/>
        </w:rPr>
        <w:t xml:space="preserve">such that </w:t>
      </w:r>
      <w:r w:rsidRPr="00332AA7">
        <w:rPr>
          <w:rStyle w:val="Bodytextitalic"/>
        </w:rPr>
        <w:t>R</w:t>
      </w:r>
      <w:r w:rsidRPr="00C55730">
        <w:rPr>
          <w:rStyle w:val="Subscriptitalic"/>
        </w:rPr>
        <w:t>ik</w:t>
      </w:r>
      <w:r>
        <w:rPr>
          <w:lang w:val="en-US"/>
        </w:rPr>
        <w:t xml:space="preserve"> ≤ </w:t>
      </w:r>
      <w:r w:rsidRPr="009353A1">
        <w:rPr>
          <w:lang w:val="en-US"/>
        </w:rPr>
        <w:t>100 km</w:t>
      </w:r>
      <w:r>
        <w:rPr>
          <w:lang w:val="en-US"/>
        </w:rPr>
        <w:t xml:space="preserve"> and </w:t>
      </w:r>
      <w:r w:rsidRPr="00332AA7">
        <w:rPr>
          <w:rStyle w:val="Bodytextitalic"/>
        </w:rPr>
        <w:t>N</w:t>
      </w:r>
      <w:r w:rsidRPr="00C55730">
        <w:rPr>
          <w:rStyle w:val="Subscriptitalic"/>
        </w:rPr>
        <w:t>ik</w:t>
      </w:r>
      <w:r w:rsidRPr="00332AA7">
        <w:rPr>
          <w:rStyle w:val="Bodytextitalic"/>
        </w:rPr>
        <w:t xml:space="preserve"> </w:t>
      </w:r>
      <w:r>
        <w:rPr>
          <w:bCs/>
          <w:lang w:val="en-US"/>
        </w:rPr>
        <w:t xml:space="preserve">≥ </w:t>
      </w:r>
      <w:r w:rsidR="00337ACF">
        <w:rPr>
          <w:bCs/>
          <w:lang w:val="en-US"/>
        </w:rPr>
        <w:t>3</w:t>
      </w:r>
      <w:r w:rsidRPr="009353A1">
        <w:rPr>
          <w:lang w:val="en-US"/>
        </w:rPr>
        <w:t>.</w:t>
      </w:r>
      <w:r>
        <w:rPr>
          <w:lang w:val="en-US"/>
        </w:rPr>
        <w:t xml:space="preserve">  </w:t>
      </w:r>
      <w:r w:rsidRPr="009353A1">
        <w:rPr>
          <w:lang w:val="en-US"/>
        </w:rPr>
        <w:t>This procedure is performed assuming that low frequencies</w:t>
      </w:r>
      <w:r>
        <w:rPr>
          <w:lang w:val="en-US"/>
        </w:rPr>
        <w:t xml:space="preserve"> </w:t>
      </w:r>
      <w:r w:rsidRPr="009353A1">
        <w:rPr>
          <w:lang w:val="en-US"/>
        </w:rPr>
        <w:t>are relatively unaffected by anelastic attenuation and scattering</w:t>
      </w:r>
      <w:r>
        <w:rPr>
          <w:lang w:val="en-US"/>
        </w:rPr>
        <w:t xml:space="preserve"> </w:t>
      </w:r>
      <w:r w:rsidRPr="009353A1">
        <w:rPr>
          <w:lang w:val="en-US"/>
        </w:rPr>
        <w:t>at short source-receiver distances (</w:t>
      </w:r>
      <w:r w:rsidRPr="00332AA7">
        <w:rPr>
          <w:rStyle w:val="Bodytextitalic"/>
        </w:rPr>
        <w:t>R</w:t>
      </w:r>
      <w:r w:rsidRPr="009353A1">
        <w:rPr>
          <w:lang w:val="en-US"/>
        </w:rPr>
        <w:t xml:space="preserve"> </w:t>
      </w:r>
      <w:r>
        <w:rPr>
          <w:lang w:val="en-US"/>
        </w:rPr>
        <w:t xml:space="preserve">≤ </w:t>
      </w:r>
      <w:r w:rsidRPr="009353A1">
        <w:rPr>
          <w:lang w:val="en-US"/>
        </w:rPr>
        <w:t>100 km).</w:t>
      </w:r>
      <w:r>
        <w:rPr>
          <w:lang w:val="en-US"/>
        </w:rPr>
        <w:t xml:space="preserve">  Data from each</w:t>
      </w:r>
      <w:r w:rsidRPr="009353A1">
        <w:rPr>
          <w:lang w:val="en-US"/>
        </w:rPr>
        <w:t xml:space="preserve"> </w:t>
      </w:r>
      <w:r>
        <w:rPr>
          <w:lang w:val="en-US"/>
        </w:rPr>
        <w:t xml:space="preserve">station </w:t>
      </w:r>
      <w:r w:rsidRPr="00332AA7">
        <w:rPr>
          <w:rStyle w:val="Bodytextitalic"/>
        </w:rPr>
        <w:t>j</w:t>
      </w:r>
      <w:r w:rsidRPr="009353A1">
        <w:rPr>
          <w:lang w:val="en-US"/>
        </w:rPr>
        <w:t xml:space="preserve"> over all </w:t>
      </w:r>
      <w:r w:rsidRPr="00332AA7">
        <w:rPr>
          <w:rStyle w:val="Bodytextitalic"/>
        </w:rPr>
        <w:t>R</w:t>
      </w:r>
      <w:r w:rsidRPr="009353A1">
        <w:rPr>
          <w:lang w:val="en-US"/>
        </w:rPr>
        <w:t xml:space="preserve"> </w:t>
      </w:r>
      <w:r w:rsidR="00CF1B53">
        <w:rPr>
          <w:lang w:val="en-US"/>
        </w:rPr>
        <w:t>are</w:t>
      </w:r>
      <w:r w:rsidR="00CF1B53" w:rsidRPr="009353A1">
        <w:rPr>
          <w:lang w:val="en-US"/>
        </w:rPr>
        <w:t xml:space="preserve"> </w:t>
      </w:r>
      <w:r w:rsidRPr="009353A1">
        <w:rPr>
          <w:lang w:val="en-US"/>
        </w:rPr>
        <w:t xml:space="preserve">subsequently </w:t>
      </w:r>
      <w:r w:rsidR="001D5670" w:rsidRPr="009353A1">
        <w:rPr>
          <w:lang w:val="en-US"/>
        </w:rPr>
        <w:t>normali</w:t>
      </w:r>
      <w:r w:rsidR="001D5670">
        <w:rPr>
          <w:lang w:val="en-US"/>
        </w:rPr>
        <w:t>s</w:t>
      </w:r>
      <w:r w:rsidR="001D5670" w:rsidRPr="009353A1">
        <w:rPr>
          <w:lang w:val="en-US"/>
        </w:rPr>
        <w:t xml:space="preserve">ed </w:t>
      </w:r>
      <w:r w:rsidRPr="009353A1">
        <w:rPr>
          <w:lang w:val="en-US"/>
        </w:rPr>
        <w:t>following</w:t>
      </w:r>
      <w:r>
        <w:rPr>
          <w:lang w:val="en-US"/>
        </w:rPr>
        <w:t>:</w:t>
      </w:r>
    </w:p>
    <w:p w:rsidR="00B15AC0" w:rsidRDefault="00B15AC0" w:rsidP="00BF4007">
      <w:pPr>
        <w:pStyle w:val="Equation"/>
      </w:pPr>
      <w:r w:rsidRPr="009353A1">
        <w:rPr>
          <w:position w:val="-14"/>
        </w:rPr>
        <w:object w:dxaOrig="3519" w:dyaOrig="380">
          <v:shape id="_x0000_i1027" type="#_x0000_t75" style="width:176.45pt;height:18.75pt" o:ole="">
            <v:imagedata r:id="rId31" o:title=""/>
          </v:shape>
          <o:OLEObject Type="Embed" ProgID="Equation.3" ShapeID="_x0000_i1027" DrawAspect="Content" ObjectID="_1426934404" r:id="rId32"/>
        </w:object>
      </w:r>
      <w:r>
        <w:tab/>
        <w:t>(3)</w:t>
      </w:r>
    </w:p>
    <w:p w:rsidR="00E033F4" w:rsidRDefault="00B15AC0" w:rsidP="00E033F4">
      <w:pPr>
        <w:pStyle w:val="BodyText"/>
      </w:pPr>
      <w:r w:rsidRPr="00AC6ED7">
        <w:rPr>
          <w:lang w:val="en-US"/>
        </w:rPr>
        <w:t xml:space="preserve">where </w:t>
      </w:r>
      <w:r w:rsidRPr="00332AA7">
        <w:rPr>
          <w:rStyle w:val="Bodytextitalic"/>
        </w:rPr>
        <w:t>A</w:t>
      </w:r>
      <w:r w:rsidRPr="00C55730">
        <w:rPr>
          <w:rStyle w:val="Subscriptitalic"/>
        </w:rPr>
        <w:t xml:space="preserve">n,ij </w:t>
      </w:r>
      <w:r w:rsidRPr="00AC6ED7">
        <w:rPr>
          <w:lang w:val="en-US"/>
        </w:rPr>
        <w:t>is the normalized spectral amplitude for earthquake</w:t>
      </w:r>
      <w:r>
        <w:rPr>
          <w:lang w:val="en-US"/>
        </w:rPr>
        <w:t xml:space="preserve"> </w:t>
      </w:r>
      <w:r w:rsidRPr="00332AA7">
        <w:rPr>
          <w:rStyle w:val="Bodytextitalic"/>
        </w:rPr>
        <w:t>i</w:t>
      </w:r>
      <w:r w:rsidRPr="00AC6ED7">
        <w:rPr>
          <w:bCs/>
          <w:lang w:val="en-US"/>
        </w:rPr>
        <w:t xml:space="preserve"> </w:t>
      </w:r>
      <w:r w:rsidRPr="00AC6ED7">
        <w:rPr>
          <w:lang w:val="en-US"/>
        </w:rPr>
        <w:t xml:space="preserve">at the </w:t>
      </w:r>
      <w:r w:rsidRPr="00332AA7">
        <w:rPr>
          <w:rStyle w:val="Bodytextitalic"/>
        </w:rPr>
        <w:t>j</w:t>
      </w:r>
      <w:r w:rsidRPr="00AC6ED7">
        <w:rPr>
          <w:lang w:val="en-US"/>
        </w:rPr>
        <w:t>th site</w:t>
      </w:r>
      <w:r>
        <w:rPr>
          <w:lang w:val="en-US"/>
        </w:rPr>
        <w:t xml:space="preserve">.  These </w:t>
      </w:r>
      <w:r w:rsidR="001D5670" w:rsidRPr="00AC6ED7">
        <w:rPr>
          <w:lang w:val="en-US"/>
        </w:rPr>
        <w:t>normali</w:t>
      </w:r>
      <w:r w:rsidR="001D5670">
        <w:rPr>
          <w:lang w:val="en-US"/>
        </w:rPr>
        <w:t>s</w:t>
      </w:r>
      <w:r w:rsidR="001D5670" w:rsidRPr="00AC6ED7">
        <w:rPr>
          <w:lang w:val="en-US"/>
        </w:rPr>
        <w:t>ed</w:t>
      </w:r>
      <w:r w:rsidR="001D5670">
        <w:rPr>
          <w:lang w:val="en-US"/>
        </w:rPr>
        <w:t xml:space="preserve"> </w:t>
      </w:r>
      <w:r>
        <w:rPr>
          <w:lang w:val="en-US"/>
        </w:rPr>
        <w:t xml:space="preserve">data are subsequently used for further analysis and revision of the </w:t>
      </w:r>
      <w:r>
        <w:rPr>
          <w:noProof/>
        </w:rPr>
        <w:t>Allen</w:t>
      </w:r>
      <w:r w:rsidRPr="00332AA7">
        <w:rPr>
          <w:rStyle w:val="Bodytextitalic"/>
        </w:rPr>
        <w:t xml:space="preserve"> et al.</w:t>
      </w:r>
      <w:r>
        <w:t xml:space="preserve"> </w:t>
      </w:r>
      <w:r>
        <w:fldChar w:fldCharType="begin"/>
      </w:r>
      <w:r w:rsidR="00F202D0">
        <w:instrText xml:space="preserve"> ADDIN EN.CITE &lt;EndNote&gt;&lt;Cite ExcludeAuth="1"&gt;&lt;Author&gt;Allen&lt;/Author&gt;&lt;Year&gt;2007&lt;/Year&gt;&lt;RecNum&gt;526&lt;/RecNum&gt;&lt;record&gt;&lt;rec-number&gt;526&lt;/rec-number&gt;&lt;foreign-keys&gt;&lt;key app="EN" db-id="se5z02d5txder3eax2p5wz5j59zvz2tdzdd2"&gt;526&lt;/key&gt;&lt;/foreign-keys&gt;&lt;ref-type name="Journal Article"&gt;17&lt;/ref-type&gt;&lt;contributors&gt;&lt;authors&gt;&lt;author&gt;Allen, T. I.&lt;/author&gt;&lt;author&gt;Cummins, P. R.&lt;/author&gt;&lt;author&gt;Dhu, T.&lt;/author&gt;&lt;author&gt;Schneider, J. F.&lt;/author&gt;&lt;/authors&gt;&lt;/contributors&gt;&lt;titles&gt;&lt;title&gt;Attenuation of ground-motion spectral amplitudes in southeastern Australia&lt;/title&gt;&lt;secondary-title&gt;Bull. Seism. Soc. Am.&lt;/secondary-title&gt;&lt;/titles&gt;&lt;periodical&gt;&lt;full-title&gt;Bull. Seism. Soc. Am.&lt;/full-title&gt;&lt;/periodical&gt;&lt;pages&gt;1279–1292&lt;/pages&gt;&lt;volume&gt;97&lt;/volume&gt;&lt;number&gt;4&lt;/number&gt;&lt;keywords&gt;&lt;keyword&gt;southeastern Australia, attenuation, Fourier&lt;/keyword&gt;&lt;/keywords&gt;&lt;dates&gt;&lt;year&gt;2007&lt;/year&gt;&lt;/dates&gt;&lt;urls&gt;&lt;pdf-urls&gt;&lt;url&gt;internal-pdf://Allen et al (2007). SE Aust.atten-2994310402/Allen et al (2007). SE Aust.atten.pdf&lt;/url&gt;&lt;/pdf-urls&gt;&lt;/urls&gt;&lt;/record&gt;&lt;/Cite&gt;&lt;/EndNote&gt;</w:instrText>
      </w:r>
      <w:r>
        <w:fldChar w:fldCharType="separate"/>
      </w:r>
      <w:r>
        <w:rPr>
          <w:noProof/>
        </w:rPr>
        <w:t>(2007)</w:t>
      </w:r>
      <w:r>
        <w:fldChar w:fldCharType="end"/>
      </w:r>
      <w:r>
        <w:t xml:space="preserve"> source and attenuation parameters used to underpin the stochastic model.</w:t>
      </w:r>
      <w:bookmarkStart w:id="58" w:name="_Toc319656508"/>
      <w:bookmarkStart w:id="59" w:name="_Toc319656597"/>
    </w:p>
    <w:p w:rsidR="00B15AC0" w:rsidRDefault="00050122" w:rsidP="00E033F4">
      <w:pPr>
        <w:pStyle w:val="Heading1"/>
      </w:pPr>
      <w:r>
        <w:br w:type="page"/>
      </w:r>
      <w:bookmarkStart w:id="60" w:name="_Toc319918551"/>
      <w:bookmarkStart w:id="61" w:name="_Toc319918820"/>
      <w:bookmarkStart w:id="62" w:name="_Toc349112531"/>
      <w:r w:rsidR="00337ACF">
        <w:lastRenderedPageBreak/>
        <w:t xml:space="preserve">Determination of </w:t>
      </w:r>
      <w:r w:rsidR="00B15AC0">
        <w:t>Modelling Parameters</w:t>
      </w:r>
      <w:bookmarkEnd w:id="58"/>
      <w:bookmarkEnd w:id="59"/>
      <w:bookmarkEnd w:id="60"/>
      <w:bookmarkEnd w:id="61"/>
      <w:bookmarkEnd w:id="62"/>
    </w:p>
    <w:p w:rsidR="00B15AC0" w:rsidRPr="00F402EE" w:rsidRDefault="00B15AC0" w:rsidP="003F4034">
      <w:pPr>
        <w:pStyle w:val="BodyText"/>
      </w:pPr>
      <w:r>
        <w:t xml:space="preserve">Over recent years, knowledge of source and attenuation parameters for southeastern Australian earthquakes has been significantly enhanced from empirical analysis of observed ground-motion data </w:t>
      </w:r>
      <w:r>
        <w:fldChar w:fldCharType="begin">
          <w:fldData xml:space="preserve">PEVuZE5vdGU+PENpdGU+PEF1dGhvcj5BbGxlbjwvQXV0aG9yPjxZZWFyPjIwMDc8L1llYXI+PFJl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</w:fldData>
        </w:fldChar>
      </w:r>
      <w:r w:rsidR="00F202D0">
        <w:instrText xml:space="preserve"> ADDIN EN.CITE </w:instrText>
      </w:r>
      <w:r w:rsidR="00F202D0">
        <w:fldChar w:fldCharType="begin">
          <w:fldData xml:space="preserve">PEVuZE5vdGU+PENpdGU+PEF1dGhvcj5BbGxlbjwvQXV0aG9yPjxZZWFyPjIwMDc8L1llYXI+PFJl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</w:fldData>
        </w:fldChar>
      </w:r>
      <w:r w:rsidR="00F202D0">
        <w:instrText xml:space="preserve"> ADDIN EN.CITE.DATA </w:instrText>
      </w:r>
      <w:r w:rsidR="00F202D0">
        <w:fldChar w:fldCharType="end"/>
      </w:r>
      <w:r>
        <w:fldChar w:fldCharType="separate"/>
      </w:r>
      <w:r>
        <w:rPr>
          <w:noProof/>
        </w:rPr>
        <w:t>(Allen</w:t>
      </w:r>
      <w:r w:rsidRPr="003D3528">
        <w:rPr>
          <w:i/>
          <w:noProof/>
        </w:rPr>
        <w:t xml:space="preserve"> et al.</w:t>
      </w:r>
      <w:r>
        <w:rPr>
          <w:noProof/>
        </w:rPr>
        <w:t>, 2004; Allen and Atkinson, 2007; Allen</w:t>
      </w:r>
      <w:r w:rsidRPr="003D3528">
        <w:rPr>
          <w:i/>
          <w:noProof/>
        </w:rPr>
        <w:t xml:space="preserve"> et al.</w:t>
      </w:r>
      <w:r>
        <w:rPr>
          <w:noProof/>
        </w:rPr>
        <w:t>, 2007)</w:t>
      </w:r>
      <w:r>
        <w:fldChar w:fldCharType="end"/>
      </w:r>
      <w:r>
        <w:t>.  Using new data and methods, the parameters provided in the aforementioned manuscripts are updated and their revision is discussed below.  Also discussed are the aleatory uncertainties (owing to natural randomness in earthquake processes) for the parameters, which are critical for the stochastic process.  All of the parameters below were determined from vertical-component ground-motions</w:t>
      </w:r>
      <w:r w:rsidR="001C42C7">
        <w:t xml:space="preserve">.  While most of the records are on rock sites, the vertical-component motions were considered less susceptible to site effects than horizontal motions, and thus would provide more reliable source and attenuation parameters. </w:t>
      </w:r>
    </w:p>
    <w:p w:rsidR="00B15AC0" w:rsidRDefault="00B15AC0" w:rsidP="005C7510">
      <w:pPr>
        <w:pStyle w:val="Heading2"/>
      </w:pPr>
      <w:bookmarkStart w:id="63" w:name="_Toc319656509"/>
      <w:bookmarkStart w:id="64" w:name="_Toc319656598"/>
      <w:bookmarkStart w:id="65" w:name="_Toc319918552"/>
      <w:bookmarkStart w:id="66" w:name="_Toc319918821"/>
      <w:bookmarkStart w:id="67" w:name="_Toc349112532"/>
      <w:r>
        <w:t>Geometrical attenuation</w:t>
      </w:r>
      <w:bookmarkEnd w:id="63"/>
      <w:bookmarkEnd w:id="64"/>
      <w:bookmarkEnd w:id="65"/>
      <w:bookmarkEnd w:id="66"/>
      <w:bookmarkEnd w:id="67"/>
    </w:p>
    <w:p w:rsidR="002710C3" w:rsidRDefault="00B15AC0" w:rsidP="003F4034">
      <w:pPr>
        <w:pStyle w:val="BodyText"/>
      </w:pPr>
      <w:r>
        <w:t xml:space="preserve">It is commonly observed in intraplate regions that the attenuation of the low-frequency spectrum with hypocentral distance can be described by a tri-linear geometrical attenuation curve </w:t>
      </w:r>
      <w:r>
        <w:fldChar w:fldCharType="begin">
          <w:fldData xml:space="preserve">PEVuZE5vdGU+PENpdGU+PEF1dGhvcj5CdXJnZXI8L0F1dGhvcj48WWVhcj4xOTg3PC9ZZWFyPjxS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=
</w:fldData>
        </w:fldChar>
      </w:r>
      <w:r w:rsidR="00F202D0">
        <w:instrText xml:space="preserve"> ADDIN EN.CITE </w:instrText>
      </w:r>
      <w:r w:rsidR="00F202D0">
        <w:fldChar w:fldCharType="begin">
          <w:fldData xml:space="preserve">PEVuZE5vdGU+PENpdGU+PEF1dGhvcj5CdXJnZXI8L0F1dGhvcj48WWVhcj4xOTg3PC9ZZWFyPjxS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=
</w:fldData>
        </w:fldChar>
      </w:r>
      <w:r w:rsidR="00F202D0">
        <w:instrText xml:space="preserve"> ADDIN EN.CITE.DATA </w:instrText>
      </w:r>
      <w:r w:rsidR="00F202D0">
        <w:fldChar w:fldCharType="end"/>
      </w:r>
      <w:r>
        <w:fldChar w:fldCharType="separate"/>
      </w:r>
      <w:r>
        <w:rPr>
          <w:noProof/>
        </w:rPr>
        <w:t>(Burger</w:t>
      </w:r>
      <w:r w:rsidRPr="003D3528">
        <w:rPr>
          <w:i/>
          <w:noProof/>
        </w:rPr>
        <w:t xml:space="preserve"> et al.</w:t>
      </w:r>
      <w:r>
        <w:rPr>
          <w:noProof/>
        </w:rPr>
        <w:t>, 1987; Atkinson, 2004; Edwards</w:t>
      </w:r>
      <w:r w:rsidRPr="003D3528">
        <w:rPr>
          <w:i/>
          <w:noProof/>
        </w:rPr>
        <w:t xml:space="preserve"> et al.</w:t>
      </w:r>
      <w:r>
        <w:rPr>
          <w:noProof/>
        </w:rPr>
        <w:t>, 2008)</w:t>
      </w:r>
      <w:r>
        <w:fldChar w:fldCharType="end"/>
      </w:r>
      <w:r>
        <w:t>.  In Australia,</w:t>
      </w:r>
      <w:r w:rsidRPr="00B1684E">
        <w:rPr>
          <w:noProof/>
        </w:rPr>
        <w:t xml:space="preserve"> </w:t>
      </w:r>
      <w:r>
        <w:rPr>
          <w:noProof/>
        </w:rPr>
        <w:t>Allen</w:t>
      </w:r>
      <w:r w:rsidRPr="00332AA7">
        <w:rPr>
          <w:rStyle w:val="Bodytextitalic"/>
        </w:rPr>
        <w:t xml:space="preserve"> et al.</w:t>
      </w:r>
      <w:r>
        <w:t xml:space="preserve"> </w:t>
      </w:r>
      <w:r>
        <w:fldChar w:fldCharType="begin"/>
      </w:r>
      <w:r w:rsidR="00F202D0">
        <w:instrText xml:space="preserve"> ADDIN EN.CITE &lt;EndNote&gt;&lt;Cite ExcludeAuth="1"&gt;&lt;Author&gt;Allen&lt;/Author&gt;&lt;Year&gt;2007&lt;/Year&gt;&lt;RecNum&gt;526&lt;/RecNum&gt;&lt;record&gt;&lt;rec-number&gt;526&lt;/rec-number&gt;&lt;foreign-keys&gt;&lt;key app="EN" db-id="se5z02d5txder3eax2p5wz5j59zvz2tdzdd2"&gt;526&lt;/key&gt;&lt;/foreign-keys&gt;&lt;ref-type name="Journal Article"&gt;17&lt;/ref-type&gt;&lt;contributors&gt;&lt;authors&gt;&lt;author&gt;Allen, T. I.&lt;/author&gt;&lt;author&gt;Cummins, P. R.&lt;/author&gt;&lt;author&gt;Dhu, T.&lt;/author&gt;&lt;author&gt;Schneider, J. F.&lt;/author&gt;&lt;/authors&gt;&lt;/contributors&gt;&lt;titles&gt;&lt;title&gt;Attenuation of ground-motion spectral amplitudes in southeastern Australia&lt;/title&gt;&lt;secondary-title&gt;Bull. Seism. Soc. Am.&lt;/secondary-title&gt;&lt;/titles&gt;&lt;periodical&gt;&lt;full-title&gt;Bull. Seism. Soc. Am.&lt;/full-title&gt;&lt;/periodical&gt;&lt;pages&gt;1279–1292&lt;/pages&gt;&lt;volume&gt;97&lt;/volume&gt;&lt;number&gt;4&lt;/number&gt;&lt;keywords&gt;&lt;keyword&gt;southeastern Australia, attenuation, Fourier&lt;/keyword&gt;&lt;/keywords&gt;&lt;dates&gt;&lt;year&gt;2007&lt;/year&gt;&lt;/dates&gt;&lt;urls&gt;&lt;pdf-urls&gt;&lt;url&gt;internal-pdf://Allen et al (2007). SE Aust.atten-2994310402/Allen et al (2007). SE Aust.atten.pdf&lt;/url&gt;&lt;/pdf-urls&gt;&lt;/urls&gt;&lt;/record&gt;&lt;/Cite&gt;&lt;/EndNote&gt;</w:instrText>
      </w:r>
      <w:r>
        <w:fldChar w:fldCharType="separate"/>
      </w:r>
      <w:r>
        <w:rPr>
          <w:noProof/>
        </w:rPr>
        <w:t>(2007)</w:t>
      </w:r>
      <w:r>
        <w:fldChar w:fldCharType="end"/>
      </w:r>
      <w:r>
        <w:t xml:space="preserve"> modelled amplitude decay of low-frequency spectra to be </w:t>
      </w:r>
      <w:r w:rsidRPr="00205AE4">
        <w:rPr>
          <w:i/>
          <w:spacing w:val="20"/>
        </w:rPr>
        <w:t>R</w:t>
      </w:r>
      <w:r>
        <w:rPr>
          <w:vertAlign w:val="superscript"/>
        </w:rPr>
        <w:t>-1.3</w:t>
      </w:r>
      <w:r>
        <w:t xml:space="preserve"> for </w:t>
      </w:r>
      <w:r w:rsidRPr="00332AA7">
        <w:rPr>
          <w:rStyle w:val="Bodytextitalic"/>
        </w:rPr>
        <w:t xml:space="preserve">R </w:t>
      </w:r>
      <w:r>
        <w:t>≤ 90</w:t>
      </w:r>
      <w:r w:rsidR="00A10096">
        <w:t xml:space="preserve"> </w:t>
      </w:r>
      <w:r>
        <w:t xml:space="preserve">km.  Geometrical attenuation coefficients with gradients steeper than -1 (i.e. up to </w:t>
      </w:r>
      <w:r w:rsidRPr="00332AA7">
        <w:rPr>
          <w:rStyle w:val="Bodytextitalic"/>
        </w:rPr>
        <w:t>R</w:t>
      </w:r>
      <w:r w:rsidRPr="00D9205D">
        <w:rPr>
          <w:vertAlign w:val="superscript"/>
        </w:rPr>
        <w:t>-</w:t>
      </w:r>
      <w:r>
        <w:rPr>
          <w:vertAlign w:val="superscript"/>
        </w:rPr>
        <w:t>1.3</w:t>
      </w:r>
      <w:r>
        <w:t xml:space="preserve">) are also empirically observed for sites </w:t>
      </w:r>
      <w:r w:rsidRPr="00332AA7">
        <w:rPr>
          <w:rStyle w:val="Bodytextitalic"/>
        </w:rPr>
        <w:t xml:space="preserve">R </w:t>
      </w:r>
      <w:r>
        <w:t>≤ 70</w:t>
      </w:r>
      <w:r w:rsidR="00A10096">
        <w:t xml:space="preserve"> </w:t>
      </w:r>
      <w:r>
        <w:t xml:space="preserve">km in ENA </w:t>
      </w:r>
      <w:r>
        <w:fldChar w:fldCharType="begin"/>
      </w:r>
      <w:r w:rsidR="00F202D0">
        <w:instrText xml:space="preserve"> ADDIN EN.CITE &lt;EndNote&gt;&lt;Cite&gt;&lt;Author&gt;Atkinson&lt;/Author&gt;&lt;Year&gt;2004&lt;/Year&gt;&lt;RecNum&gt;93&lt;/RecNum&gt;&lt;record&gt;&lt;rec-number&gt;93&lt;/rec-number&gt;&lt;foreign-keys&gt;&lt;key app="EN" db-id="se5z02d5txder3eax2p5wz5j59zvz2tdzdd2"&gt;93&lt;/key&gt;&lt;/foreign-keys&gt;&lt;ref-type name="Journal Article"&gt;17&lt;/ref-type&gt;&lt;contributors&gt;&lt;authors&gt;&lt;author&gt;Atkinson, G. M.&lt;/author&gt;&lt;/authors&gt;&lt;/contributors&gt;&lt;titles&gt;&lt;title&gt;Empirical attenuation of ground-motion spectral amplitudes in southeastern Canada and the northeastern United States&lt;/title&gt;&lt;secondary-title&gt;Bull. Seism. Soc. Am.&lt;/secondary-title&gt;&lt;/titles&gt;&lt;periodical&gt;&lt;full-title&gt;Bull. Seism. Soc. Am.&lt;/full-title&gt;&lt;/periodical&gt;&lt;pages&gt;1079-1095&lt;/pages&gt;&lt;volume&gt;94&lt;/volume&gt;&lt;number&gt;3&lt;/number&gt;&lt;dates&gt;&lt;year&gt;2004&lt;/year&gt;&lt;pub-dates&gt;&lt;date&gt;June 2004&lt;/date&gt;&lt;/pub-dates&gt;&lt;/dates&gt;&lt;urls&gt;&lt;pdf-urls&gt;&lt;url&gt;internal-pdf://Atkinson (2004) ground motion SE Canada and NE US-0289285376/Atkinson (2004) ground motion SE Canada and NE US.pdf&lt;/url&gt;&lt;/pdf-urls&gt;&lt;/urls&gt;&lt;/record&gt;&lt;/Cite&gt;&lt;/EndNote&gt;</w:instrText>
      </w:r>
      <w:r>
        <w:fldChar w:fldCharType="separate"/>
      </w:r>
      <w:r>
        <w:rPr>
          <w:noProof/>
        </w:rPr>
        <w:t>(Atkinson, 2004)</w:t>
      </w:r>
      <w:r>
        <w:fldChar w:fldCharType="end"/>
      </w:r>
      <w:r>
        <w:t>.</w:t>
      </w:r>
      <w:r w:rsidR="002710C3">
        <w:t xml:space="preserve">  Numerical simulations suggest that the near-source geometrical attenuation can be </w:t>
      </w:r>
      <w:r w:rsidR="002710C3" w:rsidRPr="00332AA7">
        <w:rPr>
          <w:rStyle w:val="Bodytextitalic"/>
        </w:rPr>
        <w:t>R</w:t>
      </w:r>
      <w:r w:rsidR="002710C3" w:rsidRPr="00D9205D">
        <w:rPr>
          <w:vertAlign w:val="superscript"/>
        </w:rPr>
        <w:t>-</w:t>
      </w:r>
      <w:r w:rsidR="002710C3">
        <w:rPr>
          <w:vertAlign w:val="superscript"/>
        </w:rPr>
        <w:t>1.3</w:t>
      </w:r>
      <w:r w:rsidR="002710C3">
        <w:t xml:space="preserve"> or greater </w:t>
      </w:r>
      <w:r w:rsidR="002710C3">
        <w:fldChar w:fldCharType="begin"/>
      </w:r>
      <w:r w:rsidR="00F202D0">
        <w:instrText xml:space="preserve"> ADDIN EN.CITE &lt;EndNote&gt;&lt;Cite&gt;&lt;Author&gt;Chapman&lt;/Author&gt;&lt;Year&gt;2010&lt;/Year&gt;&lt;RecNum&gt;1159&lt;/RecNum&gt;&lt;record&gt;&lt;rec-number&gt;1159&lt;/rec-number&gt;&lt;foreign-keys&gt;&lt;key app="EN" db-id="se5z02d5txder3eax2p5wz5j59zvz2tdzdd2"&gt;1159&lt;/key&gt;&lt;/foreign-keys&gt;&lt;ref-type name="Report"&gt;27&lt;/ref-type&gt;&lt;contributors&gt;&lt;authors&gt;&lt;author&gt;Chapman, M. C.&lt;/author&gt;&lt;author&gt;Godbee, R. W.&lt;/author&gt;&lt;/authors&gt;&lt;/contributors&gt;&lt;titles&gt;&lt;title&gt;Investigation into the nature of vertical strong ground motion&lt;/title&gt;&lt;/titles&gt;&lt;number&gt;Final Technical Report Award Number G09AP00074&lt;/number&gt;&lt;dates&gt;&lt;year&gt;2010&lt;/year&gt;&lt;/dates&gt;&lt;publisher&gt;Final Technical Report Award Number G09AP00074, Virginia Polytechnic Institute and State University, Blacksburg, Virginia&lt;/publisher&gt;&lt;urls&gt;&lt;pdf-urls&gt;&lt;url&gt;internal-pdf://Chapman &amp;amp; Godbee (2010).Vertical Strong Ground Mo-0247435013/Chapman &amp;amp; Godbee (2010).Vertical Strong Ground Motion.pdf&lt;/url&gt;&lt;/pdf-urls&gt;&lt;/urls&gt;&lt;/record&gt;&lt;/Cite&gt;&lt;Cite&gt;&lt;Author&gt;Chapman&lt;/Author&gt;&lt;Year&gt;2012&lt;/Year&gt;&lt;RecNum&gt;1428&lt;/RecNum&gt;&lt;record&gt;&lt;rec-number&gt;1428&lt;/rec-number&gt;&lt;foreign-keys&gt;&lt;key app="EN" db-id="se5z02d5txder3eax2p5wz5j59zvz2tdzdd2"&gt;1428&lt;/key&gt;&lt;/foreign-keys&gt;&lt;ref-type name="Journal Article"&gt;17&lt;/ref-type&gt;&lt;contributors&gt;&lt;authors&gt;&lt;author&gt;Chapman, M. C.&lt;/author&gt;&lt;author&gt;Godbee, R. W.&lt;/author&gt;&lt;/authors&gt;&lt;/contributors&gt;&lt;titles&gt;&lt;title&gt;Modeling geometrical spreading and the relative amplitudes of vertical and horizontal high-frequency ground motions in eastern North America&lt;/title&gt;&lt;secondary-title&gt;Bull. Seism. Soc. Am.&lt;/secondary-title&gt;&lt;/titles&gt;&lt;periodical&gt;&lt;full-title&gt;Bull. Seism. Soc. Am.&lt;/full-title&gt;&lt;/periodical&gt;&lt;pages&gt;1957–1975&lt;/pages&gt;&lt;volume&gt;102&lt;/volume&gt;&lt;number&gt;5&lt;/number&gt;&lt;dates&gt;&lt;year&gt;2012&lt;/year&gt;&lt;/dates&gt;&lt;urls&gt;&lt;pdf-urls&gt;&lt;url&gt;internal-pdf://Chapman and Godbee (2012).ENA_geometrical_spreading-0755319553/Chapman and Godbee (2012).ENA_geometrical_spreading.pdf&lt;/url&gt;&lt;/pdf-urls&gt;&lt;/urls&gt;&lt;electronic-resource-num&gt;doi: 10.1785/0120110081&lt;/electronic-resource-num&gt;&lt;/record&gt;&lt;/Cite&gt;&lt;/EndNote&gt;</w:instrText>
      </w:r>
      <w:r w:rsidR="002710C3">
        <w:fldChar w:fldCharType="separate"/>
      </w:r>
      <w:r w:rsidR="003D2A2A">
        <w:t>(Chapman and Godbee, 2010; 2012)</w:t>
      </w:r>
      <w:r w:rsidR="002710C3">
        <w:fldChar w:fldCharType="end"/>
      </w:r>
      <w:r w:rsidR="002710C3">
        <w:t>.  While the aforementioned studies suggest higher attenuation for vertical motions than for horizontal motions is possible, empirical evidence for SEA suggests this effect is minor</w:t>
      </w:r>
      <w:r w:rsidR="00E223AB">
        <w:t xml:space="preserve"> (e.g., Allen </w:t>
      </w:r>
      <w:r w:rsidR="00E223AB" w:rsidRPr="00332AA7">
        <w:rPr>
          <w:rStyle w:val="Bodytextitalic"/>
        </w:rPr>
        <w:t>et al.</w:t>
      </w:r>
      <w:r w:rsidR="00E223AB">
        <w:t>, 2007)</w:t>
      </w:r>
      <w:r w:rsidR="002710C3">
        <w:t>, and the average difference in attenuation is accommodated in the horizontal-to-vertical (H/V) amplification model for each frequency to be discussed later.</w:t>
      </w:r>
    </w:p>
    <w:p w:rsidR="00B15AC0" w:rsidRDefault="00B15AC0" w:rsidP="003F4034">
      <w:pPr>
        <w:pStyle w:val="BodyText"/>
      </w:pPr>
      <w:r>
        <w:t xml:space="preserve">In SEA, this rate of attenuation is observed to a transition zone in which direct waves are joined by postcritical reflections from the Moho.  </w:t>
      </w:r>
      <w:r w:rsidR="002C0314">
        <w:t xml:space="preserve">In </w:t>
      </w:r>
      <w:r>
        <w:t>this transition zone, a slight amplification in ground</w:t>
      </w:r>
      <w:r w:rsidR="00BB47A7">
        <w:t>-</w:t>
      </w:r>
      <w:r>
        <w:t xml:space="preserve">motion was observed to a distance of </w:t>
      </w:r>
      <w:r w:rsidR="002C0314">
        <w:t xml:space="preserve">approximately </w:t>
      </w:r>
      <w:r>
        <w:t xml:space="preserve">160 km.  Beyond 160 km, </w:t>
      </w:r>
      <w:r>
        <w:rPr>
          <w:noProof/>
        </w:rPr>
        <w:t>Allen</w:t>
      </w:r>
      <w:r w:rsidRPr="00332AA7">
        <w:rPr>
          <w:rStyle w:val="Bodytextitalic"/>
        </w:rPr>
        <w:t xml:space="preserve"> et al.</w:t>
      </w:r>
      <w:r>
        <w:t xml:space="preserve"> </w:t>
      </w:r>
      <w:r>
        <w:fldChar w:fldCharType="begin"/>
      </w:r>
      <w:r w:rsidR="00F202D0">
        <w:instrText xml:space="preserve"> ADDIN EN.CITE &lt;EndNote&gt;&lt;Cite ExcludeAuth="1"&gt;&lt;Author&gt;Allen&lt;/Author&gt;&lt;Year&gt;2007&lt;/Year&gt;&lt;RecNum&gt;526&lt;/RecNum&gt;&lt;record&gt;&lt;rec-number&gt;526&lt;/rec-number&gt;&lt;foreign-keys&gt;&lt;key app="EN" db-id="se5z02d5txder3eax2p5wz5j59zvz2tdzdd2"&gt;526&lt;/key&gt;&lt;/foreign-keys&gt;&lt;ref-type name="Journal Article"&gt;17&lt;/ref-type&gt;&lt;contributors&gt;&lt;authors&gt;&lt;author&gt;Allen, T. I.&lt;/author&gt;&lt;author&gt;Cummins, P. R.&lt;/author&gt;&lt;author&gt;Dhu, T.&lt;/author&gt;&lt;author&gt;Schneider, J. F.&lt;/author&gt;&lt;/authors&gt;&lt;/contributors&gt;&lt;titles&gt;&lt;title&gt;Attenuation of ground-motion spectral amplitudes in southeastern Australia&lt;/title&gt;&lt;secondary-title&gt;Bull. Seism. Soc. Am.&lt;/secondary-title&gt;&lt;/titles&gt;&lt;periodical&gt;&lt;full-title&gt;Bull. Seism. Soc. Am.&lt;/full-title&gt;&lt;/periodical&gt;&lt;pages&gt;1279–1292&lt;/pages&gt;&lt;volume&gt;97&lt;/volume&gt;&lt;number&gt;4&lt;/number&gt;&lt;keywords&gt;&lt;keyword&gt;southeastern Australia, attenuation, Fourier&lt;/keyword&gt;&lt;/keywords&gt;&lt;dates&gt;&lt;year&gt;2007&lt;/year&gt;&lt;/dates&gt;&lt;urls&gt;&lt;pdf-urls&gt;&lt;url&gt;internal-pdf://Allen et al (2007). SE Aust.atten-2994310402/Allen et al (2007). SE Aust.atten.pdf&lt;/url&gt;&lt;/pdf-urls&gt;&lt;/urls&gt;&lt;/record&gt;&lt;/Cite&gt;&lt;/EndNote&gt;</w:instrText>
      </w:r>
      <w:r>
        <w:fldChar w:fldCharType="separate"/>
      </w:r>
      <w:r>
        <w:rPr>
          <w:noProof/>
        </w:rPr>
        <w:t>(2007)</w:t>
      </w:r>
      <w:r>
        <w:fldChar w:fldCharType="end"/>
      </w:r>
      <w:r>
        <w:t xml:space="preserve"> modelled the low-frequency spectrum to attenuate as </w:t>
      </w:r>
      <w:r w:rsidRPr="00205AE4">
        <w:rPr>
          <w:i/>
          <w:spacing w:val="20"/>
        </w:rPr>
        <w:t>R</w:t>
      </w:r>
      <w:r>
        <w:rPr>
          <w:vertAlign w:val="superscript"/>
        </w:rPr>
        <w:t>-1.6</w:t>
      </w:r>
      <w:r>
        <w:t xml:space="preserve">.  </w:t>
      </w:r>
      <w:r w:rsidR="002C0314">
        <w:t>T</w:t>
      </w:r>
      <w:r>
        <w:t>he high attenuation observed in SEA</w:t>
      </w:r>
      <w:r w:rsidR="002C0314">
        <w:t xml:space="preserve"> beyond the transition zone</w:t>
      </w:r>
      <w:r>
        <w:t xml:space="preserve"> is due to the broad crustal velocity gradient </w:t>
      </w:r>
      <w:r>
        <w:fldChar w:fldCharType="begin"/>
      </w:r>
      <w:r w:rsidR="00F202D0">
        <w:instrText xml:space="preserve"> ADDIN EN.CITE &lt;EndNote&gt;&lt;Cite&gt;&lt;Author&gt;Collins&lt;/Author&gt;&lt;Year&gt;2003&lt;/Year&gt;&lt;RecNum&gt;1117&lt;/RecNum&gt;&lt;record&gt;&lt;rec-number&gt;1117&lt;/rec-number&gt;&lt;foreign-keys&gt;&lt;key app="EN" db-id="se5z02d5txder3eax2p5wz5j59zvz2tdzdd2"&gt;1117&lt;/key&gt;&lt;/foreign-keys&gt;&lt;ref-type name="Book Section"&gt;5&lt;/ref-type&gt;&lt;contributors&gt;&lt;authors&gt;&lt;author&gt;Collins, C. D. N.&lt;/author&gt;&lt;author&gt;Drummond, B. J.&lt;/author&gt;&lt;author&gt;Nicoll, M. G.&lt;/author&gt;&lt;/authors&gt;&lt;secondary-authors&gt;&lt;author&gt;Hillis, R. R.&lt;/author&gt;&lt;author&gt;Müller, R. D.&lt;/author&gt;&lt;/secondary-authors&gt;&lt;/contributors&gt;&lt;titles&gt;&lt;title&gt;Crustal thickness patterns in the Australian continent&lt;/title&gt;&lt;secondary-title&gt;Evolution and dynamics of the Australian Plate&lt;/secondary-title&gt;&lt;/titles&gt;&lt;pages&gt;121–128&lt;/pages&gt;&lt;volume&gt;Geol. Soc. Australia Spec. Publ. 22, and Geol. Soc. America Spec. Pap. 372&lt;/volume&gt;&lt;keywords&gt;&lt;keyword&gt;Australia, crustal thickness, continental crust, Moho, seismic data&lt;/keyword&gt;&lt;/keywords&gt;&lt;dates&gt;&lt;year&gt;2003&lt;/year&gt;&lt;/dates&gt;&lt;pub-location&gt;Boulder, CO&lt;/pub-location&gt;&lt;publisher&gt;Geological Society of America&lt;/publisher&gt;&lt;urls&gt;&lt;pdf-urls&gt;&lt;url&gt;internal-pdf://Collins_et_al_2003_crustal_thickness-3045231621/Collins_et_al_2003_crustal_thickness.pdf&lt;/url&gt;&lt;/pdf-urls&gt;&lt;/urls&gt;&lt;/record&gt;&lt;/Cite&gt;&lt;/EndNote&gt;</w:instrText>
      </w:r>
      <w:r>
        <w:fldChar w:fldCharType="separate"/>
      </w:r>
      <w:r>
        <w:rPr>
          <w:noProof/>
        </w:rPr>
        <w:t>(Collins</w:t>
      </w:r>
      <w:r w:rsidRPr="003D3528">
        <w:rPr>
          <w:i/>
          <w:noProof/>
        </w:rPr>
        <w:t xml:space="preserve"> et al.</w:t>
      </w:r>
      <w:r>
        <w:rPr>
          <w:noProof/>
        </w:rPr>
        <w:t>, 2003)</w:t>
      </w:r>
      <w:r>
        <w:fldChar w:fldCharType="end"/>
      </w:r>
      <w:r>
        <w:t xml:space="preserve"> that allows dispersion of </w:t>
      </w:r>
      <w:r w:rsidRPr="00332AA7">
        <w:rPr>
          <w:rStyle w:val="Bodytextitalic"/>
        </w:rPr>
        <w:t>Lg</w:t>
      </w:r>
      <w:r>
        <w:t xml:space="preserve">-wave energy into the upper mantle </w:t>
      </w:r>
      <w:r>
        <w:fldChar w:fldCharType="begin"/>
      </w:r>
      <w:r w:rsidR="00ED1C32">
        <w:instrText xml:space="preserve"> ADDIN EN.CITE </w:instrText>
      </w:r>
      <w:r w:rsidR="00ED1C32">
        <w:fldChar w:fldCharType="begin"/>
      </w:r>
      <w:r w:rsidR="00ED1C32">
        <w:instrText xml:space="preserve"> ADDIN EN.CITE.DATA </w:instrText>
      </w:r>
      <w:r w:rsidR="00ED1C32">
        <w:instrText>渁</w:instrText>
      </w:r>
      <w:r w:rsidR="00ED1C32">
        <w:fldChar w:fldCharType="end"/>
      </w:r>
      <w:r>
        <w:fldChar w:fldCharType="separate"/>
      </w:r>
      <w:r>
        <w:rPr>
          <w:noProof/>
        </w:rPr>
        <w:t>(e.g., Bowman and Kennett, 1991; Atkinson and Mereu, 1992)</w:t>
      </w:r>
      <w:r>
        <w:fldChar w:fldCharType="end"/>
      </w:r>
      <w:r>
        <w:t>.</w:t>
      </w:r>
    </w:p>
    <w:p w:rsidR="00B15AC0" w:rsidRPr="006F2F50" w:rsidRDefault="00B15AC0" w:rsidP="003F4034">
      <w:pPr>
        <w:pStyle w:val="BodyText"/>
      </w:pPr>
      <w:r>
        <w:t xml:space="preserve">The normalized Fourier spectra at 2 Hz are plotted for all earthquakes that have at least </w:t>
      </w:r>
      <w:r w:rsidR="002C0314">
        <w:t xml:space="preserve">three </w:t>
      </w:r>
      <w:r>
        <w:t xml:space="preserve">stations at distances </w:t>
      </w:r>
      <w:r w:rsidRPr="00332AA7">
        <w:rPr>
          <w:rStyle w:val="Bodytextitalic"/>
        </w:rPr>
        <w:t xml:space="preserve">R </w:t>
      </w:r>
      <w:r>
        <w:t xml:space="preserve">≤ 100 km.  These observations are subsequently binned in one-tenth log units and the median values computed.  The Nelder-Mead technique is used to optimize the L2 objective function for a piecewise tri-linear geometrical attenuation function to the median amplitudes (Fig. 4).  The geometrical attenuation curve </w:t>
      </w:r>
      <w:r w:rsidRPr="00C634A4">
        <w:rPr>
          <w:i/>
          <w:spacing w:val="20"/>
        </w:rPr>
        <w:t>G</w:t>
      </w:r>
      <w:r w:rsidRPr="009F3CAE">
        <w:t>(</w:t>
      </w:r>
      <w:r w:rsidRPr="00332AA7">
        <w:rPr>
          <w:rStyle w:val="Bodytextitalic"/>
        </w:rPr>
        <w:t>R</w:t>
      </w:r>
      <w:r>
        <w:t>) derived for SEA in the present study can be represented by:</w:t>
      </w:r>
    </w:p>
    <w:bookmarkStart w:id="68" w:name="OLE_LINK7"/>
    <w:p w:rsidR="00B15AC0" w:rsidRDefault="009E36A2" w:rsidP="00BF4007">
      <w:pPr>
        <w:pStyle w:val="Equation"/>
      </w:pPr>
      <w:r w:rsidRPr="009E36A2">
        <w:rPr>
          <w:position w:val="-50"/>
        </w:rPr>
        <w:object w:dxaOrig="5020" w:dyaOrig="1120">
          <v:shape id="_x0000_i1028" type="#_x0000_t75" style="width:251.5pt;height:56.3pt" o:ole="">
            <v:imagedata r:id="rId33" o:title=""/>
          </v:shape>
          <o:OLEObject Type="Embed" ProgID="Equation.3" ShapeID="_x0000_i1028" DrawAspect="Content" ObjectID="_1426934405" r:id="rId34"/>
        </w:object>
      </w:r>
      <w:r w:rsidR="00B15AC0" w:rsidRPr="0045468D">
        <w:t xml:space="preserve">   </w:t>
      </w:r>
      <w:r w:rsidR="00B15AC0" w:rsidRPr="0045468D">
        <w:rPr>
          <w:position w:val="-52"/>
        </w:rPr>
        <w:object w:dxaOrig="1460" w:dyaOrig="1180">
          <v:shape id="_x0000_i1029" type="#_x0000_t75" style="width:73.5pt;height:59.3pt" o:ole="">
            <v:imagedata r:id="rId35" o:title=""/>
          </v:shape>
          <o:OLEObject Type="Embed" ProgID="Equation.3" ShapeID="_x0000_i1029" DrawAspect="Content" ObjectID="_1426934406" r:id="rId36"/>
        </w:object>
      </w:r>
      <w:bookmarkEnd w:id="68"/>
      <w:r w:rsidR="00B15AC0" w:rsidRPr="0045468D">
        <w:t>.</w:t>
      </w:r>
      <w:r w:rsidR="00B15AC0" w:rsidRPr="0045468D">
        <w:tab/>
        <w:t>(4)</w:t>
      </w:r>
    </w:p>
    <w:p w:rsidR="003630A2" w:rsidRDefault="003630A2" w:rsidP="003630A2">
      <w:pPr>
        <w:pStyle w:val="BodyText"/>
      </w:pPr>
      <w:r>
        <w:t xml:space="preserve">Comparisons of the coefficients </w:t>
      </w:r>
      <w:r w:rsidRPr="00332AA7">
        <w:rPr>
          <w:rStyle w:val="Bodytextitalic"/>
        </w:rPr>
        <w:t>b</w:t>
      </w:r>
      <w:r w:rsidRPr="009E36A2">
        <w:rPr>
          <w:vertAlign w:val="subscript"/>
        </w:rPr>
        <w:t>1</w:t>
      </w:r>
      <w:r>
        <w:t xml:space="preserve">, </w:t>
      </w:r>
      <w:r w:rsidRPr="00332AA7">
        <w:rPr>
          <w:rStyle w:val="Bodytextitalic"/>
        </w:rPr>
        <w:t>b</w:t>
      </w:r>
      <w:r w:rsidRPr="009E36A2">
        <w:rPr>
          <w:vertAlign w:val="subscript"/>
        </w:rPr>
        <w:t>2</w:t>
      </w:r>
      <w:r>
        <w:t xml:space="preserve">, </w:t>
      </w:r>
      <w:r w:rsidRPr="00332AA7">
        <w:rPr>
          <w:rStyle w:val="Bodytextitalic"/>
        </w:rPr>
        <w:t>b</w:t>
      </w:r>
      <w:r w:rsidRPr="009E36A2">
        <w:rPr>
          <w:vertAlign w:val="subscript"/>
        </w:rPr>
        <w:t>3</w:t>
      </w:r>
      <w:r>
        <w:t xml:space="preserve">, </w:t>
      </w:r>
      <w:r w:rsidRPr="00332AA7">
        <w:rPr>
          <w:rStyle w:val="Bodytextitalic"/>
        </w:rPr>
        <w:t>R</w:t>
      </w:r>
      <w:r w:rsidRPr="009E36A2">
        <w:rPr>
          <w:vertAlign w:val="subscript"/>
        </w:rPr>
        <w:t>1</w:t>
      </w:r>
      <w:r>
        <w:t xml:space="preserve">, and </w:t>
      </w:r>
      <w:r w:rsidRPr="00332AA7">
        <w:rPr>
          <w:rStyle w:val="Bodytextitalic"/>
        </w:rPr>
        <w:t>R</w:t>
      </w:r>
      <w:r w:rsidRPr="009E36A2">
        <w:rPr>
          <w:vertAlign w:val="subscript"/>
        </w:rPr>
        <w:t>2</w:t>
      </w:r>
      <w:r>
        <w:t xml:space="preserve"> from the present study and those of Allen</w:t>
      </w:r>
      <w:r w:rsidRPr="00B1684E">
        <w:t xml:space="preserve"> </w:t>
      </w:r>
      <w:r w:rsidRPr="00332AA7">
        <w:rPr>
          <w:rStyle w:val="Bodytextitalic"/>
        </w:rPr>
        <w:t>et al.</w:t>
      </w:r>
      <w:r>
        <w:t xml:space="preserve"> </w:t>
      </w:r>
      <w:r>
        <w:fldChar w:fldCharType="begin"/>
      </w:r>
      <w:r w:rsidR="00F202D0">
        <w:instrText xml:space="preserve"> ADDIN EN.CITE &lt;EndNote&gt;&lt;Cite ExcludeAuth="1"&gt;&lt;Author&gt;Allen&lt;/Author&gt;&lt;Year&gt;2007&lt;/Year&gt;&lt;RecNum&gt;526&lt;/RecNum&gt;&lt;record&gt;&lt;rec-number&gt;526&lt;/rec-number&gt;&lt;foreign-keys&gt;&lt;key app="EN" db-id="se5z02d5txder3eax2p5wz5j59zvz2tdzdd2"&gt;526&lt;/key&gt;&lt;/foreign-keys&gt;&lt;ref-type name="Journal Article"&gt;17&lt;/ref-type&gt;&lt;contributors&gt;&lt;authors&gt;&lt;author&gt;Allen, T. I.&lt;/author&gt;&lt;author&gt;Cummins, P. R.&lt;/author&gt;&lt;author&gt;Dhu, T.&lt;/author&gt;&lt;author&gt;Schneider, J. F.&lt;/author&gt;&lt;/authors&gt;&lt;/contributors&gt;&lt;titles&gt;&lt;title&gt;Attenuation of ground-motion spectral amplitudes in southeastern Australia&lt;/title&gt;&lt;secondary-title&gt;Bull. Seism. Soc. Am.&lt;/secondary-title&gt;&lt;/titles&gt;&lt;periodical&gt;&lt;full-title&gt;Bull. Seism. Soc. Am.&lt;/full-title&gt;&lt;/periodical&gt;&lt;pages&gt;1279–1292&lt;/pages&gt;&lt;volume&gt;97&lt;/volume&gt;&lt;number&gt;4&lt;/number&gt;&lt;keywords&gt;&lt;keyword&gt;southeastern Australia, attenuation, Fourier&lt;/keyword&gt;&lt;/keywords&gt;&lt;dates&gt;&lt;year&gt;2007&lt;/year&gt;&lt;/dates&gt;&lt;urls&gt;&lt;pdf-urls&gt;&lt;url&gt;internal-pdf://Allen et al (2007). SE Aust.atten-2994310402/Allen et al (2007). SE Aust.atten.pdf&lt;/url&gt;&lt;/pdf-urls&gt;&lt;/urls&gt;&lt;/record&gt;&lt;/Cite&gt;&lt;/EndNote&gt;</w:instrText>
      </w:r>
      <w:r>
        <w:fldChar w:fldCharType="separate"/>
      </w:r>
      <w:r>
        <w:t>(2007)</w:t>
      </w:r>
      <w:r>
        <w:fldChar w:fldCharType="end"/>
      </w:r>
      <w:r>
        <w:t xml:space="preserve"> are provided in Table 3.  While the differences between the geometrical attenuation functions developed herein are relatively minor compared to those presented in Allen</w:t>
      </w:r>
      <w:r w:rsidRPr="00B1684E">
        <w:t xml:space="preserve"> </w:t>
      </w:r>
      <w:r w:rsidRPr="00332AA7">
        <w:rPr>
          <w:rStyle w:val="Bodytextitalic"/>
        </w:rPr>
        <w:t>et al.</w:t>
      </w:r>
      <w:r>
        <w:t xml:space="preserve"> </w:t>
      </w:r>
      <w:r>
        <w:fldChar w:fldCharType="begin"/>
      </w:r>
      <w:r w:rsidR="00F202D0">
        <w:instrText xml:space="preserve"> ADDIN EN.CITE &lt;EndNote&gt;&lt;Cite ExcludeAuth="1"&gt;&lt;Author&gt;Allen&lt;/Author&gt;&lt;Year&gt;2007&lt;/Year&gt;&lt;RecNum&gt;526&lt;/RecNum&gt;&lt;record&gt;&lt;rec-number&gt;526&lt;/rec-number&gt;&lt;foreign-keys&gt;&lt;key app="EN" db-id="se5z02d5txder3eax2p5wz5j59zvz2tdzdd2"&gt;526&lt;/key&gt;&lt;/foreign-keys&gt;&lt;ref-type name="Journal Article"&gt;17&lt;/ref-type&gt;&lt;contributors&gt;&lt;authors&gt;&lt;author&gt;Allen, T. I.&lt;/author&gt;&lt;author&gt;Cummins, P. R.&lt;/author&gt;&lt;author&gt;Dhu, T.&lt;/author&gt;&lt;author&gt;Schneider, J. F.&lt;/author&gt;&lt;/authors&gt;&lt;/contributors&gt;&lt;titles&gt;&lt;title&gt;Attenuation of ground-motion spectral amplitudes in southeastern Australia&lt;/title&gt;&lt;secondary-title&gt;Bull. Seism. Soc. Am.&lt;/secondary-title&gt;&lt;/titles&gt;&lt;periodical&gt;&lt;full-title&gt;Bull. Seism. Soc. Am.&lt;/full-title&gt;&lt;/periodical&gt;&lt;pages&gt;1279–1292&lt;/pages&gt;&lt;volume&gt;97&lt;/volume&gt;&lt;number&gt;4&lt;/number&gt;&lt;keywords&gt;&lt;keyword&gt;southeastern Australia, attenuation, Fourier&lt;/keyword&gt;&lt;/keywords&gt;&lt;dates&gt;&lt;year&gt;2007&lt;/year&gt;&lt;/dates&gt;&lt;urls&gt;&lt;pdf-urls&gt;&lt;url&gt;internal-pdf://Allen et al (2007). SE Aust.atten-2994310402/Allen et al (2007). SE Aust.atten.pdf&lt;/url&gt;&lt;/pdf-urls&gt;&lt;/urls&gt;&lt;/record&gt;&lt;/Cite&gt;&lt;/EndNote&gt;</w:instrText>
      </w:r>
      <w:r>
        <w:fldChar w:fldCharType="separate"/>
      </w:r>
      <w:r>
        <w:t>(2007)</w:t>
      </w:r>
      <w:r>
        <w:fldChar w:fldCharType="end"/>
      </w:r>
      <w:r>
        <w:t>, the differences observed at distances beyond 90 km are significant and these effects should be considered for subsequent analysis.</w:t>
      </w:r>
    </w:p>
    <w:p w:rsidR="009E36A2" w:rsidRDefault="009E36A2" w:rsidP="009E36A2"/>
    <w:p w:rsidR="009E36A2" w:rsidRPr="009E36A2" w:rsidRDefault="009E36A2" w:rsidP="009E36A2">
      <w:pPr>
        <w:rPr>
          <w:lang w:val="en-NZ" w:eastAsia="en-US"/>
        </w:rPr>
      </w:pPr>
    </w:p>
    <w:p w:rsidR="00E033F4" w:rsidRPr="008818F0" w:rsidRDefault="00551E1A" w:rsidP="00E033F4">
      <w:pPr>
        <w:pStyle w:val="InlineObject"/>
      </w:pPr>
      <w:r>
        <w:rPr>
          <w:noProof/>
        </w:rPr>
        <w:lastRenderedPageBreak/>
        <w:drawing>
          <wp:inline distT="0" distB="0" distL="0" distR="0">
            <wp:extent cx="2419350" cy="2876550"/>
            <wp:effectExtent l="0" t="0" r="0" b="0"/>
            <wp:docPr id="12" name="Picture 12" descr="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9350" cy="2876550"/>
                    </a:xfrm>
                    <a:prstGeom prst="rect">
                      <a:avLst/>
                    </a:prstGeom>
                    <a:noFill/>
                    <a:ln>
                      <a:noFill/>
                    </a:ln>
                  </pic:spPr>
                </pic:pic>
              </a:graphicData>
            </a:graphic>
          </wp:inline>
        </w:drawing>
      </w:r>
    </w:p>
    <w:p w:rsidR="00E033F4" w:rsidRDefault="00E033F4" w:rsidP="00183EB1">
      <w:pPr>
        <w:pStyle w:val="Captions"/>
      </w:pPr>
      <w:bookmarkStart w:id="69" w:name="_Toc338429318"/>
      <w:r w:rsidRPr="00ED3EA1">
        <w:rPr>
          <w:rStyle w:val="Bodytextbold"/>
        </w:rPr>
        <w:t xml:space="preserve">Figure </w:t>
      </w:r>
      <w:r w:rsidRPr="008818F0">
        <w:rPr>
          <w:b/>
        </w:rPr>
        <w:fldChar w:fldCharType="begin"/>
      </w:r>
      <w:r w:rsidRPr="008818F0">
        <w:rPr>
          <w:b/>
        </w:rPr>
        <w:instrText xml:space="preserve"> SEQ Figure \* ARABIC </w:instrText>
      </w:r>
      <w:r w:rsidRPr="008818F0">
        <w:rPr>
          <w:b/>
        </w:rPr>
        <w:fldChar w:fldCharType="separate"/>
      </w:r>
      <w:r>
        <w:rPr>
          <w:b/>
          <w:noProof/>
        </w:rPr>
        <w:t>4</w:t>
      </w:r>
      <w:r w:rsidRPr="008818F0">
        <w:rPr>
          <w:b/>
        </w:rPr>
        <w:fldChar w:fldCharType="end"/>
      </w:r>
      <w:r w:rsidRPr="00ED3EA1">
        <w:rPr>
          <w:rStyle w:val="Bodytextbold"/>
        </w:rPr>
        <w:t>:</w:t>
      </w:r>
      <w:r>
        <w:t xml:space="preserve">  The geometrical attenuation curve </w:t>
      </w:r>
      <w:r w:rsidRPr="00ED3EA1">
        <w:t>G</w:t>
      </w:r>
      <w:r w:rsidRPr="009F3CAE">
        <w:t>(</w:t>
      </w:r>
      <w:r w:rsidRPr="00204850">
        <w:t>R</w:t>
      </w:r>
      <w:r>
        <w:t>) derived for SEA.  Normalised individual 2 Hz amplitude data (grey crosses) are binned by distance in 0.05 logarithmically spaced windows.  The median normalised amplitude in each bin is indicated by the solid grey squares.  These median values are in turn optimised to find the best fit for a tri-linear geometrical attenuation function as represented by Equation 4 and Table 3.</w:t>
      </w:r>
      <w:bookmarkEnd w:id="69"/>
    </w:p>
    <w:p w:rsidR="00B15AC0" w:rsidRPr="00A337D0" w:rsidRDefault="00B15AC0" w:rsidP="00E033F4">
      <w:pPr>
        <w:pStyle w:val="Tabletitle"/>
      </w:pPr>
      <w:bookmarkStart w:id="70" w:name="_Toc338429897"/>
      <w:r w:rsidRPr="00ED3EA1">
        <w:rPr>
          <w:rStyle w:val="Bodytextbold"/>
        </w:rPr>
        <w:t xml:space="preserve">Table </w:t>
      </w:r>
      <w:r w:rsidRPr="00C409B2">
        <w:rPr>
          <w:b/>
        </w:rPr>
        <w:fldChar w:fldCharType="begin"/>
      </w:r>
      <w:r w:rsidRPr="00C409B2">
        <w:rPr>
          <w:b/>
        </w:rPr>
        <w:instrText xml:space="preserve"> SEQ Table \* ARABIC </w:instrText>
      </w:r>
      <w:r w:rsidRPr="00C409B2">
        <w:rPr>
          <w:b/>
        </w:rPr>
        <w:fldChar w:fldCharType="separate"/>
      </w:r>
      <w:r w:rsidR="007D4E78">
        <w:rPr>
          <w:b/>
          <w:noProof/>
        </w:rPr>
        <w:t>3</w:t>
      </w:r>
      <w:r w:rsidRPr="00C409B2">
        <w:rPr>
          <w:b/>
        </w:rPr>
        <w:fldChar w:fldCharType="end"/>
      </w:r>
      <w:r w:rsidRPr="00ED3EA1">
        <w:rPr>
          <w:rStyle w:val="Bodytextbold"/>
        </w:rPr>
        <w:t>:</w:t>
      </w:r>
      <w:r>
        <w:t xml:space="preserve">  Comparison of geometrical attenuation coefficients described in Equation 4 from the Allen et al. (2007) and present </w:t>
      </w:r>
      <w:r w:rsidR="004778A7">
        <w:t>study</w:t>
      </w:r>
      <w:r>
        <w:t>.  Coefficients from the present study were obtained from source-normalised Fourier displacement spectra at 2 Hz.</w:t>
      </w:r>
      <w:bookmarkEnd w:id="70"/>
    </w:p>
    <w:tbl>
      <w:tblPr>
        <w:tblW w:w="0" w:type="auto"/>
        <w:tblLook w:val="04A0" w:firstRow="1" w:lastRow="0" w:firstColumn="1" w:lastColumn="0" w:noHBand="0" w:noVBand="1"/>
      </w:tblPr>
      <w:tblGrid>
        <w:gridCol w:w="3095"/>
        <w:gridCol w:w="3095"/>
        <w:gridCol w:w="3096"/>
      </w:tblGrid>
      <w:tr w:rsidR="00B15AC0" w:rsidTr="008D7DE6">
        <w:tc>
          <w:tcPr>
            <w:tcW w:w="3095" w:type="dxa"/>
            <w:tcBorders>
              <w:top w:val="single" w:sz="4" w:space="0" w:color="auto"/>
              <w:bottom w:val="single" w:sz="4" w:space="0" w:color="auto"/>
            </w:tcBorders>
            <w:shd w:val="clear" w:color="auto" w:fill="D9D9D9"/>
          </w:tcPr>
          <w:p w:rsidR="00B15AC0" w:rsidRDefault="00B15AC0" w:rsidP="00CE4366">
            <w:pPr>
              <w:pStyle w:val="Tableheadingrow"/>
            </w:pPr>
            <w:r>
              <w:t>Coefficient</w:t>
            </w:r>
          </w:p>
        </w:tc>
        <w:tc>
          <w:tcPr>
            <w:tcW w:w="3095" w:type="dxa"/>
            <w:tcBorders>
              <w:top w:val="single" w:sz="4" w:space="0" w:color="auto"/>
              <w:bottom w:val="single" w:sz="4" w:space="0" w:color="auto"/>
            </w:tcBorders>
            <w:shd w:val="clear" w:color="auto" w:fill="D9D9D9"/>
          </w:tcPr>
          <w:p w:rsidR="00B15AC0" w:rsidRDefault="00B15AC0" w:rsidP="00CE4366">
            <w:pPr>
              <w:pStyle w:val="Tableheadingrow"/>
            </w:pPr>
            <w:r>
              <w:rPr>
                <w:noProof/>
              </w:rPr>
              <w:t>Allen</w:t>
            </w:r>
            <w:r w:rsidRPr="00B452CB">
              <w:rPr>
                <w:i/>
                <w:noProof/>
              </w:rPr>
              <w:t xml:space="preserve"> </w:t>
            </w:r>
            <w:r w:rsidRPr="000B16C9">
              <w:rPr>
                <w:i/>
                <w:caps w:val="0"/>
                <w:noProof/>
              </w:rPr>
              <w:t>et al.</w:t>
            </w:r>
            <w:r>
              <w:t xml:space="preserve"> </w:t>
            </w:r>
            <w:r>
              <w:fldChar w:fldCharType="begin"/>
            </w:r>
            <w:r w:rsidR="00F202D0">
              <w:instrText xml:space="preserve"> ADDIN EN.CITE &lt;EndNote&gt;&lt;Cite ExcludeAuth="1"&gt;&lt;Author&gt;Allen&lt;/Author&gt;&lt;Year&gt;2007&lt;/Year&gt;&lt;RecNum&gt;526&lt;/RecNum&gt;&lt;record&gt;&lt;rec-number&gt;526&lt;/rec-number&gt;&lt;foreign-keys&gt;&lt;key app="EN" db-id="se5z02d5txder3eax2p5wz5j59zvz2tdzdd2"&gt;526&lt;/key&gt;&lt;/foreign-keys&gt;&lt;ref-type name="Journal Article"&gt;17&lt;/ref-type&gt;&lt;contributors&gt;&lt;authors&gt;&lt;author&gt;Allen, T. I.&lt;/author&gt;&lt;author&gt;Cummins, P. R.&lt;/author&gt;&lt;author&gt;Dhu, T.&lt;/author&gt;&lt;author&gt;Schneider, J. F.&lt;/author&gt;&lt;/authors&gt;&lt;/contributors&gt;&lt;titles&gt;&lt;title&gt;Attenuation of ground-motion spectral amplitudes in southeastern Australia&lt;/title&gt;&lt;secondary-title&gt;Bull. Seism. Soc. Am.&lt;/secondary-title&gt;&lt;/titles&gt;&lt;periodical&gt;&lt;full-title&gt;Bull. Seism. Soc. Am.&lt;/full-title&gt;&lt;/periodical&gt;&lt;pages&gt;1279–1292&lt;/pages&gt;&lt;volume&gt;97&lt;/volume&gt;&lt;number&gt;4&lt;/number&gt;&lt;keywords&gt;&lt;keyword&gt;southeastern Australia, attenuation, Fourier&lt;/keyword&gt;&lt;/keywords&gt;&lt;dates&gt;&lt;year&gt;2007&lt;/year&gt;&lt;/dates&gt;&lt;urls&gt;&lt;pdf-urls&gt;&lt;url&gt;internal-pdf://Allen et al (2007). SE Aust.atten-2994310402/Allen et al (2007). SE Aust.atten.pdf&lt;/url&gt;&lt;/pdf-urls&gt;&lt;/urls&gt;&lt;/record&gt;&lt;/Cite&gt;&lt;/EndNote&gt;</w:instrText>
            </w:r>
            <w:r>
              <w:fldChar w:fldCharType="separate"/>
            </w:r>
            <w:r>
              <w:rPr>
                <w:noProof/>
              </w:rPr>
              <w:t>(2007)</w:t>
            </w:r>
            <w:r>
              <w:fldChar w:fldCharType="end"/>
            </w:r>
          </w:p>
        </w:tc>
        <w:tc>
          <w:tcPr>
            <w:tcW w:w="3096" w:type="dxa"/>
            <w:tcBorders>
              <w:top w:val="single" w:sz="4" w:space="0" w:color="auto"/>
              <w:bottom w:val="single" w:sz="4" w:space="0" w:color="auto"/>
            </w:tcBorders>
            <w:shd w:val="clear" w:color="auto" w:fill="D9D9D9"/>
          </w:tcPr>
          <w:p w:rsidR="00B15AC0" w:rsidRDefault="00B15AC0" w:rsidP="00CE4366">
            <w:pPr>
              <w:pStyle w:val="Tableheadingrow"/>
            </w:pPr>
            <w:r>
              <w:t>Present Study</w:t>
            </w:r>
          </w:p>
        </w:tc>
      </w:tr>
      <w:tr w:rsidR="00B15AC0" w:rsidTr="008D7DE6">
        <w:tc>
          <w:tcPr>
            <w:tcW w:w="3095" w:type="dxa"/>
            <w:tcBorders>
              <w:top w:val="single" w:sz="4" w:space="0" w:color="auto"/>
            </w:tcBorders>
            <w:shd w:val="clear" w:color="auto" w:fill="auto"/>
          </w:tcPr>
          <w:p w:rsidR="00B15AC0" w:rsidRDefault="00B15AC0" w:rsidP="00CE4366">
            <w:pPr>
              <w:pStyle w:val="Tabletext"/>
            </w:pPr>
            <w:r w:rsidRPr="00B452CB">
              <w:rPr>
                <w:i/>
              </w:rPr>
              <w:t>b</w:t>
            </w:r>
            <w:r w:rsidRPr="00B452CB">
              <w:rPr>
                <w:vertAlign w:val="subscript"/>
              </w:rPr>
              <w:t>1</w:t>
            </w:r>
          </w:p>
        </w:tc>
        <w:tc>
          <w:tcPr>
            <w:tcW w:w="3095" w:type="dxa"/>
            <w:tcBorders>
              <w:top w:val="single" w:sz="4" w:space="0" w:color="auto"/>
            </w:tcBorders>
            <w:shd w:val="clear" w:color="auto" w:fill="auto"/>
          </w:tcPr>
          <w:p w:rsidR="00B15AC0" w:rsidRDefault="00B15AC0" w:rsidP="00CE4366">
            <w:pPr>
              <w:pStyle w:val="Tabletext"/>
            </w:pPr>
            <w:r>
              <w:t>-1.3</w:t>
            </w:r>
          </w:p>
        </w:tc>
        <w:tc>
          <w:tcPr>
            <w:tcW w:w="3096" w:type="dxa"/>
            <w:tcBorders>
              <w:top w:val="single" w:sz="4" w:space="0" w:color="auto"/>
            </w:tcBorders>
            <w:shd w:val="clear" w:color="auto" w:fill="auto"/>
          </w:tcPr>
          <w:p w:rsidR="00B15AC0" w:rsidRDefault="00B15AC0" w:rsidP="00CE4366">
            <w:pPr>
              <w:pStyle w:val="Tabletext"/>
            </w:pPr>
            <w:r>
              <w:t>-1.33</w:t>
            </w:r>
          </w:p>
        </w:tc>
      </w:tr>
      <w:tr w:rsidR="00B15AC0" w:rsidTr="008D7DE6">
        <w:tc>
          <w:tcPr>
            <w:tcW w:w="3095" w:type="dxa"/>
            <w:shd w:val="clear" w:color="auto" w:fill="auto"/>
          </w:tcPr>
          <w:p w:rsidR="00B15AC0" w:rsidRDefault="00B15AC0" w:rsidP="00CE4366">
            <w:pPr>
              <w:pStyle w:val="Tabletext"/>
            </w:pPr>
            <w:r w:rsidRPr="00B452CB">
              <w:rPr>
                <w:i/>
              </w:rPr>
              <w:t>b</w:t>
            </w:r>
            <w:r w:rsidRPr="00B452CB">
              <w:rPr>
                <w:vertAlign w:val="subscript"/>
              </w:rPr>
              <w:t>2</w:t>
            </w:r>
          </w:p>
        </w:tc>
        <w:tc>
          <w:tcPr>
            <w:tcW w:w="3095" w:type="dxa"/>
            <w:shd w:val="clear" w:color="auto" w:fill="auto"/>
          </w:tcPr>
          <w:p w:rsidR="00B15AC0" w:rsidRDefault="00B15AC0" w:rsidP="00CE4366">
            <w:pPr>
              <w:pStyle w:val="Tabletext"/>
            </w:pPr>
            <w:r>
              <w:t>0.1</w:t>
            </w:r>
          </w:p>
        </w:tc>
        <w:tc>
          <w:tcPr>
            <w:tcW w:w="3096" w:type="dxa"/>
            <w:shd w:val="clear" w:color="auto" w:fill="auto"/>
          </w:tcPr>
          <w:p w:rsidR="00B15AC0" w:rsidRDefault="00B15AC0" w:rsidP="00CE4366">
            <w:pPr>
              <w:pStyle w:val="Tabletext"/>
            </w:pPr>
            <w:r>
              <w:t>0.32</w:t>
            </w:r>
          </w:p>
        </w:tc>
      </w:tr>
      <w:tr w:rsidR="00B15AC0" w:rsidTr="008D7DE6">
        <w:tc>
          <w:tcPr>
            <w:tcW w:w="3095" w:type="dxa"/>
            <w:shd w:val="clear" w:color="auto" w:fill="auto"/>
          </w:tcPr>
          <w:p w:rsidR="00B15AC0" w:rsidRDefault="00B15AC0" w:rsidP="00CE4366">
            <w:pPr>
              <w:pStyle w:val="Tabletext"/>
            </w:pPr>
            <w:r w:rsidRPr="00B452CB">
              <w:rPr>
                <w:i/>
              </w:rPr>
              <w:t>b</w:t>
            </w:r>
            <w:r w:rsidRPr="00B452CB">
              <w:rPr>
                <w:vertAlign w:val="subscript"/>
              </w:rPr>
              <w:t>3</w:t>
            </w:r>
          </w:p>
        </w:tc>
        <w:tc>
          <w:tcPr>
            <w:tcW w:w="3095" w:type="dxa"/>
            <w:shd w:val="clear" w:color="auto" w:fill="auto"/>
          </w:tcPr>
          <w:p w:rsidR="00B15AC0" w:rsidRDefault="00B15AC0" w:rsidP="00CE4366">
            <w:pPr>
              <w:pStyle w:val="Tabletext"/>
            </w:pPr>
            <w:r>
              <w:t>-1.6</w:t>
            </w:r>
          </w:p>
        </w:tc>
        <w:tc>
          <w:tcPr>
            <w:tcW w:w="3096" w:type="dxa"/>
            <w:shd w:val="clear" w:color="auto" w:fill="auto"/>
          </w:tcPr>
          <w:p w:rsidR="00B15AC0" w:rsidRDefault="00B15AC0" w:rsidP="00CE4366">
            <w:pPr>
              <w:pStyle w:val="Tabletext"/>
            </w:pPr>
            <w:r>
              <w:t>-1.66</w:t>
            </w:r>
          </w:p>
        </w:tc>
      </w:tr>
      <w:tr w:rsidR="00B15AC0" w:rsidTr="008D7DE6">
        <w:tc>
          <w:tcPr>
            <w:tcW w:w="3095" w:type="dxa"/>
            <w:shd w:val="clear" w:color="auto" w:fill="auto"/>
          </w:tcPr>
          <w:p w:rsidR="00B15AC0" w:rsidRDefault="00B15AC0" w:rsidP="00CE4366">
            <w:pPr>
              <w:pStyle w:val="Tabletext"/>
            </w:pPr>
            <w:r w:rsidRPr="00B452CB">
              <w:rPr>
                <w:i/>
              </w:rPr>
              <w:t>R</w:t>
            </w:r>
            <w:r w:rsidRPr="00B452CB">
              <w:rPr>
                <w:vertAlign w:val="subscript"/>
              </w:rPr>
              <w:t>1</w:t>
            </w:r>
            <w:r w:rsidRPr="00DD159C">
              <w:t xml:space="preserve"> (km)</w:t>
            </w:r>
          </w:p>
        </w:tc>
        <w:tc>
          <w:tcPr>
            <w:tcW w:w="3095" w:type="dxa"/>
            <w:shd w:val="clear" w:color="auto" w:fill="auto"/>
          </w:tcPr>
          <w:p w:rsidR="00B15AC0" w:rsidRDefault="00B15AC0" w:rsidP="00CE4366">
            <w:pPr>
              <w:pStyle w:val="Tabletext"/>
            </w:pPr>
            <w:r>
              <w:t>90</w:t>
            </w:r>
          </w:p>
        </w:tc>
        <w:tc>
          <w:tcPr>
            <w:tcW w:w="3096" w:type="dxa"/>
            <w:shd w:val="clear" w:color="auto" w:fill="auto"/>
          </w:tcPr>
          <w:p w:rsidR="00B15AC0" w:rsidRDefault="00B15AC0" w:rsidP="00CE4366">
            <w:pPr>
              <w:pStyle w:val="Tabletext"/>
            </w:pPr>
            <w:r>
              <w:t>90</w:t>
            </w:r>
          </w:p>
        </w:tc>
      </w:tr>
      <w:tr w:rsidR="00B15AC0" w:rsidTr="008D7DE6">
        <w:tc>
          <w:tcPr>
            <w:tcW w:w="3095" w:type="dxa"/>
            <w:tcBorders>
              <w:bottom w:val="single" w:sz="4" w:space="0" w:color="auto"/>
            </w:tcBorders>
            <w:shd w:val="clear" w:color="auto" w:fill="auto"/>
          </w:tcPr>
          <w:p w:rsidR="00B15AC0" w:rsidRPr="00DD159C" w:rsidRDefault="00B15AC0" w:rsidP="00CE4366">
            <w:pPr>
              <w:pStyle w:val="Tabletext"/>
            </w:pPr>
            <w:r w:rsidRPr="00B452CB">
              <w:rPr>
                <w:i/>
              </w:rPr>
              <w:t>R</w:t>
            </w:r>
            <w:r w:rsidRPr="00B452CB">
              <w:rPr>
                <w:vertAlign w:val="subscript"/>
              </w:rPr>
              <w:t>2</w:t>
            </w:r>
            <w:r w:rsidRPr="00DD159C">
              <w:t xml:space="preserve"> (km)</w:t>
            </w:r>
          </w:p>
        </w:tc>
        <w:tc>
          <w:tcPr>
            <w:tcW w:w="3095" w:type="dxa"/>
            <w:tcBorders>
              <w:bottom w:val="single" w:sz="4" w:space="0" w:color="auto"/>
            </w:tcBorders>
            <w:shd w:val="clear" w:color="auto" w:fill="auto"/>
          </w:tcPr>
          <w:p w:rsidR="00B15AC0" w:rsidRDefault="00B15AC0" w:rsidP="00CE4366">
            <w:pPr>
              <w:pStyle w:val="Tabletext"/>
            </w:pPr>
            <w:r>
              <w:t>160</w:t>
            </w:r>
          </w:p>
        </w:tc>
        <w:tc>
          <w:tcPr>
            <w:tcW w:w="3096" w:type="dxa"/>
            <w:tcBorders>
              <w:bottom w:val="single" w:sz="4" w:space="0" w:color="auto"/>
            </w:tcBorders>
            <w:shd w:val="clear" w:color="auto" w:fill="auto"/>
          </w:tcPr>
          <w:p w:rsidR="00B15AC0" w:rsidRDefault="00B15AC0" w:rsidP="00CE4366">
            <w:pPr>
              <w:pStyle w:val="Tabletext"/>
            </w:pPr>
            <w:r>
              <w:t>150</w:t>
            </w:r>
          </w:p>
        </w:tc>
      </w:tr>
    </w:tbl>
    <w:p w:rsidR="00E033F4" w:rsidRPr="00E033F4" w:rsidRDefault="00E033F4" w:rsidP="00E033F4">
      <w:bookmarkStart w:id="71" w:name="_Toc319656510"/>
      <w:bookmarkStart w:id="72" w:name="_Toc319656599"/>
      <w:bookmarkStart w:id="73" w:name="_Toc319918553"/>
      <w:bookmarkStart w:id="74" w:name="_Toc319918822"/>
    </w:p>
    <w:p w:rsidR="00B15AC0" w:rsidRDefault="00B15AC0" w:rsidP="005C7510">
      <w:pPr>
        <w:pStyle w:val="Heading2"/>
      </w:pPr>
      <w:bookmarkStart w:id="75" w:name="_Toc349112533"/>
      <w:r>
        <w:t>Anelastic Attenuation</w:t>
      </w:r>
      <w:bookmarkEnd w:id="71"/>
      <w:bookmarkEnd w:id="72"/>
      <w:bookmarkEnd w:id="73"/>
      <w:bookmarkEnd w:id="74"/>
      <w:bookmarkEnd w:id="75"/>
    </w:p>
    <w:p w:rsidR="00B15AC0" w:rsidRDefault="00B15AC0" w:rsidP="003F4034">
      <w:pPr>
        <w:pStyle w:val="BodyText"/>
      </w:pPr>
      <w:r w:rsidRPr="00635897">
        <w:t xml:space="preserve">Elastic waves that propagate through the earth are attenuated by </w:t>
      </w:r>
      <w:r>
        <w:t>geometrical attenuation</w:t>
      </w:r>
      <w:r w:rsidRPr="00635897">
        <w:t>, and</w:t>
      </w:r>
      <w:r>
        <w:t xml:space="preserve"> </w:t>
      </w:r>
      <w:r w:rsidRPr="00635897">
        <w:t>absorption through anelastic and scattering processes</w:t>
      </w:r>
      <w:r>
        <w:t xml:space="preserve">.  </w:t>
      </w:r>
      <w:r w:rsidRPr="00635897">
        <w:t>Anelastic attenuation is the loss of elastic seismic energy through internal</w:t>
      </w:r>
      <w:r>
        <w:t xml:space="preserve"> </w:t>
      </w:r>
      <w:r w:rsidRPr="00635897">
        <w:t>friction (i.e.</w:t>
      </w:r>
      <w:r>
        <w:t>,</w:t>
      </w:r>
      <w:r w:rsidRPr="00635897">
        <w:t xml:space="preserve"> the fracturing and/or permanent deformation of rock, and generation of heat). </w:t>
      </w:r>
      <w:r>
        <w:t xml:space="preserve"> </w:t>
      </w:r>
      <w:r w:rsidRPr="00635897">
        <w:t>In</w:t>
      </w:r>
      <w:r>
        <w:t xml:space="preserve"> </w:t>
      </w:r>
      <w:r w:rsidRPr="00635897">
        <w:t>contrast, scattering is defined as the dispersion and/or mode conversion of seismic energy due to</w:t>
      </w:r>
      <w:r>
        <w:t xml:space="preserve"> </w:t>
      </w:r>
      <w:r w:rsidRPr="00635897">
        <w:t xml:space="preserve">transmission path heterogeneities </w:t>
      </w:r>
      <w:r>
        <w:fldChar w:fldCharType="begin"/>
      </w:r>
      <w:r w:rsidR="00F202D0">
        <w:instrText xml:space="preserve"> ADDIN EN.CITE &lt;EndNote&gt;&lt;Cite&gt;&lt;Author&gt;Dainty&lt;/Author&gt;&lt;Year&gt;1981&lt;/Year&gt;&lt;RecNum&gt;1123&lt;/RecNum&gt;&lt;record&gt;&lt;rec-number&gt;1123&lt;/rec-number&gt;&lt;foreign-keys&gt;&lt;key app="EN" db-id="se5z02d5txder3eax2p5wz5j59zvz2tdzdd2"&gt;1123&lt;/key&gt;&lt;/foreign-keys&gt;&lt;ref-type name="Journal Article"&gt;17&lt;/ref-type&gt;&lt;contributors&gt;&lt;authors&gt;&lt;author&gt;Dainty, A. M.&lt;/author&gt;&lt;/authors&gt;&lt;/contributors&gt;&lt;titles&gt;&lt;title&gt;&lt;style face="normal" font="default" size="100%"&gt;A scattering model to explain seismic &lt;/style&gt;&lt;style face="italic" font="default" size="100%"&gt;Q&lt;/style&gt;&lt;style face="normal" font="default" size="100%"&gt; observations in the lithosphere between 1 and 30 Hz&lt;/style&gt;&lt;/title&gt;&lt;secondary-title&gt;Geophys. Res. Lett.&lt;/secondary-title&gt;&lt;/titles&gt;&lt;periodical&gt;&lt;full-title&gt;Geophys. Res. Lett.&lt;/full-title&gt;&lt;/periodical&gt;&lt;pages&gt;1126-1128&lt;/pages&gt;&lt;volume&gt;8&lt;/volume&gt;&lt;number&gt;11&lt;/number&gt;&lt;keywords&gt;&lt;keyword&gt;anelastic attenuation, quality factor&lt;/keyword&gt;&lt;/keywords&gt;&lt;dates&gt;&lt;year&gt;1981&lt;/year&gt;&lt;/dates&gt;&lt;urls&gt;&lt;pdf-urls&gt;&lt;url&gt;internal-pdf://Dainty (1981).scattering.Q-2980260358/Dainty (1981).scattering.Q.pdf&lt;/url&gt;&lt;/pdf-urls&gt;&lt;/urls&gt;&lt;/record&gt;&lt;/Cite&gt;&lt;/EndNote&gt;</w:instrText>
      </w:r>
      <w:r>
        <w:fldChar w:fldCharType="separate"/>
      </w:r>
      <w:r>
        <w:rPr>
          <w:noProof/>
        </w:rPr>
        <w:t>(Dainty, 1981)</w:t>
      </w:r>
      <w:r>
        <w:fldChar w:fldCharType="end"/>
      </w:r>
      <w:r w:rsidRPr="00635897">
        <w:t>.</w:t>
      </w:r>
      <w:r>
        <w:t xml:space="preserve">  </w:t>
      </w:r>
      <w:r w:rsidRPr="00635897">
        <w:t>The associated</w:t>
      </w:r>
      <w:r>
        <w:t xml:space="preserve"> </w:t>
      </w:r>
      <w:r w:rsidRPr="00635897">
        <w:t>attenuation factor</w:t>
      </w:r>
      <w:r>
        <w:t xml:space="preserve"> that compensates for anelastic attenuation and scattering is the </w:t>
      </w:r>
      <w:r w:rsidRPr="00E63302">
        <w:rPr>
          <w:iCs/>
        </w:rPr>
        <w:t>seismic quality factor</w:t>
      </w:r>
      <w:r>
        <w:rPr>
          <w:iCs/>
        </w:rPr>
        <w:t xml:space="preserve"> </w:t>
      </w:r>
      <w:r w:rsidRPr="00332AA7">
        <w:rPr>
          <w:rStyle w:val="Bodytextitalic"/>
        </w:rPr>
        <w:t>Q</w:t>
      </w:r>
      <w:r w:rsidRPr="00635897">
        <w:t xml:space="preserve">, </w:t>
      </w:r>
      <w:r>
        <w:t xml:space="preserve">which </w:t>
      </w:r>
      <w:r w:rsidRPr="00635897">
        <w:t xml:space="preserve">is an intrinsic property of the </w:t>
      </w:r>
      <w:r>
        <w:t>media</w:t>
      </w:r>
      <w:r w:rsidRPr="00635897">
        <w:t xml:space="preserve"> through which</w:t>
      </w:r>
      <w:r>
        <w:t xml:space="preserve"> </w:t>
      </w:r>
      <w:r w:rsidRPr="00635897">
        <w:t>seismic waves pass</w:t>
      </w:r>
      <w:r>
        <w:t xml:space="preserve">.  The quality factor </w:t>
      </w:r>
      <w:r w:rsidRPr="00635897">
        <w:t xml:space="preserve">summarises the characteristics that cause loss of </w:t>
      </w:r>
      <w:r>
        <w:t>energy</w:t>
      </w:r>
      <w:r w:rsidRPr="00635897">
        <w:t xml:space="preserve"> with</w:t>
      </w:r>
      <w:r>
        <w:t xml:space="preserve"> </w:t>
      </w:r>
      <w:r w:rsidRPr="00635897">
        <w:t xml:space="preserve">distance for reasons other than </w:t>
      </w:r>
      <w:r>
        <w:t>geometrical attenuation</w:t>
      </w:r>
      <w:r w:rsidRPr="00635897">
        <w:t xml:space="preserve"> </w:t>
      </w:r>
      <w:r>
        <w:fldChar w:fldCharType="begin"/>
      </w:r>
      <w:r w:rsidR="00F202D0">
        <w:instrText xml:space="preserve"> ADDIN EN.CITE &lt;EndNote&gt;&lt;Cite&gt;&lt;Author&gt;Wilkie&lt;/Author&gt;&lt;Year&gt;1995&lt;/Year&gt;&lt;RecNum&gt;821&lt;/RecNum&gt;&lt;record&gt;&lt;rec-number&gt;821&lt;/rec-number&gt;&lt;foreign-keys&gt;&lt;key app="EN" db-id="se5z02d5txder3eax2p5wz5j59zvz2tdzdd2"&gt;821&lt;/key&gt;&lt;/foreign-keys&gt;&lt;ref-type name="Journal Article"&gt;17&lt;/ref-type&gt;&lt;contributors&gt;&lt;authors&gt;&lt;author&gt;Wilkie, J.&lt;/author&gt;&lt;author&gt;Gibson, G.&lt;/author&gt;&lt;/authors&gt;&lt;/contributors&gt;&lt;titles&gt;&lt;title&gt;&lt;style face="normal" font="default" size="100%"&gt;Estimation of seismic quality factor &lt;/style&gt;&lt;style face="italic" font="default" size="100%"&gt;Q&lt;/style&gt;&lt;style face="normal" font="default" size="100%"&gt; for Victoria, Australia&lt;/style&gt;&lt;/title&gt;&lt;secondary-title&gt;AGSO J. Aust Geol. Geophys.&lt;/secondary-title&gt;&lt;/titles&gt;&lt;periodical&gt;&lt;full-title&gt;AGSO J. Aust Geol. Geophys.&lt;/full-title&gt;&lt;/periodical&gt;&lt;pages&gt;511-517&lt;/pages&gt;&lt;volume&gt;15&lt;/volume&gt;&lt;number&gt;4&lt;/number&gt;&lt;dates&gt;&lt;year&gt;1995&lt;/year&gt;&lt;/dates&gt;&lt;urls&gt;&lt;pdf-urls&gt;&lt;url&gt;internal-pdf://Wilkie &amp;amp; Gibson (1995).Vic.Q-1444948224/Wilkie &amp;amp; Gibson (1995).Vic.Q.pdf&lt;/url&gt;&lt;/pdf-urls&gt;&lt;/urls&gt;&lt;/record&gt;&lt;/Cite&gt;&lt;/EndNote&gt;</w:instrText>
      </w:r>
      <w:r>
        <w:fldChar w:fldCharType="separate"/>
      </w:r>
      <w:r>
        <w:rPr>
          <w:noProof/>
        </w:rPr>
        <w:t>(Wilkie and Gibson, 1995)</w:t>
      </w:r>
      <w:r>
        <w:fldChar w:fldCharType="end"/>
      </w:r>
      <w:r w:rsidRPr="00635897">
        <w:t>.</w:t>
      </w:r>
      <w:r>
        <w:t xml:space="preserve">  For simplicity, the combined effects of anelastic attenuation and scattering are hereafter referred to as anelastic attenuation only</w:t>
      </w:r>
      <w:r w:rsidR="00683C36">
        <w:t xml:space="preserve"> </w:t>
      </w:r>
      <w:r w:rsidR="0032407A">
        <w:fldChar w:fldCharType="begin"/>
      </w:r>
      <w:r w:rsidR="00F202D0">
        <w:instrText xml:space="preserve"> ADDIN EN.CITE &lt;EndNote&gt;&lt;Cite&gt;&lt;Author&gt;Campbell&lt;/Author&gt;&lt;Year&gt;2009&lt;/Year&gt;&lt;RecNum&gt;678&lt;/RecNum&gt;&lt;Prefix&gt;e.g., &lt;/Prefix&gt;&lt;record&gt;&lt;rec-number&gt;678&lt;/rec-number&gt;&lt;foreign-keys&gt;&lt;key app="EN" db-id="se5z02d5txder3eax2p5wz5j59zvz2tdzdd2"&gt;678&lt;/key&gt;&lt;/foreign-keys&gt;&lt;ref-type name="Journal Article"&gt;17&lt;/ref-type&gt;&lt;contributors&gt;&lt;authors&gt;&lt;author&gt;Campbell, K. W.&lt;/author&gt;&lt;/authors&gt;&lt;/contributors&gt;&lt;titles&gt;&lt;title&gt;&lt;style face="normal" font="default" size="100%"&gt;Estimates of shear-wave &lt;/style&gt;&lt;style face="italic" font="default" size="100%"&gt;Q&lt;/style&gt;&lt;style face="normal" font="default" size="100%"&gt; and &lt;/style&gt;&lt;style face="italic" font="default" charset="161" size="100%"&gt;κ&lt;/style&gt;&lt;style face="subscript" font="default" charset="161" size="100%"&gt;0&lt;/style&gt;&lt;style face="normal" font="default" charset="161" size="100%"&gt; for &lt;/style&gt;&lt;style face="normal" font="default" size="100%"&gt;u&lt;/style&gt;&lt;style face="normal" font="default" charset="161" size="100%"&gt;nconsolidated and&lt;/style&gt;&lt;style face="normal" font="default" size="100%"&gt; s&lt;/style&gt;&lt;style face="normal" font="default" charset="161" size="100%"&gt;emiconsolidated &lt;/style&gt;&lt;style face="normal" font="default" size="100%"&gt;s&lt;/style&gt;&lt;style face="normal" font="default" charset="161" size="100%"&gt;ediments in &lt;/style&gt;&lt;style face="normal" font="default" size="100%"&gt;e&lt;/style&gt;&lt;style face="normal" font="default" charset="161" size="100%"&gt;astern North America&lt;/style&gt;&lt;/title&gt;&lt;secondary-title&gt;Bull. Seism. Soc. Am.&lt;/secondary-title&gt;&lt;/titles&gt;&lt;periodical&gt;&lt;full-title&gt;Bull. Seism. Soc. Am.&lt;/full-title&gt;&lt;/periodical&gt;&lt;pages&gt;2365–2392&lt;/pages&gt;&lt;volume&gt;99&lt;/volume&gt;&lt;number&gt;4&lt;/number&gt;&lt;keywords&gt;&lt;keyword&gt;kappa, Q, ENA&lt;/keyword&gt;&lt;/keywords&gt;&lt;dates&gt;&lt;year&gt;2009&lt;/year&gt;&lt;/dates&gt;&lt;urls&gt;&lt;pdf-urls&gt;&lt;url&gt;internal-pdf://Campbell (2009).ENA.Q.kappa-4188188963/Campbell (2009).ENA.Q.kappa.pdf&lt;/url&gt;&lt;/pdf-urls&gt;&lt;/urls&gt;&lt;/record&gt;&lt;/Cite&gt;&lt;/EndNote&gt;</w:instrText>
      </w:r>
      <w:r w:rsidR="0032407A">
        <w:fldChar w:fldCharType="separate"/>
      </w:r>
      <w:r w:rsidR="0032407A">
        <w:t>(e.g., Campbell, 2009)</w:t>
      </w:r>
      <w:r w:rsidR="0032407A">
        <w:fldChar w:fldCharType="end"/>
      </w:r>
      <w:r>
        <w:t>.</w:t>
      </w:r>
    </w:p>
    <w:p w:rsidR="00B15AC0" w:rsidRDefault="00B15AC0" w:rsidP="003F4034">
      <w:pPr>
        <w:pStyle w:val="BodyText"/>
      </w:pPr>
      <w:r>
        <w:t xml:space="preserve">Since the geometrical attenuation parameters (Equation 4) are chosen to model the attenuation of low-frequency seismic energy, these parameters implicitly incorporate some anelastic attenuation effects.  While this philosophy may disagree with classical theory of body-waves attenuating at a rate of </w:t>
      </w:r>
      <w:r w:rsidRPr="00332AA7">
        <w:rPr>
          <w:rStyle w:val="Bodytextitalic"/>
        </w:rPr>
        <w:t>R</w:t>
      </w:r>
      <w:r w:rsidRPr="00937483">
        <w:rPr>
          <w:vertAlign w:val="superscript"/>
        </w:rPr>
        <w:t>-1</w:t>
      </w:r>
      <w:r>
        <w:rPr>
          <w:vertAlign w:val="superscript"/>
        </w:rPr>
        <w:t>.0</w:t>
      </w:r>
      <w:r>
        <w:t xml:space="preserve"> </w:t>
      </w:r>
      <w:r>
        <w:fldChar w:fldCharType="begin"/>
      </w:r>
      <w:r w:rsidR="00F202D0">
        <w:instrText xml:space="preserve"> ADDIN EN.CITE &lt;EndNote&gt;&lt;Cite&gt;&lt;Author&gt;Herrmann&lt;/Author&gt;&lt;Year&gt;1983&lt;/Year&gt;&lt;RecNum&gt;544&lt;/RecNum&gt;&lt;record&gt;&lt;rec-number&gt;544&lt;/rec-number&gt;&lt;foreign-keys&gt;&lt;key app="EN" db-id="se5z02d5txder3eax2p5wz5j59zvz2tdzdd2"&gt;544&lt;/key&gt;&lt;/foreign-keys&gt;&lt;ref-type name="Journal Article"&gt;17&lt;/ref-type&gt;&lt;contributors&gt;&lt;authors&gt;&lt;author&gt;Herrmann, R. B.&lt;/author&gt;&lt;author&gt;Kijko, A.&lt;/author&gt;&lt;/authors&gt;&lt;/contributors&gt;&lt;titles&gt;&lt;title&gt;&lt;style face="normal" font="default" size="100%"&gt;Modeling some empirical vertical component &lt;/style&gt;&lt;style face="italic" font="default" size="100%"&gt;Lg&lt;/style&gt;&lt;style face="normal" font="default" size="100%"&gt; relations&lt;/style&gt;&lt;/title&gt;&lt;secondary-title&gt;Bull. Seism. Soc. Am.&lt;/secondary-title&gt;&lt;/titles&gt;&lt;periodical&gt;&lt;full-title&gt;Bull. Seism. Soc. Am.&lt;/full-title&gt;&lt;/periodical&gt;&lt;pages&gt;157-171&lt;/pages&gt;&lt;volume&gt;73&lt;/volume&gt;&lt;number&gt;1&lt;/number&gt;&lt;keywords&gt;&lt;keyword&gt;ENA attenuation, Lg&lt;/keyword&gt;&lt;/keywords&gt;&lt;dates&gt;&lt;year&gt;1983&lt;/year&gt;&lt;/dates&gt;&lt;urls&gt;&lt;pdf-urls&gt;&lt;url&gt;internal-pdf://Herrman &amp;amp; Kijko (1983).Lg.atten-1740501785/Herrman &amp;amp; Kijko (1983).Lg.atten.pdf&lt;/url&gt;&lt;/pdf-urls&gt;&lt;/urls&gt;&lt;/record&gt;&lt;/Cite&gt;&lt;Cite&gt;&lt;Author&gt;Hanks&lt;/Author&gt;&lt;Year&gt;1972&lt;/Year&gt;&lt;RecNum&gt;1120&lt;/RecNum&gt;&lt;Prefix&gt;e.g.`, &lt;/Prefix&gt;&lt;record&gt;&lt;rec-number&gt;1120&lt;/rec-number&gt;&lt;foreign-keys&gt;&lt;key app="EN" db-id="se5z02d5txder3eax2p5wz5j59zvz2tdzdd2"&gt;1120&lt;/key&gt;&lt;/foreign-keys&gt;&lt;ref-type name="Journal Article"&gt;17&lt;/ref-type&gt;&lt;contributors&gt;&lt;authors&gt;&lt;author&gt;Hanks, T. C.&lt;/author&gt;&lt;author&gt;Wyss, M.&lt;/author&gt;&lt;/authors&gt;&lt;/contributors&gt;&lt;titles&gt;&lt;title&gt;The use of body-wave spectra in the determination of seismic-source parameters&lt;/title&gt;&lt;secondary-title&gt;Bull. Seism. Soc. Am.&lt;/secondary-title&gt;&lt;/titles&gt;&lt;periodical&gt;&lt;full-title&gt;Bull. Seism. Soc. Am.&lt;/full-title&gt;&lt;/periodical&gt;&lt;pages&gt;561-589&lt;/pages&gt;&lt;volume&gt;62&lt;/volume&gt;&lt;number&gt;2&lt;/number&gt;&lt;keywords&gt;&lt;keyword&gt;stress drop, seismic moment&lt;/keyword&gt;&lt;/keywords&gt;&lt;dates&gt;&lt;year&gt;1972&lt;/year&gt;&lt;/dates&gt;&lt;urls&gt;&lt;pdf-urls&gt;&lt;url&gt;internal-pdf://Hanks &amp;amp; Wyss (1972).body-wave_spectra.src_pars-3289062662/Hanks &amp;amp; Wyss (1972).body-wave_spectra.src_pars.pdf&lt;/url&gt;&lt;/pdf-urls&gt;&lt;/urls&gt;&lt;/record&gt;&lt;/Cite&gt;&lt;/EndNote&gt;</w:instrText>
      </w:r>
      <w:r>
        <w:fldChar w:fldCharType="separate"/>
      </w:r>
      <w:r>
        <w:rPr>
          <w:noProof/>
        </w:rPr>
        <w:t>(e.g., Hanks and Wyss, 1972; Herrmann and Kijko, 1983)</w:t>
      </w:r>
      <w:r>
        <w:fldChar w:fldCharType="end"/>
      </w:r>
      <w:r>
        <w:t xml:space="preserve">, it provides a practical means to empirically model observed ground motions and has been adopted in other ground-motion modelling studies.  In SEA, </w:t>
      </w:r>
      <w:r>
        <w:rPr>
          <w:noProof/>
        </w:rPr>
        <w:t>Allen</w:t>
      </w:r>
      <w:r w:rsidRPr="00332AA7">
        <w:rPr>
          <w:rStyle w:val="Bodytextitalic"/>
        </w:rPr>
        <w:t xml:space="preserve"> et al.</w:t>
      </w:r>
      <w:r>
        <w:t xml:space="preserve"> </w:t>
      </w:r>
      <w:r>
        <w:fldChar w:fldCharType="begin"/>
      </w:r>
      <w:r w:rsidR="00F202D0">
        <w:instrText xml:space="preserve"> ADDIN EN.CITE &lt;EndNote&gt;&lt;Cite ExcludeAuth="1"&gt;&lt;Author&gt;Allen&lt;/Author&gt;&lt;Year&gt;2007&lt;/Year&gt;&lt;RecNum&gt;526&lt;/RecNum&gt;&lt;record&gt;&lt;rec-number&gt;526&lt;/rec-number&gt;&lt;foreign-keys&gt;&lt;key app="EN" db-id="se5z02d5txder3eax2p5wz5j59zvz2tdzdd2"&gt;526&lt;/key&gt;&lt;/foreign-keys&gt;&lt;ref-type name="Journal Article"&gt;17&lt;/ref-type&gt;&lt;contributors&gt;&lt;authors&gt;&lt;author&gt;Allen, T. I.&lt;/author&gt;&lt;author&gt;Cummins, P. R.&lt;/author&gt;&lt;author&gt;Dhu, T.&lt;/author&gt;&lt;author&gt;Schneider, J. F.&lt;/author&gt;&lt;/authors&gt;&lt;/contributors&gt;&lt;titles&gt;&lt;title&gt;Attenuation of ground-motion spectral amplitudes in southeastern Australia&lt;/title&gt;&lt;secondary-title&gt;Bull. Seism. Soc. Am.&lt;/secondary-title&gt;&lt;/titles&gt;&lt;periodical&gt;&lt;full-title&gt;Bull. Seism. Soc. Am.&lt;/full-title&gt;&lt;/periodical&gt;&lt;pages&gt;1279–1292&lt;/pages&gt;&lt;volume&gt;97&lt;/volume&gt;&lt;number&gt;4&lt;/number&gt;&lt;keywords&gt;&lt;keyword&gt;southeastern Australia, attenuation, Fourier&lt;/keyword&gt;&lt;/keywords&gt;&lt;dates&gt;&lt;year&gt;2007&lt;/year&gt;&lt;/dates&gt;&lt;urls&gt;&lt;pdf-urls&gt;&lt;url&gt;internal-pdf://Allen et al (2007). SE Aust.atten-2994310402/Allen et al (2007). SE Aust.atten.pdf&lt;/url&gt;&lt;/pdf-urls&gt;&lt;/urls&gt;&lt;/record&gt;&lt;/Cite&gt;&lt;/EndNote&gt;</w:instrText>
      </w:r>
      <w:r>
        <w:fldChar w:fldCharType="separate"/>
      </w:r>
      <w:r>
        <w:rPr>
          <w:noProof/>
        </w:rPr>
        <w:t>(2007)</w:t>
      </w:r>
      <w:r>
        <w:fldChar w:fldCharType="end"/>
      </w:r>
      <w:r>
        <w:t xml:space="preserve"> </w:t>
      </w:r>
      <w:r w:rsidRPr="0038254F">
        <w:t>observe</w:t>
      </w:r>
      <w:r>
        <w:t>d</w:t>
      </w:r>
      <w:r w:rsidRPr="0038254F">
        <w:t xml:space="preserve"> that at low frequencies </w:t>
      </w:r>
      <w:r w:rsidRPr="00332AA7">
        <w:rPr>
          <w:spacing w:val="40"/>
        </w:rPr>
        <w:t>(</w:t>
      </w:r>
      <w:r w:rsidRPr="00332AA7">
        <w:rPr>
          <w:rStyle w:val="Bodytextitalic"/>
        </w:rPr>
        <w:t>f</w:t>
      </w:r>
      <w:r>
        <w:t xml:space="preserve"> &lt; 2</w:t>
      </w:r>
      <w:r w:rsidRPr="0038254F">
        <w:t xml:space="preserve"> Hz), </w:t>
      </w:r>
      <w:r w:rsidRPr="00332AA7">
        <w:rPr>
          <w:rStyle w:val="Bodytextitalic"/>
        </w:rPr>
        <w:t>Q</w:t>
      </w:r>
      <w:r w:rsidRPr="0038254F">
        <w:t xml:space="preserve"> </w:t>
      </w:r>
      <w:r>
        <w:t xml:space="preserve">values are consistently </w:t>
      </w:r>
      <w:r w:rsidRPr="0038254F">
        <w:t>high.</w:t>
      </w:r>
      <w:r>
        <w:t xml:space="preserve">  Consequently, the associated </w:t>
      </w:r>
      <w:r w:rsidRPr="00332AA7">
        <w:rPr>
          <w:rStyle w:val="Bodytextitalic"/>
        </w:rPr>
        <w:t>Q</w:t>
      </w:r>
      <w:r>
        <w:t xml:space="preserve"> model recommended by </w:t>
      </w:r>
      <w:r>
        <w:rPr>
          <w:noProof/>
        </w:rPr>
        <w:t>Allen</w:t>
      </w:r>
      <w:r w:rsidRPr="00332AA7">
        <w:rPr>
          <w:rStyle w:val="Bodytextitalic"/>
        </w:rPr>
        <w:t xml:space="preserve"> et al.</w:t>
      </w:r>
      <w:r>
        <w:t xml:space="preserve"> </w:t>
      </w:r>
      <w:r>
        <w:fldChar w:fldCharType="begin"/>
      </w:r>
      <w:r w:rsidR="00F202D0">
        <w:instrText xml:space="preserve"> ADDIN EN.CITE &lt;EndNote&gt;&lt;Cite ExcludeAuth="1"&gt;&lt;Author&gt;Allen&lt;/Author&gt;&lt;Year&gt;2007&lt;/Year&gt;&lt;RecNum&gt;526&lt;/RecNum&gt;&lt;record&gt;&lt;rec-number&gt;526&lt;/rec-number&gt;&lt;foreign-keys&gt;&lt;key app="EN" db-id="se5z02d5txder3eax2p5wz5j59zvz2tdzdd2"&gt;526&lt;/key&gt;&lt;/foreign-keys&gt;&lt;ref-type name="Journal Article"&gt;17&lt;/ref-type&gt;&lt;contributors&gt;&lt;authors&gt;&lt;author&gt;Allen, T. I.&lt;/author&gt;&lt;author&gt;Cummins, P. R.&lt;/author&gt;&lt;author&gt;Dhu, T.&lt;/author&gt;&lt;author&gt;Schneider, J. F.&lt;/author&gt;&lt;/authors&gt;&lt;/contributors&gt;&lt;titles&gt;&lt;title&gt;Attenuation of ground-motion spectral amplitudes in southeastern Australia&lt;/title&gt;&lt;secondary-title&gt;Bull. Seism. Soc. Am.&lt;/secondary-title&gt;&lt;/titles&gt;&lt;periodical&gt;&lt;full-title&gt;Bull. Seism. Soc. Am.&lt;/full-title&gt;&lt;/periodical&gt;&lt;pages&gt;1279–1292&lt;/pages&gt;&lt;volume&gt;97&lt;/volume&gt;&lt;number&gt;4&lt;/number&gt;&lt;keywords&gt;&lt;keyword&gt;southeastern Australia, attenuation, Fourier&lt;/keyword&gt;&lt;/keywords&gt;&lt;dates&gt;&lt;year&gt;2007&lt;/year&gt;&lt;/dates&gt;&lt;urls&gt;&lt;pdf-urls&gt;&lt;url&gt;internal-pdf://Allen et al (2007). SE Aust.atten-2994310402/Allen et al (2007). SE Aust.atten.pdf&lt;/url&gt;&lt;/pdf-urls&gt;&lt;/urls&gt;&lt;/record&gt;&lt;/Cite&gt;&lt;/EndNote&gt;</w:instrText>
      </w:r>
      <w:r>
        <w:fldChar w:fldCharType="separate"/>
      </w:r>
      <w:r>
        <w:rPr>
          <w:noProof/>
        </w:rPr>
        <w:t>(2007)</w:t>
      </w:r>
      <w:r>
        <w:fldChar w:fldCharType="end"/>
      </w:r>
      <w:r>
        <w:t xml:space="preserve"> is given </w:t>
      </w:r>
      <w:r>
        <w:lastRenderedPageBreak/>
        <w:t xml:space="preserve">by </w:t>
      </w:r>
      <w:r w:rsidRPr="00AA2447">
        <w:rPr>
          <w:i/>
          <w:spacing w:val="20"/>
        </w:rPr>
        <w:t>Q</w:t>
      </w:r>
      <w:r w:rsidRPr="00332AA7">
        <w:rPr>
          <w:spacing w:val="40"/>
        </w:rPr>
        <w:t>(</w:t>
      </w:r>
      <w:r w:rsidRPr="00332AA7">
        <w:rPr>
          <w:rStyle w:val="Bodytextitalic"/>
        </w:rPr>
        <w:t>f</w:t>
      </w:r>
      <w:r>
        <w:t>) = 36</w:t>
      </w:r>
      <w:r w:rsidRPr="00332AA7">
        <w:t>3</w:t>
      </w:r>
      <w:r w:rsidRPr="00332AA7">
        <w:rPr>
          <w:rStyle w:val="Bodytextitalic"/>
        </w:rPr>
        <w:t>f</w:t>
      </w:r>
      <w:r w:rsidRPr="006F797D">
        <w:rPr>
          <w:vertAlign w:val="superscript"/>
        </w:rPr>
        <w:t>0.48</w:t>
      </w:r>
      <w:r>
        <w:t xml:space="preserve"> with a minimum </w:t>
      </w:r>
      <w:r w:rsidRPr="00332AA7">
        <w:rPr>
          <w:rStyle w:val="Bodytextitalic"/>
        </w:rPr>
        <w:t>Q</w:t>
      </w:r>
      <w:r>
        <w:t xml:space="preserve"> value of 1000.  In effect, this implies that all attenuation at low frequencies is captured by the geometrical attenuation model and anelastic effects across the full distance range </w:t>
      </w:r>
      <w:r w:rsidR="00EA0998">
        <w:t xml:space="preserve">considered (i.e., for </w:t>
      </w:r>
      <w:r w:rsidR="00EA0998" w:rsidRPr="00332AA7">
        <w:rPr>
          <w:rStyle w:val="Bodytextitalic"/>
        </w:rPr>
        <w:t>R</w:t>
      </w:r>
      <w:r w:rsidR="00EA0998">
        <w:t xml:space="preserve"> </w:t>
      </w:r>
      <w:r w:rsidR="00EA0998">
        <w:sym w:font="Symbol" w:char="F0A3"/>
      </w:r>
      <w:r w:rsidR="00EA0998">
        <w:t xml:space="preserve"> 400 km) </w:t>
      </w:r>
      <w:r w:rsidRPr="00EA0998">
        <w:t>can</w:t>
      </w:r>
      <w:r>
        <w:t xml:space="preserve"> largely be ignored </w:t>
      </w:r>
      <w:r w:rsidRPr="0045468D">
        <w:fldChar w:fldCharType="begin"/>
      </w:r>
      <w:r w:rsidR="00F202D0">
        <w:instrText xml:space="preserve"> ADDIN EN.CITE &lt;EndNote&gt;&lt;Cite&gt;&lt;Author&gt;Ambraseys&lt;/Author&gt;&lt;Year&gt;2005&lt;/Year&gt;&lt;RecNum&gt;486&lt;/RecNum&gt;&lt;Prefix&gt;e.g.`, &lt;/Prefix&gt;&lt;record&gt;&lt;rec-number&gt;486&lt;/rec-number&gt;&lt;foreign-keys&gt;&lt;key app="EN" db-id="se5z02d5txder3eax2p5wz5j59zvz2tdzdd2"&gt;486&lt;/key&gt;&lt;/foreign-keys&gt;&lt;ref-type name="Journal Article"&gt;17&lt;/ref-type&gt;&lt;contributors&gt;&lt;authors&gt;&lt;author&gt;Ambraseys, N. N.&lt;/author&gt;&lt;author&gt;Douglas, J.&lt;/author&gt;&lt;author&gt;Sarma, S. K.&lt;/author&gt;&lt;author&gt;Smit, P. M.&lt;/author&gt;&lt;/authors&gt;&lt;/contributors&gt;&lt;titles&gt;&lt;title&gt;Equations for the estimation of strong ground motions from shallow crustal earthquakes using data from Europe and the Middle East: horizontal peak ground acceleration and spectral acceleration&lt;/title&gt;&lt;secondary-title&gt;Bull. Earthq. Eng.&lt;/secondary-title&gt;&lt;/titles&gt;&lt;periodical&gt;&lt;full-title&gt;Bull. Earthq. Eng.&lt;/full-title&gt;&lt;/periodical&gt;&lt;pages&gt;1–53&lt;/pages&gt;&lt;volume&gt;3&lt;/volume&gt;&lt;keywords&gt;&lt;keyword&gt;Europe and the Middle East, PGV, GMPE, PGA&lt;/keyword&gt;&lt;/keywords&gt;&lt;dates&gt;&lt;year&gt;2005&lt;/year&gt;&lt;/dates&gt;&lt;urls&gt;&lt;pdf-urls&gt;&lt;url&gt;internal-pdf://Ambraseys Douglas Sarma Smit (2005)-2879655184/Ambraseys Douglas Sarma Smit (2005).pdf&lt;/url&gt;&lt;/pdf-urls&gt;&lt;/urls&gt;&lt;/record&gt;&lt;/Cite&gt;&lt;/EndNote&gt;</w:instrText>
      </w:r>
      <w:r w:rsidRPr="0045468D">
        <w:fldChar w:fldCharType="separate"/>
      </w:r>
      <w:r>
        <w:rPr>
          <w:noProof/>
        </w:rPr>
        <w:t>(e.g., Ambraseys</w:t>
      </w:r>
      <w:r w:rsidRPr="003D3528">
        <w:rPr>
          <w:i/>
          <w:noProof/>
        </w:rPr>
        <w:t xml:space="preserve"> et al.</w:t>
      </w:r>
      <w:r>
        <w:rPr>
          <w:noProof/>
        </w:rPr>
        <w:t>, 2005)</w:t>
      </w:r>
      <w:r w:rsidRPr="0045468D">
        <w:fldChar w:fldCharType="end"/>
      </w:r>
      <w:r>
        <w:t xml:space="preserve">.  It is important to note that the geometrical attenuation and anelastic attenuation models are highly correlated.  Consequently, it is only valid to infer differences in attenuation </w:t>
      </w:r>
      <w:r w:rsidR="004A086D">
        <w:t xml:space="preserve">between regions </w:t>
      </w:r>
      <w:r>
        <w:t xml:space="preserve">through the seismic quality factor if the </w:t>
      </w:r>
      <w:r w:rsidRPr="00332AA7">
        <w:rPr>
          <w:rStyle w:val="Bodytextitalic"/>
        </w:rPr>
        <w:t>Q</w:t>
      </w:r>
      <w:r>
        <w:t xml:space="preserve"> models are determined from a consistent geometrical attenuation model.</w:t>
      </w:r>
    </w:p>
    <w:p w:rsidR="00B15AC0" w:rsidRDefault="00B15AC0" w:rsidP="003F4034">
      <w:pPr>
        <w:pStyle w:val="BodyText"/>
        <w:rPr>
          <w:bCs/>
          <w:lang w:val="en-US"/>
        </w:rPr>
      </w:pPr>
      <w:r>
        <w:rPr>
          <w:noProof/>
        </w:rPr>
        <w:t>Allen</w:t>
      </w:r>
      <w:r w:rsidRPr="00332AA7">
        <w:rPr>
          <w:rStyle w:val="Bodytextitalic"/>
        </w:rPr>
        <w:t xml:space="preserve"> et al.</w:t>
      </w:r>
      <w:r>
        <w:t xml:space="preserve"> </w:t>
      </w:r>
      <w:r>
        <w:fldChar w:fldCharType="begin"/>
      </w:r>
      <w:r w:rsidR="00F202D0">
        <w:instrText xml:space="preserve"> ADDIN EN.CITE &lt;EndNote&gt;&lt;Cite ExcludeAuth="1"&gt;&lt;Author&gt;Allen&lt;/Author&gt;&lt;Year&gt;2007&lt;/Year&gt;&lt;RecNum&gt;526&lt;/RecNum&gt;&lt;record&gt;&lt;rec-number&gt;526&lt;/rec-number&gt;&lt;foreign-keys&gt;&lt;key app="EN" db-id="se5z02d5txder3eax2p5wz5j59zvz2tdzdd2"&gt;526&lt;/key&gt;&lt;/foreign-keys&gt;&lt;ref-type name="Journal Article"&gt;17&lt;/ref-type&gt;&lt;contributors&gt;&lt;authors&gt;&lt;author&gt;Allen, T. I.&lt;/author&gt;&lt;author&gt;Cummins, P. R.&lt;/author&gt;&lt;author&gt;Dhu, T.&lt;/author&gt;&lt;author&gt;Schneider, J. F.&lt;/author&gt;&lt;/authors&gt;&lt;/contributors&gt;&lt;titles&gt;&lt;title&gt;Attenuation of ground-motion spectral amplitudes in southeastern Australia&lt;/title&gt;&lt;secondary-title&gt;Bull. Seism. Soc. Am.&lt;/secondary-title&gt;&lt;/titles&gt;&lt;periodical&gt;&lt;full-title&gt;Bull. Seism. Soc. Am.&lt;/full-title&gt;&lt;/periodical&gt;&lt;pages&gt;1279–1292&lt;/pages&gt;&lt;volume&gt;97&lt;/volume&gt;&lt;number&gt;4&lt;/number&gt;&lt;keywords&gt;&lt;keyword&gt;southeastern Australia, attenuation, Fourier&lt;/keyword&gt;&lt;/keywords&gt;&lt;dates&gt;&lt;year&gt;2007&lt;/year&gt;&lt;/dates&gt;&lt;urls&gt;&lt;pdf-urls&gt;&lt;url&gt;internal-pdf://Allen et al (2007). SE Aust.atten-2994310402/Allen et al (2007). SE Aust.atten.pdf&lt;/url&gt;&lt;/pdf-urls&gt;&lt;/urls&gt;&lt;/record&gt;&lt;/Cite&gt;&lt;/EndNote&gt;</w:instrText>
      </w:r>
      <w:r>
        <w:fldChar w:fldCharType="separate"/>
      </w:r>
      <w:r>
        <w:rPr>
          <w:noProof/>
        </w:rPr>
        <w:t>(2007)</w:t>
      </w:r>
      <w:r>
        <w:fldChar w:fldCharType="end"/>
      </w:r>
      <w:r>
        <w:t xml:space="preserve"> compute the quality factor at each frequency assuming </w:t>
      </w:r>
      <w:r w:rsidRPr="00332AA7">
        <w:rPr>
          <w:rStyle w:val="Bodytextitalic"/>
        </w:rPr>
        <w:t>Q</w:t>
      </w:r>
      <w:r w:rsidRPr="008B311A">
        <w:rPr>
          <w:vertAlign w:val="superscript"/>
        </w:rPr>
        <w:t>-1</w:t>
      </w:r>
      <w:r w:rsidRPr="00332AA7">
        <w:rPr>
          <w:spacing w:val="40"/>
        </w:rPr>
        <w:t>(</w:t>
      </w:r>
      <w:r w:rsidRPr="00332AA7">
        <w:rPr>
          <w:rStyle w:val="Bodytextitalic"/>
        </w:rPr>
        <w:t>f</w:t>
      </w:r>
      <w:r>
        <w:t xml:space="preserve">) </w:t>
      </w:r>
      <w:r>
        <w:sym w:font="Symbol" w:char="F0B5"/>
      </w:r>
      <w:r>
        <w:t xml:space="preserve"> ln </w:t>
      </w:r>
      <w:r w:rsidRPr="00332AA7">
        <w:rPr>
          <w:rStyle w:val="Bodytextitalic"/>
        </w:rPr>
        <w:t>A</w:t>
      </w:r>
      <w:r w:rsidRPr="005F5C85">
        <w:rPr>
          <w:rStyle w:val="Subscriptitalic"/>
        </w:rPr>
        <w:t>g,ij</w:t>
      </w:r>
      <w:r w:rsidRPr="00332AA7">
        <w:rPr>
          <w:spacing w:val="40"/>
        </w:rPr>
        <w:t>(</w:t>
      </w:r>
      <w:r w:rsidRPr="00332AA7">
        <w:rPr>
          <w:rStyle w:val="Bodytextitalic"/>
        </w:rPr>
        <w:t>f</w:t>
      </w:r>
      <w:r>
        <w:t>)</w:t>
      </w:r>
      <w:r>
        <w:rPr>
          <w:bCs/>
          <w:lang w:val="en-US"/>
        </w:rPr>
        <w:t>/</w:t>
      </w:r>
      <w:r w:rsidRPr="00332AA7">
        <w:rPr>
          <w:rStyle w:val="Bodytextitalic"/>
        </w:rPr>
        <w:t>R</w:t>
      </w:r>
      <w:r>
        <w:rPr>
          <w:bCs/>
          <w:lang w:val="en-US"/>
        </w:rPr>
        <w:t xml:space="preserve"> (see Equation 1), where </w:t>
      </w:r>
      <w:r w:rsidRPr="00332AA7">
        <w:rPr>
          <w:rStyle w:val="Bodytextitalic"/>
        </w:rPr>
        <w:t>A</w:t>
      </w:r>
      <w:r w:rsidRPr="005F5C85">
        <w:rPr>
          <w:rStyle w:val="Subscriptitalic"/>
        </w:rPr>
        <w:t>g,ij</w:t>
      </w:r>
      <w:r w:rsidRPr="00332AA7">
        <w:rPr>
          <w:spacing w:val="40"/>
        </w:rPr>
        <w:t>(</w:t>
      </w:r>
      <w:r w:rsidRPr="00332AA7">
        <w:rPr>
          <w:rStyle w:val="Bodytextitalic"/>
        </w:rPr>
        <w:t>f</w:t>
      </w:r>
      <w:r>
        <w:t>)</w:t>
      </w:r>
      <w:r>
        <w:rPr>
          <w:bCs/>
          <w:lang w:val="en-US"/>
        </w:rPr>
        <w:t xml:space="preserve"> is </w:t>
      </w:r>
      <w:r w:rsidR="00930827">
        <w:rPr>
          <w:bCs/>
          <w:lang w:val="en-US"/>
        </w:rPr>
        <w:t xml:space="preserve">the normalized Fourier displacement spectra </w:t>
      </w:r>
      <w:r>
        <w:rPr>
          <w:bCs/>
          <w:lang w:val="en-US"/>
        </w:rPr>
        <w:t>corrected for geometrical attenuation according to the equation:</w:t>
      </w:r>
    </w:p>
    <w:p w:rsidR="00B15AC0" w:rsidRDefault="000907EA" w:rsidP="00BF4007">
      <w:pPr>
        <w:pStyle w:val="Equation"/>
      </w:pPr>
      <w:r w:rsidRPr="00F53AB9">
        <w:rPr>
          <w:position w:val="-14"/>
        </w:rPr>
        <w:object w:dxaOrig="3540" w:dyaOrig="360">
          <v:shape id="_x0000_i1030" type="#_x0000_t75" style="width:176.95pt;height:18.25pt" o:ole="">
            <v:imagedata r:id="rId38" o:title=""/>
          </v:shape>
          <o:OLEObject Type="Embed" ProgID="Equation.3" ShapeID="_x0000_i1030" DrawAspect="Content" ObjectID="_1426934407" r:id="rId39"/>
        </w:object>
      </w:r>
      <w:r w:rsidR="00B15AC0">
        <w:t>.</w:t>
      </w:r>
      <w:r w:rsidR="00B15AC0">
        <w:tab/>
        <w:t>(5)</w:t>
      </w:r>
    </w:p>
    <w:p w:rsidR="00B15AC0" w:rsidRPr="00D85DD0" w:rsidRDefault="00B15AC0" w:rsidP="003F4034">
      <w:pPr>
        <w:pStyle w:val="BodyText"/>
      </w:pPr>
      <w:r>
        <w:rPr>
          <w:lang w:val="en-US"/>
        </w:rPr>
        <w:t xml:space="preserve">Consequently, </w:t>
      </w:r>
      <w:r w:rsidRPr="00332AA7">
        <w:rPr>
          <w:rStyle w:val="Bodytextitalic"/>
        </w:rPr>
        <w:t>Q</w:t>
      </w:r>
      <w:r>
        <w:rPr>
          <w:lang w:val="en-US"/>
        </w:rPr>
        <w:t xml:space="preserve"> at each frequency can easily be obtained through regression of the natural logarithm of normalized Fourier displacement spectra and distance</w:t>
      </w:r>
      <w:r w:rsidR="00930827">
        <w:rPr>
          <w:lang w:val="en-US"/>
        </w:rPr>
        <w:t xml:space="preserve"> (Fig. 5)</w:t>
      </w:r>
      <w:r>
        <w:rPr>
          <w:lang w:val="en-US"/>
        </w:rPr>
        <w:t xml:space="preserve">.  While this is an effective method to determine the seismic quality factor, it can be readily observed from the results of </w:t>
      </w:r>
      <w:r>
        <w:rPr>
          <w:noProof/>
        </w:rPr>
        <w:t>Allen</w:t>
      </w:r>
      <w:r w:rsidRPr="00332AA7">
        <w:rPr>
          <w:rStyle w:val="Bodytextitalic"/>
        </w:rPr>
        <w:t xml:space="preserve"> et al.</w:t>
      </w:r>
      <w:r>
        <w:t xml:space="preserve"> </w:t>
      </w:r>
      <w:r>
        <w:fldChar w:fldCharType="begin"/>
      </w:r>
      <w:r w:rsidR="00F202D0">
        <w:instrText xml:space="preserve"> ADDIN EN.CITE &lt;EndNote&gt;&lt;Cite ExcludeAuth="1"&gt;&lt;Author&gt;Allen&lt;/Author&gt;&lt;Year&gt;2007&lt;/Year&gt;&lt;RecNum&gt;526&lt;/RecNum&gt;&lt;record&gt;&lt;rec-number&gt;526&lt;/rec-number&gt;&lt;foreign-keys&gt;&lt;key app="EN" db-id="se5z02d5txder3eax2p5wz5j59zvz2tdzdd2"&gt;526&lt;/key&gt;&lt;/foreign-keys&gt;&lt;ref-type name="Journal Article"&gt;17&lt;/ref-type&gt;&lt;contributors&gt;&lt;authors&gt;&lt;author&gt;Allen, T. I.&lt;/author&gt;&lt;author&gt;Cummins, P. R.&lt;/author&gt;&lt;author&gt;Dhu, T.&lt;/author&gt;&lt;author&gt;Schneider, J. F.&lt;/author&gt;&lt;/authors&gt;&lt;/contributors&gt;&lt;titles&gt;&lt;title&gt;Attenuation of ground-motion spectral amplitudes in southeastern Australia&lt;/title&gt;&lt;secondary-title&gt;Bull. Seism. Soc. Am.&lt;/secondary-title&gt;&lt;/titles&gt;&lt;periodical&gt;&lt;full-title&gt;Bull. Seism. Soc. Am.&lt;/full-title&gt;&lt;/periodical&gt;&lt;pages&gt;1279–1292&lt;/pages&gt;&lt;volume&gt;97&lt;/volume&gt;&lt;number&gt;4&lt;/number&gt;&lt;keywords&gt;&lt;keyword&gt;southeastern Australia, attenuation, Fourier&lt;/keyword&gt;&lt;/keywords&gt;&lt;dates&gt;&lt;year&gt;2007&lt;/year&gt;&lt;/dates&gt;&lt;urls&gt;&lt;pdf-urls&gt;&lt;url&gt;internal-pdf://Allen et al (2007). SE Aust.atten-2994310402/Allen et al (2007). SE Aust.atten.pdf&lt;/url&gt;&lt;/pdf-urls&gt;&lt;/urls&gt;&lt;/record&gt;&lt;/Cite&gt;&lt;/EndNote&gt;</w:instrText>
      </w:r>
      <w:r>
        <w:fldChar w:fldCharType="separate"/>
      </w:r>
      <w:r>
        <w:rPr>
          <w:noProof/>
        </w:rPr>
        <w:t>(2007)</w:t>
      </w:r>
      <w:r>
        <w:fldChar w:fldCharType="end"/>
      </w:r>
      <w:r>
        <w:t xml:space="preserve"> that a linear fit between ln </w:t>
      </w:r>
      <w:r w:rsidRPr="00332AA7">
        <w:rPr>
          <w:rStyle w:val="Bodytextitalic"/>
        </w:rPr>
        <w:t>A</w:t>
      </w:r>
      <w:r w:rsidRPr="005F5C85">
        <w:rPr>
          <w:rStyle w:val="Subscriptitalic"/>
        </w:rPr>
        <w:t>g,ij</w:t>
      </w:r>
      <w:r w:rsidRPr="00332AA7">
        <w:rPr>
          <w:spacing w:val="40"/>
        </w:rPr>
        <w:t>(</w:t>
      </w:r>
      <w:r w:rsidRPr="00332AA7">
        <w:rPr>
          <w:rStyle w:val="Bodytextitalic"/>
        </w:rPr>
        <w:t>f</w:t>
      </w:r>
      <w:r>
        <w:t>)</w:t>
      </w:r>
      <w:r>
        <w:rPr>
          <w:lang w:val="en-US"/>
        </w:rPr>
        <w:t xml:space="preserve"> and </w:t>
      </w:r>
      <w:r w:rsidRPr="00332AA7">
        <w:rPr>
          <w:rStyle w:val="Bodytextitalic"/>
        </w:rPr>
        <w:t>R</w:t>
      </w:r>
      <w:r>
        <w:rPr>
          <w:lang w:val="en-US"/>
        </w:rPr>
        <w:t xml:space="preserve"> is unsatisfactory and leads to an overestimation of spectral amplitudes </w:t>
      </w:r>
      <w:r w:rsidR="00CF54FD">
        <w:rPr>
          <w:lang w:val="en-US"/>
        </w:rPr>
        <w:t xml:space="preserve">at hypocentral </w:t>
      </w:r>
      <w:r w:rsidR="00CF54FD" w:rsidRPr="00CF54FD">
        <w:rPr>
          <w:lang w:val="en-US"/>
        </w:rPr>
        <w:t>distances</w:t>
      </w:r>
      <w:r w:rsidR="00CF54FD">
        <w:rPr>
          <w:lang w:val="en-US"/>
        </w:rPr>
        <w:t xml:space="preserve"> approximately less than </w:t>
      </w:r>
      <w:r w:rsidR="00CF54FD" w:rsidRPr="00332AA7">
        <w:rPr>
          <w:rStyle w:val="Bodytextitalic"/>
        </w:rPr>
        <w:t>R</w:t>
      </w:r>
      <w:r w:rsidR="00CF54FD">
        <w:rPr>
          <w:vertAlign w:val="subscript"/>
          <w:lang w:val="en-US"/>
        </w:rPr>
        <w:t>1</w:t>
      </w:r>
      <w:r>
        <w:rPr>
          <w:lang w:val="en-US"/>
        </w:rPr>
        <w:t xml:space="preserve">.  It is proposed that the use of the </w:t>
      </w:r>
      <w:r w:rsidRPr="00332AA7">
        <w:rPr>
          <w:rStyle w:val="Bodytextitalic"/>
        </w:rPr>
        <w:t>R</w:t>
      </w:r>
      <w:r w:rsidRPr="008F5A11">
        <w:rPr>
          <w:vertAlign w:val="superscript"/>
          <w:lang w:val="en-US"/>
        </w:rPr>
        <w:t>-1.3</w:t>
      </w:r>
      <w:r>
        <w:rPr>
          <w:lang w:val="en-US"/>
        </w:rPr>
        <w:t xml:space="preserve"> geometrical attenuation at near-source distances (Equation 4) is sufficient to compensate for all attenuation effects of direct body-waves at distances less than the geometrical attenuation transition distance </w:t>
      </w:r>
      <w:r w:rsidRPr="00332AA7">
        <w:rPr>
          <w:rStyle w:val="Bodytextitalic"/>
        </w:rPr>
        <w:t>R</w:t>
      </w:r>
      <w:r w:rsidR="00CF54FD">
        <w:rPr>
          <w:vertAlign w:val="subscript"/>
          <w:lang w:val="en-US"/>
        </w:rPr>
        <w:t>1</w:t>
      </w:r>
      <w:r>
        <w:rPr>
          <w:lang w:val="en-US"/>
        </w:rPr>
        <w:t xml:space="preserve"> </w:t>
      </w:r>
      <w:r w:rsidR="00CF54FD">
        <w:rPr>
          <w:lang w:val="en-US"/>
        </w:rPr>
        <w:t xml:space="preserve">(approximately </w:t>
      </w:r>
      <w:r>
        <w:rPr>
          <w:lang w:val="en-US"/>
        </w:rPr>
        <w:t>90 km</w:t>
      </w:r>
      <w:r w:rsidR="00CF54FD">
        <w:rPr>
          <w:lang w:val="en-US"/>
        </w:rPr>
        <w:t>)</w:t>
      </w:r>
      <w:r>
        <w:rPr>
          <w:lang w:val="en-US"/>
        </w:rPr>
        <w:t xml:space="preserve">.  Consequently, rather than apply the standard theoretical </w:t>
      </w:r>
      <w:r w:rsidRPr="00332AA7">
        <w:rPr>
          <w:rStyle w:val="Bodytextitalic"/>
        </w:rPr>
        <w:t>Q</w:t>
      </w:r>
      <w:r>
        <w:rPr>
          <w:lang w:val="en-US"/>
        </w:rPr>
        <w:t xml:space="preserve"> model as incorporated in Equation 1, anelastic effects are empirically modelled at each frequency according to the following equation (Fig. 5): </w:t>
      </w:r>
    </w:p>
    <w:p w:rsidR="00B15AC0" w:rsidRDefault="00EA0998" w:rsidP="00BF4007">
      <w:pPr>
        <w:pStyle w:val="Equation"/>
      </w:pPr>
      <w:r w:rsidRPr="001F37C2">
        <w:rPr>
          <w:position w:val="-16"/>
        </w:rPr>
        <w:object w:dxaOrig="4160" w:dyaOrig="499">
          <v:shape id="_x0000_i1031" type="#_x0000_t75" style="width:207.9pt;height:24.85pt" o:ole="">
            <v:imagedata r:id="rId40" o:title=""/>
          </v:shape>
          <o:OLEObject Type="Embed" ProgID="Equation.3" ShapeID="_x0000_i1031" DrawAspect="Content" ObjectID="_1426934408" r:id="rId41"/>
        </w:object>
      </w:r>
      <w:r w:rsidR="00B15AC0" w:rsidRPr="001F37C2">
        <w:t>.</w:t>
      </w:r>
      <w:r w:rsidR="00B15AC0" w:rsidRPr="001F37C2">
        <w:tab/>
        <w:t>(6)</w:t>
      </w:r>
    </w:p>
    <w:p w:rsidR="00B15AC0" w:rsidRDefault="00B15AC0" w:rsidP="003F4034">
      <w:pPr>
        <w:pStyle w:val="BodyText"/>
      </w:pPr>
      <w:r>
        <w:t xml:space="preserve">where </w:t>
      </w:r>
      <w:r w:rsidRPr="00332AA7">
        <w:rPr>
          <w:rStyle w:val="Bodytextitalic"/>
        </w:rPr>
        <w:t>A</w:t>
      </w:r>
      <w:r w:rsidRPr="005F5C85">
        <w:rPr>
          <w:rStyle w:val="Subscriptitalic"/>
        </w:rPr>
        <w:t>q,ij</w:t>
      </w:r>
      <w:r w:rsidRPr="00332AA7">
        <w:rPr>
          <w:spacing w:val="40"/>
        </w:rPr>
        <w:t>(</w:t>
      </w:r>
      <w:r w:rsidRPr="00332AA7">
        <w:rPr>
          <w:rStyle w:val="Bodytextitalic"/>
        </w:rPr>
        <w:t>f</w:t>
      </w:r>
      <w:r>
        <w:t xml:space="preserve">) is the normalized Fourier displacement spectra, corrected for both geometrical and anelastic attenuation.  The frequency dependence of the coefficient </w:t>
      </w:r>
      <w:r w:rsidRPr="00332AA7">
        <w:rPr>
          <w:rStyle w:val="Bodytextitalic"/>
        </w:rPr>
        <w:t>q</w:t>
      </w:r>
      <w:r>
        <w:t xml:space="preserve"> is indicated in Figure 6.  For frequencies 2</w:t>
      </w:r>
      <w:r w:rsidR="003D2A2A">
        <w:t>.0</w:t>
      </w:r>
      <w:r>
        <w:t xml:space="preserve">-24 Hz, </w:t>
      </w:r>
      <w:r w:rsidRPr="00332AA7">
        <w:rPr>
          <w:rStyle w:val="Bodytextitalic"/>
        </w:rPr>
        <w:t>q</w:t>
      </w:r>
      <w:r>
        <w:t xml:space="preserve"> can be approximated using the equation:</w:t>
      </w:r>
    </w:p>
    <w:p w:rsidR="00B15AC0" w:rsidRDefault="00525BC1" w:rsidP="00BF4007">
      <w:pPr>
        <w:pStyle w:val="Equation"/>
      </w:pPr>
      <w:r w:rsidRPr="001F37C2">
        <w:rPr>
          <w:position w:val="-10"/>
        </w:rPr>
        <w:object w:dxaOrig="3040" w:dyaOrig="360">
          <v:shape id="_x0000_i1032" type="#_x0000_t75" style="width:152.1pt;height:18.25pt" o:ole="">
            <v:imagedata r:id="rId42" o:title=""/>
          </v:shape>
          <o:OLEObject Type="Embed" ProgID="Equation.3" ShapeID="_x0000_i1032" DrawAspect="Content" ObjectID="_1426934409" r:id="rId43"/>
        </w:object>
      </w:r>
      <w:r w:rsidR="008C7D7B">
        <w:t xml:space="preserve">  for </w:t>
      </w:r>
      <w:r w:rsidR="00446C4E" w:rsidRPr="008C7D7B">
        <w:rPr>
          <w:position w:val="-10"/>
        </w:rPr>
        <w:object w:dxaOrig="1080" w:dyaOrig="320">
          <v:shape id="_x0000_i1033" type="#_x0000_t75" style="width:54.25pt;height:15.7pt" o:ole="">
            <v:imagedata r:id="rId44" o:title=""/>
          </v:shape>
          <o:OLEObject Type="Embed" ProgID="Equation.3" ShapeID="_x0000_i1033" DrawAspect="Content" ObjectID="_1426934410" r:id="rId45"/>
        </w:object>
      </w:r>
      <w:r w:rsidR="008C7D7B">
        <w:t>Hz</w:t>
      </w:r>
      <w:r w:rsidR="00B15AC0">
        <w:tab/>
        <w:t>(7)</w:t>
      </w:r>
    </w:p>
    <w:p w:rsidR="00B15AC0" w:rsidRDefault="00B15AC0" w:rsidP="003F4034">
      <w:pPr>
        <w:pStyle w:val="BodyText"/>
      </w:pPr>
      <w:r>
        <w:t xml:space="preserve">The variability of </w:t>
      </w:r>
      <w:r w:rsidRPr="00332AA7">
        <w:rPr>
          <w:rStyle w:val="Bodytextitalic"/>
        </w:rPr>
        <w:t>q</w:t>
      </w:r>
      <w:r>
        <w:t xml:space="preserve"> at frequencies less than approximately 1 Hz is thought to be due to limitations </w:t>
      </w:r>
      <w:r w:rsidR="000B16C9">
        <w:t>of</w:t>
      </w:r>
      <w:r>
        <w:t xml:space="preserve"> the short-period instruments used to record the data.  Consequently, values of </w:t>
      </w:r>
      <w:r w:rsidRPr="00332AA7">
        <w:rPr>
          <w:rStyle w:val="Bodytextitalic"/>
        </w:rPr>
        <w:t xml:space="preserve">q </w:t>
      </w:r>
      <w:r>
        <w:t xml:space="preserve">for </w:t>
      </w:r>
      <w:r w:rsidRPr="00332AA7">
        <w:rPr>
          <w:rStyle w:val="Bodytextitalic"/>
        </w:rPr>
        <w:t>f</w:t>
      </w:r>
      <w:r>
        <w:t xml:space="preserve"> ≤ 2 Hz are set to zero for further analysis.  </w:t>
      </w:r>
      <w:r w:rsidRPr="00AA441E">
        <w:t>Figure</w:t>
      </w:r>
      <w:r>
        <w:t xml:space="preserve"> 7 shows the application of the anelastic attenuation model proposed above.  This method is similar to the attenuation models recently promoted by </w:t>
      </w:r>
      <w:r w:rsidRPr="003D13AB">
        <w:rPr>
          <w:iCs/>
        </w:rPr>
        <w:t>Morozov</w:t>
      </w:r>
      <w:r>
        <w:t xml:space="preserve"> </w:t>
      </w:r>
      <w:r>
        <w:fldChar w:fldCharType="begin"/>
      </w:r>
      <w:r w:rsidR="00F202D0">
        <w:instrText xml:space="preserve"> ADDIN EN.CITE &lt;EndNote&gt;&lt;Cite ExcludeAuth="1"&gt;&lt;Author&gt;Morozov&lt;/Author&gt;&lt;Year&gt;2008&lt;/Year&gt;&lt;RecNum&gt;1125&lt;/RecNum&gt;&lt;record&gt;&lt;rec-number&gt;1125&lt;/rec-number&gt;&lt;foreign-keys&gt;&lt;key app="EN" db-id="se5z02d5txder3eax2p5wz5j59zvz2tdzdd2"&gt;1125&lt;/key&gt;&lt;/foreign-keys&gt;&lt;ref-type name="Journal Article"&gt;17&lt;/ref-type&gt;&lt;contributors&gt;&lt;authors&gt;&lt;author&gt;Morozov, I. B.&lt;/author&gt;&lt;/authors&gt;&lt;/contributors&gt;&lt;titles&gt;&lt;title&gt;Geometrical attenuation, frequency dependence of Q, and the absorption band problem&lt;/title&gt;&lt;secondary-title&gt;Geophys. J. Int.&lt;/secondary-title&gt;&lt;/titles&gt;&lt;periodical&gt;&lt;full-title&gt;Geophys. J. Int.&lt;/full-title&gt;&lt;/periodical&gt;&lt;pages&gt;239–252&lt;/pages&gt;&lt;volume&gt;175&lt;/volume&gt;&lt;keywords&gt;&lt;keyword&gt;Seismic attenuation&lt;/keyword&gt;&lt;keyword&gt;Wave scattering and diffraction&lt;/keyword&gt;&lt;keyword&gt;Wave propagation, Q, intrinsic attenuation&lt;/keyword&gt;&lt;/keywords&gt;&lt;dates&gt;&lt;year&gt;2008&lt;/year&gt;&lt;/dates&gt;&lt;urls&gt;&lt;pdf-urls&gt;&lt;url&gt;internal-pdf://Morozov (2008).G(R).Q.absorbtion-0482913542/Morozov (2008).G(R).Q.absorbtion.pdf&lt;/url&gt;&lt;/pdf-urls&gt;&lt;/urls&gt;&lt;/record&gt;&lt;/Cite&gt;&lt;Cite ExcludeAuth="1"&gt;&lt;Author&gt;Morozov&lt;/Author&gt;&lt;Year&gt;2009&lt;/Year&gt;&lt;RecNum&gt;1127&lt;/RecNum&gt;&lt;record&gt;&lt;rec-number&gt;1127&lt;/rec-number&gt;&lt;foreign-keys&gt;&lt;key app="EN" db-id="se5z02d5txder3eax2p5wz5j59zvz2tdzdd2"&gt;1127&lt;/key&gt;&lt;/foreign-keys&gt;&lt;ref-type name="Journal Article"&gt;17&lt;/ref-type&gt;&lt;contributors&gt;&lt;authors&gt;&lt;author&gt;Morozov, I. B.&lt;/author&gt;&lt;/authors&gt;&lt;/contributors&gt;&lt;titles&gt;&lt;title&gt;Thirty years of confusion around “scattering Q”?&lt;/title&gt;&lt;secondary-title&gt;Seism. Res. Lett.&lt;/secondary-title&gt;&lt;/titles&gt;&lt;periodical&gt;&lt;full-title&gt;Seism. Res. Lett.&lt;/full-title&gt;&lt;/periodical&gt;&lt;pages&gt;5-7&lt;/pages&gt;&lt;volume&gt;80&lt;/volume&gt;&lt;number&gt;1&lt;/number&gt;&lt;dates&gt;&lt;year&gt;2009&lt;/year&gt;&lt;/dates&gt;&lt;urls&gt;&lt;pdf-urls&gt;&lt;url&gt;internal-pdf://Morozov (2009).Q_confusion-1389994246/Morozov (2009).Q_confusion.pdf&lt;/url&gt;&lt;/pdf-urls&gt;&lt;/urls&gt;&lt;electronic-resource-num&gt;doi: 10.1785/gssrl.80.1.5&lt;/electronic-resource-num&gt;&lt;/record&gt;&lt;/Cite&gt;&lt;/EndNote&gt;</w:instrText>
      </w:r>
      <w:r>
        <w:fldChar w:fldCharType="separate"/>
      </w:r>
      <w:r>
        <w:rPr>
          <w:noProof/>
        </w:rPr>
        <w:t>(2008; 2009)</w:t>
      </w:r>
      <w:r>
        <w:fldChar w:fldCharType="end"/>
      </w:r>
      <w:r>
        <w:t xml:space="preserve">, who argues that attenuation models need not rely on </w:t>
      </w:r>
      <w:r w:rsidRPr="0013782B">
        <w:t>elaborate theoretical</w:t>
      </w:r>
      <w:r>
        <w:t xml:space="preserve"> </w:t>
      </w:r>
      <w:r w:rsidRPr="0013782B">
        <w:t>models or restrictive assumptions</w:t>
      </w:r>
      <w:r>
        <w:t xml:space="preserve"> and can be guided by the data.  It is observed that the proposed anelastic attenuation model presented herein performs well across the full frequency and distance range of the data considered (Fig. 7).</w:t>
      </w:r>
    </w:p>
    <w:p w:rsidR="00B15AC0" w:rsidRDefault="00551E1A" w:rsidP="00E033F4">
      <w:pPr>
        <w:pStyle w:val="InlineObject"/>
        <w:rPr>
          <w:lang w:val="en-US"/>
        </w:rPr>
      </w:pPr>
      <w:r>
        <w:rPr>
          <w:noProof/>
        </w:rPr>
        <w:lastRenderedPageBreak/>
        <w:drawing>
          <wp:inline distT="0" distB="0" distL="0" distR="0">
            <wp:extent cx="4943475" cy="3724275"/>
            <wp:effectExtent l="0" t="0" r="0" b="0"/>
            <wp:docPr id="17" name="Picture 17" descr="GR_corr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_correc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43475" cy="3724275"/>
                    </a:xfrm>
                    <a:prstGeom prst="rect">
                      <a:avLst/>
                    </a:prstGeom>
                    <a:noFill/>
                    <a:ln>
                      <a:noFill/>
                    </a:ln>
                  </pic:spPr>
                </pic:pic>
              </a:graphicData>
            </a:graphic>
          </wp:inline>
        </w:drawing>
      </w:r>
    </w:p>
    <w:p w:rsidR="00B15AC0" w:rsidRPr="00ED3EA1" w:rsidRDefault="00B15AC0" w:rsidP="00ED3EA1">
      <w:pPr>
        <w:pStyle w:val="Captions"/>
      </w:pPr>
      <w:bookmarkStart w:id="76" w:name="_Toc338429319"/>
      <w:r w:rsidRPr="00ED3EA1">
        <w:rPr>
          <w:rStyle w:val="Bodytextbold"/>
        </w:rPr>
        <w:t xml:space="preserve">Figure </w:t>
      </w:r>
      <w:r w:rsidRPr="00ED3EA1">
        <w:rPr>
          <w:rStyle w:val="Bodytextbold"/>
        </w:rPr>
        <w:fldChar w:fldCharType="begin"/>
      </w:r>
      <w:r w:rsidRPr="00ED3EA1">
        <w:rPr>
          <w:rStyle w:val="Bodytextbold"/>
        </w:rPr>
        <w:instrText xml:space="preserve"> SEQ Figure \* ARABIC </w:instrText>
      </w:r>
      <w:r w:rsidRPr="00ED3EA1">
        <w:rPr>
          <w:rStyle w:val="Bodytextbold"/>
        </w:rPr>
        <w:fldChar w:fldCharType="separate"/>
      </w:r>
      <w:r w:rsidR="007D4E78" w:rsidRPr="00ED3EA1">
        <w:rPr>
          <w:rStyle w:val="Bodytextbold"/>
        </w:rPr>
        <w:t>5</w:t>
      </w:r>
      <w:r w:rsidRPr="00ED3EA1">
        <w:rPr>
          <w:rStyle w:val="Bodytextbold"/>
        </w:rPr>
        <w:fldChar w:fldCharType="end"/>
      </w:r>
      <w:r w:rsidRPr="00ED3EA1">
        <w:rPr>
          <w:rStyle w:val="Bodytextbold"/>
        </w:rPr>
        <w:t>:</w:t>
      </w:r>
      <w:r w:rsidRPr="00ED3EA1">
        <w:t xml:space="preserve">  Normalized 2 Hz Fourier displacement spectra corrected for geometrical attenuation and plotted against R for a suite of six spectral frequencies from 1-20 Hz.  Individual amplitude data (grey crosses) are binned by distance in linearly-spaced 10-km windows.  The median normalised amplitude in each bin is indicated by the black squares.  The decay of normalised spectral amplitudes represents attenuation through anelastic and scattering effects.  The grey dashed line is proportional to the traditional seismic quality factor, where Q</w:t>
      </w:r>
      <w:r w:rsidRPr="005F5C85">
        <w:rPr>
          <w:vertAlign w:val="superscript"/>
        </w:rPr>
        <w:t>-1</w:t>
      </w:r>
      <w:r w:rsidRPr="00ED3EA1">
        <w:t xml:space="preserve">(f) </w:t>
      </w:r>
      <w:r w:rsidRPr="00ED3EA1">
        <w:sym w:font="Symbol" w:char="F0B5"/>
      </w:r>
      <w:r w:rsidRPr="00ED3EA1">
        <w:t xml:space="preserve"> ln A</w:t>
      </w:r>
      <w:r w:rsidRPr="005F5C85">
        <w:rPr>
          <w:rStyle w:val="Subscript"/>
        </w:rPr>
        <w:t>g,ij</w:t>
      </w:r>
      <w:r w:rsidRPr="00ED3EA1">
        <w:t xml:space="preserve">(f)/R (see Equation 1).  These data suggest that using such a functional form might lead to an overcorrection of near-source spectral amplitudes by </w:t>
      </w:r>
      <w:r w:rsidR="004523CE" w:rsidRPr="00ED3EA1">
        <w:t>almost</w:t>
      </w:r>
      <w:r w:rsidRPr="00ED3EA1">
        <w:t xml:space="preserve"> a factor of two in ground-motion, particularly at high frequencies.  The solid black line empirically models the anelastic effects at each frequency according to Equations </w:t>
      </w:r>
      <w:r w:rsidR="004523CE" w:rsidRPr="00ED3EA1">
        <w:t xml:space="preserve">6 </w:t>
      </w:r>
      <w:r w:rsidRPr="00ED3EA1">
        <w:t xml:space="preserve">and </w:t>
      </w:r>
      <w:r w:rsidR="004523CE" w:rsidRPr="00ED3EA1">
        <w:t>7</w:t>
      </w:r>
      <w:r w:rsidRPr="00ED3EA1">
        <w:t>.</w:t>
      </w:r>
      <w:bookmarkEnd w:id="76"/>
    </w:p>
    <w:p w:rsidR="00E033F4" w:rsidRPr="008818F0" w:rsidRDefault="00551E1A" w:rsidP="00E033F4">
      <w:pPr>
        <w:pStyle w:val="InlineObject"/>
        <w:rPr>
          <w:lang w:val="en-US"/>
        </w:rPr>
      </w:pPr>
      <w:r>
        <w:rPr>
          <w:noProof/>
        </w:rPr>
        <w:drawing>
          <wp:inline distT="0" distB="0" distL="0" distR="0">
            <wp:extent cx="1838325" cy="2486025"/>
            <wp:effectExtent l="0" t="0" r="0" b="0"/>
            <wp:docPr id="18" name="Picture 18" descr="q_c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_coe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8325" cy="2486025"/>
                    </a:xfrm>
                    <a:prstGeom prst="rect">
                      <a:avLst/>
                    </a:prstGeom>
                    <a:noFill/>
                    <a:ln>
                      <a:noFill/>
                    </a:ln>
                  </pic:spPr>
                </pic:pic>
              </a:graphicData>
            </a:graphic>
          </wp:inline>
        </w:drawing>
      </w:r>
    </w:p>
    <w:p w:rsidR="00E033F4" w:rsidRPr="008818F0" w:rsidRDefault="00E033F4" w:rsidP="00183EB1">
      <w:pPr>
        <w:pStyle w:val="Captions"/>
        <w:rPr>
          <w:lang w:val="en-US"/>
        </w:rPr>
      </w:pPr>
      <w:bookmarkStart w:id="77" w:name="_Toc338429320"/>
      <w:r w:rsidRPr="00ED3EA1">
        <w:rPr>
          <w:rStyle w:val="Bodytextbold"/>
        </w:rPr>
        <w:t xml:space="preserve">Figure </w:t>
      </w:r>
      <w:r w:rsidRPr="008818F0">
        <w:rPr>
          <w:b/>
        </w:rPr>
        <w:fldChar w:fldCharType="begin"/>
      </w:r>
      <w:r w:rsidRPr="008818F0">
        <w:rPr>
          <w:b/>
        </w:rPr>
        <w:instrText xml:space="preserve"> SEQ Figure \* ARABIC </w:instrText>
      </w:r>
      <w:r w:rsidRPr="008818F0">
        <w:rPr>
          <w:b/>
        </w:rPr>
        <w:fldChar w:fldCharType="separate"/>
      </w:r>
      <w:r>
        <w:rPr>
          <w:b/>
          <w:noProof/>
        </w:rPr>
        <w:t>6</w:t>
      </w:r>
      <w:r w:rsidRPr="008818F0">
        <w:rPr>
          <w:b/>
        </w:rPr>
        <w:fldChar w:fldCharType="end"/>
      </w:r>
      <w:r w:rsidRPr="00ED3EA1">
        <w:rPr>
          <w:rStyle w:val="Bodytextbold"/>
        </w:rPr>
        <w:t>:</w:t>
      </w:r>
      <w:r>
        <w:t xml:space="preserve">  The anelastic attenuation coefficient, q(f), indicating the change in the rate of anelastic attenuation with frequency (see Equations </w:t>
      </w:r>
      <w:r w:rsidRPr="008818F0">
        <w:rPr>
          <w:bCs/>
          <w:lang w:val="en-US"/>
        </w:rPr>
        <w:t>6 and 7</w:t>
      </w:r>
      <w:r>
        <w:t>).  The downward trend at low-frequencies is thought to be due to low-quality data at frequencies less than approximately 1 Hz.  These frequencies are generally below the natural frequency of the seismometer and are poorly resolved.</w:t>
      </w:r>
      <w:bookmarkEnd w:id="77"/>
    </w:p>
    <w:p w:rsidR="00B15AC0" w:rsidRDefault="00551E1A" w:rsidP="00E033F4">
      <w:pPr>
        <w:pStyle w:val="InlineObject"/>
        <w:rPr>
          <w:lang w:val="en-US"/>
        </w:rPr>
      </w:pPr>
      <w:r>
        <w:rPr>
          <w:noProof/>
        </w:rPr>
        <w:lastRenderedPageBreak/>
        <w:drawing>
          <wp:inline distT="0" distB="0" distL="0" distR="0">
            <wp:extent cx="5372100" cy="4076700"/>
            <wp:effectExtent l="0" t="0" r="0" b="0"/>
            <wp:docPr id="19" name="Picture 19" descr="Q_corrected_curve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_corrected_curvefi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2100" cy="4076700"/>
                    </a:xfrm>
                    <a:prstGeom prst="rect">
                      <a:avLst/>
                    </a:prstGeom>
                    <a:noFill/>
                    <a:ln>
                      <a:noFill/>
                    </a:ln>
                  </pic:spPr>
                </pic:pic>
              </a:graphicData>
            </a:graphic>
          </wp:inline>
        </w:drawing>
      </w:r>
    </w:p>
    <w:p w:rsidR="00B15AC0" w:rsidRPr="006A05EA" w:rsidRDefault="00B15AC0" w:rsidP="006A05EA">
      <w:pPr>
        <w:pStyle w:val="Captions"/>
        <w:rPr>
          <w:lang w:val="en-US"/>
        </w:rPr>
      </w:pPr>
      <w:bookmarkStart w:id="78" w:name="_Toc338429321"/>
      <w:r w:rsidRPr="00ED3EA1">
        <w:rPr>
          <w:rStyle w:val="Bodytextbold"/>
        </w:rPr>
        <w:t xml:space="preserve">Figure </w:t>
      </w:r>
      <w:r w:rsidRPr="00183EB1">
        <w:rPr>
          <w:b/>
        </w:rPr>
        <w:fldChar w:fldCharType="begin"/>
      </w:r>
      <w:r w:rsidRPr="00183EB1">
        <w:rPr>
          <w:b/>
        </w:rPr>
        <w:instrText xml:space="preserve"> SEQ Figure \* ARABIC </w:instrText>
      </w:r>
      <w:r w:rsidRPr="00183EB1">
        <w:rPr>
          <w:b/>
        </w:rPr>
        <w:fldChar w:fldCharType="separate"/>
      </w:r>
      <w:r w:rsidR="007D4E78">
        <w:rPr>
          <w:b/>
          <w:noProof/>
        </w:rPr>
        <w:t>7</w:t>
      </w:r>
      <w:r w:rsidRPr="00183EB1">
        <w:rPr>
          <w:b/>
        </w:rPr>
        <w:fldChar w:fldCharType="end"/>
      </w:r>
      <w:r w:rsidRPr="00ED3EA1">
        <w:rPr>
          <w:rStyle w:val="Bodytextbold"/>
        </w:rPr>
        <w:t>:</w:t>
      </w:r>
      <w:r>
        <w:t xml:space="preserve">  Normalised 2 Hz Fourier displacement spectra corrected for both geometrical attenuation and anelastic attenuation, plotted against R for a suite of six spectral frequencies from 1-20 Hz.  Individual amplitude data (grey crosses) are binned by distance in linearly-spaced 10-km windows.  The median normalised amplitude in each bin is indicated by the black squares</w:t>
      </w:r>
      <w:r w:rsidR="00446C4E">
        <w:t>.  Error bars indicate the standard deviation of residuals for each distance window</w:t>
      </w:r>
      <w:r>
        <w:t>.  The zero dashed line is relative to the median of the combined individual corrected amplitude data for each frequency.</w:t>
      </w:r>
      <w:bookmarkEnd w:id="78"/>
    </w:p>
    <w:p w:rsidR="00B15AC0" w:rsidRDefault="00B15AC0" w:rsidP="005C7510">
      <w:pPr>
        <w:pStyle w:val="Heading2"/>
      </w:pPr>
      <w:bookmarkStart w:id="79" w:name="_Toc319656511"/>
      <w:bookmarkStart w:id="80" w:name="_Toc319656600"/>
      <w:bookmarkStart w:id="81" w:name="_Toc319918554"/>
      <w:bookmarkStart w:id="82" w:name="_Toc319918823"/>
      <w:bookmarkStart w:id="83" w:name="_Toc349112534"/>
      <w:r>
        <w:t>Kappa</w:t>
      </w:r>
      <w:bookmarkEnd w:id="79"/>
      <w:bookmarkEnd w:id="80"/>
      <w:bookmarkEnd w:id="81"/>
      <w:bookmarkEnd w:id="82"/>
      <w:bookmarkEnd w:id="83"/>
    </w:p>
    <w:p w:rsidR="00B15AC0" w:rsidRPr="00CC2C02" w:rsidRDefault="00B15AC0" w:rsidP="003F4034">
      <w:pPr>
        <w:pStyle w:val="BodyText"/>
      </w:pPr>
      <w:r>
        <w:t xml:space="preserve">Several recent studies have made significant </w:t>
      </w:r>
      <w:r w:rsidR="000B16C9">
        <w:t>progress</w:t>
      </w:r>
      <w:r>
        <w:t xml:space="preserve"> in understanding the characteristics of the path-independent site </w:t>
      </w:r>
      <w:bookmarkStart w:id="84" w:name="OLE_LINK1"/>
      <w:bookmarkStart w:id="85" w:name="OLE_LINK2"/>
      <w:r w:rsidR="004523CE">
        <w:t xml:space="preserve">diminution </w:t>
      </w:r>
      <w:bookmarkEnd w:id="84"/>
      <w:bookmarkEnd w:id="85"/>
      <w:r>
        <w:t xml:space="preserve">parameter kappa, </w:t>
      </w:r>
      <w:r w:rsidRPr="00332AA7">
        <w:rPr>
          <w:rStyle w:val="Bodytextitalic"/>
        </w:rPr>
        <w:t>κ</w:t>
      </w:r>
      <w:r w:rsidRPr="00632C3C">
        <w:rPr>
          <w:vertAlign w:val="subscript"/>
        </w:rPr>
        <w:t>0</w:t>
      </w:r>
      <w:r>
        <w:t xml:space="preserve"> </w:t>
      </w:r>
      <w:r>
        <w:fldChar w:fldCharType="begin"/>
      </w:r>
      <w:r w:rsidR="00F202D0">
        <w:instrText xml:space="preserve"> ADDIN EN.CITE &lt;EndNote&gt;&lt;Cite&gt;&lt;Author&gt;Anderson&lt;/Author&gt;&lt;Year&gt;1984&lt;/Year&gt;&lt;RecNum&gt;1086&lt;/RecNum&gt;&lt;record&gt;&lt;rec-number&gt;1086&lt;/rec-number&gt;&lt;foreign-keys&gt;&lt;key app="EN" db-id="se5z02d5txder3eax2p5wz5j59zvz2tdzdd2"&gt;1086&lt;/key&gt;&lt;/foreign-keys&gt;&lt;ref-type name="Journal Article"&gt;17&lt;/ref-type&gt;&lt;contributors&gt;&lt;authors&gt;&lt;author&gt;Anderson, J. G.&lt;/author&gt;&lt;author&gt;Hough, S. E.&lt;/author&gt;&lt;/authors&gt;&lt;/contributors&gt;&lt;titles&gt;&lt;title&gt;A model for the shape of the Fourier amplitude spectrum of acceleration at high frequencies&lt;/title&gt;&lt;secondary-title&gt;Bull. Seism. Soc. Am.&lt;/secondary-title&gt;&lt;/titles&gt;&lt;periodical&gt;&lt;full-title&gt;Bull. Seism. Soc. Am.&lt;/full-title&gt;&lt;/periodical&gt;&lt;pages&gt;1969-1993&lt;/pages&gt;&lt;volume&gt;74&lt;/volume&gt;&lt;number&gt;5&lt;/number&gt;&lt;keywords&gt;&lt;keyword&gt;kappa, hard rock&lt;/keyword&gt;&lt;/keywords&gt;&lt;dates&gt;&lt;year&gt;1984&lt;/year&gt;&lt;/dates&gt;&lt;urls&gt;&lt;pdf-urls&gt;&lt;url&gt;internal-pdf://Anderson &amp;amp; Hough (1984).kappa-1207254584/Anderson &amp;amp; Hough (1984).kappa.pdf&lt;/url&gt;&lt;/pdf-urls&gt;&lt;/urls&gt;&lt;/record&gt;&lt;/Cite&gt;&lt;Cite&gt;&lt;Author&gt;Hough&lt;/Author&gt;&lt;Year&gt;1988&lt;/Year&gt;&lt;RecNum&gt;1142&lt;/RecNum&gt;&lt;record&gt;&lt;rec-number&gt;1142&lt;/rec-number&gt;&lt;foreign-keys&gt;&lt;key app="EN" db-id="se5z02d5txder3eax2p5wz5j59zvz2tdzdd2"&gt;1142&lt;/key&gt;&lt;/foreign-keys&gt;&lt;ref-type name="Journal Article"&gt;17&lt;/ref-type&gt;&lt;contributors&gt;&lt;authors&gt;&lt;author&gt;Hough, S. E.&lt;/author&gt;&lt;author&gt;Anderson, J. G.&lt;/author&gt;&lt;author&gt;Brune, J.&lt;/author&gt;&lt;author&gt;Vernon, F.&lt;/author&gt;&lt;author&gt;Berger, G.&lt;/author&gt;&lt;author&gt;Fletcher, J.&lt;/author&gt;&lt;author&gt;Haar, L.&lt;/author&gt;&lt;author&gt;Hanks, T.&lt;/author&gt;&lt;author&gt;Baker, L.&lt;/author&gt;&lt;/authors&gt;&lt;/contributors&gt;&lt;titles&gt;&lt;title&gt;Attenuation near Anza, California&lt;/title&gt;&lt;secondary-title&gt;Bull. Seism. Soc. Am.&lt;/secondary-title&gt;&lt;/titles&gt;&lt;periodical&gt;&lt;full-title&gt;Bull. Seism. Soc. Am.&lt;/full-title&gt;&lt;/periodical&gt;&lt;pages&gt;672-691&lt;/pages&gt;&lt;volume&gt;78&lt;/volume&gt;&lt;number&gt;2&lt;/number&gt;&lt;keywords&gt;&lt;keyword&gt;kappa, attenuation, geometrical spreading, Q, k0&lt;/keyword&gt;&lt;/keywords&gt;&lt;dates&gt;&lt;year&gt;1988&lt;/year&gt;&lt;/dates&gt;&lt;urls&gt;&lt;pdf-urls&gt;&lt;url&gt;internal-pdf://Hough etal (1988).Anza_atten.k0-4243032842/Hough etal (1988).Anza_atten.k0.pdf&lt;/url&gt;&lt;/pdf-urls&gt;&lt;/urls&gt;&lt;/record&gt;&lt;/Cite&gt;&lt;/EndNote&gt;</w:instrText>
      </w:r>
      <w:r>
        <w:fldChar w:fldCharType="separate"/>
      </w:r>
      <w:r>
        <w:rPr>
          <w:noProof/>
        </w:rPr>
        <w:t>(Anderson and Hough, 1984; Hough</w:t>
      </w:r>
      <w:r w:rsidRPr="003D3528">
        <w:rPr>
          <w:i/>
          <w:noProof/>
        </w:rPr>
        <w:t xml:space="preserve"> et al.</w:t>
      </w:r>
      <w:r>
        <w:rPr>
          <w:noProof/>
        </w:rPr>
        <w:t>, 1988)</w:t>
      </w:r>
      <w:r>
        <w:fldChar w:fldCharType="end"/>
      </w:r>
      <w:r>
        <w:t xml:space="preserve">, </w:t>
      </w:r>
      <w:r w:rsidRPr="00683C36">
        <w:t xml:space="preserve">and its relationship </w:t>
      </w:r>
      <w:r w:rsidR="00683C36" w:rsidRPr="00683C36">
        <w:t>with</w:t>
      </w:r>
      <w:r w:rsidRPr="00683C36">
        <w:t xml:space="preserve"> near-surface shear-wave velocity in stable continental regions</w:t>
      </w:r>
      <w:r>
        <w:t xml:space="preserve"> </w:t>
      </w:r>
      <w:r>
        <w:fldChar w:fldCharType="begin">
          <w:fldData xml:space="preserve">PEVuZE5vdGU+PENpdGU+PEF1dGhvcj5DYW1wYmVsbDwvQXV0aG9yPjxZZWFyPjIwMDk8L1llYXI+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</w:fldData>
        </w:fldChar>
      </w:r>
      <w:r w:rsidR="00F202D0">
        <w:instrText xml:space="preserve"> ADDIN EN.CITE </w:instrText>
      </w:r>
      <w:r w:rsidR="00F202D0">
        <w:fldChar w:fldCharType="begin">
          <w:fldData xml:space="preserve">PEVuZE5vdGU+PENpdGU+PEF1dGhvcj5DYW1wYmVsbDwvQXV0aG9yPjxZZWFyPjIwMDk8L1llYXI+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</w:fldData>
        </w:fldChar>
      </w:r>
      <w:r w:rsidR="00F202D0">
        <w:instrText xml:space="preserve"> ADDIN EN.CITE.DATA </w:instrText>
      </w:r>
      <w:r w:rsidR="00F202D0">
        <w:fldChar w:fldCharType="end"/>
      </w:r>
      <w:r>
        <w:fldChar w:fldCharType="separate"/>
      </w:r>
      <w:r>
        <w:rPr>
          <w:noProof/>
        </w:rPr>
        <w:t>(Chandler</w:t>
      </w:r>
      <w:r w:rsidRPr="003D3528">
        <w:rPr>
          <w:i/>
          <w:noProof/>
        </w:rPr>
        <w:t xml:space="preserve"> et al.</w:t>
      </w:r>
      <w:r>
        <w:rPr>
          <w:noProof/>
        </w:rPr>
        <w:t>, 2006; Campbell, 2009; Douglas</w:t>
      </w:r>
      <w:r w:rsidRPr="003D3528">
        <w:rPr>
          <w:i/>
          <w:noProof/>
        </w:rPr>
        <w:t xml:space="preserve"> et al.</w:t>
      </w:r>
      <w:r>
        <w:rPr>
          <w:noProof/>
        </w:rPr>
        <w:t>, 2010; Drouet</w:t>
      </w:r>
      <w:r w:rsidRPr="003D3528">
        <w:rPr>
          <w:i/>
          <w:noProof/>
        </w:rPr>
        <w:t xml:space="preserve"> et al.</w:t>
      </w:r>
      <w:r>
        <w:rPr>
          <w:noProof/>
        </w:rPr>
        <w:t>, 2010; Edwards</w:t>
      </w:r>
      <w:r w:rsidRPr="003D3528">
        <w:rPr>
          <w:i/>
          <w:noProof/>
        </w:rPr>
        <w:t xml:space="preserve"> et al.</w:t>
      </w:r>
      <w:r>
        <w:rPr>
          <w:noProof/>
        </w:rPr>
        <w:t>, 2011)</w:t>
      </w:r>
      <w:r>
        <w:fldChar w:fldCharType="end"/>
      </w:r>
      <w:r>
        <w:t xml:space="preserve">.  The kappa parameter is a critical component in stochastic ground-motion modelling and controls the high-frequency </w:t>
      </w:r>
      <w:r w:rsidR="00A42C6A">
        <w:t xml:space="preserve">segment </w:t>
      </w:r>
      <w:r>
        <w:t xml:space="preserve">(and peak ground acceleration) of the response spectrum.  The zero subscript refers to kappa estimated from acceleration spectra corrected for anelastic attenuation such that </w:t>
      </w:r>
      <w:r w:rsidRPr="00A231DA">
        <w:t>the near-source shape</w:t>
      </w:r>
      <w:r>
        <w:t xml:space="preserve"> </w:t>
      </w:r>
      <w:r w:rsidRPr="00A231DA">
        <w:t>of each record</w:t>
      </w:r>
      <w:r>
        <w:t xml:space="preserve"> is resolved </w:t>
      </w:r>
      <w:r>
        <w:fldChar w:fldCharType="begin"/>
      </w:r>
      <w:r w:rsidR="00F202D0">
        <w:instrText xml:space="preserve"> ADDIN EN.CITE &lt;EndNote&gt;&lt;Cite&gt;&lt;Author&gt;Atkinson&lt;/Author&gt;&lt;Year&gt;1996&lt;/Year&gt;&lt;RecNum&gt;541&lt;/RecNum&gt;&lt;Prefix&gt;e.g.`, &lt;/Prefix&gt;&lt;record&gt;&lt;rec-number&gt;541&lt;/rec-number&gt;&lt;foreign-keys&gt;&lt;key app="EN" db-id="se5z02d5txder3eax2p5wz5j59zvz2tdzdd2"&gt;541&lt;/key&gt;&lt;/foreign-keys&gt;&lt;ref-type name="Journal Article"&gt;17&lt;/ref-type&gt;&lt;contributors&gt;&lt;authors&gt;&lt;author&gt;Atkinson, G. M.&lt;/author&gt;&lt;/authors&gt;&lt;/contributors&gt;&lt;titles&gt;&lt;title&gt;The high-frequency shape of the source spectrum for earthquakes in eastern and western Canada&lt;/title&gt;&lt;secondary-title&gt;Bull. Seism. Soc. Am.&lt;/secondary-title&gt;&lt;/titles&gt;&lt;periodical&gt;&lt;full-title&gt;Bull. Seism. Soc. Am.&lt;/full-title&gt;&lt;/periodical&gt;&lt;pages&gt;106-112&lt;/pages&gt;&lt;volume&gt;86&lt;/volume&gt;&lt;number&gt;1A&lt;/number&gt;&lt;keywords&gt;&lt;keyword&gt;Stress drop, kappa, high-frequency&lt;/keyword&gt;&lt;/keywords&gt;&lt;dates&gt;&lt;year&gt;1996&lt;/year&gt;&lt;/dates&gt;&lt;urls&gt;&lt;pdf-urls&gt;&lt;url&gt;internal-pdf://Atkinson (1996).High-f_shape.Canada-1719545364/Atkinson (1996).High-f_shape.Canada.pdf&lt;/url&gt;&lt;/pdf-urls&gt;&lt;/urls&gt;&lt;/record&gt;&lt;/Cite&gt;&lt;/EndNote&gt;</w:instrText>
      </w:r>
      <w:r>
        <w:fldChar w:fldCharType="separate"/>
      </w:r>
      <w:r>
        <w:rPr>
          <w:noProof/>
        </w:rPr>
        <w:t>(e.g., Atkinson, 1996)</w:t>
      </w:r>
      <w:r>
        <w:fldChar w:fldCharType="end"/>
      </w:r>
      <w:r>
        <w:t xml:space="preserve">. </w:t>
      </w:r>
    </w:p>
    <w:p w:rsidR="00B15AC0" w:rsidRDefault="00B15AC0" w:rsidP="003F4034">
      <w:pPr>
        <w:pStyle w:val="BodyText"/>
      </w:pPr>
      <w:r>
        <w:t xml:space="preserve">Prior empirical studies in </w:t>
      </w:r>
      <w:smartTag w:uri="urn:schemas-microsoft-com:office:smarttags" w:element="place">
        <w:smartTag w:uri="urn:schemas-microsoft-com:office:smarttags" w:element="country-region">
          <w:r>
            <w:t>Australia</w:t>
          </w:r>
        </w:smartTag>
      </w:smartTag>
      <w:r>
        <w:t xml:space="preserve"> sought only to model observed ground-motions through empirical regressions (e.g., Allen </w:t>
      </w:r>
      <w:r w:rsidRPr="00332AA7">
        <w:rPr>
          <w:rStyle w:val="Bodytextitalic"/>
        </w:rPr>
        <w:t>et al.</w:t>
      </w:r>
      <w:r>
        <w:t xml:space="preserve">, 2007) and did not attempt to isolate the effect of </w:t>
      </w:r>
      <w:r w:rsidRPr="00332AA7">
        <w:rPr>
          <w:rStyle w:val="Bodytextitalic"/>
        </w:rPr>
        <w:t>κ</w:t>
      </w:r>
      <w:r w:rsidRPr="00632C3C">
        <w:rPr>
          <w:vertAlign w:val="subscript"/>
        </w:rPr>
        <w:t>0</w:t>
      </w:r>
      <w:r>
        <w:t xml:space="preserve">.  Consequently, in order to forward model </w:t>
      </w:r>
      <w:r w:rsidR="004523CE">
        <w:t xml:space="preserve">displacement </w:t>
      </w:r>
      <w:r>
        <w:t xml:space="preserve">spectra employing Equation 1, a regional value of </w:t>
      </w:r>
      <w:bookmarkStart w:id="86" w:name="OLE_LINK18"/>
      <w:r w:rsidRPr="00332AA7">
        <w:rPr>
          <w:rStyle w:val="Bodytextitalic"/>
        </w:rPr>
        <w:t>κ</w:t>
      </w:r>
      <w:r w:rsidRPr="00632C3C">
        <w:rPr>
          <w:vertAlign w:val="subscript"/>
        </w:rPr>
        <w:t>0</w:t>
      </w:r>
      <w:r w:rsidRPr="00332AA7">
        <w:rPr>
          <w:rStyle w:val="Bodytextitalic"/>
        </w:rPr>
        <w:t xml:space="preserve"> </w:t>
      </w:r>
      <w:bookmarkEnd w:id="86"/>
      <w:r>
        <w:t xml:space="preserve">for southeastern </w:t>
      </w:r>
      <w:smartTag w:uri="urn:schemas-microsoft-com:office:smarttags" w:element="place">
        <w:smartTag w:uri="urn:schemas-microsoft-com:office:smarttags" w:element="country-region">
          <w:r>
            <w:t>Australia</w:t>
          </w:r>
        </w:smartTag>
      </w:smartTag>
      <w:r>
        <w:t xml:space="preserve"> must be determined.  Recent studies indicate that </w:t>
      </w:r>
      <w:r w:rsidRPr="00734436">
        <w:t>near-surface effects</w:t>
      </w:r>
      <w:r>
        <w:t>, as modelled</w:t>
      </w:r>
      <w:r w:rsidRPr="00734436">
        <w:t xml:space="preserve"> with </w:t>
      </w:r>
      <w:r w:rsidRPr="00332AA7">
        <w:rPr>
          <w:rStyle w:val="Bodytextitalic"/>
        </w:rPr>
        <w:t>κ</w:t>
      </w:r>
      <w:r w:rsidRPr="00632C3C">
        <w:rPr>
          <w:vertAlign w:val="subscript"/>
        </w:rPr>
        <w:t>0</w:t>
      </w:r>
      <w:r w:rsidRPr="00734436">
        <w:t>, may be stronger in the upper crust of SEA than in ENA</w:t>
      </w:r>
      <w:r>
        <w:t xml:space="preserve"> </w:t>
      </w:r>
      <w:r>
        <w:fldChar w:fldCharType="begin"/>
      </w:r>
      <w:r w:rsidR="00F202D0">
        <w:instrText xml:space="preserve"> ADDIN EN.CITE &lt;EndNote&gt;&lt;Cite&gt;&lt;Author&gt;Allen&lt;/Author&gt;&lt;Year&gt;2007&lt;/Year&gt;&lt;RecNum&gt;323&lt;/RecNum&gt;&lt;record&gt;&lt;rec-number&gt;323&lt;/rec-number&gt;&lt;foreign-keys&gt;&lt;key app="EN" db-id="se5z02d5txder3eax2p5wz5j59zvz2tdzdd2"&gt;323&lt;/key&gt;&lt;/foreign-keys&gt;&lt;ref-type name="Journal Article"&gt;17&lt;/ref-type&gt;&lt;contributors&gt;&lt;authors&gt;&lt;author&gt;Allen, T. I.&lt;/author&gt;&lt;author&gt;Atkinson, G. M.&lt;/author&gt;&lt;/authors&gt;&lt;/contributors&gt;&lt;titles&gt;&lt;title&gt;Comparison of earthquake source spectra and attenuation in eastern North America and southeastern Australia&lt;/title&gt;&lt;secondary-title&gt;Bull. Seism. Soc. Am.&lt;/secondary-title&gt;&lt;/titles&gt;&lt;periodical&gt;&lt;full-title&gt;Bull. Seism. Soc. Am.&lt;/full-title&gt;&lt;/periodical&gt;&lt;pages&gt;1350–1354&lt;/pages&gt;&lt;volume&gt;97&lt;/volume&gt;&lt;number&gt;4&lt;/number&gt;&lt;keywords&gt;&lt;keyword&gt;Australia, ENA, ground motion, attenuation&lt;/keyword&gt;&lt;/keywords&gt;&lt;dates&gt;&lt;year&gt;2007&lt;/year&gt;&lt;/dates&gt;&lt;urls&gt;&lt;pdf-urls&gt;&lt;url&gt;internal-pdf://Allen&amp;amp;Atkinson.2007.ENA&amp;amp;SEA.cmp-0816749349/Allen&amp;amp;Atkinson.2007.ENA&amp;amp;SEA.cmp.pdf&lt;/url&gt;&lt;/pdf-urls&gt;&lt;/urls&gt;&lt;/record&gt;&lt;/Cite&gt;&lt;/EndNote&gt;</w:instrText>
      </w:r>
      <w:r>
        <w:fldChar w:fldCharType="separate"/>
      </w:r>
      <w:r>
        <w:rPr>
          <w:noProof/>
        </w:rPr>
        <w:t>(Allen and Atkinson, 2007)</w:t>
      </w:r>
      <w:r>
        <w:fldChar w:fldCharType="end"/>
      </w:r>
      <w:r w:rsidRPr="00734436">
        <w:t>.</w:t>
      </w:r>
      <w:r>
        <w:t xml:space="preserve">  However, the comparison of modelled vertical-component Fourier displacement spectra developed for SEA </w:t>
      </w:r>
      <w:r>
        <w:fldChar w:fldCharType="begin"/>
      </w:r>
      <w:r w:rsidR="00F202D0">
        <w:instrText xml:space="preserve"> ADDIN EN.CITE &lt;EndNote&gt;&lt;Cite&gt;&lt;Author&gt;Allen&lt;/Author&gt;&lt;Year&gt;2007&lt;/Year&gt;&lt;RecNum&gt;526&lt;/RecNum&gt;&lt;record&gt;&lt;rec-number&gt;526&lt;/rec-number&gt;&lt;foreign-keys&gt;&lt;key app="EN" db-id="se5z02d5txder3eax2p5wz5j59zvz2tdzdd2"&gt;526&lt;/key&gt;&lt;/foreign-keys&gt;&lt;ref-type name="Journal Article"&gt;17&lt;/ref-type&gt;&lt;contributors&gt;&lt;authors&gt;&lt;author&gt;Allen, T. I.&lt;/author&gt;&lt;author&gt;Cummins, P. R.&lt;/author&gt;&lt;author&gt;Dhu, T.&lt;/author&gt;&lt;author&gt;Schneider, J. F.&lt;/author&gt;&lt;/authors&gt;&lt;/contributors&gt;&lt;titles&gt;&lt;title&gt;Attenuation of ground-motion spectral amplitudes in southeastern Australia&lt;/title&gt;&lt;secondary-title&gt;Bull. Seism. Soc. Am.&lt;/secondary-title&gt;&lt;/titles&gt;&lt;periodical&gt;&lt;full-title&gt;Bull. Seism. Soc. Am.&lt;/full-title&gt;&lt;/periodical&gt;&lt;pages&gt;1279–1292&lt;/pages&gt;&lt;volume&gt;97&lt;/volume&gt;&lt;number&gt;4&lt;/number&gt;&lt;keywords&gt;&lt;keyword&gt;southeastern Australia, attenuation, Fourier&lt;/keyword&gt;&lt;/keywords&gt;&lt;dates&gt;&lt;year&gt;2007&lt;/year&gt;&lt;/dates&gt;&lt;urls&gt;&lt;pdf-urls&gt;&lt;url&gt;internal-pdf://Allen et al (2007). SE Aust.atten-2994310402/Allen et al (2007). SE Aust.atten.pdf&lt;/url&gt;&lt;/pdf-urls&gt;&lt;/urls&gt;&lt;/record&gt;&lt;/Cite&gt;&lt;/EndNote&gt;</w:instrText>
      </w:r>
      <w:r>
        <w:fldChar w:fldCharType="separate"/>
      </w:r>
      <w:r w:rsidRPr="00D2085E">
        <w:rPr>
          <w:noProof/>
        </w:rPr>
        <w:t>(Allen</w:t>
      </w:r>
      <w:r w:rsidRPr="00D2085E">
        <w:rPr>
          <w:i/>
          <w:noProof/>
        </w:rPr>
        <w:t xml:space="preserve"> et al.</w:t>
      </w:r>
      <w:r w:rsidRPr="00D2085E">
        <w:rPr>
          <w:noProof/>
        </w:rPr>
        <w:t>, 2007)</w:t>
      </w:r>
      <w:r>
        <w:fldChar w:fldCharType="end"/>
      </w:r>
      <w:r w:rsidRPr="00D2085E">
        <w:t xml:space="preserve"> and ENA </w:t>
      </w:r>
      <w:r>
        <w:fldChar w:fldCharType="begin"/>
      </w:r>
      <w:r w:rsidR="00F202D0">
        <w:instrText xml:space="preserve"> ADDIN EN.CITE &lt;EndNote&gt;&lt;Cite&gt;&lt;Author&gt;Atkinson&lt;/Author&gt;&lt;Year&gt;2004&lt;/Year&gt;&lt;RecNum&gt;93&lt;/RecNum&gt;&lt;record&gt;&lt;rec-number&gt;93&lt;/rec-number&gt;&lt;foreign-keys&gt;&lt;key app="EN" db-id="se5z02d5txder3eax2p5wz5j59zvz2tdzdd2"&gt;93&lt;/key&gt;&lt;/foreign-keys&gt;&lt;ref-type name="Journal Article"&gt;17&lt;/ref-type&gt;&lt;contributors&gt;&lt;authors&gt;&lt;author&gt;Atkinson, G. M.&lt;/author&gt;&lt;/authors&gt;&lt;/contributors&gt;&lt;titles&gt;&lt;title&gt;Empirical attenuation of ground-motion spectral amplitudes in southeastern Canada and the northeastern United States&lt;/title&gt;&lt;secondary-title&gt;Bull. Seism. Soc. Am.&lt;/secondary-title&gt;&lt;/titles&gt;&lt;periodical&gt;&lt;full-title&gt;Bull. Seism. Soc. Am.&lt;/full-title&gt;&lt;/periodical&gt;&lt;pages&gt;1079-1095&lt;/pages&gt;&lt;volume&gt;94&lt;/volume&gt;&lt;number&gt;3&lt;/number&gt;&lt;dates&gt;&lt;year&gt;2004&lt;/year&gt;&lt;pub-dates&gt;&lt;date&gt;June 2004&lt;/date&gt;&lt;/pub-dates&gt;&lt;/dates&gt;&lt;urls&gt;&lt;pdf-urls&gt;&lt;url&gt;internal-pdf://Atkinson (2004) ground motion SE Canada and NE US-0289285376/Atkinson (2004) ground motion SE Canada and NE US.pdf&lt;/url&gt;&lt;/pdf-urls&gt;&lt;/urls&gt;&lt;/record&gt;&lt;/Cite&gt;&lt;/EndNote&gt;</w:instrText>
      </w:r>
      <w:r>
        <w:fldChar w:fldCharType="separate"/>
      </w:r>
      <w:r w:rsidRPr="00D2085E">
        <w:rPr>
          <w:noProof/>
        </w:rPr>
        <w:t>(Atkinson, 2004)</w:t>
      </w:r>
      <w:r>
        <w:fldChar w:fldCharType="end"/>
      </w:r>
      <w:r w:rsidRPr="00D2085E">
        <w:t xml:space="preserve"> at short hypocentral distances show no such discrepancy at high frequencies (shown in Allen </w:t>
      </w:r>
      <w:r w:rsidRPr="00332AA7">
        <w:rPr>
          <w:rStyle w:val="Bodytextitalic"/>
        </w:rPr>
        <w:t>et al</w:t>
      </w:r>
      <w:r w:rsidRPr="00D2085E">
        <w:t xml:space="preserve">., 2007).  </w:t>
      </w:r>
      <w:r>
        <w:t xml:space="preserve">In contrast, these differences may reflect random earthquake effects in the limited magnitudes and narrow distance range of the data considered for the particular comparison made by </w:t>
      </w:r>
      <w:r>
        <w:rPr>
          <w:noProof/>
        </w:rPr>
        <w:t>Allen and Atkinson</w:t>
      </w:r>
      <w:r>
        <w:t xml:space="preserve"> </w:t>
      </w:r>
      <w:r>
        <w:fldChar w:fldCharType="begin"/>
      </w:r>
      <w:r w:rsidR="00F202D0">
        <w:instrText xml:space="preserve"> ADDIN EN.CITE &lt;EndNote&gt;&lt;Cite ExcludeAuth="1"&gt;&lt;Author&gt;Allen&lt;/Author&gt;&lt;Year&gt;2007&lt;/Year&gt;&lt;RecNum&gt;323&lt;/RecNum&gt;&lt;record&gt;&lt;rec-number&gt;323&lt;/rec-number&gt;&lt;foreign-keys&gt;&lt;key app="EN" db-id="se5z02d5txder3eax2p5wz5j59zvz2tdzdd2"&gt;323&lt;/key&gt;&lt;/foreign-keys&gt;&lt;ref-type name="Journal Article"&gt;17&lt;/ref-type&gt;&lt;contributors&gt;&lt;authors&gt;&lt;author&gt;Allen, T. I.&lt;/author&gt;&lt;author&gt;Atkinson, G. M.&lt;/author&gt;&lt;/authors&gt;&lt;/contributors&gt;&lt;titles&gt;&lt;title&gt;Comparison of earthquake source spectra and attenuation in eastern North America and southeastern Australia&lt;/title&gt;&lt;secondary-title&gt;Bull. Seism. Soc. Am.&lt;/secondary-title&gt;&lt;/titles&gt;&lt;periodical&gt;&lt;full-title&gt;Bull. Seism. Soc. Am.&lt;/full-title&gt;&lt;/periodical&gt;&lt;pages&gt;1350–1354&lt;/pages&gt;&lt;volume&gt;97&lt;/volume&gt;&lt;number&gt;4&lt;/number&gt;&lt;keywords&gt;&lt;keyword&gt;Australia, ENA, ground motion, attenuation&lt;/keyword&gt;&lt;/keywords&gt;&lt;dates&gt;&lt;year&gt;2007&lt;/year&gt;&lt;/dates&gt;&lt;urls&gt;&lt;pdf-urls&gt;&lt;url&gt;internal-pdf://Allen&amp;amp;Atkinson.2007.ENA&amp;amp;SEA.cmp-0816749349/Allen&amp;amp;Atkinson.2007.ENA&amp;amp;SEA.cmp.pdf&lt;/url&gt;&lt;/pdf-urls&gt;&lt;/urls&gt;&lt;/record&gt;&lt;/Cite&gt;&lt;/EndNote&gt;</w:instrText>
      </w:r>
      <w:r>
        <w:fldChar w:fldCharType="separate"/>
      </w:r>
      <w:r>
        <w:rPr>
          <w:noProof/>
        </w:rPr>
        <w:t>(2007)</w:t>
      </w:r>
      <w:r>
        <w:fldChar w:fldCharType="end"/>
      </w:r>
      <w:r>
        <w:t>.</w:t>
      </w:r>
    </w:p>
    <w:p w:rsidR="00B15AC0" w:rsidRDefault="00B15AC0" w:rsidP="003F4034">
      <w:pPr>
        <w:pStyle w:val="BodyText"/>
      </w:pPr>
      <w:r>
        <w:t xml:space="preserve">Herein, we evaluate an average value for </w:t>
      </w:r>
      <w:r w:rsidRPr="00332AA7">
        <w:rPr>
          <w:rStyle w:val="Bodytextitalic"/>
        </w:rPr>
        <w:t>κ</w:t>
      </w:r>
      <w:r w:rsidRPr="00632C3C">
        <w:rPr>
          <w:vertAlign w:val="subscript"/>
        </w:rPr>
        <w:t>0</w:t>
      </w:r>
      <w:r>
        <w:t xml:space="preserve"> using vertical-component ground-motion records corrected for anelastic attenuation effects,</w:t>
      </w:r>
      <w:r w:rsidR="00D61DDC">
        <w:t xml:space="preserve"> following</w:t>
      </w:r>
      <w:r>
        <w:t>:</w:t>
      </w:r>
    </w:p>
    <w:p w:rsidR="00B15AC0" w:rsidRPr="00022A2F" w:rsidRDefault="00E74E7A" w:rsidP="00BF4007">
      <w:pPr>
        <w:pStyle w:val="Equation"/>
      </w:pPr>
      <w:r w:rsidRPr="007106CB">
        <w:rPr>
          <w:position w:val="-16"/>
        </w:rPr>
        <w:object w:dxaOrig="5560" w:dyaOrig="499">
          <v:shape id="_x0000_i1034" type="#_x0000_t75" style="width:278.35pt;height:24.85pt" o:ole="">
            <v:imagedata r:id="rId49" o:title=""/>
          </v:shape>
          <o:OLEObject Type="Embed" ProgID="Equation.3" ShapeID="_x0000_i1034" DrawAspect="Content" ObjectID="_1426934411" r:id="rId50"/>
        </w:object>
      </w:r>
      <w:r w:rsidR="00B15AC0" w:rsidRPr="007106CB">
        <w:t>.</w:t>
      </w:r>
      <w:r w:rsidR="00B15AC0" w:rsidRPr="007106CB">
        <w:tab/>
        <w:t>(8)</w:t>
      </w:r>
    </w:p>
    <w:p w:rsidR="00B15AC0" w:rsidRDefault="00D61DDC" w:rsidP="003F4034">
      <w:pPr>
        <w:pStyle w:val="BodyText"/>
      </w:pPr>
      <w:r>
        <w:t xml:space="preserve">where </w:t>
      </w:r>
      <w:r w:rsidRPr="00332AA7">
        <w:rPr>
          <w:rStyle w:val="Bodytextitalic"/>
        </w:rPr>
        <w:t>a</w:t>
      </w:r>
      <w:r w:rsidRPr="005F5C85">
        <w:rPr>
          <w:rStyle w:val="Subscriptitalic"/>
        </w:rPr>
        <w:t>κ,ij</w:t>
      </w:r>
      <w:r w:rsidRPr="00332AA7">
        <w:rPr>
          <w:spacing w:val="40"/>
        </w:rPr>
        <w:t>(</w:t>
      </w:r>
      <w:r w:rsidRPr="00332AA7">
        <w:rPr>
          <w:rStyle w:val="Bodytextitalic"/>
        </w:rPr>
        <w:t>f</w:t>
      </w:r>
      <w:r>
        <w:t xml:space="preserve">) is the normalised acceleration spectra.  </w:t>
      </w:r>
      <w:r w:rsidR="00675A42">
        <w:t>In the present study, geometrical attenuation is treated as being</w:t>
      </w:r>
      <w:r w:rsidR="00B15AC0">
        <w:t xml:space="preserve"> frequency</w:t>
      </w:r>
      <w:r w:rsidR="00675A42">
        <w:t>-</w:t>
      </w:r>
      <w:r w:rsidR="00B15AC0">
        <w:t>independent</w:t>
      </w:r>
      <w:r w:rsidR="00675A42">
        <w:t>.</w:t>
      </w:r>
      <w:r w:rsidR="00B15AC0">
        <w:t xml:space="preserve"> </w:t>
      </w:r>
      <w:r w:rsidR="00675A42">
        <w:t xml:space="preserve"> Consequently, following the correction for anelastic effects, the remaining </w:t>
      </w:r>
      <w:r>
        <w:t>contributions to change in</w:t>
      </w:r>
      <w:r w:rsidR="00675A42">
        <w:t xml:space="preserve"> the high-frequency </w:t>
      </w:r>
      <w:r>
        <w:t>spectral shape</w:t>
      </w:r>
      <w:r w:rsidR="00675A42">
        <w:t xml:space="preserve"> is attributed</w:t>
      </w:r>
      <w:r w:rsidR="00E50AB4">
        <w:t xml:space="preserve"> only</w:t>
      </w:r>
      <w:r w:rsidR="00675A42">
        <w:t xml:space="preserve"> to </w:t>
      </w:r>
      <w:r w:rsidR="00675A42" w:rsidRPr="00332AA7">
        <w:rPr>
          <w:rStyle w:val="Bodytextitalic"/>
        </w:rPr>
        <w:t>κ</w:t>
      </w:r>
      <w:r w:rsidR="00675A42" w:rsidRPr="00632C3C">
        <w:rPr>
          <w:vertAlign w:val="subscript"/>
        </w:rPr>
        <w:t>0</w:t>
      </w:r>
      <w:r w:rsidR="00B15AC0">
        <w:t xml:space="preserve">.  </w:t>
      </w:r>
      <w:r w:rsidR="00675A42">
        <w:t xml:space="preserve">Anelastic attenuation corrected spectra are then aggregated by station </w:t>
      </w:r>
      <w:r w:rsidR="00675A42" w:rsidRPr="00332AA7">
        <w:rPr>
          <w:rStyle w:val="Bodytextitalic"/>
        </w:rPr>
        <w:t>j</w:t>
      </w:r>
      <w:r w:rsidR="00675A42">
        <w:t xml:space="preserve"> and each spectrum is normalised by the Fourier acceleration amplitude at 2 Hz.  </w:t>
      </w:r>
      <w:r w:rsidR="00B15AC0">
        <w:t xml:space="preserve">Kappa is subsequently determined for each site </w:t>
      </w:r>
      <w:r w:rsidR="00B15AC0" w:rsidRPr="00332AA7">
        <w:rPr>
          <w:rStyle w:val="Bodytextitalic"/>
        </w:rPr>
        <w:t>j</w:t>
      </w:r>
      <w:r w:rsidR="00B15AC0">
        <w:t xml:space="preserve"> by linear least squares regression between the natural logarithm of acceleration spectra and frequency between 12 and 20 Hz [e.g., </w:t>
      </w:r>
      <w:r w:rsidR="00B15AC0" w:rsidRPr="00332AA7">
        <w:rPr>
          <w:rStyle w:val="Bodytextitalic"/>
        </w:rPr>
        <w:t>κ</w:t>
      </w:r>
      <w:r w:rsidR="00B15AC0" w:rsidRPr="00632C3C">
        <w:rPr>
          <w:vertAlign w:val="subscript"/>
        </w:rPr>
        <w:t>0</w:t>
      </w:r>
      <w:r w:rsidR="00B15AC0">
        <w:rPr>
          <w:vertAlign w:val="subscript"/>
        </w:rPr>
        <w:t>,</w:t>
      </w:r>
      <w:r w:rsidR="00B15AC0" w:rsidRPr="001860CF">
        <w:rPr>
          <w:rStyle w:val="Subscriptitalic"/>
        </w:rPr>
        <w:t xml:space="preserve">j </w:t>
      </w:r>
      <w:r w:rsidR="00B15AC0">
        <w:sym w:font="Symbol" w:char="F0B5"/>
      </w:r>
      <w:r w:rsidR="00B15AC0">
        <w:t xml:space="preserve"> ln </w:t>
      </w:r>
      <w:r w:rsidR="00176793" w:rsidRPr="00332AA7">
        <w:rPr>
          <w:rStyle w:val="Bodytextitalic"/>
        </w:rPr>
        <w:t>a</w:t>
      </w:r>
      <w:r w:rsidR="00176793" w:rsidRPr="001860CF">
        <w:rPr>
          <w:rStyle w:val="Subscriptitalic"/>
        </w:rPr>
        <w:t>κ</w:t>
      </w:r>
      <w:r w:rsidR="00B15AC0" w:rsidRPr="001860CF">
        <w:rPr>
          <w:rStyle w:val="Subscriptitalic"/>
        </w:rPr>
        <w:t>,ij</w:t>
      </w:r>
      <w:r w:rsidR="00B15AC0">
        <w:rPr>
          <w:bCs/>
          <w:lang w:val="en-US"/>
        </w:rPr>
        <w:t>/</w:t>
      </w:r>
      <w:r w:rsidR="00B15AC0" w:rsidRPr="00332AA7">
        <w:rPr>
          <w:rStyle w:val="Bodytextitalic"/>
        </w:rPr>
        <w:t>f</w:t>
      </w:r>
      <w:r w:rsidR="00B15AC0">
        <w:rPr>
          <w:bCs/>
          <w:lang w:val="en-US"/>
        </w:rPr>
        <w:t xml:space="preserve"> (see Equation 1)].  </w:t>
      </w:r>
      <w:r w:rsidR="00B15AC0">
        <w:t xml:space="preserve">Despite variations in </w:t>
      </w:r>
      <w:r w:rsidR="00B15AC0" w:rsidRPr="00332AA7">
        <w:rPr>
          <w:rStyle w:val="Bodytextitalic"/>
        </w:rPr>
        <w:t>f</w:t>
      </w:r>
      <w:r w:rsidR="00B15AC0" w:rsidRPr="00F37231">
        <w:rPr>
          <w:vertAlign w:val="subscript"/>
        </w:rPr>
        <w:t>0</w:t>
      </w:r>
      <w:r w:rsidR="00B15AC0">
        <w:t xml:space="preserve"> for different sized events, the site dependent decay from the theoretical </w:t>
      </w:r>
      <w:r w:rsidR="00B15AC0" w:rsidRPr="007C7AA9">
        <w:rPr>
          <w:i/>
          <w:spacing w:val="40"/>
          <w:lang w:val="en-US"/>
        </w:rPr>
        <w:sym w:font="Symbol" w:char="F077"/>
      </w:r>
      <w:r w:rsidR="00B15AC0" w:rsidRPr="007C7AA9">
        <w:rPr>
          <w:vertAlign w:val="superscript"/>
          <w:lang w:val="en-US"/>
        </w:rPr>
        <w:t>2</w:t>
      </w:r>
      <w:r w:rsidR="00B15AC0">
        <w:rPr>
          <w:lang w:val="en-US"/>
        </w:rPr>
        <w:t xml:space="preserve"> </w:t>
      </w:r>
      <w:r w:rsidR="00E74E7A">
        <w:rPr>
          <w:lang w:val="en-US"/>
        </w:rPr>
        <w:t>[</w:t>
      </w:r>
      <w:r>
        <w:rPr>
          <w:lang w:val="en-US"/>
        </w:rPr>
        <w:t xml:space="preserve">= </w:t>
      </w:r>
      <w:r w:rsidR="00E74E7A">
        <w:rPr>
          <w:lang w:val="en-US"/>
        </w:rPr>
        <w:t>(</w:t>
      </w:r>
      <w:r>
        <w:rPr>
          <w:lang w:val="en-US"/>
        </w:rPr>
        <w:t>2</w:t>
      </w:r>
      <w:r w:rsidRPr="00E74E7A">
        <w:rPr>
          <w:i/>
          <w:spacing w:val="40"/>
          <w:lang w:val="en-US"/>
        </w:rPr>
        <w:sym w:font="Symbol" w:char="F070"/>
      </w:r>
      <w:r w:rsidRPr="00E74E7A">
        <w:rPr>
          <w:i/>
          <w:spacing w:val="40"/>
          <w:lang w:val="en-US"/>
        </w:rPr>
        <w:t>f</w:t>
      </w:r>
      <w:r w:rsidR="00E74E7A" w:rsidRPr="00E74E7A">
        <w:rPr>
          <w:lang w:val="en-US"/>
        </w:rPr>
        <w:t>)</w:t>
      </w:r>
      <w:r w:rsidRPr="00E74E7A">
        <w:rPr>
          <w:spacing w:val="40"/>
          <w:vertAlign w:val="superscript"/>
          <w:lang w:val="en-US"/>
        </w:rPr>
        <w:t>2</w:t>
      </w:r>
      <w:r w:rsidR="00E74E7A" w:rsidRPr="00332AA7">
        <w:t>]</w:t>
      </w:r>
      <w:r>
        <w:rPr>
          <w:lang w:val="en-US"/>
        </w:rPr>
        <w:t xml:space="preserve"> </w:t>
      </w:r>
      <w:r w:rsidR="00B15AC0" w:rsidRPr="00D61DDC">
        <w:rPr>
          <w:lang w:val="en-US"/>
        </w:rPr>
        <w:t>acceleration</w:t>
      </w:r>
      <w:r w:rsidR="00B15AC0">
        <w:rPr>
          <w:lang w:val="en-US"/>
        </w:rPr>
        <w:t xml:space="preserve"> source model </w:t>
      </w:r>
      <w:r w:rsidR="00B15AC0">
        <w:rPr>
          <w:lang w:val="en-US"/>
        </w:rPr>
        <w:fldChar w:fldCharType="begin"/>
      </w:r>
      <w:r w:rsidR="00F202D0">
        <w:rPr>
          <w:lang w:val="en-US"/>
        </w:rPr>
        <w:instrText xml:space="preserve"> ADDIN EN.CITE &lt;EndNote&gt;&lt;Cite&gt;&lt;Author&gt;Brune&lt;/Author&gt;&lt;Year&gt;1970&lt;/Year&gt;&lt;RecNum&gt;1099&lt;/RecNum&gt;&lt;record&gt;&lt;rec-number&gt;1099&lt;/rec-number&gt;&lt;foreign-keys&gt;&lt;key app="EN" db-id="se5z02d5txder3eax2p5wz5j59zvz2tdzdd2"&gt;1099&lt;/key&gt;&lt;/foreign-keys&gt;&lt;ref-type name="Journal Article"&gt;17&lt;/ref-type&gt;&lt;contributors&gt;&lt;authors&gt;&lt;author&gt;Brune, J. N.&lt;/author&gt;&lt;/authors&gt;&lt;/contributors&gt;&lt;titles&gt;&lt;title&gt;Tectonic stress and the spectra of seismic shear waves from earthquakes&lt;/title&gt;&lt;secondary-title&gt;J. Geophys. Res.&lt;/secondary-title&gt;&lt;/titles&gt;&lt;periodical&gt;&lt;full-title&gt;J. Geophys. Res.&lt;/full-title&gt;&lt;/periodical&gt;&lt;pages&gt;4997-5009&lt;/pages&gt;&lt;volume&gt;75&lt;/volume&gt;&lt;number&gt;26&lt;/number&gt;&lt;keywords&gt;&lt;keyword&gt;Brune spectral source model, stress drop, corner frequency&lt;/keyword&gt;&lt;/keywords&gt;&lt;dates&gt;&lt;year&gt;1970&lt;/year&gt;&lt;/dates&gt;&lt;urls&gt;&lt;pdf-urls&gt;&lt;url&gt;internal-pdf://Brune (1970).stress.spectral_model-1723988992/Brune (1970).stress.spectral_model.pdf&lt;/url&gt;&lt;/pdf-urls&gt;&lt;/urls&gt;&lt;/record&gt;&lt;/Cite&gt;&lt;/EndNote&gt;</w:instrText>
      </w:r>
      <w:r w:rsidR="00B15AC0">
        <w:rPr>
          <w:lang w:val="en-US"/>
        </w:rPr>
        <w:fldChar w:fldCharType="separate"/>
      </w:r>
      <w:r w:rsidR="00B15AC0">
        <w:rPr>
          <w:noProof/>
          <w:lang w:val="en-US"/>
        </w:rPr>
        <w:t>(Brune, 1970)</w:t>
      </w:r>
      <w:r w:rsidR="00B15AC0">
        <w:rPr>
          <w:lang w:val="en-US"/>
        </w:rPr>
        <w:fldChar w:fldCharType="end"/>
      </w:r>
      <w:r w:rsidR="00B15AC0">
        <w:rPr>
          <w:lang w:val="en-US"/>
        </w:rPr>
        <w:t xml:space="preserve"> should remain constant and is indicative of </w:t>
      </w:r>
      <w:r w:rsidR="00B15AC0" w:rsidRPr="00332AA7">
        <w:rPr>
          <w:rStyle w:val="Bodytextitalic"/>
        </w:rPr>
        <w:t>κ</w:t>
      </w:r>
      <w:r w:rsidR="00B15AC0" w:rsidRPr="00632C3C">
        <w:rPr>
          <w:vertAlign w:val="subscript"/>
        </w:rPr>
        <w:t>0</w:t>
      </w:r>
      <w:r w:rsidR="00B15AC0">
        <w:t xml:space="preserve"> (Figure 8)</w:t>
      </w:r>
      <w:r w:rsidR="00B15AC0">
        <w:rPr>
          <w:lang w:val="en-US"/>
        </w:rPr>
        <w:t xml:space="preserve">.  The minimum regression frequency of 12 Hz is also beyond the theoretical range of each earthquake’s corner frequency.  </w:t>
      </w:r>
      <w:r w:rsidR="00B15AC0">
        <w:t>In these calculations, a magnitude-distance criterion is imposed to only include data for earthquakes la</w:t>
      </w:r>
      <w:r w:rsidR="008B4A86">
        <w:t>r</w:t>
      </w:r>
      <w:r w:rsidR="00B15AC0">
        <w:t xml:space="preserve">ger than moment magnitude </w:t>
      </w:r>
      <w:r w:rsidR="00172353" w:rsidRPr="00172353">
        <w:rPr>
          <w:rStyle w:val="Bodytextitalic"/>
        </w:rPr>
        <w:t>M</w:t>
      </w:r>
      <w:r w:rsidR="00172353" w:rsidRPr="00172353">
        <w:rPr>
          <w:rStyle w:val="Subscriptitalic"/>
        </w:rPr>
        <w:t>W</w:t>
      </w:r>
      <w:r w:rsidR="00172353">
        <w:t xml:space="preserve"> </w:t>
      </w:r>
      <w:r w:rsidR="00B15AC0">
        <w:t xml:space="preserve">3.5, recorded at distances less than 250 km and for stations with </w:t>
      </w:r>
      <w:r w:rsidR="00E74E7A">
        <w:t xml:space="preserve">three </w:t>
      </w:r>
      <w:r w:rsidR="00B15AC0">
        <w:t xml:space="preserve">or more records.  In these analyses, a negative kappa value was resolved for some stations.  This observation has also been </w:t>
      </w:r>
      <w:r w:rsidR="00312B16">
        <w:t xml:space="preserve">noted </w:t>
      </w:r>
      <w:r w:rsidR="00B15AC0">
        <w:t xml:space="preserve">in other studies </w:t>
      </w:r>
      <w:r w:rsidR="00B15AC0">
        <w:fldChar w:fldCharType="begin">
          <w:fldData xml:space="preserve">PEVuZE5vdGU+PENpdGU+PEF1dGhvcj5Ecm91ZXQ8L0F1dGhvcj48WWVhcj4yMDEwPC9ZZWFyPjxS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</w:fldData>
        </w:fldChar>
      </w:r>
      <w:r w:rsidR="00F202D0">
        <w:instrText xml:space="preserve"> ADDIN EN.CITE </w:instrText>
      </w:r>
      <w:r w:rsidR="00F202D0">
        <w:fldChar w:fldCharType="begin">
          <w:fldData xml:space="preserve">PEVuZE5vdGU+PENpdGU+PEF1dGhvcj5Ecm91ZXQ8L0F1dGhvcj48WWVhcj4yMDEwPC9ZZWFyPjxS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</w:fldData>
        </w:fldChar>
      </w:r>
      <w:r w:rsidR="00F202D0">
        <w:instrText xml:space="preserve"> ADDIN EN.CITE.DATA </w:instrText>
      </w:r>
      <w:r w:rsidR="00F202D0">
        <w:fldChar w:fldCharType="end"/>
      </w:r>
      <w:r w:rsidR="00B15AC0">
        <w:fldChar w:fldCharType="separate"/>
      </w:r>
      <w:r w:rsidR="00B15AC0">
        <w:rPr>
          <w:noProof/>
        </w:rPr>
        <w:t>(Drouet</w:t>
      </w:r>
      <w:r w:rsidR="00B15AC0" w:rsidRPr="003D3528">
        <w:rPr>
          <w:i/>
          <w:noProof/>
        </w:rPr>
        <w:t xml:space="preserve"> et al.</w:t>
      </w:r>
      <w:r w:rsidR="00B15AC0">
        <w:rPr>
          <w:noProof/>
        </w:rPr>
        <w:t>, 2010; Edwards</w:t>
      </w:r>
      <w:r w:rsidR="00B15AC0" w:rsidRPr="003D3528">
        <w:rPr>
          <w:i/>
          <w:noProof/>
        </w:rPr>
        <w:t xml:space="preserve"> et al.</w:t>
      </w:r>
      <w:r w:rsidR="00B15AC0">
        <w:rPr>
          <w:noProof/>
        </w:rPr>
        <w:t>, 2011)</w:t>
      </w:r>
      <w:r w:rsidR="00B15AC0">
        <w:fldChar w:fldCharType="end"/>
      </w:r>
      <w:r w:rsidR="00B15AC0">
        <w:t xml:space="preserve">.  </w:t>
      </w:r>
      <w:r w:rsidR="00B15AC0">
        <w:rPr>
          <w:bCs/>
          <w:lang w:val="en-US"/>
        </w:rPr>
        <w:t xml:space="preserve">The negative kappa values determined in the present study reflects the </w:t>
      </w:r>
      <w:r w:rsidR="00312B16">
        <w:rPr>
          <w:bCs/>
          <w:lang w:val="en-US"/>
        </w:rPr>
        <w:t xml:space="preserve">inherant </w:t>
      </w:r>
      <w:r w:rsidR="00B15AC0">
        <w:rPr>
          <w:bCs/>
          <w:lang w:val="en-US"/>
        </w:rPr>
        <w:t xml:space="preserve">variability in the attenuation modelling and the fact </w:t>
      </w:r>
      <w:r w:rsidR="00E50AB4">
        <w:rPr>
          <w:bCs/>
          <w:lang w:val="en-US"/>
        </w:rPr>
        <w:t xml:space="preserve">that </w:t>
      </w:r>
      <w:r w:rsidR="00B15AC0">
        <w:rPr>
          <w:bCs/>
          <w:lang w:val="en-US"/>
        </w:rPr>
        <w:t>a mean anelastic attenuation model – which overwhelmingly affects the high-frequency spectrum – may not accurately reflect the attenuation characteristics of each source-to-site path in the dataset</w:t>
      </w:r>
      <w:r w:rsidR="00312B16">
        <w:rPr>
          <w:bCs/>
          <w:lang w:val="en-US"/>
        </w:rPr>
        <w:t>,</w:t>
      </w:r>
      <w:r w:rsidR="00E50AB4">
        <w:rPr>
          <w:bCs/>
          <w:lang w:val="en-US"/>
        </w:rPr>
        <w:t xml:space="preserve"> or the amplification characteristics of the crust underlying the site</w:t>
      </w:r>
      <w:r w:rsidR="00B15AC0">
        <w:rPr>
          <w:bCs/>
          <w:lang w:val="en-US"/>
        </w:rPr>
        <w:t xml:space="preserve">.  Consequently, over-correction to the </w:t>
      </w:r>
      <w:r w:rsidR="00E74E7A">
        <w:t xml:space="preserve">high-frequency </w:t>
      </w:r>
      <w:r w:rsidR="00B15AC0">
        <w:t>spectral</w:t>
      </w:r>
      <w:r w:rsidR="00B15AC0" w:rsidRPr="00A231DA">
        <w:t xml:space="preserve"> shape</w:t>
      </w:r>
      <w:r w:rsidR="00B15AC0">
        <w:t xml:space="preserve"> </w:t>
      </w:r>
      <w:r w:rsidR="006E4A92">
        <w:rPr>
          <w:bCs/>
          <w:lang w:val="en-US"/>
        </w:rPr>
        <w:t xml:space="preserve">from the anelastic parameters </w:t>
      </w:r>
      <w:r w:rsidR="00B15AC0">
        <w:t xml:space="preserve">may violate the assumption of the Brune (1970) </w:t>
      </w:r>
      <w:r w:rsidR="00B15AC0" w:rsidRPr="007C7AA9">
        <w:rPr>
          <w:i/>
          <w:spacing w:val="40"/>
          <w:lang w:val="en-US"/>
        </w:rPr>
        <w:sym w:font="Symbol" w:char="F077"/>
      </w:r>
      <w:r w:rsidR="00B15AC0" w:rsidRPr="00E74E7A">
        <w:rPr>
          <w:vertAlign w:val="superscript"/>
          <w:lang w:val="en-US"/>
        </w:rPr>
        <w:t>2</w:t>
      </w:r>
      <w:r w:rsidR="00B15AC0">
        <w:rPr>
          <w:lang w:val="en-US"/>
        </w:rPr>
        <w:t xml:space="preserve"> source model</w:t>
      </w:r>
      <w:r w:rsidR="00E74E7A">
        <w:rPr>
          <w:lang w:val="en-US"/>
        </w:rPr>
        <w:t xml:space="preserve"> and may require correction to the theoretical spectral shape</w:t>
      </w:r>
      <w:r w:rsidR="00B15AC0">
        <w:rPr>
          <w:lang w:val="en-US"/>
        </w:rPr>
        <w:t>.</w:t>
      </w:r>
      <w:r w:rsidR="00B15AC0">
        <w:rPr>
          <w:bCs/>
          <w:lang w:val="en-US"/>
        </w:rPr>
        <w:t xml:space="preserve">  </w:t>
      </w:r>
      <w:r w:rsidR="00B15AC0">
        <w:t xml:space="preserve">Furthermore, </w:t>
      </w:r>
      <w:r w:rsidR="00B15AC0" w:rsidRPr="00332AA7">
        <w:rPr>
          <w:rStyle w:val="Bodytextitalic"/>
        </w:rPr>
        <w:t>κ</w:t>
      </w:r>
      <w:r w:rsidR="00B15AC0" w:rsidRPr="00632C3C">
        <w:rPr>
          <w:vertAlign w:val="subscript"/>
        </w:rPr>
        <w:t>0</w:t>
      </w:r>
      <w:r w:rsidR="00B15AC0">
        <w:t xml:space="preserve"> is highly sensitive to variations in both the anelastic attenuation model used, coupled with the frequency band in which the regression is performed </w:t>
      </w:r>
      <w:r w:rsidR="00B15AC0">
        <w:fldChar w:fldCharType="begin"/>
      </w:r>
      <w:r w:rsidR="00F202D0">
        <w:instrText xml:space="preserve"> ADDIN EN.CITE &lt;EndNote&gt;&lt;Cite&gt;&lt;Author&gt;Drouet&lt;/Author&gt;&lt;Year&gt;2010&lt;/Year&gt;&lt;RecNum&gt;999&lt;/RecNum&gt;&lt;Prefix&gt;e.g.`, &lt;/Prefix&gt;&lt;record&gt;&lt;rec-number&gt;999&lt;/rec-number&gt;&lt;foreign-keys&gt;&lt;key app="EN" db-id="se5z02d5txder3eax2p5wz5j59zvz2tdzdd2"&gt;999&lt;/key&gt;&lt;/foreign-keys&gt;&lt;ref-type name="Journal Article"&gt;17&lt;/ref-type&gt;&lt;contributors&gt;&lt;authors&gt;&lt;author&gt;Drouet, S.&lt;/author&gt;&lt;author&gt;Cotton, F.&lt;/author&gt;&lt;author&gt;Guéguen, P.&lt;/author&gt;&lt;/authors&gt;&lt;/contributors&gt;&lt;titles&gt;&lt;title&gt;&lt;style face="italic" font="default" size="100%"&gt;v&lt;/style&gt;&lt;style face="italic subscript" font="default" size="100%"&gt;S30&lt;/style&gt;&lt;style face="normal" font="default" size="100%"&gt;, &lt;/style&gt;&lt;style face="italic" font="Symbol" charset="2" size="100%"&gt;k&lt;/style&gt;&lt;style face="normal" font="default" size="100%"&gt;, regional attenuation and &lt;/style&gt;&lt;style face="italic" font="default" size="100%"&gt;M&lt;/style&gt;&lt;style face="italic subscript" font="default" size="100%"&gt;W&lt;/style&gt;&lt;style face="normal" font="default" size="100%"&gt; from accelerograms: application to magnitude 3–5 French earthquakes&lt;/style&gt;&lt;/title&gt;&lt;secondary-title&gt;Geophys. J. Int.&lt;/secondary-title&gt;&lt;/titles&gt;&lt;periodical&gt;&lt;full-title&gt;Geophys. J. Int.&lt;/full-title&gt;&lt;/periodical&gt;&lt;pages&gt;880–898&lt;/pages&gt;&lt;volume&gt;182&lt;/volume&gt;&lt;keywords&gt;&lt;keyword&gt;vs30, kappa, attenuation, France&lt;/keyword&gt;&lt;/keywords&gt;&lt;dates&gt;&lt;year&gt;2010&lt;/year&gt;&lt;/dates&gt;&lt;urls&gt;&lt;pdf-urls&gt;&lt;url&gt;internal-pdf://Drouet etal (2010).France.vs30.kappa.attenuation-3977984533/Drouet etal (2010).France.vs30.kappa.attenuation.pdf&lt;/url&gt;&lt;/pdf-urls&gt;&lt;/urls&gt;&lt;/record&gt;&lt;/Cite&gt;&lt;/EndNote&gt;</w:instrText>
      </w:r>
      <w:r w:rsidR="00B15AC0">
        <w:fldChar w:fldCharType="separate"/>
      </w:r>
      <w:r w:rsidR="00B15AC0">
        <w:rPr>
          <w:noProof/>
        </w:rPr>
        <w:t>(e.g., Drouet</w:t>
      </w:r>
      <w:r w:rsidR="00B15AC0" w:rsidRPr="003D3528">
        <w:rPr>
          <w:i/>
          <w:noProof/>
        </w:rPr>
        <w:t xml:space="preserve"> et al.</w:t>
      </w:r>
      <w:r w:rsidR="00B15AC0">
        <w:rPr>
          <w:noProof/>
        </w:rPr>
        <w:t>, 2010)</w:t>
      </w:r>
      <w:r w:rsidR="00B15AC0">
        <w:fldChar w:fldCharType="end"/>
      </w:r>
      <w:r w:rsidR="00B15AC0">
        <w:t xml:space="preserve">.  In the present analysis, </w:t>
      </w:r>
      <w:r w:rsidR="006E4A92">
        <w:t>the step-wise inversion process allows us to</w:t>
      </w:r>
      <w:r w:rsidR="00B15AC0">
        <w:t xml:space="preserve"> </w:t>
      </w:r>
      <w:r w:rsidR="006E4A92">
        <w:t>decouple</w:t>
      </w:r>
      <w:r w:rsidR="00B15AC0">
        <w:t xml:space="preserve"> path </w:t>
      </w:r>
      <w:r w:rsidR="006E4A92">
        <w:t xml:space="preserve">and site </w:t>
      </w:r>
      <w:r w:rsidR="00B15AC0">
        <w:t xml:space="preserve">parameters prior to the assessment of </w:t>
      </w:r>
      <w:r w:rsidR="00B15AC0" w:rsidRPr="00332AA7">
        <w:rPr>
          <w:rStyle w:val="Bodytextitalic"/>
        </w:rPr>
        <w:t>κ</w:t>
      </w:r>
      <w:r w:rsidR="00B15AC0" w:rsidRPr="00632C3C">
        <w:rPr>
          <w:vertAlign w:val="subscript"/>
        </w:rPr>
        <w:t>0</w:t>
      </w:r>
      <w:r w:rsidR="00B15AC0">
        <w:t>.</w:t>
      </w:r>
      <w:r w:rsidR="006E4A92">
        <w:t xml:space="preserve">  </w:t>
      </w:r>
    </w:p>
    <w:p w:rsidR="006A05EA" w:rsidRDefault="006A05EA" w:rsidP="003F4034">
      <w:pPr>
        <w:pStyle w:val="BodyText"/>
      </w:pPr>
      <w:r>
        <w:t xml:space="preserve">Figure 9 shows a histogram of the calculated </w:t>
      </w:r>
      <w:r w:rsidRPr="00332AA7">
        <w:rPr>
          <w:rStyle w:val="Bodytextitalic"/>
        </w:rPr>
        <w:t>κ</w:t>
      </w:r>
      <w:r w:rsidRPr="00632C3C">
        <w:rPr>
          <w:vertAlign w:val="subscript"/>
        </w:rPr>
        <w:t>0</w:t>
      </w:r>
      <w:r>
        <w:t xml:space="preserve"> values for the 71 sites that are consistent with the magnitude-distance and record number (three or more) criteria.  This indicates a normal distribution with a mean kappa value of 0.006 </w:t>
      </w:r>
      <w:r>
        <w:sym w:font="Symbol" w:char="F0B1"/>
      </w:r>
      <w:r>
        <w:t xml:space="preserve"> </w:t>
      </w:r>
      <w:r w:rsidRPr="00331A96">
        <w:t>0.017</w:t>
      </w:r>
      <w:r>
        <w:t xml:space="preserve"> s.  This me</w:t>
      </w:r>
      <w:r w:rsidR="00176793">
        <w:t>di</w:t>
      </w:r>
      <w:r>
        <w:t xml:space="preserve">an kappa value is similar to that recommended </w:t>
      </w:r>
      <w:r w:rsidR="00D5557B">
        <w:t xml:space="preserve">(0.006 s) </w:t>
      </w:r>
      <w:r>
        <w:t xml:space="preserve">for central and eastern North America </w:t>
      </w:r>
      <w:r>
        <w:fldChar w:fldCharType="begin"/>
      </w:r>
      <w:r w:rsidR="00F202D0">
        <w:instrText xml:space="preserve"> ADDIN EN.CITE &lt;EndNote&gt;&lt;Cite&gt;&lt;Author&gt;Electric Power Research Institute&lt;/Author&gt;&lt;Year&gt;2003&lt;/Year&gt;&lt;RecNum&gt;476&lt;/RecNum&gt;&lt;Prefix&gt;e.g.`, &lt;/Prefix&gt;&lt;record&gt;&lt;rec-number&gt;476&lt;/rec-number&gt;&lt;foreign-keys&gt;&lt;key app="EN" db-id="se5z02d5txder3eax2p5wz5j59zvz2tdzdd2"&gt;476&lt;/key&gt;&lt;/foreign-keys&gt;&lt;ref-type name="Report"&gt;27&lt;/ref-type&gt;&lt;contributors&gt;&lt;authors&gt;&lt;author&gt;Electric Power Research Institute,&lt;/author&gt;&lt;/authors&gt;&lt;secondary-authors&gt;&lt;author&gt;EPRI&lt;/author&gt;&lt;/secondary-authors&gt;&lt;/contributors&gt;&lt;titles&gt;&lt;title&gt;CEUS Ground Motion Project: Model Development and Results&lt;/title&gt;&lt;secondary-title&gt;Electric Power Research Institute Report 1008910&lt;/secondary-title&gt;&lt;/titles&gt;&lt;pages&gt;105&lt;/pages&gt;&lt;dates&gt;&lt;year&gt;2003&lt;/year&gt;&lt;/dates&gt;&lt;pub-location&gt;Palo Alto, CA&lt;/pub-location&gt;&lt;urls&gt;&lt;/urls&gt;&lt;/record&gt;&lt;/Cite&gt;&lt;Cite&gt;&lt;Author&gt;Hashash&lt;/Author&gt;&lt;Year&gt;2011&lt;/Year&gt;&lt;RecNum&gt;1146&lt;/RecNum&gt;&lt;record&gt;&lt;rec-number&gt;1146&lt;/rec-number&gt;&lt;foreign-keys&gt;&lt;key app="EN" db-id="se5z02d5txder3eax2p5wz5j59zvz2tdzdd2"&gt;1146&lt;/key&gt;&lt;/foreign-keys&gt;&lt;ref-type name="Conference Proceedings"&gt;10&lt;/ref-type&gt;&lt;contributors&gt;&lt;authors&gt;&lt;author&gt;Hashash, Y.&lt;/author&gt;&lt;author&gt;Campbell, K.&lt;/author&gt;&lt;author&gt;Rathje, E.&lt;/author&gt;&lt;author&gt;Silva, W.&lt;/author&gt;&lt;author&gt;Stewart, J.&lt;/author&gt;&lt;author&gt;Kottke, A.&lt;/author&gt;&lt;/authors&gt;&lt;/contributors&gt;&lt;titles&gt;&lt;title&gt;Selected reference rock and issues for the CEUS&lt;/title&gt;&lt;secondary-title&gt;Next Generation Attenuation for CEUS (NGA-East) Workshop 2&lt;/secondary-title&gt;&lt;/titles&gt;&lt;volume&gt;Geotechnical Working Group&lt;/volume&gt;&lt;keywords&gt;&lt;keyword&gt;NGA-East, Geotechnical Working Group&lt;/keyword&gt;&lt;/keywords&gt;&lt;dates&gt;&lt;year&gt;2011&lt;/year&gt;&lt;pub-dates&gt;&lt;date&gt;October 2011&lt;/date&gt;&lt;/pub-dates&gt;&lt;/dates&gt;&lt;pub-location&gt;Berkeley, CA&lt;/pub-location&gt;&lt;urls&gt;&lt;pdf-urls&gt;&lt;url&gt;internal-pdf://Hashash etal (2011).Reference-Rock-GWG-1466284043/Hashash etal (2011).Reference-Rock-GWG.pdf&lt;/url&gt;&lt;/pdf-urls&gt;&lt;/urls&gt;&lt;/record&gt;&lt;/Cite&gt;&lt;/EndNote&gt;</w:instrText>
      </w:r>
      <w:r>
        <w:fldChar w:fldCharType="separate"/>
      </w:r>
      <w:r>
        <w:t>(e.g., Electric Power Research Institute, 2003; Hashash</w:t>
      </w:r>
      <w:r w:rsidRPr="00A871B6">
        <w:rPr>
          <w:i/>
        </w:rPr>
        <w:t xml:space="preserve"> et al.</w:t>
      </w:r>
      <w:r>
        <w:t>, 2011)</w:t>
      </w:r>
      <w:r>
        <w:fldChar w:fldCharType="end"/>
      </w:r>
      <w:r w:rsidR="00E50AB4">
        <w:t xml:space="preserve"> and </w:t>
      </w:r>
      <w:r w:rsidR="00D5557B">
        <w:t xml:space="preserve">that </w:t>
      </w:r>
      <w:r w:rsidR="00E50AB4">
        <w:t>used</w:t>
      </w:r>
      <w:r w:rsidR="00D5557B">
        <w:t xml:space="preserve"> (0.005 s)</w:t>
      </w:r>
      <w:r w:rsidR="00E50AB4">
        <w:t xml:space="preserve"> by Atkinson and Boore (2006)</w:t>
      </w:r>
      <w:r w:rsidR="00D5557B">
        <w:t xml:space="preserve"> and Campbell (2009) for the same region</w:t>
      </w:r>
      <w:r>
        <w:t>.</w:t>
      </w:r>
      <w:r w:rsidR="003257C0">
        <w:t xml:space="preserve">  However, this value is explicitly tied to suite of stochastic parameters presented herein and cannot be considered in isolation.</w:t>
      </w:r>
    </w:p>
    <w:p w:rsidR="005558F8" w:rsidRDefault="005558F8" w:rsidP="003F4034">
      <w:pPr>
        <w:pStyle w:val="BodyText"/>
      </w:pPr>
      <w:r w:rsidRPr="00301BF7">
        <w:t xml:space="preserve">Rather than simply </w:t>
      </w:r>
      <w:r w:rsidR="00312B16">
        <w:t xml:space="preserve">being </w:t>
      </w:r>
      <w:r w:rsidRPr="00301BF7">
        <w:t>a modelling parameter</w:t>
      </w:r>
      <w:r w:rsidR="00312B16">
        <w:t>,</w:t>
      </w:r>
      <w:r w:rsidRPr="00301BF7">
        <w:t xml:space="preserve"> as assumed herein, it is suggested that kappa is a real physical variable and should be treated as such (Ken Campbell, pers. comm., 2012).  Consequently, the abundance of negative </w:t>
      </w:r>
      <w:r w:rsidRPr="00332AA7">
        <w:rPr>
          <w:rStyle w:val="Bodytextitalic"/>
        </w:rPr>
        <w:t>κ</w:t>
      </w:r>
      <w:r w:rsidRPr="00632C3C">
        <w:rPr>
          <w:vertAlign w:val="subscript"/>
        </w:rPr>
        <w:t>0</w:t>
      </w:r>
      <w:r>
        <w:t xml:space="preserve"> values </w:t>
      </w:r>
      <w:r w:rsidRPr="00301BF7">
        <w:t xml:space="preserve">as calculated here (Fig. </w:t>
      </w:r>
      <w:r>
        <w:t>9</w:t>
      </w:r>
      <w:r w:rsidRPr="00301BF7">
        <w:t xml:space="preserve">) </w:t>
      </w:r>
      <w:r>
        <w:t xml:space="preserve">may </w:t>
      </w:r>
      <w:r w:rsidRPr="00301BF7">
        <w:t>seem co</w:t>
      </w:r>
      <w:r>
        <w:t xml:space="preserve">unter-intuitive to the broader geotechnical and ground-motion modelling community.  Edwards </w:t>
      </w:r>
      <w:r w:rsidRPr="00332AA7">
        <w:rPr>
          <w:rStyle w:val="Bodytextitalic"/>
        </w:rPr>
        <w:t>et al</w:t>
      </w:r>
      <w:r>
        <w:t xml:space="preserve">. </w:t>
      </w:r>
      <w:r>
        <w:fldChar w:fldCharType="begin"/>
      </w:r>
      <w:r w:rsidR="00F202D0">
        <w:instrText xml:space="preserve"> ADDIN EN.CITE &lt;EndNote&gt;&lt;Cite ExcludeAuth="1"&gt;&lt;Author&gt;Edwards&lt;/Author&gt;&lt;Year&gt;2011&lt;/Year&gt;&lt;RecNum&gt;998&lt;/RecNum&gt;&lt;record&gt;&lt;rec-number&gt;998&lt;/rec-number&gt;&lt;foreign-keys&gt;&lt;key app="EN" db-id="se5z02d5txder3eax2p5wz5j59zvz2tdzdd2"&gt;998&lt;/key&gt;&lt;/foreign-keys&gt;&lt;ref-type name="Journal Article"&gt;17&lt;/ref-type&gt;&lt;contributors&gt;&lt;authors&gt;&lt;author&gt;Edwards, B.&lt;/author&gt;&lt;author&gt;Fäh, D.&lt;/author&gt;&lt;author&gt;Giardini, D.&lt;/author&gt;&lt;/authors&gt;&lt;/contributors&gt;&lt;titles&gt;&lt;title&gt;Attenuation of seismic shear wave energy in Switzerland&lt;/title&gt;&lt;secondary-title&gt;Geophys. J. Int.&lt;/secondary-title&gt;&lt;/titles&gt;&lt;periodical&gt;&lt;full-title&gt;Geophys. J. Int.&lt;/full-title&gt;&lt;/periodical&gt;&lt;pages&gt;967–984&lt;/pages&gt;&lt;volume&gt;185&lt;/volume&gt;&lt;keywords&gt;&lt;keyword&gt;Q, kappa, vs30, Switzerland, attenuation&lt;/keyword&gt;&lt;/keywords&gt;&lt;dates&gt;&lt;year&gt;2011&lt;/year&gt;&lt;/dates&gt;&lt;urls&gt;&lt;pdf-urls&gt;&lt;url&gt;internal-pdf://Edwards etal (2011).Switzerland.attenuation-1846792213/Edwards etal (2011).Switzerland.attenuation.pdf&lt;/url&gt;&lt;/pdf-urls&gt;&lt;/urls&gt;&lt;/record&gt;&lt;/Cite&gt;&lt;/EndNote&gt;</w:instrText>
      </w:r>
      <w:r>
        <w:fldChar w:fldCharType="separate"/>
      </w:r>
      <w:r>
        <w:t>(2011)</w:t>
      </w:r>
      <w:r>
        <w:fldChar w:fldCharType="end"/>
      </w:r>
      <w:r>
        <w:t xml:space="preserve"> suggested that the evaluation of negative </w:t>
      </w:r>
      <w:r w:rsidRPr="00332AA7">
        <w:rPr>
          <w:rStyle w:val="Bodytextitalic"/>
        </w:rPr>
        <w:t>κ</w:t>
      </w:r>
      <w:r w:rsidRPr="00632C3C">
        <w:rPr>
          <w:vertAlign w:val="subscript"/>
        </w:rPr>
        <w:t>0</w:t>
      </w:r>
      <w:r>
        <w:t xml:space="preserve"> values</w:t>
      </w:r>
      <w:r w:rsidRPr="009E79FD">
        <w:t xml:space="preserve"> </w:t>
      </w:r>
      <w:r>
        <w:t>may</w:t>
      </w:r>
      <w:r w:rsidRPr="009E79FD">
        <w:t xml:space="preserve"> potentially </w:t>
      </w:r>
      <w:r>
        <w:t xml:space="preserve">be due to </w:t>
      </w:r>
      <w:r w:rsidRPr="009E79FD">
        <w:t>the</w:t>
      </w:r>
      <w:r>
        <w:t xml:space="preserve"> </w:t>
      </w:r>
      <w:r w:rsidRPr="009E79FD">
        <w:t>effect of site-specific amplification or resonance fe</w:t>
      </w:r>
      <w:r>
        <w:t>atures being re</w:t>
      </w:r>
      <w:r w:rsidRPr="009E79FD">
        <w:t>flected</w:t>
      </w:r>
      <w:r>
        <w:t xml:space="preserve"> in </w:t>
      </w:r>
      <w:r w:rsidRPr="00332AA7">
        <w:rPr>
          <w:rStyle w:val="Bodytextitalic"/>
        </w:rPr>
        <w:t>κ</w:t>
      </w:r>
      <w:r w:rsidRPr="00632C3C">
        <w:rPr>
          <w:vertAlign w:val="subscript"/>
        </w:rPr>
        <w:t>0</w:t>
      </w:r>
      <w:r>
        <w:t>.</w:t>
      </w:r>
    </w:p>
    <w:p w:rsidR="00F72D5B" w:rsidRDefault="00551E1A" w:rsidP="00E033F4">
      <w:pPr>
        <w:pStyle w:val="InlineObject"/>
      </w:pPr>
      <w:r>
        <w:rPr>
          <w:noProof/>
        </w:rPr>
        <w:lastRenderedPageBreak/>
        <w:drawing>
          <wp:inline distT="0" distB="0" distL="0" distR="0">
            <wp:extent cx="5419725" cy="5838825"/>
            <wp:effectExtent l="0" t="0" r="0" b="0"/>
            <wp:docPr id="21" name="Picture 21" descr="kappa_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ppa_sit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19725" cy="5838825"/>
                    </a:xfrm>
                    <a:prstGeom prst="rect">
                      <a:avLst/>
                    </a:prstGeom>
                    <a:noFill/>
                    <a:ln>
                      <a:noFill/>
                    </a:ln>
                  </pic:spPr>
                </pic:pic>
              </a:graphicData>
            </a:graphic>
          </wp:inline>
        </w:drawing>
      </w:r>
    </w:p>
    <w:p w:rsidR="00A71A49" w:rsidRPr="00A71A49" w:rsidRDefault="00A71A49" w:rsidP="00A71A49">
      <w:pPr>
        <w:pStyle w:val="Captions"/>
      </w:pPr>
      <w:bookmarkStart w:id="87" w:name="_Toc338429322"/>
      <w:r w:rsidRPr="00ED3EA1">
        <w:rPr>
          <w:rStyle w:val="Bodytextbold"/>
        </w:rPr>
        <w:t xml:space="preserve">Figure </w:t>
      </w:r>
      <w:r w:rsidRPr="00A71A49">
        <w:rPr>
          <w:b/>
        </w:rPr>
        <w:fldChar w:fldCharType="begin"/>
      </w:r>
      <w:r w:rsidRPr="00A71A49">
        <w:rPr>
          <w:b/>
        </w:rPr>
        <w:instrText xml:space="preserve"> SEQ Figure \* ARABIC </w:instrText>
      </w:r>
      <w:r w:rsidRPr="00A71A49">
        <w:rPr>
          <w:b/>
        </w:rPr>
        <w:fldChar w:fldCharType="separate"/>
      </w:r>
      <w:r w:rsidR="007D4E78">
        <w:rPr>
          <w:b/>
          <w:noProof/>
        </w:rPr>
        <w:t>8</w:t>
      </w:r>
      <w:r w:rsidRPr="00A71A49">
        <w:rPr>
          <w:b/>
        </w:rPr>
        <w:fldChar w:fldCharType="end"/>
      </w:r>
      <w:r w:rsidRPr="00ED3EA1">
        <w:rPr>
          <w:rStyle w:val="Bodytextbold"/>
        </w:rPr>
        <w:t>:</w:t>
      </w:r>
      <w:r>
        <w:t xml:space="preserve">  </w:t>
      </w:r>
      <w:r w:rsidRPr="00A71A49">
        <w:t>Examples of κ</w:t>
      </w:r>
      <w:r w:rsidRPr="00332AA7">
        <w:t>0</w:t>
      </w:r>
      <w:r w:rsidRPr="00A71A49">
        <w:t xml:space="preserve"> calculation for representative stations in southeastern </w:t>
      </w:r>
      <w:smartTag w:uri="urn:schemas-microsoft-com:office:smarttags" w:element="place">
        <w:smartTag w:uri="urn:schemas-microsoft-com:office:smarttags" w:element="country-region">
          <w:r w:rsidRPr="00A71A49">
            <w:t>Australia</w:t>
          </w:r>
        </w:smartTag>
      </w:smartTag>
      <w:r w:rsidRPr="00A71A49">
        <w:t xml:space="preserve">.  </w:t>
      </w:r>
      <w:r w:rsidR="00312B16">
        <w:t xml:space="preserve">Vertical-component Fourier </w:t>
      </w:r>
      <w:r w:rsidR="00312B16" w:rsidRPr="00A71A49">
        <w:t xml:space="preserve">spectra corrected </w:t>
      </w:r>
      <w:r w:rsidR="00312B16">
        <w:t>for the effects of a</w:t>
      </w:r>
      <w:r w:rsidR="00312B16" w:rsidRPr="00A71A49">
        <w:t xml:space="preserve">nelastic </w:t>
      </w:r>
      <w:r w:rsidRPr="00A71A49">
        <w:t>attenuation are then aggregated by station and each spectrum is normalised by the Fourier acceleration amplitude at 2 Hz</w:t>
      </w:r>
      <w:r>
        <w:t xml:space="preserve"> (grey crosses)</w:t>
      </w:r>
      <w:r w:rsidRPr="00A71A49">
        <w:t>.  Kappa is subsequently determined for each site by linear least squares regression between the natural logarithm of acceleration spectra and frequency between 12 and 20 Hz</w:t>
      </w:r>
      <w:r>
        <w:t xml:space="preserve"> (solid black lines).</w:t>
      </w:r>
      <w:bookmarkEnd w:id="87"/>
    </w:p>
    <w:p w:rsidR="00E033F4" w:rsidRPr="008818F0" w:rsidRDefault="00551E1A" w:rsidP="00E033F4">
      <w:pPr>
        <w:pStyle w:val="InlineObject"/>
        <w:rPr>
          <w:lang w:val="en-US"/>
        </w:rPr>
      </w:pPr>
      <w:r>
        <w:rPr>
          <w:noProof/>
        </w:rPr>
        <w:lastRenderedPageBreak/>
        <w:drawing>
          <wp:inline distT="0" distB="0" distL="0" distR="0">
            <wp:extent cx="2705100" cy="2286000"/>
            <wp:effectExtent l="0" t="0" r="0" b="0"/>
            <wp:docPr id="22" name="Picture 1" descr="kappa_hist_12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pa_hist_12_2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05100" cy="2286000"/>
                    </a:xfrm>
                    <a:prstGeom prst="rect">
                      <a:avLst/>
                    </a:prstGeom>
                    <a:noFill/>
                    <a:ln>
                      <a:noFill/>
                    </a:ln>
                  </pic:spPr>
                </pic:pic>
              </a:graphicData>
            </a:graphic>
          </wp:inline>
        </w:drawing>
      </w:r>
    </w:p>
    <w:p w:rsidR="00E033F4" w:rsidRPr="00ED3EA1" w:rsidRDefault="00E033F4" w:rsidP="00E033F4">
      <w:pPr>
        <w:pStyle w:val="Captions"/>
      </w:pPr>
      <w:bookmarkStart w:id="88" w:name="_Toc338429323"/>
      <w:r w:rsidRPr="00ED3EA1">
        <w:rPr>
          <w:rStyle w:val="Bodytextbold"/>
        </w:rPr>
        <w:t xml:space="preserve">Figure </w:t>
      </w:r>
      <w:r w:rsidRPr="00ED3EA1">
        <w:rPr>
          <w:rStyle w:val="Bodytextbold"/>
        </w:rPr>
        <w:fldChar w:fldCharType="begin"/>
      </w:r>
      <w:r w:rsidRPr="00ED3EA1">
        <w:rPr>
          <w:rStyle w:val="Bodytextbold"/>
        </w:rPr>
        <w:instrText xml:space="preserve"> SEQ Figure \* ARABIC </w:instrText>
      </w:r>
      <w:r w:rsidRPr="00ED3EA1">
        <w:rPr>
          <w:rStyle w:val="Bodytextbold"/>
        </w:rPr>
        <w:fldChar w:fldCharType="separate"/>
      </w:r>
      <w:r w:rsidRPr="00ED3EA1">
        <w:rPr>
          <w:rStyle w:val="Bodytextbold"/>
        </w:rPr>
        <w:t>9</w:t>
      </w:r>
      <w:r w:rsidRPr="00ED3EA1">
        <w:rPr>
          <w:rStyle w:val="Bodytextbold"/>
        </w:rPr>
        <w:fldChar w:fldCharType="end"/>
      </w:r>
      <w:r w:rsidRPr="00ED3EA1">
        <w:rPr>
          <w:rStyle w:val="Bodytextbold"/>
        </w:rPr>
        <w:t>:</w:t>
      </w:r>
      <w:r w:rsidRPr="00332AA7">
        <w:t xml:space="preserve">  </w:t>
      </w:r>
      <w:r w:rsidRPr="00ED3EA1">
        <w:t>Histogram of the calculated κ0 values for the 71 sites that are consistent with the magnitude-distance and record number (three or more) criteria.  In this study, negative κ0 values are allowed and are interpreted to reflect that the mean anelastic attenuation model – which may not accurately reflect the attenuation characteristics of each source-to-site path in the dataset – absorbs some of the kappa effect.</w:t>
      </w:r>
      <w:bookmarkEnd w:id="88"/>
    </w:p>
    <w:p w:rsidR="00136F01" w:rsidRDefault="00301BF7" w:rsidP="00301BF7">
      <w:pPr>
        <w:pStyle w:val="BodyText"/>
      </w:pPr>
      <w:r w:rsidRPr="00301BF7">
        <w:t xml:space="preserve">To examine this question in more detail, it is expected that average kappa values as calculated herein would normally be associated with a </w:t>
      </w:r>
      <w:r w:rsidR="00172353" w:rsidRPr="00332AA7">
        <w:rPr>
          <w:rStyle w:val="Bodytextitalic"/>
        </w:rPr>
        <w:t>V</w:t>
      </w:r>
      <w:r w:rsidR="00172353" w:rsidRPr="00172353">
        <w:rPr>
          <w:rStyle w:val="Subscriptitalic"/>
        </w:rPr>
        <w:t>S30</w:t>
      </w:r>
      <w:r w:rsidR="00172353">
        <w:t xml:space="preserve"> </w:t>
      </w:r>
      <w:r w:rsidRPr="00301BF7">
        <w:t>of 2</w:t>
      </w:r>
      <w:r w:rsidR="005D0B8A">
        <w:t>,</w:t>
      </w:r>
      <w:r w:rsidRPr="00301BF7">
        <w:t xml:space="preserve">000 m/s and higher </w:t>
      </w:r>
      <w:r>
        <w:fldChar w:fldCharType="begin"/>
      </w:r>
      <w:r w:rsidR="00F202D0">
        <w:instrText xml:space="preserve"> ADDIN EN.CITE &lt;EndNote&gt;&lt;Cite&gt;&lt;Author&gt;Van Houtte&lt;/Author&gt;&lt;Year&gt;2011&lt;/Year&gt;&lt;RecNum&gt;996&lt;/RecNum&gt;&lt;Prefix&gt;e.g., &lt;/Prefix&gt;&lt;record&gt;&lt;rec-number&gt;996&lt;/rec-number&gt;&lt;foreign-keys&gt;&lt;key app="EN" db-id="se5z02d5txder3eax2p5wz5j59zvz2tdzdd2"&gt;996&lt;/key&gt;&lt;/foreign-keys&gt;&lt;ref-type name="Journal Article"&gt;17&lt;/ref-type&gt;&lt;contributors&gt;&lt;authors&gt;&lt;author&gt;Van Houtte, C.&lt;/author&gt;&lt;author&gt;Drouet, S.&lt;/author&gt;&lt;author&gt;Cotton, F.&lt;/author&gt;&lt;/authors&gt;&lt;/contributors&gt;&lt;titles&gt;&lt;title&gt;&lt;style face="normal" font="default" size="100%"&gt;Analysis of the origins of &lt;/style&gt;&lt;style face="italic" font="Symbol" charset="2" size="100%"&gt;k&lt;/style&gt;&lt;style face="normal" font="default" size="100%"&gt; (kappa) to compute hard rock to rock adjustment factors for GMPEs&lt;/style&gt;&lt;/title&gt;&lt;secondary-title&gt;Bull. Seism. Soc. Am.&lt;/secondary-title&gt;&lt;/titles&gt;&lt;periodical&gt;&lt;full-title&gt;Bull. Seism. Soc. Am.&lt;/full-title&gt;&lt;/periodical&gt;&lt;pages&gt;2926–2941&lt;/pages&gt;&lt;volume&gt;101&lt;/volume&gt;&lt;number&gt;6&lt;/number&gt;&lt;keywords&gt;&lt;keyword&gt;kappa, hard rock, GMPEs&lt;/keyword&gt;&lt;/keywords&gt;&lt;dates&gt;&lt;year&gt;2011&lt;/year&gt;&lt;/dates&gt;&lt;urls&gt;&lt;pdf-urls&gt;&lt;url&gt;internal-pdf://VanHoutte_et al (2011).kappa.hard_rock_adjustment-3529251841/VanHoutte_et al (2011).kappa.hard_rock_adjustment.pdf&lt;/url&gt;&lt;/pdf-urls&gt;&lt;/urls&gt;&lt;/record&gt;&lt;/Cite&gt;&lt;/EndNote&gt;</w:instrText>
      </w:r>
      <w:r>
        <w:fldChar w:fldCharType="separate"/>
      </w:r>
      <w:r>
        <w:t>(e.g., Van Houtte</w:t>
      </w:r>
      <w:r w:rsidRPr="00301BF7">
        <w:rPr>
          <w:i/>
        </w:rPr>
        <w:t xml:space="preserve"> et al.</w:t>
      </w:r>
      <w:r>
        <w:t>, 2011)</w:t>
      </w:r>
      <w:r>
        <w:fldChar w:fldCharType="end"/>
      </w:r>
      <w:r w:rsidRPr="00301BF7">
        <w:t xml:space="preserve">.  However, based on the limited </w:t>
      </w:r>
      <w:r w:rsidR="00172353" w:rsidRPr="00332AA7">
        <w:rPr>
          <w:rStyle w:val="Bodytextitalic"/>
        </w:rPr>
        <w:t>V</w:t>
      </w:r>
      <w:r w:rsidR="00172353" w:rsidRPr="00172353">
        <w:rPr>
          <w:rStyle w:val="Subscriptitalic"/>
        </w:rPr>
        <w:t>S30</w:t>
      </w:r>
      <w:r w:rsidR="00172353">
        <w:t xml:space="preserve"> </w:t>
      </w:r>
      <w:r w:rsidRPr="00301BF7">
        <w:t xml:space="preserve">data collected in Australia, it is clear that average </w:t>
      </w:r>
      <w:r w:rsidR="00172353" w:rsidRPr="00332AA7">
        <w:rPr>
          <w:rStyle w:val="Bodytextitalic"/>
        </w:rPr>
        <w:t>V</w:t>
      </w:r>
      <w:r w:rsidR="00172353" w:rsidRPr="00172353">
        <w:rPr>
          <w:rStyle w:val="Subscriptitalic"/>
        </w:rPr>
        <w:t>S30</w:t>
      </w:r>
      <w:r w:rsidR="00172353">
        <w:t xml:space="preserve"> </w:t>
      </w:r>
      <w:r w:rsidRPr="00301BF7">
        <w:t>values are not i</w:t>
      </w:r>
      <w:r w:rsidR="005D0B8A">
        <w:t>n this velocity range</w:t>
      </w:r>
      <w:r w:rsidR="0056680B">
        <w:t xml:space="preserve"> </w:t>
      </w:r>
      <w:r w:rsidR="0056680B">
        <w:fldChar w:fldCharType="begin">
          <w:fldData xml:space="preserve">PEVuZE5vdGU+PENpdGU+PEF1dGhvcj5Db2xsaW5zPC9BdXRob3I+PFllYXI+MjAwNjwvWWVhcj48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</w:fldData>
        </w:fldChar>
      </w:r>
      <w:r w:rsidR="00F202D0">
        <w:instrText xml:space="preserve"> ADDIN EN.CITE </w:instrText>
      </w:r>
      <w:r w:rsidR="00F202D0">
        <w:fldChar w:fldCharType="begin">
          <w:fldData xml:space="preserve">PEVuZE5vdGU+PENpdGU+PEF1dGhvcj5Db2xsaW5zPC9BdXRob3I+PFllYXI+MjAwNjwvWWVhcj48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</w:fldData>
        </w:fldChar>
      </w:r>
      <w:r w:rsidR="00F202D0">
        <w:instrText xml:space="preserve"> ADDIN EN.CITE.DATA </w:instrText>
      </w:r>
      <w:r w:rsidR="00F202D0">
        <w:fldChar w:fldCharType="end"/>
      </w:r>
      <w:r w:rsidR="0056680B">
        <w:fldChar w:fldCharType="separate"/>
      </w:r>
      <w:r w:rsidR="0056680B">
        <w:t>(Collins</w:t>
      </w:r>
      <w:r w:rsidR="0056680B" w:rsidRPr="0056680B">
        <w:rPr>
          <w:i/>
        </w:rPr>
        <w:t xml:space="preserve"> et al.</w:t>
      </w:r>
      <w:r w:rsidR="0056680B">
        <w:t>, 2006; Kayen and Carkin, 2006; Kayen</w:t>
      </w:r>
      <w:r w:rsidR="0056680B" w:rsidRPr="0056680B">
        <w:rPr>
          <w:i/>
        </w:rPr>
        <w:t xml:space="preserve"> et al.</w:t>
      </w:r>
      <w:r w:rsidR="0056680B">
        <w:t>, 2010)</w:t>
      </w:r>
      <w:r w:rsidR="0056680B">
        <w:fldChar w:fldCharType="end"/>
      </w:r>
      <w:r w:rsidR="005D0B8A">
        <w:t xml:space="preserve">.  </w:t>
      </w:r>
      <w:r w:rsidRPr="00301BF7">
        <w:t>In order to reconcile the apparent discrepancy between the Australian data, and other stable continent data, intra-site kappa residuals (mean site kappa minus kappa from individual records) are determined for each seismic station and aggre</w:t>
      </w:r>
      <w:smartTag w:uri="urn:schemas-microsoft-com:office:smarttags" w:element="PersonName">
        <w:r w:rsidRPr="00301BF7">
          <w:t>ga</w:t>
        </w:r>
      </w:smartTag>
      <w:r w:rsidRPr="00301BF7">
        <w:t xml:space="preserve">ted for the complete dataset.  </w:t>
      </w:r>
    </w:p>
    <w:p w:rsidR="00301BF7" w:rsidRDefault="00301BF7" w:rsidP="00301BF7">
      <w:pPr>
        <w:pStyle w:val="BodyText"/>
      </w:pPr>
      <w:r w:rsidRPr="00301BF7">
        <w:t>Because the kappa value is dependent on the high-frequenc</w:t>
      </w:r>
      <w:r w:rsidRPr="00136F01">
        <w:t xml:space="preserve">y acceleration spectrum, it is sensitive to the anelastic attenuation factors, as described above.  </w:t>
      </w:r>
      <w:r w:rsidRPr="00301BF7">
        <w:t xml:space="preserve">To determine whether these anelastic attenuation parameters bias the calculated </w:t>
      </w:r>
      <w:r w:rsidRPr="00332AA7">
        <w:rPr>
          <w:rStyle w:val="Bodytextitalic"/>
        </w:rPr>
        <w:t>κ</w:t>
      </w:r>
      <w:r w:rsidRPr="00632C3C">
        <w:rPr>
          <w:vertAlign w:val="subscript"/>
        </w:rPr>
        <w:t>0</w:t>
      </w:r>
      <w:r>
        <w:t xml:space="preserve"> </w:t>
      </w:r>
      <w:r w:rsidRPr="00301BF7">
        <w:t xml:space="preserve">to </w:t>
      </w:r>
      <w:r w:rsidR="000F2A6B" w:rsidRPr="00301BF7">
        <w:t xml:space="preserve">values </w:t>
      </w:r>
      <w:r w:rsidRPr="00301BF7">
        <w:t>smaller than expected, the intra-site residuals are plotted a</w:t>
      </w:r>
      <w:smartTag w:uri="urn:schemas-microsoft-com:office:smarttags" w:element="PersonName">
        <w:r w:rsidRPr="00301BF7">
          <w:t>ga</w:t>
        </w:r>
      </w:smartTag>
      <w:r w:rsidRPr="00301BF7">
        <w:t>inst distance (Fig</w:t>
      </w:r>
      <w:r w:rsidR="00146ED0">
        <w:t>.</w:t>
      </w:r>
      <w:r w:rsidRPr="00301BF7">
        <w:t xml:space="preserve"> </w:t>
      </w:r>
      <w:r w:rsidR="004C07F4">
        <w:t>10</w:t>
      </w:r>
      <w:r w:rsidRPr="00301BF7">
        <w:t xml:space="preserve">).  Because the anelastic attenuation parameters used herein apply </w:t>
      </w:r>
      <w:r w:rsidR="00146ED0">
        <w:t>little-to-no</w:t>
      </w:r>
      <w:r w:rsidR="00146ED0" w:rsidRPr="00301BF7">
        <w:t xml:space="preserve"> </w:t>
      </w:r>
      <w:r w:rsidRPr="00301BF7">
        <w:t xml:space="preserve">correction at distances less than </w:t>
      </w:r>
      <w:r w:rsidRPr="00332AA7">
        <w:rPr>
          <w:rStyle w:val="Bodytextitalic"/>
        </w:rPr>
        <w:t>R</w:t>
      </w:r>
      <w:r w:rsidRPr="00301BF7">
        <w:rPr>
          <w:vertAlign w:val="subscript"/>
        </w:rPr>
        <w:t>1</w:t>
      </w:r>
      <w:r w:rsidRPr="00301BF7">
        <w:t xml:space="preserve"> (</w:t>
      </w:r>
      <w:r w:rsidR="009E79FD">
        <w:t xml:space="preserve">less than </w:t>
      </w:r>
      <w:r w:rsidRPr="00301BF7">
        <w:t>90 km), the shape should not be affected by any kappa biases due to over-correction of anelastic effects at short distances.  Consequently, the shape of the acceleration spectrum (</w:t>
      </w:r>
      <w:r w:rsidR="00146ED0">
        <w:t xml:space="preserve">at </w:t>
      </w:r>
      <w:r w:rsidR="00146ED0" w:rsidRPr="00332AA7">
        <w:rPr>
          <w:rStyle w:val="Bodytextitalic"/>
        </w:rPr>
        <w:t>f</w:t>
      </w:r>
      <w:r w:rsidR="00146ED0">
        <w:t xml:space="preserve"> &gt; </w:t>
      </w:r>
      <w:r w:rsidR="00146ED0" w:rsidRPr="00332AA7">
        <w:rPr>
          <w:rStyle w:val="Bodytextitalic"/>
        </w:rPr>
        <w:t>f</w:t>
      </w:r>
      <w:r w:rsidR="00146ED0">
        <w:rPr>
          <w:vertAlign w:val="subscript"/>
        </w:rPr>
        <w:t>0</w:t>
      </w:r>
      <w:r w:rsidRPr="00301BF7">
        <w:t xml:space="preserve">) should be representative of the earthquake source spectrum combined with the kappa effect.  Any deviation of intra-site </w:t>
      </w:r>
      <w:r w:rsidRPr="00332AA7">
        <w:rPr>
          <w:rStyle w:val="Bodytextitalic"/>
        </w:rPr>
        <w:t>κ</w:t>
      </w:r>
      <w:r w:rsidRPr="00632C3C">
        <w:rPr>
          <w:vertAlign w:val="subscript"/>
        </w:rPr>
        <w:t>0</w:t>
      </w:r>
      <w:r>
        <w:t xml:space="preserve"> values </w:t>
      </w:r>
      <w:r w:rsidRPr="00301BF7">
        <w:t xml:space="preserve">with hypocentral distance should reveal whether the assumed anelastic attenuation is appropriate.  As can be seen from Figure </w:t>
      </w:r>
      <w:r w:rsidR="00B255FF">
        <w:t>10</w:t>
      </w:r>
      <w:r w:rsidRPr="00301BF7">
        <w:t>, there is limited departure from zero for the median intra-site residuals across the full distance range.</w:t>
      </w:r>
      <w:r w:rsidR="00B255FF">
        <w:t xml:space="preserve">  While the first few data points suggest </w:t>
      </w:r>
      <w:r w:rsidR="00272BB8">
        <w:t xml:space="preserve">that </w:t>
      </w:r>
      <w:r w:rsidR="00B255FF">
        <w:t xml:space="preserve">higher kappa values might be appropriate, the median residuals are based on relatively few data.  From 40 to </w:t>
      </w:r>
      <w:r w:rsidR="000F2A6B">
        <w:t>90 </w:t>
      </w:r>
      <w:r w:rsidR="00B255FF">
        <w:t>km</w:t>
      </w:r>
      <w:r w:rsidR="000B16C9">
        <w:t>,</w:t>
      </w:r>
      <w:r w:rsidR="00B255FF">
        <w:t xml:space="preserve"> where no effective anelastic correction is applied, the median residuals are near zero.  Beyond this distance range, the residuals do not deviate significantly from zero.</w:t>
      </w:r>
    </w:p>
    <w:p w:rsidR="005D0B8A" w:rsidRPr="00301BF7" w:rsidRDefault="005D0B8A" w:rsidP="00301BF7">
      <w:pPr>
        <w:pStyle w:val="BodyText"/>
      </w:pPr>
      <w:r w:rsidRPr="00301BF7">
        <w:t xml:space="preserve">The correlation between kappa and </w:t>
      </w:r>
      <w:r w:rsidR="00172353" w:rsidRPr="00332AA7">
        <w:rPr>
          <w:rStyle w:val="Bodytextitalic"/>
        </w:rPr>
        <w:t>V</w:t>
      </w:r>
      <w:r w:rsidR="00172353" w:rsidRPr="00172353">
        <w:rPr>
          <w:rStyle w:val="Subscriptitalic"/>
        </w:rPr>
        <w:t>S30</w:t>
      </w:r>
      <w:r w:rsidR="00172353">
        <w:t xml:space="preserve"> </w:t>
      </w:r>
      <w:r w:rsidRPr="00301BF7">
        <w:t xml:space="preserve">is discussed in more detail </w:t>
      </w:r>
      <w:r>
        <w:t>in the section ‘Definition of an “Average Rock” Site’</w:t>
      </w:r>
      <w:r w:rsidRPr="00301BF7">
        <w:t xml:space="preserve"> below.</w:t>
      </w:r>
    </w:p>
    <w:p w:rsidR="00B15AC0" w:rsidRPr="00B255FF" w:rsidRDefault="00985413" w:rsidP="00E033F4">
      <w:pPr>
        <w:pStyle w:val="InlineObject"/>
      </w:pPr>
      <w:r>
        <w:br w:type="page"/>
      </w:r>
      <w:r w:rsidR="00551E1A">
        <w:rPr>
          <w:noProof/>
        </w:rPr>
        <w:lastRenderedPageBreak/>
        <w:drawing>
          <wp:inline distT="0" distB="0" distL="0" distR="0">
            <wp:extent cx="4048125" cy="1885950"/>
            <wp:effectExtent l="0" t="0" r="0" b="0"/>
            <wp:docPr id="23" name="Picture 23" descr="intra-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tra-sit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48125" cy="1885950"/>
                    </a:xfrm>
                    <a:prstGeom prst="rect">
                      <a:avLst/>
                    </a:prstGeom>
                    <a:noFill/>
                    <a:ln>
                      <a:noFill/>
                    </a:ln>
                  </pic:spPr>
                </pic:pic>
              </a:graphicData>
            </a:graphic>
          </wp:inline>
        </w:drawing>
      </w:r>
    </w:p>
    <w:p w:rsidR="004C07F4" w:rsidRPr="004C07F4" w:rsidRDefault="004C07F4" w:rsidP="004C07F4">
      <w:pPr>
        <w:pStyle w:val="Captions"/>
        <w:rPr>
          <w:bCs/>
        </w:rPr>
      </w:pPr>
      <w:bookmarkStart w:id="89" w:name="_Toc338429324"/>
      <w:r w:rsidRPr="00ED3EA1">
        <w:rPr>
          <w:rStyle w:val="Bodytextbold"/>
        </w:rPr>
        <w:t xml:space="preserve">Figure </w:t>
      </w:r>
      <w:r w:rsidRPr="004C07F4">
        <w:rPr>
          <w:b/>
        </w:rPr>
        <w:fldChar w:fldCharType="begin"/>
      </w:r>
      <w:r w:rsidRPr="004C07F4">
        <w:rPr>
          <w:b/>
        </w:rPr>
        <w:instrText xml:space="preserve"> SEQ Figure \* ARABIC </w:instrText>
      </w:r>
      <w:r w:rsidRPr="004C07F4">
        <w:rPr>
          <w:b/>
        </w:rPr>
        <w:fldChar w:fldCharType="separate"/>
      </w:r>
      <w:r w:rsidR="007D4E78">
        <w:rPr>
          <w:b/>
          <w:noProof/>
        </w:rPr>
        <w:t>10</w:t>
      </w:r>
      <w:r w:rsidRPr="004C07F4">
        <w:rPr>
          <w:b/>
        </w:rPr>
        <w:fldChar w:fldCharType="end"/>
      </w:r>
      <w:r w:rsidRPr="00ED3EA1">
        <w:rPr>
          <w:rStyle w:val="Bodytextbold"/>
        </w:rPr>
        <w:t>:</w:t>
      </w:r>
      <w:r>
        <w:t xml:space="preserve">  </w:t>
      </w:r>
      <w:r w:rsidRPr="004C07F4">
        <w:t>Intra-site kappa residuals (mean site kappa minus kappa from individual records)</w:t>
      </w:r>
      <w:r>
        <w:t xml:space="preserve"> against hypocentral distance.  Individual residuals (grey crosses) are binned in 10-km windows and the median and standard deviation </w:t>
      </w:r>
      <w:r w:rsidR="002403BE">
        <w:t>calculated (black squares)</w:t>
      </w:r>
      <w:r>
        <w:t>.</w:t>
      </w:r>
      <w:r w:rsidR="002403BE">
        <w:t xml:space="preserve">  The figure shows limited departure of the median values from zero over the distance range considered.</w:t>
      </w:r>
      <w:bookmarkEnd w:id="89"/>
    </w:p>
    <w:p w:rsidR="00B15AC0" w:rsidRDefault="00B15AC0" w:rsidP="005C7510">
      <w:pPr>
        <w:pStyle w:val="Heading2"/>
      </w:pPr>
      <w:bookmarkStart w:id="90" w:name="_Toc319656512"/>
      <w:bookmarkStart w:id="91" w:name="_Toc319656601"/>
      <w:bookmarkStart w:id="92" w:name="_Toc319918555"/>
      <w:bookmarkStart w:id="93" w:name="_Toc319918824"/>
      <w:bookmarkStart w:id="94" w:name="_Toc349112535"/>
      <w:r>
        <w:t>Moment Magnitude</w:t>
      </w:r>
      <w:bookmarkEnd w:id="90"/>
      <w:bookmarkEnd w:id="91"/>
      <w:bookmarkEnd w:id="92"/>
      <w:bookmarkEnd w:id="93"/>
      <w:bookmarkEnd w:id="94"/>
    </w:p>
    <w:p w:rsidR="00B15AC0" w:rsidRDefault="00B15AC0" w:rsidP="003F4034">
      <w:pPr>
        <w:pStyle w:val="BodyText"/>
      </w:pPr>
      <w:r>
        <w:t xml:space="preserve">With the attenuation coefficients evaluated above, earthquake source parameters can now be determined.  The Fourier displacement source spectra </w:t>
      </w:r>
      <w:r w:rsidRPr="00332AA7">
        <w:rPr>
          <w:rStyle w:val="Bodytextitalic"/>
        </w:rPr>
        <w:t>Ai</w:t>
      </w:r>
      <w:r w:rsidRPr="00332AA7">
        <w:rPr>
          <w:spacing w:val="40"/>
        </w:rPr>
        <w:t>(</w:t>
      </w:r>
      <w:r w:rsidRPr="00332AA7">
        <w:rPr>
          <w:rStyle w:val="Bodytextitalic"/>
        </w:rPr>
        <w:t>f</w:t>
      </w:r>
      <w:r>
        <w:t>)</w:t>
      </w:r>
      <w:r>
        <w:rPr>
          <w:bCs/>
          <w:lang w:val="en-US"/>
        </w:rPr>
        <w:t xml:space="preserve"> </w:t>
      </w:r>
      <w:r>
        <w:t xml:space="preserve">can be estimated for each earthquake </w:t>
      </w:r>
      <w:r w:rsidRPr="00332AA7">
        <w:rPr>
          <w:rStyle w:val="Bodytextitalic"/>
        </w:rPr>
        <w:t>i</w:t>
      </w:r>
      <w:r>
        <w:t xml:space="preserve"> by taking the mean of the individual spectra corrected for attenuation effects, following:</w:t>
      </w:r>
    </w:p>
    <w:p w:rsidR="004E0EB8" w:rsidRPr="004E0EB8" w:rsidRDefault="00146ED0" w:rsidP="004E0EB8">
      <w:pPr>
        <w:pStyle w:val="Equation"/>
      </w:pPr>
      <w:r w:rsidRPr="00146ED0">
        <w:rPr>
          <w:position w:val="-30"/>
        </w:rPr>
        <w:object w:dxaOrig="7020" w:dyaOrig="720">
          <v:shape id="_x0000_i1035" type="#_x0000_t75" style="width:350.85pt;height:36pt" o:ole="">
            <v:imagedata r:id="rId54" o:title=""/>
          </v:shape>
          <o:OLEObject Type="Embed" ProgID="Equation.3" ShapeID="_x0000_i1035" DrawAspect="Content" ObjectID="_1426934412" r:id="rId55"/>
        </w:object>
      </w:r>
      <w:r w:rsidR="00B15AC0">
        <w:tab/>
        <w:t>(9)</w:t>
      </w:r>
    </w:p>
    <w:p w:rsidR="00B15AC0" w:rsidRDefault="00B15AC0" w:rsidP="003F4034">
      <w:pPr>
        <w:pStyle w:val="BodyText"/>
      </w:pPr>
      <w:r>
        <w:t xml:space="preserve">where </w:t>
      </w:r>
      <w:r w:rsidRPr="00332AA7">
        <w:rPr>
          <w:rStyle w:val="Bodytextitalic"/>
        </w:rPr>
        <w:t>N</w:t>
      </w:r>
      <w:r w:rsidRPr="00BC220E">
        <w:rPr>
          <w:rStyle w:val="Subscriptitalic"/>
        </w:rPr>
        <w:t xml:space="preserve">i </w:t>
      </w:r>
      <w:r>
        <w:t xml:space="preserve">is the number of recordings for each earthquake and </w:t>
      </w:r>
      <w:r w:rsidRPr="00332AA7">
        <w:rPr>
          <w:rStyle w:val="Bodytextitalic"/>
        </w:rPr>
        <w:t>κ</w:t>
      </w:r>
      <w:r w:rsidRPr="00632C3C">
        <w:rPr>
          <w:vertAlign w:val="subscript"/>
        </w:rPr>
        <w:t>0</w:t>
      </w:r>
      <w:r>
        <w:rPr>
          <w:vertAlign w:val="subscript"/>
        </w:rPr>
        <w:t>,</w:t>
      </w:r>
      <w:r w:rsidRPr="00332AA7">
        <w:rPr>
          <w:rStyle w:val="Bodytextitalic"/>
        </w:rPr>
        <w:t>j</w:t>
      </w:r>
      <w:r>
        <w:t xml:space="preserve"> is the site-dependant kappa coefficient.  For records that do not have a station specific </w:t>
      </w:r>
      <w:r w:rsidRPr="00332AA7">
        <w:rPr>
          <w:rStyle w:val="Bodytextitalic"/>
        </w:rPr>
        <w:t>κ</w:t>
      </w:r>
      <w:r w:rsidRPr="00632C3C">
        <w:rPr>
          <w:vertAlign w:val="subscript"/>
        </w:rPr>
        <w:t>0</w:t>
      </w:r>
      <w:r>
        <w:rPr>
          <w:vertAlign w:val="subscript"/>
        </w:rPr>
        <w:t>,</w:t>
      </w:r>
      <w:r w:rsidRPr="00332AA7">
        <w:rPr>
          <w:rStyle w:val="Bodytextitalic"/>
        </w:rPr>
        <w:t>j</w:t>
      </w:r>
      <w:r>
        <w:t>, the median kappa value of 0.006 is used.</w:t>
      </w:r>
    </w:p>
    <w:p w:rsidR="00B15AC0" w:rsidRDefault="00B15AC0" w:rsidP="003F4034">
      <w:pPr>
        <w:pStyle w:val="BodyText"/>
      </w:pPr>
      <w:r>
        <w:t>For each earthquake, the low-frequency spectral level, Ω</w:t>
      </w:r>
      <w:r w:rsidRPr="004A3A18">
        <w:rPr>
          <w:vertAlign w:val="subscript"/>
        </w:rPr>
        <w:t>0</w:t>
      </w:r>
      <w:r>
        <w:t xml:space="preserve">, is calculated from the low-frequency </w:t>
      </w:r>
      <w:r w:rsidR="00985413">
        <w:t xml:space="preserve">segment </w:t>
      </w:r>
      <w:r>
        <w:t xml:space="preserve">of the average displacement source spectrum </w:t>
      </w:r>
      <w:r w:rsidRPr="00332AA7">
        <w:rPr>
          <w:rStyle w:val="Bodytextitalic"/>
        </w:rPr>
        <w:t>A</w:t>
      </w:r>
      <w:r w:rsidRPr="00BC220E">
        <w:rPr>
          <w:rStyle w:val="Subscriptitalic"/>
        </w:rPr>
        <w:t>i</w:t>
      </w:r>
      <w:r w:rsidRPr="00332AA7">
        <w:rPr>
          <w:spacing w:val="40"/>
        </w:rPr>
        <w:t>(</w:t>
      </w:r>
      <w:r w:rsidRPr="00332AA7">
        <w:rPr>
          <w:rStyle w:val="Bodytextitalic"/>
        </w:rPr>
        <w:t>f</w:t>
      </w:r>
      <w:r>
        <w:t xml:space="preserve">) for frequencies less than </w:t>
      </w:r>
      <w:r w:rsidRPr="00332AA7">
        <w:rPr>
          <w:rStyle w:val="Bodytextitalic"/>
        </w:rPr>
        <w:t>f</w:t>
      </w:r>
      <w:r w:rsidRPr="00F37231">
        <w:rPr>
          <w:vertAlign w:val="subscript"/>
        </w:rPr>
        <w:t>0</w:t>
      </w:r>
      <w:r>
        <w:t>.  The frequency range of the calculation was manually picked for each earthquake by the author.  Examples of the average source spectrum, superimposed on individual source-corrected spectra for several representative earthquakes are shown in Figure 1</w:t>
      </w:r>
      <w:r w:rsidR="007A1429">
        <w:t>1</w:t>
      </w:r>
      <w:r>
        <w:t xml:space="preserve">.  Seismic moment </w:t>
      </w:r>
      <w:r w:rsidRPr="00332AA7">
        <w:rPr>
          <w:rStyle w:val="Bodytextitalic"/>
        </w:rPr>
        <w:t>M</w:t>
      </w:r>
      <w:r w:rsidRPr="005C3885">
        <w:rPr>
          <w:vertAlign w:val="subscript"/>
        </w:rPr>
        <w:t>0</w:t>
      </w:r>
      <w:r>
        <w:t xml:space="preserve"> is then calculated following:</w:t>
      </w:r>
    </w:p>
    <w:p w:rsidR="00B15AC0" w:rsidRDefault="00B15AC0" w:rsidP="00BF4007">
      <w:pPr>
        <w:pStyle w:val="Equation"/>
      </w:pPr>
      <w:r w:rsidRPr="00B57BC8">
        <w:rPr>
          <w:position w:val="-12"/>
        </w:rPr>
        <w:object w:dxaOrig="1180" w:dyaOrig="340">
          <v:shape id="_x0000_i1036" type="#_x0000_t75" style="width:59.3pt;height:17.25pt" o:ole="">
            <v:imagedata r:id="rId56" o:title=""/>
          </v:shape>
          <o:OLEObject Type="Embed" ProgID="Equation.3" ShapeID="_x0000_i1036" DrawAspect="Content" ObjectID="_1426934413" r:id="rId57"/>
        </w:object>
      </w:r>
      <w:r>
        <w:tab/>
        <w:t xml:space="preserve">(10) </w:t>
      </w:r>
    </w:p>
    <w:p w:rsidR="00B15AC0" w:rsidRDefault="00B15AC0" w:rsidP="003F4034">
      <w:pPr>
        <w:pStyle w:val="BodyText"/>
      </w:pPr>
      <w:r>
        <w:t xml:space="preserve">where </w:t>
      </w:r>
      <w:r w:rsidRPr="00332AA7">
        <w:rPr>
          <w:rStyle w:val="Bodytextitalic"/>
        </w:rPr>
        <w:t>M</w:t>
      </w:r>
      <w:r w:rsidRPr="005C3885">
        <w:rPr>
          <w:vertAlign w:val="subscript"/>
        </w:rPr>
        <w:t>0</w:t>
      </w:r>
      <w:r>
        <w:t xml:space="preserve"> is in N-m and the values of </w:t>
      </w:r>
      <w:r w:rsidRPr="00332AA7">
        <w:rPr>
          <w:rStyle w:val="Bodytextitalic"/>
        </w:rPr>
        <w:sym w:font="Symbol" w:char="F072"/>
      </w:r>
      <w:r w:rsidRPr="003C6D6B">
        <w:t xml:space="preserve"> = 2,800 k</w:t>
      </w:r>
      <w:r>
        <w:t>g</w:t>
      </w:r>
      <w:r w:rsidRPr="003C6D6B">
        <w:t>/m</w:t>
      </w:r>
      <w:r w:rsidRPr="003C6D6B">
        <w:rPr>
          <w:vertAlign w:val="superscript"/>
        </w:rPr>
        <w:t>3</w:t>
      </w:r>
      <w:r w:rsidRPr="003C6D6B">
        <w:t xml:space="preserve"> and </w:t>
      </w:r>
      <w:r w:rsidRPr="00332AA7">
        <w:rPr>
          <w:rStyle w:val="Bodytextitalic"/>
        </w:rPr>
        <w:sym w:font="Symbol" w:char="F062"/>
      </w:r>
      <w:r>
        <w:t xml:space="preserve"> = 3,</w:t>
      </w:r>
      <w:r w:rsidRPr="003C6D6B">
        <w:t>6</w:t>
      </w:r>
      <w:r>
        <w:t>00</w:t>
      </w:r>
      <w:r w:rsidRPr="003C6D6B">
        <w:t xml:space="preserve"> m/s</w:t>
      </w:r>
      <w:r>
        <w:t xml:space="preserve"> from the coefficient </w:t>
      </w:r>
      <w:r w:rsidRPr="00332AA7">
        <w:rPr>
          <w:rStyle w:val="Bodytextitalic"/>
        </w:rPr>
        <w:t>C</w:t>
      </w:r>
      <w:r>
        <w:t xml:space="preserve"> defined above</w:t>
      </w:r>
      <w:r w:rsidR="00146ED0">
        <w:t xml:space="preserve"> in Equation 1</w:t>
      </w:r>
      <w:r>
        <w:t xml:space="preserve">.  Moment magnitude </w:t>
      </w:r>
      <w:r w:rsidR="00172353" w:rsidRPr="00172353">
        <w:rPr>
          <w:rStyle w:val="Bodytextitalic"/>
        </w:rPr>
        <w:t>M</w:t>
      </w:r>
      <w:r w:rsidR="00172353" w:rsidRPr="00172353">
        <w:rPr>
          <w:rStyle w:val="Subscriptitalic"/>
        </w:rPr>
        <w:t>W</w:t>
      </w:r>
      <w:r w:rsidR="00172353">
        <w:t xml:space="preserve"> </w:t>
      </w:r>
      <w:r>
        <w:t xml:space="preserve">can subsequently be calculated using the equation </w:t>
      </w:r>
      <w:r>
        <w:fldChar w:fldCharType="begin"/>
      </w:r>
      <w:r w:rsidR="00F202D0">
        <w:instrText xml:space="preserve"> ADDIN EN.CITE &lt;EndNote&gt;&lt;Cite&gt;&lt;Author&gt;Hanks&lt;/Author&gt;&lt;Year&gt;1979&lt;/Year&gt;&lt;RecNum&gt;409&lt;/RecNum&gt;&lt;record&gt;&lt;rec-number&gt;409&lt;/rec-number&gt;&lt;foreign-keys&gt;&lt;key app="EN" db-id="se5z02d5txder3eax2p5wz5j59zvz2tdzdd2"&gt;409&lt;/key&gt;&lt;/foreign-keys&gt;&lt;ref-type name="Journal Article"&gt;17&lt;/ref-type&gt;&lt;contributors&gt;&lt;authors&gt;&lt;author&gt;Hanks, T. C.&lt;/author&gt;&lt;author&gt;Kanamori, H.&lt;/author&gt;&lt;/authors&gt;&lt;/contributors&gt;&lt;titles&gt;&lt;title&gt;A moment magnitude scale&lt;/title&gt;&lt;secondary-title&gt;J. Geophys. Res.&lt;/secondary-title&gt;&lt;/titles&gt;&lt;periodical&gt;&lt;full-title&gt;J. Geophys. Res.&lt;/full-title&gt;&lt;/periodical&gt;&lt;pages&gt;2348–2350&lt;/pages&gt;&lt;volume&gt;84&lt;/volume&gt;&lt;number&gt;B5&lt;/number&gt;&lt;keywords&gt;&lt;keyword&gt;Mw, moment magnitude, seismic moment&lt;/keyword&gt;&lt;/keywords&gt;&lt;dates&gt;&lt;year&gt;1979&lt;/year&gt;&lt;/dates&gt;&lt;urls&gt;&lt;pdf-urls&gt;&lt;url&gt;internal-pdf://Hanks &amp;amp; Kanamori (1979).Mw_scale-1274248469/Hanks &amp;amp; Kanamori (1979).Mw_scale.pdf&lt;/url&gt;&lt;/pdf-urls&gt;&lt;/urls&gt;&lt;/record&gt;&lt;/Cite&gt;&lt;/EndNote&gt;</w:instrText>
      </w:r>
      <w:r>
        <w:fldChar w:fldCharType="separate"/>
      </w:r>
      <w:r>
        <w:rPr>
          <w:noProof/>
        </w:rPr>
        <w:t>(Hanks and Kanamori, 1979)</w:t>
      </w:r>
      <w:r>
        <w:fldChar w:fldCharType="end"/>
      </w:r>
      <w:r>
        <w:t>.</w:t>
      </w:r>
    </w:p>
    <w:p w:rsidR="00B15AC0" w:rsidRPr="005C3885" w:rsidRDefault="00B15AC0" w:rsidP="00BF4007">
      <w:pPr>
        <w:pStyle w:val="Equation"/>
      </w:pPr>
      <w:r w:rsidRPr="005C3885">
        <w:rPr>
          <w:position w:val="-24"/>
        </w:rPr>
        <w:object w:dxaOrig="2120" w:dyaOrig="620">
          <v:shape id="_x0000_i1037" type="#_x0000_t75" style="width:105.95pt;height:30.95pt" o:ole="">
            <v:imagedata r:id="rId58" o:title=""/>
          </v:shape>
          <o:OLEObject Type="Embed" ProgID="Equation.3" ShapeID="_x0000_i1037" DrawAspect="Content" ObjectID="_1426934414" r:id="rId59"/>
        </w:object>
      </w:r>
      <w:r>
        <w:tab/>
        <w:t>(11)</w:t>
      </w:r>
    </w:p>
    <w:p w:rsidR="00B15AC0" w:rsidRDefault="00B15AC0" w:rsidP="003F4034">
      <w:pPr>
        <w:pStyle w:val="BodyText"/>
      </w:pPr>
      <w:r>
        <w:t xml:space="preserve">Moment magnitude estimates using the updated attenuation parameters determined herein are largely consistent with those magnitudes from </w:t>
      </w:r>
      <w:r>
        <w:rPr>
          <w:noProof/>
        </w:rPr>
        <w:t>Allen</w:t>
      </w:r>
      <w:r w:rsidRPr="00332AA7">
        <w:rPr>
          <w:rStyle w:val="Bodytextitalic"/>
        </w:rPr>
        <w:t xml:space="preserve"> et al.</w:t>
      </w:r>
      <w:r>
        <w:t xml:space="preserve"> </w:t>
      </w:r>
      <w:r>
        <w:fldChar w:fldCharType="begin"/>
      </w:r>
      <w:r w:rsidR="00F202D0">
        <w:instrText xml:space="preserve"> ADDIN EN.CITE &lt;EndNote&gt;&lt;Cite ExcludeAuth="1"&gt;&lt;Author&gt;Allen&lt;/Author&gt;&lt;Year&gt;2007&lt;/Year&gt;&lt;RecNum&gt;526&lt;/RecNum&gt;&lt;record&gt;&lt;rec-number&gt;526&lt;/rec-number&gt;&lt;foreign-keys&gt;&lt;key app="EN" db-id="se5z02d5txder3eax2p5wz5j59zvz2tdzdd2"&gt;526&lt;/key&gt;&lt;/foreign-keys&gt;&lt;ref-type name="Journal Article"&gt;17&lt;/ref-type&gt;&lt;contributors&gt;&lt;authors&gt;&lt;author&gt;Allen, T. I.&lt;/author&gt;&lt;author&gt;Cummins, P. R.&lt;/author&gt;&lt;author&gt;Dhu, T.&lt;/author&gt;&lt;author&gt;Schneider, J. F.&lt;/author&gt;&lt;/authors&gt;&lt;/contributors&gt;&lt;titles&gt;&lt;title&gt;Attenuation of ground-motion spectral amplitudes in southeastern Australia&lt;/title&gt;&lt;secondary-title&gt;Bull. Seism. Soc. Am.&lt;/secondary-title&gt;&lt;/titles&gt;&lt;periodical&gt;&lt;full-title&gt;Bull. Seism. Soc. Am.&lt;/full-title&gt;&lt;/periodical&gt;&lt;pages&gt;1279–1292&lt;/pages&gt;&lt;volume&gt;97&lt;/volume&gt;&lt;number&gt;4&lt;/number&gt;&lt;keywords&gt;&lt;keyword&gt;southeastern Australia, attenuation, Fourier&lt;/keyword&gt;&lt;/keywords&gt;&lt;dates&gt;&lt;year&gt;2007&lt;/year&gt;&lt;/dates&gt;&lt;urls&gt;&lt;pdf-urls&gt;&lt;url&gt;internal-pdf://Allen et al (2007). SE Aust.atten-2994310402/Allen et al (2007). SE Aust.atten.pdf&lt;/url&gt;&lt;/pdf-urls&gt;&lt;/urls&gt;&lt;/record&gt;&lt;/Cite&gt;&lt;/EndNote&gt;</w:instrText>
      </w:r>
      <w:r>
        <w:fldChar w:fldCharType="separate"/>
      </w:r>
      <w:r>
        <w:rPr>
          <w:noProof/>
        </w:rPr>
        <w:t>(2007)</w:t>
      </w:r>
      <w:r>
        <w:fldChar w:fldCharType="end"/>
      </w:r>
      <w:r w:rsidR="00146ED0">
        <w:t xml:space="preserve"> for the events in common</w:t>
      </w:r>
      <w:r>
        <w:t xml:space="preserve">.  On average, a slight reduction in </w:t>
      </w:r>
      <w:r w:rsidR="00172353" w:rsidRPr="00172353">
        <w:rPr>
          <w:rStyle w:val="Bodytextitalic"/>
        </w:rPr>
        <w:t>M</w:t>
      </w:r>
      <w:r w:rsidR="00172353" w:rsidRPr="00172353">
        <w:rPr>
          <w:rStyle w:val="Subscriptitalic"/>
        </w:rPr>
        <w:t>W</w:t>
      </w:r>
      <w:r w:rsidR="00172353">
        <w:t xml:space="preserve"> </w:t>
      </w:r>
      <w:r>
        <w:t xml:space="preserve">of </w:t>
      </w:r>
      <w:r w:rsidR="00A13F7D">
        <w:t xml:space="preserve">less than </w:t>
      </w:r>
      <w:r w:rsidRPr="00A13F7D">
        <w:t>0.01</w:t>
      </w:r>
      <w:r w:rsidR="00A13F7D">
        <w:t xml:space="preserve"> </w:t>
      </w:r>
      <w:r>
        <w:t>magnitude units is observed in using the revised attenuation parameters.  Moment magnitudes used for further analysis for all earthquakes are provided in Table</w:t>
      </w:r>
      <w:r w:rsidR="003F4034">
        <w:t> </w:t>
      </w:r>
      <w:r>
        <w:t xml:space="preserve">1. </w:t>
      </w:r>
    </w:p>
    <w:p w:rsidR="00B15AC0" w:rsidRPr="00E033F4" w:rsidRDefault="00551E1A" w:rsidP="00E033F4">
      <w:pPr>
        <w:pStyle w:val="InlineObject"/>
      </w:pPr>
      <w:r>
        <w:rPr>
          <w:noProof/>
        </w:rPr>
        <w:lastRenderedPageBreak/>
        <w:drawing>
          <wp:inline distT="0" distB="0" distL="0" distR="0">
            <wp:extent cx="5010150" cy="7124700"/>
            <wp:effectExtent l="0" t="0" r="0" b="0"/>
            <wp:docPr id="27" name="Picture 27" descr="ev_stress_d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v_stress_drop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10150" cy="7124700"/>
                    </a:xfrm>
                    <a:prstGeom prst="rect">
                      <a:avLst/>
                    </a:prstGeom>
                    <a:noFill/>
                    <a:ln>
                      <a:noFill/>
                    </a:ln>
                  </pic:spPr>
                </pic:pic>
              </a:graphicData>
            </a:graphic>
          </wp:inline>
        </w:drawing>
      </w:r>
    </w:p>
    <w:p w:rsidR="00702A82" w:rsidRPr="00ED3EA1" w:rsidRDefault="00702A82" w:rsidP="00ED3EA1">
      <w:pPr>
        <w:pStyle w:val="Captions"/>
      </w:pPr>
      <w:bookmarkStart w:id="95" w:name="_Toc338429325"/>
      <w:bookmarkStart w:id="96" w:name="_Toc319656513"/>
      <w:bookmarkStart w:id="97" w:name="_Toc319656602"/>
      <w:r w:rsidRPr="00ED3EA1">
        <w:rPr>
          <w:rStyle w:val="Bodytextbold"/>
        </w:rPr>
        <w:t xml:space="preserve">Figure </w:t>
      </w:r>
      <w:r w:rsidRPr="00ED3EA1">
        <w:rPr>
          <w:rStyle w:val="Bodytextbold"/>
        </w:rPr>
        <w:fldChar w:fldCharType="begin"/>
      </w:r>
      <w:r w:rsidRPr="00ED3EA1">
        <w:rPr>
          <w:rStyle w:val="Bodytextbold"/>
        </w:rPr>
        <w:instrText xml:space="preserve"> SEQ Figure \* ARABIC </w:instrText>
      </w:r>
      <w:r w:rsidRPr="00ED3EA1">
        <w:rPr>
          <w:rStyle w:val="Bodytextbold"/>
        </w:rPr>
        <w:fldChar w:fldCharType="separate"/>
      </w:r>
      <w:r w:rsidR="007D4E78" w:rsidRPr="00ED3EA1">
        <w:rPr>
          <w:rStyle w:val="Bodytextbold"/>
        </w:rPr>
        <w:t>11</w:t>
      </w:r>
      <w:r w:rsidRPr="00ED3EA1">
        <w:rPr>
          <w:rStyle w:val="Bodytextbold"/>
        </w:rPr>
        <w:fldChar w:fldCharType="end"/>
      </w:r>
      <w:r w:rsidRPr="00ED3EA1">
        <w:rPr>
          <w:rStyle w:val="Bodytextbold"/>
        </w:rPr>
        <w:t>:</w:t>
      </w:r>
      <w:r w:rsidRPr="00ED3EA1">
        <w:t xml:space="preserve">  </w:t>
      </w:r>
      <w:r w:rsidR="002D140F" w:rsidRPr="00ED3EA1">
        <w:t>The average source spectrum (thick grey line), superimposed on individual source-corrected spectra (thin grey lines), for several representative earthquakes.  The theoretical Brune source spectrum is superimposed in each subplot (thick black line).  The calculated Brune stress drop for each earthquake is indicated in the bottom-left of each subplot.</w:t>
      </w:r>
      <w:bookmarkEnd w:id="95"/>
    </w:p>
    <w:p w:rsidR="00B15AC0" w:rsidRDefault="00B15AC0" w:rsidP="005C7510">
      <w:pPr>
        <w:pStyle w:val="Heading2"/>
      </w:pPr>
      <w:bookmarkStart w:id="98" w:name="_Toc319918556"/>
      <w:bookmarkStart w:id="99" w:name="_Toc319918825"/>
      <w:bookmarkStart w:id="100" w:name="_Toc349112536"/>
      <w:r>
        <w:t xml:space="preserve">Brune </w:t>
      </w:r>
      <w:r w:rsidR="00975A47">
        <w:t xml:space="preserve">Stress </w:t>
      </w:r>
      <w:bookmarkEnd w:id="96"/>
      <w:bookmarkEnd w:id="97"/>
      <w:bookmarkEnd w:id="98"/>
      <w:bookmarkEnd w:id="99"/>
      <w:r w:rsidR="00975A47">
        <w:t>Drop</w:t>
      </w:r>
      <w:bookmarkEnd w:id="100"/>
    </w:p>
    <w:p w:rsidR="00B15AC0" w:rsidRDefault="00B15AC0" w:rsidP="003F4034">
      <w:pPr>
        <w:pStyle w:val="BodyText"/>
      </w:pPr>
      <w:r>
        <w:t>The Brune stress drop ∆</w:t>
      </w:r>
      <w:r w:rsidRPr="00332AA7">
        <w:rPr>
          <w:rStyle w:val="Bodytextitalic"/>
        </w:rPr>
        <w:sym w:font="Symbol" w:char="F073"/>
      </w:r>
      <w:r>
        <w:t xml:space="preserve"> parameter is another key input into stochastic modelling processes, and one that carries a high degree of uncertainty.  Estimates of Brune stress drop are also sensitive to other </w:t>
      </w:r>
      <w:r>
        <w:lastRenderedPageBreak/>
        <w:t xml:space="preserve">parameters in the inversion process; in particular the attenuation model as well as </w:t>
      </w:r>
      <w:r w:rsidRPr="00332AA7">
        <w:rPr>
          <w:rStyle w:val="Bodytextitalic"/>
        </w:rPr>
        <w:t>M</w:t>
      </w:r>
      <w:r w:rsidRPr="005C3885">
        <w:rPr>
          <w:vertAlign w:val="subscript"/>
        </w:rPr>
        <w:t>0</w:t>
      </w:r>
      <w:r>
        <w:t xml:space="preserve"> and </w:t>
      </w:r>
      <w:r w:rsidRPr="00332AA7">
        <w:rPr>
          <w:rStyle w:val="Bodytextitalic"/>
        </w:rPr>
        <w:t>κ</w:t>
      </w:r>
      <w:r w:rsidRPr="00632C3C">
        <w:rPr>
          <w:vertAlign w:val="subscript"/>
        </w:rPr>
        <w:t>0</w:t>
      </w:r>
      <w:r>
        <w:t xml:space="preserve"> </w:t>
      </w:r>
      <w:r>
        <w:fldChar w:fldCharType="begin">
          <w:fldData xml:space="preserve">PEVuZE5vdGU+PENpdGU+PEF1dGhvcj5Cb29yZTwvQXV0aG9yPjxZZWFyPjIwMTA8L1llYXI+PFJl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</w:fldData>
        </w:fldChar>
      </w:r>
      <w:r w:rsidR="00F202D0">
        <w:instrText xml:space="preserve"> ADDIN EN.CITE </w:instrText>
      </w:r>
      <w:r w:rsidR="00F202D0">
        <w:fldChar w:fldCharType="begin">
          <w:fldData xml:space="preserve">PEVuZE5vdGU+PENpdGU+PEF1dGhvcj5Cb29yZTwvQXV0aG9yPjxZZWFyPjIwMTA8L1llYXI+PFJl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</w:fldData>
        </w:fldChar>
      </w:r>
      <w:r w:rsidR="00F202D0">
        <w:instrText xml:space="preserve"> ADDIN EN.CITE.DATA </w:instrText>
      </w:r>
      <w:r w:rsidR="00F202D0">
        <w:fldChar w:fldCharType="end"/>
      </w:r>
      <w:r>
        <w:fldChar w:fldCharType="separate"/>
      </w:r>
      <w:r>
        <w:rPr>
          <w:noProof/>
        </w:rPr>
        <w:t>(Boore</w:t>
      </w:r>
      <w:r w:rsidRPr="003D3528">
        <w:rPr>
          <w:i/>
          <w:noProof/>
        </w:rPr>
        <w:t xml:space="preserve"> et al.</w:t>
      </w:r>
      <w:r>
        <w:rPr>
          <w:noProof/>
        </w:rPr>
        <w:t>, 1992; Boore</w:t>
      </w:r>
      <w:r w:rsidRPr="003D3528">
        <w:rPr>
          <w:i/>
          <w:noProof/>
        </w:rPr>
        <w:t xml:space="preserve"> et al.</w:t>
      </w:r>
      <w:r>
        <w:rPr>
          <w:noProof/>
        </w:rPr>
        <w:t>, 2010; Boore, 2012)</w:t>
      </w:r>
      <w:r>
        <w:fldChar w:fldCharType="end"/>
      </w:r>
      <w:r>
        <w:t>.  This is the key reason the author has chosen to undertake a step-by-step inversion process to isolate individual parameters rather than a joint inversion of all source and/or attenuation coefficients.  Following the logical framework outlined thus far ensures there are no trade-offs in the determination of key parameters.</w:t>
      </w:r>
    </w:p>
    <w:p w:rsidR="00B15AC0" w:rsidRDefault="00B15AC0" w:rsidP="003F4034">
      <w:pPr>
        <w:pStyle w:val="BodyText"/>
      </w:pPr>
      <w:r>
        <w:t xml:space="preserve">It is generally agreed that earthquakes in </w:t>
      </w:r>
      <w:r w:rsidR="001E7935">
        <w:t xml:space="preserve">intraplate </w:t>
      </w:r>
      <w:r>
        <w:t xml:space="preserve">regions, such as </w:t>
      </w:r>
      <w:smartTag w:uri="urn:schemas-microsoft-com:office:smarttags" w:element="place">
        <w:smartTag w:uri="urn:schemas-microsoft-com:office:smarttags" w:element="country-region">
          <w:r>
            <w:t>Australia</w:t>
          </w:r>
        </w:smartTag>
      </w:smartTag>
      <w:r>
        <w:t xml:space="preserve">, result in higher average Brune stress drops than those earthquakes in active tectonic regions </w:t>
      </w:r>
      <w:r>
        <w:fldChar w:fldCharType="begin"/>
      </w:r>
      <w:r w:rsidR="00ED1C32">
        <w:instrText xml:space="preserve"> ADDIN EN.CITE </w:instrText>
      </w:r>
      <w:r w:rsidR="00ED1C32">
        <w:fldChar w:fldCharType="begin"/>
      </w:r>
      <w:r w:rsidR="00ED1C32">
        <w:instrText xml:space="preserve"> ADDIN EN.CITE.DATA </w:instrText>
      </w:r>
      <w:r w:rsidR="00ED1C32">
        <w:instrText>㤁</w:instrText>
      </w:r>
      <w:r w:rsidR="00ED1C32">
        <w:fldChar w:fldCharType="end"/>
      </w:r>
      <w:r>
        <w:fldChar w:fldCharType="separate"/>
      </w:r>
      <w:r>
        <w:rPr>
          <w:noProof/>
        </w:rPr>
        <w:t>(Kanamori and Anderson, 1975; Scholz</w:t>
      </w:r>
      <w:r w:rsidRPr="003D3528">
        <w:rPr>
          <w:i/>
          <w:noProof/>
        </w:rPr>
        <w:t xml:space="preserve"> et al.</w:t>
      </w:r>
      <w:r>
        <w:rPr>
          <w:noProof/>
        </w:rPr>
        <w:t>, 1986; Boore and Atkinson, 1987; Allmann and Shearer, 2009)</w:t>
      </w:r>
      <w:r>
        <w:fldChar w:fldCharType="end"/>
      </w:r>
      <w:r>
        <w:t>.</w:t>
      </w:r>
      <w:r w:rsidR="001E7935">
        <w:t xml:space="preserve">  However, it is important to first define what is meant by the term “intraplate”.  </w:t>
      </w:r>
      <w:r w:rsidR="001E7935" w:rsidRPr="005203A6">
        <w:t>Scholz</w:t>
      </w:r>
      <w:r w:rsidR="001E7935">
        <w:t xml:space="preserve"> </w:t>
      </w:r>
      <w:r w:rsidR="001E7935" w:rsidRPr="00332AA7">
        <w:rPr>
          <w:rStyle w:val="Bodytextitalic"/>
        </w:rPr>
        <w:t>et al</w:t>
      </w:r>
      <w:r w:rsidR="001E7935">
        <w:t xml:space="preserve">., </w:t>
      </w:r>
      <w:r w:rsidR="001E7935">
        <w:fldChar w:fldCharType="begin"/>
      </w:r>
      <w:r w:rsidR="00F202D0">
        <w:instrText xml:space="preserve"> ADDIN EN.CITE &lt;EndNote&gt;&lt;Cite ExcludeAuth="1"&gt;&lt;Author&gt;Scholz&lt;/Author&gt;&lt;Year&gt;1986&lt;/Year&gt;&lt;RecNum&gt;542&lt;/RecNum&gt;&lt;record&gt;&lt;rec-number&gt;542&lt;/rec-number&gt;&lt;foreign-keys&gt;&lt;key app="EN" db-id="se5z02d5txder3eax2p5wz5j59zvz2tdzdd2"&gt;542&lt;/key&gt;&lt;/foreign-keys&gt;&lt;ref-type name="Journal Article"&gt;17&lt;/ref-type&gt;&lt;contributors&gt;&lt;authors&gt;&lt;author&gt;Scholz, C. H.&lt;/author&gt;&lt;author&gt;Aviles, C. A.&lt;/author&gt;&lt;author&gt;Wesnousky, S. G.&lt;/author&gt;&lt;/authors&gt;&lt;/contributors&gt;&lt;titles&gt;&lt;title&gt;Scaling differences between large interplate and intraplate earthquakes&lt;/title&gt;&lt;secondary-title&gt;Bull. Seism. Soc. Am.&lt;/secondary-title&gt;&lt;/titles&gt;&lt;periodical&gt;&lt;full-title&gt;Bull. Seism. Soc. Am.&lt;/full-title&gt;&lt;/periodical&gt;&lt;pages&gt;65-70&lt;/pages&gt;&lt;volume&gt;76&lt;/volume&gt;&lt;number&gt;1&lt;/number&gt;&lt;keywords&gt;&lt;keyword&gt;interaplate, interplate, source scaling, stress drop&lt;/keyword&gt;&lt;/keywords&gt;&lt;dates&gt;&lt;year&gt;1986&lt;/year&gt;&lt;/dates&gt;&lt;urls&gt;&lt;pdf-urls&gt;&lt;url&gt;internal-pdf://Scholz etal (1986).inter-intra.source-scaling-3011723028/Scholz etal (1986).inter-intra.source-scaling.pdf&lt;/url&gt;&lt;/pdf-urls&gt;&lt;/urls&gt;&lt;/record&gt;&lt;/Cite&gt;&lt;/EndNote&gt;</w:instrText>
      </w:r>
      <w:r w:rsidR="001E7935">
        <w:fldChar w:fldCharType="separate"/>
      </w:r>
      <w:r w:rsidR="001E7935">
        <w:t>(1986)</w:t>
      </w:r>
      <w:r w:rsidR="001E7935">
        <w:fldChar w:fldCharType="end"/>
      </w:r>
      <w:r w:rsidR="001E7935">
        <w:t xml:space="preserve"> define intraplate regions as those regions that are located far from any known plate boundary.  Intraplate earthquakes can be further subdivided into those that occur in a diffuse zone related to plate-boundary deformation and those that are true mid-plate, or stable continental region events.</w:t>
      </w:r>
      <w:r>
        <w:t xml:space="preserve">  </w:t>
      </w:r>
      <w:r w:rsidR="001E7935">
        <w:t>B</w:t>
      </w:r>
      <w:r w:rsidR="001D5670">
        <w:t>ased on the fault scaling relations of Somerville</w:t>
      </w:r>
      <w:r w:rsidR="001D5670" w:rsidRPr="00332AA7">
        <w:rPr>
          <w:rStyle w:val="Bodytextitalic"/>
        </w:rPr>
        <w:t xml:space="preserve"> et al.</w:t>
      </w:r>
      <w:r w:rsidR="001D5670">
        <w:t xml:space="preserve"> </w:t>
      </w:r>
      <w:r w:rsidR="001D5670">
        <w:fldChar w:fldCharType="begin"/>
      </w:r>
      <w:r w:rsidR="00F202D0">
        <w:instrText xml:space="preserve"> ADDIN EN.CITE &lt;EndNote&gt;&lt;Cite ExcludeAuth="1"&gt;&lt;Author&gt;Somerville&lt;/Author&gt;&lt;Year&gt;2001&lt;/Year&gt;&lt;RecNum&gt;1237&lt;/RecNum&gt;&lt;record&gt;&lt;rec-number&gt;1237&lt;/rec-number&gt;&lt;foreign-keys&gt;&lt;key app="EN" db-id="se5z02d5txder3eax2p5wz5j59zvz2tdzdd2"&gt;1237&lt;/key&gt;&lt;/foreign-keys&gt;&lt;ref-type name="Report"&gt;27&lt;/ref-type&gt;&lt;contributors&gt;&lt;authors&gt;&lt;author&gt;Somerville, P. G.&lt;/author&gt;&lt;author&gt;Collins, N.&lt;/author&gt;&lt;author&gt;Abrahamson, N.&lt;/author&gt;&lt;author&gt;Graves R.&lt;/author&gt;&lt;author&gt;Saikia, C.&lt;/author&gt;&lt;/authors&gt;&lt;/contributors&gt;&lt;titles&gt;&lt;title&gt;Earthquake source scaling and ground motion attenuation relations for the central and eastern United States&lt;/title&gt;&lt;/titles&gt;&lt;dates&gt;&lt;year&gt;2001&lt;/year&gt;&lt;/dates&gt;&lt;publisher&gt;Final Report to the U.S. Geological Survey, Contract No. 99HQGR0098&lt;/publisher&gt;&lt;urls&gt;&lt;/urls&gt;&lt;/record&gt;&lt;/Cite&gt;&lt;/EndNote&gt;</w:instrText>
      </w:r>
      <w:r w:rsidR="001D5670">
        <w:fldChar w:fldCharType="separate"/>
      </w:r>
      <w:r w:rsidR="001D5670">
        <w:t>(2001)</w:t>
      </w:r>
      <w:r w:rsidR="001D5670">
        <w:fldChar w:fldCharType="end"/>
      </w:r>
      <w:r w:rsidR="001D5670">
        <w:t xml:space="preserve"> and slip models generated for the Meckering and Tennant Creek earthquakes </w:t>
      </w:r>
      <w:r w:rsidR="001D5670">
        <w:fldChar w:fldCharType="begin"/>
      </w:r>
      <w:r w:rsidR="00F202D0">
        <w:instrText xml:space="preserve"> ADDIN EN.CITE &lt;EndNote&gt;&lt;Cite&gt;&lt;Author&gt;Somerville&lt;/Author&gt;&lt;Year&gt;2009&lt;/Year&gt;&lt;RecNum&gt;646&lt;/RecNum&gt;&lt;record&gt;&lt;rec-number&gt;646&lt;/rec-number&gt;&lt;foreign-keys&gt;&lt;key app="EN" db-id="se5z02d5txder3eax2p5wz5j59zvz2tdzdd2"&gt;646&lt;/key&gt;&lt;/foreign-keys&gt;&lt;ref-type name="Report"&gt;27&lt;/ref-type&gt;&lt;contributors&gt;&lt;authors&gt;&lt;author&gt;Somerville, P.&lt;/author&gt;&lt;author&gt;Collins, N.&lt;/author&gt;&lt;author&gt;Graves, R.&lt;/author&gt;&lt;author&gt;Song, S.-G.&lt;/author&gt;&lt;author&gt;Ni, S.&lt;/author&gt;&lt;/authors&gt;&lt;/contributors&gt;&lt;titles&gt;&lt;title&gt;Ground motion models for Australian earthquakes&lt;/title&gt;&lt;secondary-title&gt;Final Report&lt;/secondary-title&gt;&lt;/titles&gt;&lt;dates&gt;&lt;year&gt;2009&lt;/year&gt;&lt;/dates&gt;&lt;pub-location&gt;URS Corporation, Pasadena, CA&lt;/pub-location&gt;&lt;urls&gt;&lt;pdf-urls&gt;&lt;url&gt;internal-pdf://FinalReport-2128030986/FinalReport.pdf&lt;/url&gt;&lt;/pdf-urls&gt;&lt;/urls&gt;&lt;/record&gt;&lt;/Cite&gt;&lt;/EndNote&gt;</w:instrText>
      </w:r>
      <w:r w:rsidR="001D5670">
        <w:fldChar w:fldCharType="separate"/>
      </w:r>
      <w:r w:rsidR="001D5670">
        <w:t>(Somerville</w:t>
      </w:r>
      <w:r w:rsidR="001D5670" w:rsidRPr="00E21BC5">
        <w:rPr>
          <w:i/>
        </w:rPr>
        <w:t xml:space="preserve"> et al.</w:t>
      </w:r>
      <w:r w:rsidR="001D5670">
        <w:t>, 2009)</w:t>
      </w:r>
      <w:r w:rsidR="001D5670">
        <w:fldChar w:fldCharType="end"/>
      </w:r>
      <w:r w:rsidR="001D5670">
        <w:t xml:space="preserve">, rupture areas of earthquakes in </w:t>
      </w:r>
      <w:r w:rsidR="00E913A4">
        <w:t xml:space="preserve">cratonic </w:t>
      </w:r>
      <w:r w:rsidR="001D5670">
        <w:t>Australia are assumed to be approximately half those of non-cratonic earthquakes.  This finding is consistent with high average stress drops for stable continent</w:t>
      </w:r>
      <w:r w:rsidR="00E913A4">
        <w:t>al</w:t>
      </w:r>
      <w:r w:rsidR="001D5670">
        <w:t xml:space="preserve"> earthquakes.  </w:t>
      </w:r>
      <w:r>
        <w:t xml:space="preserve">This is because fault asperities in stable regions </w:t>
      </w:r>
      <w:r w:rsidR="001D5670">
        <w:t xml:space="preserve">generally </w:t>
      </w:r>
      <w:r w:rsidR="0040271F">
        <w:t xml:space="preserve">possess </w:t>
      </w:r>
      <w:r>
        <w:t xml:space="preserve">higher frictional strength than in active regions </w:t>
      </w:r>
      <w:r>
        <w:fldChar w:fldCharType="begin"/>
      </w:r>
      <w:r w:rsidR="00F202D0">
        <w:instrText xml:space="preserve"> ADDIN EN.CITE &lt;EndNote&gt;&lt;Cite&gt;&lt;Author&gt;Scholz&lt;/Author&gt;&lt;Year&gt;1986&lt;/Year&gt;&lt;RecNum&gt;542&lt;/RecNum&gt;&lt;record&gt;&lt;rec-number&gt;542&lt;/rec-number&gt;&lt;foreign-keys&gt;&lt;key app="EN" db-id="se5z02d5txder3eax2p5wz5j59zvz2tdzdd2"&gt;542&lt;/key&gt;&lt;/foreign-keys&gt;&lt;ref-type name="Journal Article"&gt;17&lt;/ref-type&gt;&lt;contributors&gt;&lt;authors&gt;&lt;author&gt;Scholz, C. H.&lt;/author&gt;&lt;author&gt;Aviles, C. A.&lt;/author&gt;&lt;author&gt;Wesnousky, S. G.&lt;/author&gt;&lt;/authors&gt;&lt;/contributors&gt;&lt;titles&gt;&lt;title&gt;Scaling differences between large interplate and intraplate earthquakes&lt;/title&gt;&lt;secondary-title&gt;Bull. Seism. Soc. Am.&lt;/secondary-title&gt;&lt;/titles&gt;&lt;periodical&gt;&lt;full-title&gt;Bull. Seism. Soc. Am.&lt;/full-title&gt;&lt;/periodical&gt;&lt;pages&gt;65-70&lt;/pages&gt;&lt;volume&gt;76&lt;/volume&gt;&lt;number&gt;1&lt;/number&gt;&lt;keywords&gt;&lt;keyword&gt;interaplate, interplate, source scaling, stress drop&lt;/keyword&gt;&lt;/keywords&gt;&lt;dates&gt;&lt;year&gt;1986&lt;/year&gt;&lt;/dates&gt;&lt;urls&gt;&lt;pdf-urls&gt;&lt;url&gt;internal-pdf://Scholz etal (1986).inter-intra.source-scaling-3011723028/Scholz etal (1986).inter-intra.source-scaling.pdf&lt;/url&gt;&lt;/pdf-urls&gt;&lt;/urls&gt;&lt;/record&gt;&lt;/Cite&gt;&lt;/EndNote&gt;</w:instrText>
      </w:r>
      <w:r>
        <w:fldChar w:fldCharType="separate"/>
      </w:r>
      <w:r>
        <w:rPr>
          <w:noProof/>
        </w:rPr>
        <w:t>(Scholz</w:t>
      </w:r>
      <w:r w:rsidRPr="003D3528">
        <w:rPr>
          <w:i/>
          <w:noProof/>
        </w:rPr>
        <w:t xml:space="preserve"> et al.</w:t>
      </w:r>
      <w:r>
        <w:rPr>
          <w:noProof/>
        </w:rPr>
        <w:t>, 1986)</w:t>
      </w:r>
      <w:r>
        <w:fldChar w:fldCharType="end"/>
      </w:r>
      <w:r>
        <w:t xml:space="preserve"> and thus require higher stress to overcome the rigidity of the rocks in the crust.  Several recent studies have estimated ∆</w:t>
      </w:r>
      <w:r w:rsidRPr="00332AA7">
        <w:rPr>
          <w:rStyle w:val="Bodytextitalic"/>
        </w:rPr>
        <w:sym w:font="Symbol" w:char="F073"/>
      </w:r>
      <w:r>
        <w:t xml:space="preserve"> for earthquakes in stable continental regions </w:t>
      </w:r>
      <w:r>
        <w:fldChar w:fldCharType="begin">
          <w:fldData xml:space="preserve">PEVuZE5vdGU+PENpdGU+PEF1dGhvcj5Cb29yZTwvQXV0aG9yPjxZZWFyPjIwMTA8L1llYXI+PFJl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=
</w:fldData>
        </w:fldChar>
      </w:r>
      <w:r w:rsidR="00F202D0">
        <w:instrText xml:space="preserve"> ADDIN EN.CITE </w:instrText>
      </w:r>
      <w:r w:rsidR="00F202D0">
        <w:fldChar w:fldCharType="begin">
          <w:fldData xml:space="preserve">PEVuZE5vdGU+PENpdGU+PEF1dGhvcj5Cb29yZTwvQXV0aG9yPjxZZWFyPjIwMTA8L1llYXI+PFJl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=
</w:fldData>
        </w:fldChar>
      </w:r>
      <w:r w:rsidR="00F202D0">
        <w:instrText xml:space="preserve"> ADDIN EN.CITE.DATA </w:instrText>
      </w:r>
      <w:r w:rsidR="00F202D0">
        <w:fldChar w:fldCharType="end"/>
      </w:r>
      <w:r>
        <w:fldChar w:fldCharType="separate"/>
      </w:r>
      <w:r>
        <w:rPr>
          <w:noProof/>
        </w:rPr>
        <w:t>(Allen</w:t>
      </w:r>
      <w:r w:rsidRPr="003D3528">
        <w:rPr>
          <w:i/>
          <w:noProof/>
        </w:rPr>
        <w:t xml:space="preserve"> et al.</w:t>
      </w:r>
      <w:r>
        <w:rPr>
          <w:noProof/>
        </w:rPr>
        <w:t>, 2004; Allen</w:t>
      </w:r>
      <w:r w:rsidRPr="003D3528">
        <w:rPr>
          <w:i/>
          <w:noProof/>
        </w:rPr>
        <w:t xml:space="preserve"> et al.</w:t>
      </w:r>
      <w:r>
        <w:rPr>
          <w:noProof/>
        </w:rPr>
        <w:t>, 2006; Edwards</w:t>
      </w:r>
      <w:r w:rsidRPr="003D3528">
        <w:rPr>
          <w:i/>
          <w:noProof/>
        </w:rPr>
        <w:t xml:space="preserve"> et al.</w:t>
      </w:r>
      <w:r>
        <w:rPr>
          <w:noProof/>
        </w:rPr>
        <w:t>, 2008; Boore</w:t>
      </w:r>
      <w:r w:rsidRPr="003D3528">
        <w:rPr>
          <w:i/>
          <w:noProof/>
        </w:rPr>
        <w:t xml:space="preserve"> et al.</w:t>
      </w:r>
      <w:r>
        <w:rPr>
          <w:noProof/>
        </w:rPr>
        <w:t>, 2010; Drouet</w:t>
      </w:r>
      <w:r w:rsidRPr="003D3528">
        <w:rPr>
          <w:i/>
          <w:noProof/>
        </w:rPr>
        <w:t xml:space="preserve"> et al.</w:t>
      </w:r>
      <w:r>
        <w:rPr>
          <w:noProof/>
        </w:rPr>
        <w:t>, 2010)</w:t>
      </w:r>
      <w:r>
        <w:fldChar w:fldCharType="end"/>
      </w:r>
      <w:r>
        <w:t>.  While significant advances in estimating ∆</w:t>
      </w:r>
      <w:r w:rsidRPr="00332AA7">
        <w:rPr>
          <w:rStyle w:val="Bodytextitalic"/>
        </w:rPr>
        <w:sym w:font="Symbol" w:char="F073"/>
      </w:r>
      <w:r>
        <w:t xml:space="preserve"> for earthquakes in several stable continental regions </w:t>
      </w:r>
      <w:r w:rsidR="000B16C9">
        <w:t>have been made</w:t>
      </w:r>
      <w:r>
        <w:t xml:space="preserve">, comparisons of Brune stress drops between regions cannot be meaningfully compared unless the attenuation model is also considered </w:t>
      </w:r>
      <w:r>
        <w:fldChar w:fldCharType="begin"/>
      </w:r>
      <w:r w:rsidR="00F202D0">
        <w:instrText xml:space="preserve"> ADDIN EN.CITE &lt;EndNote&gt;&lt;Cite&gt;&lt;Author&gt;Boore&lt;/Author&gt;&lt;Year&gt;2010&lt;/Year&gt;&lt;RecNum&gt;805&lt;/RecNum&gt;&lt;record&gt;&lt;rec-number&gt;805&lt;/rec-number&gt;&lt;foreign-keys&gt;&lt;key app="EN" db-id="se5z02d5txder3eax2p5wz5j59zvz2tdzdd2"&gt;805&lt;/key&gt;&lt;/foreign-keys&gt;&lt;ref-type name="Journal Article"&gt;17&lt;/ref-type&gt;&lt;contributors&gt;&lt;authors&gt;&lt;author&gt;Boore, D. M.&lt;/author&gt;&lt;author&gt;Campbell, K. W.&lt;/author&gt;&lt;author&gt;Atkinson, G. M.&lt;/author&gt;&lt;/authors&gt;&lt;/contributors&gt;&lt;titles&gt;&lt;title&gt;Determination of stress parameters for eight well-recorded earthquakes in eastern North America&lt;/title&gt;&lt;secondary-title&gt;Bull. Seism. Soc. Am.&lt;/secondary-title&gt;&lt;/titles&gt;&lt;periodical&gt;&lt;full-title&gt;Bull. Seism. Soc. Am.&lt;/full-title&gt;&lt;/periodical&gt;&lt;pages&gt;1632–1645&lt;/pages&gt;&lt;volume&gt;100&lt;/volume&gt;&lt;number&gt;4&lt;/number&gt;&lt;keywords&gt;&lt;keyword&gt;stress drop, kappa, high-frequency, stress parameter, ENA&lt;/keyword&gt;&lt;/keywords&gt;&lt;dates&gt;&lt;year&gt;2010&lt;/year&gt;&lt;/dates&gt;&lt;urls&gt;&lt;pdf-urls&gt;&lt;url&gt;internal-pdf://Boore etal (2010).ENA.stress_parameter-2899498760/Boore etal (2010).ENA.stress_parameter.pdf&lt;/url&gt;&lt;/pdf-urls&gt;&lt;/urls&gt;&lt;/record&gt;&lt;/Cite&gt;&lt;/EndNote&gt;</w:instrText>
      </w:r>
      <w:r>
        <w:fldChar w:fldCharType="separate"/>
      </w:r>
      <w:r>
        <w:rPr>
          <w:noProof/>
        </w:rPr>
        <w:t>(Boore</w:t>
      </w:r>
      <w:r w:rsidRPr="003D3528">
        <w:rPr>
          <w:i/>
          <w:noProof/>
        </w:rPr>
        <w:t xml:space="preserve"> et al.</w:t>
      </w:r>
      <w:r>
        <w:rPr>
          <w:noProof/>
        </w:rPr>
        <w:t>, 2010)</w:t>
      </w:r>
      <w:r>
        <w:fldChar w:fldCharType="end"/>
      </w:r>
      <w:r>
        <w:t>.</w:t>
      </w:r>
    </w:p>
    <w:p w:rsidR="00B15AC0" w:rsidRDefault="00B15AC0" w:rsidP="003F4034">
      <w:pPr>
        <w:pStyle w:val="BodyText"/>
      </w:pPr>
      <w:r w:rsidRPr="003614F8">
        <w:t xml:space="preserve">Armed </w:t>
      </w:r>
      <w:r w:rsidR="000B16C9">
        <w:t xml:space="preserve">with </w:t>
      </w:r>
      <w:r>
        <w:t xml:space="preserve">revised estimates of </w:t>
      </w:r>
      <w:r w:rsidRPr="00332AA7">
        <w:rPr>
          <w:rStyle w:val="Bodytextitalic"/>
        </w:rPr>
        <w:t>M</w:t>
      </w:r>
      <w:r w:rsidRPr="005C3885">
        <w:rPr>
          <w:vertAlign w:val="subscript"/>
        </w:rPr>
        <w:t>0</w:t>
      </w:r>
      <w:r>
        <w:t xml:space="preserve"> for each event, a Brune (1970) </w:t>
      </w:r>
      <w:r w:rsidRPr="006C2B2A">
        <w:rPr>
          <w:rFonts w:ascii="Symbol" w:hAnsi="Symbol"/>
          <w:i/>
          <w:noProof/>
        </w:rPr>
        <w:t></w:t>
      </w:r>
      <w:r w:rsidRPr="006C2B2A">
        <w:rPr>
          <w:noProof/>
          <w:vertAlign w:val="superscript"/>
        </w:rPr>
        <w:t>-2</w:t>
      </w:r>
      <w:r>
        <w:t xml:space="preserve"> source model is fitted to the average source spectra </w:t>
      </w:r>
      <w:r w:rsidR="00BC0AD7" w:rsidRPr="00332AA7">
        <w:rPr>
          <w:rStyle w:val="Bodytextitalic"/>
        </w:rPr>
        <w:t>A</w:t>
      </w:r>
      <w:r w:rsidR="00BC0AD7" w:rsidRPr="00F53AB9">
        <w:rPr>
          <w:bCs/>
          <w:vertAlign w:val="subscript"/>
          <w:lang w:val="en-US"/>
        </w:rPr>
        <w:t>0</w:t>
      </w:r>
      <w:r w:rsidR="00BC0AD7" w:rsidRPr="00332AA7">
        <w:rPr>
          <w:rStyle w:val="Bodytextitalic"/>
        </w:rPr>
        <w:t>,</w:t>
      </w:r>
      <w:r w:rsidR="00BC0AD7" w:rsidRPr="00BC220E">
        <w:rPr>
          <w:rStyle w:val="Subscriptitalic"/>
        </w:rPr>
        <w:t>i</w:t>
      </w:r>
      <w:r w:rsidR="00BC0AD7" w:rsidRPr="00332AA7">
        <w:rPr>
          <w:spacing w:val="40"/>
        </w:rPr>
        <w:t>(</w:t>
      </w:r>
      <w:r w:rsidR="00BC0AD7" w:rsidRPr="00332AA7">
        <w:rPr>
          <w:rStyle w:val="Bodytextitalic"/>
        </w:rPr>
        <w:t>f</w:t>
      </w:r>
      <w:r w:rsidR="00BC0AD7">
        <w:t>)</w:t>
      </w:r>
      <w:r>
        <w:t xml:space="preserve"> for each event to invert for the corner frequency </w:t>
      </w:r>
      <w:r w:rsidRPr="00332AA7">
        <w:rPr>
          <w:rStyle w:val="Bodytextitalic"/>
        </w:rPr>
        <w:t>f</w:t>
      </w:r>
      <w:r w:rsidRPr="00F37231">
        <w:rPr>
          <w:vertAlign w:val="subscript"/>
        </w:rPr>
        <w:t>0</w:t>
      </w:r>
      <w:r>
        <w:t>.  The source follows the general form:</w:t>
      </w:r>
    </w:p>
    <w:p w:rsidR="006570F6" w:rsidRPr="006570F6" w:rsidRDefault="006570F6" w:rsidP="006570F6">
      <w:pPr>
        <w:pStyle w:val="Equation"/>
      </w:pPr>
      <w:r w:rsidRPr="006570F6">
        <w:rPr>
          <w:position w:val="-32"/>
        </w:rPr>
        <w:object w:dxaOrig="2439" w:dyaOrig="720">
          <v:shape id="_x0000_i1038" type="#_x0000_t75" style="width:122.2pt;height:36pt" o:ole="">
            <v:imagedata r:id="rId61" o:title=""/>
          </v:shape>
          <o:OLEObject Type="Embed" ProgID="Equation.3" ShapeID="_x0000_i1038" DrawAspect="Content" ObjectID="_1426934415" r:id="rId62"/>
        </w:object>
      </w:r>
      <w:r w:rsidR="00B15AC0">
        <w:tab/>
        <w:t>(12)</w:t>
      </w:r>
    </w:p>
    <w:p w:rsidR="00B15AC0" w:rsidRDefault="00B15AC0" w:rsidP="003F4034">
      <w:pPr>
        <w:pStyle w:val="BodyText"/>
      </w:pPr>
      <w:r>
        <w:t>The Brune stress drop is subsequently estimated following:</w:t>
      </w:r>
    </w:p>
    <w:p w:rsidR="00B15AC0" w:rsidRDefault="00B15AC0" w:rsidP="00BF4007">
      <w:pPr>
        <w:pStyle w:val="Equation"/>
      </w:pPr>
      <w:r w:rsidRPr="00B06907">
        <w:rPr>
          <w:position w:val="-30"/>
        </w:rPr>
        <w:object w:dxaOrig="1320" w:dyaOrig="700">
          <v:shape id="_x0000_i1039" type="#_x0000_t75" style="width:65.9pt;height:35.5pt" o:ole="">
            <v:imagedata r:id="rId63" o:title=""/>
          </v:shape>
          <o:OLEObject Type="Embed" ProgID="Equation.3" ShapeID="_x0000_i1039" DrawAspect="Content" ObjectID="_1426934416" r:id="rId64"/>
        </w:object>
      </w:r>
      <w:r w:rsidRPr="00B06907">
        <w:tab/>
        <w:t>(13)</w:t>
      </w:r>
    </w:p>
    <w:p w:rsidR="00B15AC0" w:rsidRDefault="00B15AC0" w:rsidP="00C409B2">
      <w:pPr>
        <w:pStyle w:val="BodyText"/>
      </w:pPr>
      <w:r>
        <w:t xml:space="preserve">where </w:t>
      </w:r>
      <w:r w:rsidRPr="00332AA7">
        <w:rPr>
          <w:rStyle w:val="Bodytextitalic"/>
        </w:rPr>
        <w:t>r</w:t>
      </w:r>
      <w:r w:rsidRPr="006A13F2">
        <w:rPr>
          <w:vertAlign w:val="subscript"/>
        </w:rPr>
        <w:t>0</w:t>
      </w:r>
      <w:r>
        <w:t xml:space="preserve"> = 2.34 </w:t>
      </w:r>
      <w:r w:rsidRPr="00332AA7">
        <w:rPr>
          <w:rStyle w:val="Bodytextitalic"/>
        </w:rPr>
        <w:t>β</w:t>
      </w:r>
      <w:r>
        <w:t xml:space="preserve"> / (2</w:t>
      </w:r>
      <w:r w:rsidRPr="00332AA7">
        <w:rPr>
          <w:rStyle w:val="Bodytextitalic"/>
        </w:rPr>
        <w:t>πf</w:t>
      </w:r>
      <w:r w:rsidRPr="006A13F2">
        <w:rPr>
          <w:vertAlign w:val="subscript"/>
        </w:rPr>
        <w:t>0</w:t>
      </w:r>
      <w:r>
        <w:t xml:space="preserve">) is the radius of a circular fault </w:t>
      </w:r>
      <w:r>
        <w:fldChar w:fldCharType="begin"/>
      </w:r>
      <w:r w:rsidR="00F202D0">
        <w:instrText xml:space="preserve"> ADDIN EN.CITE &lt;EndNote&gt;&lt;Cite&gt;&lt;Author&gt;Brune&lt;/Author&gt;&lt;Year&gt;1970&lt;/Year&gt;&lt;RecNum&gt;1099&lt;/RecNum&gt;&lt;record&gt;&lt;rec-number&gt;1099&lt;/rec-number&gt;&lt;foreign-keys&gt;&lt;key app="EN" db-id="se5z02d5txder3eax2p5wz5j59zvz2tdzdd2"&gt;1099&lt;/key&gt;&lt;/foreign-keys&gt;&lt;ref-type name="Journal Article"&gt;17&lt;/ref-type&gt;&lt;contributors&gt;&lt;authors&gt;&lt;author&gt;Brune, J. N.&lt;/author&gt;&lt;/authors&gt;&lt;/contributors&gt;&lt;titles&gt;&lt;title&gt;Tectonic stress and the spectra of seismic shear waves from earthquakes&lt;/title&gt;&lt;secondary-title&gt;J. Geophys. Res.&lt;/secondary-title&gt;&lt;/titles&gt;&lt;periodical&gt;&lt;full-title&gt;J. Geophys. Res.&lt;/full-title&gt;&lt;/periodical&gt;&lt;pages&gt;4997-5009&lt;/pages&gt;&lt;volume&gt;75&lt;/volume&gt;&lt;number&gt;26&lt;/number&gt;&lt;keywords&gt;&lt;keyword&gt;Brune spectral source model, stress drop, corner frequency&lt;/keyword&gt;&lt;/keywords&gt;&lt;dates&gt;&lt;year&gt;1970&lt;/year&gt;&lt;/dates&gt;&lt;urls&gt;&lt;pdf-urls&gt;&lt;url&gt;internal-pdf://Brune (1970).stress.spectral_model-1723988992/Brune (1970).stress.spectral_model.pdf&lt;/url&gt;&lt;/pdf-urls&gt;&lt;/urls&gt;&lt;/record&gt;&lt;/Cite&gt;&lt;Cite&gt;&lt;Author&gt;Brune&lt;/Author&gt;&lt;Year&gt;1971&lt;/Year&gt;&lt;RecNum&gt;1098&lt;/RecNum&gt;&lt;record&gt;&lt;rec-number&gt;1098&lt;/rec-number&gt;&lt;foreign-keys&gt;&lt;key app="EN" db-id="se5z02d5txder3eax2p5wz5j59zvz2tdzdd2"&gt;1098&lt;/key&gt;&lt;/foreign-keys&gt;&lt;ref-type name="Journal Article"&gt;17&lt;/ref-type&gt;&lt;contributors&gt;&lt;authors&gt;&lt;author&gt;Brune, J. N.&lt;/author&gt;&lt;/authors&gt;&lt;/contributors&gt;&lt;titles&gt;&lt;title&gt;Correction&lt;/title&gt;&lt;secondary-title&gt;J. Geophys. Res.&lt;/secondary-title&gt;&lt;/titles&gt;&lt;periodical&gt;&lt;full-title&gt;J. Geophys. Res.&lt;/full-title&gt;&lt;/periodical&gt;&lt;pages&gt;5002&lt;/pages&gt;&lt;volume&gt;76&lt;/volume&gt;&lt;number&gt;20&lt;/number&gt;&lt;keywords&gt;&lt;keyword&gt;Brune spectral source model&lt;/keyword&gt;&lt;/keywords&gt;&lt;dates&gt;&lt;year&gt;1971&lt;/year&gt;&lt;/dates&gt;&lt;urls&gt;&lt;pdf-urls&gt;&lt;url&gt;internal-pdf://Brune (1971).stress.spectral_model.correction-1170233600/Brune (1971).stress.spectral_model.correction.pdf&lt;/url&gt;&lt;/pdf-urls&gt;&lt;/urls&gt;&lt;/record&gt;&lt;/Cite&gt;&lt;/EndNote&gt;</w:instrText>
      </w:r>
      <w:r>
        <w:fldChar w:fldCharType="separate"/>
      </w:r>
      <w:r>
        <w:rPr>
          <w:noProof/>
        </w:rPr>
        <w:t>(Brune, 1970; 1971)</w:t>
      </w:r>
      <w:r>
        <w:fldChar w:fldCharType="end"/>
      </w:r>
      <w:r>
        <w:t xml:space="preserve">  The fit of the Brune </w:t>
      </w:r>
      <w:r w:rsidRPr="006C2B2A">
        <w:rPr>
          <w:rFonts w:ascii="Symbol" w:hAnsi="Symbol"/>
          <w:i/>
          <w:noProof/>
        </w:rPr>
        <w:t></w:t>
      </w:r>
      <w:r w:rsidRPr="006C2B2A">
        <w:rPr>
          <w:noProof/>
          <w:vertAlign w:val="superscript"/>
        </w:rPr>
        <w:t>2</w:t>
      </w:r>
      <w:r>
        <w:t xml:space="preserve"> source model on the average source spectra was optimized for a magnitude-dependent frequency range, which was focussed on capturing the best estimate of corner frequency (Figure 1</w:t>
      </w:r>
      <w:r w:rsidR="007A1429">
        <w:t>1</w:t>
      </w:r>
      <w:r>
        <w:t xml:space="preserve">).  Because the optimization of the Brune model did not yield satisfactory estimates of </w:t>
      </w:r>
      <w:r w:rsidRPr="00332AA7">
        <w:rPr>
          <w:rStyle w:val="Bodytextitalic"/>
        </w:rPr>
        <w:t>f</w:t>
      </w:r>
      <w:r w:rsidRPr="00F37231">
        <w:rPr>
          <w:vertAlign w:val="subscript"/>
        </w:rPr>
        <w:t>0</w:t>
      </w:r>
      <w:r>
        <w:t xml:space="preserve"> and ∆</w:t>
      </w:r>
      <w:r w:rsidRPr="00332AA7">
        <w:rPr>
          <w:rStyle w:val="Bodytextitalic"/>
        </w:rPr>
        <w:sym w:font="Symbol" w:char="F073"/>
      </w:r>
      <w:r>
        <w:t xml:space="preserve"> for all earthquakes, the misfit between the theoretical source model and the average source spectra </w:t>
      </w:r>
      <w:r w:rsidR="00BC0AD7" w:rsidRPr="00332AA7">
        <w:rPr>
          <w:rStyle w:val="Bodytextitalic"/>
        </w:rPr>
        <w:t>A</w:t>
      </w:r>
      <w:r w:rsidR="00BC0AD7" w:rsidRPr="00F53AB9">
        <w:rPr>
          <w:bCs/>
          <w:vertAlign w:val="subscript"/>
          <w:lang w:val="en-US"/>
        </w:rPr>
        <w:t>0</w:t>
      </w:r>
      <w:r w:rsidR="00BC0AD7" w:rsidRPr="00332AA7">
        <w:rPr>
          <w:rStyle w:val="Bodytextitalic"/>
        </w:rPr>
        <w:t>,i</w:t>
      </w:r>
      <w:r w:rsidR="00BC0AD7" w:rsidRPr="00332AA7">
        <w:rPr>
          <w:spacing w:val="40"/>
        </w:rPr>
        <w:t>(</w:t>
      </w:r>
      <w:r w:rsidR="00BC0AD7" w:rsidRPr="00332AA7">
        <w:rPr>
          <w:rStyle w:val="Bodytextitalic"/>
        </w:rPr>
        <w:t>f</w:t>
      </w:r>
      <w:r w:rsidR="00BC0AD7">
        <w:t xml:space="preserve">) (in log space) </w:t>
      </w:r>
      <w:r>
        <w:t>was used to ensure only the best estimates of ∆</w:t>
      </w:r>
      <w:r w:rsidRPr="00332AA7">
        <w:rPr>
          <w:rStyle w:val="Bodytextitalic"/>
        </w:rPr>
        <w:sym w:font="Symbol" w:char="F073"/>
      </w:r>
      <w:r>
        <w:t xml:space="preserve"> were considered for the stochastic modelling.  </w:t>
      </w:r>
      <w:r w:rsidR="00BC0AD7">
        <w:t>The preferred estimates of stress drop were determined by calculating the standard deviation of the residuals over a magnitude-dependent frequency range, indicated below:</w:t>
      </w:r>
    </w:p>
    <w:p w:rsidR="00BC0AD7" w:rsidRDefault="004C30F0" w:rsidP="00842C9B">
      <w:pPr>
        <w:pStyle w:val="Equation"/>
      </w:pPr>
      <w:r>
        <w:br w:type="page"/>
      </w:r>
      <w:r w:rsidR="00842C9B">
        <w:lastRenderedPageBreak/>
        <w:t xml:space="preserve">1.5 </w:t>
      </w:r>
      <w:r w:rsidR="00842C9B">
        <w:sym w:font="Symbol" w:char="F0A3"/>
      </w:r>
      <w:r w:rsidR="00842C9B">
        <w:t xml:space="preserve"> </w:t>
      </w:r>
      <w:r w:rsidR="00842C9B">
        <w:rPr>
          <w:i/>
        </w:rPr>
        <w:t>f</w:t>
      </w:r>
      <w:r w:rsidR="00842C9B">
        <w:t xml:space="preserve"> </w:t>
      </w:r>
      <w:r w:rsidR="00842C9B">
        <w:sym w:font="Symbol" w:char="F0A3"/>
      </w:r>
      <w:r w:rsidR="00842C9B">
        <w:t xml:space="preserve"> 22 Hz for </w:t>
      </w:r>
      <w:r w:rsidR="00842C9B">
        <w:rPr>
          <w:i/>
        </w:rPr>
        <w:t>M</w:t>
      </w:r>
      <w:r w:rsidR="00842C9B">
        <w:rPr>
          <w:i/>
          <w:vertAlign w:val="subscript"/>
        </w:rPr>
        <w:t>W</w:t>
      </w:r>
      <w:r w:rsidR="00842C9B">
        <w:t xml:space="preserve"> &lt; 4.0</w:t>
      </w:r>
    </w:p>
    <w:p w:rsidR="00842C9B" w:rsidRPr="00332AA7" w:rsidRDefault="00842C9B" w:rsidP="00332AA7">
      <w:pPr>
        <w:pStyle w:val="Equation"/>
      </w:pPr>
      <w:r w:rsidRPr="00332AA7">
        <w:t xml:space="preserve">0.8 </w:t>
      </w:r>
      <w:r w:rsidRPr="00332AA7">
        <w:sym w:font="Symbol" w:char="F0A3"/>
      </w:r>
      <w:r w:rsidRPr="00332AA7">
        <w:t xml:space="preserve"> f </w:t>
      </w:r>
      <w:r w:rsidRPr="00332AA7">
        <w:sym w:font="Symbol" w:char="F0A3"/>
      </w:r>
      <w:r w:rsidRPr="00332AA7">
        <w:t xml:space="preserve"> 10 Hz for 4.0 </w:t>
      </w:r>
      <w:r w:rsidRPr="00332AA7">
        <w:sym w:font="Symbol" w:char="F0A3"/>
      </w:r>
      <w:r w:rsidRPr="00332AA7">
        <w:t xml:space="preserve"> </w:t>
      </w:r>
      <w:r w:rsidR="00172353" w:rsidRPr="00172353">
        <w:rPr>
          <w:rStyle w:val="Bodytextitalic"/>
        </w:rPr>
        <w:t>M</w:t>
      </w:r>
      <w:r w:rsidR="00172353" w:rsidRPr="00172353">
        <w:rPr>
          <w:rStyle w:val="Subscriptitalic"/>
        </w:rPr>
        <w:t>W</w:t>
      </w:r>
      <w:r w:rsidR="00172353">
        <w:t xml:space="preserve"> </w:t>
      </w:r>
      <w:r w:rsidRPr="00332AA7">
        <w:t>&lt; 4.8</w:t>
      </w:r>
      <w:r w:rsidRPr="00332AA7">
        <w:tab/>
        <w:t>(14)</w:t>
      </w:r>
    </w:p>
    <w:p w:rsidR="00842C9B" w:rsidRPr="00842C9B" w:rsidRDefault="00842C9B" w:rsidP="00842C9B">
      <w:pPr>
        <w:pStyle w:val="Equation"/>
      </w:pPr>
      <w:r>
        <w:t xml:space="preserve">0.5 </w:t>
      </w:r>
      <w:r>
        <w:sym w:font="Symbol" w:char="F0A3"/>
      </w:r>
      <w:r>
        <w:t xml:space="preserve"> </w:t>
      </w:r>
      <w:r>
        <w:rPr>
          <w:i/>
        </w:rPr>
        <w:t>f</w:t>
      </w:r>
      <w:r>
        <w:t xml:space="preserve"> </w:t>
      </w:r>
      <w:r>
        <w:sym w:font="Symbol" w:char="F0A3"/>
      </w:r>
      <w:r>
        <w:t xml:space="preserve"> 2.5 Hz for </w:t>
      </w:r>
      <w:r>
        <w:rPr>
          <w:i/>
        </w:rPr>
        <w:t>M</w:t>
      </w:r>
      <w:r>
        <w:rPr>
          <w:i/>
          <w:vertAlign w:val="subscript"/>
        </w:rPr>
        <w:t>W</w:t>
      </w:r>
      <w:r>
        <w:t xml:space="preserve"> </w:t>
      </w:r>
      <w:r>
        <w:sym w:font="Symbol" w:char="F0B3"/>
      </w:r>
      <w:r>
        <w:t xml:space="preserve"> 4.8</w:t>
      </w:r>
    </w:p>
    <w:p w:rsidR="00B15AC0" w:rsidRPr="006226D7" w:rsidRDefault="00B15AC0" w:rsidP="00C409B2">
      <w:pPr>
        <w:pStyle w:val="BodyText"/>
      </w:pPr>
      <w:r>
        <w:t xml:space="preserve">Brune stress drops for those earthquakes with </w:t>
      </w:r>
      <w:r w:rsidR="00BC0AD7">
        <w:t xml:space="preserve">a log standard deviation </w:t>
      </w:r>
      <w:r w:rsidR="0040271F">
        <w:t xml:space="preserve">of residuals </w:t>
      </w:r>
      <w:r w:rsidR="00BC0AD7">
        <w:t xml:space="preserve">less than 0.07 </w:t>
      </w:r>
      <w:r>
        <w:t xml:space="preserve">are </w:t>
      </w:r>
      <w:r w:rsidR="00BC0AD7">
        <w:t xml:space="preserve">indicated </w:t>
      </w:r>
      <w:r>
        <w:t>in Table 2.  The</w:t>
      </w:r>
      <w:r w:rsidR="0040271F">
        <w:t xml:space="preserve"> geometric</w:t>
      </w:r>
      <w:r>
        <w:t xml:space="preserve"> mean of ∆</w:t>
      </w:r>
      <w:r w:rsidRPr="00332AA7">
        <w:rPr>
          <w:rStyle w:val="Bodytextitalic"/>
        </w:rPr>
        <w:sym w:font="Symbol" w:char="F073"/>
      </w:r>
      <w:r>
        <w:t xml:space="preserve"> </w:t>
      </w:r>
      <w:r w:rsidRPr="00FD22B6">
        <w:t xml:space="preserve">is </w:t>
      </w:r>
      <w:r w:rsidR="00FD22B6" w:rsidRPr="00FD22B6">
        <w:t>31</w:t>
      </w:r>
      <w:r w:rsidRPr="00FD22B6">
        <w:t xml:space="preserve"> MPa</w:t>
      </w:r>
      <w:r w:rsidR="009E36A2" w:rsidRPr="00FD22B6">
        <w:t xml:space="preserve"> </w:t>
      </w:r>
      <w:r w:rsidR="00FD22B6" w:rsidRPr="00FD22B6">
        <w:t>(± 0.37</w:t>
      </w:r>
      <w:r w:rsidR="00FD22B6">
        <w:t xml:space="preserve"> log MPa) </w:t>
      </w:r>
      <w:r w:rsidR="009E36A2">
        <w:t>for all earthquakes</w:t>
      </w:r>
      <w:r>
        <w:t>.</w:t>
      </w:r>
    </w:p>
    <w:p w:rsidR="00B15AC0" w:rsidRDefault="00B15AC0" w:rsidP="00C409B2">
      <w:pPr>
        <w:pStyle w:val="BodyText"/>
      </w:pPr>
      <w:r>
        <w:t>The notion of stress drop varying with either magnitude or hypocentral depth is a question that remains unresolved.  In their comprehensive assessment of stress drop from global earthquake</w:t>
      </w:r>
      <w:r w:rsidR="004C30F0">
        <w:t>s</w:t>
      </w:r>
      <w:r>
        <w:t xml:space="preserve">, </w:t>
      </w:r>
      <w:r>
        <w:rPr>
          <w:noProof/>
        </w:rPr>
        <w:t xml:space="preserve">Allmann and Shearer </w:t>
      </w:r>
      <w:r>
        <w:fldChar w:fldCharType="begin"/>
      </w:r>
      <w:r w:rsidR="00F202D0">
        <w:instrText xml:space="preserve"> ADDIN EN.CITE &lt;EndNote&gt;&lt;Cite ExcludeAuth="1"&gt;&lt;Author&gt;Allmann&lt;/Author&gt;&lt;Year&gt;2009&lt;/Year&gt;&lt;RecNum&gt;839&lt;/RecNum&gt;&lt;record&gt;&lt;rec-number&gt;839&lt;/rec-number&gt;&lt;foreign-keys&gt;&lt;key app="EN" db-id="se5z02d5txder3eax2p5wz5j59zvz2tdzdd2"&gt;839&lt;/key&gt;&lt;/foreign-keys&gt;&lt;ref-type name="Journal Article"&gt;17&lt;/ref-type&gt;&lt;contributors&gt;&lt;authors&gt;&lt;author&gt;Allmann, B. P.&lt;/author&gt;&lt;author&gt;Shearer, P. M.&lt;/author&gt;&lt;/authors&gt;&lt;/contributors&gt;&lt;titles&gt;&lt;title&gt;Global variations of stress drop for moderate to large earthquakes&lt;/title&gt;&lt;secondary-title&gt;J. Geophys. Res.&lt;/secondary-title&gt;&lt;/titles&gt;&lt;periodical&gt;&lt;full-title&gt;J. Geophys. Res.&lt;/full-title&gt;&lt;/periodical&gt;&lt;pages&gt;B01310&lt;/pages&gt;&lt;volume&gt;114&lt;/volume&gt;&lt;keywords&gt;&lt;keyword&gt;intraplate, interplate, stress drop&lt;/keyword&gt;&lt;/keywords&gt;&lt;dates&gt;&lt;year&gt;2009&lt;/year&gt;&lt;/dates&gt;&lt;urls&gt;&lt;pdf-urls&gt;&lt;url&gt;internal-pdf://Allmann &amp;amp; Shearer (2007).global.stress drop-1954994693/Allmann &amp;amp; Shearer (2007).global.stress drop.pdf&lt;/url&gt;&lt;/pdf-urls&gt;&lt;/urls&gt;&lt;electronic-resource-num&gt;doi:10.1029/2008JB005821&lt;/electronic-resource-num&gt;&lt;/record&gt;&lt;/Cite&gt;&lt;/EndNote&gt;</w:instrText>
      </w:r>
      <w:r>
        <w:fldChar w:fldCharType="separate"/>
      </w:r>
      <w:r>
        <w:rPr>
          <w:noProof/>
        </w:rPr>
        <w:t>(2009)</w:t>
      </w:r>
      <w:r>
        <w:fldChar w:fldCharType="end"/>
      </w:r>
      <w:r>
        <w:t xml:space="preserve"> found no evidence to support variable stress drop with earthquake magnitude.  However, their study only considered earthquakes of </w:t>
      </w:r>
      <w:r w:rsidR="0077294F">
        <w:t>(</w:t>
      </w:r>
      <w:r>
        <w:t>moderate</w:t>
      </w:r>
      <w:r w:rsidR="0077294F">
        <w:t>)</w:t>
      </w:r>
      <w:r>
        <w:t xml:space="preserve"> magnitudes </w:t>
      </w:r>
      <w:r w:rsidR="00172353" w:rsidRPr="00172353">
        <w:rPr>
          <w:rStyle w:val="Bodytextitalic"/>
        </w:rPr>
        <w:t>M</w:t>
      </w:r>
      <w:r w:rsidR="00172353" w:rsidRPr="00172353">
        <w:rPr>
          <w:rStyle w:val="Subscriptitalic"/>
        </w:rPr>
        <w:t>W</w:t>
      </w:r>
      <w:r w:rsidR="00172353">
        <w:t xml:space="preserve"> </w:t>
      </w:r>
      <w:r>
        <w:t xml:space="preserve">5.2 and above.  Several studies have shown a departure from self-similar source scaling indicating decreasing Brune stress drops for </w:t>
      </w:r>
      <w:r w:rsidR="004C30F0">
        <w:t>small</w:t>
      </w:r>
      <w:r>
        <w:t xml:space="preserve">-magnitude earthquakes </w:t>
      </w:r>
      <w:r w:rsidR="00172353" w:rsidRPr="00172353">
        <w:rPr>
          <w:rStyle w:val="Bodytextitalic"/>
        </w:rPr>
        <w:t>M</w:t>
      </w:r>
      <w:r w:rsidR="00172353" w:rsidRPr="00172353">
        <w:rPr>
          <w:rStyle w:val="Subscriptitalic"/>
        </w:rPr>
        <w:t>W</w:t>
      </w:r>
      <w:r w:rsidR="00172353">
        <w:t xml:space="preserve"> </w:t>
      </w:r>
      <w:r>
        <w:t xml:space="preserve">4.0 and below </w:t>
      </w:r>
      <w:r>
        <w:fldChar w:fldCharType="begin">
          <w:fldData xml:space="preserve">PEVuZE5vdGU+PENpdGU+PEF1dGhvcj5OdXR0bGk8L0F1dGhvcj48WWVhcj4xOTgzPC9ZZWFyPjxS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</w:fldData>
        </w:fldChar>
      </w:r>
      <w:r w:rsidR="00F202D0">
        <w:instrText xml:space="preserve"> ADDIN EN.CITE </w:instrText>
      </w:r>
      <w:r w:rsidR="00F202D0">
        <w:fldChar w:fldCharType="begin">
          <w:fldData xml:space="preserve">PEVuZE5vdGU+PENpdGU+PEF1dGhvcj5OdXR0bGk8L0F1dGhvcj48WWVhcj4xOTgzPC9ZZWFyPjxS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</w:fldData>
        </w:fldChar>
      </w:r>
      <w:r w:rsidR="00F202D0">
        <w:instrText xml:space="preserve"> ADDIN EN.CITE.DATA </w:instrText>
      </w:r>
      <w:r w:rsidR="00F202D0">
        <w:fldChar w:fldCharType="end"/>
      </w:r>
      <w:r>
        <w:fldChar w:fldCharType="separate"/>
      </w:r>
      <w:r>
        <w:rPr>
          <w:noProof/>
        </w:rPr>
        <w:t>(Bungum</w:t>
      </w:r>
      <w:r w:rsidRPr="003D3528">
        <w:rPr>
          <w:i/>
          <w:noProof/>
        </w:rPr>
        <w:t xml:space="preserve"> et al.</w:t>
      </w:r>
      <w:r>
        <w:rPr>
          <w:noProof/>
        </w:rPr>
        <w:t>, 1982; Nuttli, 1983; Atkinson, 1993; Shi</w:t>
      </w:r>
      <w:r w:rsidRPr="003D3528">
        <w:rPr>
          <w:i/>
          <w:noProof/>
        </w:rPr>
        <w:t xml:space="preserve"> et al.</w:t>
      </w:r>
      <w:r>
        <w:rPr>
          <w:noProof/>
        </w:rPr>
        <w:t>, 1998; Drouet</w:t>
      </w:r>
      <w:r w:rsidRPr="003D3528">
        <w:rPr>
          <w:i/>
          <w:noProof/>
        </w:rPr>
        <w:t xml:space="preserve"> et al.</w:t>
      </w:r>
      <w:r>
        <w:rPr>
          <w:noProof/>
        </w:rPr>
        <w:t>, 2010)</w:t>
      </w:r>
      <w:r>
        <w:fldChar w:fldCharType="end"/>
      </w:r>
      <w:r>
        <w:t xml:space="preserve">.  However, </w:t>
      </w:r>
      <w:r w:rsidRPr="00CD3E29">
        <w:t>other</w:t>
      </w:r>
      <w:r>
        <w:t xml:space="preserve"> researcher</w:t>
      </w:r>
      <w:r w:rsidRPr="00CD3E29">
        <w:t>s have suggested the apparent breakdown at low magnitudes is simply an artefact of severe attenuation of the high</w:t>
      </w:r>
      <w:r>
        <w:t>-</w:t>
      </w:r>
      <w:r w:rsidRPr="00CD3E29">
        <w:t>frequency</w:t>
      </w:r>
      <w:r>
        <w:t xml:space="preserve"> </w:t>
      </w:r>
      <w:r w:rsidRPr="00CD3E29">
        <w:t>energy obscuring the corner frequency in the upper few kilometres of the crust</w:t>
      </w:r>
      <w:r>
        <w:t xml:space="preserve"> </w:t>
      </w:r>
      <w:r>
        <w:fldChar w:fldCharType="begin">
          <w:fldData xml:space="preserve">PEVuZE5vdGU+PENpdGU+PEF1dGhvcj5BYmVyY3JvbWJpZTwvQXV0aG9yPjxZZWFyPjE5OTU8L1ll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</w:fldData>
        </w:fldChar>
      </w:r>
      <w:r w:rsidR="00F202D0">
        <w:instrText xml:space="preserve"> ADDIN EN.CITE </w:instrText>
      </w:r>
      <w:r w:rsidR="00F202D0">
        <w:fldChar w:fldCharType="begin">
          <w:fldData xml:space="preserve">PEVuZE5vdGU+PENpdGU+PEF1dGhvcj5BYmVyY3JvbWJpZTwvQXV0aG9yPjxZZWFyPjE5OTU8L1ll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</w:fldData>
        </w:fldChar>
      </w:r>
      <w:r w:rsidR="00F202D0">
        <w:instrText xml:space="preserve"> ADDIN EN.CITE.DATA </w:instrText>
      </w:r>
      <w:r w:rsidR="00F202D0">
        <w:fldChar w:fldCharType="end"/>
      </w:r>
      <w:r>
        <w:fldChar w:fldCharType="separate"/>
      </w:r>
      <w:r>
        <w:rPr>
          <w:noProof/>
        </w:rPr>
        <w:t>(Abercrombie and Leary, 1993; Abercrombie, 1995)</w:t>
      </w:r>
      <w:r>
        <w:fldChar w:fldCharType="end"/>
      </w:r>
      <w:r>
        <w:t xml:space="preserve">.  The phenomenon of decreasing Brune stress drop has also been observed for small earthquakes in both eastern </w:t>
      </w:r>
      <w:r>
        <w:fldChar w:fldCharType="begin"/>
      </w:r>
      <w:r w:rsidR="00F202D0">
        <w:instrText xml:space="preserve"> ADDIN EN.CITE &lt;EndNote&gt;&lt;Cite&gt;&lt;Author&gt;Allen&lt;/Author&gt;&lt;Year&gt;2004&lt;/Year&gt;&lt;RecNum&gt;662&lt;/RecNum&gt;&lt;record&gt;&lt;rec-number&gt;662&lt;/rec-number&gt;&lt;foreign-keys&gt;&lt;key app="EN" db-id="se5z02d5txder3eax2p5wz5j59zvz2tdzdd2"&gt;662&lt;/key&gt;&lt;/foreign-keys&gt;&lt;ref-type name="Journal Article"&gt;17&lt;/ref-type&gt;&lt;contributors&gt;&lt;authors&gt;&lt;author&gt;Allen, T. I.&lt;/author&gt;&lt;author&gt;Gibson, G.&lt;/author&gt;&lt;author&gt;Brown, A.&lt;/author&gt;&lt;author&gt;Cull, J. P.&lt;/author&gt;&lt;/authors&gt;&lt;/contributors&gt;&lt;titles&gt;&lt;title&gt;Depth variation of seismic source scaling relations: implications for earthquake hazard in southeastern Australia&lt;/title&gt;&lt;secondary-title&gt;Tectonophys.&lt;/secondary-title&gt;&lt;/titles&gt;&lt;periodical&gt;&lt;full-title&gt;Tectonophys.&lt;/full-title&gt;&lt;/periodical&gt;&lt;pages&gt;5 –24&lt;/pages&gt;&lt;volume&gt;390&lt;/volume&gt;&lt;dates&gt;&lt;year&gt;2004&lt;/year&gt;&lt;/dates&gt;&lt;urls&gt;&lt;pdf-urls&gt;&lt;url&gt;internal-pdf://Allen etal (2004).depth variation-3859536990/Allen etal (2004).depth variation.pdf&lt;/url&gt;&lt;/pdf-urls&gt;&lt;/urls&gt;&lt;/record&gt;&lt;/Cite&gt;&lt;/EndNote&gt;</w:instrText>
      </w:r>
      <w:r>
        <w:fldChar w:fldCharType="separate"/>
      </w:r>
      <w:r>
        <w:rPr>
          <w:noProof/>
        </w:rPr>
        <w:t>(Allen</w:t>
      </w:r>
      <w:r w:rsidRPr="003D3528">
        <w:rPr>
          <w:i/>
          <w:noProof/>
        </w:rPr>
        <w:t xml:space="preserve"> et al.</w:t>
      </w:r>
      <w:r>
        <w:rPr>
          <w:noProof/>
        </w:rPr>
        <w:t>, 2004)</w:t>
      </w:r>
      <w:r>
        <w:fldChar w:fldCharType="end"/>
      </w:r>
      <w:r>
        <w:t xml:space="preserve"> and western </w:t>
      </w:r>
      <w:r>
        <w:fldChar w:fldCharType="begin"/>
      </w:r>
      <w:r w:rsidR="00F202D0">
        <w:instrText xml:space="preserve"> ADDIN EN.CITE &lt;EndNote&gt;&lt;Cite&gt;&lt;Author&gt;Allen&lt;/Author&gt;&lt;Year&gt;2006&lt;/Year&gt;&lt;RecNum&gt;557&lt;/RecNum&gt;&lt;record&gt;&lt;rec-number&gt;557&lt;/rec-number&gt;&lt;foreign-keys&gt;&lt;key app="EN" db-id="se5z02d5txder3eax2p5wz5j59zvz2tdzdd2"&gt;557&lt;/key&gt;&lt;/foreign-keys&gt;&lt;ref-type name="Journal Article"&gt;17&lt;/ref-type&gt;&lt;contributors&gt;&lt;authors&gt;&lt;author&gt;Allen, T. I.&lt;/author&gt;&lt;author&gt;Dhu, T.&lt;/author&gt;&lt;author&gt;Cummins, P. R.&lt;/author&gt;&lt;author&gt;Schneider, J. F.&lt;/author&gt;&lt;/authors&gt;&lt;/contributors&gt;&lt;titles&gt;&lt;title&gt;Empirical attenuation of ground-motion spectral amplitudes in southwestern Western Australia&lt;/title&gt;&lt;secondary-title&gt;Bull. Seism. Soc. Am.&lt;/secondary-title&gt;&lt;/titles&gt;&lt;periodical&gt;&lt;full-title&gt;Bull. Seism. Soc. Am.&lt;/full-title&gt;&lt;/periodical&gt;&lt;pages&gt;572–585&lt;/pages&gt;&lt;volume&gt;96&lt;/volume&gt;&lt;number&gt;2&lt;/number&gt;&lt;keywords&gt;&lt;keyword&gt;southwestern Western Australia, attenuation&lt;/keyword&gt;&lt;/keywords&gt;&lt;dates&gt;&lt;year&gt;2006&lt;/year&gt;&lt;/dates&gt;&lt;urls&gt;&lt;pdf-urls&gt;&lt;url&gt;internal-pdf://Allen et al (2006).SWWA.empirical.atten-3947991040/Allen et al (2006).SWWA.empirical.atten.pdf&lt;/url&gt;&lt;/pdf-urls&gt;&lt;/urls&gt;&lt;/record&gt;&lt;/Cite&gt;&lt;/EndNote&gt;</w:instrText>
      </w:r>
      <w:r>
        <w:fldChar w:fldCharType="separate"/>
      </w:r>
      <w:r>
        <w:rPr>
          <w:noProof/>
        </w:rPr>
        <w:t>(Allen</w:t>
      </w:r>
      <w:r w:rsidRPr="003D3528">
        <w:rPr>
          <w:i/>
          <w:noProof/>
        </w:rPr>
        <w:t xml:space="preserve"> et al.</w:t>
      </w:r>
      <w:r>
        <w:rPr>
          <w:noProof/>
        </w:rPr>
        <w:t>, 2006)</w:t>
      </w:r>
      <w:r>
        <w:fldChar w:fldCharType="end"/>
      </w:r>
      <w:r w:rsidR="0029133F">
        <w:t xml:space="preserve"> Australia</w:t>
      </w:r>
      <w:r>
        <w:t xml:space="preserve">.  However, the latter dataset in </w:t>
      </w:r>
      <w:smartTag w:uri="urn:schemas-microsoft-com:office:smarttags" w:element="place">
        <w:smartTag w:uri="urn:schemas-microsoft-com:office:smarttags" w:element="State">
          <w:r>
            <w:t>Western Australia</w:t>
          </w:r>
        </w:smartTag>
      </w:smartTag>
      <w:r>
        <w:t xml:space="preserve"> consisted largely of recordings from a single earthquake sequence.  Consequently, it is suggested the very low Brune stress drops observed for some of these low magnitude events is because they were aftershocks occurring on recently-</w:t>
      </w:r>
      <w:r w:rsidR="0040271F">
        <w:t xml:space="preserve">ruptured </w:t>
      </w:r>
      <w:r>
        <w:t xml:space="preserve">surfaces </w:t>
      </w:r>
      <w:r>
        <w:fldChar w:fldCharType="begin"/>
      </w:r>
      <w:r w:rsidR="00F202D0">
        <w:instrText xml:space="preserve"> ADDIN EN.CITE &lt;EndNote&gt;&lt;Cite&gt;&lt;Author&gt;Allen&lt;/Author&gt;&lt;Year&gt;2006&lt;/Year&gt;&lt;RecNum&gt;557&lt;/RecNum&gt;&lt;record&gt;&lt;rec-number&gt;557&lt;/rec-number&gt;&lt;foreign-keys&gt;&lt;key app="EN" db-id="se5z02d5txder3eax2p5wz5j59zvz2tdzdd2"&gt;557&lt;/key&gt;&lt;/foreign-keys&gt;&lt;ref-type name="Journal Article"&gt;17&lt;/ref-type&gt;&lt;contributors&gt;&lt;authors&gt;&lt;author&gt;Allen, T. I.&lt;/author&gt;&lt;author&gt;Dhu, T.&lt;/author&gt;&lt;author&gt;Cummins, P. R.&lt;/author&gt;&lt;author&gt;Schneider, J. F.&lt;/author&gt;&lt;/authors&gt;&lt;/contributors&gt;&lt;titles&gt;&lt;title&gt;Empirical attenuation of ground-motion spectral amplitudes in southwestern Western Australia&lt;/title&gt;&lt;secondary-title&gt;Bull. Seism. Soc. Am.&lt;/secondary-title&gt;&lt;/titles&gt;&lt;periodical&gt;&lt;full-title&gt;Bull. Seism. Soc. Am.&lt;/full-title&gt;&lt;/periodical&gt;&lt;pages&gt;572–585&lt;/pages&gt;&lt;volume&gt;96&lt;/volume&gt;&lt;number&gt;2&lt;/number&gt;&lt;keywords&gt;&lt;keyword&gt;southwestern Western Australia, attenuation&lt;/keyword&gt;&lt;/keywords&gt;&lt;dates&gt;&lt;year&gt;2006&lt;/year&gt;&lt;/dates&gt;&lt;urls&gt;&lt;pdf-urls&gt;&lt;url&gt;internal-pdf://Allen et al (2006).SWWA.empirical.atten-3947991040/Allen et al (2006).SWWA.empirical.atten.pdf&lt;/url&gt;&lt;/pdf-urls&gt;&lt;/urls&gt;&lt;/record&gt;&lt;/Cite&gt;&lt;/EndNote&gt;</w:instrText>
      </w:r>
      <w:r>
        <w:fldChar w:fldCharType="separate"/>
      </w:r>
      <w:r>
        <w:rPr>
          <w:noProof/>
        </w:rPr>
        <w:t>(Allen</w:t>
      </w:r>
      <w:r w:rsidRPr="003D3528">
        <w:rPr>
          <w:i/>
          <w:noProof/>
        </w:rPr>
        <w:t xml:space="preserve"> et al.</w:t>
      </w:r>
      <w:r>
        <w:rPr>
          <w:noProof/>
        </w:rPr>
        <w:t>, 2006)</w:t>
      </w:r>
      <w:r>
        <w:fldChar w:fldCharType="end"/>
      </w:r>
      <w:r>
        <w:t xml:space="preserve">.  Brune stress drops from the study in </w:t>
      </w:r>
      <w:smartTag w:uri="urn:schemas-microsoft-com:office:smarttags" w:element="place">
        <w:smartTag w:uri="urn:schemas-microsoft-com:office:smarttags" w:element="State">
          <w:r>
            <w:t>Western Australia</w:t>
          </w:r>
        </w:smartTag>
      </w:smartTag>
      <w:r>
        <w:t xml:space="preserve"> may therefore not provide support to the breakdown of self-similarity for low-magnitude earthquakes.</w:t>
      </w:r>
    </w:p>
    <w:p w:rsidR="00B15AC0" w:rsidRDefault="00B15AC0" w:rsidP="00C409B2">
      <w:pPr>
        <w:pStyle w:val="BodyText"/>
      </w:pPr>
      <w:r>
        <w:t>With the revised Brune stress drops for SEA earthquakes, the variation between stress and magnitude is investi</w:t>
      </w:r>
      <w:smartTag w:uri="urn:schemas-microsoft-com:office:smarttags" w:element="PersonName">
        <w:r>
          <w:t>ga</w:t>
        </w:r>
      </w:smartTag>
      <w:r>
        <w:t>ted.  Figure 1</w:t>
      </w:r>
      <w:r w:rsidR="007A1429">
        <w:t>2</w:t>
      </w:r>
      <w:r>
        <w:t>a shows the variation ∆</w:t>
      </w:r>
      <w:r w:rsidRPr="00332AA7">
        <w:rPr>
          <w:rStyle w:val="Bodytextitalic"/>
        </w:rPr>
        <w:sym w:font="Symbol" w:char="F073"/>
      </w:r>
      <w:r>
        <w:t xml:space="preserve"> with </w:t>
      </w:r>
      <w:r w:rsidR="00172353" w:rsidRPr="00172353">
        <w:rPr>
          <w:rStyle w:val="Bodytextitalic"/>
        </w:rPr>
        <w:t>M</w:t>
      </w:r>
      <w:r w:rsidR="00172353" w:rsidRPr="00172353">
        <w:rPr>
          <w:rStyle w:val="Subscriptitalic"/>
        </w:rPr>
        <w:t>W</w:t>
      </w:r>
      <w:r>
        <w:t>, which indicates an increasing trend in ∆</w:t>
      </w:r>
      <w:r w:rsidRPr="00332AA7">
        <w:rPr>
          <w:rStyle w:val="Bodytextitalic"/>
        </w:rPr>
        <w:sym w:font="Symbol" w:char="F073"/>
      </w:r>
      <w:r>
        <w:t xml:space="preserve"> with </w:t>
      </w:r>
      <w:r w:rsidR="00172353" w:rsidRPr="00172353">
        <w:rPr>
          <w:rStyle w:val="Bodytextitalic"/>
        </w:rPr>
        <w:t>M</w:t>
      </w:r>
      <w:r w:rsidR="00172353" w:rsidRPr="00172353">
        <w:rPr>
          <w:rStyle w:val="Subscriptitalic"/>
        </w:rPr>
        <w:t>W</w:t>
      </w:r>
      <w:r>
        <w:t>.  However, because of the limited magnitude range of the dataset, it cannot be concluded that this Brune stress drop increase continues with magnitude.</w:t>
      </w:r>
      <w:r w:rsidR="0040271F">
        <w:t xml:space="preserve">  In contrast, the highest moment magnitudes in the dataset indicate a slight decrease in ∆</w:t>
      </w:r>
      <w:r w:rsidR="0040271F" w:rsidRPr="00332AA7">
        <w:rPr>
          <w:rStyle w:val="Bodytextitalic"/>
        </w:rPr>
        <w:sym w:font="Symbol" w:char="F073"/>
      </w:r>
      <w:r w:rsidR="0040271F">
        <w:t xml:space="preserve"> with </w:t>
      </w:r>
      <w:r w:rsidR="00172353" w:rsidRPr="00172353">
        <w:rPr>
          <w:rStyle w:val="Bodytextitalic"/>
        </w:rPr>
        <w:t>M</w:t>
      </w:r>
      <w:r w:rsidR="00172353" w:rsidRPr="00172353">
        <w:rPr>
          <w:rStyle w:val="Subscriptitalic"/>
        </w:rPr>
        <w:t>W</w:t>
      </w:r>
      <w:r w:rsidR="0040271F" w:rsidRPr="00332AA7">
        <w:rPr>
          <w:rStyle w:val="Bodytextitalic"/>
        </w:rPr>
        <w:t>.</w:t>
      </w:r>
      <w:r w:rsidR="00172353">
        <w:t xml:space="preserve"> </w:t>
      </w:r>
      <w:r w:rsidR="0040271F">
        <w:t xml:space="preserve">Considering </w:t>
      </w:r>
      <w:r>
        <w:t>sparse data at high</w:t>
      </w:r>
      <w:r w:rsidR="004C30F0">
        <w:t xml:space="preserve">er </w:t>
      </w:r>
      <w:r>
        <w:t>magnitude</w:t>
      </w:r>
      <w:r w:rsidR="004C30F0">
        <w:t>s</w:t>
      </w:r>
      <w:r>
        <w:t>, it does appear that ∆</w:t>
      </w:r>
      <w:r w:rsidRPr="00332AA7">
        <w:rPr>
          <w:rStyle w:val="Bodytextitalic"/>
        </w:rPr>
        <w:sym w:font="Symbol" w:char="F073"/>
      </w:r>
      <w:r>
        <w:t xml:space="preserve"> may become self-similar </w:t>
      </w:r>
      <w:r w:rsidR="0040271F">
        <w:t xml:space="preserve">at magnitudes </w:t>
      </w:r>
      <w:r w:rsidR="00172353" w:rsidRPr="00172353">
        <w:rPr>
          <w:rStyle w:val="Bodytextitalic"/>
        </w:rPr>
        <w:t>M</w:t>
      </w:r>
      <w:r w:rsidR="00172353" w:rsidRPr="00172353">
        <w:rPr>
          <w:rStyle w:val="Subscriptitalic"/>
        </w:rPr>
        <w:t>W</w:t>
      </w:r>
      <w:r w:rsidR="00172353">
        <w:t xml:space="preserve"> </w:t>
      </w:r>
      <w:r w:rsidR="0040271F">
        <w:t xml:space="preserve">&gt; 4.0 </w:t>
      </w:r>
      <w:r>
        <w:t xml:space="preserve">as suggested by Atkinson </w:t>
      </w:r>
      <w:r>
        <w:fldChar w:fldCharType="begin"/>
      </w:r>
      <w:r w:rsidR="00F202D0">
        <w:instrText xml:space="preserve"> ADDIN EN.CITE &lt;EndNote&gt;&lt;Cite ExcludeAuth="1"&gt;&lt;Author&gt;Atkinson&lt;/Author&gt;&lt;Year&gt;1996&lt;/Year&gt;&lt;RecNum&gt;541&lt;/RecNum&gt;&lt;record&gt;&lt;rec-number&gt;541&lt;/rec-number&gt;&lt;foreign-keys&gt;&lt;key app="EN" db-id="se5z02d5txder3eax2p5wz5j59zvz2tdzdd2"&gt;541&lt;/key&gt;&lt;/foreign-keys&gt;&lt;ref-type name="Journal Article"&gt;17&lt;/ref-type&gt;&lt;contributors&gt;&lt;authors&gt;&lt;author&gt;Atkinson, G. M.&lt;/author&gt;&lt;/authors&gt;&lt;/contributors&gt;&lt;titles&gt;&lt;title&gt;The high-frequency shape of the source spectrum for earthquakes in eastern and western Canada&lt;/title&gt;&lt;secondary-title&gt;Bull. Seism. Soc. Am.&lt;/secondary-title&gt;&lt;/titles&gt;&lt;periodical&gt;&lt;full-title&gt;Bull. Seism. Soc. Am.&lt;/full-title&gt;&lt;/periodical&gt;&lt;pages&gt;106-112&lt;/pages&gt;&lt;volume&gt;86&lt;/volume&gt;&lt;number&gt;1A&lt;/number&gt;&lt;keywords&gt;&lt;keyword&gt;Stress drop, kappa, high-frequency&lt;/keyword&gt;&lt;/keywords&gt;&lt;dates&gt;&lt;year&gt;1996&lt;/year&gt;&lt;/dates&gt;&lt;urls&gt;&lt;pdf-urls&gt;&lt;url&gt;internal-pdf://Atkinson (1996).High-f_shape.Canada-1719545364/Atkinson (1996).High-f_shape.Canada.pdf&lt;/url&gt;&lt;/pdf-urls&gt;&lt;/urls&gt;&lt;/record&gt;&lt;/Cite&gt;&lt;/EndNote&gt;</w:instrText>
      </w:r>
      <w:r>
        <w:fldChar w:fldCharType="separate"/>
      </w:r>
      <w:r>
        <w:rPr>
          <w:noProof/>
        </w:rPr>
        <w:t>(1996)</w:t>
      </w:r>
      <w:r>
        <w:fldChar w:fldCharType="end"/>
      </w:r>
      <w:r w:rsidR="005F1FC1">
        <w:t>.</w:t>
      </w:r>
    </w:p>
    <w:p w:rsidR="00B15AC0" w:rsidRDefault="00B15AC0" w:rsidP="00C409B2">
      <w:pPr>
        <w:pStyle w:val="BodyText"/>
      </w:pPr>
      <w:r>
        <w:t xml:space="preserve">An alternative hypothesis is that Brune stress drop vary with hypocentral depth, </w:t>
      </w:r>
      <w:r w:rsidRPr="00332AA7">
        <w:rPr>
          <w:rStyle w:val="Bodytextitalic"/>
        </w:rPr>
        <w:t>h</w:t>
      </w:r>
      <w:r>
        <w:t xml:space="preserve">, because of an increase of crustal stresses at greater depths </w:t>
      </w:r>
      <w:r>
        <w:fldChar w:fldCharType="begin"/>
      </w:r>
      <w:r w:rsidR="00F202D0">
        <w:instrText xml:space="preserve"> ADDIN EN.CITE &lt;EndNote&gt;&lt;Cite&gt;&lt;Author&gt;Haimson&lt;/Author&gt;&lt;Year&gt;1978&lt;/Year&gt;&lt;RecNum&gt;1133&lt;/RecNum&gt;&lt;Prefix&gt;e.g.`, &lt;/Prefix&gt;&lt;record&gt;&lt;rec-number&gt;1133&lt;/rec-number&gt;&lt;foreign-keys&gt;&lt;key app="EN" db-id="se5z02d5txder3eax2p5wz5j59zvz2tdzdd2"&gt;1133&lt;/key&gt;&lt;/foreign-keys&gt;&lt;ref-type name="Journal Article"&gt;17&lt;/ref-type&gt;&lt;contributors&gt;&lt;authors&gt;&lt;author&gt;Haimson, B. C.&lt;/author&gt;&lt;/authors&gt;&lt;/contributors&gt;&lt;titles&gt;&lt;title&gt;Crustal stress in the Michigan Basin&lt;/title&gt;&lt;secondary-title&gt;J. Geophys. Res.&lt;/secondary-title&gt;&lt;/titles&gt;&lt;periodical&gt;&lt;full-title&gt;J. Geophys. Res.&lt;/full-title&gt;&lt;/periodical&gt;&lt;pages&gt;5857-5863&lt;/pages&gt;&lt;volume&gt;83&lt;/volume&gt;&lt;number&gt;B12&lt;/number&gt;&lt;keywords&gt;&lt;keyword&gt;crustal stress, depth&lt;/keyword&gt;&lt;/keywords&gt;&lt;dates&gt;&lt;year&gt;1978&lt;/year&gt;&lt;/dates&gt;&lt;urls&gt;&lt;pdf-urls&gt;&lt;url&gt;internal-pdf://Haimson (1978).MichiganBasin.stress.depth-3717313802/Haimson (1978).MichiganBasin.stress.depth.pdf&lt;/url&gt;&lt;/pdf-urls&gt;&lt;/urls&gt;&lt;/record&gt;&lt;/Cite&gt;&lt;/EndNote&gt;</w:instrText>
      </w:r>
      <w:r>
        <w:fldChar w:fldCharType="separate"/>
      </w:r>
      <w:r>
        <w:rPr>
          <w:noProof/>
        </w:rPr>
        <w:t>(e.g., Haimson, 1978)</w:t>
      </w:r>
      <w:r>
        <w:fldChar w:fldCharType="end"/>
      </w:r>
      <w:r w:rsidR="0040271F">
        <w:t xml:space="preserve">.  Additionally earthquakes at shallow depths </w:t>
      </w:r>
      <w:r w:rsidR="007C3037">
        <w:t xml:space="preserve">may </w:t>
      </w:r>
      <w:r w:rsidR="0040271F">
        <w:t xml:space="preserve">be indicative of </w:t>
      </w:r>
      <w:r w:rsidR="007C3037">
        <w:t>slower rupture velocities</w:t>
      </w:r>
      <w:r w:rsidR="0040271F">
        <w:t xml:space="preserve"> which would result in lower stress drops</w:t>
      </w:r>
      <w:r w:rsidR="007C3037">
        <w:t xml:space="preserve"> </w:t>
      </w:r>
      <w:r w:rsidR="007C3037">
        <w:fldChar w:fldCharType="begin"/>
      </w:r>
      <w:r w:rsidR="00F202D0">
        <w:instrText xml:space="preserve"> ADDIN EN.CITE &lt;EndNote&gt;&lt;Cite&gt;&lt;Author&gt;Allmann&lt;/Author&gt;&lt;Year&gt;2007&lt;/Year&gt;&lt;RecNum&gt;838&lt;/RecNum&gt;&lt;record&gt;&lt;rec-number&gt;838&lt;/rec-number&gt;&lt;foreign-keys&gt;&lt;key app="EN" db-id="se5z02d5txder3eax2p5wz5j59zvz2tdzdd2"&gt;838&lt;/key&gt;&lt;/foreign-keys&gt;&lt;ref-type name="Journal Article"&gt;17&lt;/ref-type&gt;&lt;contributors&gt;&lt;authors&gt;&lt;author&gt;Allmann, B. P.&lt;/author&gt;&lt;author&gt;Shearer, P. M.&lt;/author&gt;&lt;/authors&gt;&lt;/contributors&gt;&lt;titles&gt;&lt;title&gt;Spatial and temporal stress drop variations in small earthquakes near Parkfield, California&lt;/title&gt;&lt;secondary-title&gt;J. Geophys. Res.&lt;/secondary-title&gt;&lt;/titles&gt;&lt;periodical&gt;&lt;full-title&gt;J. Geophys. Res.&lt;/full-title&gt;&lt;/periodical&gt;&lt;pages&gt;B04305&lt;/pages&gt;&lt;volume&gt;112&lt;/volume&gt;&lt;keywords&gt;&lt;keyword&gt;small magnitude stress drop&lt;/keyword&gt;&lt;/keywords&gt;&lt;dates&gt;&lt;year&gt;2007&lt;/year&gt;&lt;/dates&gt;&lt;urls&gt;&lt;pdf-urls&gt;&lt;url&gt;internal-pdf://Allmann &amp;amp; Shearer (2007).California.stress drop-2558812933/Allmann &amp;amp; Shearer (2007).California.stress drop.pdf&lt;/url&gt;&lt;/pdf-urls&gt;&lt;/urls&gt;&lt;electronic-resource-num&gt;doi:10.1029/2006JB004395&lt;/electronic-resource-num&gt;&lt;/record&gt;&lt;/Cite&gt;&lt;/EndNote&gt;</w:instrText>
      </w:r>
      <w:r w:rsidR="007C3037">
        <w:fldChar w:fldCharType="separate"/>
      </w:r>
      <w:r w:rsidR="007C3037">
        <w:t>(Allmann and Shearer, 2007)</w:t>
      </w:r>
      <w:r w:rsidR="007C3037">
        <w:fldChar w:fldCharType="end"/>
      </w:r>
      <w:r>
        <w:t xml:space="preserve">.  This phenomenon has been previously observed in SEA </w:t>
      </w:r>
      <w:r>
        <w:fldChar w:fldCharType="begin"/>
      </w:r>
      <w:r w:rsidR="00F202D0">
        <w:instrText xml:space="preserve"> ADDIN EN.CITE &lt;EndNote&gt;&lt;Cite&gt;&lt;Author&gt;Allen&lt;/Author&gt;&lt;Year&gt;2004&lt;/Year&gt;&lt;RecNum&gt;662&lt;/RecNum&gt;&lt;record&gt;&lt;rec-number&gt;662&lt;/rec-number&gt;&lt;foreign-keys&gt;&lt;key app="EN" db-id="se5z02d5txder3eax2p5wz5j59zvz2tdzdd2"&gt;662&lt;/key&gt;&lt;/foreign-keys&gt;&lt;ref-type name="Journal Article"&gt;17&lt;/ref-type&gt;&lt;contributors&gt;&lt;authors&gt;&lt;author&gt;Allen, T. I.&lt;/author&gt;&lt;author&gt;Gibson, G.&lt;/author&gt;&lt;author&gt;Brown, A.&lt;/author&gt;&lt;author&gt;Cull, J. P.&lt;/author&gt;&lt;/authors&gt;&lt;/contributors&gt;&lt;titles&gt;&lt;title&gt;Depth variation of seismic source scaling relations: implications for earthquake hazard in southeastern Australia&lt;/title&gt;&lt;secondary-title&gt;Tectonophys.&lt;/secondary-title&gt;&lt;/titles&gt;&lt;periodical&gt;&lt;full-title&gt;Tectonophys.&lt;/full-title&gt;&lt;/periodical&gt;&lt;pages&gt;5 –24&lt;/pages&gt;&lt;volume&gt;390&lt;/volume&gt;&lt;dates&gt;&lt;year&gt;2004&lt;/year&gt;&lt;/dates&gt;&lt;urls&gt;&lt;pdf-urls&gt;&lt;url&gt;internal-pdf://Allen etal (2004).depth variation-3859536990/Allen etal (2004).depth variation.pdf&lt;/url&gt;&lt;/pdf-urls&gt;&lt;/urls&gt;&lt;/record&gt;&lt;/Cite&gt;&lt;/EndNote&gt;</w:instrText>
      </w:r>
      <w:r>
        <w:fldChar w:fldCharType="separate"/>
      </w:r>
      <w:r>
        <w:rPr>
          <w:noProof/>
        </w:rPr>
        <w:t>(Allen</w:t>
      </w:r>
      <w:r w:rsidRPr="003D3528">
        <w:rPr>
          <w:i/>
          <w:noProof/>
        </w:rPr>
        <w:t xml:space="preserve"> et al.</w:t>
      </w:r>
      <w:r>
        <w:rPr>
          <w:noProof/>
        </w:rPr>
        <w:t>, 2004)</w:t>
      </w:r>
      <w:r>
        <w:fldChar w:fldCharType="end"/>
      </w:r>
      <w:r>
        <w:t xml:space="preserve"> </w:t>
      </w:r>
      <w:r w:rsidRPr="007C3037">
        <w:t xml:space="preserve">and elsewhere </w:t>
      </w:r>
      <w:r w:rsidR="007C3037" w:rsidRPr="007C3037">
        <w:fldChar w:fldCharType="begin"/>
      </w:r>
      <w:r w:rsidR="00F202D0">
        <w:instrText xml:space="preserve"> ADDIN EN.CITE &lt;EndNote&gt;&lt;Cite&gt;&lt;Author&gt;Allmann&lt;/Author&gt;&lt;Year&gt;2007&lt;/Year&gt;&lt;RecNum&gt;838&lt;/RecNum&gt;&lt;record&gt;&lt;rec-number&gt;838&lt;/rec-number&gt;&lt;foreign-keys&gt;&lt;key app="EN" db-id="se5z02d5txder3eax2p5wz5j59zvz2tdzdd2"&gt;838&lt;/key&gt;&lt;/foreign-keys&gt;&lt;ref-type name="Journal Article"&gt;17&lt;/ref-type&gt;&lt;contributors&gt;&lt;authors&gt;&lt;author&gt;Allmann, B. P.&lt;/author&gt;&lt;author&gt;Shearer, P. M.&lt;/author&gt;&lt;/authors&gt;&lt;/contributors&gt;&lt;titles&gt;&lt;title&gt;Spatial and temporal stress drop variations in small earthquakes near Parkfield, California&lt;/title&gt;&lt;secondary-title&gt;J. Geophys. Res.&lt;/secondary-title&gt;&lt;/titles&gt;&lt;periodical&gt;&lt;full-title&gt;J. Geophys. Res.&lt;/full-title&gt;&lt;/periodical&gt;&lt;pages&gt;B04305&lt;/pages&gt;&lt;volume&gt;112&lt;/volume&gt;&lt;keywords&gt;&lt;keyword&gt;small magnitude stress drop&lt;/keyword&gt;&lt;/keywords&gt;&lt;dates&gt;&lt;year&gt;2007&lt;/year&gt;&lt;/dates&gt;&lt;urls&gt;&lt;pdf-urls&gt;&lt;url&gt;internal-pdf://Allmann &amp;amp; Shearer (2007).California.stress drop-2558812933/Allmann &amp;amp; Shearer (2007).California.stress drop.pdf&lt;/url&gt;&lt;/pdf-urls&gt;&lt;/urls&gt;&lt;electronic-resource-num&gt;doi:10.1029/2006JB004395&lt;/electronic-resource-num&gt;&lt;/record&gt;&lt;/Cite&gt;&lt;/EndNote&gt;</w:instrText>
      </w:r>
      <w:r w:rsidR="007C3037" w:rsidRPr="007C3037">
        <w:fldChar w:fldCharType="separate"/>
      </w:r>
      <w:r w:rsidR="007C3037" w:rsidRPr="007C3037">
        <w:t>(Allmann and Shearer, 2007)</w:t>
      </w:r>
      <w:r w:rsidR="007C3037" w:rsidRPr="007C3037">
        <w:fldChar w:fldCharType="end"/>
      </w:r>
      <w:r>
        <w:t xml:space="preserve">.  Several authors have observed systematic variations in the relative occurrence of small-to-large earthquakes (i.e., the </w:t>
      </w:r>
      <w:r w:rsidRPr="00332AA7">
        <w:rPr>
          <w:rStyle w:val="Bodytextitalic"/>
        </w:rPr>
        <w:t>b-</w:t>
      </w:r>
      <w:r>
        <w:t xml:space="preserve">value) </w:t>
      </w:r>
      <w:r>
        <w:fldChar w:fldCharType="begin"/>
      </w:r>
      <w:r w:rsidR="00073AEF">
        <w:instrText xml:space="preserve"> ADDIN EN.CITE </w:instrText>
      </w:r>
      <w:r w:rsidR="00073AEF">
        <w:fldChar w:fldCharType="begin"/>
      </w:r>
      <w:r w:rsidR="00073AEF">
        <w:instrText xml:space="preserve"> ADDIN EN.CITE.DATA </w:instrText>
      </w:r>
      <w:r w:rsidR="00073AEF">
        <w:instrText>猁</w:instrText>
      </w:r>
      <w:r w:rsidR="00073AEF">
        <w:fldChar w:fldCharType="end"/>
      </w:r>
      <w:r>
        <w:fldChar w:fldCharType="separate"/>
      </w:r>
      <w:r>
        <w:rPr>
          <w:noProof/>
        </w:rPr>
        <w:t>(Mori and Abercrombie, 1997; Gerstenberger</w:t>
      </w:r>
      <w:r w:rsidRPr="003D3528">
        <w:rPr>
          <w:i/>
          <w:noProof/>
        </w:rPr>
        <w:t xml:space="preserve"> et al.</w:t>
      </w:r>
      <w:r>
        <w:rPr>
          <w:noProof/>
        </w:rPr>
        <w:t>, 2001; Allen</w:t>
      </w:r>
      <w:r w:rsidRPr="003D3528">
        <w:rPr>
          <w:i/>
          <w:noProof/>
        </w:rPr>
        <w:t xml:space="preserve"> et al.</w:t>
      </w:r>
      <w:r>
        <w:rPr>
          <w:noProof/>
        </w:rPr>
        <w:t>, 2004)</w:t>
      </w:r>
      <w:r>
        <w:fldChar w:fldCharType="end"/>
      </w:r>
      <w:r>
        <w:t>, which is thought to be due to the increasing crustal stress levels with depth.</w:t>
      </w:r>
      <w:r w:rsidR="00217362">
        <w:t xml:space="preserve">  Furthermore, it is observed from </w:t>
      </w:r>
      <w:r w:rsidR="00CB1831">
        <w:t xml:space="preserve">both </w:t>
      </w:r>
      <w:r w:rsidR="00217362">
        <w:t xml:space="preserve">mining-triggered </w:t>
      </w:r>
      <w:r w:rsidR="00CB1831">
        <w:t xml:space="preserve">and natural </w:t>
      </w:r>
      <w:r w:rsidR="00217362">
        <w:t xml:space="preserve">seismicity that the </w:t>
      </w:r>
      <w:r w:rsidR="00217362" w:rsidRPr="00332AA7">
        <w:rPr>
          <w:rStyle w:val="Bodytextitalic"/>
        </w:rPr>
        <w:t>b</w:t>
      </w:r>
      <w:r w:rsidR="00217362">
        <w:t>-value is inversely proportional to stress</w:t>
      </w:r>
      <w:r w:rsidR="00CD63CD">
        <w:t xml:space="preserve"> </w:t>
      </w:r>
      <w:r w:rsidR="00CD63CD">
        <w:fldChar w:fldCharType="begin">
          <w:fldData xml:space="preserve">PEVuZE5vdGU+PENpdGU+PEF1dGhvcj5VcmJhbmNpYzwvQXV0aG9yPjxZZWFyPjE5OTI8L1llYXI+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</w:fldData>
        </w:fldChar>
      </w:r>
      <w:r w:rsidR="00F202D0">
        <w:instrText xml:space="preserve"> ADDIN EN.CITE </w:instrText>
      </w:r>
      <w:r w:rsidR="00F202D0">
        <w:fldChar w:fldCharType="begin">
          <w:fldData xml:space="preserve">PEVuZE5vdGU+PENpdGU+PEF1dGhvcj5VcmJhbmNpYzwvQXV0aG9yPjxZZWFyPjE5OTI8L1llYXI+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</w:fldData>
        </w:fldChar>
      </w:r>
      <w:r w:rsidR="00F202D0">
        <w:instrText xml:space="preserve"> ADDIN EN.CITE.DATA </w:instrText>
      </w:r>
      <w:r w:rsidR="00F202D0">
        <w:fldChar w:fldCharType="end"/>
      </w:r>
      <w:r w:rsidR="00CD63CD">
        <w:fldChar w:fldCharType="separate"/>
      </w:r>
      <w:r w:rsidR="00CB1831">
        <w:t>(Urbancic</w:t>
      </w:r>
      <w:r w:rsidR="00CB1831" w:rsidRPr="00CB1831">
        <w:rPr>
          <w:i/>
        </w:rPr>
        <w:t xml:space="preserve"> et al.</w:t>
      </w:r>
      <w:r w:rsidR="00CB1831">
        <w:t>, 1992; Schorlemmer</w:t>
      </w:r>
      <w:r w:rsidR="00CB1831" w:rsidRPr="00CB1831">
        <w:rPr>
          <w:i/>
        </w:rPr>
        <w:t xml:space="preserve"> et al.</w:t>
      </w:r>
      <w:r w:rsidR="00CB1831">
        <w:t>, 2005)</w:t>
      </w:r>
      <w:r w:rsidR="00CD63CD">
        <w:fldChar w:fldCharType="end"/>
      </w:r>
      <w:r w:rsidR="00217362">
        <w:t xml:space="preserve"> – that is, fewer small earthquakes are indicative of high </w:t>
      </w:r>
      <w:r w:rsidR="00217362" w:rsidRPr="00332AA7">
        <w:rPr>
          <w:rStyle w:val="Bodytextitalic"/>
        </w:rPr>
        <w:t>in situ</w:t>
      </w:r>
      <w:r w:rsidR="00217362">
        <w:t xml:space="preserve"> stress.</w:t>
      </w:r>
      <w:r>
        <w:t xml:space="preserve">  Consequently, the apparent increase in Brune stress drop with earthquake magnitude may be an artefact of low-magnitude earthquakes more commonly occurring at shallow depths</w:t>
      </w:r>
      <w:r w:rsidR="00AC4F14">
        <w:t xml:space="preserve"> in low</w:t>
      </w:r>
      <w:r w:rsidR="00CD63CD">
        <w:t>er</w:t>
      </w:r>
      <w:r w:rsidR="00AC4F14">
        <w:t xml:space="preserve"> stress environments</w:t>
      </w:r>
      <w:r>
        <w:t>.</w:t>
      </w:r>
    </w:p>
    <w:p w:rsidR="00254EC1" w:rsidRDefault="00B15AC0" w:rsidP="00C409B2">
      <w:pPr>
        <w:pStyle w:val="BodyText"/>
      </w:pPr>
      <w:r>
        <w:t>With the updated earthquake source parameters and augmented earthquake ground-motion database, this observation in SEA is reviewed.  Using only the best quality Brune stress drop estimates, ∆</w:t>
      </w:r>
      <w:r w:rsidRPr="00332AA7">
        <w:rPr>
          <w:rStyle w:val="Bodytextitalic"/>
        </w:rPr>
        <w:sym w:font="Symbol" w:char="F073"/>
      </w:r>
      <w:r>
        <w:t xml:space="preserve"> is plotted a</w:t>
      </w:r>
      <w:smartTag w:uri="urn:schemas-microsoft-com:office:smarttags" w:element="PersonName">
        <w:r>
          <w:t>ga</w:t>
        </w:r>
      </w:smartTag>
      <w:r>
        <w:t xml:space="preserve">inst </w:t>
      </w:r>
      <w:r w:rsidRPr="00332AA7">
        <w:rPr>
          <w:rStyle w:val="Bodytextitalic"/>
        </w:rPr>
        <w:t>h</w:t>
      </w:r>
      <w:r>
        <w:t xml:space="preserve"> (Figure 1</w:t>
      </w:r>
      <w:r w:rsidR="007A1429">
        <w:t>2</w:t>
      </w:r>
      <w:r>
        <w:t>b)</w:t>
      </w:r>
      <w:r w:rsidRPr="00332AA7">
        <w:rPr>
          <w:rStyle w:val="Bodytextitalic"/>
        </w:rPr>
        <w:t>.</w:t>
      </w:r>
      <w:r>
        <w:t xml:space="preserve">  Th</w:t>
      </w:r>
      <w:r w:rsidR="00AC4F14">
        <w:t>ese</w:t>
      </w:r>
      <w:r>
        <w:t xml:space="preserve"> </w:t>
      </w:r>
      <w:r w:rsidR="0077294F">
        <w:t xml:space="preserve">data </w:t>
      </w:r>
      <w:r>
        <w:t>suggest that there is a significant differentiation between ∆</w:t>
      </w:r>
      <w:r w:rsidRPr="00332AA7">
        <w:rPr>
          <w:rStyle w:val="Bodytextitalic"/>
        </w:rPr>
        <w:sym w:font="Symbol" w:char="F073"/>
      </w:r>
      <w:r>
        <w:t xml:space="preserve"> for earthquakes at a depth of approximately </w:t>
      </w:r>
      <w:r w:rsidRPr="00332AA7">
        <w:rPr>
          <w:rStyle w:val="Bodytextitalic"/>
        </w:rPr>
        <w:t>h</w:t>
      </w:r>
      <w:r>
        <w:t xml:space="preserve"> = 10 km, with shallow earthquakes having consistently lower values of ∆</w:t>
      </w:r>
      <w:r w:rsidRPr="00332AA7">
        <w:rPr>
          <w:rStyle w:val="Bodytextitalic"/>
        </w:rPr>
        <w:sym w:font="Symbol" w:char="F073"/>
      </w:r>
      <w:r>
        <w:t xml:space="preserve"> than deeper events.  Notable examples of low Brune stress drop estimates for shallow earthquakes are the moderate magnitude 1994 </w:t>
      </w:r>
      <w:r w:rsidR="00172353" w:rsidRPr="00172353">
        <w:rPr>
          <w:rStyle w:val="Bodytextitalic"/>
        </w:rPr>
        <w:t>M</w:t>
      </w:r>
      <w:r w:rsidR="00172353" w:rsidRPr="00172353">
        <w:rPr>
          <w:rStyle w:val="Subscriptitalic"/>
        </w:rPr>
        <w:t>W</w:t>
      </w:r>
      <w:r w:rsidR="00172353">
        <w:t xml:space="preserve"> </w:t>
      </w:r>
      <w:r>
        <w:t xml:space="preserve">4.7 Ellalong and 1999 </w:t>
      </w:r>
      <w:r w:rsidR="00172353" w:rsidRPr="00172353">
        <w:rPr>
          <w:rStyle w:val="Bodytextitalic"/>
        </w:rPr>
        <w:t>M</w:t>
      </w:r>
      <w:r w:rsidR="00172353" w:rsidRPr="00172353">
        <w:rPr>
          <w:rStyle w:val="Subscriptitalic"/>
        </w:rPr>
        <w:t>W</w:t>
      </w:r>
      <w:r w:rsidR="00172353">
        <w:t xml:space="preserve"> </w:t>
      </w:r>
      <w:r>
        <w:t xml:space="preserve">4.3 Appin earthquakes (see Table </w:t>
      </w:r>
      <w:r w:rsidR="00714DB3">
        <w:t>2</w:t>
      </w:r>
      <w:r w:rsidR="00224D2C">
        <w:t xml:space="preserve"> and Fig. 11</w:t>
      </w:r>
      <w:r>
        <w:t xml:space="preserve">). </w:t>
      </w:r>
      <w:r w:rsidR="004C30F0">
        <w:t xml:space="preserve"> R</w:t>
      </w:r>
      <w:r w:rsidR="00254EC1">
        <w:t>ather than a continuous variation, the change in ∆</w:t>
      </w:r>
      <w:r w:rsidR="00254EC1" w:rsidRPr="00332AA7">
        <w:rPr>
          <w:rStyle w:val="Bodytextitalic"/>
        </w:rPr>
        <w:sym w:font="Symbol" w:char="F073"/>
      </w:r>
      <w:r w:rsidR="00254EC1">
        <w:t xml:space="preserve"> with depth</w:t>
      </w:r>
      <w:r w:rsidR="00224D2C">
        <w:t>, there</w:t>
      </w:r>
      <w:r w:rsidR="00254EC1">
        <w:t xml:space="preserve"> appears to be a discrete step from relatively low-to-high</w:t>
      </w:r>
      <w:r w:rsidR="00224D2C">
        <w:t xml:space="preserve"> ∆</w:t>
      </w:r>
      <w:r w:rsidR="00224D2C" w:rsidRPr="00332AA7">
        <w:rPr>
          <w:rStyle w:val="Bodytextitalic"/>
        </w:rPr>
        <w:sym w:font="Symbol" w:char="F073"/>
      </w:r>
      <w:r w:rsidR="00254EC1">
        <w:t xml:space="preserve"> with increasing depth.  However, it should be noted that we do not expect stress drops to continue </w:t>
      </w:r>
      <w:r w:rsidR="00254EC1">
        <w:lastRenderedPageBreak/>
        <w:t>to increase with increasing depth due to thermal gradients in the crust</w:t>
      </w:r>
      <w:r w:rsidR="00224D2C">
        <w:t>, which</w:t>
      </w:r>
      <w:r w:rsidR="00254EC1">
        <w:t xml:space="preserve"> control the seismogenic depth</w:t>
      </w:r>
      <w:r w:rsidR="00224D2C">
        <w:t xml:space="preserve"> in continental crust</w:t>
      </w:r>
      <w:r w:rsidR="00254EC1">
        <w:t>.</w:t>
      </w:r>
    </w:p>
    <w:p w:rsidR="00B15AC0" w:rsidRPr="00E033F4" w:rsidRDefault="00551E1A" w:rsidP="00E033F4">
      <w:pPr>
        <w:pStyle w:val="InlineObject"/>
      </w:pPr>
      <w:r>
        <w:rPr>
          <w:noProof/>
        </w:rPr>
        <w:drawing>
          <wp:inline distT="0" distB="0" distL="0" distR="0">
            <wp:extent cx="3600450" cy="4343400"/>
            <wp:effectExtent l="0" t="0" r="0" b="0"/>
            <wp:docPr id="30" name="Picture 30" descr="sd_vs_mw_vs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d_vs_mw_vs_h"/>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0450" cy="4343400"/>
                    </a:xfrm>
                    <a:prstGeom prst="rect">
                      <a:avLst/>
                    </a:prstGeom>
                    <a:noFill/>
                    <a:ln>
                      <a:noFill/>
                    </a:ln>
                  </pic:spPr>
                </pic:pic>
              </a:graphicData>
            </a:graphic>
          </wp:inline>
        </w:drawing>
      </w:r>
    </w:p>
    <w:p w:rsidR="00B15AC0" w:rsidRPr="00CF6EBC" w:rsidRDefault="00B15AC0" w:rsidP="00714DB3">
      <w:pPr>
        <w:pStyle w:val="Captions"/>
        <w:rPr>
          <w:lang w:val="en-US"/>
        </w:rPr>
      </w:pPr>
      <w:bookmarkStart w:id="101" w:name="_Toc338429326"/>
      <w:r w:rsidRPr="00ED3EA1">
        <w:rPr>
          <w:rStyle w:val="Bodytextbold"/>
        </w:rPr>
        <w:t xml:space="preserve">Figure </w:t>
      </w:r>
      <w:r w:rsidRPr="00CF6EBC">
        <w:rPr>
          <w:b/>
        </w:rPr>
        <w:fldChar w:fldCharType="begin"/>
      </w:r>
      <w:r w:rsidRPr="00CF6EBC">
        <w:rPr>
          <w:b/>
        </w:rPr>
        <w:instrText xml:space="preserve"> SEQ Figure \* ARABIC </w:instrText>
      </w:r>
      <w:r w:rsidRPr="00CF6EBC">
        <w:rPr>
          <w:b/>
        </w:rPr>
        <w:fldChar w:fldCharType="separate"/>
      </w:r>
      <w:r w:rsidR="007D4E78">
        <w:rPr>
          <w:b/>
          <w:noProof/>
        </w:rPr>
        <w:t>12</w:t>
      </w:r>
      <w:r w:rsidRPr="00CF6EBC">
        <w:rPr>
          <w:b/>
        </w:rPr>
        <w:fldChar w:fldCharType="end"/>
      </w:r>
      <w:r w:rsidR="00CF6EBC" w:rsidRPr="00ED3EA1">
        <w:rPr>
          <w:rStyle w:val="Bodytextbold"/>
        </w:rPr>
        <w:t>:</w:t>
      </w:r>
      <w:r w:rsidR="00CF6EBC">
        <w:t xml:space="preserve">  (a) The variation ∆</w:t>
      </w:r>
      <w:r w:rsidR="00CF6EBC" w:rsidRPr="00EF41AA">
        <w:sym w:font="Symbol" w:char="F073"/>
      </w:r>
      <w:r w:rsidR="00CF6EBC" w:rsidRPr="00EF41AA">
        <w:t xml:space="preserve"> </w:t>
      </w:r>
      <w:r w:rsidR="00CF6EBC">
        <w:t xml:space="preserve">with </w:t>
      </w:r>
      <w:r w:rsidR="00CF6EBC" w:rsidRPr="00CF6EBC">
        <w:t>M</w:t>
      </w:r>
      <w:r w:rsidR="00CF6EBC" w:rsidRPr="00CF6EBC">
        <w:rPr>
          <w:vertAlign w:val="subscript"/>
        </w:rPr>
        <w:t>W</w:t>
      </w:r>
      <w:r w:rsidR="00CF6EBC">
        <w:t>.  Brune stress drops for individual events are colour-coded by depth, h.  Solid black squares indicate the mean stress drop and its standard deviation for each 0.2 magnitude unit window.  (b) The variation ∆</w:t>
      </w:r>
      <w:r w:rsidR="00CF6EBC" w:rsidRPr="00EF41AA">
        <w:sym w:font="Symbol" w:char="F073"/>
      </w:r>
      <w:r w:rsidR="00CF6EBC">
        <w:t xml:space="preserve"> with </w:t>
      </w:r>
      <w:r w:rsidR="00E460E1">
        <w:t>depth</w:t>
      </w:r>
      <w:r w:rsidR="00CF6EBC">
        <w:t xml:space="preserve">.  Brune stress drops for individual events are colour-coded by </w:t>
      </w:r>
      <w:r w:rsidR="00E460E1" w:rsidRPr="00CF6EBC">
        <w:t>M</w:t>
      </w:r>
      <w:r w:rsidR="00E460E1" w:rsidRPr="00CF6EBC">
        <w:rPr>
          <w:vertAlign w:val="subscript"/>
        </w:rPr>
        <w:t>W</w:t>
      </w:r>
      <w:r w:rsidR="00CF6EBC">
        <w:t>.  Solid black squares indicate the mean stress drop and its standard deviation for each 2</w:t>
      </w:r>
      <w:r w:rsidR="00E460E1">
        <w:t xml:space="preserve"> km depth bin</w:t>
      </w:r>
      <w:r w:rsidR="00CF6EBC">
        <w:t>.</w:t>
      </w:r>
      <w:bookmarkEnd w:id="101"/>
    </w:p>
    <w:p w:rsidR="00B15AC0" w:rsidRPr="00AA11C8" w:rsidRDefault="00B15AC0" w:rsidP="00C409B2">
      <w:pPr>
        <w:pStyle w:val="BodyText"/>
      </w:pPr>
      <w:r>
        <w:t>Given the apparent differences in ∆</w:t>
      </w:r>
      <w:r w:rsidRPr="00332AA7">
        <w:rPr>
          <w:rStyle w:val="Bodytextitalic"/>
        </w:rPr>
        <w:sym w:font="Symbol" w:char="F073"/>
      </w:r>
      <w:r>
        <w:t xml:space="preserve"> with </w:t>
      </w:r>
      <w:r w:rsidRPr="00332AA7">
        <w:rPr>
          <w:rStyle w:val="Bodytextitalic"/>
        </w:rPr>
        <w:t>h</w:t>
      </w:r>
      <w:r>
        <w:t>, a single GMPE may not be appropriate to represent ground-motions from earthquakes</w:t>
      </w:r>
      <w:r w:rsidR="00087E43">
        <w:t xml:space="preserve"> in SEA</w:t>
      </w:r>
      <w:r>
        <w:t xml:space="preserve">.  It is suggested that GMPEs be developed for both shallow and deep earthquakes.  Consequently, the average Brune stress drop is calculated for shallow and deep events.  The </w:t>
      </w:r>
      <w:r w:rsidR="008216E4">
        <w:t xml:space="preserve">geometric mean of </w:t>
      </w:r>
      <w:r>
        <w:t xml:space="preserve">Brune stress drop is </w:t>
      </w:r>
      <w:r w:rsidRPr="00451151">
        <w:t>23 MPa and 50 M</w:t>
      </w:r>
      <w:r w:rsidR="008216E4">
        <w:t>P</w:t>
      </w:r>
      <w:r w:rsidRPr="00451151">
        <w:t>a</w:t>
      </w:r>
      <w:r>
        <w:t xml:space="preserve"> </w:t>
      </w:r>
      <w:r w:rsidR="00087E43">
        <w:t>(</w:t>
      </w:r>
      <w:r w:rsidR="001E61B1">
        <w:sym w:font="Symbol" w:char="F0B1"/>
      </w:r>
      <w:r w:rsidR="001E61B1">
        <w:t xml:space="preserve"> 0.31 log MPa) </w:t>
      </w:r>
      <w:r>
        <w:t>for shallow and deep events, respectively.  While these values might appear higher than what is considered normal</w:t>
      </w:r>
      <w:r w:rsidR="007539E8">
        <w:t xml:space="preserve"> </w:t>
      </w:r>
      <w:r w:rsidR="007539E8">
        <w:fldChar w:fldCharType="begin"/>
      </w:r>
      <w:r w:rsidR="00F202D0">
        <w:instrText xml:space="preserve"> ADDIN EN.CITE &lt;EndNote&gt;&lt;Cite&gt;&lt;Author&gt;Allmann&lt;/Author&gt;&lt;Year&gt;2009&lt;/Year&gt;&lt;RecNum&gt;839&lt;/RecNum&gt;&lt;Prefix&gt;e.g., &lt;/Prefix&gt;&lt;record&gt;&lt;rec-number&gt;839&lt;/rec-number&gt;&lt;foreign-keys&gt;&lt;key app="EN" db-id="se5z02d5txder3eax2p5wz5j59zvz2tdzdd2"&gt;839&lt;/key&gt;&lt;/foreign-keys&gt;&lt;ref-type name="Journal Article"&gt;17&lt;/ref-type&gt;&lt;contributors&gt;&lt;authors&gt;&lt;author&gt;Allmann, B. P.&lt;/author&gt;&lt;author&gt;Shearer, P. M.&lt;/author&gt;&lt;/authors&gt;&lt;/contributors&gt;&lt;titles&gt;&lt;title&gt;Global variations of stress drop for moderate to large earthquakes&lt;/title&gt;&lt;secondary-title&gt;J. Geophys. Res.&lt;/secondary-title&gt;&lt;/titles&gt;&lt;periodical&gt;&lt;full-title&gt;J. Geophys. Res.&lt;/full-title&gt;&lt;/periodical&gt;&lt;pages&gt;B01310&lt;/pages&gt;&lt;volume&gt;114&lt;/volume&gt;&lt;keywords&gt;&lt;keyword&gt;intraplate, interplate, stress drop&lt;/keyword&gt;&lt;/keywords&gt;&lt;dates&gt;&lt;year&gt;2009&lt;/year&gt;&lt;/dates&gt;&lt;urls&gt;&lt;pdf-urls&gt;&lt;url&gt;internal-pdf://Allmann &amp;amp; Shearer (2007).global.stress drop-1954994693/Allmann &amp;amp; Shearer (2007).global.stress drop.pdf&lt;/url&gt;&lt;/pdf-urls&gt;&lt;/urls&gt;&lt;electronic-resource-num&gt;doi:10.1029/2008JB005821&lt;/electronic-resource-num&gt;&lt;/record&gt;&lt;/Cite&gt;&lt;/EndNote&gt;</w:instrText>
      </w:r>
      <w:r w:rsidR="007539E8">
        <w:fldChar w:fldCharType="separate"/>
      </w:r>
      <w:r w:rsidR="007539E8">
        <w:t>(e.g., Allmann and Shearer, 2009)</w:t>
      </w:r>
      <w:r w:rsidR="007539E8">
        <w:fldChar w:fldCharType="end"/>
      </w:r>
      <w:r>
        <w:t xml:space="preserve">, they are </w:t>
      </w:r>
      <w:r w:rsidR="001E61B1">
        <w:t xml:space="preserve">similar </w:t>
      </w:r>
      <w:r>
        <w:t xml:space="preserve">with recent studies in ENA </w:t>
      </w:r>
      <w:r w:rsidR="007539E8">
        <w:fldChar w:fldCharType="begin"/>
      </w:r>
      <w:r w:rsidR="00F202D0">
        <w:instrText xml:space="preserve"> ADDIN EN.CITE &lt;EndNote&gt;&lt;Cite&gt;&lt;Author&gt;Boore&lt;/Author&gt;&lt;Year&gt;2012&lt;/Year&gt;&lt;RecNum&gt;1150&lt;/RecNum&gt;&lt;record&gt;&lt;rec-number&gt;1150&lt;/rec-number&gt;&lt;foreign-keys&gt;&lt;key app="EN" db-id="se5z02d5txder3eax2p5wz5j59zvz2tdzdd2"&gt;1150&lt;/key&gt;&lt;/foreign-keys&gt;&lt;ref-type name="Journal Article"&gt;17&lt;/ref-type&gt;&lt;contributors&gt;&lt;authors&gt;&lt;author&gt;Boore, D. M.&lt;/author&gt;&lt;/authors&gt;&lt;/contributors&gt;&lt;titles&gt;&lt;title&gt;Updated determination of stress parameters for nine well-recorded earthquakes in eastern North America&lt;/title&gt;&lt;secondary-title&gt;Seism. Res. Lett.&lt;/secondary-title&gt;&lt;/titles&gt;&lt;periodical&gt;&lt;full-title&gt;Seism. Res. Lett.&lt;/full-title&gt;&lt;/periodical&gt;&lt;pages&gt;190-199&lt;/pages&gt;&lt;volume&gt;83&lt;/volume&gt;&lt;number&gt;1&lt;/number&gt;&lt;keywords&gt;&lt;keyword&gt;stress drop, attenuation, ENA&lt;/keyword&gt;&lt;/keywords&gt;&lt;dates&gt;&lt;year&gt;2012&lt;/year&gt;&lt;/dates&gt;&lt;urls&gt;&lt;pdf-urls&gt;&lt;url&gt;internal-pdf://Boore (2012).ENA.stress_parameters-1590049541/Boore (2012).ENA.stress_parameters.pdf&lt;/url&gt;&lt;/pdf-urls&gt;&lt;/urls&gt;&lt;electronic-resource-num&gt;doi: 10.1785/gssrl.83.1.190&lt;/electronic-resource-num&gt;&lt;/record&gt;&lt;/Cite&gt;&lt;Cite&gt;&lt;Author&gt;Boore&lt;/Author&gt;&lt;Year&gt;2010&lt;/Year&gt;&lt;RecNum&gt;805&lt;/RecNum&gt;&lt;record&gt;&lt;rec-number&gt;805&lt;/rec-number&gt;&lt;foreign-keys&gt;&lt;key app="EN" db-id="se5z02d5txder3eax2p5wz5j59zvz2tdzdd2"&gt;805&lt;/key&gt;&lt;/foreign-keys&gt;&lt;ref-type name="Journal Article"&gt;17&lt;/ref-type&gt;&lt;contributors&gt;&lt;authors&gt;&lt;author&gt;Boore, D. M.&lt;/author&gt;&lt;author&gt;Campbell, K. W.&lt;/author&gt;&lt;author&gt;Atkinson, G. M.&lt;/author&gt;&lt;/authors&gt;&lt;/contributors&gt;&lt;titles&gt;&lt;title&gt;Determination of stress parameters for eight well-recorded earthquakes in eastern North America&lt;/title&gt;&lt;secondary-title&gt;Bull. Seism. Soc. Am.&lt;/secondary-title&gt;&lt;/titles&gt;&lt;periodical&gt;&lt;full-title&gt;Bull. Seism. Soc. Am.&lt;/full-title&gt;&lt;/periodical&gt;&lt;pages&gt;1632–1645&lt;/pages&gt;&lt;volume&gt;100&lt;/volume&gt;&lt;number&gt;4&lt;/number&gt;&lt;keywords&gt;&lt;keyword&gt;stress drop, kappa, high-frequency, stress parameter, ENA&lt;/keyword&gt;&lt;/keywords&gt;&lt;dates&gt;&lt;year&gt;2010&lt;/year&gt;&lt;/dates&gt;&lt;urls&gt;&lt;pdf-urls&gt;&lt;url&gt;internal-pdf://Boore etal (2010).ENA.stress_parameter-2899498760/Boore etal (2010).ENA.stress_parameter.pdf&lt;/url&gt;&lt;/pdf-urls&gt;&lt;/urls&gt;&lt;/record&gt;&lt;/Cite&gt;&lt;/EndNote&gt;</w:instrText>
      </w:r>
      <w:r w:rsidR="007539E8">
        <w:fldChar w:fldCharType="separate"/>
      </w:r>
      <w:r w:rsidR="007539E8">
        <w:t>(Boore</w:t>
      </w:r>
      <w:r w:rsidR="007539E8" w:rsidRPr="007539E8">
        <w:rPr>
          <w:i/>
        </w:rPr>
        <w:t xml:space="preserve"> et al.</w:t>
      </w:r>
      <w:r w:rsidR="007539E8">
        <w:t>, 2010; Boore, 2012)</w:t>
      </w:r>
      <w:r w:rsidR="007539E8">
        <w:fldChar w:fldCharType="end"/>
      </w:r>
      <w:r w:rsidR="001E61B1">
        <w:t xml:space="preserve"> and internally consistent with the attenuation parameters derived herein</w:t>
      </w:r>
      <w:r>
        <w:t>.</w:t>
      </w:r>
    </w:p>
    <w:p w:rsidR="00B15AC0" w:rsidRDefault="00087E43" w:rsidP="005C7510">
      <w:pPr>
        <w:pStyle w:val="Heading2"/>
      </w:pPr>
      <w:bookmarkStart w:id="102" w:name="_Toc319656514"/>
      <w:bookmarkStart w:id="103" w:name="_Toc319656603"/>
      <w:bookmarkStart w:id="104" w:name="_Toc319918557"/>
      <w:bookmarkStart w:id="105" w:name="_Toc319918826"/>
      <w:r>
        <w:br w:type="page"/>
      </w:r>
      <w:bookmarkStart w:id="106" w:name="_Toc349112537"/>
      <w:r w:rsidR="00B15AC0">
        <w:lastRenderedPageBreak/>
        <w:t>Duration of Motion</w:t>
      </w:r>
      <w:bookmarkEnd w:id="102"/>
      <w:bookmarkEnd w:id="103"/>
      <w:bookmarkEnd w:id="104"/>
      <w:bookmarkEnd w:id="105"/>
      <w:bookmarkEnd w:id="106"/>
    </w:p>
    <w:p w:rsidR="00B15AC0" w:rsidRDefault="00B15AC0" w:rsidP="00C409B2">
      <w:pPr>
        <w:pStyle w:val="BodyText"/>
      </w:pPr>
      <w:r>
        <w:t xml:space="preserve">The duration </w:t>
      </w:r>
      <w:r w:rsidRPr="00332AA7">
        <w:rPr>
          <w:rStyle w:val="Bodytextitalic"/>
        </w:rPr>
        <w:t>T</w:t>
      </w:r>
      <w:r>
        <w:t xml:space="preserve"> of an earthquake coda at a hypocentral distance </w:t>
      </w:r>
      <w:r w:rsidRPr="00332AA7">
        <w:rPr>
          <w:rStyle w:val="Bodytextitalic"/>
        </w:rPr>
        <w:t xml:space="preserve">R </w:t>
      </w:r>
      <w:r>
        <w:t>is generally represented as:</w:t>
      </w:r>
    </w:p>
    <w:p w:rsidR="00B15AC0" w:rsidRPr="006D273C" w:rsidRDefault="00B15AC0" w:rsidP="00BF4007">
      <w:pPr>
        <w:pStyle w:val="Equation"/>
      </w:pPr>
      <w:r w:rsidRPr="006D273C">
        <w:rPr>
          <w:i/>
          <w:spacing w:val="30"/>
          <w:szCs w:val="24"/>
        </w:rPr>
        <w:t>T</w:t>
      </w:r>
      <w:r w:rsidR="00EF41AA">
        <w:t>(</w:t>
      </w:r>
      <w:r w:rsidR="00EF41AA">
        <w:rPr>
          <w:i/>
        </w:rPr>
        <w:t>R</w:t>
      </w:r>
      <w:r w:rsidR="00EF41AA">
        <w:t>)</w:t>
      </w:r>
      <w:r>
        <w:t xml:space="preserve"> = </w:t>
      </w:r>
      <w:r>
        <w:rPr>
          <w:i/>
        </w:rPr>
        <w:t>T</w:t>
      </w:r>
      <w:r w:rsidRPr="006D273C">
        <w:rPr>
          <w:vertAlign w:val="subscript"/>
        </w:rPr>
        <w:t>0</w:t>
      </w:r>
      <w:r>
        <w:t xml:space="preserve"> + </w:t>
      </w:r>
      <w:r>
        <w:rPr>
          <w:i/>
        </w:rPr>
        <w:t>dR</w:t>
      </w:r>
      <w:r>
        <w:t>,</w:t>
      </w:r>
      <w:r>
        <w:rPr>
          <w:i/>
        </w:rPr>
        <w:tab/>
      </w:r>
      <w:r>
        <w:t>(1</w:t>
      </w:r>
      <w:r w:rsidR="00842C9B">
        <w:t>5</w:t>
      </w:r>
      <w:r>
        <w:t>)</w:t>
      </w:r>
    </w:p>
    <w:p w:rsidR="00B15AC0" w:rsidRPr="00BC401A" w:rsidRDefault="00B15AC0" w:rsidP="00C409B2">
      <w:pPr>
        <w:pStyle w:val="BodyText"/>
      </w:pPr>
      <w:r>
        <w:t xml:space="preserve">where </w:t>
      </w:r>
      <w:r w:rsidRPr="00332AA7">
        <w:rPr>
          <w:rStyle w:val="Bodytextitalic"/>
        </w:rPr>
        <w:t>T</w:t>
      </w:r>
      <w:r w:rsidRPr="006D273C">
        <w:rPr>
          <w:vertAlign w:val="subscript"/>
        </w:rPr>
        <w:t>0</w:t>
      </w:r>
      <w:r>
        <w:t xml:space="preserve"> (= </w:t>
      </w:r>
      <w:r w:rsidRPr="00ED3EA1">
        <w:t>1</w:t>
      </w:r>
      <w:r w:rsidRPr="00A928CA">
        <w:rPr>
          <w:spacing w:val="40"/>
        </w:rPr>
        <w:t>/</w:t>
      </w:r>
      <w:r w:rsidRPr="00332AA7">
        <w:rPr>
          <w:rStyle w:val="Bodytextitalic"/>
        </w:rPr>
        <w:t>f</w:t>
      </w:r>
      <w:r w:rsidRPr="00F37231">
        <w:rPr>
          <w:vertAlign w:val="subscript"/>
        </w:rPr>
        <w:t>0</w:t>
      </w:r>
      <w:r>
        <w:t xml:space="preserve">) is the source duration and </w:t>
      </w:r>
      <w:r w:rsidRPr="00332AA7">
        <w:rPr>
          <w:rStyle w:val="Bodytextitalic"/>
        </w:rPr>
        <w:t>d</w:t>
      </w:r>
      <w:r>
        <w:t xml:space="preserve"> is the coefficient that controls the increase of duration with distance </w:t>
      </w:r>
      <w:r>
        <w:fldChar w:fldCharType="begin"/>
      </w:r>
      <w:r w:rsidR="00F202D0">
        <w:instrText xml:space="preserve"> ADDIN EN.CITE &lt;EndNote&gt;&lt;Cite&gt;&lt;Author&gt;Atkinson&lt;/Author&gt;&lt;Year&gt;1995&lt;/Year&gt;&lt;RecNum&gt;92&lt;/RecNum&gt;&lt;record&gt;&lt;rec-number&gt;92&lt;/rec-number&gt;&lt;foreign-keys&gt;&lt;key app="EN" db-id="se5z02d5txder3eax2p5wz5j59zvz2tdzdd2"&gt;92&lt;/key&gt;&lt;/foreign-keys&gt;&lt;ref-type name="Journal Article"&gt;17&lt;/ref-type&gt;&lt;contributors&gt;&lt;authors&gt;&lt;author&gt;Atkinson, G. M.&lt;/author&gt;&lt;author&gt;Boore, D. M.&lt;/author&gt;&lt;/authors&gt;&lt;/contributors&gt;&lt;titles&gt;&lt;title&gt;Ground-motion relations for eastern North America&lt;/title&gt;&lt;secondary-title&gt;Bull. Seism. Soc. Am.&lt;/secondary-title&gt;&lt;/titles&gt;&lt;periodical&gt;&lt;full-title&gt;Bull. Seism. Soc. Am.&lt;/full-title&gt;&lt;/periodical&gt;&lt;pages&gt;17-30&lt;/pages&gt;&lt;volume&gt;85&lt;/volume&gt;&lt;number&gt;1&lt;/number&gt;&lt;dates&gt;&lt;year&gt;1995&lt;/year&gt;&lt;pub-dates&gt;&lt;date&gt;February 1995&lt;/date&gt;&lt;/pub-dates&gt;&lt;/dates&gt;&lt;urls&gt;&lt;pdf-urls&gt;&lt;url&gt;internal-pdf://Atkinson and Boore (1995) ground motion E. NA-4047333632/Atkinson and Boore (1995) ground motion E. NA.pdf&lt;/url&gt;&lt;/pdf-urls&gt;&lt;/urls&gt;&lt;/record&gt;&lt;/Cite&gt;&lt;/EndNote&gt;</w:instrText>
      </w:r>
      <w:r>
        <w:fldChar w:fldCharType="separate"/>
      </w:r>
      <w:r>
        <w:rPr>
          <w:noProof/>
        </w:rPr>
        <w:t>(Atkinson and Boore, 1995)</w:t>
      </w:r>
      <w:r>
        <w:fldChar w:fldCharType="end"/>
      </w:r>
      <w:r>
        <w:t xml:space="preserve">.  Each velocity time-history </w:t>
      </w:r>
      <w:r w:rsidR="00894B5A">
        <w:t xml:space="preserve">was </w:t>
      </w:r>
      <w:r>
        <w:t xml:space="preserve">band-pass filtered between frequencies 0.707 </w:t>
      </w:r>
      <w:r w:rsidRPr="00332AA7">
        <w:rPr>
          <w:rStyle w:val="Bodytextitalic"/>
        </w:rPr>
        <w:t>fn</w:t>
      </w:r>
      <w:r>
        <w:t xml:space="preserve"> </w:t>
      </w:r>
      <w:r>
        <w:sym w:font="Symbol" w:char="F0A3"/>
      </w:r>
      <w:r>
        <w:t xml:space="preserve"> </w:t>
      </w:r>
      <w:r w:rsidRPr="00332AA7">
        <w:rPr>
          <w:rStyle w:val="Bodytextitalic"/>
        </w:rPr>
        <w:t>fn</w:t>
      </w:r>
      <w:r>
        <w:t xml:space="preserve"> </w:t>
      </w:r>
      <w:r>
        <w:sym w:font="Symbol" w:char="F0A3"/>
      </w:r>
      <w:r>
        <w:t xml:space="preserve"> 1.414 </w:t>
      </w:r>
      <w:r w:rsidRPr="00332AA7">
        <w:rPr>
          <w:rStyle w:val="Bodytextitalic"/>
        </w:rPr>
        <w:t>fn</w:t>
      </w:r>
      <w:r>
        <w:t xml:space="preserve"> using a fourth-order Butterworth filter, where </w:t>
      </w:r>
      <w:r w:rsidRPr="00332AA7">
        <w:rPr>
          <w:rStyle w:val="Bodytextitalic"/>
        </w:rPr>
        <w:t>fn</w:t>
      </w:r>
      <w:r>
        <w:t xml:space="preserve"> represents a suite of frequencies between 2 and 10 Hz </w:t>
      </w:r>
      <w:r>
        <w:fldChar w:fldCharType="begin"/>
      </w:r>
      <w:r w:rsidR="00F202D0">
        <w:instrText xml:space="preserve"> ADDIN EN.CITE &lt;EndNote&gt;&lt;Cite&gt;&lt;Author&gt;Raoof&lt;/Author&gt;&lt;Year&gt;1999&lt;/Year&gt;&lt;RecNum&gt;588&lt;/RecNum&gt;&lt;Prefix&gt;e.g.`, &lt;/Prefix&gt;&lt;record&gt;&lt;rec-number&gt;588&lt;/rec-number&gt;&lt;foreign-keys&gt;&lt;key app="EN" db-id="se5z02d5txder3eax2p5wz5j59zvz2tdzdd2"&gt;588&lt;/key&gt;&lt;/foreign-keys&gt;&lt;ref-type name="Journal Article"&gt;17&lt;/ref-type&gt;&lt;contributors&gt;&lt;authors&gt;&lt;author&gt;Raoof, M.&lt;/author&gt;&lt;author&gt;Herrmann, R. B.&lt;/author&gt;&lt;author&gt;Malagnini, L.&lt;/author&gt;&lt;/authors&gt;&lt;/contributors&gt;&lt;titles&gt;&lt;title&gt;Attenuation and excitation of three-component ground motion in southern California&lt;/title&gt;&lt;secondary-title&gt;Bull. Seism. Soc. Am.&lt;/secondary-title&gt;&lt;/titles&gt;&lt;periodical&gt;&lt;full-title&gt;Bull. Seism. Soc. Am.&lt;/full-title&gt;&lt;/periodical&gt;&lt;pages&gt;888-902&lt;/pages&gt;&lt;volume&gt;89&lt;/volume&gt;&lt;number&gt;4&lt;/number&gt;&lt;keywords&gt;&lt;keyword&gt;southern California, attenuation, Q, quality factor, geometrical spreading&lt;/keyword&gt;&lt;/keywords&gt;&lt;dates&gt;&lt;year&gt;1999&lt;/year&gt;&lt;/dates&gt;&lt;urls&gt;&lt;pdf-urls&gt;&lt;url&gt;internal-pdf://Raoof etal (1999).SoCal.attenuation.Q-0417940741/Raoof etal (1999).SoCal.attenuation.Q.pdf&lt;/url&gt;&lt;/pdf-urls&gt;&lt;/urls&gt;&lt;/record&gt;&lt;/Cite&gt;&lt;/EndNote&gt;</w:instrText>
      </w:r>
      <w:r>
        <w:fldChar w:fldCharType="separate"/>
      </w:r>
      <w:r>
        <w:rPr>
          <w:noProof/>
        </w:rPr>
        <w:t>(e.g., Raoof</w:t>
      </w:r>
      <w:r w:rsidRPr="003D3528">
        <w:rPr>
          <w:i/>
          <w:noProof/>
        </w:rPr>
        <w:t xml:space="preserve"> et al.</w:t>
      </w:r>
      <w:r>
        <w:rPr>
          <w:noProof/>
        </w:rPr>
        <w:t>, 1999)</w:t>
      </w:r>
      <w:r>
        <w:fldChar w:fldCharType="end"/>
      </w:r>
      <w:r>
        <w:t xml:space="preserve">.  The filtered time histories were then squared and integrated over time.  The integration begins at the </w:t>
      </w:r>
      <w:r>
        <w:softHyphen/>
      </w:r>
      <w:r w:rsidRPr="00332AA7">
        <w:rPr>
          <w:rStyle w:val="Bodytextitalic"/>
        </w:rPr>
        <w:t>S</w:t>
      </w:r>
      <w:r>
        <w:t xml:space="preserve">-wave arrival and continues into the coda until an energy plateau is reached </w:t>
      </w:r>
      <w:r>
        <w:fldChar w:fldCharType="begin"/>
      </w:r>
      <w:r w:rsidR="00F202D0">
        <w:instrText xml:space="preserve"> ADDIN EN.CITE &lt;EndNote&gt;&lt;Cite&gt;&lt;Author&gt;Bay&lt;/Author&gt;&lt;Year&gt;2003&lt;/Year&gt;&lt;RecNum&gt;1093&lt;/RecNum&gt;&lt;Prefix&gt;e.g.`, &lt;/Prefix&gt;&lt;record&gt;&lt;rec-number&gt;1093&lt;/rec-number&gt;&lt;foreign-keys&gt;&lt;key app="EN" db-id="se5z02d5txder3eax2p5wz5j59zvz2tdzdd2"&gt;1093&lt;/key&gt;&lt;/foreign-keys&gt;&lt;ref-type name="Journal Article"&gt;17&lt;/ref-type&gt;&lt;contributors&gt;&lt;authors&gt;&lt;author&gt;Bay, F.&lt;/author&gt;&lt;author&gt;Fäh, D.&lt;/author&gt;&lt;author&gt;Malagnini, L.&lt;/author&gt;&lt;author&gt;Giardini, D.&lt;/author&gt;&lt;/authors&gt;&lt;/contributors&gt;&lt;titles&gt;&lt;title&gt;Spectral shear-wave ground-motion scaling in Switzerland&lt;/title&gt;&lt;secondary-title&gt;Bull. Seism. Soc. Am.&lt;/secondary-title&gt;&lt;/titles&gt;&lt;periodical&gt;&lt;full-title&gt;Bull. Seism. Soc. Am.&lt;/full-title&gt;&lt;/periodical&gt;&lt;pages&gt;414–429&lt;/pages&gt;&lt;volume&gt;93&lt;/volume&gt;&lt;number&gt;1&lt;/number&gt;&lt;keywords&gt;&lt;keyword&gt;stress drop, intraplate, source scaling, kappa, stable continent, duration&lt;/keyword&gt;&lt;/keywords&gt;&lt;dates&gt;&lt;year&gt;2003&lt;/year&gt;&lt;/dates&gt;&lt;urls&gt;&lt;pdf-urls&gt;&lt;url&gt;internal-pdf://Bay etal (2003).Swiss.gm_scaling-3633770752/Bay etal (2003).Swiss.gm_scaling.pdf&lt;/url&gt;&lt;/pdf-urls&gt;&lt;/urls&gt;&lt;/record&gt;&lt;/Cite&gt;&lt;/EndNote&gt;</w:instrText>
      </w:r>
      <w:r>
        <w:fldChar w:fldCharType="separate"/>
      </w:r>
      <w:r>
        <w:rPr>
          <w:noProof/>
        </w:rPr>
        <w:t>(e.g., Bay</w:t>
      </w:r>
      <w:r w:rsidRPr="003D3528">
        <w:rPr>
          <w:i/>
          <w:noProof/>
        </w:rPr>
        <w:t xml:space="preserve"> et al.</w:t>
      </w:r>
      <w:r>
        <w:rPr>
          <w:noProof/>
        </w:rPr>
        <w:t>, 2003)</w:t>
      </w:r>
      <w:r>
        <w:fldChar w:fldCharType="end"/>
      </w:r>
      <w:r>
        <w:t xml:space="preserve">.  Because many of the seismograms are not continuous recordings, the </w:t>
      </w:r>
      <w:r w:rsidRPr="00332AA7">
        <w:rPr>
          <w:rStyle w:val="Bodytextitalic"/>
        </w:rPr>
        <w:t>S</w:t>
      </w:r>
      <w:r>
        <w:t xml:space="preserve">-wave coda can often be incomplete for the purposes of estimating duration of ground shaking.  Consequently, a if the integral varied by more than 2% of the total integral in the final two seconds of the time-history, the record was rejected for further analysis.  </w:t>
      </w:r>
      <w:r w:rsidR="00D526C8">
        <w:t>In the present study</w:t>
      </w:r>
      <w:r>
        <w:t xml:space="preserve">, the duration </w:t>
      </w:r>
      <w:r w:rsidRPr="00332AA7">
        <w:rPr>
          <w:rStyle w:val="Bodytextitalic"/>
        </w:rPr>
        <w:t>T</w:t>
      </w:r>
      <w:r w:rsidR="00EF41AA">
        <w:t>(</w:t>
      </w:r>
      <w:r w:rsidR="00EF41AA" w:rsidRPr="00332AA7">
        <w:rPr>
          <w:rStyle w:val="Bodytextitalic"/>
        </w:rPr>
        <w:t>R</w:t>
      </w:r>
      <w:r w:rsidR="00EF41AA">
        <w:t>)</w:t>
      </w:r>
      <w:r>
        <w:t xml:space="preserve"> was estimated as the time window within which the integral reaches 5-80% of its total value.  The source duration </w:t>
      </w:r>
      <w:r w:rsidRPr="00332AA7">
        <w:rPr>
          <w:rStyle w:val="Bodytextitalic"/>
        </w:rPr>
        <w:t>T</w:t>
      </w:r>
      <w:r>
        <w:rPr>
          <w:vertAlign w:val="subscript"/>
        </w:rPr>
        <w:t>0</w:t>
      </w:r>
      <w:r>
        <w:t xml:space="preserve"> was then subtracted from the coda duration to determine the distance-dependent coefficient, </w:t>
      </w:r>
      <w:r w:rsidRPr="00332AA7">
        <w:rPr>
          <w:rStyle w:val="Bodytextitalic"/>
        </w:rPr>
        <w:t>d</w:t>
      </w:r>
      <w:r>
        <w:t>.</w:t>
      </w:r>
    </w:p>
    <w:p w:rsidR="00B15AC0" w:rsidRDefault="00B15AC0" w:rsidP="00C409B2">
      <w:pPr>
        <w:pStyle w:val="BodyText"/>
      </w:pPr>
      <w:r>
        <w:t>Examination of distance-dependent duration functions indicate very subtle variations with frequency for the frequency range considered.  Consequently, the duration of earthquake coda is taken as that given by the filtered time-histories about 1.0 Hz (Fig. 1</w:t>
      </w:r>
      <w:r w:rsidR="007A1429">
        <w:t>4</w:t>
      </w:r>
      <w:r>
        <w:t xml:space="preserve">).  The shape of the distance-dependent tri-linear duration function is similar to that given by Atkinson and Boore </w:t>
      </w:r>
      <w:r>
        <w:fldChar w:fldCharType="begin"/>
      </w:r>
      <w:r w:rsidR="00F202D0">
        <w:instrText xml:space="preserve"> ADDIN EN.CITE &lt;EndNote&gt;&lt;Cite ExcludeAuth="1"&gt;&lt;Author&gt;Atkinson&lt;/Author&gt;&lt;Year&gt;1995&lt;/Year&gt;&lt;RecNum&gt;92&lt;/RecNum&gt;&lt;record&gt;&lt;rec-number&gt;92&lt;/rec-number&gt;&lt;foreign-keys&gt;&lt;key app="EN" db-id="se5z02d5txder3eax2p5wz5j59zvz2tdzdd2"&gt;92&lt;/key&gt;&lt;/foreign-keys&gt;&lt;ref-type name="Journal Article"&gt;17&lt;/ref-type&gt;&lt;contributors&gt;&lt;authors&gt;&lt;author&gt;Atkinson, G. M.&lt;/author&gt;&lt;author&gt;Boore, D. M.&lt;/author&gt;&lt;/authors&gt;&lt;/contributors&gt;&lt;titles&gt;&lt;title&gt;Ground-motion relations for eastern North America&lt;/title&gt;&lt;secondary-title&gt;Bull. Seism. Soc. Am.&lt;/secondary-title&gt;&lt;/titles&gt;&lt;periodical&gt;&lt;full-title&gt;Bull. Seism. Soc. Am.&lt;/full-title&gt;&lt;/periodical&gt;&lt;pages&gt;17-30&lt;/pages&gt;&lt;volume&gt;85&lt;/volume&gt;&lt;number&gt;1&lt;/number&gt;&lt;dates&gt;&lt;year&gt;1995&lt;/year&gt;&lt;pub-dates&gt;&lt;date&gt;February 1995&lt;/date&gt;&lt;/pub-dates&gt;&lt;/dates&gt;&lt;urls&gt;&lt;pdf-urls&gt;&lt;url&gt;internal-pdf://Atkinson and Boore (1995) ground motion E. NA-4047333632/Atkinson and Boore (1995) ground motion E. NA.pdf&lt;/url&gt;&lt;/pdf-urls&gt;&lt;/urls&gt;&lt;/record&gt;&lt;/Cite&gt;&lt;/EndNote&gt;</w:instrText>
      </w:r>
      <w:r>
        <w:fldChar w:fldCharType="separate"/>
      </w:r>
      <w:r>
        <w:rPr>
          <w:noProof/>
        </w:rPr>
        <w:t>(1995)</w:t>
      </w:r>
      <w:r>
        <w:fldChar w:fldCharType="end"/>
      </w:r>
      <w:r>
        <w:t xml:space="preserve"> for ENA.  However, at larger distances the SEA coda durations are significantly less than those observed for ENA, by up to 6.5 seconds at some distances.  </w:t>
      </w:r>
      <w:r w:rsidR="001D5670">
        <w:t xml:space="preserve">Decreasing </w:t>
      </w:r>
      <w:r>
        <w:t xml:space="preserve">duration generally results in larger ground-motions because the total energy is condensed into a shorter time window </w:t>
      </w:r>
      <w:r>
        <w:fldChar w:fldCharType="begin"/>
      </w:r>
      <w:r w:rsidR="00F202D0">
        <w:instrText xml:space="preserve"> ADDIN EN.CITE &lt;EndNote&gt;&lt;Cite&gt;&lt;Author&gt;Atkinson&lt;/Author&gt;&lt;Year&gt;1993&lt;/Year&gt;&lt;RecNum&gt;1045&lt;/RecNum&gt;&lt;record&gt;&lt;rec-number&gt;1045&lt;/rec-number&gt;&lt;foreign-keys&gt;&lt;key app="EN" db-id="se5z02d5txder3eax2p5wz5j59zvz2tdzdd2"&gt;1045&lt;/key&gt;&lt;/foreign-keys&gt;&lt;ref-type name="Journal Article"&gt;17&lt;/ref-type&gt;&lt;contributors&gt;&lt;authors&gt;&lt;author&gt;Atkinson, G. M.&lt;/author&gt;&lt;/authors&gt;&lt;/contributors&gt;&lt;titles&gt;&lt;title&gt;Notes on ground motion parameters for eastern North America: duration and H/V ratio&lt;/title&gt;&lt;secondary-title&gt;Bull. Seism. Soc. Am.&lt;/secondary-title&gt;&lt;/titles&gt;&lt;periodical&gt;&lt;full-title&gt;Bull. Seism. Soc. Am.&lt;/full-title&gt;&lt;/periodical&gt;&lt;pages&gt;587-596&lt;/pages&gt;&lt;volume&gt;83&lt;/volume&gt;&lt;number&gt;2&lt;/number&gt;&lt;keywords&gt;&lt;keyword&gt;duration&lt;/keyword&gt;&lt;/keywords&gt;&lt;dates&gt;&lt;year&gt;1993&lt;/year&gt;&lt;/dates&gt;&lt;urls&gt;&lt;pdf-urls&gt;&lt;url&gt;internal-pdf://Atkinson (1993).H-V.duration-0644249345/Atkinson (1993).H-V.duration.pdf&lt;/url&gt;&lt;/pdf-urls&gt;&lt;/urls&gt;&lt;/record&gt;&lt;/Cite&gt;&lt;/EndNote&gt;</w:instrText>
      </w:r>
      <w:r>
        <w:fldChar w:fldCharType="separate"/>
      </w:r>
      <w:r>
        <w:rPr>
          <w:noProof/>
        </w:rPr>
        <w:t>(Atkinson, 1993)</w:t>
      </w:r>
      <w:r>
        <w:fldChar w:fldCharType="end"/>
      </w:r>
      <w:r>
        <w:t xml:space="preserve">.  Using the transition distances of </w:t>
      </w:r>
      <w:r w:rsidRPr="00332AA7">
        <w:rPr>
          <w:rStyle w:val="Bodytextitalic"/>
        </w:rPr>
        <w:t>R</w:t>
      </w:r>
      <w:r w:rsidRPr="00BC220E">
        <w:rPr>
          <w:rStyle w:val="Subscriptitalic"/>
        </w:rPr>
        <w:t>d</w:t>
      </w:r>
      <w:r w:rsidRPr="00BC220E">
        <w:rPr>
          <w:rStyle w:val="Subscript"/>
        </w:rPr>
        <w:t>1</w:t>
      </w:r>
      <w:r>
        <w:t xml:space="preserve"> = </w:t>
      </w:r>
      <w:r w:rsidRPr="00466398">
        <w:t>70</w:t>
      </w:r>
      <w:r>
        <w:t xml:space="preserve"> and </w:t>
      </w:r>
      <w:r w:rsidRPr="00332AA7">
        <w:rPr>
          <w:rStyle w:val="Bodytextitalic"/>
        </w:rPr>
        <w:t>R</w:t>
      </w:r>
      <w:r w:rsidRPr="00BC220E">
        <w:rPr>
          <w:rStyle w:val="Subscriptitalic"/>
        </w:rPr>
        <w:t>d</w:t>
      </w:r>
      <w:r w:rsidRPr="00BC220E">
        <w:rPr>
          <w:rStyle w:val="Subscript"/>
        </w:rPr>
        <w:t>2</w:t>
      </w:r>
      <w:r>
        <w:t xml:space="preserve"> = 170 km the duration function can be defined by:</w:t>
      </w:r>
    </w:p>
    <w:p w:rsidR="00B15AC0" w:rsidRPr="0085201D" w:rsidRDefault="00B15AC0" w:rsidP="00BF4007">
      <w:pPr>
        <w:pStyle w:val="Equation"/>
      </w:pPr>
      <w:r w:rsidRPr="0085201D">
        <w:rPr>
          <w:position w:val="-50"/>
        </w:rPr>
        <w:object w:dxaOrig="4140" w:dyaOrig="1120">
          <v:shape id="_x0000_i1040" type="#_x0000_t75" style="width:206.85pt;height:56.3pt" o:ole="">
            <v:imagedata r:id="rId66" o:title=""/>
          </v:shape>
          <o:OLEObject Type="Embed" ProgID="Equation.3" ShapeID="_x0000_i1040" DrawAspect="Content" ObjectID="_1426934417" r:id="rId67"/>
        </w:object>
      </w:r>
      <w:r w:rsidRPr="0045468D">
        <w:t xml:space="preserve">   </w:t>
      </w:r>
      <w:r>
        <w:t xml:space="preserve">       </w:t>
      </w:r>
      <w:r w:rsidRPr="0085201D">
        <w:rPr>
          <w:position w:val="-48"/>
        </w:rPr>
        <w:object w:dxaOrig="1420" w:dyaOrig="1080">
          <v:shape id="_x0000_i1041" type="#_x0000_t75" style="width:71.5pt;height:54.25pt" o:ole="">
            <v:imagedata r:id="rId68" o:title=""/>
          </v:shape>
          <o:OLEObject Type="Embed" ProgID="Equation.3" ShapeID="_x0000_i1041" DrawAspect="Content" ObjectID="_1426934418" r:id="rId69"/>
        </w:object>
      </w:r>
      <w:r w:rsidRPr="0045468D">
        <w:t xml:space="preserve"> </w:t>
      </w:r>
      <w:r>
        <w:rPr>
          <w:position w:val="-52"/>
        </w:rPr>
        <w:tab/>
      </w:r>
      <w:r>
        <w:t>(1</w:t>
      </w:r>
      <w:r w:rsidR="00842C9B">
        <w:t>6</w:t>
      </w:r>
      <w:r w:rsidRPr="0045468D">
        <w:t>)</w:t>
      </w:r>
    </w:p>
    <w:p w:rsidR="00B15AC0" w:rsidRDefault="00B15AC0" w:rsidP="00332AA7">
      <w:pPr>
        <w:pStyle w:val="BodyText"/>
      </w:pPr>
      <w:r>
        <w:t xml:space="preserve">where </w:t>
      </w:r>
      <w:r w:rsidRPr="00332AA7">
        <w:rPr>
          <w:rStyle w:val="Bodytextitalic"/>
        </w:rPr>
        <w:t>d</w:t>
      </w:r>
      <w:r>
        <w:rPr>
          <w:vertAlign w:val="subscript"/>
        </w:rPr>
        <w:t>1</w:t>
      </w:r>
      <w:r>
        <w:t xml:space="preserve">, </w:t>
      </w:r>
      <w:r w:rsidRPr="00332AA7">
        <w:rPr>
          <w:rStyle w:val="Bodytextitalic"/>
        </w:rPr>
        <w:t>d</w:t>
      </w:r>
      <w:r>
        <w:rPr>
          <w:vertAlign w:val="subscript"/>
        </w:rPr>
        <w:t>2</w:t>
      </w:r>
      <w:r>
        <w:t xml:space="preserve"> </w:t>
      </w:r>
      <w:r w:rsidRPr="00466398">
        <w:t>and</w:t>
      </w:r>
      <w:r>
        <w:t xml:space="preserve"> </w:t>
      </w:r>
      <w:r w:rsidRPr="00332AA7">
        <w:rPr>
          <w:rStyle w:val="Bodytextitalic"/>
        </w:rPr>
        <w:t>d</w:t>
      </w:r>
      <w:r>
        <w:rPr>
          <w:vertAlign w:val="subscript"/>
        </w:rPr>
        <w:t>3</w:t>
      </w:r>
      <w:r>
        <w:t xml:space="preserve"> are </w:t>
      </w:r>
      <w:r w:rsidRPr="000608E4">
        <w:t>0.14, -0.04 and 0.07,</w:t>
      </w:r>
      <w:r>
        <w:t xml:space="preserve"> respectively at distances less than 400 km.  Limited empirical data beyond </w:t>
      </w:r>
      <w:r w:rsidR="00077303">
        <w:t>3</w:t>
      </w:r>
      <w:r>
        <w:t xml:space="preserve">00 km suggest a plateau in earthquake coda duration at larger distances.  </w:t>
      </w:r>
      <w:r w:rsidR="00077303">
        <w:t>Because</w:t>
      </w:r>
      <w:r>
        <w:t xml:space="preserve"> the GMPE defined herein </w:t>
      </w:r>
      <w:r w:rsidR="00077303">
        <w:t>is derived</w:t>
      </w:r>
      <w:r>
        <w:t xml:space="preserve"> for distances less than 400 km</w:t>
      </w:r>
      <w:r w:rsidR="00077303">
        <w:t xml:space="preserve">, the duration model up to 300 km is extrapolated to larger distances because EXSIM cannot accommodate </w:t>
      </w:r>
      <w:r w:rsidR="00FE1618">
        <w:t>a more complicated</w:t>
      </w:r>
      <w:r w:rsidR="00077303">
        <w:t xml:space="preserve"> functional form</w:t>
      </w:r>
      <w:r>
        <w:t>.</w:t>
      </w:r>
      <w:r w:rsidR="00077303">
        <w:t xml:space="preserve">  This simplification is expected to have relatively minor effects on the stochastic model</w:t>
      </w:r>
      <w:r w:rsidR="00A11B44">
        <w:t xml:space="preserve"> for ground motions of engineering significance</w:t>
      </w:r>
      <w:r w:rsidR="00077303">
        <w:t>.</w:t>
      </w:r>
      <w:r>
        <w:t xml:space="preserve">  Note the transition distances for earthquake duration </w:t>
      </w:r>
      <w:r w:rsidRPr="00332AA7">
        <w:rPr>
          <w:rStyle w:val="Bodytextitalic"/>
        </w:rPr>
        <w:t>R</w:t>
      </w:r>
      <w:r w:rsidRPr="00BC220E">
        <w:rPr>
          <w:rStyle w:val="Subscriptitalic"/>
        </w:rPr>
        <w:t>d</w:t>
      </w:r>
      <w:r w:rsidRPr="00BC220E">
        <w:rPr>
          <w:rStyle w:val="Subscript"/>
        </w:rPr>
        <w:t>1</w:t>
      </w:r>
      <w:r w:rsidR="00BC220E">
        <w:rPr>
          <w:vertAlign w:val="subscript"/>
        </w:rPr>
        <w:t xml:space="preserve"> </w:t>
      </w:r>
      <w:r>
        <w:t xml:space="preserve">and </w:t>
      </w:r>
      <w:r w:rsidRPr="00332AA7">
        <w:rPr>
          <w:rStyle w:val="Bodytextitalic"/>
        </w:rPr>
        <w:t>R</w:t>
      </w:r>
      <w:r w:rsidRPr="00BC220E">
        <w:rPr>
          <w:rStyle w:val="Subscriptitalic"/>
        </w:rPr>
        <w:t>d</w:t>
      </w:r>
      <w:r w:rsidRPr="00BC220E">
        <w:rPr>
          <w:rStyle w:val="Subscript"/>
        </w:rPr>
        <w:t>2</w:t>
      </w:r>
      <w:r>
        <w:t xml:space="preserve"> are not to be confused </w:t>
      </w:r>
      <w:r w:rsidR="004C316E">
        <w:t xml:space="preserve">with </w:t>
      </w:r>
      <w:r>
        <w:t>those used for the geometrical attenuation in Equation 4.</w:t>
      </w:r>
    </w:p>
    <w:p w:rsidR="00B15AC0" w:rsidRPr="001E3A28" w:rsidRDefault="00762DCA" w:rsidP="00E033F4">
      <w:pPr>
        <w:pStyle w:val="InlineObject"/>
        <w:rPr>
          <w:lang w:val="en-US"/>
        </w:rPr>
      </w:pPr>
      <w:r>
        <w:rPr>
          <w:lang w:val="en-US"/>
        </w:rPr>
        <w:br w:type="page"/>
      </w:r>
      <w:r w:rsidR="00551E1A">
        <w:rPr>
          <w:noProof/>
        </w:rPr>
        <w:lastRenderedPageBreak/>
        <w:drawing>
          <wp:inline distT="0" distB="0" distL="0" distR="0">
            <wp:extent cx="4295775" cy="2428875"/>
            <wp:effectExtent l="0" t="0" r="0" b="0"/>
            <wp:docPr id="33" name="Picture 33" descr="duration_1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ration_1Hz"/>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95775" cy="2428875"/>
                    </a:xfrm>
                    <a:prstGeom prst="rect">
                      <a:avLst/>
                    </a:prstGeom>
                    <a:noFill/>
                    <a:ln>
                      <a:noFill/>
                    </a:ln>
                  </pic:spPr>
                </pic:pic>
              </a:graphicData>
            </a:graphic>
          </wp:inline>
        </w:drawing>
      </w:r>
    </w:p>
    <w:p w:rsidR="00B15AC0" w:rsidRPr="00EF41AA" w:rsidRDefault="00B15AC0" w:rsidP="00EF41AA">
      <w:pPr>
        <w:pStyle w:val="Captions"/>
      </w:pPr>
      <w:bookmarkStart w:id="107" w:name="_Toc338429327"/>
      <w:r w:rsidRPr="00ED3EA1">
        <w:rPr>
          <w:rStyle w:val="Bodytextbold"/>
        </w:rPr>
        <w:t xml:space="preserve">Figure </w:t>
      </w:r>
      <w:r w:rsidRPr="00EF41AA">
        <w:rPr>
          <w:b/>
        </w:rPr>
        <w:fldChar w:fldCharType="begin"/>
      </w:r>
      <w:r w:rsidRPr="00EF41AA">
        <w:rPr>
          <w:b/>
        </w:rPr>
        <w:instrText xml:space="preserve"> SEQ Figure \* ARABIC </w:instrText>
      </w:r>
      <w:r w:rsidRPr="00EF41AA">
        <w:rPr>
          <w:b/>
        </w:rPr>
        <w:fldChar w:fldCharType="separate"/>
      </w:r>
      <w:r w:rsidR="007D4E78">
        <w:rPr>
          <w:b/>
          <w:noProof/>
        </w:rPr>
        <w:t>13</w:t>
      </w:r>
      <w:r w:rsidRPr="00EF41AA">
        <w:rPr>
          <w:b/>
        </w:rPr>
        <w:fldChar w:fldCharType="end"/>
      </w:r>
      <w:r w:rsidR="00F01141" w:rsidRPr="00ED3EA1">
        <w:rPr>
          <w:rStyle w:val="Bodytextbold"/>
        </w:rPr>
        <w:t>:</w:t>
      </w:r>
      <w:r w:rsidR="00F01141" w:rsidRPr="00EF41AA">
        <w:rPr>
          <w:szCs w:val="24"/>
        </w:rPr>
        <w:t xml:space="preserve"> </w:t>
      </w:r>
      <w:r w:rsidR="00EF41AA">
        <w:t>Modelled d</w:t>
      </w:r>
      <w:r w:rsidR="00EF41AA" w:rsidRPr="00EF41AA">
        <w:t xml:space="preserve">uration of earthquake coda </w:t>
      </w:r>
      <w:r w:rsidR="00EF41AA">
        <w:t xml:space="preserve">for southeastern Australian earthquakes from </w:t>
      </w:r>
      <w:r w:rsidR="00EF41AA" w:rsidRPr="00EF41AA">
        <w:t xml:space="preserve">filtered time-histories about 1.0 Hz.  </w:t>
      </w:r>
      <w:r w:rsidR="00EF41AA">
        <w:t>The duration for each record (grey crosses) is defined as the time period through which the integral of the velocity time history reaches 5-80% of its total value</w:t>
      </w:r>
      <w:r w:rsidR="00EB3A26">
        <w:t xml:space="preserve"> from the S-phase onset</w:t>
      </w:r>
      <w:r w:rsidR="00342BC6">
        <w:t>, minus the source duration T</w:t>
      </w:r>
      <w:r w:rsidR="00342BC6" w:rsidRPr="00BC220E">
        <w:rPr>
          <w:rStyle w:val="Subscript"/>
        </w:rPr>
        <w:t>0</w:t>
      </w:r>
      <w:r w:rsidR="00EF41AA">
        <w:t xml:space="preserve">.  </w:t>
      </w:r>
      <w:r w:rsidR="00EB3A26">
        <w:t>Individual durations were binned in 10-km windows and the mean and standard deviation for each distance window was calculated (black squares).  A tri-linear duration model was then fitted to the me</w:t>
      </w:r>
      <w:r w:rsidR="00D526C8">
        <w:t>di</w:t>
      </w:r>
      <w:r w:rsidR="00EB3A26">
        <w:t xml:space="preserve">an durations (solid black line).  </w:t>
      </w:r>
      <w:r w:rsidR="00EF41AA" w:rsidRPr="00EF41AA">
        <w:t xml:space="preserve">The shape of </w:t>
      </w:r>
      <w:r w:rsidR="00EB3A26">
        <w:t>the</w:t>
      </w:r>
      <w:r w:rsidR="00EF41AA" w:rsidRPr="00EF41AA">
        <w:t xml:space="preserve"> Atkinson and Boore </w:t>
      </w:r>
      <w:r w:rsidR="00EF41AA" w:rsidRPr="00EF41AA">
        <w:fldChar w:fldCharType="begin"/>
      </w:r>
      <w:r w:rsidR="00F202D0">
        <w:instrText xml:space="preserve"> ADDIN EN.CITE &lt;EndNote&gt;&lt;Cite ExcludeAuth="1"&gt;&lt;Author&gt;Atkinson&lt;/Author&gt;&lt;Year&gt;1995&lt;/Year&gt;&lt;RecNum&gt;92&lt;/RecNum&gt;&lt;record&gt;&lt;rec-number&gt;92&lt;/rec-number&gt;&lt;foreign-keys&gt;&lt;key app="EN" db-id="se5z02d5txder3eax2p5wz5j59zvz2tdzdd2"&gt;92&lt;/key&gt;&lt;/foreign-keys&gt;&lt;ref-type name="Journal Article"&gt;17&lt;/ref-type&gt;&lt;contributors&gt;&lt;authors&gt;&lt;author&gt;Atkinson, G. M.&lt;/author&gt;&lt;author&gt;Boore, D. M.&lt;/author&gt;&lt;/authors&gt;&lt;/contributors&gt;&lt;titles&gt;&lt;title&gt;Ground-motion relations for eastern North America&lt;/title&gt;&lt;secondary-title&gt;Bull. Seism. Soc. Am.&lt;/secondary-title&gt;&lt;/titles&gt;&lt;periodical&gt;&lt;full-title&gt;Bull. Seism. Soc. Am.&lt;/full-title&gt;&lt;/periodical&gt;&lt;pages&gt;17-30&lt;/pages&gt;&lt;volume&gt;85&lt;/volume&gt;&lt;number&gt;1&lt;/number&gt;&lt;dates&gt;&lt;year&gt;1995&lt;/year&gt;&lt;pub-dates&gt;&lt;date&gt;February 1995&lt;/date&gt;&lt;/pub-dates&gt;&lt;/dates&gt;&lt;urls&gt;&lt;pdf-urls&gt;&lt;url&gt;internal-pdf://Atkinson and Boore (1995) ground motion E. NA-4047333632/Atkinson and Boore (1995) ground motion E. NA.pdf&lt;/url&gt;&lt;/pdf-urls&gt;&lt;/urls&gt;&lt;/record&gt;&lt;/Cite&gt;&lt;/EndNote&gt;</w:instrText>
      </w:r>
      <w:r w:rsidR="00EF41AA" w:rsidRPr="00EF41AA">
        <w:fldChar w:fldCharType="separate"/>
      </w:r>
      <w:r w:rsidR="00EF41AA" w:rsidRPr="00EF41AA">
        <w:t>(1995)</w:t>
      </w:r>
      <w:r w:rsidR="00EF41AA" w:rsidRPr="00EF41AA">
        <w:fldChar w:fldCharType="end"/>
      </w:r>
      <w:r w:rsidR="00EF41AA" w:rsidRPr="00EF41AA">
        <w:t xml:space="preserve"> </w:t>
      </w:r>
      <w:r w:rsidR="00EB3A26">
        <w:t xml:space="preserve">duration model </w:t>
      </w:r>
      <w:r w:rsidR="00EF41AA" w:rsidRPr="00EF41AA">
        <w:t>for ENA</w:t>
      </w:r>
      <w:r w:rsidR="00EB3A26">
        <w:t xml:space="preserve"> is also indicated (dashed grey line)</w:t>
      </w:r>
      <w:r w:rsidR="00EF41AA" w:rsidRPr="00EF41AA">
        <w:t>.</w:t>
      </w:r>
      <w:r w:rsidR="00B240E3">
        <w:t xml:space="preserve"> The poor resolution of the data beyond 300 km suggests the model is only applicable to approximately 300 km.</w:t>
      </w:r>
      <w:bookmarkEnd w:id="107"/>
    </w:p>
    <w:p w:rsidR="00B15AC0" w:rsidRDefault="00B15AC0" w:rsidP="005C7510">
      <w:pPr>
        <w:pStyle w:val="Heading2"/>
      </w:pPr>
      <w:bookmarkStart w:id="108" w:name="_Toc319656515"/>
      <w:bookmarkStart w:id="109" w:name="_Toc319656604"/>
      <w:bookmarkStart w:id="110" w:name="_Toc319918558"/>
      <w:bookmarkStart w:id="111" w:name="_Toc319918827"/>
      <w:bookmarkStart w:id="112" w:name="_Toc349112538"/>
      <w:r>
        <w:t>Vertical-to-Horizontal Amplifications</w:t>
      </w:r>
      <w:bookmarkEnd w:id="108"/>
      <w:bookmarkEnd w:id="109"/>
      <w:bookmarkEnd w:id="110"/>
      <w:bookmarkEnd w:id="111"/>
      <w:bookmarkEnd w:id="112"/>
    </w:p>
    <w:p w:rsidR="001F3717" w:rsidRDefault="001D5670" w:rsidP="00C409B2">
      <w:pPr>
        <w:pStyle w:val="BodyText"/>
      </w:pPr>
      <w:r>
        <w:t>T</w:t>
      </w:r>
      <w:r w:rsidR="00B15AC0">
        <w:t>he source and attenuation parameters defined above are based on the analysis of vertical-component data</w:t>
      </w:r>
      <w:r w:rsidR="003D3746">
        <w:t>,</w:t>
      </w:r>
      <w:r w:rsidR="00B15AC0">
        <w:t xml:space="preserve"> which are assumed to be unaffected by site effects.  Atkinson (2004) suggests that </w:t>
      </w:r>
      <w:r w:rsidR="008B4A86">
        <w:t xml:space="preserve">the </w:t>
      </w:r>
      <w:r w:rsidR="00B15AC0" w:rsidRPr="0092021A">
        <w:t>horizontal component of motion is amplified by impedance</w:t>
      </w:r>
      <w:r w:rsidR="00B15AC0">
        <w:t xml:space="preserve"> </w:t>
      </w:r>
      <w:r w:rsidR="00B15AC0" w:rsidRPr="0092021A">
        <w:t>gradients as the surface is approached, whereas this effect</w:t>
      </w:r>
      <w:r w:rsidR="00B15AC0">
        <w:t xml:space="preserve"> </w:t>
      </w:r>
      <w:r w:rsidR="00B15AC0" w:rsidRPr="0092021A">
        <w:t>on the vertical component is counteracted by the refracting</w:t>
      </w:r>
      <w:r w:rsidR="00B15AC0">
        <w:t xml:space="preserve"> </w:t>
      </w:r>
      <w:r w:rsidR="00B15AC0" w:rsidRPr="0092021A">
        <w:t>of rays toward the vertical in the velocity gradient</w:t>
      </w:r>
      <w:r w:rsidR="00777332">
        <w:t xml:space="preserve"> for rock sites</w:t>
      </w:r>
      <w:r w:rsidR="00B15AC0" w:rsidRPr="0092021A">
        <w:t xml:space="preserve">. </w:t>
      </w:r>
      <w:r w:rsidR="00B15AC0">
        <w:t xml:space="preserve"> </w:t>
      </w:r>
      <w:r w:rsidR="00B15AC0" w:rsidRPr="00837297">
        <w:t>The net</w:t>
      </w:r>
      <w:r w:rsidR="00B15AC0">
        <w:t xml:space="preserve"> </w:t>
      </w:r>
      <w:r w:rsidR="00B15AC0" w:rsidRPr="00837297">
        <w:t>effect is that there is little amplification of the vertical component,</w:t>
      </w:r>
      <w:r w:rsidR="00B15AC0">
        <w:t xml:space="preserve"> </w:t>
      </w:r>
      <w:r w:rsidR="00B15AC0" w:rsidRPr="00837297">
        <w:t>making the H/V ratio a crude approximation of the</w:t>
      </w:r>
      <w:r w:rsidR="00B15AC0">
        <w:t xml:space="preserve"> </w:t>
      </w:r>
      <w:r w:rsidR="00B15AC0" w:rsidRPr="00837297">
        <w:t>near-surface amplification</w:t>
      </w:r>
      <w:r w:rsidR="001F3717">
        <w:t xml:space="preserve"> for rock sites</w:t>
      </w:r>
      <w:r w:rsidR="00B15AC0">
        <w:t xml:space="preserve"> </w:t>
      </w:r>
      <w:r w:rsidR="00B15AC0">
        <w:fldChar w:fldCharType="begin"/>
      </w:r>
      <w:r w:rsidR="00F202D0">
        <w:instrText xml:space="preserve"> ADDIN EN.CITE &lt;EndNote&gt;&lt;Cite&gt;&lt;Author&gt;Atkinson&lt;/Author&gt;&lt;Year&gt;2004&lt;/Year&gt;&lt;RecNum&gt;93&lt;/RecNum&gt;&lt;record&gt;&lt;rec-number&gt;93&lt;/rec-number&gt;&lt;foreign-keys&gt;&lt;key app="EN" db-id="se5z02d5txder3eax2p5wz5j59zvz2tdzdd2"&gt;93&lt;/key&gt;&lt;/foreign-keys&gt;&lt;ref-type name="Journal Article"&gt;17&lt;/ref-type&gt;&lt;contributors&gt;&lt;authors&gt;&lt;author&gt;Atkinson, G. M.&lt;/author&gt;&lt;/authors&gt;&lt;/contributors&gt;&lt;titles&gt;&lt;title&gt;Empirical attenuation of ground-motion spectral amplitudes in southeastern Canada and the northeastern United States&lt;/title&gt;&lt;secondary-title&gt;Bull. Seism. Soc. Am.&lt;/secondary-title&gt;&lt;/titles&gt;&lt;periodical&gt;&lt;full-title&gt;Bull. Seism. Soc. Am.&lt;/full-title&gt;&lt;/periodical&gt;&lt;pages&gt;1079-1095&lt;/pages&gt;&lt;volume&gt;94&lt;/volume&gt;&lt;number&gt;3&lt;/number&gt;&lt;dates&gt;&lt;year&gt;2004&lt;/year&gt;&lt;pub-dates&gt;&lt;date&gt;June 2004&lt;/date&gt;&lt;/pub-dates&gt;&lt;/dates&gt;&lt;urls&gt;&lt;pdf-urls&gt;&lt;url&gt;internal-pdf://Atkinson (2004) ground motion SE Canada and NE US-0289285376/Atkinson (2004) ground motion SE Canada and NE US.pdf&lt;/url&gt;&lt;/pdf-urls&gt;&lt;/urls&gt;&lt;/record&gt;&lt;/Cite&gt;&lt;Cite&gt;&lt;Author&gt;Chen&lt;/Author&gt;&lt;Year&gt;2002&lt;/Year&gt;&lt;RecNum&gt;574&lt;/RecNum&gt;&lt;record&gt;&lt;rec-number&gt;574&lt;/rec-number&gt;&lt;foreign-keys&gt;&lt;key app="EN" db-id="se5z02d5txder3eax2p5wz5j59zvz2tdzdd2"&gt;574&lt;/key&gt;&lt;/foreign-keys&gt;&lt;ref-type name="Journal Article"&gt;17&lt;/ref-type&gt;&lt;contributors&gt;&lt;authors&gt;&lt;author&gt;Chen, S.-Z.&lt;/author&gt;&lt;author&gt;Atkinson, G. M.&lt;/author&gt;&lt;/authors&gt;&lt;/contributors&gt;&lt;titles&gt;&lt;title&gt;Global comparisons of earthquake source spectra&lt;/title&gt;&lt;secondary-title&gt;Bull. Seism. Soc. Am.&lt;/secondary-title&gt;&lt;/titles&gt;&lt;periodical&gt;&lt;full-title&gt;Bull. Seism. Soc. Am.&lt;/full-title&gt;&lt;/periodical&gt;&lt;pages&gt;885–895&lt;/pages&gt;&lt;volume&gt;92&lt;/volume&gt;&lt;number&gt;3&lt;/number&gt;&lt;keywords&gt;&lt;keyword&gt;global source spectra, m1, magnitude&lt;/keyword&gt;&lt;/keywords&gt;&lt;dates&gt;&lt;year&gt;2002&lt;/year&gt;&lt;/dates&gt;&lt;urls&gt;&lt;pdf-urls&gt;&lt;url&gt;internal-pdf://Chen &amp;amp; Atkinson (2002).global source spectra.m1-0699338281/Chen &amp;amp; Atkinson (2002).global source spectra.m1.pdf&lt;/url&gt;&lt;/pdf-urls&gt;&lt;/urls&gt;&lt;/record&gt;&lt;/Cite&gt;&lt;/EndNote&gt;</w:instrText>
      </w:r>
      <w:r w:rsidR="00B15AC0">
        <w:fldChar w:fldCharType="separate"/>
      </w:r>
      <w:r w:rsidR="00073AEF">
        <w:t>(Chen and Atkinson, 2002; Atkinson, 2004)</w:t>
      </w:r>
      <w:r w:rsidR="00B15AC0">
        <w:fldChar w:fldCharType="end"/>
      </w:r>
      <w:r w:rsidR="00B15AC0">
        <w:t>.</w:t>
      </w:r>
      <w:r w:rsidR="00073AEF">
        <w:t xml:space="preserve">  </w:t>
      </w:r>
    </w:p>
    <w:p w:rsidR="00B15AC0" w:rsidRDefault="00B15AC0" w:rsidP="00C409B2">
      <w:pPr>
        <w:pStyle w:val="BodyText"/>
        <w:rPr>
          <w:lang w:val="en-US"/>
        </w:rPr>
      </w:pPr>
      <w:r>
        <w:t xml:space="preserve">Since the goal herein is to develop GMPEs for </w:t>
      </w:r>
      <w:r w:rsidR="003D3746">
        <w:t xml:space="preserve">the </w:t>
      </w:r>
      <w:r>
        <w:t xml:space="preserve">horizontal-component </w:t>
      </w:r>
      <w:r w:rsidR="003D3746">
        <w:t>of response</w:t>
      </w:r>
      <w:r w:rsidR="008E190E">
        <w:t xml:space="preserve"> spectra</w:t>
      </w:r>
      <w:r>
        <w:t xml:space="preserve"> for typical rock sites in SEA, it is necessary to apply a horizontal correction factor to the stochastic simulations.  Atkinson and Boore (2006) used </w:t>
      </w:r>
      <w:r w:rsidRPr="00E527ED">
        <w:t>horizontal-to-vertical component ratios (H/V ratios) for</w:t>
      </w:r>
      <w:r>
        <w:t xml:space="preserve"> </w:t>
      </w:r>
      <w:r w:rsidR="00777332">
        <w:t xml:space="preserve">hard </w:t>
      </w:r>
      <w:r w:rsidRPr="00E527ED">
        <w:t>rock sites</w:t>
      </w:r>
      <w:r>
        <w:t xml:space="preserve"> in ENA to develop amplification factors for </w:t>
      </w:r>
      <w:r w:rsidRPr="00453C68">
        <w:rPr>
          <w:lang w:val="en-US"/>
        </w:rPr>
        <w:t xml:space="preserve">National Earthquake Hazards Reduction Program </w:t>
      </w:r>
      <w:r>
        <w:rPr>
          <w:lang w:val="en-US"/>
        </w:rPr>
        <w:t>(</w:t>
      </w:r>
      <w:r w:rsidRPr="00453C68">
        <w:rPr>
          <w:lang w:val="en-US"/>
        </w:rPr>
        <w:t>NEHRP</w:t>
      </w:r>
      <w:r>
        <w:rPr>
          <w:lang w:val="en-US"/>
        </w:rPr>
        <w:t>)</w:t>
      </w:r>
      <w:r w:rsidRPr="00453C68">
        <w:rPr>
          <w:lang w:val="en-US"/>
        </w:rPr>
        <w:t xml:space="preserve"> </w:t>
      </w:r>
      <w:r w:rsidR="00777332">
        <w:rPr>
          <w:lang w:val="en-US"/>
        </w:rPr>
        <w:t>A</w:t>
      </w:r>
      <w:r w:rsidRPr="00453C68">
        <w:rPr>
          <w:lang w:val="en-US"/>
        </w:rPr>
        <w:t xml:space="preserve"> site conditions</w:t>
      </w:r>
      <w:r>
        <w:rPr>
          <w:lang w:val="en-US"/>
        </w:rPr>
        <w:t xml:space="preserve"> </w:t>
      </w:r>
      <w:r w:rsidR="00A4373B">
        <w:rPr>
          <w:lang w:val="en-US"/>
        </w:rPr>
        <w:fldChar w:fldCharType="begin"/>
      </w:r>
      <w:r w:rsidR="008E190E">
        <w:rPr>
          <w:lang w:val="en-US"/>
        </w:rPr>
        <w:instrText xml:space="preserve"> ADDIN EN.CITE &lt;EndNote&gt;&lt;Cite&gt;&lt;Author&gt;Building Seismic Safety Council&lt;/Author&gt;&lt;Year&gt;2003&lt;/Year&gt;&lt;RecNum&gt;28&lt;/RecNum&gt;&lt;record&gt;&lt;rec-number&gt;28&lt;/rec-number&gt;&lt;foreign-keys&gt;&lt;key app="EN" db-id="se5z02d5txder3eax2p5wz5j59zvz2tdzdd2"&gt;28&lt;/key&gt;&lt;/foreign-keys&gt;&lt;ref-type name="Report"&gt;27&lt;/ref-type&gt;&lt;contributors&gt;&lt;authors&gt;&lt;author&gt;Building Seismic Safety Council,&lt;/author&gt;&lt;/authors&gt;&lt;/contributors&gt;&lt;titles&gt;&lt;title&gt;NEHRP Recommended Provisions for seismic regulations for new buildings and other structures, 2003 edition&lt;/title&gt;&lt;/titles&gt;&lt;pages&gt;338&lt;/pages&gt;&lt;dates&gt;&lt;year&gt;2003&lt;/year&gt;&lt;/dates&gt;&lt;pub-location&gt;Washington, D.C.&lt;/pub-location&gt;&lt;publisher&gt;Federal Emergency Management Agency 450&lt;/publisher&gt;&lt;urls&gt;&lt;pdf-urls&gt;&lt;url&gt;internal-pdf://fema450provisions-3951166218/fema450provisions.pdf&lt;/url&gt;&lt;/pdf-urls&gt;&lt;/urls&gt;&lt;/record&gt;&lt;/Cite&gt;&lt;/EndNote&gt;</w:instrText>
      </w:r>
      <w:r w:rsidR="00A4373B">
        <w:rPr>
          <w:lang w:val="en-US"/>
        </w:rPr>
        <w:fldChar w:fldCharType="separate"/>
      </w:r>
      <w:r w:rsidR="00A4373B">
        <w:rPr>
          <w:lang w:val="en-US"/>
        </w:rPr>
        <w:t>(Building Seismic Safety Council, 2003)</w:t>
      </w:r>
      <w:r w:rsidR="00A4373B">
        <w:rPr>
          <w:lang w:val="en-US"/>
        </w:rPr>
        <w:fldChar w:fldCharType="end"/>
      </w:r>
      <w:r>
        <w:rPr>
          <w:lang w:val="en-US"/>
        </w:rPr>
        <w:t>.</w:t>
      </w:r>
    </w:p>
    <w:p w:rsidR="00B15AC0" w:rsidRPr="002450A5" w:rsidRDefault="00B15AC0" w:rsidP="00C409B2">
      <w:pPr>
        <w:pStyle w:val="BodyText"/>
        <w:rPr>
          <w:lang w:val="en-US"/>
        </w:rPr>
      </w:pPr>
      <w:r>
        <w:rPr>
          <w:lang w:val="en-US"/>
        </w:rPr>
        <w:t>Using smoothed horizontal- and vertical-component ground motions from the SEA dataset, the average H/V ratio</w:t>
      </w:r>
      <w:r w:rsidR="00666DF6">
        <w:rPr>
          <w:lang w:val="en-US"/>
        </w:rPr>
        <w:t>, which is assumed to be equivalent to the horizontal amplification factor,</w:t>
      </w:r>
      <w:r>
        <w:rPr>
          <w:lang w:val="en-US"/>
        </w:rPr>
        <w:t xml:space="preserve"> is determined for ground-motions between 0.4 and 25 Hz.  The average ratios were smoothed using </w:t>
      </w:r>
      <w:r w:rsidRPr="002725D2">
        <w:rPr>
          <w:lang w:val="en-US"/>
        </w:rPr>
        <w:t xml:space="preserve">spline </w:t>
      </w:r>
      <w:r>
        <w:rPr>
          <w:lang w:val="en-US"/>
        </w:rPr>
        <w:t xml:space="preserve">interpolation and are assumed to represent average rock conditions for SEA (to be discussed later).  Because Fourier </w:t>
      </w:r>
      <w:r>
        <w:t>spectra</w:t>
      </w:r>
      <w:r>
        <w:rPr>
          <w:lang w:val="en-US"/>
        </w:rPr>
        <w:t xml:space="preserve"> in the empirical analysis are only used up to a frequency of 25 Hz, the amplification value at 25 Hz is extrapolated to higher frequencies for the stochastic simulations.  By comparison, the amplification factors used by Atkinson and Boore (2006) for their </w:t>
      </w:r>
      <w:r w:rsidR="0004474C">
        <w:rPr>
          <w:lang w:val="en-US"/>
        </w:rPr>
        <w:t>hard-rock GMPE (NEHRP site class A)</w:t>
      </w:r>
      <w:r>
        <w:rPr>
          <w:lang w:val="en-US"/>
        </w:rPr>
        <w:t xml:space="preserve"> are a factor of 1.</w:t>
      </w:r>
      <w:r w:rsidR="0004474C">
        <w:rPr>
          <w:lang w:val="en-US"/>
        </w:rPr>
        <w:t xml:space="preserve">2 smaller </w:t>
      </w:r>
      <w:r>
        <w:rPr>
          <w:lang w:val="en-US"/>
        </w:rPr>
        <w:t xml:space="preserve">at </w:t>
      </w:r>
      <w:r w:rsidR="0004474C">
        <w:rPr>
          <w:lang w:val="en-US"/>
        </w:rPr>
        <w:t>5.0</w:t>
      </w:r>
      <w:r>
        <w:rPr>
          <w:lang w:val="en-US"/>
        </w:rPr>
        <w:t xml:space="preserve"> Hz than for the amplification factors used for the SEA models</w:t>
      </w:r>
      <w:r w:rsidR="001F3717">
        <w:rPr>
          <w:lang w:val="en-US"/>
        </w:rPr>
        <w:t xml:space="preserve"> (Table 4)</w:t>
      </w:r>
      <w:r>
        <w:rPr>
          <w:lang w:val="en-US"/>
        </w:rPr>
        <w:t>.</w:t>
      </w:r>
    </w:p>
    <w:p w:rsidR="00902F7C" w:rsidRDefault="00902F7C" w:rsidP="00E033F4">
      <w:pPr>
        <w:pStyle w:val="Tabletitle"/>
      </w:pPr>
      <w:r w:rsidRPr="00ED3EA1">
        <w:br w:type="page"/>
      </w:r>
      <w:bookmarkStart w:id="113" w:name="_Toc338429898"/>
      <w:r w:rsidR="004F44E4" w:rsidRPr="00ED3EA1">
        <w:rPr>
          <w:rStyle w:val="Bodytextbold"/>
        </w:rPr>
        <w:lastRenderedPageBreak/>
        <w:t xml:space="preserve">Table </w:t>
      </w:r>
      <w:r w:rsidR="004F44E4" w:rsidRPr="001A3699">
        <w:rPr>
          <w:b/>
        </w:rPr>
        <w:fldChar w:fldCharType="begin"/>
      </w:r>
      <w:r w:rsidR="004F44E4" w:rsidRPr="001A3699">
        <w:rPr>
          <w:b/>
        </w:rPr>
        <w:instrText xml:space="preserve"> SEQ Table \* ARABIC </w:instrText>
      </w:r>
      <w:r w:rsidR="004F44E4" w:rsidRPr="001A3699">
        <w:rPr>
          <w:b/>
        </w:rPr>
        <w:fldChar w:fldCharType="separate"/>
      </w:r>
      <w:r w:rsidR="007D4E78">
        <w:rPr>
          <w:b/>
          <w:noProof/>
        </w:rPr>
        <w:t>4</w:t>
      </w:r>
      <w:r w:rsidR="004F44E4" w:rsidRPr="001A3699">
        <w:rPr>
          <w:b/>
        </w:rPr>
        <w:fldChar w:fldCharType="end"/>
      </w:r>
      <w:r w:rsidR="004F44E4" w:rsidRPr="00ED3EA1">
        <w:rPr>
          <w:rStyle w:val="Bodytextbold"/>
        </w:rPr>
        <w:t>:</w:t>
      </w:r>
      <w:r w:rsidR="004F44E4">
        <w:t xml:space="preserve">  Site amplification factors used for typical rock sites in southeastern </w:t>
      </w:r>
      <w:smartTag w:uri="urn:schemas-microsoft-com:office:smarttags" w:element="place">
        <w:smartTag w:uri="urn:schemas-microsoft-com:office:smarttags" w:element="country-region">
          <w:r w:rsidR="004F44E4">
            <w:t>Australia</w:t>
          </w:r>
        </w:smartTag>
      </w:smartTag>
      <w:r w:rsidR="004F44E4">
        <w:t xml:space="preserve"> (SEA) as used in the stochastic simulation. The amplification factors were determined from H/V ratios of recorded Fourier shear-wave spectra.  The amplification factors used in the Atkinson and Boore (2006) GMPE for </w:t>
      </w:r>
      <w:r w:rsidR="00323040">
        <w:t xml:space="preserve">eastern North American </w:t>
      </w:r>
      <w:r w:rsidR="004F44E4">
        <w:t xml:space="preserve">rock sites </w:t>
      </w:r>
      <w:r w:rsidR="00323040">
        <w:t xml:space="preserve">are </w:t>
      </w:r>
      <w:r w:rsidR="004F44E4">
        <w:t>shown for comparison</w:t>
      </w:r>
      <w:bookmarkEnd w:id="113"/>
    </w:p>
    <w:tbl>
      <w:tblPr>
        <w:tblW w:w="5211" w:type="dxa"/>
        <w:jc w:val="center"/>
        <w:tblLook w:val="04A0" w:firstRow="1" w:lastRow="0" w:firstColumn="1" w:lastColumn="0" w:noHBand="0" w:noVBand="1"/>
      </w:tblPr>
      <w:tblGrid>
        <w:gridCol w:w="1809"/>
        <w:gridCol w:w="1701"/>
        <w:gridCol w:w="1701"/>
      </w:tblGrid>
      <w:tr w:rsidR="004F44E4" w:rsidRPr="00876C32" w:rsidTr="004F44E4">
        <w:trPr>
          <w:jc w:val="center"/>
        </w:trPr>
        <w:tc>
          <w:tcPr>
            <w:tcW w:w="1809" w:type="dxa"/>
            <w:vMerge w:val="restart"/>
            <w:tcBorders>
              <w:top w:val="single" w:sz="4" w:space="0" w:color="auto"/>
            </w:tcBorders>
            <w:shd w:val="clear" w:color="auto" w:fill="D9D9D9"/>
            <w:vAlign w:val="center"/>
          </w:tcPr>
          <w:p w:rsidR="004F44E4" w:rsidRDefault="004F44E4" w:rsidP="00352B22">
            <w:pPr>
              <w:pStyle w:val="Tableheadingrow"/>
              <w:jc w:val="center"/>
            </w:pPr>
            <w:r>
              <w:t>Frequency (Hz)</w:t>
            </w:r>
          </w:p>
        </w:tc>
        <w:tc>
          <w:tcPr>
            <w:tcW w:w="3402" w:type="dxa"/>
            <w:gridSpan w:val="2"/>
            <w:tcBorders>
              <w:top w:val="single" w:sz="4" w:space="0" w:color="auto"/>
              <w:bottom w:val="single" w:sz="4" w:space="0" w:color="auto"/>
            </w:tcBorders>
            <w:shd w:val="clear" w:color="auto" w:fill="D9D9D9"/>
            <w:vAlign w:val="center"/>
          </w:tcPr>
          <w:p w:rsidR="004F44E4" w:rsidRDefault="004F44E4" w:rsidP="00352B22">
            <w:pPr>
              <w:pStyle w:val="Tableheadingrow"/>
              <w:jc w:val="center"/>
            </w:pPr>
            <w:r>
              <w:t>Amplification Factor</w:t>
            </w:r>
          </w:p>
        </w:tc>
      </w:tr>
      <w:tr w:rsidR="004F44E4" w:rsidRPr="00876C32" w:rsidTr="004F44E4">
        <w:trPr>
          <w:jc w:val="center"/>
        </w:trPr>
        <w:tc>
          <w:tcPr>
            <w:tcW w:w="1809" w:type="dxa"/>
            <w:vMerge/>
            <w:shd w:val="clear" w:color="auto" w:fill="auto"/>
          </w:tcPr>
          <w:p w:rsidR="004F44E4" w:rsidRDefault="004F44E4" w:rsidP="00352B22">
            <w:pPr>
              <w:pStyle w:val="Tabletext"/>
              <w:jc w:val="center"/>
            </w:pPr>
          </w:p>
        </w:tc>
        <w:tc>
          <w:tcPr>
            <w:tcW w:w="1701" w:type="dxa"/>
            <w:tcBorders>
              <w:top w:val="single" w:sz="4" w:space="0" w:color="auto"/>
              <w:bottom w:val="single" w:sz="4" w:space="0" w:color="auto"/>
            </w:tcBorders>
            <w:shd w:val="clear" w:color="auto" w:fill="D9D9D9"/>
            <w:vAlign w:val="center"/>
          </w:tcPr>
          <w:p w:rsidR="004F44E4" w:rsidRDefault="004F44E4" w:rsidP="00352B22">
            <w:pPr>
              <w:pStyle w:val="Tableheadingrow"/>
              <w:jc w:val="center"/>
            </w:pPr>
            <w:r>
              <w:t>This Study</w:t>
            </w:r>
          </w:p>
        </w:tc>
        <w:tc>
          <w:tcPr>
            <w:tcW w:w="1701" w:type="dxa"/>
            <w:tcBorders>
              <w:top w:val="single" w:sz="4" w:space="0" w:color="auto"/>
              <w:bottom w:val="single" w:sz="4" w:space="0" w:color="auto"/>
            </w:tcBorders>
            <w:shd w:val="clear" w:color="auto" w:fill="D9D9D9"/>
            <w:vAlign w:val="center"/>
          </w:tcPr>
          <w:p w:rsidR="004F44E4" w:rsidRDefault="004F44E4" w:rsidP="00352B22">
            <w:pPr>
              <w:pStyle w:val="Tableheadingrow"/>
              <w:jc w:val="center"/>
            </w:pPr>
            <w:r>
              <w:t>Atkinson &amp; Boore (2006)</w:t>
            </w:r>
          </w:p>
        </w:tc>
      </w:tr>
      <w:tr w:rsidR="004F44E4" w:rsidRPr="00876C32" w:rsidTr="004F44E4">
        <w:trPr>
          <w:jc w:val="center"/>
        </w:trPr>
        <w:tc>
          <w:tcPr>
            <w:tcW w:w="1809" w:type="dxa"/>
            <w:tcBorders>
              <w:top w:val="single" w:sz="4" w:space="0" w:color="auto"/>
            </w:tcBorders>
            <w:shd w:val="clear" w:color="auto" w:fill="auto"/>
          </w:tcPr>
          <w:p w:rsidR="004F44E4" w:rsidRPr="006D1FA3" w:rsidRDefault="004F44E4" w:rsidP="00352B22">
            <w:pPr>
              <w:pStyle w:val="Tabletext"/>
              <w:jc w:val="center"/>
            </w:pPr>
            <w:r>
              <w:sym w:font="Symbol" w:char="F0A3"/>
            </w:r>
            <w:r>
              <w:t xml:space="preserve"> 0.40</w:t>
            </w:r>
          </w:p>
        </w:tc>
        <w:tc>
          <w:tcPr>
            <w:tcW w:w="1701" w:type="dxa"/>
            <w:tcBorders>
              <w:top w:val="single" w:sz="4" w:space="0" w:color="auto"/>
            </w:tcBorders>
          </w:tcPr>
          <w:p w:rsidR="004F44E4" w:rsidRPr="00826D44" w:rsidRDefault="004F44E4" w:rsidP="00352B22">
            <w:pPr>
              <w:pStyle w:val="Tabletext"/>
              <w:jc w:val="center"/>
            </w:pPr>
            <w:r>
              <w:rPr>
                <w:rFonts w:cs="Arial"/>
                <w:szCs w:val="18"/>
              </w:rPr>
              <w:t>1.00</w:t>
            </w:r>
          </w:p>
        </w:tc>
        <w:tc>
          <w:tcPr>
            <w:tcW w:w="1701" w:type="dxa"/>
            <w:tcBorders>
              <w:top w:val="single" w:sz="4" w:space="0" w:color="auto"/>
            </w:tcBorders>
          </w:tcPr>
          <w:p w:rsidR="004F44E4" w:rsidRDefault="00900A76" w:rsidP="00352B22">
            <w:pPr>
              <w:pStyle w:val="Tabletext"/>
              <w:jc w:val="center"/>
              <w:rPr>
                <w:rFonts w:cs="Arial"/>
                <w:szCs w:val="18"/>
              </w:rPr>
            </w:pPr>
            <w:r>
              <w:rPr>
                <w:rFonts w:cs="Arial"/>
                <w:szCs w:val="18"/>
              </w:rPr>
              <w:t>–</w:t>
            </w:r>
          </w:p>
        </w:tc>
      </w:tr>
      <w:tr w:rsidR="004F44E4" w:rsidRPr="00876C32" w:rsidTr="004F44E4">
        <w:trPr>
          <w:jc w:val="center"/>
        </w:trPr>
        <w:tc>
          <w:tcPr>
            <w:tcW w:w="1809" w:type="dxa"/>
            <w:shd w:val="clear" w:color="auto" w:fill="auto"/>
          </w:tcPr>
          <w:p w:rsidR="004F44E4" w:rsidRPr="006D1FA3" w:rsidRDefault="004F44E4" w:rsidP="00352B22">
            <w:pPr>
              <w:pStyle w:val="Tabletext"/>
              <w:jc w:val="center"/>
            </w:pPr>
            <w:r w:rsidRPr="006D1FA3">
              <w:t>0.50</w:t>
            </w:r>
          </w:p>
        </w:tc>
        <w:tc>
          <w:tcPr>
            <w:tcW w:w="1701" w:type="dxa"/>
          </w:tcPr>
          <w:p w:rsidR="004F44E4" w:rsidRPr="00826D44" w:rsidRDefault="004F44E4" w:rsidP="00352B22">
            <w:pPr>
              <w:pStyle w:val="Tabletext"/>
              <w:jc w:val="center"/>
            </w:pPr>
            <w:r>
              <w:rPr>
                <w:rFonts w:cs="Arial"/>
                <w:szCs w:val="18"/>
              </w:rPr>
              <w:t>1.04</w:t>
            </w:r>
          </w:p>
        </w:tc>
        <w:tc>
          <w:tcPr>
            <w:tcW w:w="1701" w:type="dxa"/>
          </w:tcPr>
          <w:p w:rsidR="004F44E4" w:rsidRDefault="004F44E4" w:rsidP="00352B22">
            <w:pPr>
              <w:pStyle w:val="Tabletext"/>
              <w:jc w:val="center"/>
              <w:rPr>
                <w:rFonts w:cs="Arial"/>
                <w:szCs w:val="18"/>
              </w:rPr>
            </w:pPr>
            <w:r>
              <w:rPr>
                <w:rFonts w:cs="Arial"/>
                <w:szCs w:val="18"/>
              </w:rPr>
              <w:t>1.00</w:t>
            </w:r>
          </w:p>
        </w:tc>
      </w:tr>
      <w:tr w:rsidR="004F44E4" w:rsidRPr="00876C32" w:rsidTr="004F44E4">
        <w:trPr>
          <w:jc w:val="center"/>
        </w:trPr>
        <w:tc>
          <w:tcPr>
            <w:tcW w:w="1809" w:type="dxa"/>
            <w:shd w:val="clear" w:color="auto" w:fill="auto"/>
          </w:tcPr>
          <w:p w:rsidR="004F44E4" w:rsidRPr="006D1FA3" w:rsidRDefault="004F44E4" w:rsidP="00352B22">
            <w:pPr>
              <w:pStyle w:val="Tabletext"/>
              <w:jc w:val="center"/>
            </w:pPr>
            <w:r w:rsidRPr="006D1FA3">
              <w:t>1.00</w:t>
            </w:r>
          </w:p>
        </w:tc>
        <w:tc>
          <w:tcPr>
            <w:tcW w:w="1701" w:type="dxa"/>
          </w:tcPr>
          <w:p w:rsidR="004F44E4" w:rsidRPr="00826D44" w:rsidRDefault="004F44E4" w:rsidP="00352B22">
            <w:pPr>
              <w:pStyle w:val="Tabletext"/>
              <w:jc w:val="center"/>
            </w:pPr>
            <w:r>
              <w:rPr>
                <w:rFonts w:cs="Arial"/>
                <w:szCs w:val="18"/>
              </w:rPr>
              <w:t>1.23</w:t>
            </w:r>
          </w:p>
        </w:tc>
        <w:tc>
          <w:tcPr>
            <w:tcW w:w="1701" w:type="dxa"/>
          </w:tcPr>
          <w:p w:rsidR="004F44E4" w:rsidRDefault="004F44E4" w:rsidP="00352B22">
            <w:pPr>
              <w:pStyle w:val="Tabletext"/>
              <w:jc w:val="center"/>
              <w:rPr>
                <w:rFonts w:cs="Arial"/>
                <w:szCs w:val="18"/>
              </w:rPr>
            </w:pPr>
            <w:r>
              <w:rPr>
                <w:rFonts w:cs="Arial"/>
                <w:szCs w:val="18"/>
              </w:rPr>
              <w:t>1.13</w:t>
            </w:r>
          </w:p>
        </w:tc>
      </w:tr>
      <w:tr w:rsidR="004F44E4" w:rsidRPr="00876C32" w:rsidTr="004F44E4">
        <w:trPr>
          <w:jc w:val="center"/>
        </w:trPr>
        <w:tc>
          <w:tcPr>
            <w:tcW w:w="1809" w:type="dxa"/>
            <w:shd w:val="clear" w:color="auto" w:fill="auto"/>
          </w:tcPr>
          <w:p w:rsidR="004F44E4" w:rsidRPr="006D1FA3" w:rsidRDefault="004F44E4" w:rsidP="00352B22">
            <w:pPr>
              <w:pStyle w:val="Tabletext"/>
              <w:jc w:val="center"/>
            </w:pPr>
            <w:r w:rsidRPr="006D1FA3">
              <w:t>1.59</w:t>
            </w:r>
          </w:p>
        </w:tc>
        <w:tc>
          <w:tcPr>
            <w:tcW w:w="1701" w:type="dxa"/>
          </w:tcPr>
          <w:p w:rsidR="004F44E4" w:rsidRPr="00826D44" w:rsidRDefault="004F44E4" w:rsidP="00352B22">
            <w:pPr>
              <w:pStyle w:val="Tabletext"/>
              <w:jc w:val="center"/>
            </w:pPr>
            <w:r>
              <w:rPr>
                <w:rFonts w:cs="Arial"/>
                <w:szCs w:val="18"/>
              </w:rPr>
              <w:t>1.33</w:t>
            </w:r>
          </w:p>
        </w:tc>
        <w:tc>
          <w:tcPr>
            <w:tcW w:w="1701" w:type="dxa"/>
          </w:tcPr>
          <w:p w:rsidR="004F44E4" w:rsidRDefault="00900A76" w:rsidP="00352B22">
            <w:pPr>
              <w:pStyle w:val="Tabletext"/>
              <w:jc w:val="center"/>
              <w:rPr>
                <w:rFonts w:cs="Arial"/>
                <w:szCs w:val="18"/>
              </w:rPr>
            </w:pPr>
            <w:r>
              <w:rPr>
                <w:rFonts w:cs="Arial"/>
                <w:szCs w:val="18"/>
              </w:rPr>
              <w:t>–</w:t>
            </w:r>
          </w:p>
        </w:tc>
      </w:tr>
      <w:tr w:rsidR="004F44E4" w:rsidRPr="00876C32" w:rsidTr="004F44E4">
        <w:trPr>
          <w:jc w:val="center"/>
        </w:trPr>
        <w:tc>
          <w:tcPr>
            <w:tcW w:w="1809" w:type="dxa"/>
            <w:shd w:val="clear" w:color="auto" w:fill="auto"/>
          </w:tcPr>
          <w:p w:rsidR="004F44E4" w:rsidRPr="006D1FA3" w:rsidRDefault="004F44E4" w:rsidP="00352B22">
            <w:pPr>
              <w:pStyle w:val="Tabletext"/>
              <w:jc w:val="center"/>
            </w:pPr>
            <w:r w:rsidRPr="006D1FA3">
              <w:t>2.00</w:t>
            </w:r>
          </w:p>
        </w:tc>
        <w:tc>
          <w:tcPr>
            <w:tcW w:w="1701" w:type="dxa"/>
          </w:tcPr>
          <w:p w:rsidR="004F44E4" w:rsidRPr="00826D44" w:rsidRDefault="004F44E4" w:rsidP="00352B22">
            <w:pPr>
              <w:pStyle w:val="Tabletext"/>
              <w:jc w:val="center"/>
            </w:pPr>
            <w:r>
              <w:rPr>
                <w:rFonts w:cs="Arial"/>
                <w:szCs w:val="18"/>
              </w:rPr>
              <w:t>1.40</w:t>
            </w:r>
          </w:p>
        </w:tc>
        <w:tc>
          <w:tcPr>
            <w:tcW w:w="1701" w:type="dxa"/>
          </w:tcPr>
          <w:p w:rsidR="004F44E4" w:rsidRDefault="004F44E4" w:rsidP="00352B22">
            <w:pPr>
              <w:pStyle w:val="Tabletext"/>
              <w:jc w:val="center"/>
              <w:rPr>
                <w:rFonts w:cs="Arial"/>
                <w:szCs w:val="18"/>
              </w:rPr>
            </w:pPr>
            <w:r>
              <w:rPr>
                <w:rFonts w:cs="Arial"/>
                <w:szCs w:val="18"/>
              </w:rPr>
              <w:t>1.22</w:t>
            </w:r>
          </w:p>
        </w:tc>
      </w:tr>
      <w:tr w:rsidR="004F44E4" w:rsidRPr="00876C32" w:rsidTr="004F44E4">
        <w:trPr>
          <w:jc w:val="center"/>
        </w:trPr>
        <w:tc>
          <w:tcPr>
            <w:tcW w:w="1809" w:type="dxa"/>
            <w:shd w:val="clear" w:color="auto" w:fill="auto"/>
          </w:tcPr>
          <w:p w:rsidR="004F44E4" w:rsidRPr="006D1FA3" w:rsidRDefault="004F44E4" w:rsidP="00352B22">
            <w:pPr>
              <w:pStyle w:val="Tabletext"/>
              <w:jc w:val="center"/>
            </w:pPr>
            <w:r w:rsidRPr="006D1FA3">
              <w:t>3.16</w:t>
            </w:r>
          </w:p>
        </w:tc>
        <w:tc>
          <w:tcPr>
            <w:tcW w:w="1701" w:type="dxa"/>
          </w:tcPr>
          <w:p w:rsidR="004F44E4" w:rsidRPr="00826D44" w:rsidRDefault="004F44E4" w:rsidP="00352B22">
            <w:pPr>
              <w:pStyle w:val="Tabletext"/>
              <w:jc w:val="center"/>
            </w:pPr>
            <w:r>
              <w:rPr>
                <w:rFonts w:cs="Arial"/>
                <w:szCs w:val="18"/>
              </w:rPr>
              <w:t>1.55</w:t>
            </w:r>
          </w:p>
        </w:tc>
        <w:tc>
          <w:tcPr>
            <w:tcW w:w="1701" w:type="dxa"/>
          </w:tcPr>
          <w:p w:rsidR="004F44E4" w:rsidRDefault="00900A76" w:rsidP="00352B22">
            <w:pPr>
              <w:pStyle w:val="Tabletext"/>
              <w:jc w:val="center"/>
              <w:rPr>
                <w:rFonts w:cs="Arial"/>
                <w:szCs w:val="18"/>
              </w:rPr>
            </w:pPr>
            <w:r>
              <w:rPr>
                <w:rFonts w:cs="Arial"/>
                <w:szCs w:val="18"/>
              </w:rPr>
              <w:t>–</w:t>
            </w:r>
          </w:p>
        </w:tc>
      </w:tr>
      <w:tr w:rsidR="004F44E4" w:rsidRPr="00876C32" w:rsidTr="004F44E4">
        <w:trPr>
          <w:jc w:val="center"/>
        </w:trPr>
        <w:tc>
          <w:tcPr>
            <w:tcW w:w="1809" w:type="dxa"/>
            <w:shd w:val="clear" w:color="auto" w:fill="auto"/>
          </w:tcPr>
          <w:p w:rsidR="004F44E4" w:rsidRPr="006D1FA3" w:rsidRDefault="004F44E4" w:rsidP="00352B22">
            <w:pPr>
              <w:pStyle w:val="Tabletext"/>
              <w:jc w:val="center"/>
            </w:pPr>
            <w:r w:rsidRPr="006D1FA3">
              <w:t>5.01</w:t>
            </w:r>
          </w:p>
        </w:tc>
        <w:tc>
          <w:tcPr>
            <w:tcW w:w="1701" w:type="dxa"/>
          </w:tcPr>
          <w:p w:rsidR="004F44E4" w:rsidRPr="00826D44" w:rsidRDefault="004F44E4" w:rsidP="00352B22">
            <w:pPr>
              <w:pStyle w:val="Tabletext"/>
              <w:jc w:val="center"/>
            </w:pPr>
            <w:r>
              <w:rPr>
                <w:rFonts w:cs="Arial"/>
                <w:szCs w:val="18"/>
              </w:rPr>
              <w:t>1.64</w:t>
            </w:r>
          </w:p>
        </w:tc>
        <w:tc>
          <w:tcPr>
            <w:tcW w:w="1701" w:type="dxa"/>
          </w:tcPr>
          <w:p w:rsidR="004F44E4" w:rsidRDefault="004F44E4" w:rsidP="00352B22">
            <w:pPr>
              <w:pStyle w:val="Tabletext"/>
              <w:jc w:val="center"/>
              <w:rPr>
                <w:rFonts w:cs="Arial"/>
                <w:szCs w:val="18"/>
              </w:rPr>
            </w:pPr>
            <w:r>
              <w:rPr>
                <w:rFonts w:cs="Arial"/>
                <w:szCs w:val="18"/>
              </w:rPr>
              <w:t>1.36</w:t>
            </w:r>
          </w:p>
        </w:tc>
      </w:tr>
      <w:tr w:rsidR="004F44E4" w:rsidRPr="00876C32" w:rsidTr="004F44E4">
        <w:trPr>
          <w:jc w:val="center"/>
        </w:trPr>
        <w:tc>
          <w:tcPr>
            <w:tcW w:w="1809" w:type="dxa"/>
            <w:shd w:val="clear" w:color="auto" w:fill="auto"/>
          </w:tcPr>
          <w:p w:rsidR="004F44E4" w:rsidRPr="006D1FA3" w:rsidRDefault="004F44E4" w:rsidP="00352B22">
            <w:pPr>
              <w:pStyle w:val="Tabletext"/>
              <w:jc w:val="center"/>
            </w:pPr>
            <w:r w:rsidRPr="006D1FA3">
              <w:t>7.94</w:t>
            </w:r>
          </w:p>
        </w:tc>
        <w:tc>
          <w:tcPr>
            <w:tcW w:w="1701" w:type="dxa"/>
          </w:tcPr>
          <w:p w:rsidR="004F44E4" w:rsidRPr="00826D44" w:rsidRDefault="004F44E4" w:rsidP="00352B22">
            <w:pPr>
              <w:pStyle w:val="Tabletext"/>
              <w:jc w:val="center"/>
            </w:pPr>
            <w:r>
              <w:rPr>
                <w:rFonts w:cs="Arial"/>
                <w:szCs w:val="18"/>
              </w:rPr>
              <w:t>1.58</w:t>
            </w:r>
          </w:p>
        </w:tc>
        <w:tc>
          <w:tcPr>
            <w:tcW w:w="1701" w:type="dxa"/>
          </w:tcPr>
          <w:p w:rsidR="004F44E4" w:rsidRDefault="00900A76" w:rsidP="00352B22">
            <w:pPr>
              <w:pStyle w:val="Tabletext"/>
              <w:jc w:val="center"/>
              <w:rPr>
                <w:rFonts w:cs="Arial"/>
                <w:szCs w:val="18"/>
              </w:rPr>
            </w:pPr>
            <w:r>
              <w:rPr>
                <w:rFonts w:cs="Arial"/>
                <w:szCs w:val="18"/>
              </w:rPr>
              <w:t>–</w:t>
            </w:r>
          </w:p>
        </w:tc>
      </w:tr>
      <w:tr w:rsidR="004F44E4" w:rsidRPr="00876C32" w:rsidTr="004F44E4">
        <w:trPr>
          <w:jc w:val="center"/>
        </w:trPr>
        <w:tc>
          <w:tcPr>
            <w:tcW w:w="1809" w:type="dxa"/>
            <w:shd w:val="clear" w:color="auto" w:fill="auto"/>
          </w:tcPr>
          <w:p w:rsidR="004F44E4" w:rsidRPr="006D1FA3" w:rsidRDefault="004F44E4" w:rsidP="00352B22">
            <w:pPr>
              <w:pStyle w:val="Tabletext"/>
              <w:jc w:val="center"/>
            </w:pPr>
            <w:r w:rsidRPr="006D1FA3">
              <w:t>10.</w:t>
            </w:r>
            <w:r>
              <w:t>0</w:t>
            </w:r>
          </w:p>
        </w:tc>
        <w:tc>
          <w:tcPr>
            <w:tcW w:w="1701" w:type="dxa"/>
          </w:tcPr>
          <w:p w:rsidR="004F44E4" w:rsidRPr="00826D44" w:rsidRDefault="004F44E4" w:rsidP="00352B22">
            <w:pPr>
              <w:pStyle w:val="Tabletext"/>
              <w:jc w:val="center"/>
            </w:pPr>
            <w:r>
              <w:rPr>
                <w:rFonts w:cs="Arial"/>
                <w:szCs w:val="18"/>
              </w:rPr>
              <w:t>1.53</w:t>
            </w:r>
          </w:p>
        </w:tc>
        <w:tc>
          <w:tcPr>
            <w:tcW w:w="1701" w:type="dxa"/>
          </w:tcPr>
          <w:p w:rsidR="004F44E4" w:rsidRDefault="004F44E4" w:rsidP="00352B22">
            <w:pPr>
              <w:pStyle w:val="Tabletext"/>
              <w:jc w:val="center"/>
              <w:rPr>
                <w:rFonts w:cs="Arial"/>
                <w:szCs w:val="18"/>
              </w:rPr>
            </w:pPr>
            <w:r>
              <w:rPr>
                <w:rFonts w:cs="Arial"/>
                <w:szCs w:val="18"/>
              </w:rPr>
              <w:t>1.41</w:t>
            </w:r>
          </w:p>
        </w:tc>
      </w:tr>
      <w:tr w:rsidR="004F44E4" w:rsidRPr="00876C32" w:rsidTr="004F44E4">
        <w:trPr>
          <w:jc w:val="center"/>
        </w:trPr>
        <w:tc>
          <w:tcPr>
            <w:tcW w:w="1809" w:type="dxa"/>
            <w:shd w:val="clear" w:color="auto" w:fill="auto"/>
          </w:tcPr>
          <w:p w:rsidR="004F44E4" w:rsidRPr="006D1FA3" w:rsidRDefault="004F44E4" w:rsidP="00352B22">
            <w:pPr>
              <w:pStyle w:val="Tabletext"/>
              <w:jc w:val="center"/>
            </w:pPr>
            <w:r w:rsidRPr="006D1FA3">
              <w:t>15.</w:t>
            </w:r>
            <w:r>
              <w:t>9</w:t>
            </w:r>
          </w:p>
        </w:tc>
        <w:tc>
          <w:tcPr>
            <w:tcW w:w="1701" w:type="dxa"/>
          </w:tcPr>
          <w:p w:rsidR="004F44E4" w:rsidRPr="00826D44" w:rsidRDefault="004F44E4" w:rsidP="00352B22">
            <w:pPr>
              <w:pStyle w:val="Tabletext"/>
              <w:jc w:val="center"/>
            </w:pPr>
            <w:r>
              <w:rPr>
                <w:rFonts w:cs="Arial"/>
                <w:szCs w:val="18"/>
              </w:rPr>
              <w:t>1.50</w:t>
            </w:r>
          </w:p>
        </w:tc>
        <w:tc>
          <w:tcPr>
            <w:tcW w:w="1701" w:type="dxa"/>
          </w:tcPr>
          <w:p w:rsidR="004F44E4" w:rsidRDefault="00900A76" w:rsidP="00352B22">
            <w:pPr>
              <w:pStyle w:val="Tabletext"/>
              <w:jc w:val="center"/>
              <w:rPr>
                <w:rFonts w:cs="Arial"/>
                <w:szCs w:val="18"/>
              </w:rPr>
            </w:pPr>
            <w:r>
              <w:rPr>
                <w:rFonts w:cs="Arial"/>
                <w:szCs w:val="18"/>
              </w:rPr>
              <w:t>–</w:t>
            </w:r>
          </w:p>
        </w:tc>
      </w:tr>
      <w:tr w:rsidR="004F44E4" w:rsidRPr="00876C32" w:rsidTr="004F44E4">
        <w:trPr>
          <w:jc w:val="center"/>
        </w:trPr>
        <w:tc>
          <w:tcPr>
            <w:tcW w:w="1809" w:type="dxa"/>
            <w:shd w:val="clear" w:color="auto" w:fill="auto"/>
          </w:tcPr>
          <w:p w:rsidR="004F44E4" w:rsidRPr="006D1FA3" w:rsidRDefault="004F44E4" w:rsidP="00352B22">
            <w:pPr>
              <w:pStyle w:val="Tabletext"/>
              <w:jc w:val="center"/>
            </w:pPr>
            <w:r>
              <w:t>20.0</w:t>
            </w:r>
          </w:p>
        </w:tc>
        <w:tc>
          <w:tcPr>
            <w:tcW w:w="1701" w:type="dxa"/>
          </w:tcPr>
          <w:p w:rsidR="004F44E4" w:rsidRPr="00826D44" w:rsidRDefault="004F44E4" w:rsidP="00352B22">
            <w:pPr>
              <w:pStyle w:val="Tabletext"/>
              <w:jc w:val="center"/>
            </w:pPr>
            <w:r>
              <w:rPr>
                <w:rFonts w:cs="Arial"/>
                <w:szCs w:val="18"/>
              </w:rPr>
              <w:t>1.50</w:t>
            </w:r>
          </w:p>
        </w:tc>
        <w:tc>
          <w:tcPr>
            <w:tcW w:w="1701" w:type="dxa"/>
          </w:tcPr>
          <w:p w:rsidR="004F44E4" w:rsidRDefault="00900A76" w:rsidP="00352B22">
            <w:pPr>
              <w:pStyle w:val="Tabletext"/>
              <w:jc w:val="center"/>
              <w:rPr>
                <w:rFonts w:cs="Arial"/>
                <w:szCs w:val="18"/>
              </w:rPr>
            </w:pPr>
            <w:r>
              <w:rPr>
                <w:rFonts w:cs="Arial"/>
                <w:szCs w:val="18"/>
              </w:rPr>
              <w:t>–</w:t>
            </w:r>
          </w:p>
        </w:tc>
      </w:tr>
      <w:tr w:rsidR="004F44E4" w:rsidRPr="00876C32" w:rsidTr="004F44E4">
        <w:trPr>
          <w:jc w:val="center"/>
        </w:trPr>
        <w:tc>
          <w:tcPr>
            <w:tcW w:w="1809" w:type="dxa"/>
            <w:shd w:val="clear" w:color="auto" w:fill="auto"/>
          </w:tcPr>
          <w:p w:rsidR="004F44E4" w:rsidRPr="006D1FA3" w:rsidRDefault="004F44E4" w:rsidP="00352B22">
            <w:pPr>
              <w:pStyle w:val="Tabletext"/>
              <w:jc w:val="center"/>
            </w:pPr>
            <w:r w:rsidRPr="006D1FA3">
              <w:t>33.</w:t>
            </w:r>
            <w:r>
              <w:t>4</w:t>
            </w:r>
          </w:p>
        </w:tc>
        <w:tc>
          <w:tcPr>
            <w:tcW w:w="1701" w:type="dxa"/>
          </w:tcPr>
          <w:p w:rsidR="004F44E4" w:rsidRPr="00826D44" w:rsidRDefault="004F44E4" w:rsidP="00352B22">
            <w:pPr>
              <w:pStyle w:val="Tabletext"/>
              <w:jc w:val="center"/>
            </w:pPr>
            <w:r>
              <w:rPr>
                <w:rFonts w:cs="Arial"/>
                <w:szCs w:val="18"/>
              </w:rPr>
              <w:t>1.50</w:t>
            </w:r>
          </w:p>
        </w:tc>
        <w:tc>
          <w:tcPr>
            <w:tcW w:w="1701" w:type="dxa"/>
            <w:vMerge w:val="restart"/>
            <w:vAlign w:val="center"/>
          </w:tcPr>
          <w:p w:rsidR="004F44E4" w:rsidRDefault="004F44E4" w:rsidP="00B71984">
            <w:pPr>
              <w:pStyle w:val="Tabletext"/>
              <w:jc w:val="center"/>
              <w:rPr>
                <w:rFonts w:cs="Arial"/>
                <w:szCs w:val="18"/>
              </w:rPr>
            </w:pPr>
            <w:r>
              <w:rPr>
                <w:rFonts w:cs="Arial"/>
                <w:szCs w:val="18"/>
              </w:rPr>
              <w:t>1.41 (at 50 Hz)</w:t>
            </w:r>
          </w:p>
        </w:tc>
      </w:tr>
      <w:tr w:rsidR="004F44E4" w:rsidRPr="00876C32" w:rsidTr="004F44E4">
        <w:trPr>
          <w:jc w:val="center"/>
        </w:trPr>
        <w:tc>
          <w:tcPr>
            <w:tcW w:w="1809" w:type="dxa"/>
            <w:tcBorders>
              <w:bottom w:val="single" w:sz="4" w:space="0" w:color="auto"/>
            </w:tcBorders>
            <w:shd w:val="clear" w:color="auto" w:fill="auto"/>
          </w:tcPr>
          <w:p w:rsidR="004F44E4" w:rsidRDefault="004F44E4" w:rsidP="00352B22">
            <w:pPr>
              <w:pStyle w:val="Tabletext"/>
              <w:jc w:val="center"/>
            </w:pPr>
            <w:r w:rsidRPr="006D1FA3">
              <w:t>82.0</w:t>
            </w:r>
          </w:p>
        </w:tc>
        <w:tc>
          <w:tcPr>
            <w:tcW w:w="1701" w:type="dxa"/>
            <w:tcBorders>
              <w:bottom w:val="single" w:sz="4" w:space="0" w:color="auto"/>
            </w:tcBorders>
          </w:tcPr>
          <w:p w:rsidR="004F44E4" w:rsidRDefault="004F44E4" w:rsidP="00352B22">
            <w:pPr>
              <w:pStyle w:val="Tabletext"/>
              <w:jc w:val="center"/>
            </w:pPr>
            <w:r>
              <w:rPr>
                <w:rFonts w:cs="Arial"/>
                <w:szCs w:val="18"/>
              </w:rPr>
              <w:t>1.50</w:t>
            </w:r>
          </w:p>
        </w:tc>
        <w:tc>
          <w:tcPr>
            <w:tcW w:w="1701" w:type="dxa"/>
            <w:vMerge/>
            <w:tcBorders>
              <w:bottom w:val="single" w:sz="4" w:space="0" w:color="auto"/>
            </w:tcBorders>
          </w:tcPr>
          <w:p w:rsidR="004F44E4" w:rsidRDefault="004F44E4" w:rsidP="00352B22">
            <w:pPr>
              <w:pStyle w:val="Tabletext"/>
              <w:jc w:val="center"/>
              <w:rPr>
                <w:rFonts w:cs="Arial"/>
                <w:szCs w:val="18"/>
              </w:rPr>
            </w:pPr>
          </w:p>
        </w:tc>
      </w:tr>
    </w:tbl>
    <w:p w:rsidR="00E033F4" w:rsidRPr="00E033F4" w:rsidRDefault="00E033F4" w:rsidP="00E033F4">
      <w:bookmarkStart w:id="114" w:name="_Toc319656516"/>
      <w:bookmarkStart w:id="115" w:name="_Toc319656605"/>
      <w:bookmarkStart w:id="116" w:name="_Toc319918559"/>
      <w:bookmarkStart w:id="117" w:name="_Toc319918828"/>
    </w:p>
    <w:p w:rsidR="00B15AC0" w:rsidRDefault="00B15AC0" w:rsidP="005C7510">
      <w:pPr>
        <w:pStyle w:val="Heading2"/>
      </w:pPr>
      <w:bookmarkStart w:id="118" w:name="_Toc349112539"/>
      <w:r>
        <w:t>Final Modelling Parameters</w:t>
      </w:r>
      <w:bookmarkEnd w:id="114"/>
      <w:bookmarkEnd w:id="115"/>
      <w:bookmarkEnd w:id="116"/>
      <w:bookmarkEnd w:id="117"/>
      <w:bookmarkEnd w:id="118"/>
    </w:p>
    <w:p w:rsidR="00B15AC0" w:rsidRDefault="00B15AC0" w:rsidP="00C409B2">
      <w:pPr>
        <w:pStyle w:val="BodyText"/>
      </w:pPr>
      <w:r w:rsidRPr="006060B7">
        <w:rPr>
          <w:lang w:val="en-US"/>
        </w:rPr>
        <w:t>In the simulations to produce median ground-motion</w:t>
      </w:r>
      <w:r>
        <w:rPr>
          <w:lang w:val="en-US"/>
        </w:rPr>
        <w:t xml:space="preserve"> </w:t>
      </w:r>
      <w:r w:rsidRPr="006060B7">
        <w:rPr>
          <w:lang w:val="en-US"/>
        </w:rPr>
        <w:t xml:space="preserve">prediction equations, aleatory uncertainty </w:t>
      </w:r>
      <w:r>
        <w:rPr>
          <w:lang w:val="en-US"/>
        </w:rPr>
        <w:t xml:space="preserve">is included </w:t>
      </w:r>
      <w:r w:rsidRPr="006060B7">
        <w:rPr>
          <w:lang w:val="en-US"/>
        </w:rPr>
        <w:t>by</w:t>
      </w:r>
      <w:r>
        <w:rPr>
          <w:lang w:val="en-US"/>
        </w:rPr>
        <w:t xml:space="preserve"> </w:t>
      </w:r>
      <w:r w:rsidRPr="006060B7">
        <w:rPr>
          <w:lang w:val="en-US"/>
        </w:rPr>
        <w:t>treating each key parameter as a probability distribution,</w:t>
      </w:r>
      <w:r>
        <w:rPr>
          <w:lang w:val="en-US"/>
        </w:rPr>
        <w:t xml:space="preserve"> </w:t>
      </w:r>
      <w:r w:rsidRPr="006060B7">
        <w:rPr>
          <w:lang w:val="en-US"/>
        </w:rPr>
        <w:t>with the given median value and variability</w:t>
      </w:r>
      <w:r>
        <w:rPr>
          <w:lang w:val="en-US"/>
        </w:rPr>
        <w:t xml:space="preserve"> </w:t>
      </w:r>
      <w:r w:rsidRPr="006060B7">
        <w:rPr>
          <w:lang w:val="en-US"/>
        </w:rPr>
        <w:t>about that median</w:t>
      </w:r>
      <w:r>
        <w:rPr>
          <w:lang w:val="en-US"/>
        </w:rPr>
        <w:t xml:space="preserve"> </w:t>
      </w:r>
      <w:r>
        <w:t>derived in the analysis above</w:t>
      </w:r>
      <w:r w:rsidRPr="006060B7">
        <w:rPr>
          <w:lang w:val="en-US"/>
        </w:rPr>
        <w:t>.</w:t>
      </w:r>
      <w:r w:rsidRPr="006060B7">
        <w:t xml:space="preserve"> </w:t>
      </w:r>
      <w:r w:rsidR="00C24397">
        <w:t xml:space="preserve">It is assumed that the variability about the median values is approximately Gaussian for all parameters (i.e. the median and mean values are approximately equal).  The standard deviation thus approximates the </w:t>
      </w:r>
      <w:r w:rsidR="00C24397" w:rsidRPr="006060B7">
        <w:rPr>
          <w:lang w:val="en-US"/>
        </w:rPr>
        <w:t>aleatory</w:t>
      </w:r>
      <w:r w:rsidR="00C24397">
        <w:rPr>
          <w:lang w:val="en-US"/>
        </w:rPr>
        <w:t xml:space="preserve"> variability about the median values.</w:t>
      </w:r>
      <w:r w:rsidR="00C24397">
        <w:t xml:space="preserve">  </w:t>
      </w:r>
      <w:r>
        <w:t xml:space="preserve">Tables </w:t>
      </w:r>
      <w:r w:rsidR="0045054F">
        <w:t xml:space="preserve">5 </w:t>
      </w:r>
      <w:r>
        <w:t xml:space="preserve">and </w:t>
      </w:r>
      <w:r w:rsidR="0045054F">
        <w:t xml:space="preserve">6 </w:t>
      </w:r>
      <w:r>
        <w:t>provide the final modelling parameters and aleatory uncertainties to be used in the stochastic simulations</w:t>
      </w:r>
      <w:r w:rsidR="0067040E">
        <w:t xml:space="preserve"> </w:t>
      </w:r>
      <w:r w:rsidR="0067040E" w:rsidRPr="0067040E">
        <w:t xml:space="preserve">for </w:t>
      </w:r>
      <w:r w:rsidR="0067040E">
        <w:t xml:space="preserve">both the </w:t>
      </w:r>
      <w:r w:rsidR="0067040E" w:rsidRPr="0067040E">
        <w:t>shallow- and deep-earthquake models</w:t>
      </w:r>
      <w:r>
        <w:t xml:space="preserve">. </w:t>
      </w:r>
    </w:p>
    <w:p w:rsidR="00B15AC0" w:rsidRDefault="00902F7C" w:rsidP="00E033F4">
      <w:pPr>
        <w:pStyle w:val="Tabletitle"/>
      </w:pPr>
      <w:r w:rsidRPr="00ED3EA1">
        <w:rPr>
          <w:rStyle w:val="Bodytextbold"/>
        </w:rPr>
        <w:br w:type="page"/>
      </w:r>
      <w:bookmarkStart w:id="119" w:name="_Toc338429899"/>
      <w:r w:rsidR="00B15AC0" w:rsidRPr="00ED3EA1">
        <w:rPr>
          <w:rStyle w:val="Bodytextbold"/>
        </w:rPr>
        <w:lastRenderedPageBreak/>
        <w:t xml:space="preserve">Table </w:t>
      </w:r>
      <w:r w:rsidR="00B15AC0" w:rsidRPr="005B5D00">
        <w:rPr>
          <w:b/>
        </w:rPr>
        <w:fldChar w:fldCharType="begin"/>
      </w:r>
      <w:r w:rsidR="00B15AC0" w:rsidRPr="005B5D00">
        <w:rPr>
          <w:b/>
        </w:rPr>
        <w:instrText xml:space="preserve"> SEQ Table \* ARABIC </w:instrText>
      </w:r>
      <w:r w:rsidR="00B15AC0" w:rsidRPr="005B5D00">
        <w:rPr>
          <w:b/>
        </w:rPr>
        <w:fldChar w:fldCharType="separate"/>
      </w:r>
      <w:r w:rsidR="007D4E78">
        <w:rPr>
          <w:b/>
          <w:noProof/>
        </w:rPr>
        <w:t>5</w:t>
      </w:r>
      <w:r w:rsidR="00B15AC0" w:rsidRPr="005B5D00">
        <w:rPr>
          <w:b/>
        </w:rPr>
        <w:fldChar w:fldCharType="end"/>
      </w:r>
      <w:r w:rsidR="00FB6EF2" w:rsidRPr="00ED3EA1">
        <w:rPr>
          <w:rStyle w:val="Bodytextbold"/>
        </w:rPr>
        <w:t xml:space="preserve">: </w:t>
      </w:r>
      <w:r w:rsidR="00B03ACE">
        <w:t>Me</w:t>
      </w:r>
      <w:r w:rsidR="005B5D00" w:rsidRPr="005B5D00">
        <w:t xml:space="preserve">an </w:t>
      </w:r>
      <w:r w:rsidR="005B5D00">
        <w:t>p</w:t>
      </w:r>
      <w:r w:rsidR="005B5D00" w:rsidRPr="005B5D00">
        <w:t xml:space="preserve">arameter </w:t>
      </w:r>
      <w:r w:rsidR="005B5D00">
        <w:t>v</w:t>
      </w:r>
      <w:r w:rsidR="005B5D00" w:rsidRPr="005B5D00">
        <w:t xml:space="preserve">alues for </w:t>
      </w:r>
      <w:r w:rsidR="005B5D00">
        <w:t>SEA</w:t>
      </w:r>
      <w:r w:rsidR="005B5D00" w:rsidRPr="005B5D00">
        <w:t xml:space="preserve"> </w:t>
      </w:r>
      <w:r w:rsidR="005B5D00">
        <w:t>g</w:t>
      </w:r>
      <w:r w:rsidR="005B5D00" w:rsidRPr="005B5D00">
        <w:t>round-</w:t>
      </w:r>
      <w:r w:rsidR="005B5D00">
        <w:t>m</w:t>
      </w:r>
      <w:r w:rsidR="005B5D00" w:rsidRPr="005B5D00">
        <w:t xml:space="preserve">otion </w:t>
      </w:r>
      <w:r w:rsidR="005B5D00">
        <w:t>s</w:t>
      </w:r>
      <w:r w:rsidR="005B5D00" w:rsidRPr="005B5D00">
        <w:t>imulations</w:t>
      </w:r>
      <w:r w:rsidR="005B5D00">
        <w:t xml:space="preserve"> </w:t>
      </w:r>
      <w:r w:rsidR="005B5D00" w:rsidRPr="005B5D00">
        <w:t>with EXSIM</w:t>
      </w:r>
      <w:r w:rsidR="006B73CD">
        <w:t xml:space="preserve"> </w:t>
      </w:r>
      <w:r w:rsidR="006B73CD" w:rsidRPr="00332AA7">
        <w:t>for shallow- and deep-earthquake models</w:t>
      </w:r>
      <w:r w:rsidR="002B4100">
        <w:t>.</w:t>
      </w:r>
      <w:bookmarkEnd w:id="119"/>
    </w:p>
    <w:tbl>
      <w:tblPr>
        <w:tblW w:w="0" w:type="auto"/>
        <w:jc w:val="center"/>
        <w:tblLook w:val="01E0" w:firstRow="1" w:lastRow="1" w:firstColumn="1" w:lastColumn="1" w:noHBand="0" w:noVBand="0"/>
      </w:tblPr>
      <w:tblGrid>
        <w:gridCol w:w="2943"/>
        <w:gridCol w:w="2835"/>
      </w:tblGrid>
      <w:tr w:rsidR="0017672B" w:rsidTr="006E5680">
        <w:trPr>
          <w:jc w:val="center"/>
        </w:trPr>
        <w:tc>
          <w:tcPr>
            <w:tcW w:w="2943" w:type="dxa"/>
            <w:tcBorders>
              <w:top w:val="single" w:sz="4" w:space="0" w:color="auto"/>
              <w:bottom w:val="single" w:sz="4" w:space="0" w:color="auto"/>
            </w:tcBorders>
            <w:shd w:val="clear" w:color="auto" w:fill="D9D9D9"/>
          </w:tcPr>
          <w:p w:rsidR="0017672B" w:rsidRDefault="0017672B" w:rsidP="0017672B">
            <w:pPr>
              <w:pStyle w:val="Tableheadingrow"/>
            </w:pPr>
            <w:r>
              <w:t>Parameter</w:t>
            </w:r>
          </w:p>
        </w:tc>
        <w:tc>
          <w:tcPr>
            <w:tcW w:w="2835" w:type="dxa"/>
            <w:tcBorders>
              <w:top w:val="single" w:sz="4" w:space="0" w:color="auto"/>
              <w:bottom w:val="single" w:sz="4" w:space="0" w:color="auto"/>
            </w:tcBorders>
            <w:shd w:val="clear" w:color="auto" w:fill="D9D9D9"/>
          </w:tcPr>
          <w:p w:rsidR="0017672B" w:rsidRDefault="00B03ACE" w:rsidP="0017672B">
            <w:pPr>
              <w:pStyle w:val="Tableheadingrow"/>
            </w:pPr>
            <w:r>
              <w:t>Me</w:t>
            </w:r>
            <w:r w:rsidR="0017672B">
              <w:t>an Value</w:t>
            </w:r>
          </w:p>
        </w:tc>
      </w:tr>
      <w:tr w:rsidR="0017672B" w:rsidTr="006E5680">
        <w:trPr>
          <w:jc w:val="center"/>
        </w:trPr>
        <w:tc>
          <w:tcPr>
            <w:tcW w:w="2943" w:type="dxa"/>
            <w:tcBorders>
              <w:top w:val="single" w:sz="4" w:space="0" w:color="auto"/>
            </w:tcBorders>
          </w:tcPr>
          <w:p w:rsidR="0017672B" w:rsidRDefault="0017672B" w:rsidP="0017672B">
            <w:pPr>
              <w:pStyle w:val="Tabletext"/>
            </w:pPr>
            <w:r w:rsidRPr="0017672B">
              <w:t>Shear-wave velocity</w:t>
            </w:r>
            <w:r w:rsidR="00E15B55">
              <w:t xml:space="preserve">, </w:t>
            </w:r>
            <w:r w:rsidR="00E15B55" w:rsidRPr="008818F0">
              <w:rPr>
                <w:i/>
              </w:rPr>
              <w:sym w:font="Symbol" w:char="F062"/>
            </w:r>
          </w:p>
        </w:tc>
        <w:tc>
          <w:tcPr>
            <w:tcW w:w="2835" w:type="dxa"/>
            <w:tcBorders>
              <w:top w:val="single" w:sz="4" w:space="0" w:color="auto"/>
            </w:tcBorders>
          </w:tcPr>
          <w:p w:rsidR="0017672B" w:rsidRDefault="0017672B" w:rsidP="0017672B">
            <w:pPr>
              <w:pStyle w:val="Tabletext"/>
            </w:pPr>
            <w:r>
              <w:t>3,600 m/s</w:t>
            </w:r>
            <w:r w:rsidR="00ED344B">
              <w:t xml:space="preserve"> </w:t>
            </w:r>
            <w:r w:rsidR="00ED344B">
              <w:fldChar w:fldCharType="begin"/>
            </w:r>
            <w:r w:rsidR="00F202D0">
              <w:instrText xml:space="preserve"> ADDIN EN.CITE &lt;EndNote&gt;&lt;Cite&gt;&lt;Author&gt;Wesson&lt;/Author&gt;&lt;Year&gt;1988&lt;/Year&gt;&lt;RecNum&gt;1222&lt;/RecNum&gt;&lt;record&gt;&lt;rec-number&gt;1222&lt;/rec-number&gt;&lt;foreign-keys&gt;&lt;key app="EN" db-id="se5z02d5txder3eax2p5wz5j59zvz2tdzdd2"&gt;1222&lt;/key&gt;&lt;/foreign-keys&gt;&lt;ref-type name="Thesis"&gt;32&lt;/ref-type&gt;&lt;contributors&gt;&lt;authors&gt;&lt;author&gt;Wesson, V.&lt;/author&gt;&lt;/authors&gt;&lt;/contributors&gt;&lt;titles&gt;&lt;title&gt;Seismic modelling of the Victorian lithosphere&lt;/title&gt;&lt;/titles&gt;&lt;volume&gt;MAppSc Thesis&lt;/volume&gt;&lt;dates&gt;&lt;year&gt;1988&lt;/year&gt;&lt;/dates&gt;&lt;publisher&gt;Phillip Institute of Technology, Melbourne&lt;/publisher&gt;&lt;urls&gt;&lt;/urls&gt;&lt;/record&gt;&lt;/Cite&gt;&lt;/EndNote&gt;</w:instrText>
            </w:r>
            <w:r w:rsidR="00ED344B">
              <w:fldChar w:fldCharType="separate"/>
            </w:r>
            <w:r w:rsidR="00ED344B">
              <w:t>(Wesson, 1988)</w:t>
            </w:r>
            <w:r w:rsidR="00ED344B">
              <w:fldChar w:fldCharType="end"/>
            </w:r>
          </w:p>
        </w:tc>
      </w:tr>
      <w:tr w:rsidR="0017672B" w:rsidTr="006E5680">
        <w:trPr>
          <w:jc w:val="center"/>
        </w:trPr>
        <w:tc>
          <w:tcPr>
            <w:tcW w:w="2943" w:type="dxa"/>
          </w:tcPr>
          <w:p w:rsidR="0017672B" w:rsidRDefault="0017672B" w:rsidP="0017672B">
            <w:pPr>
              <w:pStyle w:val="Tabletext"/>
            </w:pPr>
            <w:r>
              <w:t>Density</w:t>
            </w:r>
            <w:r w:rsidR="00E15B55">
              <w:t xml:space="preserve">, </w:t>
            </w:r>
            <w:r w:rsidR="00E15B55" w:rsidRPr="008818F0">
              <w:rPr>
                <w:i/>
              </w:rPr>
              <w:sym w:font="Symbol" w:char="F072"/>
            </w:r>
          </w:p>
        </w:tc>
        <w:tc>
          <w:tcPr>
            <w:tcW w:w="2835" w:type="dxa"/>
          </w:tcPr>
          <w:p w:rsidR="0017672B" w:rsidRPr="008818F0" w:rsidRDefault="00E15B55" w:rsidP="0017672B">
            <w:pPr>
              <w:pStyle w:val="Tabletext"/>
              <w:rPr>
                <w:vertAlign w:val="superscript"/>
              </w:rPr>
            </w:pPr>
            <w:r>
              <w:t>2,800 kg/m</w:t>
            </w:r>
            <w:r w:rsidRPr="008818F0">
              <w:rPr>
                <w:vertAlign w:val="superscript"/>
              </w:rPr>
              <w:t>3</w:t>
            </w:r>
          </w:p>
        </w:tc>
      </w:tr>
      <w:tr w:rsidR="0017672B" w:rsidTr="006E5680">
        <w:trPr>
          <w:jc w:val="center"/>
        </w:trPr>
        <w:tc>
          <w:tcPr>
            <w:tcW w:w="2943" w:type="dxa"/>
          </w:tcPr>
          <w:p w:rsidR="0017672B" w:rsidRDefault="0017672B" w:rsidP="0017672B">
            <w:pPr>
              <w:pStyle w:val="Tabletext"/>
            </w:pPr>
            <w:bookmarkStart w:id="120" w:name="OLE_LINK3"/>
            <w:bookmarkStart w:id="121" w:name="OLE_LINK4"/>
            <w:r>
              <w:t>Rupture propagation speed</w:t>
            </w:r>
            <w:bookmarkEnd w:id="120"/>
            <w:bookmarkEnd w:id="121"/>
          </w:p>
        </w:tc>
        <w:tc>
          <w:tcPr>
            <w:tcW w:w="2835" w:type="dxa"/>
          </w:tcPr>
          <w:p w:rsidR="0017672B" w:rsidRDefault="00E15B55" w:rsidP="0017672B">
            <w:pPr>
              <w:pStyle w:val="Tabletext"/>
            </w:pPr>
            <w:r>
              <w:t xml:space="preserve">0.8 </w:t>
            </w:r>
            <w:r w:rsidRPr="008818F0">
              <w:rPr>
                <w:rFonts w:ascii="Symbol" w:hAnsi="Symbol"/>
                <w:i/>
              </w:rPr>
              <w:sym w:font="Symbol" w:char="F062"/>
            </w:r>
          </w:p>
        </w:tc>
      </w:tr>
      <w:tr w:rsidR="0017672B" w:rsidTr="006E5680">
        <w:trPr>
          <w:jc w:val="center"/>
        </w:trPr>
        <w:tc>
          <w:tcPr>
            <w:tcW w:w="2943" w:type="dxa"/>
          </w:tcPr>
          <w:p w:rsidR="0017672B" w:rsidRDefault="0017672B" w:rsidP="0017672B">
            <w:pPr>
              <w:pStyle w:val="Tabletext"/>
            </w:pPr>
            <w:r>
              <w:t>Brune stress drop</w:t>
            </w:r>
            <w:r w:rsidR="00E15B55">
              <w:t xml:space="preserve">, </w:t>
            </w:r>
            <w:r w:rsidR="00E15B55" w:rsidRPr="008818F0">
              <w:sym w:font="Symbol" w:char="F044"/>
            </w:r>
            <w:r w:rsidR="00E15B55" w:rsidRPr="008818F0">
              <w:rPr>
                <w:i/>
              </w:rPr>
              <w:sym w:font="Symbol" w:char="F073"/>
            </w:r>
          </w:p>
        </w:tc>
        <w:tc>
          <w:tcPr>
            <w:tcW w:w="2835" w:type="dxa"/>
          </w:tcPr>
          <w:p w:rsidR="0017672B" w:rsidRDefault="00E15B55" w:rsidP="0017672B">
            <w:pPr>
              <w:pStyle w:val="Tabletext"/>
            </w:pPr>
            <w:r>
              <w:t>23 MPa (shallow model)</w:t>
            </w:r>
          </w:p>
          <w:p w:rsidR="00E15B55" w:rsidRDefault="00E15B55" w:rsidP="0017672B">
            <w:pPr>
              <w:pStyle w:val="Tabletext"/>
            </w:pPr>
            <w:r>
              <w:t>50 MPa (deep model)</w:t>
            </w:r>
          </w:p>
        </w:tc>
      </w:tr>
      <w:tr w:rsidR="0017672B" w:rsidTr="006E5680">
        <w:trPr>
          <w:jc w:val="center"/>
        </w:trPr>
        <w:tc>
          <w:tcPr>
            <w:tcW w:w="2943" w:type="dxa"/>
          </w:tcPr>
          <w:p w:rsidR="0017672B" w:rsidRDefault="0017672B" w:rsidP="0017672B">
            <w:pPr>
              <w:pStyle w:val="Tabletext"/>
            </w:pPr>
            <w:r>
              <w:t>Pulsing percentage</w:t>
            </w:r>
          </w:p>
        </w:tc>
        <w:tc>
          <w:tcPr>
            <w:tcW w:w="2835" w:type="dxa"/>
          </w:tcPr>
          <w:p w:rsidR="0017672B" w:rsidRDefault="00E15B55" w:rsidP="0017672B">
            <w:pPr>
              <w:pStyle w:val="Tabletext"/>
            </w:pPr>
            <w:r>
              <w:t>25%</w:t>
            </w:r>
          </w:p>
        </w:tc>
      </w:tr>
      <w:tr w:rsidR="0017672B" w:rsidTr="006E5680">
        <w:trPr>
          <w:jc w:val="center"/>
        </w:trPr>
        <w:tc>
          <w:tcPr>
            <w:tcW w:w="2943" w:type="dxa"/>
          </w:tcPr>
          <w:p w:rsidR="0017672B" w:rsidRPr="00E15B55" w:rsidRDefault="0017672B" w:rsidP="0017672B">
            <w:pPr>
              <w:pStyle w:val="Tabletext"/>
            </w:pPr>
            <w:r>
              <w:t>Geometrical attenuation</w:t>
            </w:r>
            <w:r w:rsidR="00E15B55">
              <w:t xml:space="preserve"> </w:t>
            </w:r>
            <w:r w:rsidR="00E15B55" w:rsidRPr="008818F0">
              <w:rPr>
                <w:i/>
              </w:rPr>
              <w:t>R</w:t>
            </w:r>
            <w:r w:rsidR="00E15B55" w:rsidRPr="008818F0">
              <w:rPr>
                <w:i/>
                <w:vertAlign w:val="superscript"/>
              </w:rPr>
              <w:t>b</w:t>
            </w:r>
            <w:r w:rsidR="00E15B55" w:rsidRPr="008818F0">
              <w:rPr>
                <w:i/>
              </w:rPr>
              <w:t xml:space="preserve">, b </w:t>
            </w:r>
          </w:p>
        </w:tc>
        <w:tc>
          <w:tcPr>
            <w:tcW w:w="2835" w:type="dxa"/>
          </w:tcPr>
          <w:p w:rsidR="0017672B" w:rsidRDefault="00E15B55" w:rsidP="0017672B">
            <w:pPr>
              <w:pStyle w:val="Tabletext"/>
            </w:pPr>
            <w:r>
              <w:t>-1.33 (0-90 km)</w:t>
            </w:r>
          </w:p>
          <w:p w:rsidR="00E15B55" w:rsidRDefault="00E15B55" w:rsidP="0017672B">
            <w:pPr>
              <w:pStyle w:val="Tabletext"/>
            </w:pPr>
            <w:r>
              <w:t>+0.32 (90-150 km)</w:t>
            </w:r>
          </w:p>
          <w:p w:rsidR="00E15B55" w:rsidRDefault="00E15B55" w:rsidP="0017672B">
            <w:pPr>
              <w:pStyle w:val="Tabletext"/>
            </w:pPr>
            <w:r>
              <w:t>-1.66 (&gt; 150 km)</w:t>
            </w:r>
          </w:p>
        </w:tc>
      </w:tr>
      <w:tr w:rsidR="0017672B" w:rsidTr="006E5680">
        <w:trPr>
          <w:jc w:val="center"/>
        </w:trPr>
        <w:tc>
          <w:tcPr>
            <w:tcW w:w="2943" w:type="dxa"/>
          </w:tcPr>
          <w:p w:rsidR="0017672B" w:rsidRPr="00525BC1" w:rsidRDefault="0017672B" w:rsidP="003B61E8">
            <w:pPr>
              <w:pStyle w:val="Tabletext"/>
            </w:pPr>
            <w:r>
              <w:t>Anelastic attenuation</w:t>
            </w:r>
            <w:r w:rsidR="00525BC1">
              <w:t xml:space="preserve">, </w:t>
            </w:r>
            <w:r w:rsidR="00525BC1" w:rsidRPr="008818F0">
              <w:rPr>
                <w:i/>
                <w:spacing w:val="20"/>
              </w:rPr>
              <w:t>q</w:t>
            </w:r>
            <w:r w:rsidR="00525BC1">
              <w:t>(</w:t>
            </w:r>
            <w:r w:rsidR="00525BC1" w:rsidRPr="008818F0">
              <w:rPr>
                <w:i/>
                <w:spacing w:val="20"/>
              </w:rPr>
              <w:t>f</w:t>
            </w:r>
            <w:r w:rsidR="00525BC1" w:rsidRPr="008818F0">
              <w:rPr>
                <w:spacing w:val="20"/>
              </w:rPr>
              <w:t>)</w:t>
            </w:r>
          </w:p>
        </w:tc>
        <w:tc>
          <w:tcPr>
            <w:tcW w:w="2835" w:type="dxa"/>
          </w:tcPr>
          <w:p w:rsidR="0017672B" w:rsidRPr="00525BC1" w:rsidRDefault="00525BC1" w:rsidP="003B61E8">
            <w:pPr>
              <w:pStyle w:val="Tabletext"/>
            </w:pPr>
            <w:r>
              <w:t>min[0,5.85</w:t>
            </w:r>
            <w:r w:rsidRPr="008818F0">
              <w:sym w:font="Symbol" w:char="F0B4"/>
            </w:r>
            <w:r>
              <w:t>10</w:t>
            </w:r>
            <w:r w:rsidRPr="008818F0">
              <w:rPr>
                <w:vertAlign w:val="superscript"/>
              </w:rPr>
              <w:t>-3</w:t>
            </w:r>
            <w:r>
              <w:t xml:space="preserve"> – 0.015 log </w:t>
            </w:r>
            <w:r w:rsidRPr="008818F0">
              <w:rPr>
                <w:i/>
              </w:rPr>
              <w:t>f</w:t>
            </w:r>
            <w:r>
              <w:t xml:space="preserve"> ]</w:t>
            </w:r>
          </w:p>
        </w:tc>
      </w:tr>
      <w:tr w:rsidR="0017672B" w:rsidTr="006E5680">
        <w:trPr>
          <w:jc w:val="center"/>
        </w:trPr>
        <w:tc>
          <w:tcPr>
            <w:tcW w:w="2943" w:type="dxa"/>
          </w:tcPr>
          <w:p w:rsidR="0017672B" w:rsidRDefault="004635B0" w:rsidP="0017672B">
            <w:pPr>
              <w:pStyle w:val="Tabletext"/>
            </w:pPr>
            <w:r w:rsidRPr="004635B0">
              <w:rPr>
                <w:rFonts w:cs="Arial"/>
                <w:i/>
              </w:rPr>
              <w:t>κ</w:t>
            </w:r>
            <w:r>
              <w:rPr>
                <w:rFonts w:cs="Arial"/>
                <w:vertAlign w:val="subscript"/>
              </w:rPr>
              <w:t>0</w:t>
            </w:r>
          </w:p>
        </w:tc>
        <w:tc>
          <w:tcPr>
            <w:tcW w:w="2835" w:type="dxa"/>
          </w:tcPr>
          <w:p w:rsidR="0017672B" w:rsidRDefault="00525BC1" w:rsidP="0017672B">
            <w:pPr>
              <w:pStyle w:val="Tabletext"/>
            </w:pPr>
            <w:r>
              <w:t>0.006</w:t>
            </w:r>
            <w:r w:rsidR="00216FB0">
              <w:t xml:space="preserve"> s</w:t>
            </w:r>
          </w:p>
        </w:tc>
      </w:tr>
      <w:tr w:rsidR="0017672B" w:rsidTr="006E5680">
        <w:trPr>
          <w:jc w:val="center"/>
        </w:trPr>
        <w:tc>
          <w:tcPr>
            <w:tcW w:w="2943" w:type="dxa"/>
          </w:tcPr>
          <w:p w:rsidR="0017672B" w:rsidRDefault="0017672B" w:rsidP="0017672B">
            <w:pPr>
              <w:pStyle w:val="Tabletext"/>
            </w:pPr>
            <w:r>
              <w:t>Distance-dependent duration</w:t>
            </w:r>
          </w:p>
        </w:tc>
        <w:tc>
          <w:tcPr>
            <w:tcW w:w="2835" w:type="dxa"/>
          </w:tcPr>
          <w:p w:rsidR="00525BC1" w:rsidRDefault="00525BC1" w:rsidP="00525BC1">
            <w:pPr>
              <w:pStyle w:val="Tabletext"/>
            </w:pPr>
            <w:r>
              <w:t xml:space="preserve">0.00 (0-10 km) </w:t>
            </w:r>
          </w:p>
          <w:p w:rsidR="00525BC1" w:rsidRDefault="002B4100" w:rsidP="00525BC1">
            <w:pPr>
              <w:pStyle w:val="Tabletext"/>
            </w:pPr>
            <w:r>
              <w:t>+</w:t>
            </w:r>
            <w:r w:rsidR="00525BC1">
              <w:t>0.14 (10-70 km)</w:t>
            </w:r>
          </w:p>
          <w:p w:rsidR="00525BC1" w:rsidRDefault="002B4100" w:rsidP="00525BC1">
            <w:pPr>
              <w:pStyle w:val="Tabletext"/>
            </w:pPr>
            <w:r>
              <w:t>-0.04</w:t>
            </w:r>
            <w:r w:rsidR="00525BC1">
              <w:t xml:space="preserve"> (70-160 km)</w:t>
            </w:r>
          </w:p>
          <w:p w:rsidR="0017672B" w:rsidRDefault="002B4100" w:rsidP="00525BC1">
            <w:pPr>
              <w:pStyle w:val="Tabletext"/>
            </w:pPr>
            <w:r>
              <w:t>+0.07</w:t>
            </w:r>
            <w:r w:rsidR="00525BC1">
              <w:t xml:space="preserve"> (&gt; 1</w:t>
            </w:r>
            <w:r>
              <w:t>6</w:t>
            </w:r>
            <w:r w:rsidR="00525BC1">
              <w:t>0 km)</w:t>
            </w:r>
          </w:p>
        </w:tc>
      </w:tr>
      <w:tr w:rsidR="0017672B" w:rsidTr="006E5680">
        <w:trPr>
          <w:jc w:val="center"/>
        </w:trPr>
        <w:tc>
          <w:tcPr>
            <w:tcW w:w="2943" w:type="dxa"/>
            <w:tcBorders>
              <w:bottom w:val="single" w:sz="4" w:space="0" w:color="auto"/>
            </w:tcBorders>
          </w:tcPr>
          <w:p w:rsidR="0017672B" w:rsidRDefault="0017672B" w:rsidP="0017672B">
            <w:pPr>
              <w:pStyle w:val="Tabletext"/>
            </w:pPr>
            <w:r>
              <w:t>Fault dip</w:t>
            </w:r>
          </w:p>
        </w:tc>
        <w:tc>
          <w:tcPr>
            <w:tcW w:w="2835" w:type="dxa"/>
            <w:tcBorders>
              <w:bottom w:val="single" w:sz="4" w:space="0" w:color="auto"/>
            </w:tcBorders>
          </w:tcPr>
          <w:p w:rsidR="0017672B" w:rsidRDefault="00E15B55" w:rsidP="0017672B">
            <w:pPr>
              <w:pStyle w:val="Tabletext"/>
            </w:pPr>
            <w:r>
              <w:t>35</w:t>
            </w:r>
            <w:r w:rsidRPr="008818F0">
              <w:sym w:font="Symbol" w:char="F0B0"/>
            </w:r>
          </w:p>
        </w:tc>
      </w:tr>
    </w:tbl>
    <w:p w:rsidR="00ED3EA1" w:rsidRPr="00332AA7" w:rsidRDefault="00ED3EA1" w:rsidP="00332AA7">
      <w:bookmarkStart w:id="122" w:name="_Toc338429900"/>
    </w:p>
    <w:p w:rsidR="00B15AC0" w:rsidRPr="00ED3EA1" w:rsidRDefault="00B15AC0" w:rsidP="00E033F4">
      <w:pPr>
        <w:pStyle w:val="Tabletitle"/>
      </w:pPr>
      <w:r w:rsidRPr="00ED3EA1">
        <w:rPr>
          <w:rStyle w:val="Bodytextbold"/>
        </w:rPr>
        <w:t xml:space="preserve">Table </w:t>
      </w:r>
      <w:r w:rsidRPr="00ED3EA1">
        <w:rPr>
          <w:rStyle w:val="Bodytextbold"/>
        </w:rPr>
        <w:fldChar w:fldCharType="begin"/>
      </w:r>
      <w:r w:rsidRPr="00ED3EA1">
        <w:rPr>
          <w:rStyle w:val="Bodytextbold"/>
        </w:rPr>
        <w:instrText xml:space="preserve"> SEQ Table \* ARABIC </w:instrText>
      </w:r>
      <w:r w:rsidRPr="00ED3EA1">
        <w:rPr>
          <w:rStyle w:val="Bodytextbold"/>
        </w:rPr>
        <w:fldChar w:fldCharType="separate"/>
      </w:r>
      <w:r w:rsidR="007D4E78" w:rsidRPr="00ED3EA1">
        <w:rPr>
          <w:rStyle w:val="Bodytextbold"/>
        </w:rPr>
        <w:t>6</w:t>
      </w:r>
      <w:r w:rsidRPr="00ED3EA1">
        <w:rPr>
          <w:rStyle w:val="Bodytextbold"/>
        </w:rPr>
        <w:fldChar w:fldCharType="end"/>
      </w:r>
      <w:r w:rsidR="005B5D00" w:rsidRPr="00ED3EA1">
        <w:rPr>
          <w:rStyle w:val="Bodytextbold"/>
        </w:rPr>
        <w:t>:</w:t>
      </w:r>
      <w:r w:rsidR="005B5D00" w:rsidRPr="00ED3EA1">
        <w:t xml:space="preserve"> Aleatory uncertainty (variability) in key model parameters</w:t>
      </w:r>
      <w:r w:rsidR="006B73CD" w:rsidRPr="00ED3EA1">
        <w:t xml:space="preserve"> using normal distribution for shallow- and deep-earthquake models</w:t>
      </w:r>
      <w:r w:rsidR="00B03ACE" w:rsidRPr="00ED3EA1">
        <w:t>.</w:t>
      </w:r>
      <w:bookmarkEnd w:id="122"/>
    </w:p>
    <w:tbl>
      <w:tblPr>
        <w:tblW w:w="0" w:type="auto"/>
        <w:jc w:val="center"/>
        <w:tblLook w:val="01E0" w:firstRow="1" w:lastRow="1" w:firstColumn="1" w:lastColumn="1" w:noHBand="0" w:noVBand="0"/>
      </w:tblPr>
      <w:tblGrid>
        <w:gridCol w:w="2376"/>
        <w:gridCol w:w="1418"/>
        <w:gridCol w:w="1276"/>
        <w:gridCol w:w="1275"/>
        <w:gridCol w:w="1418"/>
      </w:tblGrid>
      <w:tr w:rsidR="006B73CD" w:rsidRPr="008818F0" w:rsidTr="006E5680">
        <w:trPr>
          <w:jc w:val="center"/>
        </w:trPr>
        <w:tc>
          <w:tcPr>
            <w:tcW w:w="2376" w:type="dxa"/>
            <w:tcBorders>
              <w:top w:val="single" w:sz="4" w:space="0" w:color="auto"/>
              <w:bottom w:val="single" w:sz="4" w:space="0" w:color="auto"/>
            </w:tcBorders>
            <w:shd w:val="clear" w:color="auto" w:fill="D9D9D9"/>
            <w:vAlign w:val="center"/>
          </w:tcPr>
          <w:p w:rsidR="006B73CD" w:rsidRDefault="006B73CD" w:rsidP="00B03ACE">
            <w:pPr>
              <w:pStyle w:val="Tableheadingrow"/>
            </w:pPr>
            <w:bookmarkStart w:id="123" w:name="_Toc319656517"/>
            <w:bookmarkStart w:id="124" w:name="_Toc319656606"/>
            <w:r>
              <w:t>Parameter</w:t>
            </w:r>
          </w:p>
        </w:tc>
        <w:tc>
          <w:tcPr>
            <w:tcW w:w="1418" w:type="dxa"/>
            <w:tcBorders>
              <w:top w:val="single" w:sz="4" w:space="0" w:color="auto"/>
              <w:bottom w:val="single" w:sz="4" w:space="0" w:color="auto"/>
            </w:tcBorders>
            <w:shd w:val="clear" w:color="auto" w:fill="D9D9D9"/>
            <w:vAlign w:val="center"/>
          </w:tcPr>
          <w:p w:rsidR="006B73CD" w:rsidRDefault="006B73CD" w:rsidP="00B03ACE">
            <w:pPr>
              <w:pStyle w:val="Tableheadingrow"/>
            </w:pPr>
            <w:r>
              <w:t>Mean</w:t>
            </w:r>
          </w:p>
        </w:tc>
        <w:tc>
          <w:tcPr>
            <w:tcW w:w="1276" w:type="dxa"/>
            <w:tcBorders>
              <w:top w:val="single" w:sz="4" w:space="0" w:color="auto"/>
              <w:bottom w:val="single" w:sz="4" w:space="0" w:color="auto"/>
            </w:tcBorders>
            <w:shd w:val="clear" w:color="auto" w:fill="D9D9D9"/>
            <w:vAlign w:val="center"/>
          </w:tcPr>
          <w:p w:rsidR="006B73CD" w:rsidRDefault="006B73CD" w:rsidP="00B03ACE">
            <w:pPr>
              <w:pStyle w:val="Tableheadingrow"/>
            </w:pPr>
            <w:r>
              <w:t>Standard Deviation</w:t>
            </w:r>
          </w:p>
        </w:tc>
        <w:tc>
          <w:tcPr>
            <w:tcW w:w="1275" w:type="dxa"/>
            <w:tcBorders>
              <w:top w:val="single" w:sz="4" w:space="0" w:color="auto"/>
              <w:bottom w:val="single" w:sz="4" w:space="0" w:color="auto"/>
            </w:tcBorders>
            <w:shd w:val="clear" w:color="auto" w:fill="D9D9D9"/>
            <w:vAlign w:val="center"/>
          </w:tcPr>
          <w:p w:rsidR="006B73CD" w:rsidRDefault="006B73CD" w:rsidP="00B03ACE">
            <w:pPr>
              <w:pStyle w:val="Tableheadingrow"/>
            </w:pPr>
            <w:r>
              <w:t>Minimum</w:t>
            </w:r>
          </w:p>
        </w:tc>
        <w:tc>
          <w:tcPr>
            <w:tcW w:w="1418" w:type="dxa"/>
            <w:tcBorders>
              <w:top w:val="single" w:sz="4" w:space="0" w:color="auto"/>
              <w:bottom w:val="single" w:sz="4" w:space="0" w:color="auto"/>
            </w:tcBorders>
            <w:shd w:val="clear" w:color="auto" w:fill="D9D9D9"/>
            <w:vAlign w:val="center"/>
          </w:tcPr>
          <w:p w:rsidR="006B73CD" w:rsidRDefault="006B73CD" w:rsidP="00B03ACE">
            <w:pPr>
              <w:pStyle w:val="Tableheadingrow"/>
            </w:pPr>
            <w:r>
              <w:t>Maximum</w:t>
            </w:r>
          </w:p>
        </w:tc>
      </w:tr>
      <w:tr w:rsidR="006B73CD" w:rsidTr="006E5680">
        <w:trPr>
          <w:jc w:val="center"/>
        </w:trPr>
        <w:tc>
          <w:tcPr>
            <w:tcW w:w="2376" w:type="dxa"/>
            <w:tcBorders>
              <w:top w:val="single" w:sz="4" w:space="0" w:color="auto"/>
            </w:tcBorders>
            <w:vAlign w:val="center"/>
          </w:tcPr>
          <w:p w:rsidR="006B73CD" w:rsidRDefault="006B73CD" w:rsidP="00B03ACE">
            <w:pPr>
              <w:pStyle w:val="Tabletext"/>
            </w:pPr>
            <w:r>
              <w:t>Fault dip</w:t>
            </w:r>
          </w:p>
        </w:tc>
        <w:tc>
          <w:tcPr>
            <w:tcW w:w="1418" w:type="dxa"/>
            <w:tcBorders>
              <w:top w:val="single" w:sz="4" w:space="0" w:color="auto"/>
            </w:tcBorders>
            <w:vAlign w:val="center"/>
          </w:tcPr>
          <w:p w:rsidR="006B73CD" w:rsidRDefault="006B73CD" w:rsidP="00B03ACE">
            <w:pPr>
              <w:pStyle w:val="Tabletext"/>
            </w:pPr>
            <w:r>
              <w:t>35</w:t>
            </w:r>
            <w:r w:rsidRPr="008818F0">
              <w:sym w:font="Symbol" w:char="F0B0"/>
            </w:r>
          </w:p>
        </w:tc>
        <w:tc>
          <w:tcPr>
            <w:tcW w:w="1276" w:type="dxa"/>
            <w:tcBorders>
              <w:top w:val="single" w:sz="4" w:space="0" w:color="auto"/>
            </w:tcBorders>
            <w:vAlign w:val="center"/>
          </w:tcPr>
          <w:p w:rsidR="006B73CD" w:rsidRDefault="006B73CD" w:rsidP="00B03ACE">
            <w:pPr>
              <w:pStyle w:val="Tabletext"/>
            </w:pPr>
            <w:r>
              <w:t>20</w:t>
            </w:r>
            <w:r w:rsidRPr="008818F0">
              <w:sym w:font="Symbol" w:char="F0B0"/>
            </w:r>
          </w:p>
        </w:tc>
        <w:tc>
          <w:tcPr>
            <w:tcW w:w="1275" w:type="dxa"/>
            <w:tcBorders>
              <w:top w:val="single" w:sz="4" w:space="0" w:color="auto"/>
            </w:tcBorders>
            <w:vAlign w:val="center"/>
          </w:tcPr>
          <w:p w:rsidR="006B73CD" w:rsidRDefault="006B73CD" w:rsidP="00B03ACE">
            <w:pPr>
              <w:pStyle w:val="Tabletext"/>
            </w:pPr>
            <w:r>
              <w:t>10</w:t>
            </w:r>
            <w:r w:rsidRPr="008818F0">
              <w:sym w:font="Symbol" w:char="F0B0"/>
            </w:r>
          </w:p>
        </w:tc>
        <w:tc>
          <w:tcPr>
            <w:tcW w:w="1418" w:type="dxa"/>
            <w:tcBorders>
              <w:top w:val="single" w:sz="4" w:space="0" w:color="auto"/>
            </w:tcBorders>
            <w:vAlign w:val="center"/>
          </w:tcPr>
          <w:p w:rsidR="006B73CD" w:rsidRDefault="006B73CD" w:rsidP="00B03ACE">
            <w:pPr>
              <w:pStyle w:val="Tabletext"/>
            </w:pPr>
            <w:r>
              <w:t>90</w:t>
            </w:r>
            <w:r w:rsidRPr="008818F0">
              <w:sym w:font="Symbol" w:char="F0B0"/>
            </w:r>
          </w:p>
        </w:tc>
      </w:tr>
      <w:tr w:rsidR="006B73CD" w:rsidTr="006E5680">
        <w:trPr>
          <w:jc w:val="center"/>
        </w:trPr>
        <w:tc>
          <w:tcPr>
            <w:tcW w:w="2376" w:type="dxa"/>
            <w:vAlign w:val="center"/>
          </w:tcPr>
          <w:p w:rsidR="006B73CD" w:rsidRDefault="004635B0" w:rsidP="00B03ACE">
            <w:pPr>
              <w:pStyle w:val="Tabletext"/>
            </w:pPr>
            <w:r>
              <w:t>l</w:t>
            </w:r>
            <w:r w:rsidR="006B73CD">
              <w:t>og</w:t>
            </w:r>
            <w:r>
              <w:rPr>
                <w:vertAlign w:val="subscript"/>
              </w:rPr>
              <w:t>10</w:t>
            </w:r>
            <w:r w:rsidR="006B73CD">
              <w:t xml:space="preserve"> stress</w:t>
            </w:r>
            <w:r w:rsidR="00216FB0">
              <w:t xml:space="preserve"> (</w:t>
            </w:r>
            <w:r w:rsidR="00D8297C">
              <w:t>MPa</w:t>
            </w:r>
            <w:r w:rsidR="00216FB0">
              <w:t>)</w:t>
            </w:r>
          </w:p>
        </w:tc>
        <w:tc>
          <w:tcPr>
            <w:tcW w:w="1418" w:type="dxa"/>
            <w:vAlign w:val="center"/>
          </w:tcPr>
          <w:p w:rsidR="006B73CD" w:rsidRDefault="00FF6D2E" w:rsidP="00B03ACE">
            <w:pPr>
              <w:pStyle w:val="Tabletext"/>
            </w:pPr>
            <w:r>
              <w:t>1</w:t>
            </w:r>
            <w:r w:rsidR="006B73CD">
              <w:t>.36 (shallow)</w:t>
            </w:r>
          </w:p>
          <w:p w:rsidR="006B73CD" w:rsidRDefault="00FF6D2E" w:rsidP="00B03ACE">
            <w:pPr>
              <w:pStyle w:val="Tabletext"/>
            </w:pPr>
            <w:r>
              <w:t>1</w:t>
            </w:r>
            <w:r w:rsidR="006B73CD">
              <w:t>.70 (deep)</w:t>
            </w:r>
          </w:p>
        </w:tc>
        <w:tc>
          <w:tcPr>
            <w:tcW w:w="1276" w:type="dxa"/>
            <w:vAlign w:val="center"/>
          </w:tcPr>
          <w:p w:rsidR="006B73CD" w:rsidRDefault="006B73CD" w:rsidP="00B03ACE">
            <w:pPr>
              <w:pStyle w:val="Tabletext"/>
            </w:pPr>
            <w:r>
              <w:t>0.31</w:t>
            </w:r>
          </w:p>
        </w:tc>
        <w:tc>
          <w:tcPr>
            <w:tcW w:w="1275" w:type="dxa"/>
            <w:vAlign w:val="center"/>
          </w:tcPr>
          <w:p w:rsidR="006B73CD" w:rsidRDefault="006B73CD" w:rsidP="00B03ACE">
            <w:pPr>
              <w:pStyle w:val="Tabletext"/>
            </w:pPr>
            <w:r>
              <w:t>1.0</w:t>
            </w:r>
          </w:p>
        </w:tc>
        <w:tc>
          <w:tcPr>
            <w:tcW w:w="1418" w:type="dxa"/>
            <w:vAlign w:val="center"/>
          </w:tcPr>
          <w:p w:rsidR="006B73CD" w:rsidRPr="00B03ACE" w:rsidRDefault="006B73CD" w:rsidP="00B03ACE">
            <w:pPr>
              <w:pStyle w:val="Tabletext"/>
            </w:pPr>
            <w:r>
              <w:t>3.1</w:t>
            </w:r>
          </w:p>
        </w:tc>
      </w:tr>
      <w:tr w:rsidR="006B73CD" w:rsidTr="006E5680">
        <w:trPr>
          <w:jc w:val="center"/>
        </w:trPr>
        <w:tc>
          <w:tcPr>
            <w:tcW w:w="2376" w:type="dxa"/>
            <w:vAlign w:val="center"/>
          </w:tcPr>
          <w:p w:rsidR="006B73CD" w:rsidRDefault="004635B0" w:rsidP="00B03ACE">
            <w:pPr>
              <w:pStyle w:val="Tabletext"/>
            </w:pPr>
            <w:r w:rsidRPr="003E5F0C">
              <w:rPr>
                <w:rFonts w:ascii="Times New Roman" w:hAnsi="Times New Roman"/>
                <w:i/>
              </w:rPr>
              <w:t>κ</w:t>
            </w:r>
            <w:r>
              <w:rPr>
                <w:rFonts w:cs="Arial"/>
                <w:vertAlign w:val="subscript"/>
              </w:rPr>
              <w:t>0</w:t>
            </w:r>
            <w:r>
              <w:t xml:space="preserve"> </w:t>
            </w:r>
            <w:r w:rsidR="00216FB0">
              <w:t>(s)</w:t>
            </w:r>
          </w:p>
        </w:tc>
        <w:tc>
          <w:tcPr>
            <w:tcW w:w="1418" w:type="dxa"/>
            <w:vAlign w:val="center"/>
          </w:tcPr>
          <w:p w:rsidR="006B73CD" w:rsidRDefault="006B73CD" w:rsidP="00216FB0">
            <w:pPr>
              <w:pStyle w:val="Tabletext"/>
            </w:pPr>
            <w:r>
              <w:t>0.006</w:t>
            </w:r>
          </w:p>
        </w:tc>
        <w:tc>
          <w:tcPr>
            <w:tcW w:w="1276" w:type="dxa"/>
            <w:vAlign w:val="center"/>
          </w:tcPr>
          <w:p w:rsidR="006B73CD" w:rsidRDefault="006B73CD" w:rsidP="00B03ACE">
            <w:pPr>
              <w:pStyle w:val="Tabletext"/>
            </w:pPr>
            <w:r>
              <w:t>0.017</w:t>
            </w:r>
          </w:p>
        </w:tc>
        <w:tc>
          <w:tcPr>
            <w:tcW w:w="1275" w:type="dxa"/>
            <w:vAlign w:val="center"/>
          </w:tcPr>
          <w:p w:rsidR="006B73CD" w:rsidRDefault="006B73CD" w:rsidP="00B03ACE">
            <w:pPr>
              <w:pStyle w:val="Tabletext"/>
            </w:pPr>
            <w:r>
              <w:t>-0.010</w:t>
            </w:r>
          </w:p>
        </w:tc>
        <w:tc>
          <w:tcPr>
            <w:tcW w:w="1418" w:type="dxa"/>
            <w:vAlign w:val="center"/>
          </w:tcPr>
          <w:p w:rsidR="006B73CD" w:rsidRDefault="006B73CD" w:rsidP="00B03ACE">
            <w:pPr>
              <w:pStyle w:val="Tabletext"/>
            </w:pPr>
            <w:r>
              <w:t>0.024</w:t>
            </w:r>
          </w:p>
        </w:tc>
      </w:tr>
      <w:tr w:rsidR="006B73CD" w:rsidTr="006E5680">
        <w:trPr>
          <w:jc w:val="center"/>
        </w:trPr>
        <w:tc>
          <w:tcPr>
            <w:tcW w:w="2376" w:type="dxa"/>
            <w:vAlign w:val="center"/>
          </w:tcPr>
          <w:p w:rsidR="006B73CD" w:rsidRPr="00B03ACE" w:rsidRDefault="006B73CD" w:rsidP="00B03ACE">
            <w:pPr>
              <w:pStyle w:val="Tabletext"/>
            </w:pPr>
            <w:r w:rsidRPr="008818F0">
              <w:rPr>
                <w:i/>
              </w:rPr>
              <w:t>b</w:t>
            </w:r>
            <w:r w:rsidRPr="008818F0">
              <w:rPr>
                <w:i/>
                <w:vertAlign w:val="subscript"/>
              </w:rPr>
              <w:t>1</w:t>
            </w:r>
          </w:p>
        </w:tc>
        <w:tc>
          <w:tcPr>
            <w:tcW w:w="1418" w:type="dxa"/>
            <w:vAlign w:val="center"/>
          </w:tcPr>
          <w:p w:rsidR="006B73CD" w:rsidRDefault="006B73CD" w:rsidP="00B03ACE">
            <w:pPr>
              <w:pStyle w:val="Tabletext"/>
            </w:pPr>
            <w:r>
              <w:t>-1.33</w:t>
            </w:r>
          </w:p>
        </w:tc>
        <w:tc>
          <w:tcPr>
            <w:tcW w:w="1276" w:type="dxa"/>
            <w:vAlign w:val="center"/>
          </w:tcPr>
          <w:p w:rsidR="006B73CD" w:rsidRDefault="006B73CD" w:rsidP="00B03ACE">
            <w:pPr>
              <w:pStyle w:val="Tabletext"/>
            </w:pPr>
            <w:r>
              <w:t>0.</w:t>
            </w:r>
            <w:r w:rsidR="003E5F0C">
              <w:t>23</w:t>
            </w:r>
          </w:p>
        </w:tc>
        <w:tc>
          <w:tcPr>
            <w:tcW w:w="1275" w:type="dxa"/>
            <w:vAlign w:val="center"/>
          </w:tcPr>
          <w:p w:rsidR="006B73CD" w:rsidRDefault="006B73CD" w:rsidP="00B03ACE">
            <w:pPr>
              <w:pStyle w:val="Tabletext"/>
            </w:pPr>
            <w:r>
              <w:t>-1.61</w:t>
            </w:r>
          </w:p>
        </w:tc>
        <w:tc>
          <w:tcPr>
            <w:tcW w:w="1418" w:type="dxa"/>
            <w:vAlign w:val="center"/>
          </w:tcPr>
          <w:p w:rsidR="006B73CD" w:rsidRDefault="006B73CD" w:rsidP="00B03ACE">
            <w:pPr>
              <w:pStyle w:val="Tabletext"/>
            </w:pPr>
            <w:r>
              <w:t>-1.05</w:t>
            </w:r>
          </w:p>
        </w:tc>
      </w:tr>
      <w:tr w:rsidR="006B73CD" w:rsidTr="006E5680">
        <w:trPr>
          <w:jc w:val="center"/>
        </w:trPr>
        <w:tc>
          <w:tcPr>
            <w:tcW w:w="2376" w:type="dxa"/>
            <w:vAlign w:val="center"/>
          </w:tcPr>
          <w:p w:rsidR="006B73CD" w:rsidRDefault="006B73CD" w:rsidP="00B03ACE">
            <w:pPr>
              <w:pStyle w:val="Tabletext"/>
            </w:pPr>
            <w:r w:rsidRPr="008818F0">
              <w:rPr>
                <w:i/>
              </w:rPr>
              <w:t>b</w:t>
            </w:r>
            <w:r w:rsidRPr="008818F0">
              <w:rPr>
                <w:i/>
                <w:vertAlign w:val="subscript"/>
              </w:rPr>
              <w:t>2</w:t>
            </w:r>
          </w:p>
        </w:tc>
        <w:tc>
          <w:tcPr>
            <w:tcW w:w="1418" w:type="dxa"/>
            <w:vAlign w:val="center"/>
          </w:tcPr>
          <w:p w:rsidR="006B73CD" w:rsidRDefault="006B73CD" w:rsidP="00B03ACE">
            <w:pPr>
              <w:pStyle w:val="Tabletext"/>
            </w:pPr>
            <w:r>
              <w:t>+0.32</w:t>
            </w:r>
          </w:p>
        </w:tc>
        <w:tc>
          <w:tcPr>
            <w:tcW w:w="1276" w:type="dxa"/>
            <w:vAlign w:val="center"/>
          </w:tcPr>
          <w:p w:rsidR="006B73CD" w:rsidRDefault="006B73CD" w:rsidP="00B03ACE">
            <w:pPr>
              <w:pStyle w:val="Tabletext"/>
            </w:pPr>
            <w:r>
              <w:t>0.</w:t>
            </w:r>
            <w:r w:rsidR="003E5F0C">
              <w:t>28</w:t>
            </w:r>
          </w:p>
        </w:tc>
        <w:tc>
          <w:tcPr>
            <w:tcW w:w="1275" w:type="dxa"/>
            <w:vAlign w:val="center"/>
          </w:tcPr>
          <w:p w:rsidR="006B73CD" w:rsidRDefault="006B73CD" w:rsidP="00B03ACE">
            <w:pPr>
              <w:pStyle w:val="Tabletext"/>
            </w:pPr>
            <w:r>
              <w:t>+0.02</w:t>
            </w:r>
          </w:p>
        </w:tc>
        <w:tc>
          <w:tcPr>
            <w:tcW w:w="1418" w:type="dxa"/>
            <w:vAlign w:val="center"/>
          </w:tcPr>
          <w:p w:rsidR="006B73CD" w:rsidRDefault="006B73CD" w:rsidP="00B03ACE">
            <w:pPr>
              <w:pStyle w:val="Tabletext"/>
            </w:pPr>
            <w:r>
              <w:t>+0.62</w:t>
            </w:r>
          </w:p>
        </w:tc>
      </w:tr>
      <w:tr w:rsidR="006B73CD" w:rsidTr="006E5680">
        <w:trPr>
          <w:jc w:val="center"/>
        </w:trPr>
        <w:tc>
          <w:tcPr>
            <w:tcW w:w="2376" w:type="dxa"/>
            <w:vAlign w:val="center"/>
          </w:tcPr>
          <w:p w:rsidR="006B73CD" w:rsidRPr="00E15B55" w:rsidRDefault="006B73CD" w:rsidP="00B03ACE">
            <w:pPr>
              <w:pStyle w:val="Tabletext"/>
            </w:pPr>
            <w:r>
              <w:t xml:space="preserve">Shallow </w:t>
            </w:r>
            <w:r w:rsidR="004747CA">
              <w:t xml:space="preserve">model </w:t>
            </w:r>
            <w:r>
              <w:t>depth distribution (km)</w:t>
            </w:r>
          </w:p>
        </w:tc>
        <w:tc>
          <w:tcPr>
            <w:tcW w:w="1418" w:type="dxa"/>
            <w:vAlign w:val="center"/>
          </w:tcPr>
          <w:p w:rsidR="006B73CD" w:rsidRDefault="006B73CD" w:rsidP="00B03ACE">
            <w:pPr>
              <w:pStyle w:val="Tabletext"/>
            </w:pPr>
            <w:r>
              <w:t xml:space="preserve">6 </w:t>
            </w:r>
          </w:p>
        </w:tc>
        <w:tc>
          <w:tcPr>
            <w:tcW w:w="1276" w:type="dxa"/>
            <w:vAlign w:val="center"/>
          </w:tcPr>
          <w:p w:rsidR="006B73CD" w:rsidRDefault="006B73CD" w:rsidP="00B03ACE">
            <w:pPr>
              <w:pStyle w:val="Tabletext"/>
            </w:pPr>
            <w:r>
              <w:t>6</w:t>
            </w:r>
          </w:p>
        </w:tc>
        <w:tc>
          <w:tcPr>
            <w:tcW w:w="1275" w:type="dxa"/>
            <w:vAlign w:val="center"/>
          </w:tcPr>
          <w:p w:rsidR="006B73CD" w:rsidRDefault="006B73CD" w:rsidP="00B03ACE">
            <w:pPr>
              <w:pStyle w:val="Tabletext"/>
            </w:pPr>
            <w:r>
              <w:t>1</w:t>
            </w:r>
          </w:p>
        </w:tc>
        <w:tc>
          <w:tcPr>
            <w:tcW w:w="1418" w:type="dxa"/>
            <w:vAlign w:val="center"/>
          </w:tcPr>
          <w:p w:rsidR="006B73CD" w:rsidRDefault="006B73CD" w:rsidP="00B03ACE">
            <w:pPr>
              <w:pStyle w:val="Tabletext"/>
            </w:pPr>
            <w:r>
              <w:t>12</w:t>
            </w:r>
          </w:p>
        </w:tc>
      </w:tr>
      <w:tr w:rsidR="006B73CD" w:rsidTr="006E5680">
        <w:trPr>
          <w:jc w:val="center"/>
        </w:trPr>
        <w:tc>
          <w:tcPr>
            <w:tcW w:w="2376" w:type="dxa"/>
            <w:vAlign w:val="center"/>
          </w:tcPr>
          <w:p w:rsidR="006B73CD" w:rsidRPr="00525BC1" w:rsidRDefault="004747CA" w:rsidP="00B03ACE">
            <w:pPr>
              <w:pStyle w:val="Tabletext"/>
            </w:pPr>
            <w:r>
              <w:t>Deep model depth distribution (km)</w:t>
            </w:r>
          </w:p>
        </w:tc>
        <w:tc>
          <w:tcPr>
            <w:tcW w:w="1418" w:type="dxa"/>
            <w:vAlign w:val="center"/>
          </w:tcPr>
          <w:p w:rsidR="006B73CD" w:rsidRDefault="004747CA" w:rsidP="00B03ACE">
            <w:pPr>
              <w:pStyle w:val="Tabletext"/>
            </w:pPr>
            <w:r>
              <w:t>13</w:t>
            </w:r>
          </w:p>
        </w:tc>
        <w:tc>
          <w:tcPr>
            <w:tcW w:w="1276" w:type="dxa"/>
            <w:vAlign w:val="center"/>
          </w:tcPr>
          <w:p w:rsidR="006B73CD" w:rsidRDefault="004747CA" w:rsidP="00B03ACE">
            <w:pPr>
              <w:pStyle w:val="Tabletext"/>
            </w:pPr>
            <w:r>
              <w:t>5</w:t>
            </w:r>
          </w:p>
        </w:tc>
        <w:tc>
          <w:tcPr>
            <w:tcW w:w="1275" w:type="dxa"/>
            <w:vAlign w:val="center"/>
          </w:tcPr>
          <w:p w:rsidR="006B73CD" w:rsidRDefault="004747CA" w:rsidP="00B03ACE">
            <w:pPr>
              <w:pStyle w:val="Tabletext"/>
            </w:pPr>
            <w:r>
              <w:t>7</w:t>
            </w:r>
          </w:p>
        </w:tc>
        <w:tc>
          <w:tcPr>
            <w:tcW w:w="1418" w:type="dxa"/>
            <w:vAlign w:val="center"/>
          </w:tcPr>
          <w:p w:rsidR="006B73CD" w:rsidRPr="00525BC1" w:rsidRDefault="004747CA" w:rsidP="00B03ACE">
            <w:pPr>
              <w:pStyle w:val="Tabletext"/>
            </w:pPr>
            <w:r>
              <w:t>19</w:t>
            </w:r>
          </w:p>
        </w:tc>
      </w:tr>
      <w:tr w:rsidR="006B73CD" w:rsidTr="006E5680">
        <w:trPr>
          <w:jc w:val="center"/>
        </w:trPr>
        <w:tc>
          <w:tcPr>
            <w:tcW w:w="2376" w:type="dxa"/>
            <w:tcBorders>
              <w:bottom w:val="single" w:sz="4" w:space="0" w:color="auto"/>
            </w:tcBorders>
            <w:vAlign w:val="center"/>
          </w:tcPr>
          <w:p w:rsidR="006B73CD" w:rsidRDefault="004747CA" w:rsidP="00B03ACE">
            <w:pPr>
              <w:pStyle w:val="Tabletext"/>
            </w:pPr>
            <w:r>
              <w:t xml:space="preserve">Fault </w:t>
            </w:r>
            <w:r w:rsidR="00FF6D2E">
              <w:t xml:space="preserve">area </w:t>
            </w:r>
            <w:r>
              <w:t>scaling factor</w:t>
            </w:r>
          </w:p>
        </w:tc>
        <w:tc>
          <w:tcPr>
            <w:tcW w:w="1418" w:type="dxa"/>
            <w:tcBorders>
              <w:bottom w:val="single" w:sz="4" w:space="0" w:color="auto"/>
            </w:tcBorders>
            <w:vAlign w:val="center"/>
          </w:tcPr>
          <w:p w:rsidR="006B73CD" w:rsidRDefault="004747CA" w:rsidP="00B03ACE">
            <w:pPr>
              <w:pStyle w:val="Tabletext"/>
            </w:pPr>
            <w:r>
              <w:t>1.0</w:t>
            </w:r>
          </w:p>
        </w:tc>
        <w:tc>
          <w:tcPr>
            <w:tcW w:w="1276" w:type="dxa"/>
            <w:tcBorders>
              <w:bottom w:val="single" w:sz="4" w:space="0" w:color="auto"/>
            </w:tcBorders>
            <w:vAlign w:val="center"/>
          </w:tcPr>
          <w:p w:rsidR="006B73CD" w:rsidRDefault="004747CA" w:rsidP="00B03ACE">
            <w:pPr>
              <w:pStyle w:val="Tabletext"/>
            </w:pPr>
            <w:r>
              <w:t>0.3</w:t>
            </w:r>
          </w:p>
        </w:tc>
        <w:tc>
          <w:tcPr>
            <w:tcW w:w="1275" w:type="dxa"/>
            <w:tcBorders>
              <w:bottom w:val="single" w:sz="4" w:space="0" w:color="auto"/>
            </w:tcBorders>
            <w:vAlign w:val="center"/>
          </w:tcPr>
          <w:p w:rsidR="006B73CD" w:rsidRDefault="004747CA" w:rsidP="00B03ACE">
            <w:pPr>
              <w:pStyle w:val="Tabletext"/>
            </w:pPr>
            <w:r>
              <w:t>0.7</w:t>
            </w:r>
          </w:p>
        </w:tc>
        <w:tc>
          <w:tcPr>
            <w:tcW w:w="1418" w:type="dxa"/>
            <w:tcBorders>
              <w:bottom w:val="single" w:sz="4" w:space="0" w:color="auto"/>
            </w:tcBorders>
            <w:vAlign w:val="center"/>
          </w:tcPr>
          <w:p w:rsidR="006B73CD" w:rsidRDefault="004747CA" w:rsidP="00B03ACE">
            <w:pPr>
              <w:pStyle w:val="Tabletext"/>
            </w:pPr>
            <w:r>
              <w:t>1.3</w:t>
            </w:r>
          </w:p>
        </w:tc>
      </w:tr>
    </w:tbl>
    <w:p w:rsidR="00B15AC0" w:rsidRDefault="00050122" w:rsidP="005C7510">
      <w:pPr>
        <w:pStyle w:val="Heading1"/>
      </w:pPr>
      <w:r w:rsidRPr="0067040E">
        <w:rPr>
          <w:rStyle w:val="BodyTextChar"/>
        </w:rPr>
        <w:br w:type="page"/>
      </w:r>
      <w:bookmarkStart w:id="125" w:name="_Toc319918560"/>
      <w:bookmarkStart w:id="126" w:name="_Toc319918829"/>
      <w:bookmarkStart w:id="127" w:name="_Toc349112540"/>
      <w:r w:rsidR="00B15AC0">
        <w:lastRenderedPageBreak/>
        <w:t>Definition of an “Average Rock” Site</w:t>
      </w:r>
      <w:bookmarkEnd w:id="123"/>
      <w:bookmarkEnd w:id="124"/>
      <w:bookmarkEnd w:id="125"/>
      <w:bookmarkEnd w:id="126"/>
      <w:bookmarkEnd w:id="127"/>
    </w:p>
    <w:p w:rsidR="00B15AC0" w:rsidRDefault="00B15AC0" w:rsidP="00C409B2">
      <w:pPr>
        <w:pStyle w:val="BodyText"/>
      </w:pPr>
      <w:r>
        <w:t xml:space="preserve">Throughout this manuscript, there have been references to the term “average rock” for southeastern Australian crust.  In this section, the definition of the average site is explored in more detail.  Most modern GMPEs are explicitly calibrated to the </w:t>
      </w:r>
      <w:r w:rsidR="00267EE4">
        <w:t>time-</w:t>
      </w:r>
      <w:r>
        <w:t>average</w:t>
      </w:r>
      <w:r w:rsidR="00267EE4">
        <w:t>d</w:t>
      </w:r>
      <w:r>
        <w:t xml:space="preserve"> shear-wave velocity in the upper 30 m of the Earth</w:t>
      </w:r>
      <w:r w:rsidR="0077294F">
        <w:t>’</w:t>
      </w:r>
      <w:r>
        <w:t xml:space="preserve">s crust, </w:t>
      </w:r>
      <w:r w:rsidR="00172353" w:rsidRPr="00332AA7">
        <w:rPr>
          <w:rStyle w:val="Bodytextitalic"/>
        </w:rPr>
        <w:t>V</w:t>
      </w:r>
      <w:r w:rsidR="00172353" w:rsidRPr="00172353">
        <w:rPr>
          <w:rStyle w:val="Subscriptitalic"/>
        </w:rPr>
        <w:t>S30</w:t>
      </w:r>
      <w:r>
        <w:t xml:space="preserve">.  </w:t>
      </w:r>
      <w:r w:rsidRPr="00370A06">
        <w:rPr>
          <w:lang w:val="en-US"/>
        </w:rPr>
        <w:t>Whil</w:t>
      </w:r>
      <w:r w:rsidR="00267EE4">
        <w:rPr>
          <w:lang w:val="en-US"/>
        </w:rPr>
        <w:t>e</w:t>
      </w:r>
      <w:r w:rsidRPr="00370A06">
        <w:rPr>
          <w:lang w:val="en-US"/>
        </w:rPr>
        <w:t xml:space="preserve"> there is still much debate as to the suitability of </w:t>
      </w:r>
      <w:r w:rsidR="00172353" w:rsidRPr="00332AA7">
        <w:rPr>
          <w:rStyle w:val="Bodytextitalic"/>
        </w:rPr>
        <w:t>V</w:t>
      </w:r>
      <w:r w:rsidR="00172353" w:rsidRPr="00172353">
        <w:rPr>
          <w:rStyle w:val="Subscriptitalic"/>
        </w:rPr>
        <w:t>S30</w:t>
      </w:r>
      <w:r w:rsidR="00172353">
        <w:t xml:space="preserve"> </w:t>
      </w:r>
      <w:r w:rsidRPr="00370A06">
        <w:rPr>
          <w:lang w:val="en-US"/>
        </w:rPr>
        <w:t xml:space="preserve">as a proxy for site amplification factors </w:t>
      </w:r>
      <w:r w:rsidRPr="00370A06">
        <w:rPr>
          <w:lang w:val="en-US"/>
        </w:rPr>
        <w:fldChar w:fldCharType="begin"/>
      </w:r>
      <w:r w:rsidR="00F202D0">
        <w:rPr>
          <w:lang w:val="en-US"/>
        </w:rPr>
        <w:instrText xml:space="preserve"> ADDIN EN.CITE &lt;EndNote&gt;&lt;Cite&gt;&lt;Author&gt;Castellaro&lt;/Author&gt;&lt;Year&gt;2008&lt;/Year&gt;&lt;RecNum&gt;392&lt;/RecNum&gt;&lt;Prefix&gt;e.g.`, &lt;/Prefix&gt;&lt;record&gt;&lt;rec-number&gt;392&lt;/rec-number&gt;&lt;foreign-keys&gt;&lt;key app="EN" db-id="se5z02d5txder3eax2p5wz5j59zvz2tdzdd2"&gt;392&lt;/key&gt;&lt;/foreign-keys&gt;&lt;ref-type name="Journal Article"&gt;17&lt;/ref-type&gt;&lt;contributors&gt;&lt;authors&gt;&lt;author&gt;Castellaro, S.&lt;/author&gt;&lt;author&gt;Mulargia, F.&lt;/author&gt;&lt;author&gt;Rossi, P. L.&lt;/author&gt;&lt;/authors&gt;&lt;/contributors&gt;&lt;titles&gt;&lt;title&gt;Vs30: proxy for seismic ampliﬁcation?&lt;/title&gt;&lt;secondary-title&gt;Seism. Res. Lett.&lt;/secondary-title&gt;&lt;/titles&gt;&lt;periodical&gt;&lt;full-title&gt;Seism. Res. Lett.&lt;/full-title&gt;&lt;/periodical&gt;&lt;pages&gt;540-543&lt;/pages&gt;&lt;volume&gt;79&lt;/volume&gt;&lt;number&gt;4&lt;/number&gt;&lt;dates&gt;&lt;year&gt;2008&lt;/year&gt;&lt;/dates&gt;&lt;urls&gt;&lt;pdf-urls&gt;&lt;url&gt;internal-pdf://Castellaro et al (2008).vs30.problems-4288292867/Castellaro et al (2008).vs30.problems.pdf&lt;/url&gt;&lt;/pdf-urls&gt;&lt;/urls&gt;&lt;/record&gt;&lt;/Cite&gt;&lt;/EndNote&gt;</w:instrText>
      </w:r>
      <w:r w:rsidRPr="00370A06">
        <w:rPr>
          <w:lang w:val="en-US"/>
        </w:rPr>
        <w:fldChar w:fldCharType="separate"/>
      </w:r>
      <w:r>
        <w:rPr>
          <w:noProof/>
          <w:lang w:val="en-US"/>
        </w:rPr>
        <w:t>(e.g., Castellaro</w:t>
      </w:r>
      <w:r w:rsidRPr="003D3528">
        <w:rPr>
          <w:i/>
          <w:noProof/>
          <w:lang w:val="en-US"/>
        </w:rPr>
        <w:t xml:space="preserve"> et al.</w:t>
      </w:r>
      <w:r>
        <w:rPr>
          <w:noProof/>
          <w:lang w:val="en-US"/>
        </w:rPr>
        <w:t>, 2008)</w:t>
      </w:r>
      <w:r w:rsidRPr="00370A06">
        <w:fldChar w:fldCharType="end"/>
      </w:r>
      <w:r w:rsidRPr="00370A06">
        <w:rPr>
          <w:lang w:val="en-US"/>
        </w:rPr>
        <w:t xml:space="preserve">, it is the most commonly used factor in modern ground-motion predictions </w:t>
      </w:r>
      <w:r w:rsidRPr="00370A06">
        <w:rPr>
          <w:lang w:val="en-US"/>
        </w:rPr>
        <w:fldChar w:fldCharType="begin"/>
      </w:r>
      <w:r w:rsidR="00F202D0">
        <w:rPr>
          <w:lang w:val="en-US"/>
        </w:rPr>
        <w:instrText xml:space="preserve"> ADDIN EN.CITE &lt;EndNote&gt;&lt;Cite&gt;&lt;Author&gt;Abrahamson&lt;/Author&gt;&lt;Year&gt;2008&lt;/Year&gt;&lt;RecNum&gt;556&lt;/RecNum&gt;&lt;Prefix&gt;e.g.`, &lt;/Prefix&gt;&lt;record&gt;&lt;rec-number&gt;556&lt;/rec-number&gt;&lt;foreign-keys&gt;&lt;key app="EN" db-id="se5z02d5txder3eax2p5wz5j59zvz2tdzdd2"&gt;556&lt;/key&gt;&lt;/foreign-keys&gt;&lt;ref-type name="Journal Article"&gt;17&lt;/ref-type&gt;&lt;contributors&gt;&lt;authors&gt;&lt;author&gt;Abrahamson, N.&lt;/author&gt;&lt;author&gt;Atkinson, G.&lt;/author&gt;&lt;author&gt;Boore, D.&lt;/author&gt;&lt;author&gt;Bozorgnia, Y.&lt;/author&gt;&lt;author&gt;Campbell, K.&lt;/author&gt;&lt;author&gt;Chiou, B.&lt;/author&gt;&lt;author&gt;Idriss, I. M.&lt;/author&gt;&lt;author&gt;Silva, W.&lt;/author&gt;&lt;author&gt;Youngs, R.&lt;/author&gt;&lt;/authors&gt;&lt;/contributors&gt;&lt;titles&gt;&lt;title&gt;Comparisons of the NGA ground-motion relations&lt;/title&gt;&lt;secondary-title&gt;Earthq. Spectra&lt;/secondary-title&gt;&lt;/titles&gt;&lt;periodical&gt;&lt;full-title&gt;Earthq. Spectra&lt;/full-title&gt;&lt;/periodical&gt;&lt;pages&gt;45–66&lt;/pages&gt;&lt;volume&gt;24&lt;/volume&gt;&lt;number&gt;1&lt;/number&gt;&lt;keywords&gt;&lt;keyword&gt;nGA, California, GMPE, ground motion&lt;/keyword&gt;&lt;/keywords&gt;&lt;dates&gt;&lt;year&gt;2008&lt;/year&gt;&lt;/dates&gt;&lt;urls&gt;&lt;pdf-urls&gt;&lt;url&gt;internal-pdf://Abrahamson et al (2008) NGA Comparisons-2279790852/Abrahamson et al (2008) NGA Comparisons.pdf&lt;/url&gt;&lt;/pdf-urls&gt;&lt;/urls&gt;&lt;/record&gt;&lt;/Cite&gt;&lt;/EndNote&gt;</w:instrText>
      </w:r>
      <w:r w:rsidRPr="00370A06">
        <w:rPr>
          <w:lang w:val="en-US"/>
        </w:rPr>
        <w:fldChar w:fldCharType="separate"/>
      </w:r>
      <w:r>
        <w:rPr>
          <w:noProof/>
          <w:lang w:val="en-US"/>
        </w:rPr>
        <w:t>(e.g., Abrahamson</w:t>
      </w:r>
      <w:r w:rsidRPr="003D3528">
        <w:rPr>
          <w:i/>
          <w:noProof/>
          <w:lang w:val="en-US"/>
        </w:rPr>
        <w:t xml:space="preserve"> et al.</w:t>
      </w:r>
      <w:r>
        <w:rPr>
          <w:noProof/>
          <w:lang w:val="en-US"/>
        </w:rPr>
        <w:t>, 2008)</w:t>
      </w:r>
      <w:r w:rsidRPr="00370A06">
        <w:fldChar w:fldCharType="end"/>
      </w:r>
      <w:r w:rsidRPr="00370A06">
        <w:rPr>
          <w:lang w:val="en-US"/>
        </w:rPr>
        <w:t>, and it underpins many building codes</w:t>
      </w:r>
      <w:r w:rsidR="0077294F">
        <w:rPr>
          <w:lang w:val="en-US"/>
        </w:rPr>
        <w:t xml:space="preserve"> globally</w:t>
      </w:r>
      <w:r w:rsidRPr="00370A06">
        <w:rPr>
          <w:lang w:val="en-US"/>
        </w:rPr>
        <w:t xml:space="preserve"> </w:t>
      </w:r>
      <w:r w:rsidRPr="00370A06">
        <w:rPr>
          <w:lang w:val="en-US"/>
        </w:rPr>
        <w:fldChar w:fldCharType="begin"/>
      </w:r>
      <w:r w:rsidR="00ED1C32">
        <w:rPr>
          <w:lang w:val="en-US"/>
        </w:rPr>
        <w:instrText xml:space="preserve"> ADDIN EN.CITE </w:instrText>
      </w:r>
      <w:r w:rsidR="00ED1C32">
        <w:rPr>
          <w:lang w:val="en-US"/>
        </w:rPr>
        <w:fldChar w:fldCharType="begin"/>
      </w:r>
      <w:r w:rsidR="00ED1C32">
        <w:rPr>
          <w:lang w:val="en-US"/>
        </w:rPr>
        <w:instrText xml:space="preserve"> ADDIN EN.CITE.DATA ∁</w:instrText>
      </w:r>
      <w:r w:rsidR="00ED1C32">
        <w:rPr>
          <w:lang w:val="en-US"/>
        </w:rPr>
        <w:fldChar w:fldCharType="end"/>
      </w:r>
      <w:r w:rsidRPr="00370A06">
        <w:rPr>
          <w:lang w:val="en-US"/>
        </w:rPr>
        <w:fldChar w:fldCharType="separate"/>
      </w:r>
      <w:r>
        <w:rPr>
          <w:noProof/>
          <w:lang w:val="en-US"/>
        </w:rPr>
        <w:t>(e.g., Dobry</w:t>
      </w:r>
      <w:r w:rsidRPr="003D3528">
        <w:rPr>
          <w:i/>
          <w:noProof/>
          <w:lang w:val="en-US"/>
        </w:rPr>
        <w:t xml:space="preserve"> et al.</w:t>
      </w:r>
      <w:r>
        <w:rPr>
          <w:noProof/>
          <w:lang w:val="en-US"/>
        </w:rPr>
        <w:t>, 2000; Rey</w:t>
      </w:r>
      <w:r w:rsidRPr="003D3528">
        <w:rPr>
          <w:i/>
          <w:noProof/>
          <w:lang w:val="en-US"/>
        </w:rPr>
        <w:t xml:space="preserve"> et al.</w:t>
      </w:r>
      <w:r>
        <w:rPr>
          <w:noProof/>
          <w:lang w:val="en-US"/>
        </w:rPr>
        <w:t>, 2002)</w:t>
      </w:r>
      <w:r w:rsidRPr="00370A06">
        <w:fldChar w:fldCharType="end"/>
      </w:r>
      <w:r>
        <w:t>.</w:t>
      </w:r>
    </w:p>
    <w:p w:rsidR="00B15AC0" w:rsidRPr="008902C5" w:rsidRDefault="00B15AC0" w:rsidP="00C409B2">
      <w:pPr>
        <w:pStyle w:val="BodyText"/>
      </w:pPr>
      <w:r>
        <w:t xml:space="preserve">Ideally, each seismic recording station would have some estimate of </w:t>
      </w:r>
      <w:r w:rsidR="00172353" w:rsidRPr="00332AA7">
        <w:rPr>
          <w:rStyle w:val="Bodytextitalic"/>
        </w:rPr>
        <w:t>V</w:t>
      </w:r>
      <w:r w:rsidR="00172353" w:rsidRPr="00172353">
        <w:rPr>
          <w:rStyle w:val="Subscriptitalic"/>
        </w:rPr>
        <w:t>S30</w:t>
      </w:r>
      <w:r w:rsidR="00172353">
        <w:t xml:space="preserve"> </w:t>
      </w:r>
      <w:r>
        <w:t>such that a GMPE could be calibrated</w:t>
      </w:r>
      <w:r w:rsidR="00267EE4">
        <w:t xml:space="preserve"> appropriately</w:t>
      </w:r>
      <w:r>
        <w:t xml:space="preserve">.  However, in </w:t>
      </w:r>
      <w:smartTag w:uri="urn:schemas-microsoft-com:office:smarttags" w:element="place">
        <w:smartTag w:uri="urn:schemas-microsoft-com:office:smarttags" w:element="country-region">
          <w:r>
            <w:t>Australia</w:t>
          </w:r>
        </w:smartTag>
      </w:smartTag>
      <w:r>
        <w:t xml:space="preserve">, this is the exception, rather than the norm.  In recent years, Geoscience </w:t>
      </w:r>
      <w:smartTag w:uri="urn:schemas-microsoft-com:office:smarttags" w:element="place">
        <w:smartTag w:uri="urn:schemas-microsoft-com:office:smarttags" w:element="country-region">
          <w:r>
            <w:t>Australia</w:t>
          </w:r>
        </w:smartTag>
      </w:smartTag>
      <w:r>
        <w:t xml:space="preserve"> has been investigating the use of various techniques from which to gather </w:t>
      </w:r>
      <w:r w:rsidR="00172353" w:rsidRPr="00332AA7">
        <w:rPr>
          <w:rStyle w:val="Bodytextitalic"/>
        </w:rPr>
        <w:t>V</w:t>
      </w:r>
      <w:r w:rsidR="00172353" w:rsidRPr="00172353">
        <w:rPr>
          <w:rStyle w:val="Subscriptitalic"/>
        </w:rPr>
        <w:t>S30</w:t>
      </w:r>
      <w:r w:rsidR="00172353">
        <w:t xml:space="preserve"> </w:t>
      </w:r>
      <w:r>
        <w:t xml:space="preserve">information at Australian seismic stations.  This investigation has yielded the collection of 28 </w:t>
      </w:r>
      <w:r w:rsidR="00172353" w:rsidRPr="00332AA7">
        <w:rPr>
          <w:rStyle w:val="Bodytextitalic"/>
        </w:rPr>
        <w:t>V</w:t>
      </w:r>
      <w:r w:rsidR="00172353" w:rsidRPr="00172353">
        <w:rPr>
          <w:rStyle w:val="Subscriptitalic"/>
        </w:rPr>
        <w:t>S30</w:t>
      </w:r>
      <w:r w:rsidR="00172353">
        <w:t xml:space="preserve"> </w:t>
      </w:r>
      <w:r>
        <w:t xml:space="preserve">measurements at a variety of seismic stations across the continent located on a variety of rock types and ages </w:t>
      </w:r>
      <w:r w:rsidRPr="00850DC3">
        <w:fldChar w:fldCharType="begin"/>
      </w:r>
      <w:r w:rsidR="00ED1C32">
        <w:instrText xml:space="preserve"> ADDIN EN.CITE </w:instrText>
      </w:r>
      <w:r w:rsidR="00ED1C32">
        <w:fldChar w:fldCharType="begin"/>
      </w:r>
      <w:r w:rsidR="00ED1C32">
        <w:instrText xml:space="preserve"> ADDIN EN.CITE.DATA </w:instrText>
      </w:r>
      <w:r w:rsidR="00ED1C32">
        <w:instrText>椁</w:instrText>
      </w:r>
      <w:r w:rsidR="00ED1C32">
        <w:fldChar w:fldCharType="end"/>
      </w:r>
      <w:r w:rsidRPr="00850DC3">
        <w:fldChar w:fldCharType="separate"/>
      </w:r>
      <w:r>
        <w:t>(Collins</w:t>
      </w:r>
      <w:r w:rsidRPr="00850DC3">
        <w:rPr>
          <w:i/>
        </w:rPr>
        <w:t xml:space="preserve"> et al.</w:t>
      </w:r>
      <w:r>
        <w:t>, 2006; Kayen and Carkin, 2006; Kayen</w:t>
      </w:r>
      <w:r w:rsidRPr="00850DC3">
        <w:rPr>
          <w:i/>
        </w:rPr>
        <w:t xml:space="preserve"> et al.</w:t>
      </w:r>
      <w:r>
        <w:t>, 2010)</w:t>
      </w:r>
      <w:r w:rsidRPr="00850DC3">
        <w:fldChar w:fldCharType="end"/>
      </w:r>
      <w:r>
        <w:t xml:space="preserve">.  The </w:t>
      </w:r>
      <w:r w:rsidR="00BC7FFB">
        <w:t xml:space="preserve">median </w:t>
      </w:r>
      <w:r w:rsidR="00172353" w:rsidRPr="00332AA7">
        <w:rPr>
          <w:rStyle w:val="Bodytextitalic"/>
        </w:rPr>
        <w:t>V</w:t>
      </w:r>
      <w:r w:rsidR="00172353" w:rsidRPr="00172353">
        <w:rPr>
          <w:rStyle w:val="Subscriptitalic"/>
        </w:rPr>
        <w:t>S30</w:t>
      </w:r>
      <w:r w:rsidR="00172353">
        <w:t xml:space="preserve"> </w:t>
      </w:r>
      <w:r>
        <w:t xml:space="preserve">of southeastern Australian sites classified as rock is approximately </w:t>
      </w:r>
      <w:r w:rsidR="00BC7FFB">
        <w:t xml:space="preserve">830 </w:t>
      </w:r>
      <w:r>
        <w:t>m/s</w:t>
      </w:r>
      <w:r w:rsidR="007F0D8E">
        <w:t xml:space="preserve"> (</w:t>
      </w:r>
      <w:r w:rsidR="007F0D8E">
        <w:sym w:font="Symbol" w:char="F0B1"/>
      </w:r>
      <w:r w:rsidR="007F0D8E">
        <w:t xml:space="preserve"> 230 m/s)</w:t>
      </w:r>
      <w:r>
        <w:t>.  While the aforementioned value could be used to define the average shallow shear-wave velocity</w:t>
      </w:r>
      <w:r w:rsidR="00E93F07">
        <w:t xml:space="preserve"> for an</w:t>
      </w:r>
      <w:r>
        <w:t xml:space="preserve"> “average rock” site, it is unknown whether the current </w:t>
      </w:r>
      <w:r w:rsidR="00172353" w:rsidRPr="00332AA7">
        <w:rPr>
          <w:rStyle w:val="Bodytextitalic"/>
        </w:rPr>
        <w:t>V</w:t>
      </w:r>
      <w:r w:rsidR="00172353" w:rsidRPr="00172353">
        <w:rPr>
          <w:rStyle w:val="Subscriptitalic"/>
        </w:rPr>
        <w:t>S30</w:t>
      </w:r>
      <w:r w:rsidR="00172353">
        <w:t xml:space="preserve"> </w:t>
      </w:r>
      <w:r>
        <w:t xml:space="preserve">dataset is representative of </w:t>
      </w:r>
      <w:r w:rsidR="00E93F07">
        <w:t xml:space="preserve">average site </w:t>
      </w:r>
      <w:r>
        <w:t xml:space="preserve">conditions, or whether there may be a systematic bias associated with the selection of </w:t>
      </w:r>
      <w:r w:rsidR="00172353" w:rsidRPr="00332AA7">
        <w:rPr>
          <w:rStyle w:val="Bodytextitalic"/>
        </w:rPr>
        <w:t>V</w:t>
      </w:r>
      <w:r w:rsidR="00172353" w:rsidRPr="00172353">
        <w:rPr>
          <w:rStyle w:val="Subscriptitalic"/>
        </w:rPr>
        <w:t>S30</w:t>
      </w:r>
      <w:r w:rsidR="00172353">
        <w:t xml:space="preserve"> </w:t>
      </w:r>
      <w:r>
        <w:t>measurement sites.</w:t>
      </w:r>
    </w:p>
    <w:p w:rsidR="00B15AC0" w:rsidRDefault="00B15AC0" w:rsidP="00C409B2">
      <w:pPr>
        <w:pStyle w:val="BodyText"/>
      </w:pPr>
      <w:r>
        <w:t xml:space="preserve">In contrast, an estimate of </w:t>
      </w:r>
      <w:r w:rsidRPr="00332AA7">
        <w:rPr>
          <w:rStyle w:val="Bodytextitalic"/>
        </w:rPr>
        <w:t>κ</w:t>
      </w:r>
      <w:r w:rsidRPr="00632C3C">
        <w:rPr>
          <w:vertAlign w:val="subscript"/>
        </w:rPr>
        <w:t>0</w:t>
      </w:r>
      <w:r>
        <w:t xml:space="preserve"> is known for all SEA stations </w:t>
      </w:r>
      <w:r w:rsidRPr="00850DC3">
        <w:t>with three or more records</w:t>
      </w:r>
      <w:r>
        <w:t xml:space="preserve"> in the present dataset.  Previous studies have shown that there are correlations between </w:t>
      </w:r>
      <w:r w:rsidR="00172353" w:rsidRPr="00332AA7">
        <w:rPr>
          <w:rStyle w:val="Bodytextitalic"/>
        </w:rPr>
        <w:t>V</w:t>
      </w:r>
      <w:r w:rsidR="00172353" w:rsidRPr="00172353">
        <w:rPr>
          <w:rStyle w:val="Subscriptitalic"/>
        </w:rPr>
        <w:t>S30</w:t>
      </w:r>
      <w:r w:rsidR="00172353">
        <w:t xml:space="preserve"> </w:t>
      </w:r>
      <w:r>
        <w:t xml:space="preserve">and </w:t>
      </w:r>
      <w:r w:rsidRPr="00332AA7">
        <w:rPr>
          <w:rStyle w:val="Bodytextitalic"/>
        </w:rPr>
        <w:t>κ</w:t>
      </w:r>
      <w:r w:rsidRPr="00632C3C">
        <w:rPr>
          <w:vertAlign w:val="subscript"/>
        </w:rPr>
        <w:t>0</w:t>
      </w:r>
      <w:r>
        <w:t xml:space="preserve">. Consequently, a relationship between </w:t>
      </w:r>
      <w:r w:rsidR="00172353" w:rsidRPr="00332AA7">
        <w:rPr>
          <w:rStyle w:val="Bodytextitalic"/>
        </w:rPr>
        <w:t>V</w:t>
      </w:r>
      <w:r w:rsidR="00172353" w:rsidRPr="00172353">
        <w:rPr>
          <w:rStyle w:val="Subscriptitalic"/>
        </w:rPr>
        <w:t>S30</w:t>
      </w:r>
      <w:r w:rsidR="00172353">
        <w:t xml:space="preserve"> </w:t>
      </w:r>
      <w:r>
        <w:t xml:space="preserve">and </w:t>
      </w:r>
      <w:r w:rsidRPr="00332AA7">
        <w:rPr>
          <w:rStyle w:val="Bodytextitalic"/>
        </w:rPr>
        <w:t>κ</w:t>
      </w:r>
      <w:r w:rsidRPr="00632C3C">
        <w:rPr>
          <w:vertAlign w:val="subscript"/>
        </w:rPr>
        <w:t>0</w:t>
      </w:r>
      <w:r>
        <w:t xml:space="preserve"> could potentially be obtained through correlating the two parameters for sites in </w:t>
      </w:r>
      <w:smartTag w:uri="urn:schemas-microsoft-com:office:smarttags" w:element="place">
        <w:smartTag w:uri="urn:schemas-microsoft-com:office:smarttags" w:element="country-region">
          <w:r>
            <w:t>Australia</w:t>
          </w:r>
        </w:smartTag>
      </w:smartTag>
      <w:r>
        <w:t xml:space="preserve">.  The parameters are regressed using linear least squares with </w:t>
      </w:r>
      <w:r w:rsidRPr="00332AA7">
        <w:rPr>
          <w:rStyle w:val="Bodytextitalic"/>
        </w:rPr>
        <w:t>κ</w:t>
      </w:r>
      <w:r w:rsidRPr="00632C3C">
        <w:rPr>
          <w:vertAlign w:val="subscript"/>
        </w:rPr>
        <w:t>0</w:t>
      </w:r>
      <w:r>
        <w:t xml:space="preserve"> being the independent variable so that a </w:t>
      </w:r>
      <w:r w:rsidR="00172353" w:rsidRPr="00332AA7">
        <w:rPr>
          <w:rStyle w:val="Bodytextitalic"/>
        </w:rPr>
        <w:t>V</w:t>
      </w:r>
      <w:r w:rsidR="00172353" w:rsidRPr="00172353">
        <w:rPr>
          <w:rStyle w:val="Subscriptitalic"/>
        </w:rPr>
        <w:t>S30</w:t>
      </w:r>
      <w:r w:rsidR="00172353">
        <w:t xml:space="preserve"> </w:t>
      </w:r>
      <w:r>
        <w:t xml:space="preserve">value can be obtained that correlates to the median </w:t>
      </w:r>
      <w:r w:rsidRPr="00332AA7">
        <w:rPr>
          <w:rStyle w:val="Bodytextitalic"/>
        </w:rPr>
        <w:t>κ</w:t>
      </w:r>
      <w:r w:rsidRPr="00632C3C">
        <w:rPr>
          <w:vertAlign w:val="subscript"/>
        </w:rPr>
        <w:t>0</w:t>
      </w:r>
      <w:r>
        <w:t xml:space="preserve"> value of 0.006 sec (Fig </w:t>
      </w:r>
      <w:r w:rsidR="0059614E">
        <w:t>1</w:t>
      </w:r>
      <w:r w:rsidR="007A1429">
        <w:t>4</w:t>
      </w:r>
      <w:r>
        <w:t xml:space="preserve">).  The correlation between </w:t>
      </w:r>
      <w:r w:rsidR="00172353" w:rsidRPr="00332AA7">
        <w:rPr>
          <w:rStyle w:val="Bodytextitalic"/>
        </w:rPr>
        <w:t>V</w:t>
      </w:r>
      <w:r w:rsidR="00172353" w:rsidRPr="00172353">
        <w:rPr>
          <w:rStyle w:val="Subscriptitalic"/>
        </w:rPr>
        <w:t>S30</w:t>
      </w:r>
      <w:r w:rsidR="00172353">
        <w:t xml:space="preserve"> </w:t>
      </w:r>
      <w:r>
        <w:t xml:space="preserve">and </w:t>
      </w:r>
      <w:r w:rsidRPr="00332AA7">
        <w:rPr>
          <w:rStyle w:val="Bodytextitalic"/>
        </w:rPr>
        <w:t>κ</w:t>
      </w:r>
      <w:r w:rsidRPr="0016403A">
        <w:rPr>
          <w:vertAlign w:val="subscript"/>
        </w:rPr>
        <w:t>0</w:t>
      </w:r>
      <w:r>
        <w:t xml:space="preserve"> </w:t>
      </w:r>
      <w:r w:rsidRPr="0016403A">
        <w:t>can</w:t>
      </w:r>
      <w:r>
        <w:t xml:space="preserve"> be described as:</w:t>
      </w:r>
    </w:p>
    <w:p w:rsidR="00B15AC0" w:rsidRPr="00B839C2" w:rsidRDefault="00B15AC0" w:rsidP="00BF4007">
      <w:pPr>
        <w:pStyle w:val="Equation"/>
      </w:pPr>
      <w:r>
        <w:rPr>
          <w:i/>
        </w:rPr>
        <w:t>V</w:t>
      </w:r>
      <w:r w:rsidRPr="00172353">
        <w:rPr>
          <w:rStyle w:val="Subscriptitalic"/>
        </w:rPr>
        <w:t>S30</w:t>
      </w:r>
      <w:r>
        <w:t>(</w:t>
      </w:r>
      <w:r w:rsidRPr="00734436">
        <w:rPr>
          <w:i/>
        </w:rPr>
        <w:t>κ</w:t>
      </w:r>
      <w:r w:rsidRPr="00632C3C">
        <w:rPr>
          <w:vertAlign w:val="subscript"/>
        </w:rPr>
        <w:t>0</w:t>
      </w:r>
      <w:r>
        <w:t xml:space="preserve">) </w:t>
      </w:r>
      <w:r w:rsidRPr="006C750F">
        <w:t>= -7.42×10</w:t>
      </w:r>
      <w:r w:rsidRPr="006C750F">
        <w:rPr>
          <w:vertAlign w:val="superscript"/>
        </w:rPr>
        <w:t>3</w:t>
      </w:r>
      <w:r w:rsidRPr="006C750F">
        <w:t xml:space="preserve"> </w:t>
      </w:r>
      <w:r w:rsidRPr="006C750F">
        <w:rPr>
          <w:i/>
        </w:rPr>
        <w:t>κ</w:t>
      </w:r>
      <w:r w:rsidRPr="006C750F">
        <w:rPr>
          <w:vertAlign w:val="subscript"/>
        </w:rPr>
        <w:t>0</w:t>
      </w:r>
      <w:r w:rsidRPr="006C750F">
        <w:t xml:space="preserve"> + 864</w:t>
      </w:r>
      <w:r>
        <w:tab/>
        <w:t>(17)</w:t>
      </w:r>
    </w:p>
    <w:p w:rsidR="00B15AC0" w:rsidRDefault="00B15AC0" w:rsidP="00C409B2">
      <w:pPr>
        <w:pStyle w:val="BodyText"/>
      </w:pPr>
      <w:r>
        <w:t xml:space="preserve">An </w:t>
      </w:r>
      <w:r w:rsidRPr="00332AA7">
        <w:rPr>
          <w:rStyle w:val="Bodytextitalic"/>
        </w:rPr>
        <w:t>R</w:t>
      </w:r>
      <w:r>
        <w:rPr>
          <w:vertAlign w:val="superscript"/>
        </w:rPr>
        <w:t>2</w:t>
      </w:r>
      <w:r>
        <w:t xml:space="preserve"> value of 0.20 was obtained from the regression.  </w:t>
      </w:r>
      <w:r>
        <w:rPr>
          <w:lang w:val="en-US"/>
        </w:rPr>
        <w:t>Assuming the</w:t>
      </w:r>
      <w:r w:rsidRPr="00B14845">
        <w:rPr>
          <w:lang w:val="en-US"/>
        </w:rPr>
        <w:t xml:space="preserve"> null hypothesis that there is no </w:t>
      </w:r>
      <w:r>
        <w:rPr>
          <w:lang w:val="en-US"/>
        </w:rPr>
        <w:t xml:space="preserve">correlation </w:t>
      </w:r>
      <w:r>
        <w:t xml:space="preserve">between </w:t>
      </w:r>
      <w:r w:rsidR="00172353" w:rsidRPr="00332AA7">
        <w:rPr>
          <w:rStyle w:val="Bodytextitalic"/>
        </w:rPr>
        <w:t>V</w:t>
      </w:r>
      <w:r w:rsidR="00172353" w:rsidRPr="00172353">
        <w:rPr>
          <w:rStyle w:val="Subscriptitalic"/>
        </w:rPr>
        <w:t>S30</w:t>
      </w:r>
      <w:r w:rsidR="00172353">
        <w:t xml:space="preserve"> </w:t>
      </w:r>
      <w:r>
        <w:t xml:space="preserve">and </w:t>
      </w:r>
      <w:r w:rsidRPr="00332AA7">
        <w:rPr>
          <w:rStyle w:val="Bodytextitalic"/>
        </w:rPr>
        <w:t>κ</w:t>
      </w:r>
      <w:r w:rsidRPr="00632C3C">
        <w:rPr>
          <w:vertAlign w:val="subscript"/>
        </w:rPr>
        <w:t>0</w:t>
      </w:r>
      <w:r>
        <w:t xml:space="preserve">, a </w:t>
      </w:r>
      <w:r w:rsidRPr="00332AA7">
        <w:rPr>
          <w:rStyle w:val="Bodytextitalic"/>
        </w:rPr>
        <w:t>p</w:t>
      </w:r>
      <w:r>
        <w:rPr>
          <w:lang w:val="en-US"/>
        </w:rPr>
        <w:t>-</w:t>
      </w:r>
      <w:r w:rsidRPr="00B14845">
        <w:rPr>
          <w:lang w:val="en-US"/>
        </w:rPr>
        <w:t xml:space="preserve">value of </w:t>
      </w:r>
      <w:r>
        <w:rPr>
          <w:lang w:val="en-US"/>
        </w:rPr>
        <w:t xml:space="preserve">0.04985 </w:t>
      </w:r>
      <w:r w:rsidRPr="00B14845">
        <w:rPr>
          <w:lang w:val="en-US"/>
        </w:rPr>
        <w:t xml:space="preserve">was calculated. </w:t>
      </w:r>
      <w:r>
        <w:rPr>
          <w:lang w:val="en-US"/>
        </w:rPr>
        <w:t>U</w:t>
      </w:r>
      <w:r w:rsidRPr="00B14845">
        <w:rPr>
          <w:lang w:val="en-US"/>
        </w:rPr>
        <w:t xml:space="preserve">sing a significance level of 0.05 the null hypothesis cannot be </w:t>
      </w:r>
      <w:r>
        <w:rPr>
          <w:lang w:val="en-US"/>
        </w:rPr>
        <w:t xml:space="preserve">accepted.  However, it is noted from the </w:t>
      </w:r>
      <w:r w:rsidRPr="00332AA7">
        <w:rPr>
          <w:rStyle w:val="Bodytextitalic"/>
        </w:rPr>
        <w:t>R</w:t>
      </w:r>
      <w:r>
        <w:rPr>
          <w:vertAlign w:val="superscript"/>
        </w:rPr>
        <w:t>2</w:t>
      </w:r>
      <w:r>
        <w:t xml:space="preserve"> value</w:t>
      </w:r>
      <w:r>
        <w:rPr>
          <w:lang w:val="en-US"/>
        </w:rPr>
        <w:t xml:space="preserve"> that the apparent correlation is very poor</w:t>
      </w:r>
      <w:r w:rsidRPr="00B14845">
        <w:rPr>
          <w:lang w:val="en-US"/>
        </w:rPr>
        <w:t>.</w:t>
      </w:r>
      <w:r>
        <w:rPr>
          <w:lang w:val="en-US"/>
        </w:rPr>
        <w:t xml:space="preserve">  Assuming the correlation holds, a </w:t>
      </w:r>
      <w:r w:rsidR="00172353" w:rsidRPr="00332AA7">
        <w:rPr>
          <w:rStyle w:val="Bodytextitalic"/>
        </w:rPr>
        <w:t>V</w:t>
      </w:r>
      <w:r w:rsidR="00172353" w:rsidRPr="00172353">
        <w:rPr>
          <w:rStyle w:val="Subscriptitalic"/>
        </w:rPr>
        <w:t>S30</w:t>
      </w:r>
      <w:r w:rsidR="00172353">
        <w:t xml:space="preserve"> </w:t>
      </w:r>
      <w:r>
        <w:t xml:space="preserve">of approximately 820 m/s is obtained assuming </w:t>
      </w:r>
      <w:r w:rsidRPr="00332AA7">
        <w:rPr>
          <w:rStyle w:val="Bodytextitalic"/>
        </w:rPr>
        <w:t>κ</w:t>
      </w:r>
      <w:r w:rsidRPr="00632C3C">
        <w:rPr>
          <w:vertAlign w:val="subscript"/>
        </w:rPr>
        <w:t>0</w:t>
      </w:r>
      <w:r>
        <w:t xml:space="preserve"> of 0.006 sec.  Consequently, the GMPE presented herein can be assumed to be appropriate for rock sites </w:t>
      </w:r>
      <w:r w:rsidR="000F5F86">
        <w:t>approximately near the</w:t>
      </w:r>
      <w:r w:rsidR="00A1213B">
        <w:t xml:space="preserve"> B</w:t>
      </w:r>
      <w:r w:rsidR="000F5F86">
        <w:t>/</w:t>
      </w:r>
      <w:r w:rsidR="00A1213B">
        <w:t>C</w:t>
      </w:r>
      <w:r>
        <w:t xml:space="preserve"> </w:t>
      </w:r>
      <w:r w:rsidR="000F5F86">
        <w:t xml:space="preserve">boundary </w:t>
      </w:r>
      <w:r>
        <w:t>in the NEHRP site classification scheme</w:t>
      </w:r>
      <w:r w:rsidR="00445C20">
        <w:t xml:space="preserve"> </w:t>
      </w:r>
      <w:r w:rsidR="00445C20">
        <w:fldChar w:fldCharType="begin"/>
      </w:r>
      <w:r w:rsidR="00F202D0">
        <w:instrText xml:space="preserve"> ADDIN EN.CITE &lt;EndNote&gt;&lt;Cite&gt;&lt;Author&gt;Building Seismic Safety Council&lt;/Author&gt;&lt;Year&gt;2003&lt;/Year&gt;&lt;RecNum&gt;28&lt;/RecNum&gt;&lt;record&gt;&lt;rec-number&gt;28&lt;/rec-number&gt;&lt;foreign-keys&gt;&lt;key app='EN' db-id='se5z02d5txder3eax2p5wz5j59zvz2tdzdd2'&gt;28&lt;/key&gt;&lt;/foreign-keys&gt;&lt;ref-type name='Report'&gt;27&lt;/ref-type&gt;&lt;contributors&gt;&lt;authors&gt;&lt;author&gt;Building Seismic Safety Council,&lt;/author&gt;&lt;/authors&gt;&lt;/contributors&gt;&lt;titles&gt;&lt;title&gt;NEHRP Recommended Provisions for seismic regulations for new buildings and other structures, 2003 edition&lt;/title&gt;&lt;/titles&gt;&lt;pages&gt;338&lt;/pages&gt;&lt;dates&gt;&lt;year&gt;2003&lt;/year&gt;&lt;/dates&gt;&lt;pub-location&gt;Washington, D.C.&lt;/pub-location&gt;&lt;publisher&gt;Federal Emergency Management Agency 450&lt;/publisher&gt;&lt;urls&gt;&lt;pdf-urls&gt;&lt;url&gt;internal-pdf://fema450provisions-3951166218/fema450provisions.pdf&lt;/url&gt;&lt;/pdf-urls&gt;&lt;/urls&gt;&lt;/record&gt;&lt;/Cite&gt;&lt;Cite&gt;&lt;Author&gt;Wills&lt;/Author&gt;&lt;Year&gt;2000&lt;/Year&gt;&lt;RecNum&gt;19&lt;/RecNum&gt;&lt;record&gt;&lt;rec-number&gt;19&lt;/rec-number&gt;&lt;foreign-keys&gt;&lt;key app="EN" db-id="se5z02d5txder3eax2p5wz5j59zvz2tdzdd2"&gt;19&lt;/key&gt;&lt;/foreign-keys&gt;&lt;ref-type name="Journal Article"&gt;17&lt;/ref-type&gt;&lt;contributors&gt;&lt;authors&gt;&lt;author&gt;Wills, C. J. &lt;/author&gt;&lt;author&gt;Petersen, M.&lt;/author&gt;&lt;author&gt;Bryant, W. A. &lt;/author&gt;&lt;author&gt;Reichle, M.&lt;/author&gt;&lt;author&gt;Saucedo, G. J.&lt;/author&gt;&lt;author&gt;Tan, S.&lt;/author&gt;&lt;author&gt;Taylor, G.&lt;/author&gt;&lt;author&gt;Treiman, J.&lt;/author&gt;&lt;/authors&gt;&lt;/contributors&gt;&lt;titles&gt;&lt;title&gt;A site-conditions map for California based on geology and shear-wave velocity&lt;/title&gt;&lt;secondary-title&gt;Bull. Seism. Soc. Am.&lt;/secondary-title&gt;&lt;/titles&gt;&lt;periodical&gt;&lt;full-title&gt;Bull. Seism. Soc. Am.&lt;/full-title&gt;&lt;/periodical&gt;&lt;pages&gt;S187–S208&lt;/pages&gt;&lt;volume&gt;90&lt;/volume&gt;&lt;number&gt;6B&lt;/number&gt;&lt;keywords&gt;&lt;keyword&gt;California site class, NEHRP&lt;/keyword&gt;&lt;/keywords&gt;&lt;dates&gt;&lt;year&gt;2000&lt;/year&gt;&lt;/dates&gt;&lt;urls&gt;&lt;pdf-urls&gt;&lt;url&gt;internal-pdf://Wills_etal.2000.CA_site_classes-1092864768/Wills_etal.2000.CA_site_classes.pdf&lt;/url&gt;&lt;/pdf-urls&gt;&lt;/urls&gt;&lt;/record&gt;&lt;/Cite&gt;&lt;/EndNote&gt;</w:instrText>
      </w:r>
      <w:r w:rsidR="00445C20">
        <w:fldChar w:fldCharType="separate"/>
      </w:r>
      <w:r w:rsidR="00445C20">
        <w:t>(Wills</w:t>
      </w:r>
      <w:r w:rsidR="00445C20" w:rsidRPr="00445C20">
        <w:rPr>
          <w:i/>
        </w:rPr>
        <w:t xml:space="preserve"> et al.</w:t>
      </w:r>
      <w:r w:rsidR="00445C20">
        <w:t>, 2000; Building Seismic Safety Council, 2003)</w:t>
      </w:r>
      <w:r w:rsidR="00445C20">
        <w:fldChar w:fldCharType="end"/>
      </w:r>
      <w:r>
        <w:t xml:space="preserve">. </w:t>
      </w:r>
    </w:p>
    <w:p w:rsidR="00A13F7D" w:rsidRDefault="00A13F7D" w:rsidP="00C409B2">
      <w:pPr>
        <w:pStyle w:val="BodyText"/>
      </w:pPr>
      <w:r>
        <w:t xml:space="preserve">Comparing the </w:t>
      </w:r>
      <w:r w:rsidR="00172353" w:rsidRPr="00332AA7">
        <w:rPr>
          <w:rStyle w:val="Bodytextitalic"/>
        </w:rPr>
        <w:t>V</w:t>
      </w:r>
      <w:r w:rsidR="00172353" w:rsidRPr="00172353">
        <w:rPr>
          <w:rStyle w:val="Subscriptitalic"/>
        </w:rPr>
        <w:t>S30</w:t>
      </w:r>
      <w:r w:rsidR="00172353">
        <w:t xml:space="preserve"> </w:t>
      </w:r>
      <w:r>
        <w:t>-</w:t>
      </w:r>
      <w:r w:rsidRPr="00332AA7">
        <w:rPr>
          <w:rStyle w:val="Bodytextitalic"/>
        </w:rPr>
        <w:t>κ</w:t>
      </w:r>
      <w:r w:rsidRPr="00A13F7D">
        <w:rPr>
          <w:vertAlign w:val="subscript"/>
        </w:rPr>
        <w:t>0</w:t>
      </w:r>
      <w:r>
        <w:t xml:space="preserve"> correlation above to other studies</w:t>
      </w:r>
      <w:r w:rsidR="00A1213B">
        <w:t xml:space="preserve"> </w:t>
      </w:r>
      <w:r w:rsidR="00A1213B">
        <w:fldChar w:fldCharType="begin"/>
      </w:r>
      <w:r w:rsidR="00073AEF">
        <w:instrText xml:space="preserve"> ADDIN EN.CITE </w:instrText>
      </w:r>
      <w:r w:rsidR="00073AEF">
        <w:fldChar w:fldCharType="begin"/>
      </w:r>
      <w:r w:rsidR="00073AEF">
        <w:instrText xml:space="preserve"> ADDIN EN.CITE.DATA </w:instrText>
      </w:r>
      <w:r w:rsidR="00073AEF">
        <w:instrText>匁</w:instrText>
      </w:r>
      <w:r w:rsidR="00073AEF">
        <w:fldChar w:fldCharType="end"/>
      </w:r>
      <w:r w:rsidR="00A1213B">
        <w:fldChar w:fldCharType="separate"/>
      </w:r>
      <w:r w:rsidR="00A1213B">
        <w:rPr>
          <w:noProof/>
        </w:rPr>
        <w:t>(Silva</w:t>
      </w:r>
      <w:r w:rsidR="00A1213B" w:rsidRPr="003D3528">
        <w:rPr>
          <w:i/>
          <w:noProof/>
        </w:rPr>
        <w:t xml:space="preserve"> et al.</w:t>
      </w:r>
      <w:r w:rsidR="00A1213B">
        <w:rPr>
          <w:noProof/>
        </w:rPr>
        <w:t>, 1998; Chandler</w:t>
      </w:r>
      <w:r w:rsidR="00A1213B" w:rsidRPr="003D3528">
        <w:rPr>
          <w:i/>
          <w:noProof/>
        </w:rPr>
        <w:t xml:space="preserve"> et al.</w:t>
      </w:r>
      <w:r w:rsidR="00A1213B">
        <w:rPr>
          <w:noProof/>
        </w:rPr>
        <w:t>, 2006; Van Houtte</w:t>
      </w:r>
      <w:r w:rsidR="00A1213B" w:rsidRPr="003D3528">
        <w:rPr>
          <w:i/>
          <w:noProof/>
        </w:rPr>
        <w:t xml:space="preserve"> et al.</w:t>
      </w:r>
      <w:r w:rsidR="00A1213B">
        <w:rPr>
          <w:noProof/>
        </w:rPr>
        <w:t>, 2011)</w:t>
      </w:r>
      <w:r w:rsidR="00A1213B">
        <w:fldChar w:fldCharType="end"/>
      </w:r>
      <w:r>
        <w:t>, t</w:t>
      </w:r>
      <w:r w:rsidRPr="00A13F7D">
        <w:t>he</w:t>
      </w:r>
      <w:r>
        <w:t xml:space="preserve"> corresponding value of average </w:t>
      </w:r>
      <w:r w:rsidR="00172353" w:rsidRPr="00332AA7">
        <w:rPr>
          <w:rStyle w:val="Bodytextitalic"/>
        </w:rPr>
        <w:t>V</w:t>
      </w:r>
      <w:r w:rsidR="00172353" w:rsidRPr="00172353">
        <w:rPr>
          <w:rStyle w:val="Subscriptitalic"/>
        </w:rPr>
        <w:t>S30</w:t>
      </w:r>
      <w:r w:rsidR="00172353">
        <w:t xml:space="preserve"> </w:t>
      </w:r>
      <w:r w:rsidR="00A1213B">
        <w:t xml:space="preserve">in the present study </w:t>
      </w:r>
      <w:r>
        <w:t xml:space="preserve">appears quite low relative </w:t>
      </w:r>
      <w:r w:rsidR="00154583">
        <w:t xml:space="preserve">to </w:t>
      </w:r>
      <w:r>
        <w:t xml:space="preserve">a </w:t>
      </w:r>
      <w:r w:rsidRPr="00332AA7">
        <w:rPr>
          <w:rStyle w:val="Bodytextitalic"/>
        </w:rPr>
        <w:t>κ</w:t>
      </w:r>
      <w:r w:rsidRPr="00632C3C">
        <w:rPr>
          <w:vertAlign w:val="subscript"/>
        </w:rPr>
        <w:t>0</w:t>
      </w:r>
      <w:r>
        <w:t xml:space="preserve"> </w:t>
      </w:r>
      <w:r w:rsidR="00A1213B">
        <w:t xml:space="preserve">value </w:t>
      </w:r>
      <w:r>
        <w:t>of 0.006 sec.</w:t>
      </w:r>
      <w:r w:rsidR="00A1213B">
        <w:t xml:space="preserve">  While it may be informative to compare these models with the current data, it should be recognised that the step-wise inversion of path and source parameters</w:t>
      </w:r>
      <w:r w:rsidR="00E93F07">
        <w:t xml:space="preserve"> result in a unique suite of stochastic parameters that cannot be considered in isolation</w:t>
      </w:r>
      <w:r w:rsidR="00A1213B">
        <w:t xml:space="preserve">.  While </w:t>
      </w:r>
      <w:r w:rsidR="00A1213B" w:rsidRPr="00332AA7">
        <w:rPr>
          <w:rStyle w:val="Bodytextitalic"/>
        </w:rPr>
        <w:t>κ</w:t>
      </w:r>
      <w:r w:rsidR="00A1213B" w:rsidRPr="00632C3C">
        <w:rPr>
          <w:vertAlign w:val="subscript"/>
        </w:rPr>
        <w:t>0</w:t>
      </w:r>
      <w:r w:rsidR="00A1213B">
        <w:t xml:space="preserve"> is theoretically path independent, in the present analysis, </w:t>
      </w:r>
      <w:r w:rsidR="00E93F07">
        <w:t xml:space="preserve">this parameter </w:t>
      </w:r>
      <w:r w:rsidR="00A1213B">
        <w:t xml:space="preserve">is strongly tied to the anelastic attenuation function that has been applied.  </w:t>
      </w:r>
      <w:r w:rsidR="00A1213B" w:rsidRPr="00445C20">
        <w:t xml:space="preserve">Consequently, it would be meaningless to compare the current </w:t>
      </w:r>
      <w:r w:rsidR="00172353" w:rsidRPr="00332AA7">
        <w:rPr>
          <w:rStyle w:val="Bodytextitalic"/>
        </w:rPr>
        <w:t>V</w:t>
      </w:r>
      <w:r w:rsidR="00172353" w:rsidRPr="00172353">
        <w:rPr>
          <w:rStyle w:val="Subscriptitalic"/>
        </w:rPr>
        <w:t>S30</w:t>
      </w:r>
      <w:r w:rsidR="00172353">
        <w:t xml:space="preserve"> </w:t>
      </w:r>
      <w:r w:rsidR="00A1213B" w:rsidRPr="00445C20">
        <w:t>-</w:t>
      </w:r>
      <w:r w:rsidR="00A1213B" w:rsidRPr="00332AA7">
        <w:rPr>
          <w:rStyle w:val="Bodytextitalic"/>
        </w:rPr>
        <w:t>κ</w:t>
      </w:r>
      <w:r w:rsidR="00A1213B" w:rsidRPr="00445C20">
        <w:rPr>
          <w:vertAlign w:val="subscript"/>
        </w:rPr>
        <w:t>0</w:t>
      </w:r>
      <w:r w:rsidR="00A1213B" w:rsidRPr="00445C20">
        <w:t xml:space="preserve"> correlation with the aforementioned studies because the path i</w:t>
      </w:r>
      <w:r w:rsidR="0059614E" w:rsidRPr="00445C20">
        <w:t xml:space="preserve">nversion process and </w:t>
      </w:r>
      <w:r w:rsidR="00902F7C">
        <w:t xml:space="preserve">subsequent data </w:t>
      </w:r>
      <w:r w:rsidR="0059614E" w:rsidRPr="00445C20">
        <w:t>correction</w:t>
      </w:r>
      <w:r w:rsidR="00A1213B" w:rsidRPr="00445C20">
        <w:t xml:space="preserve">s </w:t>
      </w:r>
      <w:r w:rsidR="00902F7C">
        <w:t xml:space="preserve">are </w:t>
      </w:r>
      <w:r w:rsidR="00A1213B" w:rsidRPr="00445C20">
        <w:t>likely to</w:t>
      </w:r>
      <w:r w:rsidR="00445C20" w:rsidRPr="00445C20">
        <w:t xml:space="preserve"> i</w:t>
      </w:r>
      <w:r w:rsidR="00445C20">
        <w:t xml:space="preserve">nfluence </w:t>
      </w:r>
      <w:r w:rsidR="00902F7C">
        <w:t xml:space="preserve">the evaluation </w:t>
      </w:r>
      <w:r w:rsidR="00445C20">
        <w:t xml:space="preserve">of </w:t>
      </w:r>
      <w:r w:rsidR="00445C20" w:rsidRPr="00332AA7">
        <w:rPr>
          <w:rStyle w:val="Bodytextitalic"/>
        </w:rPr>
        <w:t>κ</w:t>
      </w:r>
      <w:r w:rsidR="00445C20" w:rsidRPr="00632C3C">
        <w:rPr>
          <w:vertAlign w:val="subscript"/>
        </w:rPr>
        <w:t>0</w:t>
      </w:r>
      <w:r w:rsidR="00445C20">
        <w:t>.</w:t>
      </w:r>
      <w:r w:rsidR="00A1213B">
        <w:t xml:space="preserve"> </w:t>
      </w:r>
    </w:p>
    <w:p w:rsidR="00E033F4" w:rsidRPr="008818F0" w:rsidRDefault="00551E1A" w:rsidP="00E033F4">
      <w:pPr>
        <w:pStyle w:val="InlineObject"/>
      </w:pPr>
      <w:r>
        <w:rPr>
          <w:noProof/>
        </w:rPr>
        <w:lastRenderedPageBreak/>
        <w:drawing>
          <wp:inline distT="0" distB="0" distL="0" distR="0">
            <wp:extent cx="3200400" cy="2295525"/>
            <wp:effectExtent l="0" t="0" r="0" b="0"/>
            <wp:docPr id="34" name="Picture 34" descr="kappa_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appa_v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00400" cy="2295525"/>
                    </a:xfrm>
                    <a:prstGeom prst="rect">
                      <a:avLst/>
                    </a:prstGeom>
                    <a:noFill/>
                    <a:ln>
                      <a:noFill/>
                    </a:ln>
                  </pic:spPr>
                </pic:pic>
              </a:graphicData>
            </a:graphic>
          </wp:inline>
        </w:drawing>
      </w:r>
    </w:p>
    <w:p w:rsidR="00E033F4" w:rsidRPr="0059614E" w:rsidRDefault="00E033F4" w:rsidP="001A3699">
      <w:pPr>
        <w:pStyle w:val="Captions"/>
      </w:pPr>
      <w:bookmarkStart w:id="128" w:name="_Toc338429328"/>
      <w:r w:rsidRPr="00ED3EA1">
        <w:rPr>
          <w:rStyle w:val="Bodytextbold"/>
        </w:rPr>
        <w:t xml:space="preserve">Figure </w:t>
      </w:r>
      <w:r w:rsidRPr="008818F0">
        <w:rPr>
          <w:b/>
        </w:rPr>
        <w:fldChar w:fldCharType="begin"/>
      </w:r>
      <w:r w:rsidRPr="008818F0">
        <w:rPr>
          <w:b/>
        </w:rPr>
        <w:instrText xml:space="preserve"> SEQ Figure \* ARABIC </w:instrText>
      </w:r>
      <w:r w:rsidRPr="008818F0">
        <w:rPr>
          <w:b/>
        </w:rPr>
        <w:fldChar w:fldCharType="separate"/>
      </w:r>
      <w:r>
        <w:rPr>
          <w:b/>
          <w:noProof/>
        </w:rPr>
        <w:t>14</w:t>
      </w:r>
      <w:r w:rsidRPr="008818F0">
        <w:rPr>
          <w:b/>
        </w:rPr>
        <w:fldChar w:fldCharType="end"/>
      </w:r>
      <w:r w:rsidRPr="00ED3EA1">
        <w:rPr>
          <w:rStyle w:val="Bodytextbold"/>
        </w:rPr>
        <w:t>:</w:t>
      </w:r>
      <w:r>
        <w:t xml:space="preserve">  The correlation between </w:t>
      </w:r>
      <w:r w:rsidRPr="0059614E">
        <w:t>V</w:t>
      </w:r>
      <w:r w:rsidRPr="008818F0">
        <w:rPr>
          <w:vertAlign w:val="subscript"/>
        </w:rPr>
        <w:t>S30</w:t>
      </w:r>
      <w:r w:rsidRPr="0059614E">
        <w:t xml:space="preserve"> </w:t>
      </w:r>
      <w:r>
        <w:t xml:space="preserve">and </w:t>
      </w:r>
      <w:r w:rsidRPr="0059614E">
        <w:t>κ</w:t>
      </w:r>
      <w:r w:rsidRPr="00BC220E">
        <w:rPr>
          <w:rStyle w:val="Subscript"/>
        </w:rPr>
        <w:t>0</w:t>
      </w:r>
      <w:r w:rsidRPr="00332AA7">
        <w:t xml:space="preserve"> </w:t>
      </w:r>
      <w:r>
        <w:t xml:space="preserve">estimated at seismic stations in southeastern </w:t>
      </w:r>
      <w:smartTag w:uri="urn:schemas-microsoft-com:office:smarttags" w:element="place">
        <w:smartTag w:uri="urn:schemas-microsoft-com:office:smarttags" w:element="country-region">
          <w:r>
            <w:t>Australia</w:t>
          </w:r>
        </w:smartTag>
      </w:smartTag>
      <w:r w:rsidRPr="00332AA7">
        <w:t xml:space="preserve">.  </w:t>
      </w:r>
      <w:r>
        <w:t xml:space="preserve">An </w:t>
      </w:r>
      <w:r w:rsidRPr="0059614E">
        <w:t>R</w:t>
      </w:r>
      <w:r w:rsidRPr="008818F0">
        <w:rPr>
          <w:vertAlign w:val="superscript"/>
        </w:rPr>
        <w:t>2</w:t>
      </w:r>
      <w:r>
        <w:t xml:space="preserve"> value of 0.20 was obtained from the regression (grey line) indicating a very poor correlation between the two parameters.  </w:t>
      </w:r>
      <w:r w:rsidRPr="008818F0">
        <w:rPr>
          <w:lang w:val="en-US"/>
        </w:rPr>
        <w:t xml:space="preserve">Assuming the correlation holds, a </w:t>
      </w:r>
      <w:r w:rsidRPr="0059614E">
        <w:t>V</w:t>
      </w:r>
      <w:r w:rsidRPr="008818F0">
        <w:rPr>
          <w:vertAlign w:val="subscript"/>
        </w:rPr>
        <w:t>S30</w:t>
      </w:r>
      <w:r>
        <w:t xml:space="preserve"> of approximately 820 m/s is obtained assuming </w:t>
      </w:r>
      <w:r w:rsidRPr="0059614E">
        <w:t>κ</w:t>
      </w:r>
      <w:r w:rsidRPr="00332AA7">
        <w:t>0</w:t>
      </w:r>
      <w:r>
        <w:t xml:space="preserve"> of 0.006 sec (solid black circle).</w:t>
      </w:r>
      <w:bookmarkEnd w:id="128"/>
    </w:p>
    <w:p w:rsidR="00E033F4" w:rsidRPr="00E033F4" w:rsidRDefault="00E033F4" w:rsidP="00E033F4"/>
    <w:p w:rsidR="00050122" w:rsidRPr="00E033F4" w:rsidRDefault="00050122" w:rsidP="00E033F4">
      <w:bookmarkStart w:id="129" w:name="_Toc319656518"/>
      <w:bookmarkStart w:id="130" w:name="_Toc319656607"/>
    </w:p>
    <w:p w:rsidR="00B15AC0" w:rsidRDefault="00050122" w:rsidP="005C7510">
      <w:pPr>
        <w:pStyle w:val="Heading1"/>
      </w:pPr>
      <w:r>
        <w:br w:type="page"/>
      </w:r>
      <w:bookmarkStart w:id="131" w:name="_Toc319918561"/>
      <w:bookmarkStart w:id="132" w:name="_Toc319918830"/>
      <w:bookmarkStart w:id="133" w:name="_Toc349112541"/>
      <w:r w:rsidR="00B15AC0">
        <w:lastRenderedPageBreak/>
        <w:t xml:space="preserve">Regression of </w:t>
      </w:r>
      <w:r w:rsidR="00776F71">
        <w:t>M</w:t>
      </w:r>
      <w:r w:rsidR="00B15AC0">
        <w:t xml:space="preserve">odel </w:t>
      </w:r>
      <w:bookmarkEnd w:id="129"/>
      <w:bookmarkEnd w:id="130"/>
      <w:r w:rsidR="00776F71">
        <w:t>Coefficients</w:t>
      </w:r>
      <w:bookmarkEnd w:id="131"/>
      <w:bookmarkEnd w:id="132"/>
      <w:bookmarkEnd w:id="133"/>
    </w:p>
    <w:p w:rsidR="00B15AC0" w:rsidRDefault="00B15AC0" w:rsidP="00C409B2">
      <w:pPr>
        <w:pStyle w:val="BodyText"/>
        <w:rPr>
          <w:lang w:val="en-US"/>
        </w:rPr>
      </w:pPr>
      <w:r>
        <w:rPr>
          <w:lang w:val="en-US"/>
        </w:rPr>
        <w:t xml:space="preserve">The stochastic simulations using the EXSIM model resulted in over </w:t>
      </w:r>
      <w:r w:rsidRPr="00D34317">
        <w:rPr>
          <w:lang w:val="en-US"/>
        </w:rPr>
        <w:t>56,000</w:t>
      </w:r>
      <w:r>
        <w:rPr>
          <w:lang w:val="en-US"/>
        </w:rPr>
        <w:t xml:space="preserve"> horizontal-component ground-motion </w:t>
      </w:r>
      <w:r w:rsidR="00F4085E">
        <w:rPr>
          <w:lang w:val="en-US"/>
        </w:rPr>
        <w:t xml:space="preserve">simulations </w:t>
      </w:r>
      <w:r>
        <w:rPr>
          <w:lang w:val="en-US"/>
        </w:rPr>
        <w:t>at</w:t>
      </w:r>
      <w:r w:rsidR="00E93F07">
        <w:rPr>
          <w:lang w:val="en-US"/>
        </w:rPr>
        <w:t xml:space="preserve"> 44</w:t>
      </w:r>
      <w:r>
        <w:rPr>
          <w:lang w:val="en-US"/>
        </w:rPr>
        <w:t xml:space="preserve"> unique distances</w:t>
      </w:r>
      <w:r w:rsidR="00E93F07">
        <w:rPr>
          <w:lang w:val="en-US"/>
        </w:rPr>
        <w:t xml:space="preserve"> </w:t>
      </w:r>
      <w:r w:rsidR="00E93F07" w:rsidRPr="00332AA7">
        <w:rPr>
          <w:rStyle w:val="Bodytextitalic"/>
        </w:rPr>
        <w:t>R</w:t>
      </w:r>
      <w:r w:rsidR="00E93F07" w:rsidRPr="00172353">
        <w:rPr>
          <w:rStyle w:val="Subscriptitalic"/>
        </w:rPr>
        <w:t>rup</w:t>
      </w:r>
      <w:r>
        <w:rPr>
          <w:lang w:val="en-US"/>
        </w:rPr>
        <w:t xml:space="preserve">, logarithmically spaced from 1 to </w:t>
      </w:r>
      <w:r w:rsidRPr="00D34317">
        <w:rPr>
          <w:lang w:val="en-US"/>
        </w:rPr>
        <w:t>422</w:t>
      </w:r>
      <w:r>
        <w:rPr>
          <w:lang w:val="en-US"/>
        </w:rPr>
        <w:t xml:space="preserve"> km for earthquakes of magnitude 4.0 ≤ </w:t>
      </w:r>
      <w:r w:rsidR="00172353" w:rsidRPr="00172353">
        <w:rPr>
          <w:rStyle w:val="Bodytextitalic"/>
        </w:rPr>
        <w:t>M</w:t>
      </w:r>
      <w:r w:rsidR="00172353" w:rsidRPr="00172353">
        <w:rPr>
          <w:rStyle w:val="Subscriptitalic"/>
        </w:rPr>
        <w:t>W</w:t>
      </w:r>
      <w:r w:rsidR="00172353">
        <w:t xml:space="preserve"> </w:t>
      </w:r>
      <w:r>
        <w:rPr>
          <w:lang w:val="en-US"/>
        </w:rPr>
        <w:t>≤ 7.5.  These simulations were conducted for both the shallow and deep earthquake scenarios.  Median response spectral accelerations were regressed using the Nelder-Mead minimization technique</w:t>
      </w:r>
      <w:r w:rsidR="008E190E">
        <w:rPr>
          <w:lang w:val="en-US"/>
        </w:rPr>
        <w:t xml:space="preserve"> </w:t>
      </w:r>
      <w:r w:rsidR="008E190E">
        <w:rPr>
          <w:lang w:val="en-US"/>
        </w:rPr>
        <w:fldChar w:fldCharType="begin"/>
      </w:r>
      <w:r w:rsidR="00F202D0">
        <w:rPr>
          <w:lang w:val="en-US"/>
        </w:rPr>
        <w:instrText xml:space="preserve"> ADDIN EN.CITE &lt;EndNote&gt;&lt;Cite&gt;&lt;Author&gt;The Mathworks&lt;/Author&gt;&lt;Year&gt;2008&lt;/Year&gt;&lt;RecNum&gt;767&lt;/RecNum&gt;&lt;record&gt;&lt;rec-number&gt;767&lt;/rec-number&gt;&lt;foreign-keys&gt;&lt;key app="EN" db-id="se5z02d5txder3eax2p5wz5j59zvz2tdzdd2"&gt;767&lt;/key&gt;&lt;/foreign-keys&gt;&lt;ref-type name="Computer Program"&gt;9&lt;/ref-type&gt;&lt;contributors&gt;&lt;authors&gt;&lt;author&gt;The Mathworks,&lt;/author&gt;&lt;/authors&gt;&lt;/contributors&gt;&lt;titles&gt;&lt;title&gt;Matlab: the language of technical computing, The Mathworks, Inc., Natick, MA&lt;/title&gt;&lt;/titles&gt;&lt;dates&gt;&lt;year&gt;2008&lt;/year&gt;&lt;/dates&gt;&lt;urls&gt;&lt;/urls&gt;&lt;/record&gt;&lt;/Cite&gt;&lt;/EndNote&gt;</w:instrText>
      </w:r>
      <w:r w:rsidR="008E190E">
        <w:rPr>
          <w:lang w:val="en-US"/>
        </w:rPr>
        <w:fldChar w:fldCharType="separate"/>
      </w:r>
      <w:r w:rsidR="008E190E">
        <w:rPr>
          <w:lang w:val="en-US"/>
        </w:rPr>
        <w:t>(The Mathworks, 2008)</w:t>
      </w:r>
      <w:r w:rsidR="008E190E">
        <w:rPr>
          <w:lang w:val="en-US"/>
        </w:rPr>
        <w:fldChar w:fldCharType="end"/>
      </w:r>
      <w:r>
        <w:rPr>
          <w:lang w:val="en-US"/>
        </w:rPr>
        <w:t xml:space="preserve"> according to the functional form:</w:t>
      </w:r>
    </w:p>
    <w:p w:rsidR="00B15AC0" w:rsidRPr="00CE02ED" w:rsidRDefault="00C409B2" w:rsidP="00BF4007">
      <w:pPr>
        <w:pStyle w:val="Equation"/>
      </w:pPr>
      <w:r>
        <w:t xml:space="preserve">     </w:t>
      </w:r>
      <w:r w:rsidR="00E85847" w:rsidRPr="008E190E">
        <w:rPr>
          <w:position w:val="-40"/>
        </w:rPr>
        <w:object w:dxaOrig="6160" w:dyaOrig="920">
          <v:shape id="_x0000_i1042" type="#_x0000_t75" style="width:308.3pt;height:45.65pt" o:ole="">
            <v:imagedata r:id="rId72" o:title=""/>
          </v:shape>
          <o:OLEObject Type="Embed" ProgID="Equation.3" ShapeID="_x0000_i1042" DrawAspect="Content" ObjectID="_1426934419" r:id="rId73"/>
        </w:object>
      </w:r>
      <w:r w:rsidR="00B15AC0" w:rsidRPr="00E56121">
        <w:tab/>
        <w:t>(1</w:t>
      </w:r>
      <w:r w:rsidR="00842C9B">
        <w:t>8</w:t>
      </w:r>
      <w:r w:rsidR="00B15AC0" w:rsidRPr="00E56121">
        <w:t>)</w:t>
      </w:r>
    </w:p>
    <w:p w:rsidR="00B15AC0" w:rsidRPr="00A34EE1" w:rsidRDefault="00B15AC0" w:rsidP="00C409B2">
      <w:pPr>
        <w:pStyle w:val="BodyText"/>
        <w:rPr>
          <w:lang w:val="en-US"/>
        </w:rPr>
      </w:pPr>
      <w:r>
        <w:rPr>
          <w:lang w:val="en-US"/>
        </w:rPr>
        <w:t xml:space="preserve">where </w:t>
      </w:r>
      <w:r w:rsidRPr="00332AA7">
        <w:rPr>
          <w:rStyle w:val="Bodytextitalic"/>
        </w:rPr>
        <w:t>Y</w:t>
      </w:r>
      <w:r>
        <w:rPr>
          <w:lang w:val="en-US"/>
        </w:rPr>
        <w:t xml:space="preserve"> is the 5% damped response </w:t>
      </w:r>
      <w:r w:rsidR="005A6F1F">
        <w:t>pseudo</w:t>
      </w:r>
      <w:r w:rsidR="005A6F1F">
        <w:rPr>
          <w:lang w:val="en-US"/>
        </w:rPr>
        <w:t xml:space="preserve"> </w:t>
      </w:r>
      <w:r>
        <w:rPr>
          <w:lang w:val="en-US"/>
        </w:rPr>
        <w:t>spectral acceleration measured in cm/s</w:t>
      </w:r>
      <w:r>
        <w:rPr>
          <w:vertAlign w:val="superscript"/>
          <w:lang w:val="en-US"/>
        </w:rPr>
        <w:t>2</w:t>
      </w:r>
      <w:r>
        <w:rPr>
          <w:lang w:val="en-US"/>
        </w:rPr>
        <w:t xml:space="preserve"> and:</w:t>
      </w:r>
    </w:p>
    <w:p w:rsidR="00B15AC0" w:rsidRDefault="00E93F07" w:rsidP="00BF4007">
      <w:pPr>
        <w:pStyle w:val="Equation"/>
      </w:pPr>
      <w:r w:rsidRPr="00E93F07">
        <w:rPr>
          <w:position w:val="-122"/>
        </w:rPr>
        <w:object w:dxaOrig="3960" w:dyaOrig="2560">
          <v:shape id="_x0000_i1043" type="#_x0000_t75" style="width:198.25pt;height:128.3pt" o:ole="">
            <v:imagedata r:id="rId74" o:title=""/>
          </v:shape>
          <o:OLEObject Type="Embed" ProgID="Equation.3" ShapeID="_x0000_i1043" DrawAspect="Content" ObjectID="_1426934420" r:id="rId75"/>
        </w:object>
      </w:r>
      <w:r w:rsidR="00B15AC0">
        <w:tab/>
      </w:r>
      <w:r w:rsidR="00B15AC0" w:rsidRPr="00E56121">
        <w:t>(1</w:t>
      </w:r>
      <w:r w:rsidR="00842C9B">
        <w:t>9</w:t>
      </w:r>
      <w:r w:rsidR="00B15AC0" w:rsidRPr="00E56121">
        <w:t>)</w:t>
      </w:r>
    </w:p>
    <w:p w:rsidR="00B15AC0" w:rsidRDefault="00F4085E" w:rsidP="00C409B2">
      <w:pPr>
        <w:pStyle w:val="BodyText"/>
        <w:rPr>
          <w:lang w:val="en-US"/>
        </w:rPr>
      </w:pPr>
      <w:r>
        <w:rPr>
          <w:lang w:val="en-US"/>
        </w:rPr>
        <w:t xml:space="preserve">where </w:t>
      </w:r>
      <w:r w:rsidR="00172353" w:rsidRPr="00332AA7">
        <w:rPr>
          <w:rStyle w:val="Bodytextitalic"/>
        </w:rPr>
        <w:t>R</w:t>
      </w:r>
      <w:r w:rsidR="00172353" w:rsidRPr="00172353">
        <w:rPr>
          <w:rStyle w:val="Subscriptitalic"/>
        </w:rPr>
        <w:t>rup</w:t>
      </w:r>
      <w:r w:rsidR="00172353">
        <w:rPr>
          <w:lang w:val="en-US"/>
        </w:rPr>
        <w:t xml:space="preserve"> </w:t>
      </w:r>
      <w:r>
        <w:rPr>
          <w:lang w:val="en-US"/>
        </w:rPr>
        <w:t>is the closest distance to rupture</w:t>
      </w:r>
      <w:r w:rsidR="009A741F">
        <w:rPr>
          <w:lang w:val="en-US"/>
        </w:rPr>
        <w:t xml:space="preserve"> in kilomet</w:t>
      </w:r>
      <w:r w:rsidR="00FF6D2E">
        <w:rPr>
          <w:lang w:val="en-US"/>
        </w:rPr>
        <w:t>r</w:t>
      </w:r>
      <w:r w:rsidR="009A741F">
        <w:rPr>
          <w:lang w:val="en-US"/>
        </w:rPr>
        <w:t>es</w:t>
      </w:r>
      <w:r>
        <w:rPr>
          <w:lang w:val="en-US"/>
        </w:rPr>
        <w:t xml:space="preserve">.  </w:t>
      </w:r>
      <w:r w:rsidR="00B15AC0" w:rsidRPr="00F4085E">
        <w:rPr>
          <w:lang w:val="en-US"/>
        </w:rPr>
        <w:t>The</w:t>
      </w:r>
      <w:r w:rsidR="00B15AC0">
        <w:rPr>
          <w:lang w:val="en-US"/>
        </w:rPr>
        <w:t xml:space="preserve"> functional form chosen allows for variable geometrical attenuation with magnitude.  It also comprises a variable geometrical hinge at different magnitudes (coefficients </w:t>
      </w:r>
      <w:r w:rsidR="00B15AC0" w:rsidRPr="00332AA7">
        <w:rPr>
          <w:rStyle w:val="Bodytextitalic"/>
        </w:rPr>
        <w:t>r</w:t>
      </w:r>
      <w:r w:rsidR="00B15AC0" w:rsidRPr="002F2AD9">
        <w:rPr>
          <w:vertAlign w:val="subscript"/>
          <w:lang w:val="en-US"/>
        </w:rPr>
        <w:t>1</w:t>
      </w:r>
      <w:r w:rsidR="00B15AC0">
        <w:rPr>
          <w:lang w:val="en-US"/>
        </w:rPr>
        <w:t xml:space="preserve"> and </w:t>
      </w:r>
      <w:r w:rsidR="00B15AC0" w:rsidRPr="00332AA7">
        <w:rPr>
          <w:rStyle w:val="Bodytextitalic"/>
        </w:rPr>
        <w:t>r</w:t>
      </w:r>
      <w:r w:rsidR="00B15AC0">
        <w:rPr>
          <w:vertAlign w:val="subscript"/>
          <w:lang w:val="en-US"/>
        </w:rPr>
        <w:t>2</w:t>
      </w:r>
      <w:r w:rsidR="00B15AC0">
        <w:rPr>
          <w:lang w:val="en-US"/>
        </w:rPr>
        <w:t>).  This is because the assumption of a constant hinge across the magnitude range results in an unsatisfactory fit to the simulated data.  Figure 1</w:t>
      </w:r>
      <w:r w:rsidR="007A1429">
        <w:rPr>
          <w:lang w:val="en-US"/>
        </w:rPr>
        <w:t>5</w:t>
      </w:r>
      <w:r w:rsidR="00B15AC0">
        <w:rPr>
          <w:lang w:val="en-US"/>
        </w:rPr>
        <w:t xml:space="preserve"> shows the SEA rock </w:t>
      </w:r>
      <w:r w:rsidR="00E93F07">
        <w:rPr>
          <w:lang w:val="en-US"/>
        </w:rPr>
        <w:t xml:space="preserve">response spectral acceleration </w:t>
      </w:r>
      <w:r w:rsidR="00B15AC0">
        <w:rPr>
          <w:lang w:val="en-US"/>
        </w:rPr>
        <w:t xml:space="preserve">simulations in each magnitude bin for the deep-earthquake model (i.e., high Brune stress drop) </w:t>
      </w:r>
      <w:r w:rsidR="00E93F07">
        <w:rPr>
          <w:lang w:val="en-US"/>
        </w:rPr>
        <w:t>at a period of 1</w:t>
      </w:r>
      <w:r w:rsidR="000F5F86">
        <w:rPr>
          <w:lang w:val="en-US"/>
        </w:rPr>
        <w:t>.0</w:t>
      </w:r>
      <w:r w:rsidR="00E93F07">
        <w:rPr>
          <w:lang w:val="en-US"/>
        </w:rPr>
        <w:t xml:space="preserve"> second, </w:t>
      </w:r>
      <w:r w:rsidR="00B15AC0">
        <w:rPr>
          <w:lang w:val="en-US"/>
        </w:rPr>
        <w:t xml:space="preserve">regressed against the functional form above.  The coefficient </w:t>
      </w:r>
      <w:r w:rsidR="00B15AC0" w:rsidRPr="00332AA7">
        <w:rPr>
          <w:rStyle w:val="Bodytextitalic"/>
        </w:rPr>
        <w:t>g</w:t>
      </w:r>
      <w:r w:rsidR="00B15AC0" w:rsidRPr="002F2AD9">
        <w:rPr>
          <w:vertAlign w:val="subscript"/>
          <w:lang w:val="en-US"/>
        </w:rPr>
        <w:t>0</w:t>
      </w:r>
      <w:r w:rsidR="00B15AC0">
        <w:rPr>
          <w:lang w:val="en-US"/>
        </w:rPr>
        <w:t xml:space="preserve"> controls a magnitude-dependent rollover of response spectral accelerations at short rupture distances.</w:t>
      </w:r>
    </w:p>
    <w:p w:rsidR="00E93F07" w:rsidRDefault="00BD68F6" w:rsidP="00C409B2">
      <w:pPr>
        <w:pStyle w:val="BodyText"/>
        <w:rPr>
          <w:lang w:val="en-US"/>
        </w:rPr>
      </w:pPr>
      <w:r>
        <w:rPr>
          <w:lang w:val="en-US"/>
        </w:rPr>
        <w:t xml:space="preserve">The regression coefficients for both the shallow- and deep-earthquake GMPEs are provided in Tables 7 and 8.  </w:t>
      </w:r>
      <w:r w:rsidR="00E93F07">
        <w:rPr>
          <w:lang w:val="en-US"/>
        </w:rPr>
        <w:t>Sample output data for validation of model application and unit testing purposes is provided in Appendix I.</w:t>
      </w:r>
    </w:p>
    <w:p w:rsidR="00F73F1C" w:rsidRPr="00332AA7" w:rsidRDefault="00551E1A" w:rsidP="00F73F1C">
      <w:pPr>
        <w:pStyle w:val="InlineObject"/>
      </w:pPr>
      <w:r>
        <w:rPr>
          <w:noProof/>
        </w:rPr>
        <w:lastRenderedPageBreak/>
        <w:drawing>
          <wp:inline distT="0" distB="0" distL="0" distR="0">
            <wp:extent cx="3552825" cy="5524500"/>
            <wp:effectExtent l="0" t="0" r="0" b="0"/>
            <wp:docPr id="37" name="Picture 37" descr="onefreq_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nefreq_regressio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552825" cy="5524500"/>
                    </a:xfrm>
                    <a:prstGeom prst="rect">
                      <a:avLst/>
                    </a:prstGeom>
                    <a:noFill/>
                    <a:ln>
                      <a:noFill/>
                    </a:ln>
                  </pic:spPr>
                </pic:pic>
              </a:graphicData>
            </a:graphic>
          </wp:inline>
        </w:drawing>
      </w:r>
    </w:p>
    <w:p w:rsidR="00F73F1C" w:rsidRPr="008818F0" w:rsidRDefault="00F73F1C" w:rsidP="00C73A6D">
      <w:pPr>
        <w:pStyle w:val="Captions"/>
        <w:rPr>
          <w:lang w:val="en-US"/>
        </w:rPr>
      </w:pPr>
      <w:bookmarkStart w:id="134" w:name="_Toc338429329"/>
      <w:r w:rsidRPr="00ED3EA1">
        <w:rPr>
          <w:rStyle w:val="Bodytextbold"/>
        </w:rPr>
        <w:t xml:space="preserve">Figure </w:t>
      </w:r>
      <w:r w:rsidRPr="008818F0">
        <w:rPr>
          <w:b/>
        </w:rPr>
        <w:fldChar w:fldCharType="begin"/>
      </w:r>
      <w:r w:rsidRPr="008818F0">
        <w:rPr>
          <w:b/>
        </w:rPr>
        <w:instrText xml:space="preserve"> SEQ Figure \* ARABIC </w:instrText>
      </w:r>
      <w:r w:rsidRPr="008818F0">
        <w:rPr>
          <w:b/>
        </w:rPr>
        <w:fldChar w:fldCharType="separate"/>
      </w:r>
      <w:r>
        <w:rPr>
          <w:b/>
          <w:noProof/>
        </w:rPr>
        <w:t>15</w:t>
      </w:r>
      <w:r w:rsidRPr="008818F0">
        <w:rPr>
          <w:b/>
        </w:rPr>
        <w:fldChar w:fldCharType="end"/>
      </w:r>
      <w:r w:rsidRPr="00ED3EA1">
        <w:rPr>
          <w:rStyle w:val="Bodytextbold"/>
        </w:rPr>
        <w:t>:</w:t>
      </w:r>
      <w:r>
        <w:t xml:space="preserve">  Simulated 5% damped response spectral acceleration at a period of </w:t>
      </w:r>
      <w:r w:rsidRPr="008818F0">
        <w:rPr>
          <w:lang w:val="en-US"/>
        </w:rPr>
        <w:t>1</w:t>
      </w:r>
      <w:r>
        <w:rPr>
          <w:lang w:val="en-US"/>
        </w:rPr>
        <w:t>.0</w:t>
      </w:r>
      <w:r w:rsidRPr="008818F0">
        <w:rPr>
          <w:lang w:val="en-US"/>
        </w:rPr>
        <w:t xml:space="preserve"> s for the deep-earthquake model (i.e., high Brune stress drop)</w:t>
      </w:r>
      <w:r>
        <w:rPr>
          <w:lang w:val="en-US"/>
        </w:rPr>
        <w:t>.</w:t>
      </w:r>
      <w:r w:rsidRPr="008818F0">
        <w:rPr>
          <w:lang w:val="en-US"/>
        </w:rPr>
        <w:t xml:space="preserve">   Each subplot shows the parametric form of Equations 18 and 19 (solid black lines) against the simulated data for each magnitude bin from M</w:t>
      </w:r>
      <w:r w:rsidRPr="008818F0">
        <w:rPr>
          <w:vertAlign w:val="subscript"/>
          <w:lang w:val="en-US"/>
        </w:rPr>
        <w:t>W</w:t>
      </w:r>
      <w:r w:rsidRPr="008818F0">
        <w:rPr>
          <w:lang w:val="en-US"/>
        </w:rPr>
        <w:t xml:space="preserve"> 4.0-7.5.  The magnitude is indicated in the top-right corner of each subplot.</w:t>
      </w:r>
      <w:bookmarkEnd w:id="134"/>
    </w:p>
    <w:p w:rsidR="00902F7C" w:rsidRDefault="00832B61" w:rsidP="00C409B2">
      <w:pPr>
        <w:pStyle w:val="BodyText"/>
        <w:rPr>
          <w:lang w:val="en-US"/>
        </w:rPr>
      </w:pPr>
      <w:r>
        <w:rPr>
          <w:lang w:val="en-US"/>
        </w:rPr>
        <w:t>Figure 1</w:t>
      </w:r>
      <w:r w:rsidR="007A1429">
        <w:rPr>
          <w:lang w:val="en-US"/>
        </w:rPr>
        <w:t>6</w:t>
      </w:r>
      <w:r w:rsidR="00B15AC0">
        <w:rPr>
          <w:lang w:val="en-US"/>
        </w:rPr>
        <w:t xml:space="preserve"> shows the residuals of the simulated data a</w:t>
      </w:r>
      <w:smartTag w:uri="urn:schemas-microsoft-com:office:smarttags" w:element="PersonName">
        <w:r w:rsidR="00B15AC0">
          <w:rPr>
            <w:lang w:val="en-US"/>
          </w:rPr>
          <w:t>ga</w:t>
        </w:r>
      </w:smartTag>
      <w:r w:rsidR="00B15AC0">
        <w:rPr>
          <w:lang w:val="en-US"/>
        </w:rPr>
        <w:t xml:space="preserve">inst the regressed GMPE across a range of response spectral frequencies for </w:t>
      </w:r>
      <w:r w:rsidR="00172353" w:rsidRPr="00172353">
        <w:rPr>
          <w:rStyle w:val="Bodytextitalic"/>
        </w:rPr>
        <w:t>M</w:t>
      </w:r>
      <w:r w:rsidR="00172353" w:rsidRPr="00172353">
        <w:rPr>
          <w:rStyle w:val="Subscriptitalic"/>
        </w:rPr>
        <w:t>W</w:t>
      </w:r>
      <w:r w:rsidR="00172353">
        <w:t xml:space="preserve"> </w:t>
      </w:r>
      <w:r w:rsidR="00B15AC0">
        <w:rPr>
          <w:lang w:val="en-US"/>
        </w:rPr>
        <w:t>6.</w:t>
      </w:r>
      <w:r w:rsidR="005D057B">
        <w:rPr>
          <w:lang w:val="en-US"/>
        </w:rPr>
        <w:t>5</w:t>
      </w:r>
      <w:r w:rsidR="00B15AC0">
        <w:rPr>
          <w:lang w:val="en-US"/>
        </w:rPr>
        <w:t xml:space="preserve"> earthquakes.  </w:t>
      </w:r>
      <w:r w:rsidR="007E5230">
        <w:rPr>
          <w:lang w:val="en-US"/>
        </w:rPr>
        <w:t>This figure</w:t>
      </w:r>
      <w:r>
        <w:rPr>
          <w:lang w:val="en-US"/>
        </w:rPr>
        <w:t xml:space="preserve"> </w:t>
      </w:r>
      <w:r w:rsidR="00B15AC0">
        <w:rPr>
          <w:lang w:val="en-US"/>
        </w:rPr>
        <w:t>indicate</w:t>
      </w:r>
      <w:r w:rsidR="007E5230">
        <w:rPr>
          <w:lang w:val="en-US"/>
        </w:rPr>
        <w:t>s that</w:t>
      </w:r>
      <w:r w:rsidR="00B15AC0">
        <w:rPr>
          <w:lang w:val="en-US"/>
        </w:rPr>
        <w:t xml:space="preserve"> the chosen functional form has a very good correspondence to the simulated data.  Finally, median response spectra are compared for the shallow- and deep-earthquake GMPEs for scenario </w:t>
      </w:r>
      <w:r w:rsidR="000E2541">
        <w:rPr>
          <w:lang w:val="en-US"/>
        </w:rPr>
        <w:t xml:space="preserve">earthquakes of </w:t>
      </w:r>
      <w:r w:rsidR="00172353" w:rsidRPr="00172353">
        <w:rPr>
          <w:rStyle w:val="Bodytextitalic"/>
        </w:rPr>
        <w:t>M</w:t>
      </w:r>
      <w:r w:rsidR="00172353" w:rsidRPr="00172353">
        <w:rPr>
          <w:rStyle w:val="Subscriptitalic"/>
        </w:rPr>
        <w:t>W</w:t>
      </w:r>
      <w:r w:rsidR="00172353">
        <w:t> </w:t>
      </w:r>
      <w:r w:rsidR="000E2541">
        <w:rPr>
          <w:lang w:val="en-US"/>
        </w:rPr>
        <w:t xml:space="preserve">5.0, </w:t>
      </w:r>
      <w:r w:rsidR="00B15AC0">
        <w:rPr>
          <w:lang w:val="en-US"/>
        </w:rPr>
        <w:t>6.0</w:t>
      </w:r>
      <w:r w:rsidR="000E2541">
        <w:rPr>
          <w:lang w:val="en-US"/>
        </w:rPr>
        <w:t xml:space="preserve">, and 7.0 </w:t>
      </w:r>
      <w:r w:rsidR="00B15AC0">
        <w:rPr>
          <w:lang w:val="en-US"/>
        </w:rPr>
        <w:t>at a range of rupture distances (Fig</w:t>
      </w:r>
      <w:r w:rsidR="000C00DA">
        <w:rPr>
          <w:lang w:val="en-US"/>
        </w:rPr>
        <w:t>s</w:t>
      </w:r>
      <w:r w:rsidR="00B15AC0">
        <w:rPr>
          <w:lang w:val="en-US"/>
        </w:rPr>
        <w:t xml:space="preserve">. </w:t>
      </w:r>
      <w:r>
        <w:rPr>
          <w:lang w:val="en-US"/>
        </w:rPr>
        <w:t>1</w:t>
      </w:r>
      <w:r w:rsidR="007A1429">
        <w:rPr>
          <w:lang w:val="en-US"/>
        </w:rPr>
        <w:t>7</w:t>
      </w:r>
      <w:r w:rsidR="000E2541">
        <w:rPr>
          <w:lang w:val="en-US"/>
        </w:rPr>
        <w:t>-1</w:t>
      </w:r>
      <w:r w:rsidR="007A1429">
        <w:rPr>
          <w:lang w:val="en-US"/>
        </w:rPr>
        <w:t>9</w:t>
      </w:r>
      <w:r w:rsidR="00B15AC0">
        <w:rPr>
          <w:lang w:val="en-US"/>
        </w:rPr>
        <w:t>).  Also shown in</w:t>
      </w:r>
      <w:r w:rsidR="00F9645B">
        <w:rPr>
          <w:lang w:val="en-US"/>
        </w:rPr>
        <w:t xml:space="preserve"> the series of </w:t>
      </w:r>
      <w:r w:rsidR="00B15AC0">
        <w:rPr>
          <w:lang w:val="en-US"/>
        </w:rPr>
        <w:t>Figure</w:t>
      </w:r>
      <w:r w:rsidR="00F9645B">
        <w:rPr>
          <w:lang w:val="en-US"/>
        </w:rPr>
        <w:t>s</w:t>
      </w:r>
      <w:r w:rsidR="00172353">
        <w:rPr>
          <w:lang w:val="en-US"/>
        </w:rPr>
        <w:t> </w:t>
      </w:r>
      <w:r w:rsidR="000C00DA">
        <w:rPr>
          <w:lang w:val="en-US"/>
        </w:rPr>
        <w:t xml:space="preserve">17 </w:t>
      </w:r>
      <w:r w:rsidR="00F9645B">
        <w:rPr>
          <w:lang w:val="en-US"/>
        </w:rPr>
        <w:t xml:space="preserve">through </w:t>
      </w:r>
      <w:r w:rsidR="000C00DA">
        <w:rPr>
          <w:lang w:val="en-US"/>
        </w:rPr>
        <w:t xml:space="preserve">19 </w:t>
      </w:r>
      <w:r w:rsidR="00B15AC0">
        <w:rPr>
          <w:lang w:val="en-US"/>
        </w:rPr>
        <w:t xml:space="preserve">is the </w:t>
      </w:r>
      <w:r w:rsidR="00E14326">
        <w:rPr>
          <w:lang w:val="en-US"/>
        </w:rPr>
        <w:t xml:space="preserve">Atkinson and Boore (1995) GMPE for ENA rock sites, Atkinson and Boore (2006) GMPE for ENA B/C crustal conditions, Chiou and Youngs (2008) for active California B/C crustal conditions, the Somerville et al. </w:t>
      </w:r>
      <w:r w:rsidR="00E14326">
        <w:rPr>
          <w:lang w:val="en-US"/>
        </w:rPr>
        <w:fldChar w:fldCharType="begin"/>
      </w:r>
      <w:r w:rsidR="00F202D0">
        <w:rPr>
          <w:lang w:val="en-US"/>
        </w:rPr>
        <w:instrText xml:space="preserve"> ADDIN EN.CITE &lt;EndNote&gt;&lt;Cite ExcludeAuth="1"&gt;&lt;Author&gt;Somerville&lt;/Author&gt;&lt;Year&gt;2009&lt;/Year&gt;&lt;RecNum&gt;772&lt;/RecNum&gt;&lt;record&gt;&lt;rec-number&gt;772&lt;/rec-number&gt;&lt;foreign-keys&gt;&lt;key app="EN" db-id="se5z02d5txder3eax2p5wz5j59zvz2tdzdd2"&gt;772&lt;/key&gt;&lt;/foreign-keys&gt;&lt;ref-type name="Conference Paper"&gt;47&lt;/ref-type&gt;&lt;contributors&gt;&lt;authors&gt;&lt;author&gt;Somerville, P.&lt;/author&gt;&lt;author&gt;Graves, R.&lt;/author&gt;&lt;author&gt;Collins, N.&lt;/author&gt;&lt;author&gt;Song, S.-G.&lt;/author&gt;&lt;author&gt;Ni, S.&lt;/author&gt;&lt;author&gt;Cummins, P.&lt;/author&gt;&lt;/authors&gt;&lt;/contributors&gt;&lt;titles&gt;&lt;title&gt;Source and ground motion models for Australian earthquakes&lt;/title&gt;&lt;secondary-title&gt;The Australian Earthquake Engineering Society Conference&lt;/secondary-title&gt;&lt;/titles&gt;&lt;keywords&gt;&lt;keyword&gt;GMPE, Australia, source&lt;/keyword&gt;&lt;/keywords&gt;&lt;dates&gt;&lt;year&gt;2009&lt;/year&gt;&lt;/dates&gt;&lt;pub-location&gt;Newcastle&lt;/pub-location&gt;&lt;publisher&gt;The Australian Earthquake Engineering Society&lt;/publisher&gt;&lt;urls&gt;&lt;pdf-urls&gt;&lt;url&gt;internal-pdf://Somerville_et_al.(2009).Aus.GEMPs-3187345198/Somerville_et_al.(2009).Aus.GEMPs.pdf&lt;/url&gt;&lt;/pdf-urls&gt;&lt;/urls&gt;&lt;/record&gt;&lt;/Cite&gt;&lt;/EndNote&gt;</w:instrText>
      </w:r>
      <w:r w:rsidR="00E14326">
        <w:rPr>
          <w:lang w:val="en-US"/>
        </w:rPr>
        <w:fldChar w:fldCharType="separate"/>
      </w:r>
      <w:r w:rsidR="00E14326">
        <w:rPr>
          <w:noProof/>
          <w:lang w:val="en-US"/>
        </w:rPr>
        <w:t>(2009)</w:t>
      </w:r>
      <w:r w:rsidR="00E14326">
        <w:rPr>
          <w:lang w:val="en-US"/>
        </w:rPr>
        <w:fldChar w:fldCharType="end"/>
      </w:r>
      <w:r w:rsidR="00E14326">
        <w:rPr>
          <w:lang w:val="en-US"/>
        </w:rPr>
        <w:t xml:space="preserve"> for non-cratonic Australia, and Pezeshk et al. (2011) for rock sites</w:t>
      </w:r>
      <w:r w:rsidR="00F9645B">
        <w:rPr>
          <w:lang w:val="en-US"/>
        </w:rPr>
        <w:t>.  These</w:t>
      </w:r>
      <w:r w:rsidR="00B15AC0">
        <w:rPr>
          <w:lang w:val="en-US"/>
        </w:rPr>
        <w:t xml:space="preserve"> figure</w:t>
      </w:r>
      <w:r w:rsidR="00F9645B">
        <w:rPr>
          <w:lang w:val="en-US"/>
        </w:rPr>
        <w:t>s clearly demonstrate</w:t>
      </w:r>
      <w:r w:rsidR="00B15AC0">
        <w:rPr>
          <w:lang w:val="en-US"/>
        </w:rPr>
        <w:t xml:space="preserve"> the influence of the Brune stress drop to the stochastic simulations with the deep-earthquake model resulting in larger </w:t>
      </w:r>
      <w:r w:rsidR="00970840">
        <w:rPr>
          <w:lang w:val="en-US"/>
        </w:rPr>
        <w:t>short-period</w:t>
      </w:r>
      <w:r w:rsidR="00B15AC0">
        <w:rPr>
          <w:lang w:val="en-US"/>
        </w:rPr>
        <w:t xml:space="preserve"> ground-motions than the shallow-earthquake model.  At near-source rupture distances, the Atkinson and Boore (2006) GMPE behaves similarly to the SEA models at longer periods.  This is most likely to be due to the use of a similar geometrical attenuation model at near-source distances.  </w:t>
      </w:r>
    </w:p>
    <w:p w:rsidR="00B15AC0" w:rsidRDefault="00902F7C" w:rsidP="00C409B2">
      <w:pPr>
        <w:pStyle w:val="BodyText"/>
        <w:rPr>
          <w:lang w:val="en-US"/>
        </w:rPr>
      </w:pPr>
      <w:r>
        <w:rPr>
          <w:lang w:val="en-US"/>
        </w:rPr>
        <w:lastRenderedPageBreak/>
        <w:t xml:space="preserve">The GMPEs </w:t>
      </w:r>
      <w:r w:rsidR="00853B47">
        <w:rPr>
          <w:lang w:val="en-US"/>
        </w:rPr>
        <w:t>developed in this study</w:t>
      </w:r>
      <w:r>
        <w:rPr>
          <w:lang w:val="en-US"/>
        </w:rPr>
        <w:t xml:space="preserve"> are observed to predict higher near-source ground motions relative to the Somerville</w:t>
      </w:r>
      <w:r w:rsidRPr="00332AA7">
        <w:rPr>
          <w:rStyle w:val="Bodytextitalic"/>
        </w:rPr>
        <w:t xml:space="preserve"> et al.</w:t>
      </w:r>
      <w:r>
        <w:rPr>
          <w:lang w:val="en-US"/>
        </w:rPr>
        <w:fldChar w:fldCharType="begin"/>
      </w:r>
      <w:r w:rsidR="00F202D0">
        <w:rPr>
          <w:lang w:val="en-US"/>
        </w:rPr>
        <w:instrText xml:space="preserve"> ADDIN EN.CITE &lt;EndNote&gt;&lt;Cite ExcludeAuth="1"&gt;&lt;Author&gt;Somerville&lt;/Author&gt;&lt;Year&gt;2009&lt;/Year&gt;&lt;RecNum&gt;772&lt;/RecNum&gt;&lt;record&gt;&lt;rec-number&gt;772&lt;/rec-number&gt;&lt;foreign-keys&gt;&lt;key app="EN" db-id="se5z02d5txder3eax2p5wz5j59zvz2tdzdd2"&gt;772&lt;/key&gt;&lt;/foreign-keys&gt;&lt;ref-type name="Conference Paper"&gt;47&lt;/ref-type&gt;&lt;contributors&gt;&lt;authors&gt;&lt;author&gt;Somerville, P.&lt;/author&gt;&lt;author&gt;Graves, R.&lt;/author&gt;&lt;author&gt;Collins, N.&lt;/author&gt;&lt;author&gt;Song, S.-G.&lt;/author&gt;&lt;author&gt;Ni, S.&lt;/author&gt;&lt;author&gt;Cummins, P.&lt;/author&gt;&lt;/authors&gt;&lt;/contributors&gt;&lt;titles&gt;&lt;title&gt;Source and ground motion models for Australian earthquakes&lt;/title&gt;&lt;secondary-title&gt;The Australian Earthquake Engineering Society Conference&lt;/secondary-title&gt;&lt;/titles&gt;&lt;keywords&gt;&lt;keyword&gt;GMPE, Australia, source&lt;/keyword&gt;&lt;/keywords&gt;&lt;dates&gt;&lt;year&gt;2009&lt;/year&gt;&lt;/dates&gt;&lt;pub-location&gt;Newcastle&lt;/pub-location&gt;&lt;publisher&gt;The Australian Earthquake Engineering Society&lt;/publisher&gt;&lt;urls&gt;&lt;pdf-urls&gt;&lt;url&gt;internal-pdf://Somerville_et_al.(2009).Aus.GEMPs-3187345198/Somerville_et_al.(2009).Aus.GEMPs.pdf&lt;/url&gt;&lt;/pdf-urls&gt;&lt;/urls&gt;&lt;/record&gt;&lt;/Cite&gt;&lt;/EndNote&gt;</w:instrText>
      </w:r>
      <w:r>
        <w:rPr>
          <w:lang w:val="en-US"/>
        </w:rPr>
        <w:fldChar w:fldCharType="separate"/>
      </w:r>
      <w:r>
        <w:rPr>
          <w:lang w:val="en-US"/>
        </w:rPr>
        <w:t>(2009)</w:t>
      </w:r>
      <w:r>
        <w:rPr>
          <w:lang w:val="en-US"/>
        </w:rPr>
        <w:fldChar w:fldCharType="end"/>
      </w:r>
      <w:r>
        <w:rPr>
          <w:lang w:val="en-US"/>
        </w:rPr>
        <w:t xml:space="preserve"> non-cratonic GMPE, particularly shorter periods (Figs. 20-21).  However, because of the use of higher geometrical attenuation rates from the</w:t>
      </w:r>
      <w:r w:rsidR="006D50EF">
        <w:rPr>
          <w:lang w:val="en-US"/>
        </w:rPr>
        <w:t xml:space="preserve"> new SEA</w:t>
      </w:r>
      <w:r>
        <w:rPr>
          <w:lang w:val="en-US"/>
        </w:rPr>
        <w:t xml:space="preserve"> GMPEs, there is a transition to higher ground motions at most periods between </w:t>
      </w:r>
      <w:r w:rsidR="00D75B94">
        <w:rPr>
          <w:lang w:val="en-US"/>
        </w:rPr>
        <w:t>approximately 2</w:t>
      </w:r>
      <w:r>
        <w:rPr>
          <w:lang w:val="en-US"/>
        </w:rPr>
        <w:t>0-</w:t>
      </w:r>
      <w:r w:rsidR="00D75B94">
        <w:rPr>
          <w:lang w:val="en-US"/>
        </w:rPr>
        <w:t>5</w:t>
      </w:r>
      <w:r>
        <w:rPr>
          <w:lang w:val="en-US"/>
        </w:rPr>
        <w:t>0</w:t>
      </w:r>
      <w:r w:rsidR="006D50EF">
        <w:rPr>
          <w:lang w:val="en-US"/>
        </w:rPr>
        <w:t> </w:t>
      </w:r>
      <w:r>
        <w:rPr>
          <w:lang w:val="en-US"/>
        </w:rPr>
        <w:t>km using Somerville</w:t>
      </w:r>
      <w:r w:rsidRPr="00332AA7">
        <w:rPr>
          <w:rStyle w:val="Bodytextitalic"/>
        </w:rPr>
        <w:t xml:space="preserve"> et al.</w:t>
      </w:r>
      <w:r>
        <w:rPr>
          <w:lang w:val="en-US"/>
        </w:rPr>
        <w:fldChar w:fldCharType="begin"/>
      </w:r>
      <w:r w:rsidR="00F202D0">
        <w:rPr>
          <w:lang w:val="en-US"/>
        </w:rPr>
        <w:instrText xml:space="preserve"> ADDIN EN.CITE &lt;EndNote&gt;&lt;Cite ExcludeAuth="1"&gt;&lt;Author&gt;Somerville&lt;/Author&gt;&lt;Year&gt;2009&lt;/Year&gt;&lt;RecNum&gt;772&lt;/RecNum&gt;&lt;record&gt;&lt;rec-number&gt;772&lt;/rec-number&gt;&lt;foreign-keys&gt;&lt;key app="EN" db-id="se5z02d5txder3eax2p5wz5j59zvz2tdzdd2"&gt;772&lt;/key&gt;&lt;/foreign-keys&gt;&lt;ref-type name="Conference Paper"&gt;47&lt;/ref-type&gt;&lt;contributors&gt;&lt;authors&gt;&lt;author&gt;Somerville, P.&lt;/author&gt;&lt;author&gt;Graves, R.&lt;/author&gt;&lt;author&gt;Collins, N.&lt;/author&gt;&lt;author&gt;Song, S.-G.&lt;/author&gt;&lt;author&gt;Ni, S.&lt;/author&gt;&lt;author&gt;Cummins, P.&lt;/author&gt;&lt;/authors&gt;&lt;/contributors&gt;&lt;titles&gt;&lt;title&gt;Source and ground motion models for Australian earthquakes&lt;/title&gt;&lt;secondary-title&gt;The Australian Earthquake Engineering Society Conference&lt;/secondary-title&gt;&lt;/titles&gt;&lt;keywords&gt;&lt;keyword&gt;GMPE, Australia, source&lt;/keyword&gt;&lt;/keywords&gt;&lt;dates&gt;&lt;year&gt;2009&lt;/year&gt;&lt;/dates&gt;&lt;pub-location&gt;Newcastle&lt;/pub-location&gt;&lt;publisher&gt;The Australian Earthquake Engineering Society&lt;/publisher&gt;&lt;urls&gt;&lt;pdf-urls&gt;&lt;url&gt;internal-pdf://Somerville_et_al.(2009).Aus.GEMPs-3187345198/Somerville_et_al.(2009).Aus.GEMPs.pdf&lt;/url&gt;&lt;/pdf-urls&gt;&lt;/urls&gt;&lt;/record&gt;&lt;/Cite&gt;&lt;/EndNote&gt;</w:instrText>
      </w:r>
      <w:r>
        <w:rPr>
          <w:lang w:val="en-US"/>
        </w:rPr>
        <w:fldChar w:fldCharType="separate"/>
      </w:r>
      <w:r>
        <w:rPr>
          <w:lang w:val="en-US"/>
        </w:rPr>
        <w:t>(2009)</w:t>
      </w:r>
      <w:r>
        <w:rPr>
          <w:lang w:val="en-US"/>
        </w:rPr>
        <w:fldChar w:fldCharType="end"/>
      </w:r>
      <w:r>
        <w:rPr>
          <w:lang w:val="en-US"/>
        </w:rPr>
        <w:t xml:space="preserve">. </w:t>
      </w:r>
      <w:r w:rsidR="00B15AC0">
        <w:rPr>
          <w:lang w:val="en-US"/>
        </w:rPr>
        <w:t xml:space="preserve">At </w:t>
      </w:r>
      <w:r w:rsidR="00F9645B">
        <w:rPr>
          <w:lang w:val="en-US"/>
        </w:rPr>
        <w:t>a rupture distance of 200 km</w:t>
      </w:r>
      <w:r w:rsidR="00B15AC0">
        <w:rPr>
          <w:lang w:val="en-US"/>
        </w:rPr>
        <w:t xml:space="preserve">, the Atkinson and Boore (2006) GMPE </w:t>
      </w:r>
      <w:r w:rsidR="00F9645B">
        <w:rPr>
          <w:lang w:val="en-US"/>
        </w:rPr>
        <w:t>long-period ground motions are similar</w:t>
      </w:r>
      <w:r w:rsidR="00FF0F33">
        <w:rPr>
          <w:lang w:val="en-US"/>
        </w:rPr>
        <w:t xml:space="preserve"> to those of the GMPEs developed herein</w:t>
      </w:r>
      <w:r w:rsidR="00F9645B">
        <w:rPr>
          <w:lang w:val="en-US"/>
        </w:rPr>
        <w:t xml:space="preserve">.  However, at distances beyond 200km, the differences between long-period ground motions become more obvious and the Atkinson and Boore (2006) GMPE </w:t>
      </w:r>
      <w:r w:rsidR="00B15AC0">
        <w:rPr>
          <w:lang w:val="en-US"/>
        </w:rPr>
        <w:t xml:space="preserve">estimates higher response spectra across all periods of shaking because of the </w:t>
      </w:r>
      <w:r w:rsidR="00FF0F33">
        <w:rPr>
          <w:lang w:val="en-US"/>
        </w:rPr>
        <w:t xml:space="preserve">assumption </w:t>
      </w:r>
      <w:r w:rsidR="00B15AC0">
        <w:rPr>
          <w:lang w:val="en-US"/>
        </w:rPr>
        <w:t>of lower geometrical attenuation at larger distances</w:t>
      </w:r>
      <w:r w:rsidR="003B3096">
        <w:rPr>
          <w:lang w:val="en-US"/>
        </w:rPr>
        <w:t xml:space="preserve"> (Figs. 20-21)</w:t>
      </w:r>
      <w:r w:rsidR="00B15AC0">
        <w:rPr>
          <w:lang w:val="en-US"/>
        </w:rPr>
        <w:t xml:space="preserve">.  This trend is consistent with empirical observations of average ground-motion attenuation observed between the ENA and SEA stable continental regions </w:t>
      </w:r>
      <w:r w:rsidR="00B15AC0">
        <w:rPr>
          <w:lang w:val="en-US"/>
        </w:rPr>
        <w:fldChar w:fldCharType="begin"/>
      </w:r>
      <w:r w:rsidR="00F202D0">
        <w:rPr>
          <w:lang w:val="en-US"/>
        </w:rPr>
        <w:instrText xml:space="preserve"> ADDIN EN.CITE &lt;EndNote&gt;&lt;Cite&gt;&lt;Author&gt;Allen&lt;/Author&gt;&lt;Year&gt;2007&lt;/Year&gt;&lt;RecNum&gt;323&lt;/RecNum&gt;&lt;record&gt;&lt;rec-number&gt;323&lt;/rec-number&gt;&lt;foreign-keys&gt;&lt;key app="EN" db-id="se5z02d5txder3eax2p5wz5j59zvz2tdzdd2"&gt;323&lt;/key&gt;&lt;/foreign-keys&gt;&lt;ref-type name="Journal Article"&gt;17&lt;/ref-type&gt;&lt;contributors&gt;&lt;authors&gt;&lt;author&gt;Allen, T. I.&lt;/author&gt;&lt;author&gt;Atkinson, G. M.&lt;/author&gt;&lt;/authors&gt;&lt;/contributors&gt;&lt;titles&gt;&lt;title&gt;Comparison of earthquake source spectra and attenuation in eastern North America and southeastern Australia&lt;/title&gt;&lt;secondary-title&gt;Bull. Seism. Soc. Am.&lt;/secondary-title&gt;&lt;/titles&gt;&lt;periodical&gt;&lt;full-title&gt;Bull. Seism. Soc. Am.&lt;/full-title&gt;&lt;/periodical&gt;&lt;pages&gt;1350–1354&lt;/pages&gt;&lt;volume&gt;97&lt;/volume&gt;&lt;number&gt;4&lt;/number&gt;&lt;keywords&gt;&lt;keyword&gt;Australia, ENA, ground motion, attenuation&lt;/keyword&gt;&lt;/keywords&gt;&lt;dates&gt;&lt;year&gt;2007&lt;/year&gt;&lt;/dates&gt;&lt;urls&gt;&lt;pdf-urls&gt;&lt;url&gt;internal-pdf://Allen&amp;amp;Atkinson.2007.ENA&amp;amp;SEA.cmp-0816749349/Allen&amp;amp;Atkinson.2007.ENA&amp;amp;SEA.cmp.pdf&lt;/url&gt;&lt;/pdf-urls&gt;&lt;/urls&gt;&lt;/record&gt;&lt;/Cite&gt;&lt;/EndNote&gt;</w:instrText>
      </w:r>
      <w:r w:rsidR="00B15AC0">
        <w:rPr>
          <w:lang w:val="en-US"/>
        </w:rPr>
        <w:fldChar w:fldCharType="separate"/>
      </w:r>
      <w:r w:rsidR="00B15AC0">
        <w:rPr>
          <w:noProof/>
          <w:lang w:val="en-US"/>
        </w:rPr>
        <w:t>(Allen and Atkinson, 2007)</w:t>
      </w:r>
      <w:r w:rsidR="00B15AC0">
        <w:rPr>
          <w:lang w:val="en-US"/>
        </w:rPr>
        <w:fldChar w:fldCharType="end"/>
      </w:r>
      <w:r w:rsidR="00B15AC0">
        <w:rPr>
          <w:lang w:val="en-US"/>
        </w:rPr>
        <w:t>.</w:t>
      </w:r>
    </w:p>
    <w:p w:rsidR="0060022E" w:rsidRDefault="00C6648D" w:rsidP="0060022E">
      <w:pPr>
        <w:pStyle w:val="BodyText"/>
        <w:rPr>
          <w:lang w:val="en-US"/>
        </w:rPr>
      </w:pPr>
      <w:r>
        <w:rPr>
          <w:lang w:val="en-US"/>
        </w:rPr>
        <w:t>The GMPEs developed here</w:t>
      </w:r>
      <w:r w:rsidR="00435A3E">
        <w:rPr>
          <w:lang w:val="en-US"/>
        </w:rPr>
        <w:t>in</w:t>
      </w:r>
      <w:r>
        <w:rPr>
          <w:lang w:val="en-US"/>
        </w:rPr>
        <w:t xml:space="preserve"> are also broadly consistent with the Chiou and Youngs </w:t>
      </w:r>
      <w:r>
        <w:rPr>
          <w:lang w:val="en-US"/>
        </w:rPr>
        <w:fldChar w:fldCharType="begin"/>
      </w:r>
      <w:r w:rsidR="00F202D0">
        <w:rPr>
          <w:lang w:val="en-US"/>
        </w:rPr>
        <w:instrText xml:space="preserve"> ADDIN EN.CITE &lt;EndNote&gt;&lt;Cite ExcludeAuth="1"&gt;&lt;Author&gt;Chiou&lt;/Author&gt;&lt;Year&gt;2008&lt;/Year&gt;&lt;RecNum&gt;395&lt;/RecNum&gt;&lt;record&gt;&lt;rec-number&gt;395&lt;/rec-number&gt;&lt;foreign-keys&gt;&lt;key app="EN" db-id="se5z02d5txder3eax2p5wz5j59zvz2tdzdd2"&gt;395&lt;/key&gt;&lt;/foreign-keys&gt;&lt;ref-type name="Journal Article"&gt;17&lt;/ref-type&gt;&lt;contributors&gt;&lt;authors&gt;&lt;author&gt;Chiou, B. S.-J.&lt;/author&gt;&lt;author&gt;Youngs, R. R.&lt;/author&gt;&lt;/authors&gt;&lt;/contributors&gt;&lt;titles&gt;&lt;title&gt;An NGA model for the average horizontal component of peak ground motion and response spectra&lt;/title&gt;&lt;secondary-title&gt;Earthq. Spectra&lt;/secondary-title&gt;&lt;/titles&gt;&lt;periodical&gt;&lt;full-title&gt;Earthq. Spectra&lt;/full-title&gt;&lt;/periodical&gt;&lt;pages&gt;173–215&lt;/pages&gt;&lt;volume&gt;24&lt;/volume&gt;&lt;number&gt;1&lt;/number&gt;&lt;keywords&gt;&lt;keyword&gt;NGA, California, GMPE, ground motion&lt;/keyword&gt;&lt;/keywords&gt;&lt;dates&gt;&lt;year&gt;2008&lt;/year&gt;&lt;/dates&gt;&lt;urls&gt;&lt;pdf-urls&gt;&lt;url&gt;internal-pdf://Chiou &amp;amp; Youngs (2008) NGA-2649968661/Chiou &amp;amp; Youngs (2008) NGA.pdf&lt;/url&gt;&lt;/pdf-urls&gt;&lt;/urls&gt;&lt;/record&gt;&lt;/Cite&gt;&lt;/EndNote&gt;</w:instrText>
      </w:r>
      <w:r>
        <w:rPr>
          <w:lang w:val="en-US"/>
        </w:rPr>
        <w:fldChar w:fldCharType="separate"/>
      </w:r>
      <w:r>
        <w:rPr>
          <w:lang w:val="en-US"/>
        </w:rPr>
        <w:t>(2008)</w:t>
      </w:r>
      <w:r>
        <w:rPr>
          <w:lang w:val="en-US"/>
        </w:rPr>
        <w:fldChar w:fldCharType="end"/>
      </w:r>
      <w:r>
        <w:rPr>
          <w:lang w:val="en-US"/>
        </w:rPr>
        <w:t xml:space="preserve"> </w:t>
      </w:r>
      <w:r w:rsidR="00435A3E">
        <w:rPr>
          <w:lang w:val="en-US"/>
        </w:rPr>
        <w:t xml:space="preserve">GMPE </w:t>
      </w:r>
      <w:r>
        <w:rPr>
          <w:lang w:val="en-US"/>
        </w:rPr>
        <w:t xml:space="preserve">developed for California as part of the Next Generation Attenuation </w:t>
      </w:r>
      <w:r w:rsidR="00A03AFA">
        <w:rPr>
          <w:lang w:val="en-US"/>
        </w:rPr>
        <w:t xml:space="preserve">(NGA) </w:t>
      </w:r>
      <w:r>
        <w:rPr>
          <w:lang w:val="en-US"/>
        </w:rPr>
        <w:t xml:space="preserve">Project </w:t>
      </w:r>
      <w:r>
        <w:rPr>
          <w:lang w:val="en-US"/>
        </w:rPr>
        <w:fldChar w:fldCharType="begin"/>
      </w:r>
      <w:r w:rsidR="00F202D0">
        <w:rPr>
          <w:lang w:val="en-US"/>
        </w:rPr>
        <w:instrText xml:space="preserve"> ADDIN EN.CITE &lt;EndNote&gt;&lt;Cite&gt;&lt;Author&gt;Power&lt;/Author&gt;&lt;Year&gt;2008&lt;/Year&gt;&lt;RecNum&gt;479&lt;/RecNum&gt;&lt;record&gt;&lt;rec-number&gt;479&lt;/rec-number&gt;&lt;foreign-keys&gt;&lt;key app="EN" db-id="se5z02d5txder3eax2p5wz5j59zvz2tdzdd2"&gt;479&lt;/key&gt;&lt;/foreign-keys&gt;&lt;ref-type name="Journal Article"&gt;17&lt;/ref-type&gt;&lt;contributors&gt;&lt;authors&gt;&lt;author&gt;Power, M.&lt;/author&gt;&lt;author&gt;Chiou, B.&lt;/author&gt;&lt;author&gt;Abrahamson, N.&lt;/author&gt;&lt;author&gt;Bozorgnia, Y.&lt;/author&gt;&lt;author&gt;Shantz, T.&lt;/author&gt;&lt;author&gt;Roblee, C.&lt;/author&gt;&lt;/authors&gt;&lt;/contributors&gt;&lt;titles&gt;&lt;title&gt;An overview of the NGA project&lt;/title&gt;&lt;secondary-title&gt;Earthq. Spectra&lt;/secondary-title&gt;&lt;/titles&gt;&lt;periodical&gt;&lt;full-title&gt;Earthq. Spectra&lt;/full-title&gt;&lt;/periodical&gt;&lt;pages&gt;3–21&lt;/pages&gt;&lt;volume&gt;24&lt;/volume&gt;&lt;number&gt;1&lt;/number&gt;&lt;keywords&gt;&lt;keyword&gt;NGA, California, GMPE, ground motion&lt;/keyword&gt;&lt;/keywords&gt;&lt;dates&gt;&lt;year&gt;2008&lt;/year&gt;&lt;/dates&gt;&lt;urls&gt;&lt;pdf-urls&gt;&lt;url&gt;internal-pdf://Power et al (2008) NGA Overview-2418284288/Power et al (2008) NGA Overview.pdf&lt;/url&gt;&lt;/pdf-urls&gt;&lt;/urls&gt;&lt;/record&gt;&lt;/Cite&gt;&lt;/EndNote&gt;</w:instrText>
      </w:r>
      <w:r>
        <w:rPr>
          <w:lang w:val="en-US"/>
        </w:rPr>
        <w:fldChar w:fldCharType="separate"/>
      </w:r>
      <w:r>
        <w:rPr>
          <w:lang w:val="en-US"/>
        </w:rPr>
        <w:t>(Power</w:t>
      </w:r>
      <w:r w:rsidRPr="00C6648D">
        <w:rPr>
          <w:i/>
          <w:lang w:val="en-US"/>
        </w:rPr>
        <w:t xml:space="preserve"> et al.</w:t>
      </w:r>
      <w:r>
        <w:rPr>
          <w:lang w:val="en-US"/>
        </w:rPr>
        <w:t>, 2008)</w:t>
      </w:r>
      <w:r>
        <w:rPr>
          <w:lang w:val="en-US"/>
        </w:rPr>
        <w:fldChar w:fldCharType="end"/>
      </w:r>
      <w:r>
        <w:rPr>
          <w:lang w:val="en-US"/>
        </w:rPr>
        <w:t xml:space="preserve">, particularly for magnitudes approximately </w:t>
      </w:r>
      <w:r w:rsidR="00172353" w:rsidRPr="00172353">
        <w:rPr>
          <w:rStyle w:val="Bodytextitalic"/>
        </w:rPr>
        <w:t>M</w:t>
      </w:r>
      <w:r w:rsidR="00172353" w:rsidRPr="00172353">
        <w:rPr>
          <w:rStyle w:val="Subscriptitalic"/>
        </w:rPr>
        <w:t>W</w:t>
      </w:r>
      <w:r w:rsidR="00172353">
        <w:t xml:space="preserve"> </w:t>
      </w:r>
      <w:r>
        <w:rPr>
          <w:lang w:val="en-US"/>
        </w:rPr>
        <w:sym w:font="Symbol" w:char="F0B3"/>
      </w:r>
      <w:r>
        <w:rPr>
          <w:lang w:val="en-US"/>
        </w:rPr>
        <w:t xml:space="preserve"> 6.0 at distances less than 100 km.  This indicates that the magnitude scaling of the stochastic models developed herein are consistent with the purely empirical models of Chiou and Youngs </w:t>
      </w:r>
      <w:r>
        <w:rPr>
          <w:lang w:val="en-US"/>
        </w:rPr>
        <w:fldChar w:fldCharType="begin"/>
      </w:r>
      <w:r w:rsidR="00F202D0">
        <w:rPr>
          <w:lang w:val="en-US"/>
        </w:rPr>
        <w:instrText xml:space="preserve"> ADDIN EN.CITE &lt;EndNote&gt;&lt;Cite ExcludeAuth="1"&gt;&lt;Author&gt;Chiou&lt;/Author&gt;&lt;Year&gt;2008&lt;/Year&gt;&lt;RecNum&gt;395&lt;/RecNum&gt;&lt;record&gt;&lt;rec-number&gt;395&lt;/rec-number&gt;&lt;foreign-keys&gt;&lt;key app="EN" db-id="se5z02d5txder3eax2p5wz5j59zvz2tdzdd2"&gt;395&lt;/key&gt;&lt;/foreign-keys&gt;&lt;ref-type name="Journal Article"&gt;17&lt;/ref-type&gt;&lt;contributors&gt;&lt;authors&gt;&lt;author&gt;Chiou, B. S.-J.&lt;/author&gt;&lt;author&gt;Youngs, R. R.&lt;/author&gt;&lt;/authors&gt;&lt;/contributors&gt;&lt;titles&gt;&lt;title&gt;An NGA model for the average horizontal component of peak ground motion and response spectra&lt;/title&gt;&lt;secondary-title&gt;Earthq. Spectra&lt;/secondary-title&gt;&lt;/titles&gt;&lt;periodical&gt;&lt;full-title&gt;Earthq. Spectra&lt;/full-title&gt;&lt;/periodical&gt;&lt;pages&gt;173–215&lt;/pages&gt;&lt;volume&gt;24&lt;/volume&gt;&lt;number&gt;1&lt;/number&gt;&lt;keywords&gt;&lt;keyword&gt;NGA, California, GMPE, ground motion&lt;/keyword&gt;&lt;/keywords&gt;&lt;dates&gt;&lt;year&gt;2008&lt;/year&gt;&lt;/dates&gt;&lt;urls&gt;&lt;pdf-urls&gt;&lt;url&gt;internal-pdf://Chiou &amp;amp; Youngs (2008) NGA-2649968661/Chiou &amp;amp; Youngs (2008) NGA.pdf&lt;/url&gt;&lt;/pdf-urls&gt;&lt;/urls&gt;&lt;/record&gt;&lt;/Cite&gt;&lt;/EndNote&gt;</w:instrText>
      </w:r>
      <w:r>
        <w:rPr>
          <w:lang w:val="en-US"/>
        </w:rPr>
        <w:fldChar w:fldCharType="separate"/>
      </w:r>
      <w:r>
        <w:rPr>
          <w:lang w:val="en-US"/>
        </w:rPr>
        <w:t>(2008)</w:t>
      </w:r>
      <w:r>
        <w:rPr>
          <w:lang w:val="en-US"/>
        </w:rPr>
        <w:fldChar w:fldCharType="end"/>
      </w:r>
      <w:r>
        <w:rPr>
          <w:lang w:val="en-US"/>
        </w:rPr>
        <w:t>.</w:t>
      </w:r>
      <w:r w:rsidR="00A03AFA">
        <w:rPr>
          <w:lang w:val="en-US"/>
        </w:rPr>
        <w:t xml:space="preserve">  At smaller magnitudes, however, the Chiou and Youngs </w:t>
      </w:r>
      <w:r w:rsidR="00A03AFA">
        <w:rPr>
          <w:lang w:val="en-US"/>
        </w:rPr>
        <w:fldChar w:fldCharType="begin"/>
      </w:r>
      <w:r w:rsidR="00F202D0">
        <w:rPr>
          <w:lang w:val="en-US"/>
        </w:rPr>
        <w:instrText xml:space="preserve"> ADDIN EN.CITE &lt;EndNote&gt;&lt;Cite ExcludeAuth="1"&gt;&lt;Author&gt;Chiou&lt;/Author&gt;&lt;Year&gt;2008&lt;/Year&gt;&lt;RecNum&gt;395&lt;/RecNum&gt;&lt;record&gt;&lt;rec-number&gt;395&lt;/rec-number&gt;&lt;foreign-keys&gt;&lt;key app="EN" db-id="se5z02d5txder3eax2p5wz5j59zvz2tdzdd2"&gt;395&lt;/key&gt;&lt;/foreign-keys&gt;&lt;ref-type name="Journal Article"&gt;17&lt;/ref-type&gt;&lt;contributors&gt;&lt;authors&gt;&lt;author&gt;Chiou, B. S.-J.&lt;/author&gt;&lt;author&gt;Youngs, R. R.&lt;/author&gt;&lt;/authors&gt;&lt;/contributors&gt;&lt;titles&gt;&lt;title&gt;An NGA model for the average horizontal component of peak ground motion and response spectra&lt;/title&gt;&lt;secondary-title&gt;Earthq. Spectra&lt;/secondary-title&gt;&lt;/titles&gt;&lt;periodical&gt;&lt;full-title&gt;Earthq. Spectra&lt;/full-title&gt;&lt;/periodical&gt;&lt;pages&gt;173–215&lt;/pages&gt;&lt;volume&gt;24&lt;/volume&gt;&lt;number&gt;1&lt;/number&gt;&lt;keywords&gt;&lt;keyword&gt;NGA, California, GMPE, ground motion&lt;/keyword&gt;&lt;/keywords&gt;&lt;dates&gt;&lt;year&gt;2008&lt;/year&gt;&lt;/dates&gt;&lt;urls&gt;&lt;pdf-urls&gt;&lt;url&gt;internal-pdf://Chiou &amp;amp; Youngs (2008) NGA-2649968661/Chiou &amp;amp; Youngs (2008) NGA.pdf&lt;/url&gt;&lt;/pdf-urls&gt;&lt;/urls&gt;&lt;/record&gt;&lt;/Cite&gt;&lt;/EndNote&gt;</w:instrText>
      </w:r>
      <w:r w:rsidR="00A03AFA">
        <w:rPr>
          <w:lang w:val="en-US"/>
        </w:rPr>
        <w:fldChar w:fldCharType="separate"/>
      </w:r>
      <w:r w:rsidR="00A03AFA">
        <w:rPr>
          <w:lang w:val="en-US"/>
        </w:rPr>
        <w:t>(2008)</w:t>
      </w:r>
      <w:r w:rsidR="00A03AFA">
        <w:rPr>
          <w:lang w:val="en-US"/>
        </w:rPr>
        <w:fldChar w:fldCharType="end"/>
      </w:r>
      <w:r w:rsidR="00A03AFA">
        <w:rPr>
          <w:lang w:val="en-US"/>
        </w:rPr>
        <w:t xml:space="preserve"> </w:t>
      </w:r>
      <w:r w:rsidR="00CE03A4">
        <w:rPr>
          <w:lang w:val="en-US"/>
        </w:rPr>
        <w:t xml:space="preserve">empirical </w:t>
      </w:r>
      <w:r w:rsidR="00A03AFA">
        <w:rPr>
          <w:lang w:val="en-US"/>
        </w:rPr>
        <w:t xml:space="preserve">GMPE estimates larger </w:t>
      </w:r>
      <w:r w:rsidR="004367CC">
        <w:rPr>
          <w:lang w:val="en-US"/>
        </w:rPr>
        <w:t xml:space="preserve">long-period </w:t>
      </w:r>
      <w:r w:rsidR="00A03AFA">
        <w:rPr>
          <w:lang w:val="en-US"/>
        </w:rPr>
        <w:t xml:space="preserve">response spectral acceleration than the southeastern Australian stochastic models.  It is now well acknowledged by the global ground-motion modeling community that the GMPEs developed as part of the NGA Project consistently overestimate ground-motions for earthquakes of approximately </w:t>
      </w:r>
      <w:r w:rsidR="00172353" w:rsidRPr="00172353">
        <w:rPr>
          <w:rStyle w:val="Bodytextitalic"/>
        </w:rPr>
        <w:t>M</w:t>
      </w:r>
      <w:r w:rsidR="00172353" w:rsidRPr="00172353">
        <w:rPr>
          <w:rStyle w:val="Subscriptitalic"/>
        </w:rPr>
        <w:t>W</w:t>
      </w:r>
      <w:r w:rsidR="00172353">
        <w:t xml:space="preserve"> </w:t>
      </w:r>
      <w:r w:rsidR="00A03AFA">
        <w:rPr>
          <w:lang w:val="en-US"/>
        </w:rPr>
        <w:t xml:space="preserve">5.5 and less </w:t>
      </w:r>
      <w:r w:rsidR="00A03AFA">
        <w:rPr>
          <w:lang w:val="en-US"/>
        </w:rPr>
        <w:fldChar w:fldCharType="begin">
          <w:fldData xml:space="preserve">PEVuZE5vdGU+PENpdGU+PEF1dGhvcj5DaGlvdTwvQXV0aG9yPjxZZWFyPjIwMTA8L1llYXI+PFJl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</w:fldData>
        </w:fldChar>
      </w:r>
      <w:r w:rsidR="00F202D0">
        <w:rPr>
          <w:lang w:val="en-US"/>
        </w:rPr>
        <w:instrText xml:space="preserve"> ADDIN EN.CITE </w:instrText>
      </w:r>
      <w:r w:rsidR="00F202D0">
        <w:rPr>
          <w:lang w:val="en-US"/>
        </w:rPr>
        <w:fldChar w:fldCharType="begin">
          <w:fldData xml:space="preserve">PEVuZE5vdGU+PENpdGU+PEF1dGhvcj5DaGlvdTwvQXV0aG9yPjxZZWFyPjIwMTA8L1llYXI+PFJl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</w:fldData>
        </w:fldChar>
      </w:r>
      <w:r w:rsidR="00F202D0">
        <w:rPr>
          <w:lang w:val="en-US"/>
        </w:rPr>
        <w:instrText xml:space="preserve"> ADDIN EN.CITE.DATA </w:instrText>
      </w:r>
      <w:r w:rsidR="00F202D0">
        <w:rPr>
          <w:lang w:val="en-US"/>
        </w:rPr>
      </w:r>
      <w:r w:rsidR="00F202D0">
        <w:rPr>
          <w:lang w:val="en-US"/>
        </w:rPr>
        <w:fldChar w:fldCharType="end"/>
      </w:r>
      <w:r w:rsidR="00A03AFA">
        <w:rPr>
          <w:lang w:val="en-US"/>
        </w:rPr>
      </w:r>
      <w:r w:rsidR="00A03AFA">
        <w:rPr>
          <w:lang w:val="en-US"/>
        </w:rPr>
        <w:fldChar w:fldCharType="separate"/>
      </w:r>
      <w:r w:rsidR="007E5230">
        <w:rPr>
          <w:lang w:val="en-US"/>
        </w:rPr>
        <w:t>(e.g., Atkinson and Morrison, 2009; Chiou</w:t>
      </w:r>
      <w:r w:rsidR="007E5230" w:rsidRPr="007E5230">
        <w:rPr>
          <w:i/>
          <w:lang w:val="en-US"/>
        </w:rPr>
        <w:t xml:space="preserve"> et al.</w:t>
      </w:r>
      <w:r w:rsidR="007E5230">
        <w:rPr>
          <w:lang w:val="en-US"/>
        </w:rPr>
        <w:t>, 2010; Atkinson and Boore, 2011; Campbell, 2011)</w:t>
      </w:r>
      <w:r w:rsidR="00A03AFA">
        <w:rPr>
          <w:lang w:val="en-US"/>
        </w:rPr>
        <w:fldChar w:fldCharType="end"/>
      </w:r>
      <w:r w:rsidR="0060022E">
        <w:rPr>
          <w:lang w:val="en-US"/>
        </w:rPr>
        <w:t xml:space="preserve">.  Consequently, the differences observed between the new southeastern Australian and </w:t>
      </w:r>
      <w:smartTag w:uri="urn:schemas-microsoft-com:office:smarttags" w:element="place">
        <w:smartTag w:uri="urn:schemas-microsoft-com:office:smarttags" w:element="State">
          <w:r w:rsidR="0060022E">
            <w:rPr>
              <w:lang w:val="en-US"/>
            </w:rPr>
            <w:t>California</w:t>
          </w:r>
        </w:smartTag>
      </w:smartTag>
      <w:r w:rsidR="0060022E">
        <w:rPr>
          <w:lang w:val="en-US"/>
        </w:rPr>
        <w:t xml:space="preserve"> models in Figure 17 may simply be an artifact of the empirical modeling process and data </w:t>
      </w:r>
      <w:r w:rsidR="00AA0B7D">
        <w:rPr>
          <w:lang w:val="en-US"/>
        </w:rPr>
        <w:t xml:space="preserve">used </w:t>
      </w:r>
      <w:r w:rsidR="0060022E">
        <w:rPr>
          <w:lang w:val="en-US"/>
        </w:rPr>
        <w:t>by the NGA group modelers</w:t>
      </w:r>
      <w:r w:rsidR="00853B47">
        <w:rPr>
          <w:lang w:val="en-US"/>
        </w:rPr>
        <w:t>.  More research is required to determine whether differences, or similarities, between active tectonic and stable continent data are statistically significant</w:t>
      </w:r>
    </w:p>
    <w:p w:rsidR="00A05115" w:rsidRPr="00ED3EA1" w:rsidRDefault="00551E1A" w:rsidP="00F73F1C">
      <w:pPr>
        <w:pStyle w:val="InlineObject"/>
      </w:pPr>
      <w:r>
        <w:rPr>
          <w:noProof/>
        </w:rPr>
        <w:drawing>
          <wp:inline distT="0" distB="0" distL="0" distR="0">
            <wp:extent cx="4371975" cy="3333750"/>
            <wp:effectExtent l="0" t="0" r="0" b="0"/>
            <wp:docPr id="38" name="Picture 38" descr="M65_res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65_residual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71975" cy="3333750"/>
                    </a:xfrm>
                    <a:prstGeom prst="rect">
                      <a:avLst/>
                    </a:prstGeom>
                    <a:noFill/>
                    <a:ln>
                      <a:noFill/>
                    </a:ln>
                  </pic:spPr>
                </pic:pic>
              </a:graphicData>
            </a:graphic>
          </wp:inline>
        </w:drawing>
      </w:r>
    </w:p>
    <w:p w:rsidR="00A05115" w:rsidRDefault="00A05115" w:rsidP="00FB6EF2">
      <w:pPr>
        <w:pStyle w:val="Captions"/>
        <w:rPr>
          <w:rStyle w:val="Bodytextbold"/>
        </w:rPr>
      </w:pPr>
      <w:bookmarkStart w:id="135" w:name="_Toc338429330"/>
      <w:r w:rsidRPr="00ED3EA1">
        <w:rPr>
          <w:rStyle w:val="Bodytextbold"/>
        </w:rPr>
        <w:t xml:space="preserve">Figure </w:t>
      </w:r>
      <w:r w:rsidRPr="001C3FEE">
        <w:rPr>
          <w:b/>
        </w:rPr>
        <w:fldChar w:fldCharType="begin"/>
      </w:r>
      <w:r w:rsidRPr="001C3FEE">
        <w:rPr>
          <w:b/>
        </w:rPr>
        <w:instrText xml:space="preserve"> SEQ Figure \* ARABIC </w:instrText>
      </w:r>
      <w:r w:rsidRPr="001C3FEE">
        <w:rPr>
          <w:b/>
        </w:rPr>
        <w:fldChar w:fldCharType="separate"/>
      </w:r>
      <w:r w:rsidR="007D4E78">
        <w:rPr>
          <w:b/>
          <w:noProof/>
        </w:rPr>
        <w:t>16</w:t>
      </w:r>
      <w:r w:rsidRPr="001C3FEE">
        <w:rPr>
          <w:b/>
        </w:rPr>
        <w:fldChar w:fldCharType="end"/>
      </w:r>
      <w:r w:rsidRPr="00ED3EA1">
        <w:rPr>
          <w:rStyle w:val="Bodytextbold"/>
        </w:rPr>
        <w:t>:</w:t>
      </w:r>
      <w:r>
        <w:t xml:space="preserve">  </w:t>
      </w:r>
      <w:r>
        <w:rPr>
          <w:lang w:val="en-US"/>
        </w:rPr>
        <w:t>Residuals (in units of log Y)</w:t>
      </w:r>
      <w:r w:rsidR="00435A3E">
        <w:rPr>
          <w:lang w:val="en-US"/>
        </w:rPr>
        <w:t>, defined as</w:t>
      </w:r>
      <w:r>
        <w:rPr>
          <w:lang w:val="en-US"/>
        </w:rPr>
        <w:t xml:space="preserve"> the simulated data minus the regressed GMPE</w:t>
      </w:r>
      <w:r w:rsidR="00435A3E">
        <w:rPr>
          <w:lang w:val="en-US"/>
        </w:rPr>
        <w:t>,</w:t>
      </w:r>
      <w:r>
        <w:rPr>
          <w:lang w:val="en-US"/>
        </w:rPr>
        <w:t xml:space="preserve"> for the shallow, low-stress drop model (Table 7), across a range of response spectral frequencies for </w:t>
      </w:r>
      <w:r w:rsidRPr="005D057B">
        <w:rPr>
          <w:lang w:val="en-US"/>
        </w:rPr>
        <w:t>M</w:t>
      </w:r>
      <w:r w:rsidRPr="005D057B">
        <w:rPr>
          <w:vertAlign w:val="subscript"/>
          <w:lang w:val="en-US"/>
        </w:rPr>
        <w:t>W</w:t>
      </w:r>
      <w:r>
        <w:rPr>
          <w:lang w:val="en-US"/>
        </w:rPr>
        <w:t xml:space="preserve"> 6.5 earthquakes.  Grey crosses indicate individual residuals, which are logarithmically binned in 0.1 log-km windows.  Black squares indicate mean and standard deviations for each distance window.</w:t>
      </w:r>
      <w:bookmarkEnd w:id="135"/>
    </w:p>
    <w:p w:rsidR="00F73F1C" w:rsidRPr="00ED3EA1" w:rsidRDefault="00F73F1C" w:rsidP="00FB6EF2">
      <w:pPr>
        <w:pStyle w:val="Captions"/>
        <w:rPr>
          <w:rStyle w:val="Bodytextbold"/>
        </w:rPr>
        <w:sectPr w:rsidR="00F73F1C" w:rsidRPr="00ED3EA1" w:rsidSect="003166B9">
          <w:pgSz w:w="11907" w:h="16840" w:code="9"/>
          <w:pgMar w:top="1985" w:right="1418" w:bottom="1701" w:left="1418" w:header="720" w:footer="720" w:gutter="0"/>
          <w:cols w:space="720"/>
        </w:sectPr>
      </w:pPr>
    </w:p>
    <w:p w:rsidR="00FB6EF2" w:rsidRDefault="00FB6EF2" w:rsidP="00F73F1C">
      <w:pPr>
        <w:pStyle w:val="Tabletitle"/>
      </w:pPr>
      <w:bookmarkStart w:id="136" w:name="_Toc338429901"/>
      <w:r w:rsidRPr="00ED3EA1">
        <w:rPr>
          <w:rStyle w:val="Bodytextbold"/>
        </w:rPr>
        <w:lastRenderedPageBreak/>
        <w:t xml:space="preserve">Table </w:t>
      </w:r>
      <w:r w:rsidRPr="00FB6EF2">
        <w:rPr>
          <w:b/>
        </w:rPr>
        <w:fldChar w:fldCharType="begin"/>
      </w:r>
      <w:r w:rsidRPr="00FB6EF2">
        <w:rPr>
          <w:b/>
        </w:rPr>
        <w:instrText xml:space="preserve"> SEQ Table \* ARABIC </w:instrText>
      </w:r>
      <w:r w:rsidRPr="00FB6EF2">
        <w:rPr>
          <w:b/>
        </w:rPr>
        <w:fldChar w:fldCharType="separate"/>
      </w:r>
      <w:r w:rsidR="007D4E78">
        <w:rPr>
          <w:b/>
          <w:noProof/>
        </w:rPr>
        <w:t>7</w:t>
      </w:r>
      <w:r w:rsidRPr="00FB6EF2">
        <w:rPr>
          <w:b/>
        </w:rPr>
        <w:fldChar w:fldCharType="end"/>
      </w:r>
      <w:r w:rsidRPr="00ED3EA1">
        <w:rPr>
          <w:rStyle w:val="Bodytextbold"/>
        </w:rPr>
        <w:t>:</w:t>
      </w:r>
      <w:r>
        <w:t xml:space="preserve"> Coefficients for predicting </w:t>
      </w:r>
      <w:r w:rsidRPr="003B581A">
        <w:t xml:space="preserve">5% </w:t>
      </w:r>
      <w:r>
        <w:t>d</w:t>
      </w:r>
      <w:r w:rsidRPr="003B581A">
        <w:t xml:space="preserve">amped </w:t>
      </w:r>
      <w:r w:rsidR="007D16AD">
        <w:t>P</w:t>
      </w:r>
      <w:r w:rsidRPr="003B581A">
        <w:t xml:space="preserve">SA </w:t>
      </w:r>
      <w:r>
        <w:t>for median horizontal component ground motions for shallow (h &lt; 10 km) earthquakes for average SEA site conditions.  Response spectral values Y are given as log</w:t>
      </w:r>
      <w:r>
        <w:rPr>
          <w:vertAlign w:val="subscript"/>
        </w:rPr>
        <w:t>10</w:t>
      </w:r>
      <w:r w:rsidRPr="00332AA7">
        <w:t xml:space="preserve"> </w:t>
      </w:r>
      <w:r>
        <w:t>cm/s</w:t>
      </w:r>
      <w:r>
        <w:rPr>
          <w:vertAlign w:val="superscript"/>
        </w:rPr>
        <w:t>2</w:t>
      </w:r>
      <w:r>
        <w:t xml:space="preserve"> according to the functional for</w:t>
      </w:r>
      <w:r w:rsidR="00B66EE1">
        <w:t>m</w:t>
      </w:r>
      <w:r>
        <w:t xml:space="preserve"> given in Equations 18 and 19.</w:t>
      </w:r>
      <w:bookmarkEnd w:id="136"/>
    </w:p>
    <w:tbl>
      <w:tblPr>
        <w:tblW w:w="0" w:type="auto"/>
        <w:tblInd w:w="93" w:type="dxa"/>
        <w:tblLook w:val="04A0" w:firstRow="1" w:lastRow="0" w:firstColumn="1" w:lastColumn="0" w:noHBand="0" w:noVBand="1"/>
      </w:tblPr>
      <w:tblGrid>
        <w:gridCol w:w="936"/>
        <w:gridCol w:w="936"/>
        <w:gridCol w:w="936"/>
        <w:gridCol w:w="936"/>
        <w:gridCol w:w="936"/>
        <w:gridCol w:w="936"/>
        <w:gridCol w:w="936"/>
        <w:gridCol w:w="936"/>
        <w:gridCol w:w="936"/>
        <w:gridCol w:w="936"/>
        <w:gridCol w:w="936"/>
        <w:gridCol w:w="936"/>
        <w:gridCol w:w="936"/>
        <w:gridCol w:w="936"/>
      </w:tblGrid>
      <w:tr w:rsidR="00832B61" w:rsidRPr="001C4665" w:rsidTr="00E82A4D">
        <w:trPr>
          <w:trHeight w:val="227"/>
          <w:tblHeader/>
        </w:trPr>
        <w:tc>
          <w:tcPr>
            <w:tcW w:w="936" w:type="dxa"/>
            <w:tcBorders>
              <w:top w:val="single" w:sz="4" w:space="0" w:color="auto"/>
              <w:bottom w:val="single" w:sz="4" w:space="0" w:color="auto"/>
            </w:tcBorders>
            <w:shd w:val="clear" w:color="auto" w:fill="D9D9D9"/>
            <w:noWrap/>
            <w:vAlign w:val="center"/>
          </w:tcPr>
          <w:p w:rsidR="00832B61" w:rsidRPr="001C4665" w:rsidRDefault="00832B61" w:rsidP="00832B61">
            <w:pPr>
              <w:pStyle w:val="Tableheadingrow"/>
            </w:pPr>
            <w:r w:rsidRPr="001C4665">
              <w:t>Period (sec)</w:t>
            </w:r>
          </w:p>
        </w:tc>
        <w:tc>
          <w:tcPr>
            <w:tcW w:w="936" w:type="dxa"/>
            <w:tcBorders>
              <w:top w:val="single" w:sz="4" w:space="0" w:color="auto"/>
              <w:bottom w:val="single" w:sz="4" w:space="0" w:color="auto"/>
            </w:tcBorders>
            <w:shd w:val="clear" w:color="auto" w:fill="D9D9D9"/>
            <w:noWrap/>
            <w:vAlign w:val="center"/>
          </w:tcPr>
          <w:p w:rsidR="00832B61" w:rsidRPr="00737E7A" w:rsidRDefault="00832B61" w:rsidP="00832B61">
            <w:pPr>
              <w:pStyle w:val="Tableheadingrow"/>
              <w:rPr>
                <w:caps w:val="0"/>
              </w:rPr>
            </w:pPr>
            <w:r w:rsidRPr="00737E7A">
              <w:rPr>
                <w:i/>
                <w:caps w:val="0"/>
              </w:rPr>
              <w:t>c</w:t>
            </w:r>
            <w:r w:rsidRPr="00737E7A">
              <w:rPr>
                <w:caps w:val="0"/>
                <w:vertAlign w:val="subscript"/>
              </w:rPr>
              <w:t xml:space="preserve"> 0</w:t>
            </w:r>
          </w:p>
        </w:tc>
        <w:tc>
          <w:tcPr>
            <w:tcW w:w="936" w:type="dxa"/>
            <w:tcBorders>
              <w:top w:val="single" w:sz="4" w:space="0" w:color="auto"/>
              <w:bottom w:val="single" w:sz="4" w:space="0" w:color="auto"/>
            </w:tcBorders>
            <w:shd w:val="clear" w:color="auto" w:fill="D9D9D9"/>
            <w:noWrap/>
            <w:vAlign w:val="center"/>
          </w:tcPr>
          <w:p w:rsidR="00832B61" w:rsidRPr="00737E7A" w:rsidRDefault="00832B61" w:rsidP="00832B61">
            <w:pPr>
              <w:pStyle w:val="Tableheadingrow"/>
              <w:rPr>
                <w:caps w:val="0"/>
              </w:rPr>
            </w:pPr>
            <w:r w:rsidRPr="00737E7A">
              <w:rPr>
                <w:i/>
                <w:caps w:val="0"/>
              </w:rPr>
              <w:t>c</w:t>
            </w:r>
            <w:r w:rsidRPr="00737E7A">
              <w:rPr>
                <w:caps w:val="0"/>
                <w:vertAlign w:val="subscript"/>
              </w:rPr>
              <w:t xml:space="preserve"> 1</w:t>
            </w:r>
          </w:p>
        </w:tc>
        <w:tc>
          <w:tcPr>
            <w:tcW w:w="936" w:type="dxa"/>
            <w:tcBorders>
              <w:top w:val="single" w:sz="4" w:space="0" w:color="auto"/>
              <w:bottom w:val="single" w:sz="4" w:space="0" w:color="auto"/>
            </w:tcBorders>
            <w:shd w:val="clear" w:color="auto" w:fill="D9D9D9"/>
            <w:noWrap/>
            <w:vAlign w:val="center"/>
          </w:tcPr>
          <w:p w:rsidR="00832B61" w:rsidRPr="00737E7A" w:rsidRDefault="00832B61" w:rsidP="00832B61">
            <w:pPr>
              <w:pStyle w:val="Tableheadingrow"/>
              <w:rPr>
                <w:caps w:val="0"/>
              </w:rPr>
            </w:pPr>
            <w:r w:rsidRPr="00737E7A">
              <w:rPr>
                <w:i/>
                <w:caps w:val="0"/>
              </w:rPr>
              <w:t>c</w:t>
            </w:r>
            <w:r w:rsidRPr="00737E7A">
              <w:rPr>
                <w:caps w:val="0"/>
                <w:vertAlign w:val="subscript"/>
              </w:rPr>
              <w:t xml:space="preserve"> 2</w:t>
            </w:r>
          </w:p>
        </w:tc>
        <w:tc>
          <w:tcPr>
            <w:tcW w:w="936" w:type="dxa"/>
            <w:tcBorders>
              <w:top w:val="single" w:sz="4" w:space="0" w:color="auto"/>
              <w:bottom w:val="single" w:sz="4" w:space="0" w:color="auto"/>
            </w:tcBorders>
            <w:shd w:val="clear" w:color="auto" w:fill="D9D9D9"/>
            <w:noWrap/>
            <w:vAlign w:val="center"/>
          </w:tcPr>
          <w:p w:rsidR="00832B61" w:rsidRPr="00737E7A" w:rsidRDefault="00832B61" w:rsidP="00832B61">
            <w:pPr>
              <w:pStyle w:val="Tableheadingrow"/>
              <w:rPr>
                <w:caps w:val="0"/>
              </w:rPr>
            </w:pPr>
            <w:r w:rsidRPr="00737E7A">
              <w:rPr>
                <w:i/>
                <w:caps w:val="0"/>
              </w:rPr>
              <w:t>c</w:t>
            </w:r>
            <w:r w:rsidRPr="00737E7A">
              <w:rPr>
                <w:caps w:val="0"/>
                <w:vertAlign w:val="subscript"/>
              </w:rPr>
              <w:t xml:space="preserve"> 3</w:t>
            </w:r>
          </w:p>
        </w:tc>
        <w:tc>
          <w:tcPr>
            <w:tcW w:w="936" w:type="dxa"/>
            <w:tcBorders>
              <w:top w:val="single" w:sz="4" w:space="0" w:color="auto"/>
              <w:bottom w:val="single" w:sz="4" w:space="0" w:color="auto"/>
            </w:tcBorders>
            <w:shd w:val="clear" w:color="auto" w:fill="D9D9D9"/>
            <w:noWrap/>
            <w:vAlign w:val="center"/>
          </w:tcPr>
          <w:p w:rsidR="00832B61" w:rsidRPr="00737E7A" w:rsidRDefault="00832B61" w:rsidP="00832B61">
            <w:pPr>
              <w:pStyle w:val="Tableheadingrow"/>
              <w:rPr>
                <w:caps w:val="0"/>
              </w:rPr>
            </w:pPr>
            <w:r w:rsidRPr="00737E7A">
              <w:rPr>
                <w:i/>
                <w:caps w:val="0"/>
              </w:rPr>
              <w:t>c</w:t>
            </w:r>
            <w:r w:rsidRPr="00737E7A">
              <w:rPr>
                <w:caps w:val="0"/>
                <w:vertAlign w:val="subscript"/>
              </w:rPr>
              <w:t xml:space="preserve"> 4</w:t>
            </w:r>
          </w:p>
        </w:tc>
        <w:tc>
          <w:tcPr>
            <w:tcW w:w="936" w:type="dxa"/>
            <w:tcBorders>
              <w:top w:val="single" w:sz="4" w:space="0" w:color="auto"/>
              <w:bottom w:val="single" w:sz="4" w:space="0" w:color="auto"/>
            </w:tcBorders>
            <w:shd w:val="clear" w:color="auto" w:fill="D9D9D9"/>
            <w:noWrap/>
            <w:vAlign w:val="center"/>
          </w:tcPr>
          <w:p w:rsidR="00832B61" w:rsidRPr="00737E7A" w:rsidRDefault="00832B61" w:rsidP="00832B61">
            <w:pPr>
              <w:pStyle w:val="Tableheadingrow"/>
              <w:rPr>
                <w:caps w:val="0"/>
              </w:rPr>
            </w:pPr>
            <w:r w:rsidRPr="00737E7A">
              <w:rPr>
                <w:i/>
                <w:caps w:val="0"/>
              </w:rPr>
              <w:t>c</w:t>
            </w:r>
            <w:r w:rsidRPr="00737E7A">
              <w:rPr>
                <w:caps w:val="0"/>
                <w:vertAlign w:val="subscript"/>
              </w:rPr>
              <w:t xml:space="preserve"> 5</w:t>
            </w:r>
          </w:p>
        </w:tc>
        <w:tc>
          <w:tcPr>
            <w:tcW w:w="936" w:type="dxa"/>
            <w:tcBorders>
              <w:top w:val="single" w:sz="4" w:space="0" w:color="auto"/>
              <w:bottom w:val="single" w:sz="4" w:space="0" w:color="auto"/>
            </w:tcBorders>
            <w:shd w:val="clear" w:color="auto" w:fill="D9D9D9"/>
            <w:noWrap/>
            <w:vAlign w:val="center"/>
          </w:tcPr>
          <w:p w:rsidR="00832B61" w:rsidRPr="00737E7A" w:rsidRDefault="00832B61" w:rsidP="00832B61">
            <w:pPr>
              <w:pStyle w:val="Tableheadingrow"/>
              <w:rPr>
                <w:caps w:val="0"/>
              </w:rPr>
            </w:pPr>
            <w:r w:rsidRPr="00737E7A">
              <w:rPr>
                <w:i/>
                <w:caps w:val="0"/>
              </w:rPr>
              <w:t>c</w:t>
            </w:r>
            <w:r w:rsidRPr="00737E7A">
              <w:rPr>
                <w:caps w:val="0"/>
                <w:vertAlign w:val="subscript"/>
              </w:rPr>
              <w:t xml:space="preserve"> 6</w:t>
            </w:r>
          </w:p>
        </w:tc>
        <w:tc>
          <w:tcPr>
            <w:tcW w:w="936" w:type="dxa"/>
            <w:tcBorders>
              <w:top w:val="single" w:sz="4" w:space="0" w:color="auto"/>
              <w:bottom w:val="single" w:sz="4" w:space="0" w:color="auto"/>
            </w:tcBorders>
            <w:shd w:val="clear" w:color="auto" w:fill="D9D9D9"/>
            <w:noWrap/>
            <w:vAlign w:val="center"/>
          </w:tcPr>
          <w:p w:rsidR="00832B61" w:rsidRPr="00737E7A" w:rsidRDefault="00832B61" w:rsidP="00832B61">
            <w:pPr>
              <w:pStyle w:val="Tableheadingrow"/>
              <w:rPr>
                <w:caps w:val="0"/>
              </w:rPr>
            </w:pPr>
            <w:r w:rsidRPr="00737E7A">
              <w:rPr>
                <w:i/>
                <w:caps w:val="0"/>
              </w:rPr>
              <w:t>c</w:t>
            </w:r>
            <w:r w:rsidRPr="00737E7A">
              <w:rPr>
                <w:caps w:val="0"/>
                <w:vertAlign w:val="subscript"/>
              </w:rPr>
              <w:t xml:space="preserve"> 7</w:t>
            </w:r>
          </w:p>
        </w:tc>
        <w:tc>
          <w:tcPr>
            <w:tcW w:w="936" w:type="dxa"/>
            <w:tcBorders>
              <w:top w:val="single" w:sz="4" w:space="0" w:color="auto"/>
              <w:bottom w:val="single" w:sz="4" w:space="0" w:color="auto"/>
            </w:tcBorders>
            <w:shd w:val="clear" w:color="auto" w:fill="D9D9D9"/>
            <w:noWrap/>
            <w:vAlign w:val="center"/>
          </w:tcPr>
          <w:p w:rsidR="00832B61" w:rsidRPr="00737E7A" w:rsidRDefault="00832B61" w:rsidP="00832B61">
            <w:pPr>
              <w:pStyle w:val="Tableheadingrow"/>
              <w:rPr>
                <w:caps w:val="0"/>
              </w:rPr>
            </w:pPr>
            <w:r w:rsidRPr="00737E7A">
              <w:rPr>
                <w:i/>
                <w:caps w:val="0"/>
              </w:rPr>
              <w:t>c</w:t>
            </w:r>
            <w:r w:rsidRPr="00737E7A">
              <w:rPr>
                <w:caps w:val="0"/>
                <w:vertAlign w:val="subscript"/>
              </w:rPr>
              <w:t xml:space="preserve"> 8</w:t>
            </w:r>
          </w:p>
        </w:tc>
        <w:tc>
          <w:tcPr>
            <w:tcW w:w="936" w:type="dxa"/>
            <w:tcBorders>
              <w:top w:val="single" w:sz="4" w:space="0" w:color="auto"/>
              <w:bottom w:val="single" w:sz="4" w:space="0" w:color="auto"/>
            </w:tcBorders>
            <w:shd w:val="clear" w:color="auto" w:fill="D9D9D9"/>
            <w:noWrap/>
            <w:vAlign w:val="center"/>
          </w:tcPr>
          <w:p w:rsidR="00832B61" w:rsidRPr="00737E7A" w:rsidRDefault="00832B61" w:rsidP="00832B61">
            <w:pPr>
              <w:pStyle w:val="Tableheadingrow"/>
              <w:rPr>
                <w:caps w:val="0"/>
              </w:rPr>
            </w:pPr>
            <w:r w:rsidRPr="00737E7A">
              <w:rPr>
                <w:i/>
                <w:caps w:val="0"/>
              </w:rPr>
              <w:t>c</w:t>
            </w:r>
            <w:r w:rsidRPr="00737E7A">
              <w:rPr>
                <w:caps w:val="0"/>
                <w:vertAlign w:val="subscript"/>
              </w:rPr>
              <w:t xml:space="preserve"> 9</w:t>
            </w:r>
          </w:p>
        </w:tc>
        <w:tc>
          <w:tcPr>
            <w:tcW w:w="936" w:type="dxa"/>
            <w:tcBorders>
              <w:top w:val="single" w:sz="4" w:space="0" w:color="auto"/>
              <w:bottom w:val="single" w:sz="4" w:space="0" w:color="auto"/>
            </w:tcBorders>
            <w:shd w:val="clear" w:color="auto" w:fill="D9D9D9"/>
            <w:noWrap/>
            <w:vAlign w:val="center"/>
          </w:tcPr>
          <w:p w:rsidR="00832B61" w:rsidRPr="00737E7A" w:rsidRDefault="00832B61" w:rsidP="00832B61">
            <w:pPr>
              <w:pStyle w:val="Tableheadingrow"/>
              <w:rPr>
                <w:caps w:val="0"/>
              </w:rPr>
            </w:pPr>
            <w:r w:rsidRPr="00737E7A">
              <w:rPr>
                <w:i/>
                <w:caps w:val="0"/>
              </w:rPr>
              <w:t>c</w:t>
            </w:r>
            <w:r w:rsidRPr="00737E7A">
              <w:rPr>
                <w:caps w:val="0"/>
                <w:vertAlign w:val="subscript"/>
              </w:rPr>
              <w:t xml:space="preserve"> 10</w:t>
            </w:r>
          </w:p>
        </w:tc>
        <w:tc>
          <w:tcPr>
            <w:tcW w:w="936" w:type="dxa"/>
            <w:tcBorders>
              <w:top w:val="single" w:sz="4" w:space="0" w:color="auto"/>
              <w:bottom w:val="single" w:sz="4" w:space="0" w:color="auto"/>
            </w:tcBorders>
            <w:shd w:val="clear" w:color="auto" w:fill="D9D9D9"/>
            <w:vAlign w:val="center"/>
          </w:tcPr>
          <w:p w:rsidR="00832B61" w:rsidRPr="00737E7A" w:rsidRDefault="00832B61" w:rsidP="00832B61">
            <w:pPr>
              <w:pStyle w:val="Tableheadingrow"/>
              <w:rPr>
                <w:caps w:val="0"/>
              </w:rPr>
            </w:pPr>
            <w:r w:rsidRPr="00737E7A">
              <w:rPr>
                <w:i/>
                <w:caps w:val="0"/>
              </w:rPr>
              <w:t>c</w:t>
            </w:r>
            <w:r w:rsidRPr="00737E7A">
              <w:rPr>
                <w:caps w:val="0"/>
                <w:vertAlign w:val="subscript"/>
              </w:rPr>
              <w:t>11</w:t>
            </w:r>
          </w:p>
        </w:tc>
        <w:tc>
          <w:tcPr>
            <w:tcW w:w="936" w:type="dxa"/>
            <w:tcBorders>
              <w:top w:val="single" w:sz="4" w:space="0" w:color="auto"/>
              <w:bottom w:val="single" w:sz="4" w:space="0" w:color="auto"/>
            </w:tcBorders>
            <w:shd w:val="clear" w:color="auto" w:fill="D9D9D9"/>
            <w:vAlign w:val="center"/>
          </w:tcPr>
          <w:p w:rsidR="00832B61" w:rsidRPr="001C4665" w:rsidRDefault="00832B61" w:rsidP="00832B61">
            <w:pPr>
              <w:pStyle w:val="Tableheadingrow"/>
            </w:pPr>
            <w:r w:rsidRPr="001C4665">
              <w:sym w:font="Symbol" w:char="F073"/>
            </w:r>
          </w:p>
        </w:tc>
      </w:tr>
      <w:tr w:rsidR="00E601DD" w:rsidRPr="00FE1864" w:rsidTr="00E82A4D">
        <w:trPr>
          <w:trHeight w:val="227"/>
        </w:trPr>
        <w:tc>
          <w:tcPr>
            <w:tcW w:w="936" w:type="dxa"/>
            <w:tcBorders>
              <w:top w:val="single" w:sz="4" w:space="0" w:color="auto"/>
            </w:tcBorders>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0.01</w:t>
            </w:r>
          </w:p>
        </w:tc>
        <w:tc>
          <w:tcPr>
            <w:tcW w:w="936" w:type="dxa"/>
            <w:tcBorders>
              <w:top w:val="single" w:sz="4" w:space="0" w:color="auto"/>
            </w:tcBorders>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3.259</w:t>
            </w:r>
          </w:p>
        </w:tc>
        <w:tc>
          <w:tcPr>
            <w:tcW w:w="936" w:type="dxa"/>
            <w:tcBorders>
              <w:top w:val="single" w:sz="4" w:space="0" w:color="auto"/>
            </w:tcBorders>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0.505</w:t>
            </w:r>
          </w:p>
        </w:tc>
        <w:tc>
          <w:tcPr>
            <w:tcW w:w="936" w:type="dxa"/>
            <w:tcBorders>
              <w:top w:val="single" w:sz="4" w:space="0" w:color="auto"/>
            </w:tcBorders>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-0.069</w:t>
            </w:r>
          </w:p>
        </w:tc>
        <w:tc>
          <w:tcPr>
            <w:tcW w:w="936" w:type="dxa"/>
            <w:tcBorders>
              <w:top w:val="single" w:sz="4" w:space="0" w:color="auto"/>
            </w:tcBorders>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-1.839</w:t>
            </w:r>
          </w:p>
        </w:tc>
        <w:tc>
          <w:tcPr>
            <w:tcW w:w="936" w:type="dxa"/>
            <w:tcBorders>
              <w:top w:val="single" w:sz="4" w:space="0" w:color="auto"/>
            </w:tcBorders>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0.158</w:t>
            </w:r>
          </w:p>
        </w:tc>
        <w:tc>
          <w:tcPr>
            <w:tcW w:w="936" w:type="dxa"/>
            <w:tcBorders>
              <w:top w:val="single" w:sz="4" w:space="0" w:color="auto"/>
            </w:tcBorders>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1.247</w:t>
            </w:r>
          </w:p>
        </w:tc>
        <w:tc>
          <w:tcPr>
            <w:tcW w:w="936" w:type="dxa"/>
            <w:tcBorders>
              <w:top w:val="single" w:sz="4" w:space="0" w:color="auto"/>
            </w:tcBorders>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-0.204</w:t>
            </w:r>
          </w:p>
        </w:tc>
        <w:tc>
          <w:tcPr>
            <w:tcW w:w="936" w:type="dxa"/>
            <w:tcBorders>
              <w:top w:val="single" w:sz="4" w:space="0" w:color="auto"/>
            </w:tcBorders>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-0.044</w:t>
            </w:r>
          </w:p>
        </w:tc>
        <w:tc>
          <w:tcPr>
            <w:tcW w:w="936" w:type="dxa"/>
            <w:tcBorders>
              <w:top w:val="single" w:sz="4" w:space="0" w:color="auto"/>
            </w:tcBorders>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-5.100</w:t>
            </w:r>
          </w:p>
        </w:tc>
        <w:tc>
          <w:tcPr>
            <w:tcW w:w="936" w:type="dxa"/>
            <w:tcBorders>
              <w:top w:val="single" w:sz="4" w:space="0" w:color="auto"/>
            </w:tcBorders>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-2.862</w:t>
            </w:r>
          </w:p>
        </w:tc>
        <w:tc>
          <w:tcPr>
            <w:tcW w:w="936" w:type="dxa"/>
            <w:tcBorders>
              <w:top w:val="single" w:sz="4" w:space="0" w:color="auto"/>
            </w:tcBorders>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0.251</w:t>
            </w:r>
          </w:p>
        </w:tc>
        <w:tc>
          <w:tcPr>
            <w:tcW w:w="936" w:type="dxa"/>
            <w:tcBorders>
              <w:top w:val="single" w:sz="4" w:space="0" w:color="auto"/>
            </w:tcBorders>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-0.639</w:t>
            </w:r>
          </w:p>
        </w:tc>
        <w:tc>
          <w:tcPr>
            <w:tcW w:w="936" w:type="dxa"/>
            <w:tcBorders>
              <w:top w:val="single" w:sz="4" w:space="0" w:color="auto"/>
            </w:tcBorders>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0.412</w:t>
            </w:r>
          </w:p>
        </w:tc>
      </w:tr>
      <w:tr w:rsidR="00E601DD" w:rsidRPr="00FE1864" w:rsidTr="00E82A4D">
        <w:trPr>
          <w:trHeight w:val="227"/>
        </w:trPr>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0.02</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3.368</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0.496</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-0.062</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-1.808</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0.136</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1.247</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-0.486</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0.017</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-4.677</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-2.865</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0.244</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-0.776</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0.438</w:t>
            </w:r>
          </w:p>
        </w:tc>
      </w:tr>
      <w:tr w:rsidR="00E601DD" w:rsidRPr="00FE1864" w:rsidTr="00E82A4D">
        <w:trPr>
          <w:trHeight w:val="227"/>
        </w:trPr>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0.03</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3.511</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0.471</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-0.060</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-1.852</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0.142</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1.434</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-0.545</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0.015</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-4.983</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-2.849</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0.250</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-1.103</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0.431</w:t>
            </w:r>
          </w:p>
        </w:tc>
      </w:tr>
      <w:tr w:rsidR="00E601DD" w:rsidRPr="00FE1864" w:rsidTr="00E82A4D">
        <w:trPr>
          <w:trHeight w:val="227"/>
        </w:trPr>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0.05</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3.545</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0.477</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-0.063</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-1.837</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0.140</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1.459</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-0.489</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-0.011</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-5.109</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-3.073</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0.301</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-1.178</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0.399</w:t>
            </w:r>
          </w:p>
        </w:tc>
      </w:tr>
      <w:tr w:rsidR="00E601DD" w:rsidRPr="00FE1864" w:rsidTr="00E82A4D">
        <w:trPr>
          <w:trHeight w:val="227"/>
        </w:trPr>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0.08</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3.516</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0.492</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-0.068</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-1.806</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0.142</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1.418</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-0.341</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-0.043</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-4.994</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-3.251</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0.309</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-0.904</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0.381</w:t>
            </w:r>
          </w:p>
        </w:tc>
      </w:tr>
      <w:tr w:rsidR="00E601DD" w:rsidRPr="00FE1864" w:rsidTr="00E82A4D">
        <w:trPr>
          <w:trHeight w:val="227"/>
        </w:trPr>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0.10</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3.458</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0.515</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-0.073</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-1.774</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0.142</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1.375</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-0.216</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-0.061</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-4.849</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-3.284</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0.274</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-0.467</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0.372</w:t>
            </w:r>
          </w:p>
        </w:tc>
      </w:tr>
      <w:tr w:rsidR="00E601DD" w:rsidRPr="00FE1864" w:rsidTr="00E82A4D">
        <w:trPr>
          <w:trHeight w:val="227"/>
        </w:trPr>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0.15</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3.296</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0.580</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-0.082</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-1.700</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0.131</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1.286</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-0.062</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-0.067</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-4.641</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-3.123</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0.158</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0.538</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0.364</w:t>
            </w:r>
          </w:p>
        </w:tc>
      </w:tr>
      <w:tr w:rsidR="00E601DD" w:rsidRPr="00FE1864" w:rsidTr="00E82A4D">
        <w:trPr>
          <w:trHeight w:val="227"/>
        </w:trPr>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0.20</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3.136</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0.642</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-0.092</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-1.648</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0.127</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1.214</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0.072</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-0.080</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-4.663</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-2.936</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0.106</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1.089</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0.359</w:t>
            </w:r>
          </w:p>
        </w:tc>
      </w:tr>
      <w:tr w:rsidR="00E601DD" w:rsidRPr="00FE1864" w:rsidTr="00E82A4D">
        <w:trPr>
          <w:trHeight w:val="227"/>
        </w:trPr>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0.25</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2.998</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0.692</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-0.101</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-1.615</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0.130</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1.159</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0.207</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-0.105</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-4.828</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-2.789</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0.112</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1.256</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0.358</w:t>
            </w:r>
          </w:p>
        </w:tc>
      </w:tr>
      <w:tr w:rsidR="00E601DD" w:rsidRPr="00FE1864" w:rsidTr="00E82A4D">
        <w:trPr>
          <w:trHeight w:val="227"/>
        </w:trPr>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0.30</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2.872</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0.736</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-0.110</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-1.593</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0.135</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1.121</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0.317</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-0.126</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-4.911</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-2.678</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0.132</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1.193</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0.356</w:t>
            </w:r>
          </w:p>
        </w:tc>
      </w:tr>
      <w:tr w:rsidR="00E601DD" w:rsidRPr="00FE1864" w:rsidTr="00E82A4D">
        <w:trPr>
          <w:trHeight w:val="227"/>
        </w:trPr>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0.40</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2.623</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0.818</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-0.124</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-1.565</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0.140</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1.082</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0.432</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-0.128</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-4.484</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-2.539</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0.137</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0.621</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0.354</w:t>
            </w:r>
          </w:p>
        </w:tc>
      </w:tr>
      <w:tr w:rsidR="00E601DD" w:rsidRPr="00FE1864" w:rsidTr="00E82A4D">
        <w:trPr>
          <w:trHeight w:val="227"/>
        </w:trPr>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0.50</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2.398</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0.889</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-0.134</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-1.548</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0.140</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1.070</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0.468</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-0.104</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-3.733</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-2.461</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0.114</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-0.111</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0.352</w:t>
            </w:r>
          </w:p>
        </w:tc>
      </w:tr>
      <w:tr w:rsidR="00E601DD" w:rsidRPr="00FE1864" w:rsidTr="00E82A4D">
        <w:trPr>
          <w:trHeight w:val="227"/>
        </w:trPr>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0.75</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1.944</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1.011</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-0.147</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-1.527</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0.140</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1.050</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0.481</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-0.088</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-3.243</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-2.413</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0.121</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-1.055</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0.350</w:t>
            </w:r>
          </w:p>
        </w:tc>
      </w:tr>
      <w:tr w:rsidR="00E601DD" w:rsidRPr="00FE1864" w:rsidTr="00E82A4D">
        <w:trPr>
          <w:trHeight w:val="227"/>
        </w:trPr>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1.00</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1.616</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1.078</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-0.151</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-1.522</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0.145</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1.025</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0.484</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-0.121</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-3.942</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-2.442</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0.187</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-1.130</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0.349</w:t>
            </w:r>
          </w:p>
        </w:tc>
      </w:tr>
      <w:tr w:rsidR="00E601DD" w:rsidRPr="00FE1864" w:rsidTr="00E82A4D">
        <w:trPr>
          <w:trHeight w:val="227"/>
        </w:trPr>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1.50</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1.193</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1.102</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-0.142</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-1.540</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0.160</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1.009</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0.504</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-0.159</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-4.242</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-2.499</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0.256</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-0.703</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0.349</w:t>
            </w:r>
          </w:p>
        </w:tc>
      </w:tr>
      <w:tr w:rsidR="00E601DD" w:rsidRPr="00FE1864" w:rsidTr="00E82A4D">
        <w:trPr>
          <w:trHeight w:val="227"/>
        </w:trPr>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2.00</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0.929</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1.074</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-0.126</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-1.564</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0.175</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1.016</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0.522</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-0.164</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-3.762</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-2.526</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0.267</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-0.293</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0.348</w:t>
            </w:r>
          </w:p>
        </w:tc>
      </w:tr>
      <w:tr w:rsidR="00E601DD" w:rsidRPr="00FE1864" w:rsidTr="00E82A4D">
        <w:trPr>
          <w:trHeight w:val="227"/>
        </w:trPr>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3.00</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0.574</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1.011</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-0.095</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-1.588</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0.185</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1.048</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0.514</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-0.158</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-3.784</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-2.536</w:t>
            </w:r>
          </w:p>
        </w:tc>
        <w:tc>
          <w:tcPr>
            <w:tcW w:w="936" w:type="dxa"/>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0.268</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-0.054</w:t>
            </w:r>
          </w:p>
        </w:tc>
        <w:tc>
          <w:tcPr>
            <w:tcW w:w="936" w:type="dxa"/>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0.347</w:t>
            </w:r>
          </w:p>
        </w:tc>
      </w:tr>
      <w:tr w:rsidR="00E601DD" w:rsidRPr="00FE1864" w:rsidTr="00E82A4D">
        <w:trPr>
          <w:trHeight w:val="227"/>
        </w:trPr>
        <w:tc>
          <w:tcPr>
            <w:tcW w:w="936" w:type="dxa"/>
            <w:tcBorders>
              <w:bottom w:val="single" w:sz="4" w:space="0" w:color="auto"/>
            </w:tcBorders>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4.00</w:t>
            </w:r>
          </w:p>
        </w:tc>
        <w:tc>
          <w:tcPr>
            <w:tcW w:w="936" w:type="dxa"/>
            <w:tcBorders>
              <w:bottom w:val="single" w:sz="4" w:space="0" w:color="auto"/>
            </w:tcBorders>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0.340</w:t>
            </w:r>
          </w:p>
        </w:tc>
        <w:tc>
          <w:tcPr>
            <w:tcW w:w="936" w:type="dxa"/>
            <w:tcBorders>
              <w:bottom w:val="single" w:sz="4" w:space="0" w:color="auto"/>
            </w:tcBorders>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0.954</w:t>
            </w:r>
          </w:p>
        </w:tc>
        <w:tc>
          <w:tcPr>
            <w:tcW w:w="936" w:type="dxa"/>
            <w:tcBorders>
              <w:bottom w:val="single" w:sz="4" w:space="0" w:color="auto"/>
            </w:tcBorders>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-0.071</w:t>
            </w:r>
          </w:p>
        </w:tc>
        <w:tc>
          <w:tcPr>
            <w:tcW w:w="936" w:type="dxa"/>
            <w:tcBorders>
              <w:bottom w:val="single" w:sz="4" w:space="0" w:color="auto"/>
            </w:tcBorders>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-1.604</w:t>
            </w:r>
          </w:p>
        </w:tc>
        <w:tc>
          <w:tcPr>
            <w:tcW w:w="936" w:type="dxa"/>
            <w:tcBorders>
              <w:bottom w:val="single" w:sz="4" w:space="0" w:color="auto"/>
            </w:tcBorders>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0.189</w:t>
            </w:r>
          </w:p>
        </w:tc>
        <w:tc>
          <w:tcPr>
            <w:tcW w:w="936" w:type="dxa"/>
            <w:tcBorders>
              <w:bottom w:val="single" w:sz="4" w:space="0" w:color="auto"/>
            </w:tcBorders>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1.071</w:t>
            </w:r>
          </w:p>
        </w:tc>
        <w:tc>
          <w:tcPr>
            <w:tcW w:w="936" w:type="dxa"/>
            <w:tcBorders>
              <w:bottom w:val="single" w:sz="4" w:space="0" w:color="auto"/>
            </w:tcBorders>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0.509</w:t>
            </w:r>
          </w:p>
        </w:tc>
        <w:tc>
          <w:tcPr>
            <w:tcW w:w="936" w:type="dxa"/>
            <w:tcBorders>
              <w:bottom w:val="single" w:sz="4" w:space="0" w:color="auto"/>
            </w:tcBorders>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-0.158</w:t>
            </w:r>
          </w:p>
        </w:tc>
        <w:tc>
          <w:tcPr>
            <w:tcW w:w="936" w:type="dxa"/>
            <w:tcBorders>
              <w:bottom w:val="single" w:sz="4" w:space="0" w:color="auto"/>
            </w:tcBorders>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-4.199</w:t>
            </w:r>
          </w:p>
        </w:tc>
        <w:tc>
          <w:tcPr>
            <w:tcW w:w="936" w:type="dxa"/>
            <w:tcBorders>
              <w:bottom w:val="single" w:sz="4" w:space="0" w:color="auto"/>
            </w:tcBorders>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-2.565</w:t>
            </w:r>
          </w:p>
        </w:tc>
        <w:tc>
          <w:tcPr>
            <w:tcW w:w="936" w:type="dxa"/>
            <w:tcBorders>
              <w:bottom w:val="single" w:sz="4" w:space="0" w:color="auto"/>
            </w:tcBorders>
            <w:shd w:val="clear" w:color="auto" w:fill="auto"/>
            <w:noWrap/>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0.286</w:t>
            </w:r>
          </w:p>
        </w:tc>
        <w:tc>
          <w:tcPr>
            <w:tcW w:w="936" w:type="dxa"/>
            <w:tcBorders>
              <w:bottom w:val="single" w:sz="4" w:space="0" w:color="auto"/>
            </w:tcBorders>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-0.108</w:t>
            </w:r>
          </w:p>
        </w:tc>
        <w:tc>
          <w:tcPr>
            <w:tcW w:w="936" w:type="dxa"/>
            <w:tcBorders>
              <w:bottom w:val="single" w:sz="4" w:space="0" w:color="auto"/>
            </w:tcBorders>
            <w:vAlign w:val="bottom"/>
          </w:tcPr>
          <w:p w:rsidR="00E601DD" w:rsidRPr="00075EF3" w:rsidRDefault="00E601DD" w:rsidP="00AD1362">
            <w:pPr>
              <w:spacing w:before="60" w:after="60"/>
              <w:jc w:val="right"/>
              <w:rPr>
                <w:rFonts w:ascii="Arial Narrow" w:hAnsi="Arial Narrow" w:cs="Arial"/>
              </w:rPr>
            </w:pPr>
            <w:r w:rsidRPr="00075EF3">
              <w:rPr>
                <w:rFonts w:ascii="Arial Narrow" w:hAnsi="Arial Narrow" w:cs="Arial"/>
              </w:rPr>
              <w:t>0.346</w:t>
            </w:r>
          </w:p>
        </w:tc>
      </w:tr>
    </w:tbl>
    <w:p w:rsidR="00832B61" w:rsidRDefault="00832B61" w:rsidP="00FB6EF2">
      <w:pPr>
        <w:pStyle w:val="Captions"/>
      </w:pPr>
    </w:p>
    <w:p w:rsidR="00FB6EF2" w:rsidRDefault="00737E7A" w:rsidP="00F73F1C">
      <w:pPr>
        <w:pStyle w:val="Tabletitle"/>
      </w:pPr>
      <w:r w:rsidRPr="00ED3EA1">
        <w:rPr>
          <w:rStyle w:val="Bodytextbold"/>
        </w:rPr>
        <w:br w:type="page"/>
      </w:r>
      <w:bookmarkStart w:id="137" w:name="_Toc338429902"/>
      <w:r w:rsidR="00FB6EF2" w:rsidRPr="00ED3EA1">
        <w:rPr>
          <w:rStyle w:val="Bodytextbold"/>
        </w:rPr>
        <w:lastRenderedPageBreak/>
        <w:t xml:space="preserve">Table </w:t>
      </w:r>
      <w:r w:rsidR="00FB6EF2" w:rsidRPr="00FB6EF2">
        <w:rPr>
          <w:b/>
        </w:rPr>
        <w:fldChar w:fldCharType="begin"/>
      </w:r>
      <w:r w:rsidR="00FB6EF2" w:rsidRPr="00FB6EF2">
        <w:rPr>
          <w:b/>
        </w:rPr>
        <w:instrText xml:space="preserve"> SEQ Table \* ARABIC </w:instrText>
      </w:r>
      <w:r w:rsidR="00FB6EF2" w:rsidRPr="00FB6EF2">
        <w:rPr>
          <w:b/>
        </w:rPr>
        <w:fldChar w:fldCharType="separate"/>
      </w:r>
      <w:r w:rsidR="007D4E78">
        <w:rPr>
          <w:b/>
          <w:noProof/>
        </w:rPr>
        <w:t>8</w:t>
      </w:r>
      <w:r w:rsidR="00FB6EF2" w:rsidRPr="00FB6EF2">
        <w:rPr>
          <w:b/>
        </w:rPr>
        <w:fldChar w:fldCharType="end"/>
      </w:r>
      <w:r w:rsidR="00FB6EF2" w:rsidRPr="00ED3EA1">
        <w:rPr>
          <w:rStyle w:val="Bodytextbold"/>
        </w:rPr>
        <w:t>:</w:t>
      </w:r>
      <w:r w:rsidR="00FB6EF2">
        <w:t xml:space="preserve">  Coefficients for predicting </w:t>
      </w:r>
      <w:r w:rsidR="00FB6EF2" w:rsidRPr="003B581A">
        <w:t xml:space="preserve">5% </w:t>
      </w:r>
      <w:r w:rsidR="00FB6EF2">
        <w:t>d</w:t>
      </w:r>
      <w:r w:rsidR="00FB6EF2" w:rsidRPr="003B581A">
        <w:t xml:space="preserve">amped </w:t>
      </w:r>
      <w:r w:rsidR="007D16AD">
        <w:t>P</w:t>
      </w:r>
      <w:r w:rsidR="00FB6EF2" w:rsidRPr="003B581A">
        <w:t xml:space="preserve">SA </w:t>
      </w:r>
      <w:r w:rsidR="00FB6EF2">
        <w:t xml:space="preserve">for median horizontal component ground motions for deep (h </w:t>
      </w:r>
      <w:r w:rsidR="00FB6EF2">
        <w:sym w:font="Symbol" w:char="F0B3"/>
      </w:r>
      <w:r w:rsidR="00FB6EF2">
        <w:t xml:space="preserve"> 10 km) earthquakes for average SEA site conditions.  Response spectral values Y are given as log</w:t>
      </w:r>
      <w:r w:rsidR="00FB6EF2">
        <w:rPr>
          <w:vertAlign w:val="subscript"/>
        </w:rPr>
        <w:t>10</w:t>
      </w:r>
      <w:r w:rsidR="00FB6EF2">
        <w:t xml:space="preserve"> cm/s</w:t>
      </w:r>
      <w:r w:rsidR="00FB6EF2">
        <w:rPr>
          <w:vertAlign w:val="superscript"/>
        </w:rPr>
        <w:t>2</w:t>
      </w:r>
      <w:r w:rsidR="00FB6EF2">
        <w:t xml:space="preserve"> according to the functional for</w:t>
      </w:r>
      <w:r w:rsidR="00B66EE1">
        <w:t>m</w:t>
      </w:r>
      <w:r w:rsidR="00FB6EF2">
        <w:t xml:space="preserve"> given in Equations 18 and 19.</w:t>
      </w:r>
      <w:bookmarkEnd w:id="137"/>
    </w:p>
    <w:tbl>
      <w:tblPr>
        <w:tblW w:w="0" w:type="auto"/>
        <w:tblInd w:w="93" w:type="dxa"/>
        <w:tblLayout w:type="fixed"/>
        <w:tblLook w:val="04A0" w:firstRow="1" w:lastRow="0" w:firstColumn="1" w:lastColumn="0" w:noHBand="0" w:noVBand="1"/>
      </w:tblPr>
      <w:tblGrid>
        <w:gridCol w:w="936"/>
        <w:gridCol w:w="936"/>
        <w:gridCol w:w="936"/>
        <w:gridCol w:w="936"/>
        <w:gridCol w:w="936"/>
        <w:gridCol w:w="936"/>
        <w:gridCol w:w="936"/>
        <w:gridCol w:w="936"/>
        <w:gridCol w:w="936"/>
        <w:gridCol w:w="936"/>
        <w:gridCol w:w="936"/>
        <w:gridCol w:w="936"/>
        <w:gridCol w:w="936"/>
        <w:gridCol w:w="936"/>
      </w:tblGrid>
      <w:tr w:rsidR="001C3FEE" w:rsidRPr="005057BF" w:rsidTr="001026FC">
        <w:trPr>
          <w:trHeight w:val="300"/>
          <w:tblHeader/>
        </w:trPr>
        <w:tc>
          <w:tcPr>
            <w:tcW w:w="936" w:type="dxa"/>
            <w:tcBorders>
              <w:top w:val="single" w:sz="4" w:space="0" w:color="auto"/>
              <w:bottom w:val="single" w:sz="4" w:space="0" w:color="auto"/>
            </w:tcBorders>
            <w:shd w:val="clear" w:color="auto" w:fill="D9D9D9"/>
            <w:noWrap/>
            <w:vAlign w:val="center"/>
          </w:tcPr>
          <w:p w:rsidR="001C3FEE" w:rsidRPr="005057BF" w:rsidRDefault="001C3FEE" w:rsidP="001C3FEE">
            <w:pPr>
              <w:pStyle w:val="Tableheadingrow"/>
            </w:pPr>
            <w:r w:rsidRPr="005057BF">
              <w:t>Period (sec)</w:t>
            </w:r>
          </w:p>
        </w:tc>
        <w:tc>
          <w:tcPr>
            <w:tcW w:w="936" w:type="dxa"/>
            <w:tcBorders>
              <w:top w:val="single" w:sz="4" w:space="0" w:color="auto"/>
              <w:bottom w:val="single" w:sz="4" w:space="0" w:color="auto"/>
            </w:tcBorders>
            <w:shd w:val="clear" w:color="auto" w:fill="D9D9D9"/>
            <w:noWrap/>
            <w:vAlign w:val="center"/>
          </w:tcPr>
          <w:p w:rsidR="001C3FEE" w:rsidRPr="001C3FEE" w:rsidRDefault="001C3FEE" w:rsidP="001C3FEE">
            <w:pPr>
              <w:pStyle w:val="Tableheadingrow"/>
              <w:rPr>
                <w:caps w:val="0"/>
              </w:rPr>
            </w:pPr>
            <w:r w:rsidRPr="001C3FEE">
              <w:rPr>
                <w:i/>
                <w:caps w:val="0"/>
              </w:rPr>
              <w:t>c</w:t>
            </w:r>
            <w:r w:rsidRPr="001C3FEE">
              <w:rPr>
                <w:caps w:val="0"/>
                <w:vertAlign w:val="subscript"/>
              </w:rPr>
              <w:t xml:space="preserve"> 0</w:t>
            </w:r>
          </w:p>
        </w:tc>
        <w:tc>
          <w:tcPr>
            <w:tcW w:w="936" w:type="dxa"/>
            <w:tcBorders>
              <w:top w:val="single" w:sz="4" w:space="0" w:color="auto"/>
              <w:bottom w:val="single" w:sz="4" w:space="0" w:color="auto"/>
            </w:tcBorders>
            <w:shd w:val="clear" w:color="auto" w:fill="D9D9D9"/>
            <w:noWrap/>
            <w:vAlign w:val="center"/>
          </w:tcPr>
          <w:p w:rsidR="001C3FEE" w:rsidRPr="001C3FEE" w:rsidRDefault="001C3FEE" w:rsidP="001C3FEE">
            <w:pPr>
              <w:pStyle w:val="Tableheadingrow"/>
              <w:rPr>
                <w:caps w:val="0"/>
              </w:rPr>
            </w:pPr>
            <w:r w:rsidRPr="001C3FEE">
              <w:rPr>
                <w:i/>
                <w:caps w:val="0"/>
              </w:rPr>
              <w:t>c</w:t>
            </w:r>
            <w:r w:rsidRPr="001C3FEE">
              <w:rPr>
                <w:caps w:val="0"/>
                <w:vertAlign w:val="subscript"/>
              </w:rPr>
              <w:t xml:space="preserve"> 1</w:t>
            </w:r>
          </w:p>
        </w:tc>
        <w:tc>
          <w:tcPr>
            <w:tcW w:w="936" w:type="dxa"/>
            <w:tcBorders>
              <w:top w:val="single" w:sz="4" w:space="0" w:color="auto"/>
              <w:bottom w:val="single" w:sz="4" w:space="0" w:color="auto"/>
            </w:tcBorders>
            <w:shd w:val="clear" w:color="auto" w:fill="D9D9D9"/>
            <w:noWrap/>
            <w:vAlign w:val="center"/>
          </w:tcPr>
          <w:p w:rsidR="001C3FEE" w:rsidRPr="001C3FEE" w:rsidRDefault="001C3FEE" w:rsidP="001C3FEE">
            <w:pPr>
              <w:pStyle w:val="Tableheadingrow"/>
              <w:rPr>
                <w:caps w:val="0"/>
              </w:rPr>
            </w:pPr>
            <w:r w:rsidRPr="001C3FEE">
              <w:rPr>
                <w:i/>
                <w:caps w:val="0"/>
              </w:rPr>
              <w:t>c</w:t>
            </w:r>
            <w:r w:rsidRPr="001C3FEE">
              <w:rPr>
                <w:caps w:val="0"/>
                <w:vertAlign w:val="subscript"/>
              </w:rPr>
              <w:t xml:space="preserve"> 2</w:t>
            </w:r>
          </w:p>
        </w:tc>
        <w:tc>
          <w:tcPr>
            <w:tcW w:w="936" w:type="dxa"/>
            <w:tcBorders>
              <w:top w:val="single" w:sz="4" w:space="0" w:color="auto"/>
              <w:bottom w:val="single" w:sz="4" w:space="0" w:color="auto"/>
            </w:tcBorders>
            <w:shd w:val="clear" w:color="auto" w:fill="D9D9D9"/>
            <w:noWrap/>
            <w:vAlign w:val="center"/>
          </w:tcPr>
          <w:p w:rsidR="001C3FEE" w:rsidRPr="001C3FEE" w:rsidRDefault="001C3FEE" w:rsidP="001C3FEE">
            <w:pPr>
              <w:pStyle w:val="Tableheadingrow"/>
              <w:rPr>
                <w:caps w:val="0"/>
              </w:rPr>
            </w:pPr>
            <w:r w:rsidRPr="001C3FEE">
              <w:rPr>
                <w:i/>
                <w:caps w:val="0"/>
              </w:rPr>
              <w:t>c</w:t>
            </w:r>
            <w:r w:rsidRPr="001C3FEE">
              <w:rPr>
                <w:caps w:val="0"/>
                <w:vertAlign w:val="subscript"/>
              </w:rPr>
              <w:t xml:space="preserve"> 3</w:t>
            </w:r>
          </w:p>
        </w:tc>
        <w:tc>
          <w:tcPr>
            <w:tcW w:w="936" w:type="dxa"/>
            <w:tcBorders>
              <w:top w:val="single" w:sz="4" w:space="0" w:color="auto"/>
              <w:bottom w:val="single" w:sz="4" w:space="0" w:color="auto"/>
            </w:tcBorders>
            <w:shd w:val="clear" w:color="auto" w:fill="D9D9D9"/>
            <w:noWrap/>
            <w:vAlign w:val="center"/>
          </w:tcPr>
          <w:p w:rsidR="001C3FEE" w:rsidRPr="001C3FEE" w:rsidRDefault="001C3FEE" w:rsidP="001C3FEE">
            <w:pPr>
              <w:pStyle w:val="Tableheadingrow"/>
              <w:rPr>
                <w:caps w:val="0"/>
              </w:rPr>
            </w:pPr>
            <w:r w:rsidRPr="001C3FEE">
              <w:rPr>
                <w:i/>
                <w:caps w:val="0"/>
              </w:rPr>
              <w:t>c</w:t>
            </w:r>
            <w:r w:rsidRPr="001C3FEE">
              <w:rPr>
                <w:caps w:val="0"/>
                <w:vertAlign w:val="subscript"/>
              </w:rPr>
              <w:t xml:space="preserve"> 4</w:t>
            </w:r>
          </w:p>
        </w:tc>
        <w:tc>
          <w:tcPr>
            <w:tcW w:w="936" w:type="dxa"/>
            <w:tcBorders>
              <w:top w:val="single" w:sz="4" w:space="0" w:color="auto"/>
              <w:bottom w:val="single" w:sz="4" w:space="0" w:color="auto"/>
            </w:tcBorders>
            <w:shd w:val="clear" w:color="auto" w:fill="D9D9D9"/>
            <w:noWrap/>
            <w:vAlign w:val="center"/>
          </w:tcPr>
          <w:p w:rsidR="001C3FEE" w:rsidRPr="001C3FEE" w:rsidRDefault="001C3FEE" w:rsidP="001C3FEE">
            <w:pPr>
              <w:pStyle w:val="Tableheadingrow"/>
              <w:rPr>
                <w:caps w:val="0"/>
              </w:rPr>
            </w:pPr>
            <w:r w:rsidRPr="001C3FEE">
              <w:rPr>
                <w:i/>
                <w:caps w:val="0"/>
              </w:rPr>
              <w:t>c</w:t>
            </w:r>
            <w:r w:rsidRPr="001C3FEE">
              <w:rPr>
                <w:caps w:val="0"/>
                <w:vertAlign w:val="subscript"/>
              </w:rPr>
              <w:t xml:space="preserve"> 5</w:t>
            </w:r>
          </w:p>
        </w:tc>
        <w:tc>
          <w:tcPr>
            <w:tcW w:w="936" w:type="dxa"/>
            <w:tcBorders>
              <w:top w:val="single" w:sz="4" w:space="0" w:color="auto"/>
              <w:bottom w:val="single" w:sz="4" w:space="0" w:color="auto"/>
            </w:tcBorders>
            <w:shd w:val="clear" w:color="auto" w:fill="D9D9D9"/>
            <w:noWrap/>
            <w:vAlign w:val="center"/>
          </w:tcPr>
          <w:p w:rsidR="001C3FEE" w:rsidRPr="001C3FEE" w:rsidRDefault="001C3FEE" w:rsidP="001C3FEE">
            <w:pPr>
              <w:pStyle w:val="Tableheadingrow"/>
              <w:rPr>
                <w:caps w:val="0"/>
              </w:rPr>
            </w:pPr>
            <w:r w:rsidRPr="001C3FEE">
              <w:rPr>
                <w:i/>
                <w:caps w:val="0"/>
              </w:rPr>
              <w:t>c</w:t>
            </w:r>
            <w:r w:rsidRPr="001C3FEE">
              <w:rPr>
                <w:caps w:val="0"/>
                <w:vertAlign w:val="subscript"/>
              </w:rPr>
              <w:t xml:space="preserve"> 6</w:t>
            </w:r>
          </w:p>
        </w:tc>
        <w:tc>
          <w:tcPr>
            <w:tcW w:w="936" w:type="dxa"/>
            <w:tcBorders>
              <w:top w:val="single" w:sz="4" w:space="0" w:color="auto"/>
              <w:bottom w:val="single" w:sz="4" w:space="0" w:color="auto"/>
            </w:tcBorders>
            <w:shd w:val="clear" w:color="auto" w:fill="D9D9D9"/>
            <w:noWrap/>
            <w:vAlign w:val="center"/>
          </w:tcPr>
          <w:p w:rsidR="001C3FEE" w:rsidRPr="001C3FEE" w:rsidRDefault="001C3FEE" w:rsidP="001C3FEE">
            <w:pPr>
              <w:pStyle w:val="Tableheadingrow"/>
              <w:rPr>
                <w:caps w:val="0"/>
              </w:rPr>
            </w:pPr>
            <w:r w:rsidRPr="001C3FEE">
              <w:rPr>
                <w:i/>
                <w:caps w:val="0"/>
              </w:rPr>
              <w:t>c</w:t>
            </w:r>
            <w:r w:rsidRPr="001C3FEE">
              <w:rPr>
                <w:caps w:val="0"/>
                <w:vertAlign w:val="subscript"/>
              </w:rPr>
              <w:t xml:space="preserve"> 7</w:t>
            </w:r>
          </w:p>
        </w:tc>
        <w:tc>
          <w:tcPr>
            <w:tcW w:w="936" w:type="dxa"/>
            <w:tcBorders>
              <w:top w:val="single" w:sz="4" w:space="0" w:color="auto"/>
              <w:bottom w:val="single" w:sz="4" w:space="0" w:color="auto"/>
            </w:tcBorders>
            <w:shd w:val="clear" w:color="auto" w:fill="D9D9D9"/>
            <w:noWrap/>
            <w:vAlign w:val="center"/>
          </w:tcPr>
          <w:p w:rsidR="001C3FEE" w:rsidRPr="001C3FEE" w:rsidRDefault="001C3FEE" w:rsidP="001C3FEE">
            <w:pPr>
              <w:pStyle w:val="Tableheadingrow"/>
              <w:rPr>
                <w:caps w:val="0"/>
              </w:rPr>
            </w:pPr>
            <w:r w:rsidRPr="001C3FEE">
              <w:rPr>
                <w:i/>
                <w:caps w:val="0"/>
              </w:rPr>
              <w:t>c</w:t>
            </w:r>
            <w:r w:rsidRPr="001C3FEE">
              <w:rPr>
                <w:caps w:val="0"/>
                <w:vertAlign w:val="subscript"/>
              </w:rPr>
              <w:t xml:space="preserve"> 8</w:t>
            </w:r>
          </w:p>
        </w:tc>
        <w:tc>
          <w:tcPr>
            <w:tcW w:w="936" w:type="dxa"/>
            <w:tcBorders>
              <w:top w:val="single" w:sz="4" w:space="0" w:color="auto"/>
              <w:bottom w:val="single" w:sz="4" w:space="0" w:color="auto"/>
            </w:tcBorders>
            <w:shd w:val="clear" w:color="auto" w:fill="D9D9D9"/>
            <w:noWrap/>
            <w:vAlign w:val="center"/>
          </w:tcPr>
          <w:p w:rsidR="001C3FEE" w:rsidRPr="001C3FEE" w:rsidRDefault="001C3FEE" w:rsidP="001C3FEE">
            <w:pPr>
              <w:pStyle w:val="Tableheadingrow"/>
              <w:rPr>
                <w:caps w:val="0"/>
              </w:rPr>
            </w:pPr>
            <w:r w:rsidRPr="001C3FEE">
              <w:rPr>
                <w:i/>
                <w:caps w:val="0"/>
              </w:rPr>
              <w:t>c</w:t>
            </w:r>
            <w:r w:rsidRPr="001C3FEE">
              <w:rPr>
                <w:caps w:val="0"/>
                <w:vertAlign w:val="subscript"/>
              </w:rPr>
              <w:t xml:space="preserve"> 9</w:t>
            </w:r>
          </w:p>
        </w:tc>
        <w:tc>
          <w:tcPr>
            <w:tcW w:w="936" w:type="dxa"/>
            <w:tcBorders>
              <w:top w:val="single" w:sz="4" w:space="0" w:color="auto"/>
              <w:bottom w:val="single" w:sz="4" w:space="0" w:color="auto"/>
            </w:tcBorders>
            <w:shd w:val="clear" w:color="auto" w:fill="D9D9D9"/>
            <w:noWrap/>
            <w:vAlign w:val="center"/>
          </w:tcPr>
          <w:p w:rsidR="001C3FEE" w:rsidRPr="001C3FEE" w:rsidRDefault="001C3FEE" w:rsidP="001C3FEE">
            <w:pPr>
              <w:pStyle w:val="Tableheadingrow"/>
              <w:rPr>
                <w:caps w:val="0"/>
              </w:rPr>
            </w:pPr>
            <w:r w:rsidRPr="001C3FEE">
              <w:rPr>
                <w:i/>
                <w:caps w:val="0"/>
              </w:rPr>
              <w:t>c</w:t>
            </w:r>
            <w:r w:rsidRPr="001C3FEE">
              <w:rPr>
                <w:caps w:val="0"/>
                <w:vertAlign w:val="subscript"/>
              </w:rPr>
              <w:t xml:space="preserve"> 10</w:t>
            </w:r>
          </w:p>
        </w:tc>
        <w:tc>
          <w:tcPr>
            <w:tcW w:w="936" w:type="dxa"/>
            <w:tcBorders>
              <w:top w:val="single" w:sz="4" w:space="0" w:color="auto"/>
              <w:bottom w:val="single" w:sz="4" w:space="0" w:color="auto"/>
            </w:tcBorders>
            <w:shd w:val="clear" w:color="auto" w:fill="D9D9D9"/>
            <w:vAlign w:val="center"/>
          </w:tcPr>
          <w:p w:rsidR="001C3FEE" w:rsidRPr="001C3FEE" w:rsidRDefault="001C3FEE" w:rsidP="001C3FEE">
            <w:pPr>
              <w:pStyle w:val="Tableheadingrow"/>
              <w:rPr>
                <w:caps w:val="0"/>
              </w:rPr>
            </w:pPr>
            <w:r w:rsidRPr="001C3FEE">
              <w:rPr>
                <w:i/>
                <w:caps w:val="0"/>
              </w:rPr>
              <w:t>c</w:t>
            </w:r>
            <w:r w:rsidRPr="001C3FEE">
              <w:rPr>
                <w:caps w:val="0"/>
                <w:vertAlign w:val="subscript"/>
              </w:rPr>
              <w:t>11</w:t>
            </w:r>
          </w:p>
        </w:tc>
        <w:tc>
          <w:tcPr>
            <w:tcW w:w="936" w:type="dxa"/>
            <w:tcBorders>
              <w:top w:val="single" w:sz="4" w:space="0" w:color="auto"/>
              <w:bottom w:val="single" w:sz="4" w:space="0" w:color="auto"/>
            </w:tcBorders>
            <w:shd w:val="clear" w:color="auto" w:fill="D9D9D9"/>
            <w:vAlign w:val="center"/>
          </w:tcPr>
          <w:p w:rsidR="001C3FEE" w:rsidRPr="001C3FEE" w:rsidRDefault="001C3FEE" w:rsidP="001C3FEE">
            <w:pPr>
              <w:pStyle w:val="Tableheadingrow"/>
              <w:rPr>
                <w:caps w:val="0"/>
              </w:rPr>
            </w:pPr>
            <w:r w:rsidRPr="001C3FEE">
              <w:rPr>
                <w:caps w:val="0"/>
              </w:rPr>
              <w:sym w:font="Symbol" w:char="F073"/>
            </w:r>
          </w:p>
        </w:tc>
      </w:tr>
      <w:tr w:rsidR="00E601DD" w:rsidRPr="005057BF" w:rsidTr="001026FC">
        <w:trPr>
          <w:trHeight w:val="227"/>
        </w:trPr>
        <w:tc>
          <w:tcPr>
            <w:tcW w:w="936" w:type="dxa"/>
            <w:tcBorders>
              <w:top w:val="single" w:sz="4" w:space="0" w:color="auto"/>
            </w:tcBorders>
            <w:shd w:val="clear" w:color="auto" w:fill="auto"/>
            <w:noWrap/>
            <w:vAlign w:val="bottom"/>
          </w:tcPr>
          <w:p w:rsidR="00E601DD" w:rsidRPr="005057BF" w:rsidRDefault="00E601DD" w:rsidP="00AA3238">
            <w:pPr>
              <w:spacing w:before="60" w:after="60"/>
              <w:jc w:val="right"/>
              <w:rPr>
                <w:rFonts w:ascii="Arial Narrow" w:hAnsi="Arial Narrow" w:cs="Arial"/>
              </w:rPr>
            </w:pPr>
            <w:r w:rsidRPr="005057BF">
              <w:rPr>
                <w:rFonts w:ascii="Arial Narrow" w:hAnsi="Arial Narrow" w:cs="Arial"/>
              </w:rPr>
              <w:t>0.01</w:t>
            </w:r>
          </w:p>
        </w:tc>
        <w:tc>
          <w:tcPr>
            <w:tcW w:w="936" w:type="dxa"/>
            <w:tcBorders>
              <w:top w:val="single" w:sz="4" w:space="0" w:color="auto"/>
            </w:tcBorders>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3.383</w:t>
            </w:r>
          </w:p>
        </w:tc>
        <w:tc>
          <w:tcPr>
            <w:tcW w:w="936" w:type="dxa"/>
            <w:tcBorders>
              <w:top w:val="single" w:sz="4" w:space="0" w:color="auto"/>
            </w:tcBorders>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0.604</w:t>
            </w:r>
          </w:p>
        </w:tc>
        <w:tc>
          <w:tcPr>
            <w:tcW w:w="936" w:type="dxa"/>
            <w:tcBorders>
              <w:top w:val="single" w:sz="4" w:space="0" w:color="auto"/>
            </w:tcBorders>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-0.091</w:t>
            </w:r>
          </w:p>
        </w:tc>
        <w:tc>
          <w:tcPr>
            <w:tcW w:w="936" w:type="dxa"/>
            <w:tcBorders>
              <w:top w:val="single" w:sz="4" w:space="0" w:color="auto"/>
            </w:tcBorders>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-1.929</w:t>
            </w:r>
          </w:p>
        </w:tc>
        <w:tc>
          <w:tcPr>
            <w:tcW w:w="936" w:type="dxa"/>
            <w:tcBorders>
              <w:top w:val="single" w:sz="4" w:space="0" w:color="auto"/>
            </w:tcBorders>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0.175</w:t>
            </w:r>
          </w:p>
        </w:tc>
        <w:tc>
          <w:tcPr>
            <w:tcW w:w="936" w:type="dxa"/>
            <w:tcBorders>
              <w:top w:val="single" w:sz="4" w:space="0" w:color="auto"/>
            </w:tcBorders>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1.429</w:t>
            </w:r>
          </w:p>
        </w:tc>
        <w:tc>
          <w:tcPr>
            <w:tcW w:w="936" w:type="dxa"/>
            <w:tcBorders>
              <w:top w:val="single" w:sz="4" w:space="0" w:color="auto"/>
            </w:tcBorders>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-0.182</w:t>
            </w:r>
          </w:p>
        </w:tc>
        <w:tc>
          <w:tcPr>
            <w:tcW w:w="936" w:type="dxa"/>
            <w:tcBorders>
              <w:top w:val="single" w:sz="4" w:space="0" w:color="auto"/>
            </w:tcBorders>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-0.013</w:t>
            </w:r>
          </w:p>
        </w:tc>
        <w:tc>
          <w:tcPr>
            <w:tcW w:w="936" w:type="dxa"/>
            <w:tcBorders>
              <w:top w:val="single" w:sz="4" w:space="0" w:color="auto"/>
            </w:tcBorders>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-4.699</w:t>
            </w:r>
          </w:p>
        </w:tc>
        <w:tc>
          <w:tcPr>
            <w:tcW w:w="936" w:type="dxa"/>
            <w:tcBorders>
              <w:top w:val="single" w:sz="4" w:space="0" w:color="auto"/>
            </w:tcBorders>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-3.149</w:t>
            </w:r>
          </w:p>
        </w:tc>
        <w:tc>
          <w:tcPr>
            <w:tcW w:w="936" w:type="dxa"/>
            <w:tcBorders>
              <w:top w:val="single" w:sz="4" w:space="0" w:color="auto"/>
            </w:tcBorders>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0.316</w:t>
            </w:r>
          </w:p>
        </w:tc>
        <w:tc>
          <w:tcPr>
            <w:tcW w:w="936" w:type="dxa"/>
            <w:tcBorders>
              <w:top w:val="single" w:sz="4" w:space="0" w:color="auto"/>
            </w:tcBorders>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-0.765</w:t>
            </w:r>
          </w:p>
        </w:tc>
        <w:tc>
          <w:tcPr>
            <w:tcW w:w="936" w:type="dxa"/>
            <w:tcBorders>
              <w:top w:val="single" w:sz="4" w:space="0" w:color="auto"/>
            </w:tcBorders>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0.365</w:t>
            </w:r>
          </w:p>
        </w:tc>
      </w:tr>
      <w:tr w:rsidR="00E601DD" w:rsidRPr="005057BF" w:rsidTr="001026FC">
        <w:trPr>
          <w:trHeight w:val="227"/>
        </w:trPr>
        <w:tc>
          <w:tcPr>
            <w:tcW w:w="936" w:type="dxa"/>
            <w:shd w:val="clear" w:color="auto" w:fill="auto"/>
            <w:noWrap/>
            <w:vAlign w:val="bottom"/>
          </w:tcPr>
          <w:p w:rsidR="00E601DD" w:rsidRPr="005057BF" w:rsidRDefault="00E601DD" w:rsidP="00AA3238">
            <w:pPr>
              <w:spacing w:before="60" w:after="60"/>
              <w:jc w:val="right"/>
              <w:rPr>
                <w:rFonts w:ascii="Arial Narrow" w:hAnsi="Arial Narrow" w:cs="Arial"/>
              </w:rPr>
            </w:pPr>
            <w:r w:rsidRPr="005057BF">
              <w:rPr>
                <w:rFonts w:ascii="Arial Narrow" w:hAnsi="Arial Narrow" w:cs="Arial"/>
              </w:rPr>
              <w:t>0.02</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3.557</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0.590</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-0.086</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-1.940</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0.162</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2.186</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-0.455</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0.034</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-4.863</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-3.093</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0.305</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-1.284</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0.390</w:t>
            </w:r>
          </w:p>
        </w:tc>
      </w:tr>
      <w:tr w:rsidR="00E601DD" w:rsidRPr="005057BF" w:rsidTr="001026FC">
        <w:trPr>
          <w:trHeight w:val="227"/>
        </w:trPr>
        <w:tc>
          <w:tcPr>
            <w:tcW w:w="936" w:type="dxa"/>
            <w:shd w:val="clear" w:color="auto" w:fill="auto"/>
            <w:noWrap/>
            <w:vAlign w:val="bottom"/>
          </w:tcPr>
          <w:p w:rsidR="00E601DD" w:rsidRPr="005057BF" w:rsidRDefault="00E601DD" w:rsidP="00AA3238">
            <w:pPr>
              <w:spacing w:before="60" w:after="60"/>
              <w:jc w:val="right"/>
              <w:rPr>
                <w:rFonts w:ascii="Arial Narrow" w:hAnsi="Arial Narrow" w:cs="Arial"/>
              </w:rPr>
            </w:pPr>
            <w:r w:rsidRPr="005057BF">
              <w:rPr>
                <w:rFonts w:ascii="Arial Narrow" w:hAnsi="Arial Narrow" w:cs="Arial"/>
              </w:rPr>
              <w:t>0.03</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3.707</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0.528</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-0.084</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-1.973</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0.186</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0.967</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-0.455</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0.002</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-4.683</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-3.285</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0.393</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-1.260</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0.384</w:t>
            </w:r>
          </w:p>
        </w:tc>
      </w:tr>
      <w:tr w:rsidR="00E601DD" w:rsidRPr="005057BF" w:rsidTr="001026FC">
        <w:trPr>
          <w:trHeight w:val="227"/>
        </w:trPr>
        <w:tc>
          <w:tcPr>
            <w:tcW w:w="936" w:type="dxa"/>
            <w:shd w:val="clear" w:color="auto" w:fill="auto"/>
            <w:noWrap/>
            <w:vAlign w:val="bottom"/>
          </w:tcPr>
          <w:p w:rsidR="00E601DD" w:rsidRPr="005057BF" w:rsidRDefault="00E601DD" w:rsidP="00AA3238">
            <w:pPr>
              <w:spacing w:before="60" w:after="60"/>
              <w:jc w:val="right"/>
              <w:rPr>
                <w:rFonts w:ascii="Arial Narrow" w:hAnsi="Arial Narrow" w:cs="Arial"/>
              </w:rPr>
            </w:pPr>
            <w:r w:rsidRPr="005057BF">
              <w:rPr>
                <w:rFonts w:ascii="Arial Narrow" w:hAnsi="Arial Narrow" w:cs="Arial"/>
              </w:rPr>
              <w:t>0.05</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3.739</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0.546</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-0.084</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-1.937</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0.165</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1.740</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-0.440</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0.001</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-4.337</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-3.478</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0.418</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-1.128</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0.356</w:t>
            </w:r>
          </w:p>
        </w:tc>
      </w:tr>
      <w:tr w:rsidR="00E601DD" w:rsidRPr="005057BF" w:rsidTr="001026FC">
        <w:trPr>
          <w:trHeight w:val="227"/>
        </w:trPr>
        <w:tc>
          <w:tcPr>
            <w:tcW w:w="936" w:type="dxa"/>
            <w:shd w:val="clear" w:color="auto" w:fill="auto"/>
            <w:noWrap/>
            <w:vAlign w:val="bottom"/>
          </w:tcPr>
          <w:p w:rsidR="00E601DD" w:rsidRPr="005057BF" w:rsidRDefault="00E601DD" w:rsidP="00AA3238">
            <w:pPr>
              <w:spacing w:before="60" w:after="60"/>
              <w:jc w:val="right"/>
              <w:rPr>
                <w:rFonts w:ascii="Arial Narrow" w:hAnsi="Arial Narrow" w:cs="Arial"/>
              </w:rPr>
            </w:pPr>
            <w:r w:rsidRPr="005057BF">
              <w:rPr>
                <w:rFonts w:ascii="Arial Narrow" w:hAnsi="Arial Narrow" w:cs="Arial"/>
              </w:rPr>
              <w:t>0.08</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3.672</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0.584</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-0.089</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-1.888</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0.158</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0.656</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-0.299</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-0.033</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-4.186</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-3.553</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0.398</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-1.194</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0.339</w:t>
            </w:r>
          </w:p>
        </w:tc>
      </w:tr>
      <w:tr w:rsidR="00E601DD" w:rsidRPr="005057BF" w:rsidTr="001026FC">
        <w:trPr>
          <w:trHeight w:val="227"/>
        </w:trPr>
        <w:tc>
          <w:tcPr>
            <w:tcW w:w="936" w:type="dxa"/>
            <w:shd w:val="clear" w:color="auto" w:fill="auto"/>
            <w:noWrap/>
            <w:vAlign w:val="bottom"/>
          </w:tcPr>
          <w:p w:rsidR="00E601DD" w:rsidRPr="005057BF" w:rsidRDefault="00E601DD" w:rsidP="00AA3238">
            <w:pPr>
              <w:spacing w:before="60" w:after="60"/>
              <w:jc w:val="right"/>
              <w:rPr>
                <w:rFonts w:ascii="Arial Narrow" w:hAnsi="Arial Narrow" w:cs="Arial"/>
              </w:rPr>
            </w:pPr>
            <w:r w:rsidRPr="005057BF">
              <w:rPr>
                <w:rFonts w:ascii="Arial Narrow" w:hAnsi="Arial Narrow" w:cs="Arial"/>
              </w:rPr>
              <w:t>0.10</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3.579</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0.627</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-0.097</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-1.848</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0.157</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-0.122</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-0.164</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-0.058</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-4.049</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-3.517</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0.345</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-1.087</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0.332</w:t>
            </w:r>
          </w:p>
        </w:tc>
      </w:tr>
      <w:tr w:rsidR="00E601DD" w:rsidRPr="005057BF" w:rsidTr="001026FC">
        <w:trPr>
          <w:trHeight w:val="227"/>
        </w:trPr>
        <w:tc>
          <w:tcPr>
            <w:tcW w:w="936" w:type="dxa"/>
            <w:shd w:val="clear" w:color="auto" w:fill="auto"/>
            <w:noWrap/>
            <w:vAlign w:val="bottom"/>
          </w:tcPr>
          <w:p w:rsidR="00E601DD" w:rsidRPr="005057BF" w:rsidRDefault="00E601DD" w:rsidP="00AA3238">
            <w:pPr>
              <w:spacing w:before="60" w:after="60"/>
              <w:jc w:val="right"/>
              <w:rPr>
                <w:rFonts w:ascii="Arial Narrow" w:hAnsi="Arial Narrow" w:cs="Arial"/>
              </w:rPr>
            </w:pPr>
            <w:r w:rsidRPr="005057BF">
              <w:rPr>
                <w:rFonts w:ascii="Arial Narrow" w:hAnsi="Arial Narrow" w:cs="Arial"/>
              </w:rPr>
              <w:t>0.15</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3.378</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0.728</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-0.113</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-1.780</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0.148</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1.127</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-0.009</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-0.045</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-3.626</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-3.284</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0.185</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-0.325</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0.327</w:t>
            </w:r>
          </w:p>
        </w:tc>
      </w:tr>
      <w:tr w:rsidR="00E601DD" w:rsidRPr="005057BF" w:rsidTr="001026FC">
        <w:trPr>
          <w:trHeight w:val="227"/>
        </w:trPr>
        <w:tc>
          <w:tcPr>
            <w:tcW w:w="936" w:type="dxa"/>
            <w:shd w:val="clear" w:color="auto" w:fill="auto"/>
            <w:noWrap/>
            <w:vAlign w:val="bottom"/>
          </w:tcPr>
          <w:p w:rsidR="00E601DD" w:rsidRPr="005057BF" w:rsidRDefault="00E601DD" w:rsidP="00AA3238">
            <w:pPr>
              <w:spacing w:before="60" w:after="60"/>
              <w:jc w:val="right"/>
              <w:rPr>
                <w:rFonts w:ascii="Arial Narrow" w:hAnsi="Arial Narrow" w:cs="Arial"/>
              </w:rPr>
            </w:pPr>
            <w:r w:rsidRPr="005057BF">
              <w:rPr>
                <w:rFonts w:ascii="Arial Narrow" w:hAnsi="Arial Narrow" w:cs="Arial"/>
              </w:rPr>
              <w:t>0.20</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3.183</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0.821</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-0.128</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-1.733</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0.144</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2.006</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0.123</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-0.043</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-3.487</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-3.059</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0.108</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-0.016</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0.325</w:t>
            </w:r>
          </w:p>
        </w:tc>
      </w:tr>
      <w:tr w:rsidR="00E601DD" w:rsidRPr="005057BF" w:rsidTr="001026FC">
        <w:trPr>
          <w:trHeight w:val="227"/>
        </w:trPr>
        <w:tc>
          <w:tcPr>
            <w:tcW w:w="936" w:type="dxa"/>
            <w:shd w:val="clear" w:color="auto" w:fill="auto"/>
            <w:noWrap/>
            <w:vAlign w:val="bottom"/>
          </w:tcPr>
          <w:p w:rsidR="00E601DD" w:rsidRPr="005057BF" w:rsidRDefault="00E601DD" w:rsidP="00AA3238">
            <w:pPr>
              <w:spacing w:before="60" w:after="60"/>
              <w:jc w:val="right"/>
              <w:rPr>
                <w:rFonts w:ascii="Arial Narrow" w:hAnsi="Arial Narrow" w:cs="Arial"/>
              </w:rPr>
            </w:pPr>
            <w:r w:rsidRPr="005057BF">
              <w:rPr>
                <w:rFonts w:ascii="Arial Narrow" w:hAnsi="Arial Narrow" w:cs="Arial"/>
              </w:rPr>
              <w:t>0.25</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3.004</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0.899</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-0.143</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-1.701</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0.148</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1.902</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0.260</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-0.063</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-3.599</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-2.884</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0.106</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-0.177</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0.325</w:t>
            </w:r>
          </w:p>
        </w:tc>
      </w:tr>
      <w:tr w:rsidR="00E601DD" w:rsidRPr="005057BF" w:rsidTr="001026FC">
        <w:trPr>
          <w:trHeight w:val="227"/>
        </w:trPr>
        <w:tc>
          <w:tcPr>
            <w:tcW w:w="936" w:type="dxa"/>
            <w:shd w:val="clear" w:color="auto" w:fill="auto"/>
            <w:noWrap/>
            <w:vAlign w:val="bottom"/>
          </w:tcPr>
          <w:p w:rsidR="00E601DD" w:rsidRPr="005057BF" w:rsidRDefault="00E601DD" w:rsidP="00AA3238">
            <w:pPr>
              <w:spacing w:before="60" w:after="60"/>
              <w:jc w:val="right"/>
              <w:rPr>
                <w:rFonts w:ascii="Arial Narrow" w:hAnsi="Arial Narrow" w:cs="Arial"/>
              </w:rPr>
            </w:pPr>
            <w:r w:rsidRPr="005057BF">
              <w:rPr>
                <w:rFonts w:ascii="Arial Narrow" w:hAnsi="Arial Narrow" w:cs="Arial"/>
              </w:rPr>
              <w:t>0.30</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2.843</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0.963</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-0.156</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-1.679</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0.154</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1.532</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0.369</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-0.084</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-3.751</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-2.750</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0.124</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-0.478</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0.325</w:t>
            </w:r>
          </w:p>
        </w:tc>
      </w:tr>
      <w:tr w:rsidR="00E601DD" w:rsidRPr="005057BF" w:rsidTr="001026FC">
        <w:trPr>
          <w:trHeight w:val="227"/>
        </w:trPr>
        <w:tc>
          <w:tcPr>
            <w:tcW w:w="936" w:type="dxa"/>
            <w:shd w:val="clear" w:color="auto" w:fill="auto"/>
            <w:noWrap/>
            <w:vAlign w:val="bottom"/>
          </w:tcPr>
          <w:p w:rsidR="00E601DD" w:rsidRPr="005057BF" w:rsidRDefault="00E601DD" w:rsidP="00AA3238">
            <w:pPr>
              <w:spacing w:before="60" w:after="60"/>
              <w:jc w:val="right"/>
              <w:rPr>
                <w:rFonts w:ascii="Arial Narrow" w:hAnsi="Arial Narrow" w:cs="Arial"/>
              </w:rPr>
            </w:pPr>
            <w:r w:rsidRPr="005057BF">
              <w:rPr>
                <w:rFonts w:ascii="Arial Narrow" w:hAnsi="Arial Narrow" w:cs="Arial"/>
              </w:rPr>
              <w:t>0.40</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2.550</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1.065</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-0.172</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-1.652</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0.159</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1.227</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0.461</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-0.095</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-3.856</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-2.560</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0.130</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-0.996</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0.325</w:t>
            </w:r>
          </w:p>
        </w:tc>
      </w:tr>
      <w:tr w:rsidR="00E601DD" w:rsidRPr="005057BF" w:rsidTr="001026FC">
        <w:trPr>
          <w:trHeight w:val="227"/>
        </w:trPr>
        <w:tc>
          <w:tcPr>
            <w:tcW w:w="936" w:type="dxa"/>
            <w:shd w:val="clear" w:color="auto" w:fill="auto"/>
            <w:noWrap/>
            <w:vAlign w:val="bottom"/>
          </w:tcPr>
          <w:p w:rsidR="00E601DD" w:rsidRPr="005057BF" w:rsidRDefault="00E601DD" w:rsidP="00AA3238">
            <w:pPr>
              <w:spacing w:before="60" w:after="60"/>
              <w:jc w:val="right"/>
              <w:rPr>
                <w:rFonts w:ascii="Arial Narrow" w:hAnsi="Arial Narrow" w:cs="Arial"/>
              </w:rPr>
            </w:pPr>
            <w:r w:rsidRPr="005057BF">
              <w:rPr>
                <w:rFonts w:ascii="Arial Narrow" w:hAnsi="Arial Narrow" w:cs="Arial"/>
              </w:rPr>
              <w:t>0.50</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2.303</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1.139</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-0.181</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-1.637</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0.160</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1.367</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0.462</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-0.083</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-3.790</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-2.437</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0.109</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-1.334</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0.323</w:t>
            </w:r>
          </w:p>
        </w:tc>
      </w:tr>
      <w:tr w:rsidR="00E601DD" w:rsidRPr="005057BF" w:rsidTr="001026FC">
        <w:trPr>
          <w:trHeight w:val="227"/>
        </w:trPr>
        <w:tc>
          <w:tcPr>
            <w:tcW w:w="936" w:type="dxa"/>
            <w:shd w:val="clear" w:color="auto" w:fill="auto"/>
            <w:noWrap/>
            <w:vAlign w:val="bottom"/>
          </w:tcPr>
          <w:p w:rsidR="00E601DD" w:rsidRPr="005057BF" w:rsidRDefault="00E601DD" w:rsidP="00AA3238">
            <w:pPr>
              <w:spacing w:before="60" w:after="60"/>
              <w:jc w:val="right"/>
              <w:rPr>
                <w:rFonts w:ascii="Arial Narrow" w:hAnsi="Arial Narrow" w:cs="Arial"/>
              </w:rPr>
            </w:pPr>
            <w:r w:rsidRPr="005057BF">
              <w:rPr>
                <w:rFonts w:ascii="Arial Narrow" w:hAnsi="Arial Narrow" w:cs="Arial"/>
              </w:rPr>
              <w:t>0.75</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1.822</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1.248</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-0.186</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-1.615</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0.158</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1.708</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0.453</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-0.077</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-3.632</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-2.381</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0.117</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-1.557</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0.319</w:t>
            </w:r>
          </w:p>
        </w:tc>
      </w:tr>
      <w:tr w:rsidR="00E601DD" w:rsidRPr="005057BF" w:rsidTr="001026FC">
        <w:trPr>
          <w:trHeight w:val="227"/>
        </w:trPr>
        <w:tc>
          <w:tcPr>
            <w:tcW w:w="936" w:type="dxa"/>
            <w:shd w:val="clear" w:color="auto" w:fill="auto"/>
            <w:noWrap/>
            <w:vAlign w:val="bottom"/>
          </w:tcPr>
          <w:p w:rsidR="00E601DD" w:rsidRPr="005057BF" w:rsidRDefault="00E601DD" w:rsidP="00AA3238">
            <w:pPr>
              <w:spacing w:before="60" w:after="60"/>
              <w:jc w:val="right"/>
              <w:rPr>
                <w:rFonts w:ascii="Arial Narrow" w:hAnsi="Arial Narrow" w:cs="Arial"/>
              </w:rPr>
            </w:pPr>
            <w:r w:rsidRPr="005057BF">
              <w:rPr>
                <w:rFonts w:ascii="Arial Narrow" w:hAnsi="Arial Narrow" w:cs="Arial"/>
              </w:rPr>
              <w:t>1.00</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1.479</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1.297</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-0.182</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-1.603</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0.157</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1.706</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0.487</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-0.101</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-3.612</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-2.471</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0.182</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-1.411</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0.318</w:t>
            </w:r>
          </w:p>
        </w:tc>
      </w:tr>
      <w:tr w:rsidR="00E601DD" w:rsidRPr="005057BF" w:rsidTr="001026FC">
        <w:trPr>
          <w:trHeight w:val="227"/>
        </w:trPr>
        <w:tc>
          <w:tcPr>
            <w:tcW w:w="936" w:type="dxa"/>
            <w:shd w:val="clear" w:color="auto" w:fill="auto"/>
            <w:noWrap/>
            <w:vAlign w:val="bottom"/>
          </w:tcPr>
          <w:p w:rsidR="00E601DD" w:rsidRPr="005057BF" w:rsidRDefault="00E601DD" w:rsidP="00AA3238">
            <w:pPr>
              <w:spacing w:before="60" w:after="60"/>
              <w:jc w:val="right"/>
              <w:rPr>
                <w:rFonts w:ascii="Arial Narrow" w:hAnsi="Arial Narrow" w:cs="Arial"/>
              </w:rPr>
            </w:pPr>
            <w:r w:rsidRPr="005057BF">
              <w:rPr>
                <w:rFonts w:ascii="Arial Narrow" w:hAnsi="Arial Narrow" w:cs="Arial"/>
              </w:rPr>
              <w:t>1.50</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1.071</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1.274</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-0.161</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-1.626</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0.173</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1.651</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0.526</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-0.135</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-3.723</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-2.564</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0.248</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-0.982</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0.316</w:t>
            </w:r>
          </w:p>
        </w:tc>
      </w:tr>
      <w:tr w:rsidR="00E601DD" w:rsidRPr="005057BF" w:rsidTr="001026FC">
        <w:trPr>
          <w:trHeight w:val="227"/>
        </w:trPr>
        <w:tc>
          <w:tcPr>
            <w:tcW w:w="936" w:type="dxa"/>
            <w:shd w:val="clear" w:color="auto" w:fill="auto"/>
            <w:noWrap/>
            <w:vAlign w:val="bottom"/>
          </w:tcPr>
          <w:p w:rsidR="00E601DD" w:rsidRPr="005057BF" w:rsidRDefault="00E601DD" w:rsidP="00AA3238">
            <w:pPr>
              <w:spacing w:before="60" w:after="60"/>
              <w:jc w:val="right"/>
              <w:rPr>
                <w:rFonts w:ascii="Arial Narrow" w:hAnsi="Arial Narrow" w:cs="Arial"/>
              </w:rPr>
            </w:pPr>
            <w:r w:rsidRPr="005057BF">
              <w:rPr>
                <w:rFonts w:ascii="Arial Narrow" w:hAnsi="Arial Narrow" w:cs="Arial"/>
              </w:rPr>
              <w:t>2.00</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0.841</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1.206</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-0.139</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-1.664</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0.194</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1.660</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0.539</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-0.148</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-3.764</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-2.581</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0.261</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-0.654</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0.314</w:t>
            </w:r>
          </w:p>
        </w:tc>
      </w:tr>
      <w:tr w:rsidR="00E601DD" w:rsidRPr="005057BF" w:rsidTr="001026FC">
        <w:trPr>
          <w:trHeight w:val="227"/>
        </w:trPr>
        <w:tc>
          <w:tcPr>
            <w:tcW w:w="936" w:type="dxa"/>
            <w:shd w:val="clear" w:color="auto" w:fill="auto"/>
            <w:noWrap/>
            <w:vAlign w:val="bottom"/>
          </w:tcPr>
          <w:p w:rsidR="00E601DD" w:rsidRPr="005057BF" w:rsidRDefault="00E601DD" w:rsidP="00AA3238">
            <w:pPr>
              <w:spacing w:before="60" w:after="60"/>
              <w:jc w:val="right"/>
              <w:rPr>
                <w:rFonts w:ascii="Arial Narrow" w:hAnsi="Arial Narrow" w:cs="Arial"/>
              </w:rPr>
            </w:pPr>
            <w:r w:rsidRPr="005057BF">
              <w:rPr>
                <w:rFonts w:ascii="Arial Narrow" w:hAnsi="Arial Narrow" w:cs="Arial"/>
              </w:rPr>
              <w:t>3.00</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0.534</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1.096</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-0.105</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-1.707</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0.218</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1.616</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0.598</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-0.167</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-3.160</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-2.707</w:t>
            </w:r>
          </w:p>
        </w:tc>
        <w:tc>
          <w:tcPr>
            <w:tcW w:w="936" w:type="dxa"/>
            <w:shd w:val="clear" w:color="auto" w:fill="auto"/>
            <w:noWrap/>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0.309</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-0.405</w:t>
            </w:r>
          </w:p>
        </w:tc>
        <w:tc>
          <w:tcPr>
            <w:tcW w:w="936" w:type="dxa"/>
            <w:vAlign w:val="bottom"/>
          </w:tcPr>
          <w:p w:rsidR="00E601DD" w:rsidRPr="009B38DF" w:rsidRDefault="00E601DD" w:rsidP="00AD1362">
            <w:pPr>
              <w:spacing w:before="60" w:after="60"/>
              <w:jc w:val="right"/>
              <w:rPr>
                <w:rFonts w:ascii="Arial Narrow" w:hAnsi="Arial Narrow" w:cs="Arial"/>
              </w:rPr>
            </w:pPr>
            <w:r w:rsidRPr="009B38DF">
              <w:rPr>
                <w:rFonts w:ascii="Arial Narrow" w:hAnsi="Arial Narrow" w:cs="Arial"/>
              </w:rPr>
              <w:t>0.311</w:t>
            </w:r>
          </w:p>
        </w:tc>
      </w:tr>
      <w:tr w:rsidR="00AA3238" w:rsidRPr="005057BF" w:rsidTr="001026FC">
        <w:trPr>
          <w:trHeight w:val="227"/>
        </w:trPr>
        <w:tc>
          <w:tcPr>
            <w:tcW w:w="936" w:type="dxa"/>
            <w:tcBorders>
              <w:bottom w:val="single" w:sz="4" w:space="0" w:color="auto"/>
            </w:tcBorders>
            <w:shd w:val="clear" w:color="auto" w:fill="auto"/>
            <w:noWrap/>
            <w:vAlign w:val="bottom"/>
          </w:tcPr>
          <w:p w:rsidR="00AA3238" w:rsidRPr="005057BF" w:rsidRDefault="00AA3238" w:rsidP="00AA3238">
            <w:pPr>
              <w:spacing w:before="60" w:after="60"/>
              <w:jc w:val="right"/>
              <w:rPr>
                <w:rFonts w:ascii="Arial Narrow" w:hAnsi="Arial Narrow" w:cs="Arial"/>
              </w:rPr>
            </w:pPr>
            <w:r w:rsidRPr="005057BF">
              <w:rPr>
                <w:rFonts w:ascii="Arial Narrow" w:hAnsi="Arial Narrow" w:cs="Arial"/>
              </w:rPr>
              <w:t>4.00</w:t>
            </w:r>
          </w:p>
        </w:tc>
        <w:tc>
          <w:tcPr>
            <w:tcW w:w="936" w:type="dxa"/>
            <w:tcBorders>
              <w:bottom w:val="single" w:sz="4" w:space="0" w:color="auto"/>
            </w:tcBorders>
            <w:shd w:val="clear" w:color="auto" w:fill="auto"/>
            <w:noWrap/>
            <w:vAlign w:val="bottom"/>
          </w:tcPr>
          <w:p w:rsidR="00AA3238" w:rsidRPr="005057BF" w:rsidRDefault="00AA3238" w:rsidP="00AA3238">
            <w:pPr>
              <w:spacing w:before="60" w:after="60"/>
              <w:jc w:val="right"/>
              <w:rPr>
                <w:rFonts w:ascii="Arial Narrow" w:hAnsi="Arial Narrow" w:cs="Arial"/>
              </w:rPr>
            </w:pPr>
            <w:r w:rsidRPr="005057BF">
              <w:rPr>
                <w:rFonts w:ascii="Arial Narrow" w:hAnsi="Arial Narrow" w:cs="Arial"/>
              </w:rPr>
              <w:t>0.284</w:t>
            </w:r>
          </w:p>
        </w:tc>
        <w:tc>
          <w:tcPr>
            <w:tcW w:w="936" w:type="dxa"/>
            <w:tcBorders>
              <w:bottom w:val="single" w:sz="4" w:space="0" w:color="auto"/>
            </w:tcBorders>
            <w:shd w:val="clear" w:color="auto" w:fill="auto"/>
            <w:noWrap/>
            <w:vAlign w:val="bottom"/>
          </w:tcPr>
          <w:p w:rsidR="00AA3238" w:rsidRPr="005057BF" w:rsidRDefault="00AA3238" w:rsidP="00AA3238">
            <w:pPr>
              <w:spacing w:before="60" w:after="60"/>
              <w:jc w:val="right"/>
              <w:rPr>
                <w:rFonts w:ascii="Arial Narrow" w:hAnsi="Arial Narrow" w:cs="Arial"/>
              </w:rPr>
            </w:pPr>
            <w:r w:rsidRPr="005057BF">
              <w:rPr>
                <w:rFonts w:ascii="Arial Narrow" w:hAnsi="Arial Narrow" w:cs="Arial"/>
              </w:rPr>
              <w:t>1.098</w:t>
            </w:r>
          </w:p>
        </w:tc>
        <w:tc>
          <w:tcPr>
            <w:tcW w:w="936" w:type="dxa"/>
            <w:tcBorders>
              <w:bottom w:val="single" w:sz="4" w:space="0" w:color="auto"/>
            </w:tcBorders>
            <w:shd w:val="clear" w:color="auto" w:fill="auto"/>
            <w:noWrap/>
            <w:vAlign w:val="bottom"/>
          </w:tcPr>
          <w:p w:rsidR="00AA3238" w:rsidRPr="005057BF" w:rsidRDefault="00AA3238" w:rsidP="00AA3238">
            <w:pPr>
              <w:spacing w:before="60" w:after="60"/>
              <w:jc w:val="right"/>
              <w:rPr>
                <w:rFonts w:ascii="Arial Narrow" w:hAnsi="Arial Narrow" w:cs="Arial"/>
              </w:rPr>
            </w:pPr>
            <w:r w:rsidRPr="005057BF">
              <w:rPr>
                <w:rFonts w:ascii="Arial Narrow" w:hAnsi="Arial Narrow" w:cs="Arial"/>
              </w:rPr>
              <w:t>-0.108</w:t>
            </w:r>
          </w:p>
        </w:tc>
        <w:tc>
          <w:tcPr>
            <w:tcW w:w="936" w:type="dxa"/>
            <w:tcBorders>
              <w:bottom w:val="single" w:sz="4" w:space="0" w:color="auto"/>
            </w:tcBorders>
            <w:shd w:val="clear" w:color="auto" w:fill="auto"/>
            <w:noWrap/>
            <w:vAlign w:val="bottom"/>
          </w:tcPr>
          <w:p w:rsidR="00AA3238" w:rsidRPr="005057BF" w:rsidRDefault="00AA3238" w:rsidP="00AA3238">
            <w:pPr>
              <w:spacing w:before="60" w:after="60"/>
              <w:jc w:val="right"/>
              <w:rPr>
                <w:rFonts w:ascii="Arial Narrow" w:hAnsi="Arial Narrow" w:cs="Arial"/>
              </w:rPr>
            </w:pPr>
            <w:r w:rsidRPr="005057BF">
              <w:rPr>
                <w:rFonts w:ascii="Arial Narrow" w:hAnsi="Arial Narrow" w:cs="Arial"/>
              </w:rPr>
              <w:t>-1.713</w:t>
            </w:r>
          </w:p>
        </w:tc>
        <w:tc>
          <w:tcPr>
            <w:tcW w:w="936" w:type="dxa"/>
            <w:tcBorders>
              <w:bottom w:val="single" w:sz="4" w:space="0" w:color="auto"/>
            </w:tcBorders>
            <w:shd w:val="clear" w:color="auto" w:fill="auto"/>
            <w:noWrap/>
            <w:vAlign w:val="bottom"/>
          </w:tcPr>
          <w:p w:rsidR="00AA3238" w:rsidRPr="005057BF" w:rsidRDefault="00AA3238" w:rsidP="00AA3238">
            <w:pPr>
              <w:spacing w:before="60" w:after="60"/>
              <w:jc w:val="right"/>
              <w:rPr>
                <w:rFonts w:ascii="Arial Narrow" w:hAnsi="Arial Narrow" w:cs="Arial"/>
              </w:rPr>
            </w:pPr>
            <w:r w:rsidRPr="005057BF">
              <w:rPr>
                <w:rFonts w:ascii="Arial Narrow" w:hAnsi="Arial Narrow" w:cs="Arial"/>
              </w:rPr>
              <w:t>0.215</w:t>
            </w:r>
          </w:p>
        </w:tc>
        <w:tc>
          <w:tcPr>
            <w:tcW w:w="936" w:type="dxa"/>
            <w:tcBorders>
              <w:bottom w:val="single" w:sz="4" w:space="0" w:color="auto"/>
            </w:tcBorders>
            <w:shd w:val="clear" w:color="auto" w:fill="auto"/>
            <w:noWrap/>
            <w:vAlign w:val="bottom"/>
          </w:tcPr>
          <w:p w:rsidR="00AA3238" w:rsidRPr="005057BF" w:rsidRDefault="00AA3238" w:rsidP="00AA3238">
            <w:pPr>
              <w:spacing w:before="60" w:after="60"/>
              <w:jc w:val="right"/>
              <w:rPr>
                <w:rFonts w:ascii="Arial Narrow" w:hAnsi="Arial Narrow" w:cs="Arial"/>
              </w:rPr>
            </w:pPr>
            <w:r w:rsidRPr="005057BF">
              <w:rPr>
                <w:rFonts w:ascii="Arial Narrow" w:hAnsi="Arial Narrow" w:cs="Arial"/>
              </w:rPr>
              <w:t>1.381</w:t>
            </w:r>
          </w:p>
        </w:tc>
        <w:tc>
          <w:tcPr>
            <w:tcW w:w="936" w:type="dxa"/>
            <w:tcBorders>
              <w:bottom w:val="single" w:sz="4" w:space="0" w:color="auto"/>
            </w:tcBorders>
            <w:shd w:val="clear" w:color="auto" w:fill="auto"/>
            <w:noWrap/>
            <w:vAlign w:val="bottom"/>
          </w:tcPr>
          <w:p w:rsidR="00AA3238" w:rsidRPr="005057BF" w:rsidRDefault="00AA3238" w:rsidP="00AA3238">
            <w:pPr>
              <w:spacing w:before="60" w:after="60"/>
              <w:jc w:val="right"/>
              <w:rPr>
                <w:rFonts w:ascii="Arial Narrow" w:hAnsi="Arial Narrow" w:cs="Arial"/>
              </w:rPr>
            </w:pPr>
            <w:r w:rsidRPr="005057BF">
              <w:rPr>
                <w:rFonts w:ascii="Arial Narrow" w:hAnsi="Arial Narrow" w:cs="Arial"/>
              </w:rPr>
              <w:t>0.569</w:t>
            </w:r>
          </w:p>
        </w:tc>
        <w:tc>
          <w:tcPr>
            <w:tcW w:w="936" w:type="dxa"/>
            <w:tcBorders>
              <w:bottom w:val="single" w:sz="4" w:space="0" w:color="auto"/>
            </w:tcBorders>
            <w:shd w:val="clear" w:color="auto" w:fill="auto"/>
            <w:noWrap/>
            <w:vAlign w:val="bottom"/>
          </w:tcPr>
          <w:p w:rsidR="00AA3238" w:rsidRPr="005057BF" w:rsidRDefault="00AA3238" w:rsidP="00AA3238">
            <w:pPr>
              <w:spacing w:before="60" w:after="60"/>
              <w:jc w:val="right"/>
              <w:rPr>
                <w:rFonts w:ascii="Arial Narrow" w:hAnsi="Arial Narrow" w:cs="Arial"/>
              </w:rPr>
            </w:pPr>
            <w:r w:rsidRPr="005057BF">
              <w:rPr>
                <w:rFonts w:ascii="Arial Narrow" w:hAnsi="Arial Narrow" w:cs="Arial"/>
              </w:rPr>
              <w:t>-0.182</w:t>
            </w:r>
          </w:p>
        </w:tc>
        <w:tc>
          <w:tcPr>
            <w:tcW w:w="936" w:type="dxa"/>
            <w:tcBorders>
              <w:bottom w:val="single" w:sz="4" w:space="0" w:color="auto"/>
            </w:tcBorders>
            <w:shd w:val="clear" w:color="auto" w:fill="auto"/>
            <w:noWrap/>
            <w:vAlign w:val="bottom"/>
          </w:tcPr>
          <w:p w:rsidR="00AA3238" w:rsidRPr="005057BF" w:rsidRDefault="00AA3238" w:rsidP="00AA3238">
            <w:pPr>
              <w:spacing w:before="60" w:after="60"/>
              <w:jc w:val="right"/>
              <w:rPr>
                <w:rFonts w:ascii="Arial Narrow" w:hAnsi="Arial Narrow" w:cs="Arial"/>
              </w:rPr>
            </w:pPr>
            <w:r w:rsidRPr="005057BF">
              <w:rPr>
                <w:rFonts w:ascii="Arial Narrow" w:hAnsi="Arial Narrow" w:cs="Arial"/>
              </w:rPr>
              <w:t>-4.105</w:t>
            </w:r>
          </w:p>
        </w:tc>
        <w:tc>
          <w:tcPr>
            <w:tcW w:w="936" w:type="dxa"/>
            <w:tcBorders>
              <w:bottom w:val="single" w:sz="4" w:space="0" w:color="auto"/>
            </w:tcBorders>
            <w:shd w:val="clear" w:color="auto" w:fill="auto"/>
            <w:noWrap/>
            <w:vAlign w:val="bottom"/>
          </w:tcPr>
          <w:p w:rsidR="00AA3238" w:rsidRPr="005057BF" w:rsidRDefault="00AA3238" w:rsidP="00AA3238">
            <w:pPr>
              <w:spacing w:before="60" w:after="60"/>
              <w:jc w:val="right"/>
              <w:rPr>
                <w:rFonts w:ascii="Arial Narrow" w:hAnsi="Arial Narrow" w:cs="Arial"/>
              </w:rPr>
            </w:pPr>
            <w:r w:rsidRPr="005057BF">
              <w:rPr>
                <w:rFonts w:ascii="Arial Narrow" w:hAnsi="Arial Narrow" w:cs="Arial"/>
              </w:rPr>
              <w:t>-2.797</w:t>
            </w:r>
          </w:p>
        </w:tc>
        <w:tc>
          <w:tcPr>
            <w:tcW w:w="936" w:type="dxa"/>
            <w:tcBorders>
              <w:bottom w:val="single" w:sz="4" w:space="0" w:color="auto"/>
            </w:tcBorders>
            <w:shd w:val="clear" w:color="auto" w:fill="auto"/>
            <w:noWrap/>
            <w:vAlign w:val="bottom"/>
          </w:tcPr>
          <w:p w:rsidR="00AA3238" w:rsidRPr="005057BF" w:rsidRDefault="00AA3238" w:rsidP="00AA3238">
            <w:pPr>
              <w:spacing w:before="60" w:after="60"/>
              <w:jc w:val="right"/>
              <w:rPr>
                <w:rFonts w:ascii="Arial Narrow" w:hAnsi="Arial Narrow" w:cs="Arial"/>
              </w:rPr>
            </w:pPr>
            <w:r w:rsidRPr="005057BF">
              <w:rPr>
                <w:rFonts w:ascii="Arial Narrow" w:hAnsi="Arial Narrow" w:cs="Arial"/>
              </w:rPr>
              <w:t>0.367</w:t>
            </w:r>
          </w:p>
        </w:tc>
        <w:tc>
          <w:tcPr>
            <w:tcW w:w="936" w:type="dxa"/>
            <w:tcBorders>
              <w:bottom w:val="single" w:sz="4" w:space="0" w:color="auto"/>
            </w:tcBorders>
            <w:vAlign w:val="bottom"/>
          </w:tcPr>
          <w:p w:rsidR="00AA3238" w:rsidRPr="005057BF" w:rsidRDefault="00AA3238" w:rsidP="00AA3238">
            <w:pPr>
              <w:spacing w:before="60" w:after="60"/>
              <w:jc w:val="right"/>
              <w:rPr>
                <w:rFonts w:ascii="Arial Narrow" w:hAnsi="Arial Narrow" w:cs="Arial"/>
              </w:rPr>
            </w:pPr>
            <w:r w:rsidRPr="005057BF">
              <w:rPr>
                <w:rFonts w:ascii="Arial Narrow" w:hAnsi="Arial Narrow" w:cs="Arial"/>
              </w:rPr>
              <w:t>0.177</w:t>
            </w:r>
          </w:p>
        </w:tc>
        <w:tc>
          <w:tcPr>
            <w:tcW w:w="936" w:type="dxa"/>
            <w:tcBorders>
              <w:bottom w:val="single" w:sz="4" w:space="0" w:color="auto"/>
            </w:tcBorders>
            <w:vAlign w:val="bottom"/>
          </w:tcPr>
          <w:p w:rsidR="00AA3238" w:rsidRPr="005057BF" w:rsidRDefault="00AA3238" w:rsidP="00AA3238">
            <w:pPr>
              <w:spacing w:before="60" w:after="60"/>
              <w:jc w:val="right"/>
              <w:rPr>
                <w:rFonts w:ascii="Arial Narrow" w:hAnsi="Arial Narrow" w:cs="Arial"/>
              </w:rPr>
            </w:pPr>
            <w:r w:rsidRPr="005057BF">
              <w:rPr>
                <w:rFonts w:ascii="Arial Narrow" w:hAnsi="Arial Narrow" w:cs="Arial"/>
              </w:rPr>
              <w:t>0.345</w:t>
            </w:r>
          </w:p>
        </w:tc>
      </w:tr>
    </w:tbl>
    <w:p w:rsidR="001C3FEE" w:rsidRDefault="001C3FEE" w:rsidP="00FB6EF2">
      <w:pPr>
        <w:pStyle w:val="Captions"/>
      </w:pPr>
    </w:p>
    <w:p w:rsidR="00832B61" w:rsidRDefault="00832B61" w:rsidP="00FB6EF2">
      <w:pPr>
        <w:pStyle w:val="Captions"/>
      </w:pPr>
    </w:p>
    <w:p w:rsidR="00832B61" w:rsidRDefault="00832B61" w:rsidP="00FB6EF2">
      <w:pPr>
        <w:pStyle w:val="Captions"/>
        <w:rPr>
          <w:lang w:val="en-US"/>
        </w:rPr>
        <w:sectPr w:rsidR="00832B61" w:rsidSect="0017672B">
          <w:pgSz w:w="16840" w:h="11907" w:orient="landscape" w:code="9"/>
          <w:pgMar w:top="1701" w:right="1701" w:bottom="1701" w:left="1985" w:header="720" w:footer="720" w:gutter="0"/>
          <w:cols w:space="720"/>
        </w:sectPr>
      </w:pPr>
    </w:p>
    <w:p w:rsidR="003723FA" w:rsidRPr="00ED3EA1" w:rsidRDefault="00551E1A" w:rsidP="00F73F1C">
      <w:pPr>
        <w:pStyle w:val="InlineObject"/>
      </w:pPr>
      <w:r>
        <w:rPr>
          <w:noProof/>
        </w:rPr>
        <w:lastRenderedPageBreak/>
        <w:drawing>
          <wp:inline distT="0" distB="0" distL="0" distR="0">
            <wp:extent cx="5410200" cy="5219700"/>
            <wp:effectExtent l="0" t="0" r="0" b="0"/>
            <wp:docPr id="39" name="Picture 39" descr="RSA_M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SA_M5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10200" cy="5219700"/>
                    </a:xfrm>
                    <a:prstGeom prst="rect">
                      <a:avLst/>
                    </a:prstGeom>
                    <a:noFill/>
                    <a:ln>
                      <a:noFill/>
                    </a:ln>
                  </pic:spPr>
                </pic:pic>
              </a:graphicData>
            </a:graphic>
          </wp:inline>
        </w:drawing>
      </w:r>
    </w:p>
    <w:p w:rsidR="000B39DF" w:rsidRPr="001C3FEE" w:rsidRDefault="000B39DF" w:rsidP="000B39DF">
      <w:pPr>
        <w:pStyle w:val="Captions"/>
        <w:rPr>
          <w:lang w:val="en-US"/>
        </w:rPr>
      </w:pPr>
      <w:bookmarkStart w:id="138" w:name="_Toc338429331"/>
      <w:r w:rsidRPr="00ED3EA1">
        <w:rPr>
          <w:rStyle w:val="Bodytextbold"/>
        </w:rPr>
        <w:t xml:space="preserve">Figure </w:t>
      </w:r>
      <w:r w:rsidRPr="000B39DF">
        <w:rPr>
          <w:b/>
        </w:rPr>
        <w:fldChar w:fldCharType="begin"/>
      </w:r>
      <w:r w:rsidRPr="000B39DF">
        <w:rPr>
          <w:b/>
        </w:rPr>
        <w:instrText xml:space="preserve"> SEQ Figure \* ARABIC </w:instrText>
      </w:r>
      <w:r w:rsidRPr="000B39DF">
        <w:rPr>
          <w:b/>
        </w:rPr>
        <w:fldChar w:fldCharType="separate"/>
      </w:r>
      <w:r w:rsidR="007D4E78">
        <w:rPr>
          <w:b/>
          <w:noProof/>
        </w:rPr>
        <w:t>17</w:t>
      </w:r>
      <w:r w:rsidRPr="000B39DF">
        <w:rPr>
          <w:b/>
        </w:rPr>
        <w:fldChar w:fldCharType="end"/>
      </w:r>
      <w:r w:rsidRPr="00ED3EA1">
        <w:rPr>
          <w:rStyle w:val="Bodytextbold"/>
        </w:rPr>
        <w:t>:</w:t>
      </w:r>
      <w:r>
        <w:t xml:space="preserve"> </w:t>
      </w:r>
      <w:r>
        <w:rPr>
          <w:lang w:val="en-US"/>
        </w:rPr>
        <w:t xml:space="preserve"> Comparison of the median</w:t>
      </w:r>
      <w:r w:rsidR="00124092">
        <w:rPr>
          <w:lang w:val="en-US"/>
        </w:rPr>
        <w:t xml:space="preserve"> 5%</w:t>
      </w:r>
      <w:r>
        <w:rPr>
          <w:lang w:val="en-US"/>
        </w:rPr>
        <w:t xml:space="preserve"> </w:t>
      </w:r>
      <w:r w:rsidR="00124092">
        <w:rPr>
          <w:lang w:val="en-US"/>
        </w:rPr>
        <w:t xml:space="preserve">damped response spectral acceleration </w:t>
      </w:r>
      <w:r>
        <w:rPr>
          <w:lang w:val="en-US"/>
        </w:rPr>
        <w:t>response spectra for the shallow- and deep-earthquake GMPEs for a scenario M</w:t>
      </w:r>
      <w:r w:rsidRPr="00D5052F">
        <w:rPr>
          <w:vertAlign w:val="subscript"/>
          <w:lang w:val="en-US"/>
        </w:rPr>
        <w:t>W</w:t>
      </w:r>
      <w:r w:rsidR="005246BB">
        <w:rPr>
          <w:lang w:val="en-US"/>
        </w:rPr>
        <w:t xml:space="preserve"> 5</w:t>
      </w:r>
      <w:r>
        <w:rPr>
          <w:lang w:val="en-US"/>
        </w:rPr>
        <w:t xml:space="preserve">.0 earthquake at a range of rupture distances.  Also indicated </w:t>
      </w:r>
      <w:r w:rsidR="005246BB">
        <w:rPr>
          <w:lang w:val="en-US"/>
        </w:rPr>
        <w:t xml:space="preserve">for comparison </w:t>
      </w:r>
      <w:r>
        <w:rPr>
          <w:lang w:val="en-US"/>
        </w:rPr>
        <w:t xml:space="preserve">is the </w:t>
      </w:r>
      <w:r w:rsidR="0077537F">
        <w:rPr>
          <w:lang w:val="en-US"/>
        </w:rPr>
        <w:t>Atkinson and Boore (1995) GMPE for ENA rock sites</w:t>
      </w:r>
      <w:r w:rsidR="00E14326">
        <w:rPr>
          <w:lang w:val="en-US"/>
        </w:rPr>
        <w:t xml:space="preserve"> </w:t>
      </w:r>
      <w:r w:rsidR="001B4240">
        <w:rPr>
          <w:lang w:val="en-US"/>
        </w:rPr>
        <w:t>(V</w:t>
      </w:r>
      <w:r w:rsidR="001B4240">
        <w:rPr>
          <w:vertAlign w:val="subscript"/>
          <w:lang w:val="en-US"/>
        </w:rPr>
        <w:t>S30</w:t>
      </w:r>
      <w:r w:rsidR="001B4240">
        <w:rPr>
          <w:lang w:val="en-US"/>
        </w:rPr>
        <w:t xml:space="preserve"> ≥ 2,800 m/s)</w:t>
      </w:r>
      <w:r w:rsidR="0077537F">
        <w:rPr>
          <w:lang w:val="en-US"/>
        </w:rPr>
        <w:t xml:space="preserve">, </w:t>
      </w:r>
      <w:r>
        <w:rPr>
          <w:lang w:val="en-US"/>
        </w:rPr>
        <w:t>Atkinson and Boore (2006) GMPE for ENA B/C crustal conditions</w:t>
      </w:r>
      <w:r w:rsidR="005246BB">
        <w:rPr>
          <w:lang w:val="en-US"/>
        </w:rPr>
        <w:t>, Chiou and Youngs (2008) for California</w:t>
      </w:r>
      <w:r w:rsidR="000118CB">
        <w:rPr>
          <w:lang w:val="en-US"/>
        </w:rPr>
        <w:t xml:space="preserve"> crustal B/C conditions</w:t>
      </w:r>
      <w:r w:rsidR="0077537F">
        <w:rPr>
          <w:lang w:val="en-US"/>
        </w:rPr>
        <w:t>,</w:t>
      </w:r>
      <w:r>
        <w:rPr>
          <w:lang w:val="en-US"/>
        </w:rPr>
        <w:t xml:space="preserve"> the Somerville et al. </w:t>
      </w:r>
      <w:r>
        <w:rPr>
          <w:lang w:val="en-US"/>
        </w:rPr>
        <w:fldChar w:fldCharType="begin"/>
      </w:r>
      <w:r w:rsidR="00F202D0">
        <w:rPr>
          <w:lang w:val="en-US"/>
        </w:rPr>
        <w:instrText xml:space="preserve"> ADDIN EN.CITE &lt;EndNote&gt;&lt;Cite ExcludeAuth="1"&gt;&lt;Author&gt;Somerville&lt;/Author&gt;&lt;Year&gt;2009&lt;/Year&gt;&lt;RecNum&gt;772&lt;/RecNum&gt;&lt;record&gt;&lt;rec-number&gt;772&lt;/rec-number&gt;&lt;foreign-keys&gt;&lt;key app="EN" db-id="se5z02d5txder3eax2p5wz5j59zvz2tdzdd2"&gt;772&lt;/key&gt;&lt;/foreign-keys&gt;&lt;ref-type name="Conference Paper"&gt;47&lt;/ref-type&gt;&lt;contributors&gt;&lt;authors&gt;&lt;author&gt;Somerville, P.&lt;/author&gt;&lt;author&gt;Graves, R.&lt;/author&gt;&lt;author&gt;Collins, N.&lt;/author&gt;&lt;author&gt;Song, S.-G.&lt;/author&gt;&lt;author&gt;Ni, S.&lt;/author&gt;&lt;author&gt;Cummins, P.&lt;/author&gt;&lt;/authors&gt;&lt;/contributors&gt;&lt;titles&gt;&lt;title&gt;Source and ground motion models for Australian earthquakes&lt;/title&gt;&lt;secondary-title&gt;The Australian Earthquake Engineering Society Conference&lt;/secondary-title&gt;&lt;/titles&gt;&lt;keywords&gt;&lt;keyword&gt;GMPE, Australia, source&lt;/keyword&gt;&lt;/keywords&gt;&lt;dates&gt;&lt;year&gt;2009&lt;/year&gt;&lt;/dates&gt;&lt;pub-location&gt;Newcastle&lt;/pub-location&gt;&lt;publisher&gt;The Australian Earthquake Engineering Society&lt;/publisher&gt;&lt;urls&gt;&lt;pdf-urls&gt;&lt;url&gt;internal-pdf://Somerville_et_al.(2009).Aus.GEMPs-3187345198/Somerville_et_al.(2009).Aus.GEMPs.pdf&lt;/url&gt;&lt;/pdf-urls&gt;&lt;/urls&gt;&lt;/record&gt;&lt;/Cite&gt;&lt;/EndNote&gt;</w:instrText>
      </w:r>
      <w:r>
        <w:rPr>
          <w:lang w:val="en-US"/>
        </w:rPr>
        <w:fldChar w:fldCharType="separate"/>
      </w:r>
      <w:r>
        <w:rPr>
          <w:noProof/>
          <w:lang w:val="en-US"/>
        </w:rPr>
        <w:t>(2009)</w:t>
      </w:r>
      <w:r>
        <w:rPr>
          <w:lang w:val="en-US"/>
        </w:rPr>
        <w:fldChar w:fldCharType="end"/>
      </w:r>
      <w:r>
        <w:rPr>
          <w:lang w:val="en-US"/>
        </w:rPr>
        <w:t xml:space="preserve"> for non-cratonic Australia</w:t>
      </w:r>
      <w:r w:rsidR="001B4240">
        <w:rPr>
          <w:lang w:val="en-US"/>
        </w:rPr>
        <w:t xml:space="preserve"> (V</w:t>
      </w:r>
      <w:r w:rsidR="001B4240">
        <w:rPr>
          <w:vertAlign w:val="subscript"/>
          <w:lang w:val="en-US"/>
        </w:rPr>
        <w:t>S30</w:t>
      </w:r>
      <w:r w:rsidR="001B4240">
        <w:rPr>
          <w:lang w:val="en-US"/>
        </w:rPr>
        <w:t xml:space="preserve"> = 865 m/s)</w:t>
      </w:r>
      <w:r w:rsidR="0077537F">
        <w:rPr>
          <w:lang w:val="en-US"/>
        </w:rPr>
        <w:t>, and Peze</w:t>
      </w:r>
      <w:r w:rsidR="009910A5">
        <w:rPr>
          <w:lang w:val="en-US"/>
        </w:rPr>
        <w:t>shk et al. (2011) for rock sites</w:t>
      </w:r>
      <w:r w:rsidR="00E14326">
        <w:rPr>
          <w:lang w:val="en-US"/>
        </w:rPr>
        <w:t xml:space="preserve"> </w:t>
      </w:r>
      <w:r w:rsidR="001B4240">
        <w:rPr>
          <w:lang w:val="en-US"/>
        </w:rPr>
        <w:t>(V</w:t>
      </w:r>
      <w:r w:rsidR="001B4240">
        <w:rPr>
          <w:vertAlign w:val="subscript"/>
          <w:lang w:val="en-US"/>
        </w:rPr>
        <w:t>S30</w:t>
      </w:r>
      <w:r w:rsidR="001B4240">
        <w:rPr>
          <w:lang w:val="en-US"/>
        </w:rPr>
        <w:t xml:space="preserve"> ≥ 2,000 m/s)</w:t>
      </w:r>
      <w:r>
        <w:rPr>
          <w:lang w:val="en-US"/>
        </w:rPr>
        <w:t>.</w:t>
      </w:r>
      <w:bookmarkEnd w:id="138"/>
    </w:p>
    <w:p w:rsidR="00B57324" w:rsidRPr="000D2711" w:rsidRDefault="00551E1A" w:rsidP="00F73F1C">
      <w:pPr>
        <w:pStyle w:val="InlineObject"/>
      </w:pPr>
      <w:bookmarkStart w:id="139" w:name="_Toc319656519"/>
      <w:bookmarkStart w:id="140" w:name="_Toc319656608"/>
      <w:r>
        <w:rPr>
          <w:noProof/>
        </w:rPr>
        <w:lastRenderedPageBreak/>
        <w:drawing>
          <wp:inline distT="0" distB="0" distL="0" distR="0">
            <wp:extent cx="5381625" cy="5200650"/>
            <wp:effectExtent l="0" t="0" r="0" b="0"/>
            <wp:docPr id="40" name="Picture 40" descr="RSA_M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SA_M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81625" cy="5200650"/>
                    </a:xfrm>
                    <a:prstGeom prst="rect">
                      <a:avLst/>
                    </a:prstGeom>
                    <a:noFill/>
                    <a:ln>
                      <a:noFill/>
                    </a:ln>
                  </pic:spPr>
                </pic:pic>
              </a:graphicData>
            </a:graphic>
          </wp:inline>
        </w:drawing>
      </w:r>
    </w:p>
    <w:p w:rsidR="00B57324" w:rsidRDefault="005246BB" w:rsidP="005246BB">
      <w:pPr>
        <w:pStyle w:val="Captions"/>
      </w:pPr>
      <w:bookmarkStart w:id="141" w:name="_Toc338429332"/>
      <w:r w:rsidRPr="00ED3EA1">
        <w:rPr>
          <w:rStyle w:val="Bodytextbold"/>
        </w:rPr>
        <w:t xml:space="preserve">Figure </w:t>
      </w:r>
      <w:r w:rsidRPr="000B39DF">
        <w:rPr>
          <w:b/>
        </w:rPr>
        <w:fldChar w:fldCharType="begin"/>
      </w:r>
      <w:r w:rsidRPr="000B39DF">
        <w:rPr>
          <w:b/>
        </w:rPr>
        <w:instrText xml:space="preserve"> SEQ Figure \* ARABIC </w:instrText>
      </w:r>
      <w:r w:rsidRPr="000B39DF">
        <w:rPr>
          <w:b/>
        </w:rPr>
        <w:fldChar w:fldCharType="separate"/>
      </w:r>
      <w:r w:rsidR="007D4E78">
        <w:rPr>
          <w:b/>
          <w:noProof/>
        </w:rPr>
        <w:t>18</w:t>
      </w:r>
      <w:r w:rsidRPr="000B39DF">
        <w:rPr>
          <w:b/>
        </w:rPr>
        <w:fldChar w:fldCharType="end"/>
      </w:r>
      <w:r w:rsidRPr="00ED3EA1">
        <w:rPr>
          <w:rStyle w:val="Bodytextbold"/>
        </w:rPr>
        <w:t>:</w:t>
      </w:r>
      <w:r>
        <w:t xml:space="preserve"> </w:t>
      </w:r>
      <w:r>
        <w:rPr>
          <w:lang w:val="en-US"/>
        </w:rPr>
        <w:t xml:space="preserve"> Comparison of the median </w:t>
      </w:r>
      <w:r w:rsidR="00124092">
        <w:rPr>
          <w:lang w:val="en-US"/>
        </w:rPr>
        <w:t xml:space="preserve">5% damped response spectral acceleration </w:t>
      </w:r>
      <w:r>
        <w:rPr>
          <w:lang w:val="en-US"/>
        </w:rPr>
        <w:t>response spectra for the shallow- and deep-earthquake GMPEs for a scenario M</w:t>
      </w:r>
      <w:r w:rsidRPr="00D5052F">
        <w:rPr>
          <w:vertAlign w:val="subscript"/>
          <w:lang w:val="en-US"/>
        </w:rPr>
        <w:t>W</w:t>
      </w:r>
      <w:r>
        <w:rPr>
          <w:lang w:val="en-US"/>
        </w:rPr>
        <w:t xml:space="preserve"> 6.0 earthquake at a range of rupture distances.  </w:t>
      </w:r>
      <w:r w:rsidR="00E14326">
        <w:rPr>
          <w:lang w:val="en-US"/>
        </w:rPr>
        <w:t>Also indicated for comparison is the Atkinson and Boore (1995) GMPE for ENA rock sites (V</w:t>
      </w:r>
      <w:r w:rsidR="00E14326">
        <w:rPr>
          <w:vertAlign w:val="subscript"/>
          <w:lang w:val="en-US"/>
        </w:rPr>
        <w:t>S30</w:t>
      </w:r>
      <w:r w:rsidR="00E14326">
        <w:rPr>
          <w:lang w:val="en-US"/>
        </w:rPr>
        <w:t xml:space="preserve"> ≥ 2,800 m/s), Atkinson and Boore (2006) GMPE for ENA B/C crustal conditions, Chiou and Youngs (2008) for California crustal B/C conditions, the Somerville et al. </w:t>
      </w:r>
      <w:r w:rsidR="00E14326">
        <w:rPr>
          <w:lang w:val="en-US"/>
        </w:rPr>
        <w:fldChar w:fldCharType="begin"/>
      </w:r>
      <w:r w:rsidR="00F202D0">
        <w:rPr>
          <w:lang w:val="en-US"/>
        </w:rPr>
        <w:instrText xml:space="preserve"> ADDIN EN.CITE &lt;EndNote&gt;&lt;Cite ExcludeAuth="1"&gt;&lt;Author&gt;Somerville&lt;/Author&gt;&lt;Year&gt;2009&lt;/Year&gt;&lt;RecNum&gt;772&lt;/RecNum&gt;&lt;record&gt;&lt;rec-number&gt;772&lt;/rec-number&gt;&lt;foreign-keys&gt;&lt;key app="EN" db-id="se5z02d5txder3eax2p5wz5j59zvz2tdzdd2"&gt;772&lt;/key&gt;&lt;/foreign-keys&gt;&lt;ref-type name="Conference Paper"&gt;47&lt;/ref-type&gt;&lt;contributors&gt;&lt;authors&gt;&lt;author&gt;Somerville, P.&lt;/author&gt;&lt;author&gt;Graves, R.&lt;/author&gt;&lt;author&gt;Collins, N.&lt;/author&gt;&lt;author&gt;Song, S.-G.&lt;/author&gt;&lt;author&gt;Ni, S.&lt;/author&gt;&lt;author&gt;Cummins, P.&lt;/author&gt;&lt;/authors&gt;&lt;/contributors&gt;&lt;titles&gt;&lt;title&gt;Source and ground motion models for Australian earthquakes&lt;/title&gt;&lt;secondary-title&gt;The Australian Earthquake Engineering Society Conference&lt;/secondary-title&gt;&lt;/titles&gt;&lt;keywords&gt;&lt;keyword&gt;GMPE, Australia, source&lt;/keyword&gt;&lt;/keywords&gt;&lt;dates&gt;&lt;year&gt;2009&lt;/year&gt;&lt;/dates&gt;&lt;pub-location&gt;Newcastle&lt;/pub-location&gt;&lt;publisher&gt;The Australian Earthquake Engineering Society&lt;/publisher&gt;&lt;urls&gt;&lt;pdf-urls&gt;&lt;url&gt;internal-pdf://Somerville_et_al.(2009).Aus.GEMPs-3187345198/Somerville_et_al.(2009).Aus.GEMPs.pdf&lt;/url&gt;&lt;/pdf-urls&gt;&lt;/urls&gt;&lt;/record&gt;&lt;/Cite&gt;&lt;/EndNote&gt;</w:instrText>
      </w:r>
      <w:r w:rsidR="00E14326">
        <w:rPr>
          <w:lang w:val="en-US"/>
        </w:rPr>
        <w:fldChar w:fldCharType="separate"/>
      </w:r>
      <w:r w:rsidR="00E14326">
        <w:rPr>
          <w:noProof/>
          <w:lang w:val="en-US"/>
        </w:rPr>
        <w:t>(2009)</w:t>
      </w:r>
      <w:r w:rsidR="00E14326">
        <w:rPr>
          <w:lang w:val="en-US"/>
        </w:rPr>
        <w:fldChar w:fldCharType="end"/>
      </w:r>
      <w:r w:rsidR="00E14326">
        <w:rPr>
          <w:lang w:val="en-US"/>
        </w:rPr>
        <w:t xml:space="preserve"> for non-cratonic Australia (V</w:t>
      </w:r>
      <w:r w:rsidR="00E14326">
        <w:rPr>
          <w:vertAlign w:val="subscript"/>
          <w:lang w:val="en-US"/>
        </w:rPr>
        <w:t>S30</w:t>
      </w:r>
      <w:r w:rsidR="00E14326">
        <w:rPr>
          <w:lang w:val="en-US"/>
        </w:rPr>
        <w:t xml:space="preserve"> = 865 m/s), and Pezeshk et al. (2011) for rock sites (V</w:t>
      </w:r>
      <w:r w:rsidR="00E14326">
        <w:rPr>
          <w:vertAlign w:val="subscript"/>
          <w:lang w:val="en-US"/>
        </w:rPr>
        <w:t>S30</w:t>
      </w:r>
      <w:r w:rsidR="00E14326">
        <w:rPr>
          <w:lang w:val="en-US"/>
        </w:rPr>
        <w:t xml:space="preserve"> ≥ 2,000 m/s).</w:t>
      </w:r>
      <w:bookmarkEnd w:id="141"/>
    </w:p>
    <w:p w:rsidR="005246BB" w:rsidRPr="000D2711" w:rsidRDefault="00551E1A" w:rsidP="00F73F1C">
      <w:pPr>
        <w:pStyle w:val="InlineObject"/>
      </w:pPr>
      <w:r>
        <w:rPr>
          <w:noProof/>
        </w:rPr>
        <w:lastRenderedPageBreak/>
        <w:drawing>
          <wp:inline distT="0" distB="0" distL="0" distR="0">
            <wp:extent cx="5381625" cy="5200650"/>
            <wp:effectExtent l="0" t="0" r="0" b="0"/>
            <wp:docPr id="41" name="Picture 41" descr="RSA_M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SA_M7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81625" cy="5200650"/>
                    </a:xfrm>
                    <a:prstGeom prst="rect">
                      <a:avLst/>
                    </a:prstGeom>
                    <a:noFill/>
                    <a:ln>
                      <a:noFill/>
                    </a:ln>
                  </pic:spPr>
                </pic:pic>
              </a:graphicData>
            </a:graphic>
          </wp:inline>
        </w:drawing>
      </w:r>
    </w:p>
    <w:p w:rsidR="00CD69A8" w:rsidRPr="00ED3EA1" w:rsidRDefault="005246BB" w:rsidP="00B57324">
      <w:pPr>
        <w:pStyle w:val="BodyText"/>
        <w:rPr>
          <w:rStyle w:val="CaptionsChar"/>
        </w:rPr>
      </w:pPr>
      <w:bookmarkStart w:id="142" w:name="_Toc338429333"/>
      <w:r w:rsidRPr="00F73F1C">
        <w:rPr>
          <w:rStyle w:val="Bodytextbold"/>
          <w:i/>
        </w:rPr>
        <w:t xml:space="preserve">Figure </w:t>
      </w:r>
      <w:r w:rsidRPr="00F73F1C">
        <w:rPr>
          <w:rStyle w:val="CaptionsChar"/>
          <w:b/>
          <w:sz w:val="20"/>
        </w:rPr>
        <w:fldChar w:fldCharType="begin"/>
      </w:r>
      <w:r w:rsidRPr="00F73F1C">
        <w:rPr>
          <w:rStyle w:val="CaptionsChar"/>
          <w:b/>
          <w:sz w:val="20"/>
        </w:rPr>
        <w:instrText xml:space="preserve"> SEQ Figure \* ARABIC </w:instrText>
      </w:r>
      <w:r w:rsidRPr="00F73F1C">
        <w:rPr>
          <w:rStyle w:val="CaptionsChar"/>
          <w:b/>
          <w:sz w:val="20"/>
        </w:rPr>
        <w:fldChar w:fldCharType="separate"/>
      </w:r>
      <w:r w:rsidR="007D4E78" w:rsidRPr="00F73F1C">
        <w:rPr>
          <w:rStyle w:val="CaptionsChar"/>
          <w:b/>
          <w:noProof/>
          <w:sz w:val="20"/>
        </w:rPr>
        <w:t>19</w:t>
      </w:r>
      <w:r w:rsidRPr="00F73F1C">
        <w:rPr>
          <w:rStyle w:val="CaptionsChar"/>
          <w:b/>
          <w:sz w:val="20"/>
        </w:rPr>
        <w:fldChar w:fldCharType="end"/>
      </w:r>
      <w:r w:rsidRPr="00F73F1C">
        <w:rPr>
          <w:rStyle w:val="Bodytextbold"/>
          <w:i/>
        </w:rPr>
        <w:t>:</w:t>
      </w:r>
      <w:r w:rsidRPr="00F73F1C">
        <w:rPr>
          <w:rStyle w:val="CaptionsChar"/>
          <w:i w:val="0"/>
        </w:rPr>
        <w:t xml:space="preserve">  </w:t>
      </w:r>
      <w:r w:rsidRPr="00ED3EA1">
        <w:rPr>
          <w:rStyle w:val="CaptionsChar"/>
        </w:rPr>
        <w:t xml:space="preserve">Comparison of the median </w:t>
      </w:r>
      <w:r w:rsidR="00124092" w:rsidRPr="00332AA7">
        <w:rPr>
          <w:rStyle w:val="Bodytextitalic"/>
        </w:rPr>
        <w:t xml:space="preserve">5% damped response spectral acceleration </w:t>
      </w:r>
      <w:r w:rsidRPr="00ED3EA1">
        <w:rPr>
          <w:rStyle w:val="CaptionsChar"/>
        </w:rPr>
        <w:t>response spectra for the shallow- and deep-earthquake GMPEs for a scenario M</w:t>
      </w:r>
      <w:r w:rsidRPr="00172353">
        <w:rPr>
          <w:rStyle w:val="Subscriptitalic"/>
        </w:rPr>
        <w:t>W</w:t>
      </w:r>
      <w:r w:rsidRPr="00ED3EA1">
        <w:rPr>
          <w:rStyle w:val="CaptionsChar"/>
        </w:rPr>
        <w:t xml:space="preserve"> 7.0 earthquake at a range of rupture distances</w:t>
      </w:r>
      <w:r w:rsidR="00E14326" w:rsidRPr="00E14326">
        <w:rPr>
          <w:rStyle w:val="CaptionsChar"/>
        </w:rPr>
        <w:t>.  Also indicated for comparison is the Atkinson and Boore (1995) GMPE for ENA rock sites (V</w:t>
      </w:r>
      <w:r w:rsidR="00E14326" w:rsidRPr="00424D24">
        <w:rPr>
          <w:rStyle w:val="CaptionsChar"/>
          <w:vertAlign w:val="subscript"/>
        </w:rPr>
        <w:t>S30</w:t>
      </w:r>
      <w:r w:rsidR="00E14326" w:rsidRPr="00E14326">
        <w:rPr>
          <w:rStyle w:val="CaptionsChar"/>
        </w:rPr>
        <w:t xml:space="preserve"> ≥ 2,800 m/s), Atkinson and Boore (2006) GMPE for ENA B/C crustal conditions, Chiou and Youngs (2008) for California crustal B/C conditions, the Somerville et al. </w:t>
      </w:r>
      <w:r w:rsidR="00E14326" w:rsidRPr="00E14326">
        <w:rPr>
          <w:rStyle w:val="CaptionsChar"/>
        </w:rPr>
        <w:fldChar w:fldCharType="begin"/>
      </w:r>
      <w:r w:rsidR="00F202D0">
        <w:rPr>
          <w:rStyle w:val="CaptionsChar"/>
        </w:rPr>
        <w:instrText xml:space="preserve"> ADDIN EN.CITE &lt;EndNote&gt;&lt;Cite ExcludeAuth="1"&gt;&lt;Author&gt;Somerville&lt;/Author&gt;&lt;Year&gt;2009&lt;/Year&gt;&lt;RecNum&gt;772&lt;/RecNum&gt;&lt;record&gt;&lt;rec-number&gt;772&lt;/rec-number&gt;&lt;foreign-keys&gt;&lt;key app="EN" db-id="se5z02d5txder3eax2p5wz5j59zvz2tdzdd2"&gt;772&lt;/key&gt;&lt;/foreign-keys&gt;&lt;ref-type name="Conference Paper"&gt;47&lt;/ref-type&gt;&lt;contributors&gt;&lt;authors&gt;&lt;author&gt;Somerville, P.&lt;/author&gt;&lt;author&gt;Graves, R.&lt;/author&gt;&lt;author&gt;Collins, N.&lt;/author&gt;&lt;author&gt;Song, S.-G.&lt;/author&gt;&lt;author&gt;Ni, S.&lt;/author&gt;&lt;author&gt;Cummins, P.&lt;/author&gt;&lt;/authors&gt;&lt;/contributors&gt;&lt;titles&gt;&lt;title&gt;Source and ground motion models for Australian earthquakes&lt;/title&gt;&lt;secondary-title&gt;The Australian Earthquake Engineering Society Conference&lt;/secondary-title&gt;&lt;/titles&gt;&lt;keywords&gt;&lt;keyword&gt;GMPE, Australia, source&lt;/keyword&gt;&lt;/keywords&gt;&lt;dates&gt;&lt;year&gt;2009&lt;/year&gt;&lt;/dates&gt;&lt;pub-location&gt;Newcastle&lt;/pub-location&gt;&lt;publisher&gt;The Australian Earthquake Engineering Society&lt;/publisher&gt;&lt;urls&gt;&lt;pdf-urls&gt;&lt;url&gt;internal-pdf://Somerville_et_al.(2009).Aus.GEMPs-3187345198/Somerville_et_al.(2009).Aus.GEMPs.pdf&lt;/url&gt;&lt;/pdf-urls&gt;&lt;/urls&gt;&lt;/record&gt;&lt;/Cite&gt;&lt;/EndNote&gt;</w:instrText>
      </w:r>
      <w:r w:rsidR="00E14326" w:rsidRPr="00E14326">
        <w:rPr>
          <w:rStyle w:val="CaptionsChar"/>
        </w:rPr>
        <w:fldChar w:fldCharType="separate"/>
      </w:r>
      <w:r w:rsidR="00E14326" w:rsidRPr="00E14326">
        <w:rPr>
          <w:rStyle w:val="CaptionsChar"/>
        </w:rPr>
        <w:t>(2009)</w:t>
      </w:r>
      <w:r w:rsidR="00E14326" w:rsidRPr="00E14326">
        <w:rPr>
          <w:rStyle w:val="CaptionsChar"/>
        </w:rPr>
        <w:fldChar w:fldCharType="end"/>
      </w:r>
      <w:r w:rsidR="00E14326" w:rsidRPr="00E14326">
        <w:rPr>
          <w:rStyle w:val="CaptionsChar"/>
        </w:rPr>
        <w:t xml:space="preserve"> for non-cratonic Australia (</w:t>
      </w:r>
      <w:r w:rsidR="00424D24" w:rsidRPr="00E14326">
        <w:rPr>
          <w:rStyle w:val="CaptionsChar"/>
        </w:rPr>
        <w:t>V</w:t>
      </w:r>
      <w:r w:rsidR="00424D24" w:rsidRPr="00424D24">
        <w:rPr>
          <w:rStyle w:val="CaptionsChar"/>
          <w:vertAlign w:val="subscript"/>
        </w:rPr>
        <w:t>S30</w:t>
      </w:r>
      <w:r w:rsidR="00424D24" w:rsidRPr="00E14326">
        <w:rPr>
          <w:rStyle w:val="CaptionsChar"/>
        </w:rPr>
        <w:t xml:space="preserve"> </w:t>
      </w:r>
      <w:r w:rsidR="00E14326" w:rsidRPr="00E14326">
        <w:rPr>
          <w:rStyle w:val="CaptionsChar"/>
        </w:rPr>
        <w:t>= 865 m/s), and Pezeshk et al. (2011) for rock sites (</w:t>
      </w:r>
      <w:r w:rsidR="00424D24" w:rsidRPr="00E14326">
        <w:rPr>
          <w:rStyle w:val="CaptionsChar"/>
        </w:rPr>
        <w:t>V</w:t>
      </w:r>
      <w:r w:rsidR="00424D24" w:rsidRPr="00424D24">
        <w:rPr>
          <w:rStyle w:val="CaptionsChar"/>
          <w:vertAlign w:val="subscript"/>
        </w:rPr>
        <w:t>S30</w:t>
      </w:r>
      <w:r w:rsidR="00424D24" w:rsidRPr="00E14326">
        <w:rPr>
          <w:rStyle w:val="CaptionsChar"/>
        </w:rPr>
        <w:t xml:space="preserve"> </w:t>
      </w:r>
      <w:r w:rsidR="00E14326" w:rsidRPr="00E14326">
        <w:rPr>
          <w:rStyle w:val="CaptionsChar"/>
        </w:rPr>
        <w:t>≥ 2,000 m/s).</w:t>
      </w:r>
      <w:bookmarkEnd w:id="142"/>
    </w:p>
    <w:p w:rsidR="003B3096" w:rsidRPr="00DD6E92" w:rsidRDefault="00551E1A" w:rsidP="00F73F1C">
      <w:pPr>
        <w:pStyle w:val="InlineObject"/>
      </w:pPr>
      <w:r>
        <w:rPr>
          <w:noProof/>
        </w:rPr>
        <w:lastRenderedPageBreak/>
        <w:drawing>
          <wp:inline distT="0" distB="0" distL="0" distR="0">
            <wp:extent cx="5400675" cy="5410200"/>
            <wp:effectExtent l="0" t="0" r="0" b="0"/>
            <wp:docPr id="42" name="Picture 42" descr="M55_R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55_Rru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00675" cy="5410200"/>
                    </a:xfrm>
                    <a:prstGeom prst="rect">
                      <a:avLst/>
                    </a:prstGeom>
                    <a:noFill/>
                    <a:ln>
                      <a:noFill/>
                    </a:ln>
                  </pic:spPr>
                </pic:pic>
              </a:graphicData>
            </a:graphic>
          </wp:inline>
        </w:drawing>
      </w:r>
    </w:p>
    <w:p w:rsidR="003B3096" w:rsidRPr="003B3096" w:rsidRDefault="003B3096" w:rsidP="00B57324">
      <w:pPr>
        <w:pStyle w:val="BodyText"/>
      </w:pPr>
      <w:bookmarkStart w:id="143" w:name="_Toc338429334"/>
      <w:r w:rsidRPr="00F73F1C">
        <w:rPr>
          <w:rStyle w:val="Bodytextbold"/>
          <w:i/>
        </w:rPr>
        <w:t>Figure</w:t>
      </w:r>
      <w:r w:rsidRPr="00ED3EA1">
        <w:rPr>
          <w:rStyle w:val="Bodytextbold"/>
        </w:rPr>
        <w:t xml:space="preserve"> </w:t>
      </w:r>
      <w:r w:rsidRPr="003B3096">
        <w:rPr>
          <w:rStyle w:val="CaptionsChar"/>
          <w:b/>
          <w:sz w:val="20"/>
        </w:rPr>
        <w:fldChar w:fldCharType="begin"/>
      </w:r>
      <w:r w:rsidRPr="003B3096">
        <w:rPr>
          <w:rStyle w:val="CaptionsChar"/>
          <w:b/>
          <w:sz w:val="20"/>
        </w:rPr>
        <w:instrText xml:space="preserve"> SEQ Figure \* ARABIC </w:instrText>
      </w:r>
      <w:r w:rsidRPr="003B3096">
        <w:rPr>
          <w:rStyle w:val="CaptionsChar"/>
          <w:b/>
          <w:sz w:val="20"/>
        </w:rPr>
        <w:fldChar w:fldCharType="separate"/>
      </w:r>
      <w:r w:rsidR="007D4E78">
        <w:rPr>
          <w:rStyle w:val="CaptionsChar"/>
          <w:b/>
          <w:noProof/>
          <w:sz w:val="20"/>
        </w:rPr>
        <w:t>20</w:t>
      </w:r>
      <w:r w:rsidRPr="003B3096">
        <w:rPr>
          <w:rStyle w:val="CaptionsChar"/>
          <w:b/>
          <w:sz w:val="20"/>
        </w:rPr>
        <w:fldChar w:fldCharType="end"/>
      </w:r>
      <w:r w:rsidRPr="00F73F1C">
        <w:rPr>
          <w:rStyle w:val="Bodytextbold"/>
          <w:i/>
        </w:rPr>
        <w:t>:</w:t>
      </w:r>
      <w:r w:rsidRPr="003B3096">
        <w:t xml:space="preserve">  </w:t>
      </w:r>
      <w:r w:rsidRPr="00ED3EA1">
        <w:rPr>
          <w:rStyle w:val="CaptionsChar"/>
        </w:rPr>
        <w:t xml:space="preserve">Comparison of the median horizontal </w:t>
      </w:r>
      <w:r w:rsidRPr="00332AA7">
        <w:rPr>
          <w:rStyle w:val="Bodytextitalic"/>
        </w:rPr>
        <w:t xml:space="preserve">5% damped response spectral acceleration </w:t>
      </w:r>
      <w:r w:rsidRPr="00ED3EA1">
        <w:rPr>
          <w:rStyle w:val="CaptionsChar"/>
        </w:rPr>
        <w:t>response spectra for the shallow- and deep-earthquake GMPEs for a scenario M</w:t>
      </w:r>
      <w:r w:rsidRPr="00172353">
        <w:rPr>
          <w:rStyle w:val="Subscriptitalic"/>
        </w:rPr>
        <w:t>W</w:t>
      </w:r>
      <w:r w:rsidRPr="00ED3EA1">
        <w:rPr>
          <w:rStyle w:val="CaptionsChar"/>
        </w:rPr>
        <w:t xml:space="preserve"> 5.</w:t>
      </w:r>
      <w:r w:rsidR="00DD6E92" w:rsidRPr="00ED3EA1">
        <w:rPr>
          <w:rStyle w:val="CaptionsChar"/>
        </w:rPr>
        <w:t>5</w:t>
      </w:r>
      <w:r w:rsidRPr="00ED3EA1">
        <w:rPr>
          <w:rStyle w:val="CaptionsChar"/>
        </w:rPr>
        <w:t xml:space="preserve"> earthquake against </w:t>
      </w:r>
      <w:r w:rsidR="00172353" w:rsidRPr="00332AA7">
        <w:rPr>
          <w:rStyle w:val="Bodytextitalic"/>
        </w:rPr>
        <w:t>R</w:t>
      </w:r>
      <w:r w:rsidR="00172353" w:rsidRPr="00172353">
        <w:rPr>
          <w:rStyle w:val="Subscriptitalic"/>
        </w:rPr>
        <w:t>rup</w:t>
      </w:r>
      <w:r w:rsidR="00172353">
        <w:rPr>
          <w:lang w:val="en-US"/>
        </w:rPr>
        <w:t xml:space="preserve"> </w:t>
      </w:r>
      <w:r w:rsidRPr="00ED3EA1">
        <w:rPr>
          <w:rStyle w:val="CaptionsChar"/>
        </w:rPr>
        <w:t xml:space="preserve">for a series of response spectral periods, T.  Also indicated for comparison is the Atkinson and Boore (2006) GMPE for ENA B/C crustal conditions, Chiou and Youngs (2008) for active crustal California and the Somerville et al. </w:t>
      </w:r>
      <w:r w:rsidRPr="003B3096">
        <w:rPr>
          <w:rStyle w:val="CaptionsChar"/>
          <w:sz w:val="20"/>
        </w:rPr>
        <w:fldChar w:fldCharType="begin"/>
      </w:r>
      <w:r w:rsidR="00F202D0">
        <w:rPr>
          <w:rStyle w:val="CaptionsChar"/>
          <w:sz w:val="20"/>
        </w:rPr>
        <w:instrText xml:space="preserve"> ADDIN EN.CITE &lt;EndNote&gt;&lt;Cite ExcludeAuth="1"&gt;&lt;Author&gt;Somerville&lt;/Author&gt;&lt;Year&gt;2009&lt;/Year&gt;&lt;RecNum&gt;772&lt;/RecNum&gt;&lt;record&gt;&lt;rec-number&gt;772&lt;/rec-number&gt;&lt;foreign-keys&gt;&lt;key app="EN" db-id="se5z02d5txder3eax2p5wz5j59zvz2tdzdd2"&gt;772&lt;/key&gt;&lt;/foreign-keys&gt;&lt;ref-type name="Conference Paper"&gt;47&lt;/ref-type&gt;&lt;contributors&gt;&lt;authors&gt;&lt;author&gt;Somerville, P.&lt;/author&gt;&lt;author&gt;Graves, R.&lt;/author&gt;&lt;author&gt;Collins, N.&lt;/author&gt;&lt;author&gt;Song, S.-G.&lt;/author&gt;&lt;author&gt;Ni, S.&lt;/author&gt;&lt;author&gt;Cummins, P.&lt;/author&gt;&lt;/authors&gt;&lt;/contributors&gt;&lt;titles&gt;&lt;title&gt;Source and ground motion models for Australian earthquakes&lt;/title&gt;&lt;secondary-title&gt;The Australian Earthquake Engineering Society Conference&lt;/secondary-title&gt;&lt;/titles&gt;&lt;keywords&gt;&lt;keyword&gt;GMPE, Australia, source&lt;/keyword&gt;&lt;/keywords&gt;&lt;dates&gt;&lt;year&gt;2009&lt;/year&gt;&lt;/dates&gt;&lt;pub-location&gt;Newcastle&lt;/pub-location&gt;&lt;publisher&gt;The Australian Earthquake Engineering Society&lt;/publisher&gt;&lt;urls&gt;&lt;pdf-urls&gt;&lt;url&gt;internal-pdf://Somerville_et_al.(2009).Aus.GEMPs-3187345198/Somerville_et_al.(2009).Aus.GEMPs.pdf&lt;/url&gt;&lt;/pdf-urls&gt;&lt;/urls&gt;&lt;/record&gt;&lt;/Cite&gt;&lt;/EndNote&gt;</w:instrText>
      </w:r>
      <w:r w:rsidRPr="003B3096">
        <w:rPr>
          <w:rStyle w:val="CaptionsChar"/>
          <w:sz w:val="20"/>
        </w:rPr>
        <w:fldChar w:fldCharType="separate"/>
      </w:r>
      <w:r w:rsidRPr="003B3096">
        <w:rPr>
          <w:rStyle w:val="CaptionsChar"/>
          <w:sz w:val="20"/>
        </w:rPr>
        <w:t>(2009)</w:t>
      </w:r>
      <w:r w:rsidRPr="003B3096">
        <w:rPr>
          <w:rStyle w:val="CaptionsChar"/>
          <w:sz w:val="20"/>
        </w:rPr>
        <w:fldChar w:fldCharType="end"/>
      </w:r>
      <w:r w:rsidRPr="00ED3EA1">
        <w:rPr>
          <w:rStyle w:val="CaptionsChar"/>
        </w:rPr>
        <w:t xml:space="preserve"> for non-cratonic Australia.  The </w:t>
      </w:r>
      <w:r w:rsidR="00172353" w:rsidRPr="00332AA7">
        <w:rPr>
          <w:rStyle w:val="Bodytextitalic"/>
        </w:rPr>
        <w:t>R</w:t>
      </w:r>
      <w:r w:rsidR="00172353" w:rsidRPr="00172353">
        <w:rPr>
          <w:rStyle w:val="Subscriptitalic"/>
        </w:rPr>
        <w:t>rup</w:t>
      </w:r>
      <w:r w:rsidR="00172353">
        <w:rPr>
          <w:lang w:val="en-US"/>
        </w:rPr>
        <w:t xml:space="preserve"> </w:t>
      </w:r>
      <w:r w:rsidRPr="00ED3EA1">
        <w:rPr>
          <w:rStyle w:val="CaptionsChar"/>
        </w:rPr>
        <w:t xml:space="preserve">distance metric is converted to Joyner-Boore distance RJB for use in the Somerville et al. (2009) GMPE.  In this case, the scenario earthquake is treated as a point source with a hypocentral depth of 5 km.  Consequently the minimum corresponding </w:t>
      </w:r>
      <w:r w:rsidR="00172353" w:rsidRPr="00332AA7">
        <w:rPr>
          <w:rStyle w:val="Bodytextitalic"/>
        </w:rPr>
        <w:t>R</w:t>
      </w:r>
      <w:r w:rsidR="00172353" w:rsidRPr="00172353">
        <w:rPr>
          <w:rStyle w:val="Subscriptitalic"/>
        </w:rPr>
        <w:t>rup</w:t>
      </w:r>
      <w:r w:rsidR="00172353">
        <w:rPr>
          <w:lang w:val="en-US"/>
        </w:rPr>
        <w:t xml:space="preserve"> </w:t>
      </w:r>
      <w:r w:rsidRPr="00ED3EA1">
        <w:rPr>
          <w:rStyle w:val="CaptionsChar"/>
        </w:rPr>
        <w:t>value applicable in the Somerville et al. (2009) GMPE is 5 km.</w:t>
      </w:r>
      <w:bookmarkEnd w:id="143"/>
    </w:p>
    <w:p w:rsidR="003B3096" w:rsidRPr="00DD6E92" w:rsidRDefault="00551E1A" w:rsidP="00F73F1C">
      <w:pPr>
        <w:pStyle w:val="InlineObject"/>
      </w:pPr>
      <w:r>
        <w:rPr>
          <w:noProof/>
        </w:rPr>
        <w:lastRenderedPageBreak/>
        <w:drawing>
          <wp:inline distT="0" distB="0" distL="0" distR="0">
            <wp:extent cx="5372100" cy="5381625"/>
            <wp:effectExtent l="0" t="0" r="0" b="0"/>
            <wp:docPr id="43" name="Picture 43" descr="M65_R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65_Rrup"/>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72100" cy="5381625"/>
                    </a:xfrm>
                    <a:prstGeom prst="rect">
                      <a:avLst/>
                    </a:prstGeom>
                    <a:noFill/>
                    <a:ln>
                      <a:noFill/>
                    </a:ln>
                  </pic:spPr>
                </pic:pic>
              </a:graphicData>
            </a:graphic>
          </wp:inline>
        </w:drawing>
      </w:r>
    </w:p>
    <w:p w:rsidR="003B3096" w:rsidRPr="00ED3EA1" w:rsidRDefault="003B3096" w:rsidP="00ED3EA1">
      <w:pPr>
        <w:pStyle w:val="Captions"/>
      </w:pPr>
      <w:bookmarkStart w:id="144" w:name="_Toc338429335"/>
      <w:r w:rsidRPr="00ED3EA1">
        <w:rPr>
          <w:rStyle w:val="Bodytextbold"/>
        </w:rPr>
        <w:t xml:space="preserve">Figure </w:t>
      </w:r>
      <w:r w:rsidRPr="00ED3EA1">
        <w:rPr>
          <w:rStyle w:val="Bodytextbold"/>
        </w:rPr>
        <w:fldChar w:fldCharType="begin"/>
      </w:r>
      <w:r w:rsidRPr="00ED3EA1">
        <w:rPr>
          <w:rStyle w:val="Bodytextbold"/>
        </w:rPr>
        <w:instrText xml:space="preserve"> SEQ Figure \* ARABIC </w:instrText>
      </w:r>
      <w:r w:rsidRPr="00ED3EA1">
        <w:rPr>
          <w:rStyle w:val="Bodytextbold"/>
        </w:rPr>
        <w:fldChar w:fldCharType="separate"/>
      </w:r>
      <w:r w:rsidR="007D4E78" w:rsidRPr="00ED3EA1">
        <w:rPr>
          <w:rStyle w:val="Bodytextbold"/>
        </w:rPr>
        <w:t>21</w:t>
      </w:r>
      <w:r w:rsidRPr="00ED3EA1">
        <w:rPr>
          <w:rStyle w:val="Bodytextbold"/>
        </w:rPr>
        <w:fldChar w:fldCharType="end"/>
      </w:r>
      <w:r w:rsidRPr="00ED3EA1">
        <w:rPr>
          <w:rStyle w:val="Bodytextbold"/>
        </w:rPr>
        <w:t>:</w:t>
      </w:r>
      <w:r w:rsidRPr="00ED3EA1">
        <w:t xml:space="preserve">  Comparison of the median horizontal </w:t>
      </w:r>
      <w:r w:rsidRPr="003B3096">
        <w:rPr>
          <w:lang w:val="en-US"/>
        </w:rPr>
        <w:t xml:space="preserve">5% damped response spectral acceleration </w:t>
      </w:r>
      <w:r w:rsidRPr="00ED3EA1">
        <w:t>response spectra for the shallow- and deep-earthquake GMPEs for a scenario M</w:t>
      </w:r>
      <w:r w:rsidRPr="00ED3EA1">
        <w:rPr>
          <w:vertAlign w:val="subscript"/>
        </w:rPr>
        <w:t>W</w:t>
      </w:r>
      <w:r w:rsidRPr="00ED3EA1">
        <w:t xml:space="preserve"> </w:t>
      </w:r>
      <w:r w:rsidR="00DD6E92" w:rsidRPr="00ED3EA1">
        <w:t>6.5</w:t>
      </w:r>
      <w:r w:rsidRPr="00ED3EA1">
        <w:t xml:space="preserve"> earthquake against </w:t>
      </w:r>
      <w:r w:rsidR="00172353" w:rsidRPr="00332AA7">
        <w:t>R</w:t>
      </w:r>
      <w:r w:rsidR="00172353" w:rsidRPr="00172353">
        <w:rPr>
          <w:rStyle w:val="Subscriptitalic"/>
        </w:rPr>
        <w:t>rup</w:t>
      </w:r>
      <w:r w:rsidR="00172353">
        <w:rPr>
          <w:lang w:val="en-US"/>
        </w:rPr>
        <w:t xml:space="preserve"> </w:t>
      </w:r>
      <w:r w:rsidRPr="00ED3EA1">
        <w:t xml:space="preserve">for a series of response spectral periods, T.  Also indicated for comparison is the Atkinson and Boore (2006) GMPE for ENA B/C crustal conditions, Chiou and Youngs (2008) for active crustal California and the Somerville et al. </w:t>
      </w:r>
      <w:r w:rsidRPr="003B3096">
        <w:rPr>
          <w:rStyle w:val="CaptionsChar"/>
        </w:rPr>
        <w:fldChar w:fldCharType="begin"/>
      </w:r>
      <w:r w:rsidR="00F202D0">
        <w:rPr>
          <w:rStyle w:val="CaptionsChar"/>
        </w:rPr>
        <w:instrText xml:space="preserve"> ADDIN EN.CITE &lt;EndNote&gt;&lt;Cite ExcludeAuth="1"&gt;&lt;Author&gt;Somerville&lt;/Author&gt;&lt;Year&gt;2009&lt;/Year&gt;&lt;RecNum&gt;772&lt;/RecNum&gt;&lt;record&gt;&lt;rec-number&gt;772&lt;/rec-number&gt;&lt;foreign-keys&gt;&lt;key app="EN" db-id="se5z02d5txder3eax2p5wz5j59zvz2tdzdd2"&gt;772&lt;/key&gt;&lt;/foreign-keys&gt;&lt;ref-type name="Conference Paper"&gt;47&lt;/ref-type&gt;&lt;contributors&gt;&lt;authors&gt;&lt;author&gt;Somerville, P.&lt;/author&gt;&lt;author&gt;Graves, R.&lt;/author&gt;&lt;author&gt;Collins, N.&lt;/author&gt;&lt;author&gt;Song, S.-G.&lt;/author&gt;&lt;author&gt;Ni, S.&lt;/author&gt;&lt;author&gt;Cummins, P.&lt;/author&gt;&lt;/authors&gt;&lt;/contributors&gt;&lt;titles&gt;&lt;title&gt;Source and ground motion models for Australian earthquakes&lt;/title&gt;&lt;secondary-title&gt;The Australian Earthquake Engineering Society Conference&lt;/secondary-title&gt;&lt;/titles&gt;&lt;keywords&gt;&lt;keyword&gt;GMPE, Australia, source&lt;/keyword&gt;&lt;/keywords&gt;&lt;dates&gt;&lt;year&gt;2009&lt;/year&gt;&lt;/dates&gt;&lt;pub-location&gt;Newcastle&lt;/pub-location&gt;&lt;publisher&gt;The Australian Earthquake Engineering Society&lt;/publisher&gt;&lt;urls&gt;&lt;pdf-urls&gt;&lt;url&gt;internal-pdf://Somerville_et_al.(2009).Aus.GEMPs-3187345198/Somerville_et_al.(2009).Aus.GEMPs.pdf&lt;/url&gt;&lt;/pdf-urls&gt;&lt;/urls&gt;&lt;/record&gt;&lt;/Cite&gt;&lt;/EndNote&gt;</w:instrText>
      </w:r>
      <w:r w:rsidRPr="003B3096">
        <w:rPr>
          <w:rStyle w:val="CaptionsChar"/>
        </w:rPr>
        <w:fldChar w:fldCharType="separate"/>
      </w:r>
      <w:r w:rsidRPr="003B3096">
        <w:rPr>
          <w:rStyle w:val="CaptionsChar"/>
        </w:rPr>
        <w:t>(2009)</w:t>
      </w:r>
      <w:r w:rsidRPr="003B3096">
        <w:rPr>
          <w:rStyle w:val="CaptionsChar"/>
        </w:rPr>
        <w:fldChar w:fldCharType="end"/>
      </w:r>
      <w:r w:rsidRPr="00ED3EA1">
        <w:t xml:space="preserve"> for non-cratonic Australia.  This scenario assumes a vertically dipping fault, which cases surface rupture.  In this case, </w:t>
      </w:r>
      <w:r w:rsidR="00172353" w:rsidRPr="00332AA7">
        <w:t>R</w:t>
      </w:r>
      <w:r w:rsidR="00172353" w:rsidRPr="00172353">
        <w:rPr>
          <w:rStyle w:val="Subscriptitalic"/>
        </w:rPr>
        <w:t>rup</w:t>
      </w:r>
      <w:r w:rsidR="00172353">
        <w:rPr>
          <w:lang w:val="en-US"/>
        </w:rPr>
        <w:t xml:space="preserve"> </w:t>
      </w:r>
      <w:r w:rsidRPr="00ED3EA1">
        <w:t>= R</w:t>
      </w:r>
      <w:r w:rsidRPr="00ED3EA1">
        <w:rPr>
          <w:vertAlign w:val="subscript"/>
        </w:rPr>
        <w:t>JB</w:t>
      </w:r>
      <w:r w:rsidRPr="00ED3EA1">
        <w:t>.</w:t>
      </w:r>
      <w:bookmarkEnd w:id="144"/>
    </w:p>
    <w:p w:rsidR="00B15AC0" w:rsidRPr="005246BB" w:rsidRDefault="00050122" w:rsidP="00B57324">
      <w:pPr>
        <w:pStyle w:val="BodyText"/>
        <w:rPr>
          <w:rStyle w:val="Heading1Char"/>
        </w:rPr>
      </w:pPr>
      <w:r>
        <w:br w:type="page"/>
      </w:r>
      <w:bookmarkStart w:id="145" w:name="_Toc319918562"/>
      <w:bookmarkStart w:id="146" w:name="_Toc319918831"/>
      <w:bookmarkStart w:id="147" w:name="_Toc349112542"/>
      <w:r w:rsidR="00B15AC0" w:rsidRPr="005246BB">
        <w:rPr>
          <w:rStyle w:val="Heading1Char"/>
        </w:rPr>
        <w:lastRenderedPageBreak/>
        <w:t xml:space="preserve">Comparison of GMPEs </w:t>
      </w:r>
      <w:r w:rsidR="00AF41D1" w:rsidRPr="005246BB">
        <w:rPr>
          <w:rStyle w:val="Heading1Char"/>
        </w:rPr>
        <w:t>against</w:t>
      </w:r>
      <w:r w:rsidR="00B15AC0" w:rsidRPr="005246BB">
        <w:rPr>
          <w:rStyle w:val="Heading1Char"/>
        </w:rPr>
        <w:t xml:space="preserve"> Recorded Data</w:t>
      </w:r>
      <w:bookmarkEnd w:id="139"/>
      <w:bookmarkEnd w:id="140"/>
      <w:bookmarkEnd w:id="145"/>
      <w:bookmarkEnd w:id="146"/>
      <w:bookmarkEnd w:id="147"/>
    </w:p>
    <w:p w:rsidR="00B15AC0" w:rsidRPr="0017416B" w:rsidRDefault="00B15AC0" w:rsidP="005C7510">
      <w:pPr>
        <w:pStyle w:val="Heading2"/>
        <w:rPr>
          <w:lang w:val="en-US"/>
        </w:rPr>
      </w:pPr>
      <w:bookmarkStart w:id="148" w:name="_Toc319656520"/>
      <w:bookmarkStart w:id="149" w:name="_Toc319656609"/>
      <w:bookmarkStart w:id="150" w:name="_Toc319918563"/>
      <w:bookmarkStart w:id="151" w:name="_Toc319918832"/>
      <w:bookmarkStart w:id="152" w:name="_Toc349112543"/>
      <w:r>
        <w:rPr>
          <w:lang w:val="en-US"/>
        </w:rPr>
        <w:t>Comparison Against Recorded Eastern Australian Data</w:t>
      </w:r>
      <w:bookmarkEnd w:id="148"/>
      <w:bookmarkEnd w:id="149"/>
      <w:bookmarkEnd w:id="150"/>
      <w:bookmarkEnd w:id="151"/>
      <w:bookmarkEnd w:id="152"/>
    </w:p>
    <w:p w:rsidR="00B15AC0" w:rsidRDefault="00B15AC0" w:rsidP="00C409B2">
      <w:pPr>
        <w:pStyle w:val="BodyText"/>
        <w:rPr>
          <w:lang w:val="en-US"/>
        </w:rPr>
      </w:pPr>
      <w:r>
        <w:rPr>
          <w:lang w:val="en-US"/>
        </w:rPr>
        <w:t>It is useful to compare the new GMPEs for SEA a</w:t>
      </w:r>
      <w:smartTag w:uri="urn:schemas-microsoft-com:office:smarttags" w:element="PersonName">
        <w:r>
          <w:rPr>
            <w:lang w:val="en-US"/>
          </w:rPr>
          <w:t>ga</w:t>
        </w:r>
      </w:smartTag>
      <w:r>
        <w:rPr>
          <w:lang w:val="en-US"/>
        </w:rPr>
        <w:t>inst recorded ground-motion data from the region to review their applicability for use in hazard studies.  Unfortunately, we do not possess any recorded ground-motions from large-magnitude earthquakes in SEA – as is the case in ma</w:t>
      </w:r>
      <w:r w:rsidR="00F373C5">
        <w:rPr>
          <w:lang w:val="en-US"/>
        </w:rPr>
        <w:t>n</w:t>
      </w:r>
      <w:r>
        <w:rPr>
          <w:lang w:val="en-US"/>
        </w:rPr>
        <w:t xml:space="preserve">y stable continental regions.  However, the limited moderate-magnitude data that </w:t>
      </w:r>
      <w:r w:rsidR="00DA47C3">
        <w:rPr>
          <w:lang w:val="en-US"/>
        </w:rPr>
        <w:t xml:space="preserve">are </w:t>
      </w:r>
      <w:r>
        <w:rPr>
          <w:lang w:val="en-US"/>
        </w:rPr>
        <w:t xml:space="preserve">available can be used to validate the stochastic ground-motion models.  Five percent damped response spectral accelerations are calculated for time histories from all earthquakes of </w:t>
      </w:r>
      <w:r w:rsidR="00172353" w:rsidRPr="00172353">
        <w:rPr>
          <w:rStyle w:val="Bodytextitalic"/>
        </w:rPr>
        <w:t>M</w:t>
      </w:r>
      <w:r w:rsidR="00172353" w:rsidRPr="00172353">
        <w:rPr>
          <w:rStyle w:val="Subscriptitalic"/>
        </w:rPr>
        <w:t>W</w:t>
      </w:r>
      <w:r w:rsidR="00172353">
        <w:t xml:space="preserve"> </w:t>
      </w:r>
      <w:r>
        <w:rPr>
          <w:lang w:val="en-US"/>
        </w:rPr>
        <w:t>≥ 4.0 compiled for the empirical Fourier analysis above.  The geometric mean of the two horizontal components for each record was then calculated.  The median ground-motion residuals were calculated for near-source data (</w:t>
      </w:r>
      <w:r w:rsidR="00172353" w:rsidRPr="00332AA7">
        <w:rPr>
          <w:rStyle w:val="Bodytextitalic"/>
        </w:rPr>
        <w:t>R</w:t>
      </w:r>
      <w:r w:rsidR="00172353" w:rsidRPr="00172353">
        <w:rPr>
          <w:rStyle w:val="Subscriptitalic"/>
        </w:rPr>
        <w:t>rup</w:t>
      </w:r>
      <w:r w:rsidR="00172353">
        <w:rPr>
          <w:lang w:val="en-US"/>
        </w:rPr>
        <w:t xml:space="preserve"> </w:t>
      </w:r>
      <w:r>
        <w:rPr>
          <w:lang w:val="en-US"/>
        </w:rPr>
        <w:t xml:space="preserve">≤ </w:t>
      </w:r>
      <w:r w:rsidR="00124092" w:rsidRPr="00124092">
        <w:rPr>
          <w:lang w:val="en-US"/>
        </w:rPr>
        <w:t>80 km</w:t>
      </w:r>
      <w:r>
        <w:rPr>
          <w:lang w:val="en-US"/>
        </w:rPr>
        <w:t>) and moderate-to-large distances (</w:t>
      </w:r>
      <w:r w:rsidR="00172353" w:rsidRPr="00332AA7">
        <w:rPr>
          <w:rStyle w:val="Bodytextitalic"/>
        </w:rPr>
        <w:t>R</w:t>
      </w:r>
      <w:r w:rsidR="00172353" w:rsidRPr="00172353">
        <w:rPr>
          <w:rStyle w:val="Subscriptitalic"/>
        </w:rPr>
        <w:t>rup</w:t>
      </w:r>
      <w:r w:rsidR="00172353">
        <w:rPr>
          <w:lang w:val="en-US"/>
        </w:rPr>
        <w:t xml:space="preserve"> </w:t>
      </w:r>
      <w:r>
        <w:rPr>
          <w:lang w:val="en-US"/>
        </w:rPr>
        <w:t xml:space="preserve">&gt; </w:t>
      </w:r>
      <w:r w:rsidR="00124092" w:rsidRPr="00124092">
        <w:rPr>
          <w:lang w:val="en-US"/>
        </w:rPr>
        <w:t>80 km</w:t>
      </w:r>
      <w:r>
        <w:rPr>
          <w:lang w:val="en-US"/>
        </w:rPr>
        <w:t xml:space="preserve">) for response spectra between periods of </w:t>
      </w:r>
      <w:r w:rsidRPr="00C06124">
        <w:rPr>
          <w:lang w:val="en-US"/>
        </w:rPr>
        <w:t>0.04-</w:t>
      </w:r>
      <w:r w:rsidR="001A3699" w:rsidRPr="00C06124">
        <w:rPr>
          <w:lang w:val="en-US"/>
        </w:rPr>
        <w:t>4</w:t>
      </w:r>
      <w:r w:rsidRPr="00C06124">
        <w:rPr>
          <w:lang w:val="en-US"/>
        </w:rPr>
        <w:t>.0</w:t>
      </w:r>
      <w:r>
        <w:rPr>
          <w:lang w:val="en-US"/>
        </w:rPr>
        <w:t xml:space="preserve"> s (Fig. </w:t>
      </w:r>
      <w:r w:rsidR="003B3096">
        <w:rPr>
          <w:lang w:val="en-US"/>
        </w:rPr>
        <w:t>22</w:t>
      </w:r>
      <w:r>
        <w:rPr>
          <w:lang w:val="en-US"/>
        </w:rPr>
        <w:t>).  The results indicate generally low residuals across the full range of spectral periods within the range of the model uncertainty.</w:t>
      </w:r>
    </w:p>
    <w:p w:rsidR="00DB6BC1" w:rsidRPr="00C42CBC" w:rsidRDefault="00551E1A" w:rsidP="00F73F1C">
      <w:pPr>
        <w:pStyle w:val="InlineObject"/>
      </w:pPr>
      <w:r>
        <w:rPr>
          <w:noProof/>
        </w:rPr>
        <w:drawing>
          <wp:inline distT="0" distB="0" distL="0" distR="0">
            <wp:extent cx="5372100" cy="2190750"/>
            <wp:effectExtent l="0" t="0" r="0" b="0"/>
            <wp:docPr id="44" name="Picture 44" descr="SEA_res_GA_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A_res_GA_RE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72100" cy="2190750"/>
                    </a:xfrm>
                    <a:prstGeom prst="rect">
                      <a:avLst/>
                    </a:prstGeom>
                    <a:noFill/>
                    <a:ln>
                      <a:noFill/>
                    </a:ln>
                  </pic:spPr>
                </pic:pic>
              </a:graphicData>
            </a:graphic>
          </wp:inline>
        </w:drawing>
      </w:r>
    </w:p>
    <w:p w:rsidR="003370DB" w:rsidRPr="00ED3EA1" w:rsidRDefault="003370DB" w:rsidP="00D43453">
      <w:pPr>
        <w:pStyle w:val="Captions"/>
        <w:rPr>
          <w:rStyle w:val="Bodytextbold"/>
        </w:rPr>
      </w:pPr>
      <w:bookmarkStart w:id="153" w:name="_Toc338429336"/>
      <w:r w:rsidRPr="00ED3EA1">
        <w:rPr>
          <w:rStyle w:val="Bodytextbold"/>
        </w:rPr>
        <w:t xml:space="preserve">Figure </w:t>
      </w:r>
      <w:r w:rsidRPr="00336155">
        <w:rPr>
          <w:b/>
        </w:rPr>
        <w:fldChar w:fldCharType="begin"/>
      </w:r>
      <w:r w:rsidRPr="00336155">
        <w:rPr>
          <w:b/>
        </w:rPr>
        <w:instrText xml:space="preserve"> SEQ Figure \* ARABIC </w:instrText>
      </w:r>
      <w:r w:rsidRPr="00336155">
        <w:rPr>
          <w:b/>
        </w:rPr>
        <w:fldChar w:fldCharType="separate"/>
      </w:r>
      <w:r w:rsidR="007D4E78">
        <w:rPr>
          <w:b/>
          <w:noProof/>
        </w:rPr>
        <w:t>22</w:t>
      </w:r>
      <w:r w:rsidRPr="00336155">
        <w:rPr>
          <w:b/>
        </w:rPr>
        <w:fldChar w:fldCharType="end"/>
      </w:r>
      <w:r w:rsidRPr="00ED3EA1">
        <w:rPr>
          <w:rStyle w:val="Bodytextbold"/>
        </w:rPr>
        <w:t>:</w:t>
      </w:r>
      <w:r>
        <w:t xml:space="preserve">  </w:t>
      </w:r>
      <w:r w:rsidR="00336155" w:rsidRPr="002666CF">
        <w:t xml:space="preserve">Residuals </w:t>
      </w:r>
      <w:r w:rsidR="00336155">
        <w:t xml:space="preserve">(log10 observed – log10 predicted) </w:t>
      </w:r>
      <w:r w:rsidR="00336155" w:rsidRPr="002666CF">
        <w:t xml:space="preserve">of 5% damped response spectral accelerations recorded from </w:t>
      </w:r>
      <w:r w:rsidR="00336155">
        <w:t>all M</w:t>
      </w:r>
      <w:r w:rsidR="00336155">
        <w:rPr>
          <w:vertAlign w:val="subscript"/>
        </w:rPr>
        <w:t>W</w:t>
      </w:r>
      <w:r w:rsidR="00336155" w:rsidRPr="00336155">
        <w:t xml:space="preserve"> </w:t>
      </w:r>
      <w:r w:rsidR="00336155">
        <w:sym w:font="Symbol" w:char="F0B3"/>
      </w:r>
      <w:r w:rsidR="00336155">
        <w:t xml:space="preserve"> 4.0 </w:t>
      </w:r>
      <w:r w:rsidR="00336155" w:rsidRPr="002666CF">
        <w:t xml:space="preserve">earthquakes in </w:t>
      </w:r>
      <w:r w:rsidR="00336155">
        <w:t xml:space="preserve">southeastern </w:t>
      </w:r>
      <w:r w:rsidR="00336155" w:rsidRPr="002666CF">
        <w:t xml:space="preserve">Australia at distances </w:t>
      </w:r>
      <w:r w:rsidR="00172353" w:rsidRPr="00332AA7">
        <w:t>R</w:t>
      </w:r>
      <w:r w:rsidR="00172353" w:rsidRPr="00172353">
        <w:rPr>
          <w:rStyle w:val="Subscriptitalic"/>
        </w:rPr>
        <w:t>rup</w:t>
      </w:r>
      <w:r w:rsidR="00172353">
        <w:rPr>
          <w:lang w:val="en-US"/>
        </w:rPr>
        <w:t xml:space="preserve"> </w:t>
      </w:r>
      <w:r w:rsidR="00336155" w:rsidRPr="002666CF">
        <w:t xml:space="preserve">less than </w:t>
      </w:r>
      <w:r w:rsidR="00D43453">
        <w:t>8</w:t>
      </w:r>
      <w:r w:rsidR="00336155" w:rsidRPr="002666CF">
        <w:t>0 km (solid lines) and</w:t>
      </w:r>
      <w:r w:rsidR="00C06124">
        <w:t xml:space="preserve"> </w:t>
      </w:r>
      <w:r w:rsidR="00DF6786">
        <w:t>8</w:t>
      </w:r>
      <w:r w:rsidR="00C06124">
        <w:t>0-</w:t>
      </w:r>
      <w:r w:rsidR="00336155">
        <w:t>3</w:t>
      </w:r>
      <w:r w:rsidR="00336155" w:rsidRPr="002666CF">
        <w:t>00 km (dashed lines), respectively.</w:t>
      </w:r>
      <w:r w:rsidR="00336155">
        <w:t xml:space="preserve"> </w:t>
      </w:r>
      <w:r w:rsidR="00336155" w:rsidRPr="002666CF">
        <w:t>Median residuals (red lines) are plotted against spectral period with ± 1</w:t>
      </w:r>
      <w:r w:rsidR="00336155" w:rsidRPr="002666CF">
        <w:sym w:font="Symbol" w:char="F073"/>
      </w:r>
      <w:r w:rsidR="00336155" w:rsidRPr="002666CF">
        <w:t xml:space="preserve"> </w:t>
      </w:r>
      <w:r w:rsidR="00336155">
        <w:t xml:space="preserve">indicated </w:t>
      </w:r>
      <w:r w:rsidR="00336155" w:rsidRPr="002666CF">
        <w:t>(blue lines).</w:t>
      </w:r>
      <w:r w:rsidR="00336155">
        <w:t xml:space="preserve">  The model sigma</w:t>
      </w:r>
      <w:r w:rsidR="00B97058">
        <w:t xml:space="preserve"> (Table 7)</w:t>
      </w:r>
      <w:r w:rsidR="00336155">
        <w:t xml:space="preserve"> for the </w:t>
      </w:r>
      <w:r w:rsidR="00D43453">
        <w:t>shallow</w:t>
      </w:r>
      <w:r w:rsidR="00336155">
        <w:t xml:space="preserve">-earthquake model is also plotted (green </w:t>
      </w:r>
      <w:r w:rsidR="00124092">
        <w:t>dot</w:t>
      </w:r>
      <w:r w:rsidR="00A10B71">
        <w:t>-dashed</w:t>
      </w:r>
      <w:r w:rsidR="00124092">
        <w:t xml:space="preserve"> </w:t>
      </w:r>
      <w:r w:rsidR="00336155">
        <w:t>lines) relative to the zero residual line (thin black dashed line).</w:t>
      </w:r>
      <w:bookmarkEnd w:id="153"/>
    </w:p>
    <w:p w:rsidR="00B15AC0" w:rsidRDefault="00B15AC0" w:rsidP="00C409B2">
      <w:pPr>
        <w:pStyle w:val="BodyText"/>
        <w:rPr>
          <w:lang w:val="en-US"/>
        </w:rPr>
      </w:pPr>
      <w:r>
        <w:rPr>
          <w:lang w:val="en-US"/>
        </w:rPr>
        <w:t xml:space="preserve">In evaluating the performance of any model, it is prudent to test the model with </w:t>
      </w:r>
      <w:r w:rsidR="00124092">
        <w:rPr>
          <w:lang w:val="en-US"/>
        </w:rPr>
        <w:t xml:space="preserve">an independent dataset </w:t>
      </w:r>
      <w:r>
        <w:rPr>
          <w:lang w:val="en-US"/>
        </w:rPr>
        <w:t xml:space="preserve">that was not used in the derivation of the model itself.  Owing to the limited dataset with which the empirical relations were developed above, there are very few Australian data </w:t>
      </w:r>
      <w:r w:rsidR="00924BE1">
        <w:rPr>
          <w:lang w:val="en-US"/>
        </w:rPr>
        <w:t>available to undertake such</w:t>
      </w:r>
      <w:r>
        <w:rPr>
          <w:lang w:val="en-US"/>
        </w:rPr>
        <w:t xml:space="preserve"> rigorous analyses.  However, as discussed above, the attenuation parameters (i.e., geometrical and anelastic attenuation) were developed </w:t>
      </w:r>
      <w:r w:rsidR="00DA47C3">
        <w:rPr>
          <w:lang w:val="en-US"/>
        </w:rPr>
        <w:t>only using</w:t>
      </w:r>
      <w:r>
        <w:rPr>
          <w:lang w:val="en-US"/>
        </w:rPr>
        <w:t xml:space="preserve"> data from earthquakes with </w:t>
      </w:r>
      <w:r w:rsidR="00DA47C3">
        <w:rPr>
          <w:lang w:val="en-US"/>
        </w:rPr>
        <w:t xml:space="preserve">three </w:t>
      </w:r>
      <w:r>
        <w:rPr>
          <w:lang w:val="en-US"/>
        </w:rPr>
        <w:t>or more recordings within 100 km from the earthquake source</w:t>
      </w:r>
      <w:r w:rsidRPr="00332AA7">
        <w:t xml:space="preserve">.  </w:t>
      </w:r>
      <w:r>
        <w:rPr>
          <w:lang w:val="en-US"/>
        </w:rPr>
        <w:t xml:space="preserve">As a consequence, some of the </w:t>
      </w:r>
      <w:r w:rsidR="00172353" w:rsidRPr="00172353">
        <w:rPr>
          <w:rStyle w:val="Bodytextitalic"/>
        </w:rPr>
        <w:t>M</w:t>
      </w:r>
      <w:r w:rsidR="00172353" w:rsidRPr="00172353">
        <w:rPr>
          <w:rStyle w:val="Subscriptitalic"/>
        </w:rPr>
        <w:t>W</w:t>
      </w:r>
      <w:r w:rsidR="00172353">
        <w:t xml:space="preserve"> </w:t>
      </w:r>
      <w:r>
        <w:rPr>
          <w:lang w:val="en-US"/>
        </w:rPr>
        <w:t xml:space="preserve">≥ 4.0 data were not directly used for the derivation of the attenuation parameters (see Table </w:t>
      </w:r>
      <w:r w:rsidR="00124092">
        <w:rPr>
          <w:lang w:val="en-US"/>
        </w:rPr>
        <w:t>2</w:t>
      </w:r>
      <w:r>
        <w:rPr>
          <w:lang w:val="en-US"/>
        </w:rPr>
        <w:t xml:space="preserve">).  While some of these data have been included in the derivation of median source parameters (e.g., Brune stress drop), it is considered </w:t>
      </w:r>
      <w:r w:rsidR="00961A4E">
        <w:rPr>
          <w:lang w:val="en-US"/>
        </w:rPr>
        <w:t xml:space="preserve">that </w:t>
      </w:r>
      <w:r>
        <w:rPr>
          <w:lang w:val="en-US"/>
        </w:rPr>
        <w:t xml:space="preserve">these data can be used as </w:t>
      </w:r>
      <w:r w:rsidR="00961A4E">
        <w:rPr>
          <w:lang w:val="en-US"/>
        </w:rPr>
        <w:t xml:space="preserve">a relatively </w:t>
      </w:r>
      <w:r>
        <w:rPr>
          <w:lang w:val="en-US"/>
        </w:rPr>
        <w:t xml:space="preserve">independent dataset to validate the proposed GMPEs.  </w:t>
      </w:r>
      <w:r w:rsidR="009D0A3F">
        <w:rPr>
          <w:lang w:val="en-US"/>
        </w:rPr>
        <w:t xml:space="preserve">Only three events could be used for this exercise: the 1) 1994 Ellalong, NSW; 2) 2001 Swan Hill, VIC, and; 3) 2011 Bowen, QLD earthquakes.  </w:t>
      </w:r>
      <w:r w:rsidR="00C42CBC">
        <w:rPr>
          <w:lang w:val="en-US"/>
        </w:rPr>
        <w:t>Unfortunately, none of these events</w:t>
      </w:r>
      <w:r w:rsidR="009D0A3F">
        <w:rPr>
          <w:lang w:val="en-US"/>
        </w:rPr>
        <w:t xml:space="preserve"> had a recording on a rock site at a rupture distance </w:t>
      </w:r>
      <w:r w:rsidR="00172353" w:rsidRPr="00332AA7">
        <w:rPr>
          <w:rStyle w:val="Bodytextitalic"/>
        </w:rPr>
        <w:t>R</w:t>
      </w:r>
      <w:r w:rsidR="00172353" w:rsidRPr="00172353">
        <w:rPr>
          <w:rStyle w:val="Subscriptitalic"/>
        </w:rPr>
        <w:t>rup</w:t>
      </w:r>
      <w:r w:rsidR="00172353">
        <w:rPr>
          <w:lang w:val="en-US"/>
        </w:rPr>
        <w:t xml:space="preserve"> </w:t>
      </w:r>
      <w:r w:rsidR="009D0A3F">
        <w:rPr>
          <w:lang w:val="en-US"/>
        </w:rPr>
        <w:t xml:space="preserve">less than 80 km.  Consequently, the validation of the GMPE for the short distance </w:t>
      </w:r>
      <w:r w:rsidR="00C42CBC">
        <w:rPr>
          <w:lang w:val="en-US"/>
        </w:rPr>
        <w:t>could not be considered</w:t>
      </w:r>
      <w:r w:rsidR="00124092">
        <w:rPr>
          <w:lang w:val="en-US"/>
        </w:rPr>
        <w:t xml:space="preserve"> </w:t>
      </w:r>
      <w:r w:rsidR="00124092" w:rsidRPr="0045676A">
        <w:rPr>
          <w:lang w:val="en-US"/>
        </w:rPr>
        <w:t xml:space="preserve">(Fig. </w:t>
      </w:r>
      <w:r w:rsidR="003B3096" w:rsidRPr="0045676A">
        <w:rPr>
          <w:lang w:val="en-US"/>
        </w:rPr>
        <w:t>2</w:t>
      </w:r>
      <w:r w:rsidR="003B3096">
        <w:rPr>
          <w:lang w:val="en-US"/>
        </w:rPr>
        <w:t>3</w:t>
      </w:r>
      <w:r w:rsidR="00124092">
        <w:rPr>
          <w:lang w:val="en-US"/>
        </w:rPr>
        <w:t>).</w:t>
      </w:r>
      <w:r w:rsidR="009D0A3F">
        <w:rPr>
          <w:lang w:val="en-US"/>
        </w:rPr>
        <w:t xml:space="preserve">  </w:t>
      </w:r>
      <w:r w:rsidR="009D0A3F" w:rsidRPr="0045676A">
        <w:rPr>
          <w:lang w:val="en-US"/>
        </w:rPr>
        <w:t xml:space="preserve">However, </w:t>
      </w:r>
      <w:r w:rsidR="00124092">
        <w:rPr>
          <w:lang w:val="en-US"/>
        </w:rPr>
        <w:t>the use of</w:t>
      </w:r>
      <w:r w:rsidR="00124092" w:rsidRPr="0045676A">
        <w:rPr>
          <w:lang w:val="en-US"/>
        </w:rPr>
        <w:t xml:space="preserve"> </w:t>
      </w:r>
      <w:r w:rsidR="009D0A3F" w:rsidRPr="0045676A">
        <w:rPr>
          <w:lang w:val="en-US"/>
        </w:rPr>
        <w:t xml:space="preserve">data not </w:t>
      </w:r>
      <w:r w:rsidR="00124092">
        <w:rPr>
          <w:lang w:val="en-US"/>
        </w:rPr>
        <w:t>employed</w:t>
      </w:r>
      <w:r w:rsidR="00124092" w:rsidRPr="0045676A">
        <w:rPr>
          <w:lang w:val="en-US"/>
        </w:rPr>
        <w:t xml:space="preserve"> </w:t>
      </w:r>
      <w:r w:rsidR="009D0A3F" w:rsidRPr="0045676A">
        <w:rPr>
          <w:lang w:val="en-US"/>
        </w:rPr>
        <w:t>for the inversion of the geometrical and anelastic attenuation parameters at distances between 80 and 400 km, result</w:t>
      </w:r>
      <w:r w:rsidR="00813D0F">
        <w:rPr>
          <w:lang w:val="en-US"/>
        </w:rPr>
        <w:t>s</w:t>
      </w:r>
      <w:r w:rsidR="009D0A3F" w:rsidRPr="0045676A">
        <w:rPr>
          <w:lang w:val="en-US"/>
        </w:rPr>
        <w:t xml:space="preserve"> in relatively small residuals with respect to </w:t>
      </w:r>
      <w:r w:rsidR="00813D0F">
        <w:rPr>
          <w:lang w:val="en-US"/>
        </w:rPr>
        <w:t xml:space="preserve">the </w:t>
      </w:r>
      <w:r w:rsidR="009D0A3F" w:rsidRPr="0045676A">
        <w:rPr>
          <w:lang w:val="en-US"/>
        </w:rPr>
        <w:t>proposed model</w:t>
      </w:r>
      <w:r w:rsidRPr="0045676A">
        <w:rPr>
          <w:lang w:val="en-US"/>
        </w:rPr>
        <w:t xml:space="preserve"> (Fig.</w:t>
      </w:r>
      <w:r w:rsidR="00172353">
        <w:rPr>
          <w:lang w:val="en-US"/>
        </w:rPr>
        <w:t> </w:t>
      </w:r>
      <w:r w:rsidR="003B3096" w:rsidRPr="0045676A">
        <w:rPr>
          <w:lang w:val="en-US"/>
        </w:rPr>
        <w:t>2</w:t>
      </w:r>
      <w:r w:rsidR="003B3096">
        <w:rPr>
          <w:lang w:val="en-US"/>
        </w:rPr>
        <w:t>3</w:t>
      </w:r>
      <w:r w:rsidRPr="0045676A">
        <w:rPr>
          <w:lang w:val="en-US"/>
        </w:rPr>
        <w:t xml:space="preserve">).  While there are small biases associated with this comparison, the </w:t>
      </w:r>
      <w:r w:rsidR="009D0A3F" w:rsidRPr="0045676A">
        <w:rPr>
          <w:lang w:val="en-US"/>
        </w:rPr>
        <w:t>GMPE</w:t>
      </w:r>
      <w:r w:rsidRPr="0045676A">
        <w:rPr>
          <w:lang w:val="en-US"/>
        </w:rPr>
        <w:t xml:space="preserve"> generally perform</w:t>
      </w:r>
      <w:r w:rsidR="00124092">
        <w:rPr>
          <w:lang w:val="en-US"/>
        </w:rPr>
        <w:t>s</w:t>
      </w:r>
      <w:r w:rsidRPr="0045676A">
        <w:rPr>
          <w:lang w:val="en-US"/>
        </w:rPr>
        <w:t xml:space="preserve"> well a</w:t>
      </w:r>
      <w:smartTag w:uri="urn:schemas-microsoft-com:office:smarttags" w:element="PersonName">
        <w:r w:rsidRPr="0045676A">
          <w:rPr>
            <w:lang w:val="en-US"/>
          </w:rPr>
          <w:t>ga</w:t>
        </w:r>
      </w:smartTag>
      <w:r w:rsidRPr="0045676A">
        <w:rPr>
          <w:lang w:val="en-US"/>
        </w:rPr>
        <w:t>inst the proposed independent dataset with the median residuals</w:t>
      </w:r>
      <w:r w:rsidR="00DF2159" w:rsidRPr="0045676A">
        <w:rPr>
          <w:lang w:val="en-US"/>
        </w:rPr>
        <w:t xml:space="preserve"> for the larger rupture distances</w:t>
      </w:r>
      <w:r w:rsidRPr="0045676A">
        <w:rPr>
          <w:lang w:val="en-US"/>
        </w:rPr>
        <w:t xml:space="preserve"> within the uncertainty bounds of the GMPE developed herein.</w:t>
      </w:r>
    </w:p>
    <w:p w:rsidR="009D0A3F" w:rsidRPr="00A10B71" w:rsidRDefault="00551E1A" w:rsidP="00F73F1C">
      <w:pPr>
        <w:pStyle w:val="InlineObject"/>
        <w:rPr>
          <w:lang w:val="en-US"/>
        </w:rPr>
      </w:pPr>
      <w:r>
        <w:rPr>
          <w:noProof/>
        </w:rPr>
        <w:lastRenderedPageBreak/>
        <w:drawing>
          <wp:inline distT="0" distB="0" distL="0" distR="0">
            <wp:extent cx="5372100" cy="2190750"/>
            <wp:effectExtent l="0" t="0" r="0" b="0"/>
            <wp:docPr id="45" name="Picture 45" descr="SEA_res_GA_REC_no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A_res_GA_REC_noatten"/>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72100" cy="2190750"/>
                    </a:xfrm>
                    <a:prstGeom prst="rect">
                      <a:avLst/>
                    </a:prstGeom>
                    <a:noFill/>
                    <a:ln>
                      <a:noFill/>
                    </a:ln>
                  </pic:spPr>
                </pic:pic>
              </a:graphicData>
            </a:graphic>
          </wp:inline>
        </w:drawing>
      </w:r>
    </w:p>
    <w:p w:rsidR="00336155" w:rsidRDefault="00336155" w:rsidP="00336155">
      <w:pPr>
        <w:pStyle w:val="Captions"/>
        <w:rPr>
          <w:lang w:val="en-US"/>
        </w:rPr>
      </w:pPr>
      <w:bookmarkStart w:id="154" w:name="_Toc338429337"/>
      <w:r w:rsidRPr="00ED3EA1">
        <w:rPr>
          <w:rStyle w:val="Bodytextbold"/>
        </w:rPr>
        <w:t xml:space="preserve">Figure </w:t>
      </w:r>
      <w:r w:rsidRPr="00336155">
        <w:rPr>
          <w:b/>
        </w:rPr>
        <w:fldChar w:fldCharType="begin"/>
      </w:r>
      <w:r w:rsidRPr="00336155">
        <w:rPr>
          <w:b/>
        </w:rPr>
        <w:instrText xml:space="preserve"> SEQ Figure \* ARABIC </w:instrText>
      </w:r>
      <w:r w:rsidRPr="00336155">
        <w:rPr>
          <w:b/>
        </w:rPr>
        <w:fldChar w:fldCharType="separate"/>
      </w:r>
      <w:r w:rsidR="007D4E78">
        <w:rPr>
          <w:b/>
          <w:noProof/>
        </w:rPr>
        <w:t>23</w:t>
      </w:r>
      <w:r w:rsidRPr="00336155">
        <w:rPr>
          <w:b/>
        </w:rPr>
        <w:fldChar w:fldCharType="end"/>
      </w:r>
      <w:r w:rsidRPr="00ED3EA1">
        <w:rPr>
          <w:rStyle w:val="Bodytextbold"/>
        </w:rPr>
        <w:t>:</w:t>
      </w:r>
      <w:r>
        <w:t xml:space="preserve">  </w:t>
      </w:r>
      <w:r w:rsidRPr="002666CF">
        <w:t xml:space="preserve">Residuals </w:t>
      </w:r>
      <w:r>
        <w:t xml:space="preserve">(log10 observed – log10 predicted) </w:t>
      </w:r>
      <w:r w:rsidRPr="002666CF">
        <w:t>of 5% damped response spectral accelerations recorded from earthquakes</w:t>
      </w:r>
      <w:r w:rsidRPr="00336155">
        <w:t xml:space="preserve"> </w:t>
      </w:r>
      <w:r>
        <w:t>M</w:t>
      </w:r>
      <w:r>
        <w:rPr>
          <w:vertAlign w:val="subscript"/>
        </w:rPr>
        <w:t>W</w:t>
      </w:r>
      <w:r w:rsidRPr="00336155">
        <w:t xml:space="preserve"> </w:t>
      </w:r>
      <w:r>
        <w:sym w:font="Symbol" w:char="F0B3"/>
      </w:r>
      <w:r>
        <w:t xml:space="preserve"> 4.0</w:t>
      </w:r>
      <w:r w:rsidRPr="002666CF">
        <w:t xml:space="preserve"> in </w:t>
      </w:r>
      <w:r>
        <w:t xml:space="preserve">southeastern </w:t>
      </w:r>
      <w:smartTag w:uri="urn:schemas-microsoft-com:office:smarttags" w:element="place">
        <w:smartTag w:uri="urn:schemas-microsoft-com:office:smarttags" w:element="country-region">
          <w:r>
            <w:t>Australia</w:t>
          </w:r>
        </w:smartTag>
      </w:smartTag>
      <w:r>
        <w:t xml:space="preserve"> not used to determine attenuation parameters (i.e., those events in Table </w:t>
      </w:r>
      <w:r w:rsidR="00211AF1">
        <w:t xml:space="preserve">2 </w:t>
      </w:r>
      <w:r>
        <w:t>without an asterisk</w:t>
      </w:r>
      <w:r w:rsidR="009D0A3F">
        <w:t xml:space="preserve"> (*)</w:t>
      </w:r>
      <w:r>
        <w:t xml:space="preserve"> in the final column).  See Figure </w:t>
      </w:r>
      <w:r w:rsidR="003B3096">
        <w:t xml:space="preserve">22 </w:t>
      </w:r>
      <w:r>
        <w:t>caption for detailed description of figure</w:t>
      </w:r>
      <w:r w:rsidR="00B2211C" w:rsidRPr="00B2211C">
        <w:t xml:space="preserve"> </w:t>
      </w:r>
      <w:r w:rsidR="00B2211C">
        <w:t>contents</w:t>
      </w:r>
      <w:r>
        <w:t>.</w:t>
      </w:r>
      <w:bookmarkEnd w:id="154"/>
      <w:r w:rsidR="000C00DA">
        <w:t xml:space="preserve">  </w:t>
      </w:r>
    </w:p>
    <w:p w:rsidR="00B15AC0" w:rsidRPr="0017416B" w:rsidRDefault="00B15AC0" w:rsidP="005C7510">
      <w:pPr>
        <w:pStyle w:val="Heading2"/>
        <w:rPr>
          <w:lang w:val="en-US"/>
        </w:rPr>
      </w:pPr>
      <w:bookmarkStart w:id="155" w:name="_Toc319656521"/>
      <w:bookmarkStart w:id="156" w:name="_Toc319656610"/>
      <w:bookmarkStart w:id="157" w:name="_Toc319918564"/>
      <w:bookmarkStart w:id="158" w:name="_Toc319918833"/>
      <w:bookmarkStart w:id="159" w:name="_Toc349112544"/>
      <w:r>
        <w:rPr>
          <w:lang w:val="en-US"/>
        </w:rPr>
        <w:t>Comparison Against Recorded Western Australian Data</w:t>
      </w:r>
      <w:bookmarkEnd w:id="155"/>
      <w:bookmarkEnd w:id="156"/>
      <w:bookmarkEnd w:id="157"/>
      <w:bookmarkEnd w:id="158"/>
      <w:bookmarkEnd w:id="159"/>
    </w:p>
    <w:p w:rsidR="00B15AC0" w:rsidRDefault="00B15AC0" w:rsidP="00332AA7">
      <w:pPr>
        <w:pStyle w:val="BodyText"/>
        <w:rPr>
          <w:lang w:val="en-US"/>
        </w:rPr>
      </w:pPr>
      <w:r>
        <w:rPr>
          <w:lang w:val="en-US"/>
        </w:rPr>
        <w:t xml:space="preserve">Finally, the new GMPEs are used to assess their applicability outside of the SEA region.  Allen </w:t>
      </w:r>
      <w:r w:rsidRPr="00332AA7">
        <w:rPr>
          <w:rStyle w:val="Bodytextitalic"/>
        </w:rPr>
        <w:t>et al</w:t>
      </w:r>
      <w:r>
        <w:rPr>
          <w:lang w:val="en-US"/>
        </w:rPr>
        <w:t xml:space="preserve">. </w:t>
      </w:r>
      <w:r>
        <w:rPr>
          <w:lang w:val="en-US"/>
        </w:rPr>
        <w:fldChar w:fldCharType="begin"/>
      </w:r>
      <w:r w:rsidR="00F202D0">
        <w:rPr>
          <w:lang w:val="en-US"/>
        </w:rPr>
        <w:instrText xml:space="preserve"> ADDIN EN.CITE &lt;EndNote&gt;&lt;Cite ExcludeAuth="1"&gt;&lt;Author&gt;Allen&lt;/Author&gt;&lt;Year&gt;2006&lt;/Year&gt;&lt;RecNum&gt;557&lt;/RecNum&gt;&lt;record&gt;&lt;rec-number&gt;557&lt;/rec-number&gt;&lt;foreign-keys&gt;&lt;key app="EN" db-id="se5z02d5txder3eax2p5wz5j59zvz2tdzdd2"&gt;557&lt;/key&gt;&lt;/foreign-keys&gt;&lt;ref-type name="Journal Article"&gt;17&lt;/ref-type&gt;&lt;contributors&gt;&lt;authors&gt;&lt;author&gt;Allen, T. I.&lt;/author&gt;&lt;author&gt;Dhu, T.&lt;/author&gt;&lt;author&gt;Cummins, P. R.&lt;/author&gt;&lt;author&gt;Schneider, J. F.&lt;/author&gt;&lt;/authors&gt;&lt;/contributors&gt;&lt;titles&gt;&lt;title&gt;Empirical attenuation of ground-motion spectral amplitudes in southwestern Western Australia&lt;/title&gt;&lt;secondary-title&gt;Bull. Seism. Soc. Am.&lt;/secondary-title&gt;&lt;/titles&gt;&lt;periodical&gt;&lt;full-title&gt;Bull. Seism. Soc. Am.&lt;/full-title&gt;&lt;/periodical&gt;&lt;pages&gt;572–585&lt;/pages&gt;&lt;volume&gt;96&lt;/volume&gt;&lt;number&gt;2&lt;/number&gt;&lt;keywords&gt;&lt;keyword&gt;southwestern Western Australia, attenuation&lt;/keyword&gt;&lt;/keywords&gt;&lt;dates&gt;&lt;year&gt;2006&lt;/year&gt;&lt;/dates&gt;&lt;urls&gt;&lt;pdf-urls&gt;&lt;url&gt;internal-pdf://Allen et al (2006).SWWA.empirical.atten-3947991040/Allen et al (2006).SWWA.empirical.atten.pdf&lt;/url&gt;&lt;/pdf-urls&gt;&lt;/urls&gt;&lt;/record&gt;&lt;/Cite&gt;&lt;/EndNote&gt;</w:instrText>
      </w:r>
      <w:r>
        <w:rPr>
          <w:lang w:val="en-US"/>
        </w:rPr>
        <w:fldChar w:fldCharType="separate"/>
      </w:r>
      <w:r>
        <w:rPr>
          <w:noProof/>
          <w:lang w:val="en-US"/>
        </w:rPr>
        <w:t>(2006)</w:t>
      </w:r>
      <w:r>
        <w:rPr>
          <w:lang w:val="en-US"/>
        </w:rPr>
        <w:fldChar w:fldCharType="end"/>
      </w:r>
      <w:r>
        <w:rPr>
          <w:lang w:val="en-US"/>
        </w:rPr>
        <w:t xml:space="preserve"> compiled a dataset of strong- and weak-motion data from an earthquake sequence in the Archean-aged Yil</w:t>
      </w:r>
      <w:smartTag w:uri="urn:schemas-microsoft-com:office:smarttags" w:element="PersonName">
        <w:r>
          <w:rPr>
            <w:lang w:val="en-US"/>
          </w:rPr>
          <w:t>ga</w:t>
        </w:r>
      </w:smartTag>
      <w:r>
        <w:rPr>
          <w:lang w:val="en-US"/>
        </w:rPr>
        <w:t xml:space="preserve">rn Craton of Western Australia (WA).  In this sequence, seven earthquakes of magnitudes between </w:t>
      </w:r>
      <w:r w:rsidR="00172353" w:rsidRPr="00172353">
        <w:rPr>
          <w:rStyle w:val="Bodytextitalic"/>
        </w:rPr>
        <w:t>M</w:t>
      </w:r>
      <w:r w:rsidR="00172353" w:rsidRPr="00172353">
        <w:rPr>
          <w:rStyle w:val="Subscriptitalic"/>
        </w:rPr>
        <w:t>W</w:t>
      </w:r>
      <w:r w:rsidR="00172353">
        <w:t xml:space="preserve"> </w:t>
      </w:r>
      <w:r>
        <w:rPr>
          <w:lang w:val="en-US"/>
        </w:rPr>
        <w:t xml:space="preserve">4.0-4.6 were recorded.  While Allen </w:t>
      </w:r>
      <w:r w:rsidRPr="00332AA7">
        <w:rPr>
          <w:rStyle w:val="Bodytextitalic"/>
        </w:rPr>
        <w:t>et al</w:t>
      </w:r>
      <w:r>
        <w:rPr>
          <w:lang w:val="en-US"/>
        </w:rPr>
        <w:t xml:space="preserve">. </w:t>
      </w:r>
      <w:r>
        <w:rPr>
          <w:lang w:val="en-US"/>
        </w:rPr>
        <w:fldChar w:fldCharType="begin"/>
      </w:r>
      <w:r w:rsidR="00F202D0">
        <w:rPr>
          <w:lang w:val="en-US"/>
        </w:rPr>
        <w:instrText xml:space="preserve"> ADDIN EN.CITE &lt;EndNote&gt;&lt;Cite ExcludeAuth="1"&gt;&lt;Author&gt;Allen&lt;/Author&gt;&lt;Year&gt;2006&lt;/Year&gt;&lt;RecNum&gt;557&lt;/RecNum&gt;&lt;record&gt;&lt;rec-number&gt;557&lt;/rec-number&gt;&lt;foreign-keys&gt;&lt;key app="EN" db-id="se5z02d5txder3eax2p5wz5j59zvz2tdzdd2"&gt;557&lt;/key&gt;&lt;/foreign-keys&gt;&lt;ref-type name="Journal Article"&gt;17&lt;/ref-type&gt;&lt;contributors&gt;&lt;authors&gt;&lt;author&gt;Allen, T. I.&lt;/author&gt;&lt;author&gt;Dhu, T.&lt;/author&gt;&lt;author&gt;Cummins, P. R.&lt;/author&gt;&lt;author&gt;Schneider, J. F.&lt;/author&gt;&lt;/authors&gt;&lt;/contributors&gt;&lt;titles&gt;&lt;title&gt;Empirical attenuation of ground-motion spectral amplitudes in southwestern Western Australia&lt;/title&gt;&lt;secondary-title&gt;Bull. Seism. Soc. Am.&lt;/secondary-title&gt;&lt;/titles&gt;&lt;periodical&gt;&lt;full-title&gt;Bull. Seism. Soc. Am.&lt;/full-title&gt;&lt;/periodical&gt;&lt;pages&gt;572–585&lt;/pages&gt;&lt;volume&gt;96&lt;/volume&gt;&lt;number&gt;2&lt;/number&gt;&lt;keywords&gt;&lt;keyword&gt;southwestern Western Australia, attenuation&lt;/keyword&gt;&lt;/keywords&gt;&lt;dates&gt;&lt;year&gt;2006&lt;/year&gt;&lt;/dates&gt;&lt;urls&gt;&lt;pdf-urls&gt;&lt;url&gt;internal-pdf://Allen et al (2006).SWWA.empirical.atten-3947991040/Allen et al (2006).SWWA.empirical.atten.pdf&lt;/url&gt;&lt;/pdf-urls&gt;&lt;/urls&gt;&lt;/record&gt;&lt;/Cite&gt;&lt;/EndNote&gt;</w:instrText>
      </w:r>
      <w:r>
        <w:rPr>
          <w:lang w:val="en-US"/>
        </w:rPr>
        <w:fldChar w:fldCharType="separate"/>
      </w:r>
      <w:r>
        <w:rPr>
          <w:noProof/>
          <w:lang w:val="en-US"/>
        </w:rPr>
        <w:t>(2006)</w:t>
      </w:r>
      <w:r>
        <w:rPr>
          <w:lang w:val="en-US"/>
        </w:rPr>
        <w:fldChar w:fldCharType="end"/>
      </w:r>
      <w:r>
        <w:rPr>
          <w:lang w:val="en-US"/>
        </w:rPr>
        <w:t xml:space="preserve"> urge some caution in the use of these data owing to the swarm-like nature of the events and the limited spatial distribution of the recordings (both in distance and azimuth), the dataset can still be treated as an independent test of the GMPEs proposed herein.  Performing the same analysis for the WA data, a</w:t>
      </w:r>
      <w:smartTag w:uri="urn:schemas-microsoft-com:office:smarttags" w:element="PersonName">
        <w:r>
          <w:rPr>
            <w:lang w:val="en-US"/>
          </w:rPr>
          <w:t>ga</w:t>
        </w:r>
      </w:smartTag>
      <w:r>
        <w:rPr>
          <w:lang w:val="en-US"/>
        </w:rPr>
        <w:t xml:space="preserve">in low median residuals </w:t>
      </w:r>
      <w:r w:rsidR="00E26812">
        <w:rPr>
          <w:lang w:val="en-US"/>
        </w:rPr>
        <w:t>are</w:t>
      </w:r>
      <w:r>
        <w:rPr>
          <w:lang w:val="en-US"/>
        </w:rPr>
        <w:t xml:space="preserve"> </w:t>
      </w:r>
      <w:r w:rsidRPr="0045676A">
        <w:rPr>
          <w:lang w:val="en-US"/>
        </w:rPr>
        <w:t>observed</w:t>
      </w:r>
      <w:r w:rsidR="00211AF1">
        <w:rPr>
          <w:lang w:val="en-US"/>
        </w:rPr>
        <w:t>, particularly at short rupture distances</w:t>
      </w:r>
      <w:r w:rsidRPr="0045676A">
        <w:rPr>
          <w:lang w:val="en-US"/>
        </w:rPr>
        <w:t xml:space="preserve"> (Fig. </w:t>
      </w:r>
      <w:r w:rsidR="003B3096" w:rsidRPr="0045676A">
        <w:rPr>
          <w:lang w:val="en-US"/>
        </w:rPr>
        <w:t>2</w:t>
      </w:r>
      <w:r w:rsidR="003B3096">
        <w:rPr>
          <w:lang w:val="en-US"/>
        </w:rPr>
        <w:t>4</w:t>
      </w:r>
      <w:r w:rsidRPr="0045676A">
        <w:rPr>
          <w:lang w:val="en-US"/>
        </w:rPr>
        <w:t>).  The</w:t>
      </w:r>
      <w:r>
        <w:rPr>
          <w:lang w:val="en-US"/>
        </w:rPr>
        <w:t xml:space="preserve"> model slightly underestimates longer period response spectra.  This is because almost all of the records from the WA dataset were recorded at hypocentral depths less than 2.5 km </w:t>
      </w:r>
      <w:r>
        <w:rPr>
          <w:lang w:val="en-US"/>
        </w:rPr>
        <w:fldChar w:fldCharType="begin"/>
      </w:r>
      <w:r w:rsidR="00F202D0">
        <w:rPr>
          <w:lang w:val="en-US"/>
        </w:rPr>
        <w:instrText xml:space="preserve"> ADDIN EN.CITE &lt;EndNote&gt;&lt;Cite&gt;&lt;Author&gt;Allen&lt;/Author&gt;&lt;Year&gt;2006&lt;/Year&gt;&lt;RecNum&gt;557&lt;/RecNum&gt;&lt;record&gt;&lt;rec-number&gt;557&lt;/rec-number&gt;&lt;foreign-keys&gt;&lt;key app="EN" db-id="se5z02d5txder3eax2p5wz5j59zvz2tdzdd2"&gt;557&lt;/key&gt;&lt;/foreign-keys&gt;&lt;ref-type name="Journal Article"&gt;17&lt;/ref-type&gt;&lt;contributors&gt;&lt;authors&gt;&lt;author&gt;Allen, T. I.&lt;/author&gt;&lt;author&gt;Dhu, T.&lt;/author&gt;&lt;author&gt;Cummins, P. R.&lt;/author&gt;&lt;author&gt;Schneider, J. F.&lt;/author&gt;&lt;/authors&gt;&lt;/contributors&gt;&lt;titles&gt;&lt;title&gt;Empirical attenuation of ground-motion spectral amplitudes in southwestern Western Australia&lt;/title&gt;&lt;secondary-title&gt;Bull. Seism. Soc. Am.&lt;/secondary-title&gt;&lt;/titles&gt;&lt;periodical&gt;&lt;full-title&gt;Bull. Seism. Soc. Am.&lt;/full-title&gt;&lt;/periodical&gt;&lt;pages&gt;572–585&lt;/pages&gt;&lt;volume&gt;96&lt;/volume&gt;&lt;number&gt;2&lt;/number&gt;&lt;keywords&gt;&lt;keyword&gt;southwestern Western Australia, attenuation&lt;/keyword&gt;&lt;/keywords&gt;&lt;dates&gt;&lt;year&gt;2006&lt;/year&gt;&lt;/dates&gt;&lt;urls&gt;&lt;pdf-urls&gt;&lt;url&gt;internal-pdf://Allen et al (2006).SWWA.empirical.atten-3947991040/Allen et al (2006).SWWA.empirical.atten.pdf&lt;/url&gt;&lt;/pdf-urls&gt;&lt;/urls&gt;&lt;/record&gt;&lt;/Cite&gt;&lt;/EndNote&gt;</w:instrText>
      </w:r>
      <w:r>
        <w:rPr>
          <w:lang w:val="en-US"/>
        </w:rPr>
        <w:fldChar w:fldCharType="separate"/>
      </w:r>
      <w:r>
        <w:rPr>
          <w:noProof/>
          <w:lang w:val="en-US"/>
        </w:rPr>
        <w:t>(Allen</w:t>
      </w:r>
      <w:r w:rsidRPr="00AB6D85">
        <w:rPr>
          <w:i/>
          <w:noProof/>
          <w:lang w:val="en-US"/>
        </w:rPr>
        <w:t xml:space="preserve"> et al.</w:t>
      </w:r>
      <w:r>
        <w:rPr>
          <w:noProof/>
          <w:lang w:val="en-US"/>
        </w:rPr>
        <w:t>, 2006)</w:t>
      </w:r>
      <w:r>
        <w:rPr>
          <w:lang w:val="en-US"/>
        </w:rPr>
        <w:fldChar w:fldCharType="end"/>
      </w:r>
      <w:r>
        <w:rPr>
          <w:lang w:val="en-US"/>
        </w:rPr>
        <w:t xml:space="preserve">.  Consequently, many of the records possess a strong </w:t>
      </w:r>
      <w:r w:rsidRPr="00332AA7">
        <w:rPr>
          <w:rStyle w:val="Bodytextitalic"/>
        </w:rPr>
        <w:t>Rg</w:t>
      </w:r>
      <w:r>
        <w:rPr>
          <w:lang w:val="en-US"/>
        </w:rPr>
        <w:t xml:space="preserve">-phase which dominate the spectra for some of the records and this effect is not considered in the current model for SEA.  Nevertheless, </w:t>
      </w:r>
      <w:r w:rsidR="009A1C41">
        <w:rPr>
          <w:lang w:val="en-US"/>
        </w:rPr>
        <w:t xml:space="preserve">the positive </w:t>
      </w:r>
      <w:r w:rsidR="00E26812">
        <w:rPr>
          <w:lang w:val="en-US"/>
        </w:rPr>
        <w:t>result</w:t>
      </w:r>
      <w:r>
        <w:rPr>
          <w:lang w:val="en-US"/>
        </w:rPr>
        <w:t xml:space="preserve"> was unexpected because of several prior studies suggesting lower attenuation in the WA region </w:t>
      </w:r>
      <w:r>
        <w:rPr>
          <w:lang w:val="en-US"/>
        </w:rPr>
        <w:fldChar w:fldCharType="begin"/>
      </w:r>
      <w:r w:rsidR="00F202D0">
        <w:rPr>
          <w:lang w:val="en-US"/>
        </w:rPr>
        <w:instrText xml:space="preserve"> ADDIN EN.CITE &lt;EndNote&gt;&lt;Cite&gt;&lt;Author&gt;Gaull&lt;/Author&gt;&lt;Year&gt;1990&lt;/Year&gt;&lt;RecNum&gt;568&lt;/RecNum&gt;&lt;record&gt;&lt;rec-number&gt;568&lt;/rec-number&gt;&lt;foreign-keys&gt;&lt;key app="EN" db-id="se5z02d5txder3eax2p5wz5j59zvz2tdzdd2"&gt;568&lt;/key&gt;&lt;/foreign-keys&gt;&lt;ref-type name="Journal Article"&gt;17&lt;/ref-type&gt;&lt;contributors&gt;&lt;authors&gt;&lt;author&gt;Gaull, B. A.&lt;/author&gt;&lt;author&gt;Michael-Leiba, M. O. &lt;/author&gt;&lt;author&gt;Rynn, J. M. W.&lt;/author&gt;&lt;/authors&gt;&lt;/contributors&gt;&lt;titles&gt;&lt;title&gt;Probabilistic earthquake risk maps of Australia&lt;/title&gt;&lt;secondary-title&gt;Aust. J. Earth. Sci.&lt;/secondary-title&gt;&lt;/titles&gt;&lt;periodical&gt;&lt;full-title&gt;Aust. J. Earth. Sci.&lt;/full-title&gt;&lt;/periodical&gt;&lt;pages&gt;169-187&lt;/pages&gt;&lt;volume&gt;37&lt;/volume&gt;&lt;number&gt;2&lt;/number&gt;&lt;keywords&gt;&lt;keyword&gt;Australia, earthquake hazard&lt;/keyword&gt;&lt;/keywords&gt;&lt;dates&gt;&lt;year&gt;1990&lt;/year&gt;&lt;/dates&gt;&lt;urls&gt;&lt;pdf-urls&gt;&lt;url&gt;internal-pdf://Gaull et al (1990).Australia.hazard-3318622986/Gaull et al (1990).Australia.hazard.pdf&lt;/url&gt;&lt;/pdf-urls&gt;&lt;/urls&gt;&lt;/record&gt;&lt;/Cite&gt;&lt;Cite&gt;&lt;Author&gt;Leonard&lt;/Author&gt;&lt;Year&gt;2007&lt;/Year&gt;&lt;RecNum&gt;488&lt;/RecNum&gt;&lt;record&gt;&lt;rec-number&gt;488&lt;/rec-number&gt;&lt;foreign-keys&gt;&lt;key app="EN" db-id="se5z02d5txder3eax2p5wz5j59zvz2tdzdd2"&gt;488&lt;/key&gt;&lt;/foreign-keys&gt;&lt;ref-type name="Book Section"&gt;5&lt;/ref-type&gt;&lt;contributors&gt;&lt;authors&gt;&lt;author&gt;Leonard, M.&lt;/author&gt;&lt;author&gt;Robinson, D.&lt;/author&gt;&lt;author&gt;Allen, T.&lt;/author&gt;&lt;author&gt;Schneider, J.&lt;/author&gt;&lt;author&gt;Clark, D.&lt;/author&gt;&lt;author&gt;Dhu, T.&lt;/author&gt;&lt;author&gt;Burbidge, D.&lt;/author&gt;&lt;/authors&gt;&lt;secondary-authors&gt;&lt;author&gt;Stein, S.&lt;/author&gt;&lt;author&gt;Mazzotti, S.&lt;/author&gt;&lt;/secondary-authors&gt;&lt;/contributors&gt;&lt;titles&gt;&lt;title&gt;Toward a better model of earthquake hazard in Australia&lt;/title&gt;&lt;secondary-title&gt;Continental intraplate earthquakes: science, hazard, and policy issues&lt;/secondary-title&gt;&lt;/titles&gt;&lt;pages&gt;263-283&lt;/pages&gt;&lt;volume&gt;Special Paper 425&lt;/volume&gt;&lt;dates&gt;&lt;year&gt;2007&lt;/year&gt;&lt;/dates&gt;&lt;pub-location&gt;Boulder, CO&lt;/pub-location&gt;&lt;publisher&gt;The Geological Society of America&lt;/publisher&gt;&lt;urls&gt;&lt;pdf-urls&gt;&lt;url&gt;internal-pdf://SPE425-17e-2652751360/SPE425-17e.pdf&lt;/url&gt;&lt;/pdf-urls&gt;&lt;/urls&gt;&lt;/record&gt;&lt;/Cite&gt;&lt;/EndNote&gt;</w:instrText>
      </w:r>
      <w:r>
        <w:rPr>
          <w:lang w:val="en-US"/>
        </w:rPr>
        <w:fldChar w:fldCharType="separate"/>
      </w:r>
      <w:r>
        <w:rPr>
          <w:noProof/>
          <w:lang w:val="en-US"/>
        </w:rPr>
        <w:t>(Gaull</w:t>
      </w:r>
      <w:r w:rsidRPr="00981694">
        <w:rPr>
          <w:i/>
          <w:noProof/>
          <w:lang w:val="en-US"/>
        </w:rPr>
        <w:t xml:space="preserve"> et al.</w:t>
      </w:r>
      <w:r>
        <w:rPr>
          <w:noProof/>
          <w:lang w:val="en-US"/>
        </w:rPr>
        <w:t>, 1990; Leonard</w:t>
      </w:r>
      <w:r w:rsidRPr="00981694">
        <w:rPr>
          <w:i/>
          <w:noProof/>
          <w:lang w:val="en-US"/>
        </w:rPr>
        <w:t xml:space="preserve"> et al.</w:t>
      </w:r>
      <w:r>
        <w:rPr>
          <w:noProof/>
          <w:lang w:val="en-US"/>
        </w:rPr>
        <w:t>, 2007)</w:t>
      </w:r>
      <w:r>
        <w:rPr>
          <w:lang w:val="en-US"/>
        </w:rPr>
        <w:fldChar w:fldCharType="end"/>
      </w:r>
      <w:r>
        <w:rPr>
          <w:lang w:val="en-US"/>
        </w:rPr>
        <w:t xml:space="preserve">.  However, </w:t>
      </w:r>
      <w:r w:rsidR="001977BB">
        <w:rPr>
          <w:lang w:val="en-US"/>
        </w:rPr>
        <w:t xml:space="preserve">the distance range of the WA </w:t>
      </w:r>
      <w:r w:rsidR="00E26812">
        <w:rPr>
          <w:lang w:val="en-US"/>
        </w:rPr>
        <w:t xml:space="preserve">data </w:t>
      </w:r>
      <w:r w:rsidR="001977BB">
        <w:rPr>
          <w:lang w:val="en-US"/>
        </w:rPr>
        <w:t xml:space="preserve">was limited to stations less than 200 km from the earthquake sources.  </w:t>
      </w:r>
      <w:r w:rsidR="00E26812">
        <w:rPr>
          <w:lang w:val="en-US"/>
        </w:rPr>
        <w:t>Accordingly</w:t>
      </w:r>
      <w:r w:rsidR="001977BB">
        <w:rPr>
          <w:lang w:val="en-US"/>
        </w:rPr>
        <w:t xml:space="preserve">, differences in attenuation between regions may not be perceptible in this limited distance range.  Moreover, as an analogy to the attenuation of response spectra, there are only relatively minor differences between local magnitude </w:t>
      </w:r>
      <w:r w:rsidR="00172353" w:rsidRPr="00172353">
        <w:rPr>
          <w:rStyle w:val="Bodytextitalic"/>
        </w:rPr>
        <w:t>M</w:t>
      </w:r>
      <w:r w:rsidR="00172353" w:rsidRPr="00172353">
        <w:rPr>
          <w:rStyle w:val="Subscriptitalic"/>
        </w:rPr>
        <w:t>L</w:t>
      </w:r>
      <w:r w:rsidR="00172353">
        <w:t xml:space="preserve"> </w:t>
      </w:r>
      <w:r w:rsidR="001977BB">
        <w:rPr>
          <w:lang w:val="en-US"/>
        </w:rPr>
        <w:t xml:space="preserve">formulae at distances less than 200 km between eastern and western </w:t>
      </w:r>
      <w:smartTag w:uri="urn:schemas-microsoft-com:office:smarttags" w:element="place">
        <w:smartTag w:uri="urn:schemas-microsoft-com:office:smarttags" w:element="country-region">
          <w:r w:rsidR="001977BB">
            <w:rPr>
              <w:lang w:val="en-US"/>
            </w:rPr>
            <w:t>Australia</w:t>
          </w:r>
        </w:smartTag>
      </w:smartTag>
      <w:r w:rsidR="001977BB">
        <w:rPr>
          <w:lang w:val="en-US"/>
        </w:rPr>
        <w:t xml:space="preserve"> (Allen, 2010).  </w:t>
      </w:r>
      <w:r w:rsidR="00B24F9E">
        <w:rPr>
          <w:lang w:val="en-US"/>
        </w:rPr>
        <w:t xml:space="preserve">These distances are most relevant in PSHA, where the hazard is dominated generally by near-source ground motions.  </w:t>
      </w:r>
      <w:r w:rsidR="001977BB">
        <w:rPr>
          <w:lang w:val="en-US"/>
        </w:rPr>
        <w:t>This supports the current observation that</w:t>
      </w:r>
      <w:r w:rsidR="00AF3B03">
        <w:rPr>
          <w:lang w:val="en-US"/>
        </w:rPr>
        <w:t xml:space="preserve"> near-source</w:t>
      </w:r>
      <w:r w:rsidR="001977BB">
        <w:rPr>
          <w:lang w:val="en-US"/>
        </w:rPr>
        <w:t xml:space="preserve"> response spectral accelerations can be approximated using </w:t>
      </w:r>
      <w:r w:rsidR="005438BC">
        <w:rPr>
          <w:lang w:val="en-US"/>
        </w:rPr>
        <w:t>GMPEs derived for eastern Australian earthquakes</w:t>
      </w:r>
      <w:r w:rsidR="00AF3B03">
        <w:rPr>
          <w:lang w:val="en-US"/>
        </w:rPr>
        <w:t>, particularly at short periods</w:t>
      </w:r>
      <w:r w:rsidR="005438BC">
        <w:rPr>
          <w:lang w:val="en-US"/>
        </w:rPr>
        <w:t>.</w:t>
      </w:r>
    </w:p>
    <w:p w:rsidR="00524660" w:rsidRPr="00332AA7" w:rsidRDefault="00551E1A" w:rsidP="00F73F1C">
      <w:pPr>
        <w:pStyle w:val="InlineObject"/>
      </w:pPr>
      <w:r>
        <w:rPr>
          <w:noProof/>
        </w:rPr>
        <w:lastRenderedPageBreak/>
        <w:drawing>
          <wp:inline distT="0" distB="0" distL="0" distR="0">
            <wp:extent cx="5372100" cy="2190750"/>
            <wp:effectExtent l="0" t="0" r="0" b="0"/>
            <wp:docPr id="46" name="Picture 46" descr="WA_res_GA_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A_res_GA_REC"/>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72100" cy="2190750"/>
                    </a:xfrm>
                    <a:prstGeom prst="rect">
                      <a:avLst/>
                    </a:prstGeom>
                    <a:noFill/>
                    <a:ln>
                      <a:noFill/>
                    </a:ln>
                  </pic:spPr>
                </pic:pic>
              </a:graphicData>
            </a:graphic>
          </wp:inline>
        </w:drawing>
      </w:r>
    </w:p>
    <w:p w:rsidR="000768C9" w:rsidRPr="00AB6D85" w:rsidRDefault="000768C9" w:rsidP="000768C9">
      <w:pPr>
        <w:pStyle w:val="Captions"/>
        <w:rPr>
          <w:lang w:val="en-US"/>
        </w:rPr>
      </w:pPr>
      <w:bookmarkStart w:id="160" w:name="_Toc338429338"/>
      <w:r w:rsidRPr="00ED3EA1">
        <w:rPr>
          <w:rStyle w:val="Bodytextbold"/>
        </w:rPr>
        <w:t xml:space="preserve">Figure </w:t>
      </w:r>
      <w:r w:rsidRPr="00336155">
        <w:rPr>
          <w:b/>
        </w:rPr>
        <w:fldChar w:fldCharType="begin"/>
      </w:r>
      <w:r w:rsidRPr="00336155">
        <w:rPr>
          <w:b/>
        </w:rPr>
        <w:instrText xml:space="preserve"> SEQ Figure \* ARABIC </w:instrText>
      </w:r>
      <w:r w:rsidRPr="00336155">
        <w:rPr>
          <w:b/>
        </w:rPr>
        <w:fldChar w:fldCharType="separate"/>
      </w:r>
      <w:r w:rsidR="007D4E78">
        <w:rPr>
          <w:b/>
          <w:noProof/>
        </w:rPr>
        <w:t>24</w:t>
      </w:r>
      <w:r w:rsidRPr="00336155">
        <w:rPr>
          <w:b/>
        </w:rPr>
        <w:fldChar w:fldCharType="end"/>
      </w:r>
      <w:r w:rsidRPr="00ED3EA1">
        <w:rPr>
          <w:rStyle w:val="Bodytextbold"/>
        </w:rPr>
        <w:t>:</w:t>
      </w:r>
      <w:r>
        <w:t xml:space="preserve">  </w:t>
      </w:r>
      <w:r w:rsidRPr="002666CF">
        <w:t xml:space="preserve">Residuals </w:t>
      </w:r>
      <w:r>
        <w:t xml:space="preserve">(log10 observed – log10 predicted) </w:t>
      </w:r>
      <w:r w:rsidRPr="002666CF">
        <w:t>of 5% damped response spectral accelerations recorded from earthquakes</w:t>
      </w:r>
      <w:r w:rsidRPr="00336155">
        <w:t xml:space="preserve"> </w:t>
      </w:r>
      <w:r>
        <w:t>M</w:t>
      </w:r>
      <w:r>
        <w:rPr>
          <w:vertAlign w:val="subscript"/>
        </w:rPr>
        <w:t>W</w:t>
      </w:r>
      <w:r w:rsidRPr="00336155">
        <w:t xml:space="preserve"> </w:t>
      </w:r>
      <w:r>
        <w:sym w:font="Symbol" w:char="F0B3"/>
      </w:r>
      <w:r>
        <w:t xml:space="preserve"> 4.0</w:t>
      </w:r>
      <w:r w:rsidRPr="002666CF">
        <w:t xml:space="preserve"> in </w:t>
      </w:r>
      <w:r w:rsidR="00A2275E">
        <w:t>Western</w:t>
      </w:r>
      <w:r>
        <w:t xml:space="preserve"> Australia</w:t>
      </w:r>
      <w:r w:rsidR="00A2275E">
        <w:t xml:space="preserve"> relative to the southeastern Australian model</w:t>
      </w:r>
      <w:r>
        <w:t xml:space="preserve">.  See Figure </w:t>
      </w:r>
      <w:r w:rsidR="00D43453">
        <w:t xml:space="preserve">20 </w:t>
      </w:r>
      <w:r>
        <w:t>caption for detailed description of figure</w:t>
      </w:r>
      <w:r w:rsidR="00B2211C">
        <w:t xml:space="preserve"> content</w:t>
      </w:r>
      <w:r>
        <w:t>.</w:t>
      </w:r>
      <w:bookmarkEnd w:id="160"/>
    </w:p>
    <w:p w:rsidR="004C0C59" w:rsidRPr="00977342" w:rsidRDefault="00977342" w:rsidP="00977342">
      <w:pPr>
        <w:pStyle w:val="Heading2"/>
      </w:pPr>
      <w:bookmarkStart w:id="161" w:name="_Toc349112545"/>
      <w:bookmarkStart w:id="162" w:name="_Toc319656522"/>
      <w:bookmarkStart w:id="163" w:name="_Toc319656611"/>
      <w:r>
        <w:t>C</w:t>
      </w:r>
      <w:r w:rsidRPr="00977342">
        <w:t xml:space="preserve">omparison against the 19 </w:t>
      </w:r>
      <w:r>
        <w:t>J</w:t>
      </w:r>
      <w:r w:rsidRPr="00977342">
        <w:t xml:space="preserve">une 2012, </w:t>
      </w:r>
      <w:r w:rsidR="00172353">
        <w:rPr>
          <w:i/>
        </w:rPr>
        <w:t>M</w:t>
      </w:r>
      <w:r w:rsidRPr="00977342">
        <w:rPr>
          <w:i/>
          <w:vertAlign w:val="subscript"/>
        </w:rPr>
        <w:t>w</w:t>
      </w:r>
      <w:r w:rsidRPr="00977342">
        <w:t xml:space="preserve"> 5.0 </w:t>
      </w:r>
      <w:smartTag w:uri="urn:schemas-microsoft-com:office:smarttags" w:element="place">
        <w:smartTag w:uri="urn:schemas-microsoft-com:office:smarttags" w:element="City">
          <w:r>
            <w:t>M</w:t>
          </w:r>
          <w:r w:rsidRPr="00977342">
            <w:t>oe</w:t>
          </w:r>
        </w:smartTag>
        <w:r w:rsidRPr="00977342">
          <w:t xml:space="preserve">, </w:t>
        </w:r>
        <w:smartTag w:uri="urn:schemas-microsoft-com:office:smarttags" w:element="State">
          <w:r>
            <w:t>V</w:t>
          </w:r>
          <w:r w:rsidRPr="00977342">
            <w:t>ictoria</w:t>
          </w:r>
        </w:smartTag>
      </w:smartTag>
      <w:r w:rsidRPr="00977342">
        <w:t xml:space="preserve"> </w:t>
      </w:r>
      <w:r>
        <w:t>E</w:t>
      </w:r>
      <w:r w:rsidRPr="00977342">
        <w:t>arthquake</w:t>
      </w:r>
      <w:bookmarkEnd w:id="161"/>
    </w:p>
    <w:p w:rsidR="00AB30A9" w:rsidRDefault="004C0C59" w:rsidP="004C0C59">
      <w:pPr>
        <w:pStyle w:val="BodyText"/>
        <w:rPr>
          <w:snapToGrid w:val="0"/>
          <w:color w:val="000000"/>
          <w:w w:val="0"/>
          <w:sz w:val="0"/>
          <w:szCs w:val="0"/>
          <w:u w:color="000000"/>
          <w:bdr w:val="none" w:sz="0" w:space="0" w:color="000000"/>
          <w:shd w:val="clear" w:color="000000" w:fill="000000"/>
          <w:lang w:val="x-none" w:eastAsia="x-none" w:bidi="x-none"/>
        </w:rPr>
      </w:pPr>
      <w:r>
        <w:t xml:space="preserve">As this manuscript was being finalised, a </w:t>
      </w:r>
      <w:r w:rsidR="00172353" w:rsidRPr="00172353">
        <w:rPr>
          <w:rStyle w:val="Bodytextitalic"/>
        </w:rPr>
        <w:t>M</w:t>
      </w:r>
      <w:r w:rsidR="00172353" w:rsidRPr="00172353">
        <w:rPr>
          <w:rStyle w:val="Subscriptitalic"/>
        </w:rPr>
        <w:t>W</w:t>
      </w:r>
      <w:r w:rsidR="00172353">
        <w:t xml:space="preserve"> </w:t>
      </w:r>
      <w:r>
        <w:t xml:space="preserve">5.0 earthquake occurred near the township of Moe, southeastern Victoria.  The earthquake was widely felt across the state </w:t>
      </w:r>
      <w:r w:rsidR="004878FE">
        <w:t>and caused minor damage to residential and commercial structures</w:t>
      </w:r>
      <w:r w:rsidR="00905C65">
        <w:t xml:space="preserve"> </w:t>
      </w:r>
      <w:r w:rsidR="00905C65">
        <w:fldChar w:fldCharType="begin"/>
      </w:r>
      <w:r w:rsidR="00F202D0">
        <w:instrText xml:space="preserve"> ADDIN EN.CITE &lt;EndNote&gt;&lt;Cite&gt;&lt;Author&gt;Civil Engineers Australia&lt;/Author&gt;&lt;Year&gt;2012&lt;/Year&gt;&lt;RecNum&gt;1457&lt;/RecNum&gt;&lt;record&gt;&lt;rec-number&gt;1457&lt;/rec-number&gt;&lt;foreign-keys&gt;&lt;key app="EN" db-id="se5z02d5txder3eax2p5wz5j59zvz2tdzdd2"&gt;1457&lt;/key&gt;&lt;/foreign-keys&gt;&lt;ref-type name="Journal Article"&gt;17&lt;/ref-type&gt;&lt;contributors&gt;&lt;authors&gt;&lt;author&gt;Civil Engineers Australia,&lt;/author&gt;&lt;/authors&gt;&lt;/contributors&gt;&lt;titles&gt;&lt;title&gt;Victorian earthquakes increase damage assessment demand&lt;/title&gt;&lt;secondary-title&gt;Civil Engineers Australia&lt;/secondary-title&gt;&lt;/titles&gt;&lt;periodical&gt;&lt;full-title&gt;Civil Engineers Australia&lt;/full-title&gt;&lt;/periodical&gt;&lt;pages&gt;68&lt;/pages&gt;&lt;volume&gt;September 2012&lt;/volume&gt;&lt;dates&gt;&lt;year&gt;2012&lt;/year&gt;&lt;/dates&gt;&lt;urls&gt;&lt;pdf-urls&gt;&lt;url&gt;internal-pdf://CEA (2012).Moe_damage-4288949013/CEA (2012).Moe_damage.pdf&lt;/url&gt;&lt;/pdf-urls&gt;&lt;/urls&gt;&lt;/record&gt;&lt;/Cite&gt;&lt;/EndNote&gt;</w:instrText>
      </w:r>
      <w:r w:rsidR="00905C65">
        <w:fldChar w:fldCharType="separate"/>
      </w:r>
      <w:r w:rsidR="00905C65">
        <w:t>(Civil Engineers Australia, 2012)</w:t>
      </w:r>
      <w:r w:rsidR="00905C65">
        <w:fldChar w:fldCharType="end"/>
      </w:r>
      <w:r w:rsidR="004878FE">
        <w:t xml:space="preserve">.  The earthquake, which occurred in the </w:t>
      </w:r>
      <w:smartTag w:uri="urn:schemas-microsoft-com:office:smarttags" w:element="State">
        <w:r w:rsidR="004878FE">
          <w:t>Victoria</w:t>
        </w:r>
      </w:smartTag>
      <w:r w:rsidR="004878FE">
        <w:t xml:space="preserve">’s primary electricity </w:t>
      </w:r>
      <w:r w:rsidR="004878FE" w:rsidRPr="00A1533C">
        <w:t xml:space="preserve">generation region </w:t>
      </w:r>
      <w:r w:rsidR="00A1533C" w:rsidRPr="00A1533C">
        <w:t xml:space="preserve">also temporarily disabled three of the four </w:t>
      </w:r>
      <w:r w:rsidR="00A1533C" w:rsidRPr="00A1533C">
        <w:rPr>
          <w:iCs/>
        </w:rPr>
        <w:t xml:space="preserve">units at </w:t>
      </w:r>
      <w:r w:rsidR="00A1533C">
        <w:rPr>
          <w:iCs/>
        </w:rPr>
        <w:t xml:space="preserve">nearby </w:t>
      </w:r>
      <w:r w:rsidR="00A1533C" w:rsidRPr="00A1533C">
        <w:rPr>
          <w:iCs/>
        </w:rPr>
        <w:t>the Loy Yang A power station</w:t>
      </w:r>
      <w:r w:rsidR="00A1533C">
        <w:rPr>
          <w:iCs/>
        </w:rPr>
        <w:t xml:space="preserve">, </w:t>
      </w:r>
      <w:smartTag w:uri="urn:schemas-microsoft-com:office:smarttags" w:element="place">
        <w:smartTag w:uri="urn:schemas-microsoft-com:office:smarttags" w:element="State">
          <w:r w:rsidR="00A1533C">
            <w:rPr>
              <w:iCs/>
            </w:rPr>
            <w:t>Victoria</w:t>
          </w:r>
        </w:smartTag>
      </w:smartTag>
      <w:r w:rsidR="00A1533C">
        <w:rPr>
          <w:iCs/>
        </w:rPr>
        <w:t>’s largest coal-fired power station.</w:t>
      </w:r>
      <w:r w:rsidR="00E70A4B">
        <w:rPr>
          <w:iCs/>
        </w:rPr>
        <w:t xml:space="preserve">  This earthquake was well recorded by seismic stations operated by Environmental Systems and Services, as well as by </w:t>
      </w:r>
      <w:r w:rsidR="00E70A4B" w:rsidRPr="00E70A4B">
        <w:rPr>
          <w:iCs/>
        </w:rPr>
        <w:t xml:space="preserve">Geoscience </w:t>
      </w:r>
      <w:smartTag w:uri="urn:schemas-microsoft-com:office:smarttags" w:element="place">
        <w:smartTag w:uri="urn:schemas-microsoft-com:office:smarttags" w:element="country-region">
          <w:r w:rsidR="00E70A4B" w:rsidRPr="00E70A4B">
            <w:rPr>
              <w:iCs/>
            </w:rPr>
            <w:t>Australia</w:t>
          </w:r>
        </w:smartTag>
      </w:smartTag>
      <w:r w:rsidR="00E70A4B">
        <w:rPr>
          <w:iCs/>
        </w:rPr>
        <w:t>’s National Seismic Network, with at least eight stations within about 100 km of the earthquake</w:t>
      </w:r>
      <w:r w:rsidR="00720E93">
        <w:rPr>
          <w:iCs/>
        </w:rPr>
        <w:t>’</w:t>
      </w:r>
      <w:r w:rsidR="00E70A4B">
        <w:rPr>
          <w:iCs/>
        </w:rPr>
        <w:t>s epicentre.  At the time of writing, only data from two of these stations have been compiled</w:t>
      </w:r>
      <w:r w:rsidR="000F2D81">
        <w:rPr>
          <w:iCs/>
        </w:rPr>
        <w:t xml:space="preserve"> by the author</w:t>
      </w:r>
      <w:r w:rsidR="00E70A4B">
        <w:rPr>
          <w:iCs/>
        </w:rPr>
        <w:t xml:space="preserve">; </w:t>
      </w:r>
      <w:r w:rsidR="000F2D81">
        <w:rPr>
          <w:iCs/>
        </w:rPr>
        <w:t>the first</w:t>
      </w:r>
      <w:r w:rsidR="00E70A4B">
        <w:rPr>
          <w:iCs/>
        </w:rPr>
        <w:t xml:space="preserve"> from </w:t>
      </w:r>
      <w:r w:rsidR="00E70A4B" w:rsidRPr="00E70A4B">
        <w:rPr>
          <w:iCs/>
          <w:lang w:val="en-US"/>
        </w:rPr>
        <w:t>Jeeralang Junction</w:t>
      </w:r>
      <w:r w:rsidR="00E70A4B">
        <w:rPr>
          <w:iCs/>
          <w:lang w:val="en-US"/>
        </w:rPr>
        <w:t xml:space="preserve"> (JENM) at approximately </w:t>
      </w:r>
      <w:r w:rsidR="00E70A4B" w:rsidRPr="00332AA7">
        <w:rPr>
          <w:rStyle w:val="Bodytextitalic"/>
        </w:rPr>
        <w:t>R</w:t>
      </w:r>
      <w:r w:rsidR="00E70A4B">
        <w:rPr>
          <w:iCs/>
          <w:lang w:val="en-US"/>
        </w:rPr>
        <w:t xml:space="preserve"> = 26 km</w:t>
      </w:r>
      <w:r w:rsidR="00AD7820">
        <w:rPr>
          <w:iCs/>
          <w:lang w:val="en-US"/>
        </w:rPr>
        <w:t xml:space="preserve"> to the southeast of the epicentre</w:t>
      </w:r>
      <w:r w:rsidR="00E70A4B">
        <w:rPr>
          <w:iCs/>
          <w:lang w:val="en-US"/>
        </w:rPr>
        <w:t xml:space="preserve">; and </w:t>
      </w:r>
      <w:r w:rsidR="000F2D81">
        <w:rPr>
          <w:iCs/>
          <w:lang w:val="en-US"/>
        </w:rPr>
        <w:t>the second from</w:t>
      </w:r>
      <w:r w:rsidR="00E70A4B">
        <w:rPr>
          <w:iCs/>
          <w:lang w:val="en-US"/>
        </w:rPr>
        <w:t xml:space="preserve"> Toolangi (TOO) at approximately </w:t>
      </w:r>
      <w:r w:rsidR="00E70A4B" w:rsidRPr="00332AA7">
        <w:rPr>
          <w:rStyle w:val="Bodytextitalic"/>
        </w:rPr>
        <w:t>R</w:t>
      </w:r>
      <w:r w:rsidR="00172353">
        <w:rPr>
          <w:iCs/>
          <w:lang w:val="en-US"/>
        </w:rPr>
        <w:t> </w:t>
      </w:r>
      <w:r w:rsidR="00E70A4B">
        <w:rPr>
          <w:iCs/>
          <w:lang w:val="en-US"/>
        </w:rPr>
        <w:t>= 97 km</w:t>
      </w:r>
      <w:r w:rsidR="00AD7820">
        <w:rPr>
          <w:iCs/>
          <w:lang w:val="en-US"/>
        </w:rPr>
        <w:t xml:space="preserve"> to the northwest of the epicentre</w:t>
      </w:r>
      <w:r w:rsidR="00E70A4B">
        <w:rPr>
          <w:iCs/>
          <w:lang w:val="en-US"/>
        </w:rPr>
        <w:t xml:space="preserve">.  </w:t>
      </w:r>
      <w:r w:rsidR="000F2D81">
        <w:rPr>
          <w:iCs/>
          <w:lang w:val="en-US"/>
        </w:rPr>
        <w:t xml:space="preserve">Given the hypocentral depth of 11 km for this earthquake, the deep-earthquake </w:t>
      </w:r>
      <w:r w:rsidR="00E70A4B">
        <w:rPr>
          <w:iCs/>
          <w:lang w:val="en-US"/>
        </w:rPr>
        <w:t xml:space="preserve">GMPE for southeastern </w:t>
      </w:r>
      <w:smartTag w:uri="urn:schemas-microsoft-com:office:smarttags" w:element="place">
        <w:smartTag w:uri="urn:schemas-microsoft-com:office:smarttags" w:element="country-region">
          <w:r w:rsidR="00E70A4B">
            <w:rPr>
              <w:iCs/>
              <w:lang w:val="en-US"/>
            </w:rPr>
            <w:t>Australia</w:t>
          </w:r>
        </w:smartTag>
      </w:smartTag>
      <w:r w:rsidR="00E70A4B">
        <w:rPr>
          <w:iCs/>
          <w:lang w:val="en-US"/>
        </w:rPr>
        <w:t xml:space="preserve"> was compared to data from the two </w:t>
      </w:r>
      <w:r w:rsidR="000F2D81">
        <w:rPr>
          <w:iCs/>
          <w:lang w:val="en-US"/>
        </w:rPr>
        <w:t xml:space="preserve">aforementioned </w:t>
      </w:r>
      <w:r w:rsidR="00E70A4B">
        <w:rPr>
          <w:iCs/>
          <w:lang w:val="en-US"/>
        </w:rPr>
        <w:t xml:space="preserve">stations (Fig. 25).  Overall, the model shows an excellent fit to the </w:t>
      </w:r>
      <w:r w:rsidR="000F2D81">
        <w:rPr>
          <w:iCs/>
          <w:lang w:val="en-US"/>
        </w:rPr>
        <w:t xml:space="preserve">recorded </w:t>
      </w:r>
      <w:r w:rsidR="00E70A4B">
        <w:rPr>
          <w:iCs/>
          <w:lang w:val="en-US"/>
        </w:rPr>
        <w:t xml:space="preserve">data </w:t>
      </w:r>
      <w:r w:rsidR="003913D4">
        <w:rPr>
          <w:iCs/>
          <w:lang w:val="en-US"/>
        </w:rPr>
        <w:t>for both stations.</w:t>
      </w:r>
    </w:p>
    <w:p w:rsidR="00626423" w:rsidRPr="00B64F07" w:rsidRDefault="00AB30A9" w:rsidP="003166B9">
      <w:pPr>
        <w:pStyle w:val="InlineObject"/>
      </w:pPr>
      <w:r>
        <w:rPr>
          <w:snapToGrid w:val="0"/>
          <w:color w:val="000000"/>
          <w:w w:val="0"/>
          <w:sz w:val="0"/>
          <w:szCs w:val="0"/>
          <w:u w:color="000000"/>
          <w:bdr w:val="none" w:sz="0" w:space="0" w:color="000000"/>
          <w:shd w:val="clear" w:color="000000" w:fill="000000"/>
          <w:lang w:val="x-none" w:eastAsia="x-none" w:bidi="x-none"/>
        </w:rPr>
        <w:br w:type="page"/>
      </w:r>
      <w:r w:rsidR="00551E1A">
        <w:rPr>
          <w:noProof/>
          <w:color w:val="000000"/>
          <w:w w:val="0"/>
          <w:sz w:val="0"/>
          <w:szCs w:val="0"/>
          <w:u w:color="000000"/>
          <w:bdr w:val="none" w:sz="0" w:space="0" w:color="000000"/>
          <w:shd w:val="clear" w:color="000000" w:fill="000000"/>
        </w:rPr>
        <w:lastRenderedPageBreak/>
        <w:drawing>
          <wp:inline distT="0" distB="0" distL="0" distR="0">
            <wp:extent cx="5514975" cy="2867025"/>
            <wp:effectExtent l="0" t="0" r="0" b="0"/>
            <wp:docPr id="47" name="Picture 47" descr="JENM_TOO_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ENM_TOO_PSA"/>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14975" cy="2867025"/>
                    </a:xfrm>
                    <a:prstGeom prst="rect">
                      <a:avLst/>
                    </a:prstGeom>
                    <a:noFill/>
                    <a:ln>
                      <a:noFill/>
                    </a:ln>
                  </pic:spPr>
                </pic:pic>
              </a:graphicData>
            </a:graphic>
          </wp:inline>
        </w:drawing>
      </w:r>
    </w:p>
    <w:p w:rsidR="004C0C59" w:rsidRPr="00ED3EA1" w:rsidRDefault="00626423" w:rsidP="00626423">
      <w:pPr>
        <w:pStyle w:val="Captions"/>
      </w:pPr>
      <w:bookmarkStart w:id="164" w:name="_Toc338429339"/>
      <w:r w:rsidRPr="00ED3EA1">
        <w:rPr>
          <w:rStyle w:val="Bodytextbold"/>
        </w:rPr>
        <w:t xml:space="preserve">Figure </w:t>
      </w:r>
      <w:r w:rsidRPr="00626423">
        <w:rPr>
          <w:b/>
        </w:rPr>
        <w:fldChar w:fldCharType="begin"/>
      </w:r>
      <w:r w:rsidRPr="00626423">
        <w:rPr>
          <w:b/>
        </w:rPr>
        <w:instrText xml:space="preserve"> SEQ Figure \* ARABIC </w:instrText>
      </w:r>
      <w:r w:rsidRPr="00626423">
        <w:rPr>
          <w:b/>
        </w:rPr>
        <w:fldChar w:fldCharType="separate"/>
      </w:r>
      <w:r w:rsidR="007D4E78">
        <w:rPr>
          <w:b/>
          <w:noProof/>
        </w:rPr>
        <w:t>25</w:t>
      </w:r>
      <w:r w:rsidRPr="00626423">
        <w:rPr>
          <w:b/>
        </w:rPr>
        <w:fldChar w:fldCharType="end"/>
      </w:r>
      <w:r w:rsidRPr="00ED3EA1">
        <w:rPr>
          <w:rStyle w:val="Bodytextbold"/>
        </w:rPr>
        <w:t xml:space="preserve">:  </w:t>
      </w:r>
      <w:r w:rsidR="00720E93" w:rsidRPr="00CD69A8">
        <w:t>Comparison of the med</w:t>
      </w:r>
      <w:r w:rsidR="00720E93" w:rsidRPr="00332AA7">
        <w:t>ian 5% da</w:t>
      </w:r>
      <w:r w:rsidR="00720E93" w:rsidRPr="00720E93">
        <w:rPr>
          <w:lang w:val="en-US"/>
        </w:rPr>
        <w:t xml:space="preserve">mped response spectral acceleration </w:t>
      </w:r>
      <w:r w:rsidR="00720E93">
        <w:t xml:space="preserve">from the </w:t>
      </w:r>
      <w:r w:rsidR="00F05AA9">
        <w:t>19 June 2012 M</w:t>
      </w:r>
      <w:r w:rsidR="00F05AA9" w:rsidRPr="00172353">
        <w:rPr>
          <w:rStyle w:val="Subscript"/>
        </w:rPr>
        <w:t>W</w:t>
      </w:r>
      <w:r w:rsidR="00F05AA9">
        <w:t xml:space="preserve"> 5.0 earthquake near Moe, Victoria</w:t>
      </w:r>
      <w:r w:rsidR="00812E20">
        <w:t>,</w:t>
      </w:r>
      <w:r w:rsidR="00F05AA9">
        <w:t xml:space="preserve"> recorded on </w:t>
      </w:r>
      <w:r w:rsidR="009D4196">
        <w:t xml:space="preserve">seismographs located at </w:t>
      </w:r>
      <w:r w:rsidR="00812E20">
        <w:t>(a</w:t>
      </w:r>
      <w:r w:rsidR="00F05AA9">
        <w:t xml:space="preserve">) </w:t>
      </w:r>
      <w:r w:rsidR="00F05AA9" w:rsidRPr="00E70A4B">
        <w:rPr>
          <w:iCs/>
          <w:lang w:val="en-US"/>
        </w:rPr>
        <w:t>Jeeralang Junction</w:t>
      </w:r>
      <w:r w:rsidR="00F05AA9">
        <w:rPr>
          <w:iCs/>
          <w:lang w:val="en-US"/>
        </w:rPr>
        <w:t xml:space="preserve"> (JENM) </w:t>
      </w:r>
      <w:r w:rsidR="009D4196">
        <w:rPr>
          <w:iCs/>
          <w:lang w:val="en-US"/>
        </w:rPr>
        <w:t>and</w:t>
      </w:r>
      <w:r w:rsidR="00F05AA9">
        <w:rPr>
          <w:iCs/>
          <w:lang w:val="en-US"/>
        </w:rPr>
        <w:t xml:space="preserve"> </w:t>
      </w:r>
      <w:r w:rsidR="00812E20">
        <w:rPr>
          <w:iCs/>
          <w:lang w:val="en-US"/>
        </w:rPr>
        <w:t>(b</w:t>
      </w:r>
      <w:r w:rsidR="00F05AA9">
        <w:rPr>
          <w:iCs/>
          <w:lang w:val="en-US"/>
        </w:rPr>
        <w:t>) Toolangi</w:t>
      </w:r>
      <w:r w:rsidR="009D4196">
        <w:rPr>
          <w:iCs/>
          <w:lang w:val="en-US"/>
        </w:rPr>
        <w:t xml:space="preserve"> (TOO)</w:t>
      </w:r>
      <w:r w:rsidR="00172353">
        <w:t xml:space="preserve">. </w:t>
      </w:r>
      <w:r w:rsidR="009D4196">
        <w:t>The JENM record is from a vertical-component short-period velocity sensor</w:t>
      </w:r>
      <w:r w:rsidR="00B64F07">
        <w:t xml:space="preserve"> and a sample rate of 100 Hz</w:t>
      </w:r>
      <w:r w:rsidR="009D4196">
        <w:t>, while the record from TOO is the geometrical mean of the two horizontal components recorded on a broadband seismometer</w:t>
      </w:r>
      <w:r w:rsidR="00B64F07">
        <w:t xml:space="preserve"> and a sample rate of 200 Hz</w:t>
      </w:r>
      <w:r w:rsidR="009D4196">
        <w:t>.</w:t>
      </w:r>
      <w:r w:rsidR="00DE2621">
        <w:t xml:space="preserve"> </w:t>
      </w:r>
      <w:r w:rsidR="00D2085E">
        <w:t xml:space="preserve">The recorded data are compared to several modern GMPEs, including the model presented herein.  Due to the earthquake’s hypocentral depth of 11 km, the deep focus model is used for comparison here. </w:t>
      </w:r>
      <w:r w:rsidR="00DE2621">
        <w:t xml:space="preserve"> The Gaull et al. </w:t>
      </w:r>
      <w:r w:rsidR="00DE2621">
        <w:fldChar w:fldCharType="begin"/>
      </w:r>
      <w:r w:rsidR="00F202D0">
        <w:instrText xml:space="preserve"> ADDIN EN.CITE &lt;EndNote&gt;&lt;Cite ExcludeAuth="1"&gt;&lt;Author&gt;Gaull&lt;/Author&gt;&lt;Year&gt;1990&lt;/Year&gt;&lt;RecNum&gt;568&lt;/RecNum&gt;&lt;record&gt;&lt;rec-number&gt;568&lt;/rec-number&gt;&lt;foreign-keys&gt;&lt;key app="EN" db-id="se5z02d5txder3eax2p5wz5j59zvz2tdzdd2"&gt;568&lt;/key&gt;&lt;/foreign-keys&gt;&lt;ref-type name="Journal Article"&gt;17&lt;/ref-type&gt;&lt;contributors&gt;&lt;authors&gt;&lt;author&gt;Gaull, B. A.&lt;/author&gt;&lt;author&gt;Michael-Leiba, M. O. &lt;/author&gt;&lt;author&gt;Rynn, J. M. W.&lt;/author&gt;&lt;/authors&gt;&lt;/contributors&gt;&lt;titles&gt;&lt;title&gt;Probabilistic earthquake risk maps of Australia&lt;/title&gt;&lt;secondary-title&gt;Aust. J. Earth. Sci.&lt;/secondary-title&gt;&lt;/titles&gt;&lt;periodical&gt;&lt;full-title&gt;Aust. J. Earth. Sci.&lt;/full-title&gt;&lt;/periodical&gt;&lt;pages&gt;169-187&lt;/pages&gt;&lt;volume&gt;37&lt;/volume&gt;&lt;number&gt;2&lt;/number&gt;&lt;keywords&gt;&lt;keyword&gt;Australia, earthquake hazard&lt;/keyword&gt;&lt;/keywords&gt;&lt;dates&gt;&lt;year&gt;1990&lt;/year&gt;&lt;/dates&gt;&lt;urls&gt;&lt;pdf-urls&gt;&lt;url&gt;internal-pdf://Gaull et al (1990).Australia.hazard-3318622986/Gaull et al (1990).Australia.hazard.pdf&lt;/url&gt;&lt;/pdf-urls&gt;&lt;/urls&gt;&lt;/record&gt;&lt;/Cite&gt;&lt;/EndNote&gt;</w:instrText>
      </w:r>
      <w:r w:rsidR="00DE2621">
        <w:fldChar w:fldCharType="separate"/>
      </w:r>
      <w:r w:rsidR="00DE2621">
        <w:t>(1990)</w:t>
      </w:r>
      <w:r w:rsidR="00DE2621">
        <w:fldChar w:fldCharType="end"/>
      </w:r>
      <w:r w:rsidR="00DE2621">
        <w:t xml:space="preserve"> PGA attenuation model is tied to the AS1170.4 spectral shape factors for rock sites </w:t>
      </w:r>
      <w:r w:rsidR="00DE2621">
        <w:fldChar w:fldCharType="begin"/>
      </w:r>
      <w:r w:rsidR="00F202D0">
        <w:instrText xml:space="preserve"> ADDIN EN.CITE &lt;EndNote&gt;&lt;Cite&gt;&lt;Author&gt;Standards Australia&lt;/Author&gt;&lt;Year&gt;2007&lt;/Year&gt;&lt;RecNum&gt;682&lt;/RecNum&gt;&lt;record&gt;&lt;rec-number&gt;682&lt;/rec-number&gt;&lt;foreign-keys&gt;&lt;key app="EN" db-id="se5z02d5txder3eax2p5wz5j59zvz2tdzdd2"&gt;682&lt;/key&gt;&lt;/foreign-keys&gt;&lt;ref-type name="Report"&gt;27&lt;/ref-type&gt;&lt;contributors&gt;&lt;authors&gt;&lt;author&gt;Standards Australia,&lt;/author&gt;&lt;/authors&gt;&lt;/contributors&gt;&lt;titles&gt;&lt;title&gt;Structural design actions, part 4: Earthquake actions in Australia&lt;/title&gt;&lt;/titles&gt;&lt;pages&gt;52&lt;/pages&gt;&lt;number&gt;AS 1170.4—2007&lt;/number&gt;&lt;dates&gt;&lt;year&gt;2007&lt;/year&gt;&lt;/dates&gt;&lt;publisher&gt;Standards Australia&lt;/publisher&gt;&lt;urls&gt;&lt;pdf-urls&gt;&lt;url&gt;internal-pdf://AS1170_4-2007 - Australian EQ Loading Standard-0108057903/AS1170_4-2007 - Australian EQ Loading Standard.pdf&lt;/url&gt;&lt;/pdf-urls&gt;&lt;/urls&gt;&lt;/record&gt;&lt;/Cite&gt;&lt;/EndNote&gt;</w:instrText>
      </w:r>
      <w:r w:rsidR="00DE2621">
        <w:fldChar w:fldCharType="separate"/>
      </w:r>
      <w:r w:rsidR="00DE2621">
        <w:t>(Standards Australia, 2007)</w:t>
      </w:r>
      <w:r w:rsidR="00DE2621">
        <w:fldChar w:fldCharType="end"/>
      </w:r>
      <w:r w:rsidR="00172353">
        <w:t>.</w:t>
      </w:r>
      <w:r w:rsidR="00D2085E">
        <w:t xml:space="preserve"> In general, the southeastern Australian GMPE developed herein </w:t>
      </w:r>
      <w:r w:rsidR="00AA303C">
        <w:t>provides</w:t>
      </w:r>
      <w:r w:rsidR="00D2085E">
        <w:t xml:space="preserve"> an excellent fit to the observed data from the 2012 Moe earthquake.</w:t>
      </w:r>
      <w:bookmarkEnd w:id="164"/>
    </w:p>
    <w:p w:rsidR="00B15AC0" w:rsidRPr="004C0C59" w:rsidRDefault="00776F71" w:rsidP="004C0C59">
      <w:pPr>
        <w:pStyle w:val="BodyText"/>
        <w:rPr>
          <w:rStyle w:val="Heading1Char"/>
        </w:rPr>
      </w:pPr>
      <w:r>
        <w:br w:type="page"/>
      </w:r>
      <w:bookmarkStart w:id="165" w:name="_Toc319918565"/>
      <w:bookmarkStart w:id="166" w:name="_Toc319918834"/>
      <w:bookmarkStart w:id="167" w:name="_Toc349112546"/>
      <w:r w:rsidR="00B15AC0" w:rsidRPr="004C0C59">
        <w:rPr>
          <w:rStyle w:val="Heading1Char"/>
        </w:rPr>
        <w:lastRenderedPageBreak/>
        <w:t>Discussion</w:t>
      </w:r>
      <w:bookmarkEnd w:id="162"/>
      <w:bookmarkEnd w:id="163"/>
      <w:bookmarkEnd w:id="165"/>
      <w:bookmarkEnd w:id="166"/>
      <w:bookmarkEnd w:id="167"/>
    </w:p>
    <w:p w:rsidR="00776F71" w:rsidRDefault="00776F71" w:rsidP="00C409B2">
      <w:pPr>
        <w:pStyle w:val="BodyText"/>
      </w:pPr>
      <w:r w:rsidRPr="00776F71">
        <w:t xml:space="preserve">The </w:t>
      </w:r>
      <w:r>
        <w:t xml:space="preserve">current study uses the stochastic methodology described in Boore (1993; 2003) to develop a GMPE suitable for use </w:t>
      </w:r>
      <w:r w:rsidR="00861C00">
        <w:t xml:space="preserve">for earthquake hazard assessments in southeastern </w:t>
      </w:r>
      <w:smartTag w:uri="urn:schemas-microsoft-com:office:smarttags" w:element="place">
        <w:smartTag w:uri="urn:schemas-microsoft-com:office:smarttags" w:element="country-region">
          <w:r w:rsidR="00861C00">
            <w:t>Australia</w:t>
          </w:r>
        </w:smartTag>
      </w:smartTag>
      <w:r w:rsidR="00861C00">
        <w:t>.  While this study represents a step forward in Australian ground-motion modelling, it is important to recognise that there are still</w:t>
      </w:r>
      <w:r w:rsidR="00CD7399">
        <w:t xml:space="preserve"> important</w:t>
      </w:r>
      <w:r w:rsidR="00861C00">
        <w:t xml:space="preserve"> limitations of the models produced herein and the stochastic ground-motion simulation software used.  As discussed above, it has been recognised by Atkinson</w:t>
      </w:r>
      <w:r w:rsidR="00861C00" w:rsidRPr="00332AA7">
        <w:rPr>
          <w:rStyle w:val="Bodytextitalic"/>
        </w:rPr>
        <w:t xml:space="preserve"> et al. </w:t>
      </w:r>
      <w:r w:rsidR="00861C00">
        <w:fldChar w:fldCharType="begin"/>
      </w:r>
      <w:r w:rsidR="00F202D0">
        <w:instrText xml:space="preserve"> ADDIN EN.CITE &lt;EndNote&gt;&lt;Cite ExcludeAuth="1"&gt;&lt;Author&gt;Atkinson&lt;/Author&gt;&lt;Year&gt;2009&lt;/Year&gt;&lt;RecNum&gt;1041&lt;/RecNum&gt;&lt;record&gt;&lt;rec-number&gt;1041&lt;/rec-number&gt;&lt;foreign-keys&gt;&lt;key app="EN" db-id="se5z02d5txder3eax2p5wz5j59zvz2tdzdd2"&gt;1041&lt;/key&gt;&lt;/foreign-keys&gt;&lt;ref-type name="Journal Article"&gt;17&lt;/ref-type&gt;&lt;contributors&gt;&lt;authors&gt;&lt;author&gt;Atkinson, G. M.&lt;/author&gt;&lt;author&gt;Assatourians, K.&lt;/author&gt;&lt;author&gt;Boore, D. M.&lt;/author&gt;&lt;author&gt;Campbell, K.&lt;/author&gt;&lt;author&gt;Motazedian, D.&lt;/author&gt;&lt;/authors&gt;&lt;/contributors&gt;&lt;titles&gt;&lt;title&gt;A guide to differences between stochastic point-source and stochastic finite-fault simulations&lt;/title&gt;&lt;secondary-title&gt;Bull. Seism. Soc. Am.&lt;/secondary-title&gt;&lt;/titles&gt;&lt;periodical&gt;&lt;full-title&gt;Bull. Seism. Soc. Am.&lt;/full-title&gt;&lt;/periodical&gt;&lt;pages&gt;3192–3201&lt;/pages&gt;&lt;volume&gt;99&lt;/volume&gt;&lt;number&gt;6&lt;/number&gt;&lt;keywords&gt;&lt;keyword&gt;EXSIM, SMSIM, stochastic&lt;/keyword&gt;&lt;/keywords&gt;&lt;dates&gt;&lt;year&gt;2009&lt;/year&gt;&lt;/dates&gt;&lt;urls&gt;&lt;pdf-urls&gt;&lt;url&gt;internal-pdf://Atkinson etal (2009).ptsrc.extsrc.sims-0514371088/Atkinson etal (2009).ptsrc.extsrc.sims.pdf&lt;/url&gt;&lt;/pdf-urls&gt;&lt;/urls&gt;&lt;electronic-resource-num&gt;doi: 10.1785/0120090058&lt;/electronic-resource-num&gt;&lt;/record&gt;&lt;/Cite&gt;&lt;/EndNote&gt;</w:instrText>
      </w:r>
      <w:r w:rsidR="00861C00">
        <w:fldChar w:fldCharType="separate"/>
      </w:r>
      <w:r w:rsidR="00861C00">
        <w:t>(2009)</w:t>
      </w:r>
      <w:r w:rsidR="00861C00">
        <w:fldChar w:fldCharType="end"/>
      </w:r>
      <w:r w:rsidR="00861C00">
        <w:t xml:space="preserve"> that finite-fault ground-motion simulations for small earthquakes (approximately </w:t>
      </w:r>
      <w:r w:rsidR="00172353" w:rsidRPr="00172353">
        <w:rPr>
          <w:rStyle w:val="Bodytextitalic"/>
        </w:rPr>
        <w:t>M</w:t>
      </w:r>
      <w:r w:rsidR="00172353" w:rsidRPr="00172353">
        <w:rPr>
          <w:rStyle w:val="Subscriptitalic"/>
        </w:rPr>
        <w:t>W</w:t>
      </w:r>
      <w:r w:rsidR="00172353">
        <w:t xml:space="preserve"> </w:t>
      </w:r>
      <w:r w:rsidR="00861C00">
        <w:t xml:space="preserve">5.0) using EXSIM do not compare well with point source simulations </w:t>
      </w:r>
      <w:r w:rsidR="00861C00">
        <w:fldChar w:fldCharType="begin"/>
      </w:r>
      <w:r w:rsidR="00F202D0">
        <w:instrText xml:space="preserve"> ADDIN EN.CITE &lt;EndNote&gt;&lt;Cite&gt;&lt;Author&gt;Boore&lt;/Author&gt;&lt;Year&gt;2003&lt;/Year&gt;&lt;RecNum&gt;99&lt;/RecNum&gt;&lt;Prefix&gt;e.g., &lt;/Prefix&gt;&lt;record&gt;&lt;rec-number&gt;99&lt;/rec-number&gt;&lt;foreign-keys&gt;&lt;key app="EN" db-id="se5z02d5txder3eax2p5wz5j59zvz2tdzdd2"&gt;99&lt;/key&gt;&lt;/foreign-keys&gt;&lt;ref-type name="Journal Article"&gt;17&lt;/ref-type&gt;&lt;contributors&gt;&lt;authors&gt;&lt;author&gt;Boore, D. M.&lt;/author&gt;&lt;/authors&gt;&lt;/contributors&gt;&lt;titles&gt;&lt;title&gt;Simulation of ground motion using the stochastic method&lt;/title&gt;&lt;secondary-title&gt;Pure appl. geophys.&lt;/secondary-title&gt;&lt;/titles&gt;&lt;periodical&gt;&lt;full-title&gt;Pure appl. geophys.&lt;/full-title&gt;&lt;/periodical&gt;&lt;pages&gt;635-676&lt;/pages&gt;&lt;volume&gt;160&lt;/volume&gt;&lt;dates&gt;&lt;year&gt;2003&lt;/year&gt;&lt;/dates&gt;&lt;urls&gt;&lt;pdf-urls&gt;&lt;url&gt;internal-pdf://Boore (2003) Stochastic ground motion-3611261696/Boore (2003) Stochastic ground motion.pdf&lt;/url&gt;&lt;/pdf-urls&gt;&lt;/urls&gt;&lt;/record&gt;&lt;/Cite&gt;&lt;/EndNote&gt;</w:instrText>
      </w:r>
      <w:r w:rsidR="00861C00">
        <w:fldChar w:fldCharType="separate"/>
      </w:r>
      <w:r w:rsidR="00861C00">
        <w:t>(e.g., Boore, 2003)</w:t>
      </w:r>
      <w:r w:rsidR="00861C00">
        <w:fldChar w:fldCharType="end"/>
      </w:r>
      <w:r w:rsidR="00861C00">
        <w:t xml:space="preserve"> at large distances (</w:t>
      </w:r>
      <w:r w:rsidR="00861C00" w:rsidRPr="00332AA7">
        <w:rPr>
          <w:rStyle w:val="Bodytextitalic"/>
        </w:rPr>
        <w:t>R</w:t>
      </w:r>
      <w:r w:rsidR="00861C00">
        <w:t xml:space="preserve"> </w:t>
      </w:r>
      <w:r w:rsidR="00861C00">
        <w:sym w:font="Symbol" w:char="F0B3"/>
      </w:r>
      <w:r w:rsidR="00861C00">
        <w:t xml:space="preserve"> 100 km), where it should be expected that the two simulation techniques would agree.  </w:t>
      </w:r>
      <w:r w:rsidR="00CC0EF1">
        <w:t xml:space="preserve">It was observed by Boore (2009) that these differences could be minimised by using fewer subfaults in the ground-motion simulations in EXSIM.  Boore (2009) subsequently modified the EXSIM </w:t>
      </w:r>
      <w:r w:rsidR="00CD7399">
        <w:t xml:space="preserve">source </w:t>
      </w:r>
      <w:r w:rsidR="00CC0EF1">
        <w:t xml:space="preserve">code </w:t>
      </w:r>
      <w:r w:rsidR="006918F7">
        <w:t xml:space="preserve">such that the simulated ground motions at large distances were more consistent with </w:t>
      </w:r>
      <w:r w:rsidR="00C85905">
        <w:t>point-</w:t>
      </w:r>
      <w:r w:rsidR="006918F7">
        <w:t>source simulations from the SMSIM package.</w:t>
      </w:r>
      <w:r w:rsidR="00741664">
        <w:t xml:space="preserve">  However, the updated EXSIM package was not configured for GMPE development</w:t>
      </w:r>
      <w:r w:rsidR="00C85905">
        <w:t xml:space="preserve"> and could not be used in this study</w:t>
      </w:r>
      <w:r w:rsidR="000D6F5A">
        <w:t>.</w:t>
      </w:r>
      <w:r w:rsidR="008B3696">
        <w:t xml:space="preserve">  The Motazedian and Atkinson (2005) implementation of EXSIM as used in Atkinson and Boore </w:t>
      </w:r>
      <w:r w:rsidR="008B3696">
        <w:fldChar w:fldCharType="begin"/>
      </w:r>
      <w:r w:rsidR="00F202D0">
        <w:instrText xml:space="preserve"> ADDIN EN.CITE &lt;EndNote&gt;&lt;Cite ExcludeAuth="1"&gt;&lt;Author&gt;Atkinson&lt;/Author&gt;&lt;Year&gt;2006&lt;/Year&gt;&lt;RecNum&gt;4&lt;/RecNum&gt;&lt;record&gt;&lt;rec-number&gt;4&lt;/rec-number&gt;&lt;foreign-keys&gt;&lt;key app="EN" db-id="se5z02d5txder3eax2p5wz5j59zvz2tdzdd2"&gt;4&lt;/key&gt;&lt;/foreign-keys&gt;&lt;ref-type name="Journal Article"&gt;17&lt;/ref-type&gt;&lt;contributors&gt;&lt;authors&gt;&lt;author&gt;Atkinson, G. M.&lt;/author&gt;&lt;author&gt;Boore, D. M.&lt;/author&gt;&lt;/authors&gt;&lt;/contributors&gt;&lt;titles&gt;&lt;title&gt;Earthquake ground-motion predictions for eastern North America&lt;/title&gt;&lt;secondary-title&gt;Bull. Seism. Soc. Am.&lt;/secondary-title&gt;&lt;/titles&gt;&lt;periodical&gt;&lt;full-title&gt;Bull. Seism. Soc. Am.&lt;/full-title&gt;&lt;/periodical&gt;&lt;pages&gt;2181-2205&lt;/pages&gt;&lt;volume&gt;96&lt;/volume&gt;&lt;dates&gt;&lt;year&gt;2006&lt;/year&gt;&lt;/dates&gt;&lt;urls&gt;&lt;pdf-urls&gt;&lt;url&gt;internal-pdf://Atkinson and Boore (2006) GMPE for E. North America-1948709120/Atkinson and Boore (2006) GMPE for E. North America.pdf&lt;/url&gt;&lt;/pdf-urls&gt;&lt;/urls&gt;&lt;/record&gt;&lt;/Cite&gt;&lt;/EndNote&gt;</w:instrText>
      </w:r>
      <w:r w:rsidR="008B3696">
        <w:fldChar w:fldCharType="separate"/>
      </w:r>
      <w:r w:rsidR="008B3696">
        <w:t>(2006)</w:t>
      </w:r>
      <w:r w:rsidR="008B3696">
        <w:fldChar w:fldCharType="end"/>
      </w:r>
      <w:r w:rsidR="008B3696">
        <w:t xml:space="preserve"> was extensively modified for the purpose of randomising the input stochastic parameters for GMPE development.  </w:t>
      </w:r>
      <w:r w:rsidR="000D6F5A">
        <w:t xml:space="preserve">In the current study, the number of subfaults was set to three for all simulations in an attempt to minimise </w:t>
      </w:r>
      <w:r w:rsidR="008B3696">
        <w:t>the limitations in using the Motazedian and Atkinson (2005) implementation of EXSIM.  It is recognised that the GMPEs presented herein should be updated using the latest version of EXSIM</w:t>
      </w:r>
      <w:r w:rsidR="002C01B0">
        <w:t>, correctly configured to generate stochastic datasets that can be used to develop GMPEs</w:t>
      </w:r>
      <w:r w:rsidR="008B3696">
        <w:t>.  This work is planned and will commence following discussions with Gail Atkinson and David Boore later in 2012.  Despite this limitation, it is observed from the analysis above that these models can still be considered appropriate for southeastern Australian crustal conditions and they result in small residuals when compared to observed data across all response spectral periods.</w:t>
      </w:r>
      <w:r w:rsidR="009D4289">
        <w:t xml:space="preserve">  In contrast, many of the other GMPEs </w:t>
      </w:r>
      <w:r w:rsidR="00C85905">
        <w:t xml:space="preserve">that were developed for </w:t>
      </w:r>
      <w:r w:rsidR="005D2756">
        <w:t>Australia and other stable continental regions</w:t>
      </w:r>
      <w:r w:rsidR="00C85905">
        <w:t xml:space="preserve"> </w:t>
      </w:r>
      <w:r w:rsidR="009D4289">
        <w:t xml:space="preserve">considered for use in the Australian National Earthquake Hazard Map do not appear to be consistent with observed ground-motions </w:t>
      </w:r>
      <w:r w:rsidR="00C06124">
        <w:fldChar w:fldCharType="begin"/>
      </w:r>
      <w:r w:rsidR="00F202D0">
        <w:instrText xml:space="preserve"> ADDIN EN.CITE &lt;EndNote&gt;&lt;Cite&gt;&lt;Author&gt;Allen&lt;/Author&gt;&lt;Year&gt;2011&lt;/Year&gt;&lt;RecNum&gt;1029&lt;/RecNum&gt;&lt;record&gt;&lt;rec-number&gt;1029&lt;/rec-number&gt;&lt;foreign-keys&gt;&lt;key app="EN" db-id="se5z02d5txder3eax2p5wz5j59zvz2tdzdd2"&gt;1029&lt;/key&gt;&lt;/foreign-keys&gt;&lt;ref-type name="Conference Proceedings"&gt;10&lt;/ref-type&gt;&lt;contributors&gt;&lt;authors&gt;&lt;author&gt;Allen, T.&lt;/author&gt;&lt;author&gt;Leonard, M.&lt;/author&gt;&lt;author&gt;Collins, C.&lt;/author&gt;&lt;/authors&gt;&lt;/contributors&gt;&lt;titles&gt;&lt;title&gt;The 2012 Australian Seismic Hazard Map – catalogue and ground motion prediction equations&lt;/title&gt;&lt;secondary-title&gt;Proceedings of the 2011 Australian Earthquake Engineering Society Conference&lt;/secondary-title&gt;&lt;/titles&gt;&lt;dates&gt;&lt;year&gt;2011&lt;/year&gt;&lt;/dates&gt;&lt;pub-location&gt;Barossa Valley, South Australia&lt;/pub-location&gt;&lt;publisher&gt;Australian Earthquake Engineering Society&lt;/publisher&gt;&lt;urls&gt;&lt;pdf-urls&gt;&lt;url&gt;internal-pdf://Allen etal (2011).AEES_paper_II.v9-3737335045/Allen etal (2011).AEES_paper_II.v9.pdf&lt;/url&gt;&lt;/pdf-urls&gt;&lt;/urls&gt;&lt;/record&gt;&lt;/Cite&gt;&lt;Cite&gt;&lt;Author&gt;Burbidge&lt;/Author&gt;&lt;Year&gt;2012&lt;/Year&gt;&lt;RecNum&gt;1224&lt;/RecNum&gt;&lt;record&gt;&lt;rec-number&gt;1224&lt;/rec-number&gt;&lt;foreign-keys&gt;&lt;key app="EN" db-id="se5z02d5txder3eax2p5wz5j59zvz2tdzdd2"&gt;1224&lt;/key&gt;&lt;/foreign-keys&gt;&lt;ref-type name="Edited Book"&gt;28&lt;/ref-type&gt;&lt;contributors&gt;&lt;authors&gt;&lt;author&gt;Burbidge, D. R.&lt;/author&gt;&lt;/authors&gt;&lt;/contributors&gt;&lt;titles&gt;&lt;title&gt;The 2012 Australian Earthquake Hazard Map&lt;/title&gt;&lt;/titles&gt;&lt;dates&gt;&lt;year&gt;2012&lt;/year&gt;&lt;/dates&gt;&lt;publisher&gt;Geoscience Australia, Record 2012/XX&lt;/publisher&gt;&lt;urls&gt;&lt;/urls&gt;&lt;/record&gt;&lt;/Cite&gt;&lt;/EndNote&gt;</w:instrText>
      </w:r>
      <w:r w:rsidR="00C06124">
        <w:fldChar w:fldCharType="separate"/>
      </w:r>
      <w:r w:rsidR="00F202D0">
        <w:t>(Allen</w:t>
      </w:r>
      <w:r w:rsidR="00F202D0" w:rsidRPr="00F202D0">
        <w:rPr>
          <w:i/>
        </w:rPr>
        <w:t xml:space="preserve"> et al.</w:t>
      </w:r>
      <w:r w:rsidR="00F202D0">
        <w:t>, 2011; Burbidge, 2012)</w:t>
      </w:r>
      <w:r w:rsidR="00C06124">
        <w:fldChar w:fldCharType="end"/>
      </w:r>
      <w:r w:rsidR="009D4289">
        <w:t>.</w:t>
      </w:r>
    </w:p>
    <w:p w:rsidR="00B10A01" w:rsidRDefault="00B10A01" w:rsidP="00C409B2">
      <w:pPr>
        <w:pStyle w:val="BodyText"/>
      </w:pPr>
      <w:r>
        <w:t xml:space="preserve">The Brune stress drops calculated herein are based on the correction of recorded Fourier displacement spectra using geometrical spreading models, anelastic attenuation factors and </w:t>
      </w:r>
      <w:r w:rsidR="00825D83">
        <w:t>path</w:t>
      </w:r>
      <w:r>
        <w:t>-</w:t>
      </w:r>
      <w:r w:rsidR="00825D83">
        <w:t>in</w:t>
      </w:r>
      <w:r>
        <w:t xml:space="preserve">dependent kappa estimates.  One potentially important factor that was not considered in the inversion of stress drop is the effect of crustal amplification factors on the correction to an average source spectrum for each earthquake considered.  In the present study, </w:t>
      </w:r>
      <w:r w:rsidRPr="0092021A">
        <w:t>vertical</w:t>
      </w:r>
      <w:r>
        <w:t>-</w:t>
      </w:r>
      <w:r w:rsidRPr="0092021A">
        <w:t xml:space="preserve">component </w:t>
      </w:r>
      <w:r>
        <w:t>records are used in the inversion of all source and attenuation parameters under the assumption that they are unaffected by crustal amplification effects</w:t>
      </w:r>
      <w:r w:rsidRPr="0092021A">
        <w:t xml:space="preserve">. </w:t>
      </w:r>
      <w:r>
        <w:t xml:space="preserve"> Rather, the</w:t>
      </w:r>
      <w:r w:rsidRPr="00837297">
        <w:t xml:space="preserve"> H/V ratio </w:t>
      </w:r>
      <w:r>
        <w:t xml:space="preserve">is used as </w:t>
      </w:r>
      <w:r w:rsidRPr="00837297">
        <w:t>a crude approximation of the</w:t>
      </w:r>
      <w:r>
        <w:t xml:space="preserve"> </w:t>
      </w:r>
      <w:r w:rsidRPr="00837297">
        <w:t>near-surface amplification</w:t>
      </w:r>
      <w:r>
        <w:t xml:space="preserve"> for rock sites</w:t>
      </w:r>
      <w:r w:rsidR="001A5965">
        <w:t xml:space="preserve"> on horizontal components</w:t>
      </w:r>
      <w:r>
        <w:t xml:space="preserve"> </w:t>
      </w:r>
      <w:r>
        <w:fldChar w:fldCharType="begin"/>
      </w:r>
      <w:r w:rsidR="00F202D0">
        <w:instrText xml:space="preserve"> ADDIN EN.CITE &lt;EndNote&gt;&lt;Cite&gt;&lt;Author&gt;Atkinson&lt;/Author&gt;&lt;Year&gt;2004&lt;/Year&gt;&lt;RecNum&gt;93&lt;/RecNum&gt;&lt;record&gt;&lt;rec-number&gt;93&lt;/rec-number&gt;&lt;foreign-keys&gt;&lt;key app="EN" db-id="se5z02d5txder3eax2p5wz5j59zvz2tdzdd2"&gt;93&lt;/key&gt;&lt;/foreign-keys&gt;&lt;ref-type name="Journal Article"&gt;17&lt;/ref-type&gt;&lt;contributors&gt;&lt;authors&gt;&lt;author&gt;Atkinson, G. M.&lt;/author&gt;&lt;/authors&gt;&lt;/contributors&gt;&lt;titles&gt;&lt;title&gt;Empirical attenuation of ground-motion spectral amplitudes in southeastern Canada and the northeastern United States&lt;/title&gt;&lt;secondary-title&gt;Bull. Seism. Soc. Am.&lt;/secondary-title&gt;&lt;/titles&gt;&lt;periodical&gt;&lt;full-title&gt;Bull. Seism. Soc. Am.&lt;/full-title&gt;&lt;/periodical&gt;&lt;pages&gt;1079-1095&lt;/pages&gt;&lt;volume&gt;94&lt;/volume&gt;&lt;number&gt;3&lt;/number&gt;&lt;dates&gt;&lt;year&gt;2004&lt;/year&gt;&lt;pub-dates&gt;&lt;date&gt;June 2004&lt;/date&gt;&lt;/pub-dates&gt;&lt;/dates&gt;&lt;urls&gt;&lt;pdf-urls&gt;&lt;url&gt;internal-pdf://Atkinson (2004) ground motion SE Canada and NE US-0289285376/Atkinson (2004) ground motion SE Canada and NE US.pdf&lt;/url&gt;&lt;/pdf-urls&gt;&lt;/urls&gt;&lt;/record&gt;&lt;/Cite&gt;&lt;Cite&gt;&lt;Author&gt;Chen&lt;/Author&gt;&lt;Year&gt;2002&lt;/Year&gt;&lt;RecNum&gt;574&lt;/RecNum&gt;&lt;record&gt;&lt;rec-number&gt;574&lt;/rec-number&gt;&lt;foreign-keys&gt;&lt;key app="EN" db-id="se5z02d5txder3eax2p5wz5j59zvz2tdzdd2"&gt;574&lt;/key&gt;&lt;/foreign-keys&gt;&lt;ref-type name="Journal Article"&gt;17&lt;/ref-type&gt;&lt;contributors&gt;&lt;authors&gt;&lt;author&gt;Chen, S.-Z.&lt;/author&gt;&lt;author&gt;Atkinson, G. M.&lt;/author&gt;&lt;/authors&gt;&lt;/contributors&gt;&lt;titles&gt;&lt;title&gt;Global comparisons of earthquake source spectra&lt;/title&gt;&lt;secondary-title&gt;Bull. Seism. Soc. Am.&lt;/secondary-title&gt;&lt;/titles&gt;&lt;periodical&gt;&lt;full-title&gt;Bull. Seism. Soc. Am.&lt;/full-title&gt;&lt;/periodical&gt;&lt;pages&gt;885–895&lt;/pages&gt;&lt;volume&gt;92&lt;/volume&gt;&lt;number&gt;3&lt;/number&gt;&lt;keywords&gt;&lt;keyword&gt;global source spectra, m1, magnitude&lt;/keyword&gt;&lt;/keywords&gt;&lt;dates&gt;&lt;year&gt;2002&lt;/year&gt;&lt;/dates&gt;&lt;urls&gt;&lt;pdf-urls&gt;&lt;url&gt;internal-pdf://Chen &amp;amp; Atkinson (2002).global source spectra.m1-0699338281/Chen &amp;amp; Atkinson (2002).global source spectra.m1.pdf&lt;/url&gt;&lt;/pdf-urls&gt;&lt;/urls&gt;&lt;/record&gt;&lt;/Cite&gt;&lt;/EndNote&gt;</w:instrText>
      </w:r>
      <w:r>
        <w:fldChar w:fldCharType="separate"/>
      </w:r>
      <w:r>
        <w:t>(Chen and Atkinson, 2002; Atkinson, 2004)</w:t>
      </w:r>
      <w:r>
        <w:fldChar w:fldCharType="end"/>
      </w:r>
      <w:r w:rsidR="001A5965">
        <w:t>.  If this assumption is erroneous and vertical-component ground-motions are affected by crustal amplifications, this will affect the inversion of the Brune source spectrum</w:t>
      </w:r>
      <w:r w:rsidR="006D58F4">
        <w:t xml:space="preserve">, particularly at higher frequencies.  The net effect of not considering potential crustal amplifications, if they are significant, is that it may yield estimates Brune </w:t>
      </w:r>
      <w:r w:rsidR="001A5965">
        <w:t>stress drop</w:t>
      </w:r>
      <w:r w:rsidR="006D58F4">
        <w:t xml:space="preserve"> that are too high</w:t>
      </w:r>
      <w:r w:rsidR="001A5965">
        <w:t>.</w:t>
      </w:r>
      <w:r w:rsidR="00B979B8">
        <w:t xml:space="preserve">  This issue will be the focus of further investigations.</w:t>
      </w:r>
    </w:p>
    <w:p w:rsidR="007D4586" w:rsidRPr="009137C4" w:rsidRDefault="007D4586" w:rsidP="00C409B2">
      <w:pPr>
        <w:pStyle w:val="BodyText"/>
      </w:pPr>
      <w:r>
        <w:t xml:space="preserve">Users of the GMPEs presented in the current study </w:t>
      </w:r>
      <w:r w:rsidR="00825D83">
        <w:t xml:space="preserve">will note </w:t>
      </w:r>
      <w:r>
        <w:t xml:space="preserve">relatively large values of ground-motion uncertainty </w:t>
      </w:r>
      <w:r w:rsidRPr="00332AA7">
        <w:rPr>
          <w:rStyle w:val="Bodytextitalic"/>
        </w:rPr>
        <w:t>σ</w:t>
      </w:r>
      <w:r>
        <w:t>. The values presented in Tables 7 and 8 are approximately 0.41 to 0.36</w:t>
      </w:r>
      <w:r w:rsidR="00A97E5F">
        <w:t xml:space="preserve"> (log base 10 units)</w:t>
      </w:r>
      <w:r>
        <w:t xml:space="preserve"> for short periods for the shallow and deep GMPEs, respectively.</w:t>
      </w:r>
      <w:r w:rsidR="00356123">
        <w:t xml:space="preserve">  In contrast to our values, Atkinson and Boore (2006) recommend </w:t>
      </w:r>
      <w:r w:rsidR="00356123" w:rsidRPr="00332AA7">
        <w:rPr>
          <w:rStyle w:val="Bodytextitalic"/>
        </w:rPr>
        <w:t>σ</w:t>
      </w:r>
      <w:r w:rsidR="00356123">
        <w:t xml:space="preserve"> = 0.30, while </w:t>
      </w:r>
      <w:smartTag w:uri="urn:schemas-microsoft-com:office:smarttags" w:element="City">
        <w:smartTag w:uri="urn:schemas-microsoft-com:office:smarttags" w:element="place">
          <w:r w:rsidR="00356123">
            <w:t>Somerville</w:t>
          </w:r>
        </w:smartTag>
      </w:smartTag>
      <w:r w:rsidR="00356123">
        <w:t xml:space="preserve"> </w:t>
      </w:r>
      <w:r w:rsidR="00356123" w:rsidRPr="00332AA7">
        <w:rPr>
          <w:rStyle w:val="Bodytextitalic"/>
        </w:rPr>
        <w:t>et al</w:t>
      </w:r>
      <w:r w:rsidR="00356123">
        <w:t xml:space="preserve">. (2009) recommend </w:t>
      </w:r>
      <w:r w:rsidR="00356123" w:rsidRPr="00332AA7">
        <w:rPr>
          <w:rStyle w:val="Bodytextitalic"/>
        </w:rPr>
        <w:t>σ</w:t>
      </w:r>
      <w:r w:rsidR="00356123">
        <w:t xml:space="preserve"> = 0.24.</w:t>
      </w:r>
      <w:r w:rsidR="00A02EBC">
        <w:t xml:space="preserve">  The reason for the apparent large values in ground-motion uncertainty is partially due to the aleatory uncertainty of input parameters </w:t>
      </w:r>
      <w:r w:rsidR="008B52DA">
        <w:t xml:space="preserve">assigned </w:t>
      </w:r>
      <w:r w:rsidR="00A02EBC">
        <w:t xml:space="preserve">in the stochastic simulations.  In particular, the relatively large uncertainty on the assumed </w:t>
      </w:r>
      <w:r w:rsidR="009137C4" w:rsidRPr="00332AA7">
        <w:rPr>
          <w:rStyle w:val="Bodytextitalic"/>
        </w:rPr>
        <w:t>κ</w:t>
      </w:r>
      <w:r w:rsidR="00A02EBC" w:rsidRPr="009137C4">
        <w:rPr>
          <w:vertAlign w:val="subscript"/>
        </w:rPr>
        <w:t>0</w:t>
      </w:r>
      <w:r w:rsidR="00A02EBC">
        <w:t xml:space="preserve"> values is a major contributor at high frequencies.</w:t>
      </w:r>
      <w:r w:rsidR="009137C4">
        <w:t xml:space="preserve">  </w:t>
      </w:r>
      <w:r w:rsidR="008B52DA">
        <w:t>T</w:t>
      </w:r>
      <w:r w:rsidR="009137C4">
        <w:t xml:space="preserve">his study assumes normally distributed variability of </w:t>
      </w:r>
      <w:r w:rsidR="008B52DA">
        <w:t>path independent</w:t>
      </w:r>
      <w:r w:rsidR="009137C4">
        <w:t xml:space="preserve"> </w:t>
      </w:r>
      <w:r w:rsidR="009137C4" w:rsidRPr="00332AA7">
        <w:rPr>
          <w:rStyle w:val="Bodytextitalic"/>
        </w:rPr>
        <w:t>κ</w:t>
      </w:r>
      <w:r w:rsidR="009137C4" w:rsidRPr="009137C4">
        <w:rPr>
          <w:vertAlign w:val="subscript"/>
        </w:rPr>
        <w:t>0</w:t>
      </w:r>
      <w:r w:rsidR="009137C4">
        <w:t xml:space="preserve"> with a me</w:t>
      </w:r>
      <w:r w:rsidR="00825D83">
        <w:t>di</w:t>
      </w:r>
      <w:r w:rsidR="009137C4">
        <w:t xml:space="preserve">an of 0.006 </w:t>
      </w:r>
      <w:r w:rsidR="00DB2504">
        <w:sym w:font="Symbol" w:char="F0B1"/>
      </w:r>
      <w:r w:rsidR="00DB2504">
        <w:t xml:space="preserve"> 0.017</w:t>
      </w:r>
      <w:r w:rsidR="008B52DA">
        <w:t> </w:t>
      </w:r>
      <w:r w:rsidR="009137C4">
        <w:t>s</w:t>
      </w:r>
      <w:r w:rsidR="008B52DA">
        <w:t xml:space="preserve"> based on observations from recoded data</w:t>
      </w:r>
      <w:r w:rsidR="00DB2504">
        <w:t>.  In contrast Atkinson and Boore (2006) used a uniform distribution between 0.002 and 0.008</w:t>
      </w:r>
      <w:r w:rsidR="008B52DA">
        <w:t> </w:t>
      </w:r>
      <w:r w:rsidR="00DB2504">
        <w:t>s for their simulations.</w:t>
      </w:r>
      <w:r w:rsidR="001B0C50">
        <w:t xml:space="preserve">  Based on the distribution of kappa values for sites in eastern </w:t>
      </w:r>
      <w:smartTag w:uri="urn:schemas-microsoft-com:office:smarttags" w:element="place">
        <w:smartTag w:uri="urn:schemas-microsoft-com:office:smarttags" w:element="country-region">
          <w:r w:rsidR="001B0C50">
            <w:t>Australia</w:t>
          </w:r>
        </w:smartTag>
      </w:smartTag>
      <w:r w:rsidR="001B0C50">
        <w:t xml:space="preserve"> (Fig. 9</w:t>
      </w:r>
      <w:r w:rsidR="00905C65">
        <w:t xml:space="preserve">), a </w:t>
      </w:r>
      <w:r w:rsidR="001B0C50">
        <w:t xml:space="preserve">smaller distribution cannot be justified at this time.  With further research, the uncertainty associated with the stochastic input parameters for eastern Australian earthquakes </w:t>
      </w:r>
      <w:r w:rsidR="00825D83">
        <w:t>sh</w:t>
      </w:r>
      <w:r w:rsidR="001B0C50">
        <w:t>ould be reduced.</w:t>
      </w:r>
    </w:p>
    <w:p w:rsidR="00E24149" w:rsidRDefault="008B3696" w:rsidP="00C409B2">
      <w:pPr>
        <w:pStyle w:val="BodyText"/>
      </w:pPr>
      <w:r>
        <w:lastRenderedPageBreak/>
        <w:t xml:space="preserve">Another limitation of the GMPEs presented herein is that they are presently only calibrated </w:t>
      </w:r>
      <w:r w:rsidR="00B251A1">
        <w:t xml:space="preserve">to </w:t>
      </w:r>
      <w:r>
        <w:t xml:space="preserve">average rock conditions in southeastern </w:t>
      </w:r>
      <w:smartTag w:uri="urn:schemas-microsoft-com:office:smarttags" w:element="place">
        <w:smartTag w:uri="urn:schemas-microsoft-com:office:smarttags" w:element="country-region">
          <w:r>
            <w:t>Australia</w:t>
          </w:r>
        </w:smartTag>
      </w:smartTag>
      <w:r>
        <w:t>.</w:t>
      </w:r>
      <w:r w:rsidR="00815CC4">
        <w:t xml:space="preserve">  Based on the limited </w:t>
      </w:r>
      <w:r w:rsidR="00815CC4" w:rsidRPr="00332AA7">
        <w:rPr>
          <w:rStyle w:val="Bodytextitalic"/>
        </w:rPr>
        <w:t>V</w:t>
      </w:r>
      <w:r w:rsidR="00815CC4" w:rsidRPr="00172353">
        <w:rPr>
          <w:rStyle w:val="Subscriptitalic"/>
        </w:rPr>
        <w:t>S30</w:t>
      </w:r>
      <w:r w:rsidR="00815CC4">
        <w:t xml:space="preserve"> measurements obtained in </w:t>
      </w:r>
      <w:smartTag w:uri="urn:schemas-microsoft-com:office:smarttags" w:element="place">
        <w:smartTag w:uri="urn:schemas-microsoft-com:office:smarttags" w:element="country-region">
          <w:r w:rsidR="00815CC4">
            <w:t>Australia</w:t>
          </w:r>
        </w:smartTag>
      </w:smartTag>
      <w:r w:rsidR="00B251A1">
        <w:t>,</w:t>
      </w:r>
      <w:r w:rsidR="00815CC4">
        <w:t xml:space="preserve"> and </w:t>
      </w:r>
      <w:r w:rsidR="00815CC4" w:rsidRPr="00332AA7">
        <w:rPr>
          <w:rStyle w:val="Bodytextitalic"/>
        </w:rPr>
        <w:t>κ</w:t>
      </w:r>
      <w:r w:rsidR="00815CC4" w:rsidRPr="00632C3C">
        <w:rPr>
          <w:vertAlign w:val="subscript"/>
        </w:rPr>
        <w:t>0</w:t>
      </w:r>
      <w:r w:rsidR="00815CC4">
        <w:t xml:space="preserve"> values determined in the present study, the present GMPEs are appropriate for a </w:t>
      </w:r>
      <w:r w:rsidR="00172353" w:rsidRPr="00332AA7">
        <w:rPr>
          <w:rStyle w:val="Bodytextitalic"/>
        </w:rPr>
        <w:t>V</w:t>
      </w:r>
      <w:r w:rsidR="00172353" w:rsidRPr="00172353">
        <w:rPr>
          <w:rStyle w:val="Subscriptitalic"/>
        </w:rPr>
        <w:t>S30</w:t>
      </w:r>
      <w:r w:rsidR="00172353">
        <w:t xml:space="preserve"> </w:t>
      </w:r>
      <w:r w:rsidR="00815CC4">
        <w:t>site condition of approximately 820 m/s.</w:t>
      </w:r>
      <w:r w:rsidR="00D921AA">
        <w:t xml:space="preserve">  The requirements for the Australian </w:t>
      </w:r>
      <w:r w:rsidR="00B251A1">
        <w:t>earthquake loading code</w:t>
      </w:r>
      <w:r w:rsidR="00D921AA">
        <w:t xml:space="preserve"> AS1170.4</w:t>
      </w:r>
      <w:r w:rsidR="00B251A1">
        <w:t xml:space="preserve"> </w:t>
      </w:r>
      <w:r w:rsidR="00C06124">
        <w:fldChar w:fldCharType="begin"/>
      </w:r>
      <w:r w:rsidR="00F202D0">
        <w:instrText xml:space="preserve"> ADDIN EN.CITE &lt;EndNote&gt;&lt;Cite&gt;&lt;Author&gt;Standards Australia&lt;/Author&gt;&lt;Year&gt;2007&lt;/Year&gt;&lt;RecNum&gt;682&lt;/RecNum&gt;&lt;record&gt;&lt;rec-number&gt;682&lt;/rec-number&gt;&lt;foreign-keys&gt;&lt;key app="EN" db-id="se5z02d5txder3eax2p5wz5j59zvz2tdzdd2"&gt;682&lt;/key&gt;&lt;/foreign-keys&gt;&lt;ref-type name="Report"&gt;27&lt;/ref-type&gt;&lt;contributors&gt;&lt;authors&gt;&lt;author&gt;Standards Australia,&lt;/author&gt;&lt;/authors&gt;&lt;/contributors&gt;&lt;titles&gt;&lt;title&gt;Structural design actions, part 4: Earthquake actions in Australia&lt;/title&gt;&lt;/titles&gt;&lt;pages&gt;52&lt;/pages&gt;&lt;number&gt;AS 1170.4—2007&lt;/number&gt;&lt;dates&gt;&lt;year&gt;2007&lt;/year&gt;&lt;/dates&gt;&lt;publisher&gt;Standards Australia&lt;/publisher&gt;&lt;urls&gt;&lt;pdf-urls&gt;&lt;url&gt;internal-pdf://AS1170_4-2007 - Australian EQ Loading Standard-0108057903/AS1170_4-2007 - Australian EQ Loading Standard.pdf&lt;/url&gt;&lt;/pdf-urls&gt;&lt;/urls&gt;&lt;/record&gt;&lt;/Cite&gt;&lt;/EndNote&gt;</w:instrText>
      </w:r>
      <w:r w:rsidR="00C06124">
        <w:fldChar w:fldCharType="separate"/>
      </w:r>
      <w:r w:rsidR="00445C20">
        <w:t>(Standards Australia, 2007)</w:t>
      </w:r>
      <w:r w:rsidR="00C06124">
        <w:fldChar w:fldCharType="end"/>
      </w:r>
      <w:r w:rsidR="00D921AA">
        <w:t xml:space="preserve"> require earthquake hazard to be estimated on a </w:t>
      </w:r>
      <w:r w:rsidR="00825D83">
        <w:t xml:space="preserve">reference B/C boundary </w:t>
      </w:r>
      <w:r w:rsidR="00D921AA">
        <w:t xml:space="preserve">rock site.  Based on the NEHRP site classification scheme, the average </w:t>
      </w:r>
      <w:r w:rsidR="00172353" w:rsidRPr="00332AA7">
        <w:rPr>
          <w:rStyle w:val="Bodytextitalic"/>
        </w:rPr>
        <w:t>V</w:t>
      </w:r>
      <w:r w:rsidR="00172353" w:rsidRPr="00172353">
        <w:rPr>
          <w:rStyle w:val="Subscriptitalic"/>
        </w:rPr>
        <w:t>S30</w:t>
      </w:r>
      <w:r w:rsidR="00172353">
        <w:t xml:space="preserve"> </w:t>
      </w:r>
      <w:r w:rsidR="00D921AA">
        <w:t xml:space="preserve">of approximately 820 m/s to which the GMPEs were calibrated can be considered as </w:t>
      </w:r>
      <w:r w:rsidR="005D1CBA">
        <w:t xml:space="preserve">B/C reference </w:t>
      </w:r>
      <w:r w:rsidR="00D921AA">
        <w:t>rock</w:t>
      </w:r>
      <w:r w:rsidR="00A4373B">
        <w:t xml:space="preserve"> </w:t>
      </w:r>
      <w:r w:rsidR="00A4373B">
        <w:fldChar w:fldCharType="begin"/>
      </w:r>
      <w:r w:rsidR="008E190E">
        <w:instrText xml:space="preserve"> ADDIN EN.CITE &lt;EndNote&gt;&lt;Cite&gt;&lt;Author&gt;Building Seismic Safety Council&lt;/Author&gt;&lt;Year&gt;2003&lt;/Year&gt;&lt;RecNum&gt;28&lt;/RecNum&gt;&lt;record&gt;&lt;rec-number&gt;28&lt;/rec-number&gt;&lt;foreign-keys&gt;&lt;key app="EN" db-id="se5z02d5txder3eax2p5wz5j59zvz2tdzdd2"&gt;28&lt;/key&gt;&lt;/foreign-keys&gt;&lt;ref-type name="Report"&gt;27&lt;/ref-type&gt;&lt;contributors&gt;&lt;authors&gt;&lt;author&gt;Building Seismic Safety Council,&lt;/author&gt;&lt;/authors&gt;&lt;/contributors&gt;&lt;titles&gt;&lt;title&gt;NEHRP Recommended Provisions for seismic regulations for new buildings and other structures, 2003 edition&lt;/title&gt;&lt;/titles&gt;&lt;pages&gt;338&lt;/pages&gt;&lt;dates&gt;&lt;year&gt;2003&lt;/year&gt;&lt;/dates&gt;&lt;pub-location&gt;Washington, D.C.&lt;/pub-location&gt;&lt;publisher&gt;Federal Emergency Management Agency 450&lt;/publisher&gt;&lt;urls&gt;&lt;pdf-urls&gt;&lt;url&gt;internal-pdf://fema450provisions-3951166218/fema450provisions.pdf&lt;/url&gt;&lt;/pdf-urls&gt;&lt;/urls&gt;&lt;/record&gt;&lt;/Cite&gt;&lt;/EndNote&gt;</w:instrText>
      </w:r>
      <w:r w:rsidR="00A4373B">
        <w:fldChar w:fldCharType="separate"/>
      </w:r>
      <w:r w:rsidR="00A4373B">
        <w:t>(Building Seismic Safety Council, 2003)</w:t>
      </w:r>
      <w:r w:rsidR="00A4373B">
        <w:fldChar w:fldCharType="end"/>
      </w:r>
      <w:r w:rsidR="00D921AA">
        <w:t xml:space="preserve">.  As a consequence the models are approximately consistent with the requirements of the Australian Standards and should not require any </w:t>
      </w:r>
      <w:r w:rsidR="00362DA4">
        <w:t xml:space="preserve">further adjustments for use in the national hazard map (Burbidge </w:t>
      </w:r>
      <w:r w:rsidR="00362DA4" w:rsidRPr="00332AA7">
        <w:rPr>
          <w:rStyle w:val="Bodytextitalic"/>
        </w:rPr>
        <w:t>et al</w:t>
      </w:r>
      <w:r w:rsidR="00362DA4">
        <w:t xml:space="preserve">., 2010; Burbidge and </w:t>
      </w:r>
      <w:smartTag w:uri="urn:schemas-microsoft-com:office:smarttags" w:element="PersonName">
        <w:r w:rsidR="00362DA4">
          <w:t>Leo</w:t>
        </w:r>
      </w:smartTag>
      <w:r w:rsidR="00362DA4">
        <w:t>nard, 2011).</w:t>
      </w:r>
    </w:p>
    <w:p w:rsidR="008B3696" w:rsidRPr="00815CC4" w:rsidRDefault="00D921AA" w:rsidP="00C409B2">
      <w:pPr>
        <w:pStyle w:val="BodyText"/>
      </w:pPr>
      <w:r>
        <w:t xml:space="preserve">Because most seismic recording stations in </w:t>
      </w:r>
      <w:smartTag w:uri="urn:schemas-microsoft-com:office:smarttags" w:element="place">
        <w:smartTag w:uri="urn:schemas-microsoft-com:office:smarttags" w:element="country-region">
          <w:r>
            <w:t>Australia</w:t>
          </w:r>
        </w:smartTag>
      </w:smartTag>
      <w:r>
        <w:t xml:space="preserve"> are located on rock sites, there are very few data from which to determine empirically</w:t>
      </w:r>
      <w:r w:rsidR="00B251A1">
        <w:t>-</w:t>
      </w:r>
      <w:r>
        <w:t>based site amplification factors</w:t>
      </w:r>
      <w:r w:rsidR="00307649">
        <w:t xml:space="preserve"> for different seismic site conditions</w:t>
      </w:r>
      <w:r>
        <w:t xml:space="preserve">.  Consequently, it will be necessary to develop scaling factors </w:t>
      </w:r>
      <w:r w:rsidR="00E24149">
        <w:t xml:space="preserve">from either simulated data, or by adopting site amplification factors from other studies </w:t>
      </w:r>
      <w:r w:rsidR="00C06124">
        <w:fldChar w:fldCharType="begin"/>
      </w:r>
      <w:r w:rsidR="00F202D0">
        <w:instrText xml:space="preserve"> ADDIN EN.CITE &lt;EndNote&gt;&lt;Cite&gt;&lt;Author&gt;Choi&lt;/Author&gt;&lt;Year&gt;2005&lt;/Year&gt;&lt;RecNum&gt;7&lt;/RecNum&gt;&lt;Prefix&gt;e.g., &lt;/Prefix&gt;&lt;record&gt;&lt;rec-number&gt;7&lt;/rec-number&gt;&lt;foreign-keys&gt;&lt;key app="EN" db-id="se5z02d5txder3eax2p5wz5j59zvz2tdzdd2"&gt;7&lt;/key&gt;&lt;/foreign-keys&gt;&lt;ref-type name="Journal Article"&gt;17&lt;/ref-type&gt;&lt;contributors&gt;&lt;authors&gt;&lt;author&gt;Choi, Y. &lt;/author&gt;&lt;author&gt;Stewart, J. P. &lt;/author&gt;&lt;/authors&gt;&lt;/contributors&gt;&lt;titles&gt;&lt;title&gt;Nonlinear site amplification as function of 30 m shear wave velocity&lt;/title&gt;&lt;secondary-title&gt;Earthquake Spectra&lt;/secondary-title&gt;&lt;/titles&gt;&lt;periodical&gt;&lt;full-title&gt;Earthquake Spectra&lt;/full-title&gt;&lt;/periodical&gt;&lt;pages&gt;1-30&lt;/pages&gt;&lt;volume&gt;21&lt;/volume&gt;&lt;number&gt;1&lt;/number&gt;&lt;keywords&gt;&lt;keyword&gt;Nonlinear site amplification, Vs30&lt;/keyword&gt;&lt;/keywords&gt;&lt;dates&gt;&lt;year&gt;2005&lt;/year&gt;&lt;/dates&gt;&lt;urls&gt;&lt;pdf-urls&gt;&lt;url&gt;internal-pdf://Choi&amp;amp;Stewart.2005.nonlinear_site_amplification.Vs30-0337888000/Choi&amp;amp;Stewart.2005.nonlinear_site_amplification.Vs30.pdf&lt;/url&gt;&lt;/pdf-urls&gt;&lt;/urls&gt;&lt;/record&gt;&lt;/Cite&gt;&lt;/EndNote&gt;</w:instrText>
      </w:r>
      <w:r w:rsidR="00C06124">
        <w:fldChar w:fldCharType="separate"/>
      </w:r>
      <w:r w:rsidR="00C06124">
        <w:t>(e.g., Choi and Stewart, 2005)</w:t>
      </w:r>
      <w:r w:rsidR="00C06124">
        <w:fldChar w:fldCharType="end"/>
      </w:r>
      <w:r w:rsidR="00E24149">
        <w:t>.</w:t>
      </w:r>
      <w:r w:rsidR="00307649">
        <w:t xml:space="preserve">  As discussed above, the requirements for the Australian </w:t>
      </w:r>
      <w:r w:rsidR="00B251A1">
        <w:t>Standard</w:t>
      </w:r>
      <w:r w:rsidR="00307649">
        <w:t xml:space="preserve"> AS1170.4 </w:t>
      </w:r>
      <w:r w:rsidR="00A4373B" w:rsidRPr="00A4373B">
        <w:fldChar w:fldCharType="begin"/>
      </w:r>
      <w:r w:rsidR="00F202D0">
        <w:instrText xml:space="preserve"> ADDIN EN.CITE &lt;EndNote&gt;&lt;Cite&gt;&lt;Author&gt;Standards Australia&lt;/Author&gt;&lt;Year&gt;2007&lt;/Year&gt;&lt;RecNum&gt;682&lt;/RecNum&gt;&lt;record&gt;&lt;rec-number&gt;682&lt;/rec-number&gt;&lt;foreign-keys&gt;&lt;key app="EN" db-id="se5z02d5txder3eax2p5wz5j59zvz2tdzdd2"&gt;682&lt;/key&gt;&lt;/foreign-keys&gt;&lt;ref-type name="Report"&gt;27&lt;/ref-type&gt;&lt;contributors&gt;&lt;authors&gt;&lt;author&gt;Standards Australia,&lt;/author&gt;&lt;/authors&gt;&lt;/contributors&gt;&lt;titles&gt;&lt;title&gt;Structural design actions, part 4: Earthquake actions in Australia&lt;/title&gt;&lt;/titles&gt;&lt;pages&gt;52&lt;/pages&gt;&lt;number&gt;AS 1170.4—2007&lt;/number&gt;&lt;dates&gt;&lt;year&gt;2007&lt;/year&gt;&lt;/dates&gt;&lt;publisher&gt;Standards Australia&lt;/publisher&gt;&lt;urls&gt;&lt;pdf-urls&gt;&lt;url&gt;internal-pdf://AS1170_4-2007 - Australian EQ Loading Standard-0108057903/AS1170_4-2007 - Australian EQ Loading Standard.pdf&lt;/url&gt;&lt;/pdf-urls&gt;&lt;/urls&gt;&lt;/record&gt;&lt;/Cite&gt;&lt;/EndNote&gt;</w:instrText>
      </w:r>
      <w:r w:rsidR="00A4373B" w:rsidRPr="00A4373B">
        <w:fldChar w:fldCharType="separate"/>
      </w:r>
      <w:r w:rsidR="00A4373B" w:rsidRPr="00A4373B">
        <w:t>(Standards Australia, 2007)</w:t>
      </w:r>
      <w:r w:rsidR="00A4373B" w:rsidRPr="00A4373B">
        <w:fldChar w:fldCharType="end"/>
      </w:r>
      <w:r w:rsidR="00307649">
        <w:t xml:space="preserve"> require earthquake hazard to be estimated on a</w:t>
      </w:r>
      <w:r w:rsidR="0002549F">
        <w:t xml:space="preserve"> B/C</w:t>
      </w:r>
      <w:r w:rsidR="00307649">
        <w:t xml:space="preserve"> </w:t>
      </w:r>
      <w:r w:rsidR="000A6F0C">
        <w:t xml:space="preserve">boundary reference </w:t>
      </w:r>
      <w:r w:rsidR="00307649">
        <w:t>site</w:t>
      </w:r>
      <w:r w:rsidR="0002549F">
        <w:t>, with site-specific amplification coefficients for design spectra being considered in the building code provisions</w:t>
      </w:r>
      <w:r w:rsidR="00307649">
        <w:t>.  Therefore, the</w:t>
      </w:r>
      <w:r w:rsidR="00B251A1">
        <w:t xml:space="preserve">re is no requirement </w:t>
      </w:r>
      <w:r w:rsidR="00307649">
        <w:t xml:space="preserve">to develop these amplification factors for use in the national hazard </w:t>
      </w:r>
      <w:r w:rsidR="000A6F0C">
        <w:t>model</w:t>
      </w:r>
      <w:r w:rsidR="00307649">
        <w:t>.  However, to make these GMPEs more broadly applicable, it is desirable to incorporate this functionality into the parametric form of the models.</w:t>
      </w:r>
      <w:r w:rsidR="00D53462">
        <w:t xml:space="preserve">  This will be the focus </w:t>
      </w:r>
      <w:r w:rsidR="00B251A1">
        <w:t>of</w:t>
      </w:r>
      <w:r w:rsidR="00D53462">
        <w:t xml:space="preserve"> future work.</w:t>
      </w:r>
    </w:p>
    <w:p w:rsidR="00933B72" w:rsidRDefault="00D53462" w:rsidP="00C409B2">
      <w:pPr>
        <w:pStyle w:val="BodyText"/>
      </w:pPr>
      <w:r>
        <w:t>Because there are very few ground-motion records for large earthquakes in stable continental regions, o</w:t>
      </w:r>
      <w:r w:rsidRPr="00D53462">
        <w:t xml:space="preserve">ne </w:t>
      </w:r>
      <w:r>
        <w:t>of the key uncertainties is how ground</w:t>
      </w:r>
      <w:r w:rsidR="00B251A1">
        <w:t>-</w:t>
      </w:r>
      <w:r>
        <w:t>motions scale from moderate</w:t>
      </w:r>
      <w:r w:rsidR="00CE1514">
        <w:t>-</w:t>
      </w:r>
      <w:r>
        <w:t>to</w:t>
      </w:r>
      <w:r w:rsidR="00CE1514">
        <w:t>-</w:t>
      </w:r>
      <w:r>
        <w:t>large magnitude earthquakes.</w:t>
      </w:r>
      <w:r w:rsidR="004A080A">
        <w:t xml:space="preserve">  Recently, some studies have suggested similarities between active crustal and stable continental ground motions for small-to-moderate magnitude earthquakes</w:t>
      </w:r>
      <w:r w:rsidR="00795BC4">
        <w:rPr>
          <w:noProof/>
        </w:rPr>
        <w:t xml:space="preserve"> at near sources and low frequencies</w:t>
      </w:r>
      <w:r w:rsidR="00A4373B">
        <w:rPr>
          <w:noProof/>
        </w:rPr>
        <w:t xml:space="preserve"> </w:t>
      </w:r>
      <w:r w:rsidR="00A4373B">
        <w:fldChar w:fldCharType="begin"/>
      </w:r>
      <w:r w:rsidR="00F202D0">
        <w:instrText xml:space="preserve"> ADDIN EN.CITE &lt;EndNote&gt;&lt;Cite&gt;&lt;Author&gt;Atkinson&lt;/Author&gt;&lt;Year&gt;2009&lt;/Year&gt;&lt;RecNum&gt;677&lt;/RecNum&gt;&lt;record&gt;&lt;rec-number&gt;677&lt;/rec-number&gt;&lt;foreign-keys&gt;&lt;key app="EN" db-id="se5z02d5txder3eax2p5wz5j59zvz2tdzdd2"&gt;677&lt;/key&gt;&lt;/foreign-keys&gt;&lt;ref-type name="Journal Article"&gt;17&lt;/ref-type&gt;&lt;contributors&gt;&lt;authors&gt;&lt;author&gt;Atkinson, G. M.&lt;/author&gt;&lt;author&gt;Morrison, M.&lt;/author&gt;&lt;/authors&gt;&lt;/contributors&gt;&lt;titles&gt;&lt;title&gt;Observations on regional variability in ground-motion amplitudes for small-to-moderate earthquakes in North America&lt;/title&gt;&lt;secondary-title&gt;Bull. Seism. Soc. Am.&lt;/secondary-title&gt;&lt;/titles&gt;&lt;periodical&gt;&lt;full-title&gt;Bull. Seism. Soc. Am.&lt;/full-title&gt;&lt;/periodical&gt;&lt;pages&gt;2393–2409&lt;/pages&gt;&lt;volume&gt;99&lt;/volume&gt;&lt;number&gt;4&lt;/number&gt;&lt;dates&gt;&lt;year&gt;2009&lt;/year&gt;&lt;/dates&gt;&lt;urls&gt;&lt;pdf-urls&gt;&lt;url&gt;internal-pdf://Atkinson &amp;amp; Morrison (2009).NA.regional.var-2879480099/Atkinson &amp;amp; Morrison (2009).NA.regional.var.pdf&lt;/url&gt;&lt;/pdf-urls&gt;&lt;/urls&gt;&lt;/record&gt;&lt;/Cite&gt;&lt;/EndNote&gt;</w:instrText>
      </w:r>
      <w:r w:rsidR="00A4373B">
        <w:fldChar w:fldCharType="separate"/>
      </w:r>
      <w:r w:rsidR="00A4373B">
        <w:t>(Atkinson and Morrison, 2009)</w:t>
      </w:r>
      <w:r w:rsidR="00A4373B">
        <w:fldChar w:fldCharType="end"/>
      </w:r>
      <w:r w:rsidR="004A080A" w:rsidRPr="00933B72">
        <w:rPr>
          <w:noProof/>
        </w:rPr>
        <w:t>.</w:t>
      </w:r>
      <w:r w:rsidR="00933B72" w:rsidRPr="00933B72">
        <w:rPr>
          <w:noProof/>
        </w:rPr>
        <w:t xml:space="preserve">  </w:t>
      </w:r>
      <w:r w:rsidR="00933B72" w:rsidRPr="00933B72">
        <w:t xml:space="preserve">If it can be shown that the similarities at small magnitudes persist to larger events, then active tectonic GMPEs may be </w:t>
      </w:r>
      <w:r w:rsidR="000A6F0C">
        <w:t xml:space="preserve">useful to guide the development of GMPEs </w:t>
      </w:r>
      <w:r w:rsidR="00933B72">
        <w:t>for use in</w:t>
      </w:r>
      <w:r w:rsidR="00933B72" w:rsidRPr="00933B72">
        <w:t xml:space="preserve"> stable continental regions</w:t>
      </w:r>
      <w:r w:rsidR="00933B72">
        <w:t xml:space="preserve">.  This </w:t>
      </w:r>
      <w:r w:rsidR="00B15AC0" w:rsidRPr="00933B72">
        <w:t xml:space="preserve">may </w:t>
      </w:r>
      <w:r w:rsidR="00933B72">
        <w:t xml:space="preserve">also </w:t>
      </w:r>
      <w:r w:rsidR="00B15AC0" w:rsidRPr="00933B72">
        <w:t>ne</w:t>
      </w:r>
      <w:smartTag w:uri="urn:schemas-microsoft-com:office:smarttags" w:element="PersonName">
        <w:r w:rsidR="00B15AC0" w:rsidRPr="00933B72">
          <w:t>ga</w:t>
        </w:r>
      </w:smartTag>
      <w:r w:rsidR="00B15AC0" w:rsidRPr="00933B72">
        <w:t xml:space="preserve">te the need to develop purely stochastic </w:t>
      </w:r>
      <w:r w:rsidR="00933B72">
        <w:t>GMPE</w:t>
      </w:r>
      <w:r w:rsidR="00B15AC0" w:rsidRPr="00933B72">
        <w:t xml:space="preserve">s as developed herein.  In contrast, we may simply rely on active tectonic data to define the near-source long-period </w:t>
      </w:r>
      <w:r w:rsidR="000A6F0C">
        <w:t>scaling</w:t>
      </w:r>
      <w:r w:rsidR="00B15AC0" w:rsidRPr="00933B72">
        <w:t>, with adjustments for short-period and long-distance effects, such as those adjustments used in GMPEs</w:t>
      </w:r>
      <w:r w:rsidR="004606E8">
        <w:t xml:space="preserve"> developed using the </w:t>
      </w:r>
      <w:r w:rsidR="004606E8" w:rsidRPr="00933B72">
        <w:t>Hybrid Empirical</w:t>
      </w:r>
      <w:r w:rsidR="004606E8">
        <w:t xml:space="preserve"> Method</w:t>
      </w:r>
      <w:r w:rsidR="00933B72">
        <w:t xml:space="preserve"> </w:t>
      </w:r>
      <w:r w:rsidR="00A4373B">
        <w:fldChar w:fldCharType="begin">
          <w:fldData xml:space="preserve">PEVuZE5vdGU+PENpdGU+PEF1dGhvcj5DYW1wYmVsbDwvQXV0aG9yPjxZZWFyPjIwMDM8L1llYXI+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</w:fldData>
        </w:fldChar>
      </w:r>
      <w:r w:rsidR="00F202D0">
        <w:instrText xml:space="preserve"> ADDIN EN.CITE </w:instrText>
      </w:r>
      <w:r w:rsidR="00F202D0">
        <w:fldChar w:fldCharType="begin">
          <w:fldData xml:space="preserve">PEVuZE5vdGU+PENpdGU+PEF1dGhvcj5DYW1wYmVsbDwvQXV0aG9yPjxZZWFyPjIwMDM8L1llYXI+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</w:fldData>
        </w:fldChar>
      </w:r>
      <w:r w:rsidR="00F202D0">
        <w:instrText xml:space="preserve"> ADDIN EN.CITE.DATA </w:instrText>
      </w:r>
      <w:r w:rsidR="00F202D0">
        <w:fldChar w:fldCharType="end"/>
      </w:r>
      <w:r w:rsidR="00A4373B">
        <w:fldChar w:fldCharType="separate"/>
      </w:r>
      <w:r w:rsidR="00A4373B">
        <w:t>(e.g., Campbell, 2003; Pezeshk</w:t>
      </w:r>
      <w:r w:rsidR="00A4373B" w:rsidRPr="00A4373B">
        <w:rPr>
          <w:i/>
        </w:rPr>
        <w:t xml:space="preserve"> et al.</w:t>
      </w:r>
      <w:r w:rsidR="00A4373B">
        <w:t>, 2011)</w:t>
      </w:r>
      <w:r w:rsidR="00A4373B">
        <w:fldChar w:fldCharType="end"/>
      </w:r>
      <w:r w:rsidR="00933B72">
        <w:t>.</w:t>
      </w:r>
    </w:p>
    <w:p w:rsidR="00933B72" w:rsidRDefault="00933B72" w:rsidP="00933B72">
      <w:pPr>
        <w:pStyle w:val="Heading1"/>
      </w:pPr>
      <w:r>
        <w:br w:type="page"/>
      </w:r>
      <w:bookmarkStart w:id="168" w:name="_Toc319918566"/>
      <w:bookmarkStart w:id="169" w:name="_Toc319918835"/>
      <w:bookmarkStart w:id="170" w:name="_Toc349112547"/>
      <w:r>
        <w:lastRenderedPageBreak/>
        <w:t>Conclusions</w:t>
      </w:r>
      <w:bookmarkEnd w:id="168"/>
      <w:bookmarkEnd w:id="169"/>
      <w:bookmarkEnd w:id="170"/>
    </w:p>
    <w:p w:rsidR="00394C28" w:rsidRDefault="00565F04" w:rsidP="00EE0369">
      <w:pPr>
        <w:pStyle w:val="BodyText"/>
      </w:pPr>
      <w:r>
        <w:t xml:space="preserve">Ground-motion prediction equations have been developed for earthquakes in southeastern </w:t>
      </w:r>
      <w:smartTag w:uri="urn:schemas-microsoft-com:office:smarttags" w:element="place">
        <w:smartTag w:uri="urn:schemas-microsoft-com:office:smarttags" w:element="country-region">
          <w:r>
            <w:t>Australia</w:t>
          </w:r>
        </w:smartTag>
      </w:smartTag>
      <w:r>
        <w:t xml:space="preserve"> using reinterpreted source and attenuation parameters for small-to-moderate </w:t>
      </w:r>
      <w:r w:rsidR="00B251A1">
        <w:t xml:space="preserve">magnitude </w:t>
      </w:r>
      <w:r>
        <w:t xml:space="preserve">local earthquakes and a dataset augmented with recent significant earthquakes.  A new </w:t>
      </w:r>
      <w:r w:rsidR="0054434E">
        <w:t xml:space="preserve">Australian-specific </w:t>
      </w:r>
      <w:r>
        <w:t>coda duratio</w:t>
      </w:r>
      <w:r w:rsidR="0054434E">
        <w:t>n model has also been developed, which is an important component of the random vibration process in the stochastic ground-motion theory.</w:t>
      </w:r>
      <w:r>
        <w:t xml:space="preserve">  The GMPEs are applicable for earthquakes from 4.0 </w:t>
      </w:r>
      <w:r>
        <w:sym w:font="Symbol" w:char="F0A3"/>
      </w:r>
      <w:r>
        <w:t xml:space="preserve"> </w:t>
      </w:r>
      <w:r w:rsidR="00172353" w:rsidRPr="00172353">
        <w:rPr>
          <w:rStyle w:val="Bodytextitalic"/>
        </w:rPr>
        <w:t>M</w:t>
      </w:r>
      <w:r w:rsidR="00172353" w:rsidRPr="00172353">
        <w:rPr>
          <w:rStyle w:val="Subscriptitalic"/>
        </w:rPr>
        <w:t>W</w:t>
      </w:r>
      <w:r w:rsidR="00172353">
        <w:t xml:space="preserve"> </w:t>
      </w:r>
      <w:r>
        <w:sym w:font="Symbol" w:char="F0A3"/>
      </w:r>
      <w:r>
        <w:t xml:space="preserve"> 7.5 and </w:t>
      </w:r>
      <w:r w:rsidR="00172353" w:rsidRPr="00332AA7">
        <w:rPr>
          <w:rStyle w:val="Bodytextitalic"/>
        </w:rPr>
        <w:t>R</w:t>
      </w:r>
      <w:r w:rsidR="00172353" w:rsidRPr="00172353">
        <w:rPr>
          <w:rStyle w:val="Subscriptitalic"/>
        </w:rPr>
        <w:t>rup</w:t>
      </w:r>
      <w:r w:rsidR="00172353">
        <w:rPr>
          <w:lang w:val="en-US"/>
        </w:rPr>
        <w:t xml:space="preserve"> </w:t>
      </w:r>
      <w:r>
        <w:t>distances less than 400 km.</w:t>
      </w:r>
      <w:r w:rsidR="00394C28">
        <w:t xml:space="preserve">  </w:t>
      </w:r>
      <w:r w:rsidR="00D65A96">
        <w:t>The GMPEs are compared to moderate-magnitude earthquake data recorded from southeastern Australian earthquakes.  The models indicate low residuals across the full magnitude and distance range considered.</w:t>
      </w:r>
    </w:p>
    <w:p w:rsidR="00B15AC0" w:rsidRDefault="00394C28" w:rsidP="00EE0369">
      <w:pPr>
        <w:pStyle w:val="BodyText"/>
      </w:pPr>
      <w:r>
        <w:t>Th</w:t>
      </w:r>
      <w:r w:rsidR="00B251A1">
        <w:t>r</w:t>
      </w:r>
      <w:r>
        <w:t>ough the empirical analysis of earthquake source parameters for southeaste</w:t>
      </w:r>
      <w:r w:rsidR="003B3096">
        <w:t>r</w:t>
      </w:r>
      <w:r>
        <w:t>n Australian earthquakes, it was observed that high-quality Brune stress drops</w:t>
      </w:r>
      <w:r w:rsidR="00950C4A">
        <w:t xml:space="preserve"> tend</w:t>
      </w:r>
      <w:r>
        <w:t xml:space="preserve"> to vary with hypocentral depth.  </w:t>
      </w:r>
      <w:r w:rsidR="00DF4780">
        <w:t>A</w:t>
      </w:r>
      <w:r w:rsidR="00950C4A">
        <w:t>verage Brune stress drop for shallow earthquakes (</w:t>
      </w:r>
      <w:r w:rsidR="00950C4A" w:rsidRPr="00332AA7">
        <w:rPr>
          <w:rStyle w:val="Bodytextitalic"/>
        </w:rPr>
        <w:t xml:space="preserve">h </w:t>
      </w:r>
      <w:r w:rsidR="00950C4A">
        <w:t>&lt; 10 km) is approximately 23 MPa, while deeper earthquakes (</w:t>
      </w:r>
      <w:r w:rsidR="00950C4A" w:rsidRPr="00332AA7">
        <w:rPr>
          <w:rStyle w:val="Bodytextitalic"/>
        </w:rPr>
        <w:t>h</w:t>
      </w:r>
      <w:r w:rsidR="00950C4A">
        <w:t xml:space="preserve"> </w:t>
      </w:r>
      <w:r w:rsidR="00950C4A">
        <w:sym w:font="Symbol" w:char="F0B3"/>
      </w:r>
      <w:r w:rsidR="00950C4A">
        <w:t xml:space="preserve"> 10 km) have </w:t>
      </w:r>
      <w:r w:rsidR="00B251A1">
        <w:t xml:space="preserve">an </w:t>
      </w:r>
      <w:r w:rsidR="00950C4A">
        <w:t xml:space="preserve">average stress drop of </w:t>
      </w:r>
      <w:r w:rsidR="00445C20">
        <w:t>50 </w:t>
      </w:r>
      <w:r w:rsidR="00950C4A">
        <w:t xml:space="preserve">MPa.  While these stress drops may appear larger than those generally </w:t>
      </w:r>
      <w:r w:rsidR="00AA50E2">
        <w:t>considered appropriate for intraplate regions</w:t>
      </w:r>
      <w:r w:rsidR="00950C4A">
        <w:t xml:space="preserve">, they are consistent with recent values determined in ENA </w:t>
      </w:r>
      <w:r w:rsidR="008D7407">
        <w:fldChar w:fldCharType="begin"/>
      </w:r>
      <w:r w:rsidR="00F202D0">
        <w:instrText xml:space="preserve"> ADDIN EN.CITE &lt;EndNote&gt;&lt;Cite&gt;&lt;Author&gt;Boore&lt;/Author&gt;&lt;Year&gt;2012&lt;/Year&gt;&lt;RecNum&gt;1150&lt;/RecNum&gt;&lt;Prefix&gt;e.g., &lt;/Prefix&gt;&lt;record&gt;&lt;rec-number&gt;1150&lt;/rec-number&gt;&lt;foreign-keys&gt;&lt;key app="EN" db-id="se5z02d5txder3eax2p5wz5j59zvz2tdzdd2"&gt;1150&lt;/key&gt;&lt;/foreign-keys&gt;&lt;ref-type name="Journal Article"&gt;17&lt;/ref-type&gt;&lt;contributors&gt;&lt;authors&gt;&lt;author&gt;Boore, D. M.&lt;/author&gt;&lt;/authors&gt;&lt;/contributors&gt;&lt;titles&gt;&lt;title&gt;Updated determination of stress parameters for nine well-recorded earthquakes in eastern North America&lt;/title&gt;&lt;secondary-title&gt;Seism. Res. Lett.&lt;/secondary-title&gt;&lt;/titles&gt;&lt;periodical&gt;&lt;full-title&gt;Seism. Res. Lett.&lt;/full-title&gt;&lt;/periodical&gt;&lt;pages&gt;190-199&lt;/pages&gt;&lt;volume&gt;83&lt;/volume&gt;&lt;number&gt;1&lt;/number&gt;&lt;keywords&gt;&lt;keyword&gt;stress drop, attenuation, ENA&lt;/keyword&gt;&lt;/keywords&gt;&lt;dates&gt;&lt;year&gt;2012&lt;/year&gt;&lt;/dates&gt;&lt;urls&gt;&lt;pdf-urls&gt;&lt;url&gt;internal-pdf://Boore (2012).ENA.stress_parameters-1590049541/Boore (2012).ENA.stress_parameters.pdf&lt;/url&gt;&lt;/pdf-urls&gt;&lt;/urls&gt;&lt;electronic-resource-num&gt;doi: 10.1785/gssrl.83.1.190&lt;/electronic-resource-num&gt;&lt;/record&gt;&lt;/Cite&gt;&lt;/EndNote&gt;</w:instrText>
      </w:r>
      <w:r w:rsidR="008D7407">
        <w:fldChar w:fldCharType="separate"/>
      </w:r>
      <w:r w:rsidR="008D7407">
        <w:t>(e.g., Boore, 2012)</w:t>
      </w:r>
      <w:r w:rsidR="008D7407">
        <w:fldChar w:fldCharType="end"/>
      </w:r>
      <w:r w:rsidR="003B5400">
        <w:t>, and the values</w:t>
      </w:r>
      <w:r w:rsidR="00950C4A">
        <w:t xml:space="preserve"> are internally consistent with the </w:t>
      </w:r>
      <w:r w:rsidR="0056652E">
        <w:t>path attenuation parameters derived in the present study</w:t>
      </w:r>
      <w:r w:rsidR="0056652E" w:rsidRPr="00445C20">
        <w:t>.</w:t>
      </w:r>
      <w:r w:rsidR="00950C4A" w:rsidRPr="00445C20">
        <w:t xml:space="preserve"> </w:t>
      </w:r>
      <w:r w:rsidRPr="00445C20">
        <w:t>A significant distinction between the GMPE herein, and other published GMPEs for stable continental regions</w:t>
      </w:r>
      <w:r w:rsidR="006577C1">
        <w:t>,</w:t>
      </w:r>
      <w:r w:rsidRPr="00445C20">
        <w:t xml:space="preserve"> is that the </w:t>
      </w:r>
      <w:r w:rsidR="00950C4A" w:rsidRPr="00445C20">
        <w:t xml:space="preserve">GMPE allows for a depth-dependent stress drop. </w:t>
      </w:r>
      <w:r w:rsidR="00910C0A" w:rsidRPr="00445C20">
        <w:t xml:space="preserve"> The primary benefit is that the two models allow for different spectral shapes</w:t>
      </w:r>
      <w:r w:rsidR="00E806BC">
        <w:t xml:space="preserve"> for shallow and deep earthquakes</w:t>
      </w:r>
      <w:r w:rsidR="00910C0A" w:rsidRPr="00445C20">
        <w:t>, particularly at high frequencies</w:t>
      </w:r>
      <w:r w:rsidR="00E806BC">
        <w:t xml:space="preserve"> (Figs. 17-19).  Differences in spectral shapes for shallow and deep earthquakes are </w:t>
      </w:r>
      <w:r w:rsidR="00AA50E2" w:rsidRPr="00445C20">
        <w:t xml:space="preserve">observed </w:t>
      </w:r>
      <w:r w:rsidR="00BD217A" w:rsidRPr="00445C20">
        <w:t xml:space="preserve">empirically </w:t>
      </w:r>
      <w:r w:rsidR="00E806BC">
        <w:t>(Fig.11)</w:t>
      </w:r>
      <w:r w:rsidR="00910C0A" w:rsidRPr="00445C20">
        <w:t>.</w:t>
      </w:r>
    </w:p>
    <w:p w:rsidR="0039475E" w:rsidRDefault="00BD418B" w:rsidP="00EE0369">
      <w:pPr>
        <w:pStyle w:val="BodyText"/>
      </w:pPr>
      <w:r>
        <w:rPr>
          <w:lang w:val="en-US"/>
        </w:rPr>
        <w:t xml:space="preserve">Finally, a correlation between measured </w:t>
      </w:r>
      <w:r w:rsidR="00172353" w:rsidRPr="00332AA7">
        <w:rPr>
          <w:rStyle w:val="Bodytextitalic"/>
        </w:rPr>
        <w:t>V</w:t>
      </w:r>
      <w:r w:rsidR="00172353" w:rsidRPr="00172353">
        <w:rPr>
          <w:rStyle w:val="Subscriptitalic"/>
        </w:rPr>
        <w:t>S30</w:t>
      </w:r>
      <w:r w:rsidR="00172353">
        <w:t xml:space="preserve"> </w:t>
      </w:r>
      <w:r>
        <w:t xml:space="preserve">and </w:t>
      </w:r>
      <w:r w:rsidRPr="00332AA7">
        <w:rPr>
          <w:rStyle w:val="Bodytextitalic"/>
        </w:rPr>
        <w:t>κ</w:t>
      </w:r>
      <w:r w:rsidRPr="00632C3C">
        <w:rPr>
          <w:vertAlign w:val="subscript"/>
        </w:rPr>
        <w:t>0</w:t>
      </w:r>
      <w:r>
        <w:t xml:space="preserve"> was developed from the limited data available.  While the correlation would be considered poor</w:t>
      </w:r>
      <w:r w:rsidR="006577C1">
        <w:t>ly constrained</w:t>
      </w:r>
      <w:r>
        <w:t xml:space="preserve">, a </w:t>
      </w:r>
      <w:r w:rsidRPr="00332AA7">
        <w:rPr>
          <w:rStyle w:val="Bodytextitalic"/>
        </w:rPr>
        <w:t>p</w:t>
      </w:r>
      <w:r w:rsidRPr="00332AA7">
        <w:rPr>
          <w:rStyle w:val="Bodytextitalic"/>
        </w:rPr>
        <w:softHyphen/>
        <w:t>-</w:t>
      </w:r>
      <w:r>
        <w:t>test indicated that the correlation is s</w:t>
      </w:r>
      <w:r w:rsidR="003F56F1">
        <w:t>tatistically s</w:t>
      </w:r>
      <w:r>
        <w:t xml:space="preserve">ignificant.  </w:t>
      </w:r>
      <w:r w:rsidR="0039475E">
        <w:rPr>
          <w:lang w:val="en-US"/>
        </w:rPr>
        <w:t xml:space="preserve">Assuming the correlation holds, a </w:t>
      </w:r>
      <w:r w:rsidR="00172353" w:rsidRPr="00332AA7">
        <w:rPr>
          <w:rStyle w:val="Bodytextitalic"/>
        </w:rPr>
        <w:t>V</w:t>
      </w:r>
      <w:r w:rsidR="00172353" w:rsidRPr="00172353">
        <w:rPr>
          <w:rStyle w:val="Subscriptitalic"/>
        </w:rPr>
        <w:t>S30</w:t>
      </w:r>
      <w:r w:rsidR="00172353">
        <w:t xml:space="preserve"> </w:t>
      </w:r>
      <w:r w:rsidR="0039475E">
        <w:t xml:space="preserve">of approximately 820 m/s is obtained </w:t>
      </w:r>
      <w:r w:rsidR="003F56F1">
        <w:t xml:space="preserve">at </w:t>
      </w:r>
      <w:r w:rsidR="0039475E">
        <w:t xml:space="preserve">a </w:t>
      </w:r>
      <w:r w:rsidR="0039475E" w:rsidRPr="00332AA7">
        <w:rPr>
          <w:rStyle w:val="Bodytextitalic"/>
        </w:rPr>
        <w:t>κ</w:t>
      </w:r>
      <w:r w:rsidR="0039475E" w:rsidRPr="00632C3C">
        <w:rPr>
          <w:vertAlign w:val="subscript"/>
        </w:rPr>
        <w:t>0</w:t>
      </w:r>
      <w:r w:rsidR="0039475E">
        <w:t xml:space="preserve"> of 0.006 sec</w:t>
      </w:r>
      <w:r w:rsidR="001111BF">
        <w:t xml:space="preserve"> based on the regression procedure used herein</w:t>
      </w:r>
      <w:r w:rsidR="0039475E">
        <w:t xml:space="preserve">.  Consequently, the GMPE presented herein can be </w:t>
      </w:r>
      <w:r w:rsidR="003F56F1">
        <w:t>considered</w:t>
      </w:r>
      <w:r w:rsidR="0039475E">
        <w:t xml:space="preserve"> appropriate for </w:t>
      </w:r>
      <w:r w:rsidR="006577C1">
        <w:t xml:space="preserve">Australian </w:t>
      </w:r>
      <w:r w:rsidR="007D4586">
        <w:t xml:space="preserve">B/C </w:t>
      </w:r>
      <w:r w:rsidR="00AA50E2">
        <w:t xml:space="preserve">boundary </w:t>
      </w:r>
      <w:r w:rsidR="0039475E">
        <w:t>rock</w:t>
      </w:r>
      <w:r w:rsidR="007D4586">
        <w:t xml:space="preserve"> sites</w:t>
      </w:r>
      <w:r w:rsidR="0039475E">
        <w:t xml:space="preserve"> </w:t>
      </w:r>
      <w:r w:rsidR="007D4586">
        <w:t>u</w:t>
      </w:r>
      <w:r w:rsidR="003F56F1">
        <w:t xml:space="preserve">nder </w:t>
      </w:r>
      <w:r w:rsidR="006E35F4">
        <w:t>the</w:t>
      </w:r>
      <w:r w:rsidR="003F56F1">
        <w:t xml:space="preserve"> modified NEHRP (Wills et al., 2000) </w:t>
      </w:r>
      <w:r w:rsidR="0039475E">
        <w:t>site classification scheme.</w:t>
      </w:r>
    </w:p>
    <w:p w:rsidR="008D7407" w:rsidRDefault="00BD418B" w:rsidP="00332AA7">
      <w:pPr>
        <w:pStyle w:val="BodyText"/>
      </w:pPr>
      <w:r>
        <w:t>The analysis and models presented here represent a significant advance in Australian ground-motion attenuation modelling.</w:t>
      </w:r>
      <w:r w:rsidR="00F63FFC">
        <w:t xml:space="preserve">  While the models could be enhanced further, in their present form the</w:t>
      </w:r>
      <w:r w:rsidR="003F56F1">
        <w:t>y</w:t>
      </w:r>
      <w:r w:rsidR="00F63FFC">
        <w:t xml:space="preserve"> are consistent with the requirements of the Australian Standards and should not require any further adjustments for use in</w:t>
      </w:r>
      <w:r w:rsidR="000F05C7">
        <w:t xml:space="preserve"> the</w:t>
      </w:r>
      <w:r w:rsidR="00F63FFC">
        <w:t xml:space="preserve"> </w:t>
      </w:r>
      <w:r w:rsidR="003F56F1">
        <w:t xml:space="preserve">revision of the Australian earthquake </w:t>
      </w:r>
      <w:r w:rsidR="00F63FFC">
        <w:t xml:space="preserve">hazard map </w:t>
      </w:r>
      <w:r w:rsidR="008D7407">
        <w:fldChar w:fldCharType="begin"/>
      </w:r>
      <w:r w:rsidR="00F202D0">
        <w:instrText xml:space="preserve"> ADDIN EN.CITE &lt;EndNote&gt;&lt;Cite&gt;&lt;Author&gt;Burbidge&lt;/Author&gt;&lt;Year&gt;2011&lt;/Year&gt;&lt;RecNum&gt;1030&lt;/RecNum&gt;&lt;record&gt;&lt;rec-number&gt;1030&lt;/rec-number&gt;&lt;foreign-keys&gt;&lt;key app="EN" db-id="se5z02d5txder3eax2p5wz5j59zvz2tdzdd2"&gt;1030&lt;/key&gt;&lt;/foreign-keys&gt;&lt;ref-type name="Conference Proceedings"&gt;10&lt;/ref-type&gt;&lt;contributors&gt;&lt;authors&gt;&lt;author&gt;Burbidge, D.&lt;/author&gt;&lt;author&gt;Leonard, M.&lt;/author&gt;&lt;/authors&gt;&lt;/contributors&gt;&lt;titles&gt;&lt;title&gt;The 2012 Australian Seismic Hazard Map – draft maps&lt;/title&gt;&lt;secondary-title&gt;Proceedings of the 2011 Australian Earthquake Engineering Society Conference&lt;/secondary-title&gt;&lt;/titles&gt;&lt;dates&gt;&lt;year&gt;2011&lt;/year&gt;&lt;/dates&gt;&lt;pub-location&gt;Barossa Valley, South Australia&lt;/pub-location&gt;&lt;publisher&gt;Australian Earthquake Engineering Society&lt;/publisher&gt;&lt;urls&gt;&lt;pdf-urls&gt;&lt;url&gt;internal-pdf://AEES_papers_IV_Burbidge_revised_v2-0818196229/AEES_papers_IV_Burbidge_revised_v2.pdf&lt;/url&gt;&lt;/pdf-urls&gt;&lt;/urls&gt;&lt;/record&gt;&lt;/Cite&gt;&lt;Cite&gt;&lt;Author&gt;Burbidge&lt;/Author&gt;&lt;Year&gt;2012&lt;/Year&gt;&lt;RecNum&gt;1224&lt;/RecNum&gt;&lt;record&gt;&lt;rec-number&gt;1224&lt;/rec-number&gt;&lt;foreign-keys&gt;&lt;key app="EN" db-id="se5z02d5txder3eax2p5wz5j59zvz2tdzdd2"&gt;1224&lt;/key&gt;&lt;/foreign-keys&gt;&lt;ref-type name="Edited Book"&gt;28&lt;/ref-type&gt;&lt;contributors&gt;&lt;authors&gt;&lt;author&gt;Burbidge, D. R.&lt;/author&gt;&lt;/authors&gt;&lt;/contributors&gt;&lt;titles&gt;&lt;title&gt;The 2012 Australian Earthquake Hazard Map&lt;/title&gt;&lt;/titles&gt;&lt;dates&gt;&lt;year&gt;2012&lt;/year&gt;&lt;/dates&gt;&lt;publisher&gt;Geoscience Australia, Record 2012/XX&lt;/publisher&gt;&lt;urls&gt;&lt;/urls&gt;&lt;/record&gt;&lt;/Cite&gt;&lt;/EndNote&gt;</w:instrText>
      </w:r>
      <w:r w:rsidR="008D7407">
        <w:fldChar w:fldCharType="separate"/>
      </w:r>
      <w:r w:rsidR="00F202D0">
        <w:t>(Burbidge and Leonard, 2011; Burbidge, 2012)</w:t>
      </w:r>
      <w:r w:rsidR="008D7407">
        <w:fldChar w:fldCharType="end"/>
      </w:r>
      <w:r w:rsidR="00F63FFC">
        <w:t>.</w:t>
      </w:r>
      <w:bookmarkStart w:id="171" w:name="_Toc319656523"/>
      <w:bookmarkStart w:id="172" w:name="_Toc319656612"/>
      <w:bookmarkStart w:id="173" w:name="_Toc319918567"/>
      <w:bookmarkStart w:id="174" w:name="_Toc319918836"/>
      <w:r w:rsidR="00DF4780">
        <w:t xml:space="preserve">  Furthermore, the models presented herein can also be used to provide more realistic hazard inputs to Australian earthquake risk assessments, as well as for use in rapid decision support tools for future earthquake events </w:t>
      </w:r>
      <w:r w:rsidR="00DF4780">
        <w:fldChar w:fldCharType="begin">
          <w:fldData xml:space="preserve">PEVuZE5vdGU+PENpdGU+PEF1dGhvcj5XYWxkPC9BdXRob3I+PFllYXI+MTk5OTwvWWVhcj48UmVj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</w:fldData>
        </w:fldChar>
      </w:r>
      <w:r w:rsidR="00F202D0">
        <w:instrText xml:space="preserve"> ADDIN EN.CITE </w:instrText>
      </w:r>
      <w:r w:rsidR="00F202D0">
        <w:fldChar w:fldCharType="begin">
          <w:fldData xml:space="preserve">PEVuZE5vdGU+PENpdGU+PEF1dGhvcj5XYWxkPC9BdXRob3I+PFllYXI+MTk5OTwvWWVhcj48UmVj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</w:fldData>
        </w:fldChar>
      </w:r>
      <w:r w:rsidR="00F202D0">
        <w:instrText xml:space="preserve"> ADDIN EN.CITE.DATA </w:instrText>
      </w:r>
      <w:r w:rsidR="00F202D0">
        <w:fldChar w:fldCharType="end"/>
      </w:r>
      <w:r w:rsidR="00DF4780">
        <w:fldChar w:fldCharType="separate"/>
      </w:r>
      <w:r w:rsidR="00DF4780">
        <w:t>(e.g., Wald</w:t>
      </w:r>
      <w:r w:rsidR="00DF4780" w:rsidRPr="00DF4780">
        <w:rPr>
          <w:i/>
        </w:rPr>
        <w:t xml:space="preserve"> et al.</w:t>
      </w:r>
      <w:r w:rsidR="00DF4780">
        <w:t>, 1999; Earle</w:t>
      </w:r>
      <w:r w:rsidR="00DF4780" w:rsidRPr="00DF4780">
        <w:rPr>
          <w:i/>
        </w:rPr>
        <w:t xml:space="preserve"> et al.</w:t>
      </w:r>
      <w:r w:rsidR="00DF4780">
        <w:t>, 2009)</w:t>
      </w:r>
      <w:r w:rsidR="00DF4780">
        <w:fldChar w:fldCharType="end"/>
      </w:r>
    </w:p>
    <w:p w:rsidR="00B15AC0" w:rsidRDefault="008D7407" w:rsidP="008D7407">
      <w:pPr>
        <w:pStyle w:val="Heading1"/>
      </w:pPr>
      <w:r>
        <w:br w:type="page"/>
      </w:r>
      <w:bookmarkStart w:id="175" w:name="_Toc349112548"/>
      <w:r w:rsidR="00B15AC0">
        <w:lastRenderedPageBreak/>
        <w:t>Data and Resources</w:t>
      </w:r>
      <w:bookmarkEnd w:id="171"/>
      <w:bookmarkEnd w:id="172"/>
      <w:bookmarkEnd w:id="173"/>
      <w:bookmarkEnd w:id="174"/>
      <w:bookmarkEnd w:id="175"/>
    </w:p>
    <w:p w:rsidR="00B15AC0" w:rsidRDefault="00B15AC0" w:rsidP="00C409B2">
      <w:pPr>
        <w:pStyle w:val="BodyText"/>
        <w:rPr>
          <w:lang w:val="en-US"/>
        </w:rPr>
      </w:pPr>
      <w:r>
        <w:rPr>
          <w:lang w:val="en-US"/>
        </w:rPr>
        <w:t xml:space="preserve">Figure 2 was generated using Generic Mapping Tools </w:t>
      </w:r>
      <w:r>
        <w:rPr>
          <w:lang w:val="en-US"/>
        </w:rPr>
        <w:fldChar w:fldCharType="begin"/>
      </w:r>
      <w:r w:rsidR="00F202D0">
        <w:rPr>
          <w:lang w:val="en-US"/>
        </w:rPr>
        <w:instrText xml:space="preserve"> ADDIN EN.CITE &lt;EndNote&gt;&lt;Cite&gt;&lt;Author&gt;Wessel&lt;/Author&gt;&lt;Year&gt;1991&lt;/Year&gt;&lt;RecNum&gt;46&lt;/RecNum&gt;&lt;record&gt;&lt;rec-number&gt;46&lt;/rec-number&gt;&lt;foreign-keys&gt;&lt;key app="EN" db-id="se5z02d5txder3eax2p5wz5j59zvz2tdzdd2"&gt;46&lt;/key&gt;&lt;/foreign-keys&gt;&lt;ref-type name="Journal Article"&gt;17&lt;/ref-type&gt;&lt;contributors&gt;&lt;authors&gt;&lt;author&gt;Wessel, P.&lt;/author&gt;&lt;author&gt;Smith, W. H. F.&lt;/author&gt;&lt;/authors&gt;&lt;/contributors&gt;&lt;titles&gt;&lt;title&gt;Free software helps map and display data&lt;/title&gt;&lt;secondary-title&gt;Eos Trans.&lt;/secondary-title&gt;&lt;/titles&gt;&lt;periodical&gt;&lt;full-title&gt;EOS Trans.&lt;/full-title&gt;&lt;/periodical&gt;&lt;pages&gt;441&lt;/pages&gt;&lt;volume&gt;72&lt;/volume&gt;&lt;number&gt;41&lt;/number&gt;&lt;dates&gt;&lt;year&gt;1991&lt;/year&gt;&lt;/dates&gt;&lt;urls&gt;&lt;/urls&gt;&lt;/record&gt;&lt;/Cite&gt;&lt;/EndNote&gt;</w:instrText>
      </w:r>
      <w:r>
        <w:rPr>
          <w:lang w:val="en-US"/>
        </w:rPr>
        <w:fldChar w:fldCharType="separate"/>
      </w:r>
      <w:r>
        <w:rPr>
          <w:noProof/>
          <w:lang w:val="en-US"/>
        </w:rPr>
        <w:t>(Wessel and Smith, 1991)</w:t>
      </w:r>
      <w:r>
        <w:rPr>
          <w:lang w:val="en-US"/>
        </w:rPr>
        <w:fldChar w:fldCharType="end"/>
      </w:r>
      <w:r>
        <w:rPr>
          <w:lang w:val="en-US"/>
        </w:rPr>
        <w:t>.  The backdrop uses the General Bathymetric Chart of the Oceans bathymetry and topography dataset (</w:t>
      </w:r>
      <w:hyperlink r:id="rId87" w:history="1">
        <w:r w:rsidRPr="003A4797">
          <w:rPr>
            <w:lang w:val="en-US"/>
          </w:rPr>
          <w:t>http://www.gebco.net/data_and_products/gridded_bathymetry_data/</w:t>
        </w:r>
      </w:hyperlink>
      <w:r>
        <w:rPr>
          <w:lang w:val="en-US"/>
        </w:rPr>
        <w:t>).</w:t>
      </w:r>
      <w:r w:rsidR="00DF4780">
        <w:rPr>
          <w:lang w:val="en-US"/>
        </w:rPr>
        <w:t xml:space="preserve">  All Matlab modules used in the derivation of attenuation and source parameters, as well as some sample ground-motion data as used by the author</w:t>
      </w:r>
      <w:r w:rsidR="000F05C7">
        <w:rPr>
          <w:lang w:val="en-US"/>
        </w:rPr>
        <w:t>,</w:t>
      </w:r>
      <w:r w:rsidR="00DF4780">
        <w:rPr>
          <w:lang w:val="en-US"/>
        </w:rPr>
        <w:t xml:space="preserve"> can be made available upon request.</w:t>
      </w:r>
    </w:p>
    <w:p w:rsidR="00B15AC0" w:rsidRDefault="00050122" w:rsidP="005C7510">
      <w:pPr>
        <w:pStyle w:val="Heading1"/>
      </w:pPr>
      <w:bookmarkStart w:id="176" w:name="_Toc319918568"/>
      <w:bookmarkStart w:id="177" w:name="_Toc319918837"/>
      <w:bookmarkStart w:id="178" w:name="_Toc349112549"/>
      <w:r>
        <w:t>Acknowledgments</w:t>
      </w:r>
      <w:bookmarkEnd w:id="176"/>
      <w:bookmarkEnd w:id="177"/>
      <w:bookmarkEnd w:id="178"/>
    </w:p>
    <w:p w:rsidR="00C409B2" w:rsidRPr="00885A94" w:rsidRDefault="00924227" w:rsidP="007E7A05">
      <w:pPr>
        <w:pStyle w:val="BodyText"/>
        <w:rPr>
          <w:lang w:val="en-US"/>
        </w:rPr>
      </w:pPr>
      <w:r>
        <w:t>Ken Campbell</w:t>
      </w:r>
      <w:r w:rsidR="00BA37C4">
        <w:t>,</w:t>
      </w:r>
      <w:r>
        <w:t xml:space="preserve"> </w:t>
      </w:r>
      <w:r w:rsidR="00DC313D">
        <w:t xml:space="preserve">Paul Somerville, David Burbidge and </w:t>
      </w:r>
      <w:r w:rsidR="00BA37C4">
        <w:t xml:space="preserve">Andrew McPherson </w:t>
      </w:r>
      <w:r>
        <w:t>are thanked for providing constructive</w:t>
      </w:r>
      <w:r w:rsidR="007E7A05">
        <w:t xml:space="preserve"> </w:t>
      </w:r>
      <w:r w:rsidR="00BA37C4">
        <w:t xml:space="preserve">technical </w:t>
      </w:r>
      <w:r w:rsidR="007E7A05">
        <w:t>reviews</w:t>
      </w:r>
      <w:r>
        <w:t xml:space="preserve"> </w:t>
      </w:r>
      <w:r w:rsidR="007E7A05">
        <w:t xml:space="preserve">and </w:t>
      </w:r>
      <w:r w:rsidR="007E7A05" w:rsidRPr="007E7A05">
        <w:t>thoughtful</w:t>
      </w:r>
      <w:r w:rsidR="007E7A05">
        <w:t xml:space="preserve"> </w:t>
      </w:r>
      <w:r w:rsidR="007E7A05" w:rsidRPr="007E7A05">
        <w:t xml:space="preserve">suggestions that led to </w:t>
      </w:r>
      <w:r w:rsidR="00B14E29">
        <w:t xml:space="preserve">significant </w:t>
      </w:r>
      <w:r w:rsidR="007E7A05" w:rsidRPr="007E7A05">
        <w:t>improvements in the manuscript</w:t>
      </w:r>
      <w:r>
        <w:t xml:space="preserve">.  </w:t>
      </w:r>
      <w:r w:rsidR="00A508AD">
        <w:t xml:space="preserve">David Boore and Gail Atkinson are thanked for discussions on the use and misuse of the EXSIM and SMSIM software packages.  </w:t>
      </w:r>
      <w:r w:rsidR="00B15AC0">
        <w:t xml:space="preserve">We </w:t>
      </w:r>
      <w:r>
        <w:t xml:space="preserve">also </w:t>
      </w:r>
      <w:r w:rsidR="00B15AC0">
        <w:t xml:space="preserve">acknowledge the </w:t>
      </w:r>
      <w:r w:rsidR="00B15AC0" w:rsidRPr="00C52DD9">
        <w:t xml:space="preserve">generous contribution of ground-motion data </w:t>
      </w:r>
      <w:r w:rsidR="00B15AC0">
        <w:t xml:space="preserve">from </w:t>
      </w:r>
      <w:r w:rsidR="00B15AC0" w:rsidRPr="00C52DD9">
        <w:t>Australian National Committee on Large Dams</w:t>
      </w:r>
      <w:r w:rsidR="00B15AC0">
        <w:t xml:space="preserve"> </w:t>
      </w:r>
      <w:r w:rsidR="00B15AC0" w:rsidRPr="00C52DD9">
        <w:t>(ANCOLD) members</w:t>
      </w:r>
      <w:r w:rsidR="009803C2">
        <w:t xml:space="preserve">.  </w:t>
      </w:r>
      <w:r w:rsidR="009803C2" w:rsidRPr="009803C2">
        <w:t>We particularly acknowledge the efforts of Wayne Peck and Gary Gibson of E</w:t>
      </w:r>
      <w:r w:rsidR="009803C2">
        <w:t>nvironmental Systems and Services</w:t>
      </w:r>
      <w:r w:rsidR="009803C2" w:rsidRPr="009803C2">
        <w:t xml:space="preserve"> to </w:t>
      </w:r>
      <w:smartTag w:uri="urn:schemas-microsoft-com:office:smarttags" w:element="PersonName">
        <w:r w:rsidR="009803C2" w:rsidRPr="009803C2">
          <w:t>ga</w:t>
        </w:r>
      </w:smartTag>
      <w:r w:rsidR="009803C2" w:rsidRPr="009803C2">
        <w:t>in</w:t>
      </w:r>
      <w:r w:rsidR="009803C2">
        <w:t xml:space="preserve"> </w:t>
      </w:r>
      <w:r w:rsidR="009803C2" w:rsidRPr="009803C2">
        <w:t xml:space="preserve">support from </w:t>
      </w:r>
      <w:r>
        <w:t>ANCOLD members</w:t>
      </w:r>
      <w:r w:rsidR="009803C2">
        <w:t xml:space="preserve"> and provide the original ground-motion data from which the bulk of the empirical analysis was performed</w:t>
      </w:r>
      <w:r w:rsidR="009803C2" w:rsidRPr="009803C2">
        <w:t>.</w:t>
      </w:r>
      <w:r>
        <w:t xml:space="preserve">  </w:t>
      </w:r>
      <w:r w:rsidR="00C409B2">
        <w:t xml:space="preserve">Matt Knafl and Li Yue </w:t>
      </w:r>
      <w:r w:rsidR="00525FA5">
        <w:t xml:space="preserve">are thanked </w:t>
      </w:r>
      <w:r w:rsidR="008A45C7">
        <w:t xml:space="preserve">for archiving high-sample rate data from Geoscience </w:t>
      </w:r>
      <w:smartTag w:uri="urn:schemas-microsoft-com:office:smarttags" w:element="place">
        <w:smartTag w:uri="urn:schemas-microsoft-com:office:smarttags" w:element="country-region">
          <w:r w:rsidR="008A45C7">
            <w:t>Australia</w:t>
          </w:r>
        </w:smartTag>
      </w:smartTag>
      <w:r w:rsidR="008A45C7">
        <w:t>’s Australian National Seismic Network from the 2011 Bowen, QLD earthquake.</w:t>
      </w:r>
      <w:r w:rsidR="003F56F1">
        <w:t xml:space="preserve"> </w:t>
      </w:r>
    </w:p>
    <w:p w:rsidR="00B15AC0" w:rsidRDefault="00D22BFD" w:rsidP="005C7510">
      <w:pPr>
        <w:pStyle w:val="Heading1"/>
      </w:pPr>
      <w:bookmarkStart w:id="179" w:name="_Toc319656525"/>
      <w:bookmarkStart w:id="180" w:name="_Toc319656614"/>
      <w:bookmarkStart w:id="181" w:name="_Toc319918569"/>
      <w:bookmarkStart w:id="182" w:name="_Toc319918838"/>
      <w:r>
        <w:br w:type="page"/>
      </w:r>
      <w:bookmarkStart w:id="183" w:name="_Toc349112550"/>
      <w:r w:rsidR="00B15AC0">
        <w:lastRenderedPageBreak/>
        <w:t>References</w:t>
      </w:r>
      <w:bookmarkEnd w:id="179"/>
      <w:bookmarkEnd w:id="180"/>
      <w:bookmarkEnd w:id="181"/>
      <w:bookmarkEnd w:id="182"/>
      <w:bookmarkEnd w:id="183"/>
    </w:p>
    <w:p w:rsidR="00F202D0" w:rsidRPr="00F202D0" w:rsidRDefault="00B15AC0" w:rsidP="00F202D0">
      <w:pPr>
        <w:pStyle w:val="References"/>
      </w:pPr>
      <w:r>
        <w:fldChar w:fldCharType="begin"/>
      </w:r>
      <w:r>
        <w:instrText xml:space="preserve"> ADDIN EN.REFLIST </w:instrText>
      </w:r>
      <w:r>
        <w:fldChar w:fldCharType="separate"/>
      </w:r>
      <w:r w:rsidR="00F202D0" w:rsidRPr="00F202D0">
        <w:t xml:space="preserve">Abercrombie, R. E. (1995). Earthquake source scaling relationships from -1 to 5 </w:t>
      </w:r>
      <w:r w:rsidR="00F202D0" w:rsidRPr="00F202D0">
        <w:rPr>
          <w:i/>
        </w:rPr>
        <w:t>M</w:t>
      </w:r>
      <w:r w:rsidR="00F202D0" w:rsidRPr="00F202D0">
        <w:rPr>
          <w:i/>
          <w:vertAlign w:val="subscript"/>
        </w:rPr>
        <w:t>L</w:t>
      </w:r>
      <w:r w:rsidR="00F202D0" w:rsidRPr="00F202D0">
        <w:t xml:space="preserve"> using seismograms recorded at 2.5-km depth, </w:t>
      </w:r>
      <w:r w:rsidR="00F202D0" w:rsidRPr="00F202D0">
        <w:rPr>
          <w:i/>
        </w:rPr>
        <w:t>J. Geophys. Res.</w:t>
      </w:r>
      <w:r w:rsidR="00F202D0" w:rsidRPr="00F202D0">
        <w:t xml:space="preserve"> </w:t>
      </w:r>
      <w:r w:rsidR="00F202D0" w:rsidRPr="00F202D0">
        <w:rPr>
          <w:b/>
        </w:rPr>
        <w:t>100,</w:t>
      </w:r>
      <w:r w:rsidR="00F202D0" w:rsidRPr="00F202D0">
        <w:t xml:space="preserve"> 24,015-24,036.</w:t>
      </w:r>
    </w:p>
    <w:p w:rsidR="00F202D0" w:rsidRPr="00F202D0" w:rsidRDefault="00F202D0" w:rsidP="00F202D0">
      <w:pPr>
        <w:pStyle w:val="References"/>
      </w:pPr>
      <w:r w:rsidRPr="00F202D0">
        <w:t xml:space="preserve">Abercrombie, R. E., and P. Leary (1993). Source parameters of small earthquakes recorded at 2.5 km depth, Cajon Pass, southern California: implications for earthquake scaling, </w:t>
      </w:r>
      <w:r w:rsidRPr="00F202D0">
        <w:rPr>
          <w:i/>
        </w:rPr>
        <w:t>Geophys. Res. Lett.</w:t>
      </w:r>
      <w:r w:rsidRPr="00F202D0">
        <w:t xml:space="preserve"> </w:t>
      </w:r>
      <w:r w:rsidRPr="00F202D0">
        <w:rPr>
          <w:b/>
        </w:rPr>
        <w:t>20,</w:t>
      </w:r>
      <w:r w:rsidRPr="00F202D0">
        <w:t xml:space="preserve"> 1511-1514.</w:t>
      </w:r>
    </w:p>
    <w:p w:rsidR="00F202D0" w:rsidRPr="00F202D0" w:rsidRDefault="00F202D0" w:rsidP="00F202D0">
      <w:pPr>
        <w:pStyle w:val="References"/>
      </w:pPr>
      <w:r w:rsidRPr="00F202D0">
        <w:t xml:space="preserve">Abrahamson, N., G. Atkinson, D. Boore, Y. Bozorgnia, K. Campbell, B. Chiou, I. M. Idriss, W. Silva, and R. Youngs (2008). Comparisons of the NGA ground-motion relations, </w:t>
      </w:r>
      <w:r w:rsidRPr="00F202D0">
        <w:rPr>
          <w:i/>
        </w:rPr>
        <w:t>Earthq. Spectra</w:t>
      </w:r>
      <w:r w:rsidRPr="00F202D0">
        <w:t xml:space="preserve"> </w:t>
      </w:r>
      <w:r w:rsidRPr="00F202D0">
        <w:rPr>
          <w:b/>
        </w:rPr>
        <w:t>24,</w:t>
      </w:r>
      <w:r w:rsidRPr="00F202D0">
        <w:t xml:space="preserve"> 45–66.</w:t>
      </w:r>
    </w:p>
    <w:p w:rsidR="00F202D0" w:rsidRPr="00F202D0" w:rsidRDefault="00F202D0" w:rsidP="00F202D0">
      <w:pPr>
        <w:pStyle w:val="References"/>
      </w:pPr>
      <w:r w:rsidRPr="00F202D0">
        <w:t xml:space="preserve">Allen, T., M. Leonard, and C. Collins (2011). The 2012 Australian Seismic Hazard Map – catalogue and ground motion prediction equations, </w:t>
      </w:r>
      <w:r w:rsidRPr="00F202D0">
        <w:rPr>
          <w:i/>
        </w:rPr>
        <w:t>Proceedings of the 2011 Australian Earthquake Engineering Society Conference</w:t>
      </w:r>
      <w:r w:rsidRPr="00F202D0">
        <w:t>, Barossa Valley, South Australia, Australian Earthquake Engineering Society.</w:t>
      </w:r>
    </w:p>
    <w:p w:rsidR="00F202D0" w:rsidRPr="00F202D0" w:rsidRDefault="00F202D0" w:rsidP="00F202D0">
      <w:pPr>
        <w:pStyle w:val="References"/>
      </w:pPr>
      <w:r w:rsidRPr="00F202D0">
        <w:t xml:space="preserve">Allen, T. I. (2010). The influence of attenuation in earthquake ground-motion and magnitude estimation: implications for Australian earthquake hazard, </w:t>
      </w:r>
      <w:r w:rsidRPr="00F202D0">
        <w:rPr>
          <w:i/>
        </w:rPr>
        <w:t>Proc. 2010 Aust. Earthq. Eng. Soc. Conf.</w:t>
      </w:r>
      <w:r w:rsidRPr="00F202D0">
        <w:t>, Perth, Western Australia.</w:t>
      </w:r>
    </w:p>
    <w:p w:rsidR="00F202D0" w:rsidRPr="00F202D0" w:rsidRDefault="00F202D0" w:rsidP="00F202D0">
      <w:pPr>
        <w:pStyle w:val="References"/>
      </w:pPr>
      <w:r w:rsidRPr="00F202D0">
        <w:t xml:space="preserve">Allen, T. I., and G. M. Atkinson (2007). Comparison of earthquake source spectra and attenuation in eastern North America and southeastern Australia, </w:t>
      </w:r>
      <w:r w:rsidRPr="00F202D0">
        <w:rPr>
          <w:i/>
        </w:rPr>
        <w:t>Bull. Seism. Soc. Am.</w:t>
      </w:r>
      <w:r w:rsidRPr="00F202D0">
        <w:t xml:space="preserve"> </w:t>
      </w:r>
      <w:r w:rsidRPr="00F202D0">
        <w:rPr>
          <w:b/>
        </w:rPr>
        <w:t>97,</w:t>
      </w:r>
      <w:r w:rsidRPr="00F202D0">
        <w:t xml:space="preserve"> 1350–1354.</w:t>
      </w:r>
    </w:p>
    <w:p w:rsidR="00F202D0" w:rsidRPr="00F202D0" w:rsidRDefault="00F202D0" w:rsidP="00F202D0">
      <w:pPr>
        <w:pStyle w:val="References"/>
      </w:pPr>
      <w:r w:rsidRPr="00F202D0">
        <w:t xml:space="preserve">Allen, T. I., P. R. Cummins, T. Dhu, and J. F. Schneider (2007). Attenuation of ground-motion spectral amplitudes in southeastern Australia, </w:t>
      </w:r>
      <w:r w:rsidRPr="00F202D0">
        <w:rPr>
          <w:i/>
        </w:rPr>
        <w:t>Bull. Seism. Soc. Am.</w:t>
      </w:r>
      <w:r w:rsidRPr="00F202D0">
        <w:t xml:space="preserve"> </w:t>
      </w:r>
      <w:r w:rsidRPr="00F202D0">
        <w:rPr>
          <w:b/>
        </w:rPr>
        <w:t>97,</w:t>
      </w:r>
      <w:r w:rsidRPr="00F202D0">
        <w:t xml:space="preserve"> 1279–1292.</w:t>
      </w:r>
    </w:p>
    <w:p w:rsidR="00F202D0" w:rsidRPr="00F202D0" w:rsidRDefault="00F202D0" w:rsidP="00F202D0">
      <w:pPr>
        <w:pStyle w:val="References"/>
      </w:pPr>
      <w:r w:rsidRPr="00F202D0">
        <w:t xml:space="preserve">Allen, T. I., T. Dhu, P. R. Cummins, and J. F. Schneider (2006). Empirical attenuation of ground-motion spectral amplitudes in southwestern Western Australia, </w:t>
      </w:r>
      <w:r w:rsidRPr="00F202D0">
        <w:rPr>
          <w:i/>
        </w:rPr>
        <w:t>Bull. Seism. Soc. Am.</w:t>
      </w:r>
      <w:r w:rsidRPr="00F202D0">
        <w:t xml:space="preserve"> </w:t>
      </w:r>
      <w:r w:rsidRPr="00F202D0">
        <w:rPr>
          <w:b/>
        </w:rPr>
        <w:t>96,</w:t>
      </w:r>
      <w:r w:rsidRPr="00F202D0">
        <w:t xml:space="preserve"> 572</w:t>
      </w:r>
      <w:r w:rsidR="00EC212D">
        <w:noBreakHyphen/>
      </w:r>
      <w:r w:rsidRPr="00F202D0">
        <w:t>585.</w:t>
      </w:r>
    </w:p>
    <w:p w:rsidR="00F202D0" w:rsidRPr="00F202D0" w:rsidRDefault="00F202D0" w:rsidP="00F202D0">
      <w:pPr>
        <w:pStyle w:val="References"/>
      </w:pPr>
      <w:r w:rsidRPr="00F202D0">
        <w:t xml:space="preserve">Allen, T. I., G. Gibson, A. Brown, and J. P. Cull (2004). Depth variation of seismic source scaling relations: implications for earthquake hazard in southeastern Australia, </w:t>
      </w:r>
      <w:r w:rsidRPr="00F202D0">
        <w:rPr>
          <w:i/>
        </w:rPr>
        <w:t>Tectonophys.</w:t>
      </w:r>
      <w:r w:rsidRPr="00F202D0">
        <w:t xml:space="preserve"> </w:t>
      </w:r>
      <w:r w:rsidRPr="00F202D0">
        <w:rPr>
          <w:b/>
        </w:rPr>
        <w:t>390,</w:t>
      </w:r>
      <w:r w:rsidRPr="00F202D0">
        <w:t xml:space="preserve"> 5</w:t>
      </w:r>
      <w:r w:rsidR="00EC212D">
        <w:noBreakHyphen/>
      </w:r>
      <w:r w:rsidRPr="00F202D0">
        <w:t>24.</w:t>
      </w:r>
    </w:p>
    <w:p w:rsidR="00F202D0" w:rsidRPr="00F202D0" w:rsidRDefault="00F202D0" w:rsidP="00F202D0">
      <w:pPr>
        <w:pStyle w:val="References"/>
      </w:pPr>
      <w:r w:rsidRPr="00F202D0">
        <w:t xml:space="preserve">Allmann, B. P., and P. M. Shearer (2007). Spatial and temporal stress drop variations in small earthquakes near Parkfield, California, </w:t>
      </w:r>
      <w:r w:rsidRPr="00F202D0">
        <w:rPr>
          <w:i/>
        </w:rPr>
        <w:t>J. Geophys. Res.</w:t>
      </w:r>
      <w:r w:rsidRPr="00F202D0">
        <w:t xml:space="preserve"> </w:t>
      </w:r>
      <w:r w:rsidRPr="00F202D0">
        <w:rPr>
          <w:b/>
        </w:rPr>
        <w:t>112,</w:t>
      </w:r>
      <w:r w:rsidRPr="00F202D0">
        <w:t xml:space="preserve"> B04305.</w:t>
      </w:r>
    </w:p>
    <w:p w:rsidR="00F202D0" w:rsidRPr="00F202D0" w:rsidRDefault="00F202D0" w:rsidP="00F202D0">
      <w:pPr>
        <w:pStyle w:val="References"/>
      </w:pPr>
      <w:r w:rsidRPr="00F202D0">
        <w:t xml:space="preserve">Allmann, B. P., and P. M. Shearer (2009). Global variations of stress drop for moderate to large earthquakes, </w:t>
      </w:r>
      <w:r w:rsidRPr="00F202D0">
        <w:rPr>
          <w:i/>
        </w:rPr>
        <w:t>J. Geophys. Res.</w:t>
      </w:r>
      <w:r w:rsidRPr="00F202D0">
        <w:t xml:space="preserve"> </w:t>
      </w:r>
      <w:r w:rsidRPr="00F202D0">
        <w:rPr>
          <w:b/>
        </w:rPr>
        <w:t>114,</w:t>
      </w:r>
      <w:r w:rsidRPr="00F202D0">
        <w:t xml:space="preserve"> B01310.</w:t>
      </w:r>
    </w:p>
    <w:p w:rsidR="00F202D0" w:rsidRPr="00F202D0" w:rsidRDefault="00F202D0" w:rsidP="00F202D0">
      <w:pPr>
        <w:pStyle w:val="References"/>
      </w:pPr>
      <w:r w:rsidRPr="00F202D0">
        <w:t xml:space="preserve">Ambraseys, N. N., J. Douglas, S. K. Sarma, and P. M. Smit (2005). Equations for the estimation of strong ground motions from shallow crustal earthquakes using data from Europe and the Middle East: horizontal peak ground acceleration and spectral acceleration, </w:t>
      </w:r>
      <w:r w:rsidRPr="00F202D0">
        <w:rPr>
          <w:i/>
        </w:rPr>
        <w:t>Bull. Earthq. Eng.</w:t>
      </w:r>
      <w:r w:rsidRPr="00F202D0">
        <w:t xml:space="preserve"> </w:t>
      </w:r>
      <w:r w:rsidRPr="00F202D0">
        <w:rPr>
          <w:b/>
        </w:rPr>
        <w:t>3,</w:t>
      </w:r>
      <w:r w:rsidRPr="00F202D0">
        <w:t xml:space="preserve"> 1–53.</w:t>
      </w:r>
    </w:p>
    <w:p w:rsidR="00F202D0" w:rsidRPr="00F202D0" w:rsidRDefault="00F202D0" w:rsidP="00F202D0">
      <w:pPr>
        <w:pStyle w:val="References"/>
      </w:pPr>
      <w:r w:rsidRPr="00F202D0">
        <w:t xml:space="preserve">Anderson, J. G., and S. E. Hough (1984). A model for the shape of the Fourier amplitude spectrum of acceleration at high frequencies, </w:t>
      </w:r>
      <w:r w:rsidRPr="00F202D0">
        <w:rPr>
          <w:i/>
        </w:rPr>
        <w:t>Bull. Seism. Soc. Am.</w:t>
      </w:r>
      <w:r w:rsidRPr="00F202D0">
        <w:t xml:space="preserve"> </w:t>
      </w:r>
      <w:r w:rsidRPr="00F202D0">
        <w:rPr>
          <w:b/>
        </w:rPr>
        <w:t>74,</w:t>
      </w:r>
      <w:r w:rsidRPr="00F202D0">
        <w:t xml:space="preserve"> 1969-1993.</w:t>
      </w:r>
    </w:p>
    <w:p w:rsidR="00F202D0" w:rsidRPr="00F202D0" w:rsidRDefault="00F202D0" w:rsidP="00F202D0">
      <w:pPr>
        <w:pStyle w:val="References"/>
      </w:pPr>
      <w:r w:rsidRPr="00F202D0">
        <w:t xml:space="preserve">Atkinson, G. M. (1993). Earthquake source spectra in eastern North America, </w:t>
      </w:r>
      <w:r w:rsidRPr="00F202D0">
        <w:rPr>
          <w:i/>
        </w:rPr>
        <w:t>Bull. Seism. Soc. Am.</w:t>
      </w:r>
      <w:r w:rsidRPr="00F202D0">
        <w:t xml:space="preserve"> </w:t>
      </w:r>
      <w:r w:rsidRPr="00F202D0">
        <w:rPr>
          <w:b/>
        </w:rPr>
        <w:t>83,</w:t>
      </w:r>
      <w:r w:rsidRPr="00F202D0">
        <w:t xml:space="preserve"> 1778-1798.</w:t>
      </w:r>
    </w:p>
    <w:p w:rsidR="00F202D0" w:rsidRPr="00F202D0" w:rsidRDefault="00F202D0" w:rsidP="00F202D0">
      <w:pPr>
        <w:pStyle w:val="References"/>
      </w:pPr>
      <w:r w:rsidRPr="00F202D0">
        <w:t xml:space="preserve">Atkinson, G. M. (1993). Notes on ground motion parameters for eastern North America: duration and H/V ratio, </w:t>
      </w:r>
      <w:r w:rsidRPr="00F202D0">
        <w:rPr>
          <w:i/>
        </w:rPr>
        <w:t>Bull. Seism. Soc. Am.</w:t>
      </w:r>
      <w:r w:rsidRPr="00F202D0">
        <w:t xml:space="preserve"> </w:t>
      </w:r>
      <w:r w:rsidRPr="00F202D0">
        <w:rPr>
          <w:b/>
        </w:rPr>
        <w:t>83,</w:t>
      </w:r>
      <w:r w:rsidRPr="00F202D0">
        <w:t xml:space="preserve"> 587-596.</w:t>
      </w:r>
    </w:p>
    <w:p w:rsidR="00F202D0" w:rsidRPr="00F202D0" w:rsidRDefault="00F202D0" w:rsidP="00F202D0">
      <w:pPr>
        <w:pStyle w:val="References"/>
      </w:pPr>
      <w:r w:rsidRPr="00F202D0">
        <w:t xml:space="preserve">Atkinson, G. M. (1996). The high-frequency shape of the source spectrum for earthquakes in eastern and western Canada, </w:t>
      </w:r>
      <w:r w:rsidRPr="00F202D0">
        <w:rPr>
          <w:i/>
        </w:rPr>
        <w:t>Bull. Seism. Soc. Am.</w:t>
      </w:r>
      <w:r w:rsidRPr="00F202D0">
        <w:t xml:space="preserve"> </w:t>
      </w:r>
      <w:r w:rsidRPr="00F202D0">
        <w:rPr>
          <w:b/>
        </w:rPr>
        <w:t>86,</w:t>
      </w:r>
      <w:r w:rsidRPr="00F202D0">
        <w:t xml:space="preserve"> 106-112.</w:t>
      </w:r>
    </w:p>
    <w:p w:rsidR="00F202D0" w:rsidRPr="00F202D0" w:rsidRDefault="00F202D0" w:rsidP="00F202D0">
      <w:pPr>
        <w:pStyle w:val="References"/>
      </w:pPr>
      <w:r w:rsidRPr="00F202D0">
        <w:t xml:space="preserve">Atkinson, G. M. (2004). Empirical attenuation of ground-motion spectral amplitudes in southeastern Canada and the northeastern United States, </w:t>
      </w:r>
      <w:r w:rsidRPr="00F202D0">
        <w:rPr>
          <w:i/>
        </w:rPr>
        <w:t>Bull. Seism. Soc. Am.</w:t>
      </w:r>
      <w:r w:rsidRPr="00F202D0">
        <w:t xml:space="preserve"> </w:t>
      </w:r>
      <w:r w:rsidRPr="00F202D0">
        <w:rPr>
          <w:b/>
        </w:rPr>
        <w:t>94,</w:t>
      </w:r>
      <w:r w:rsidRPr="00F202D0">
        <w:t xml:space="preserve"> 1079-1095.</w:t>
      </w:r>
    </w:p>
    <w:p w:rsidR="00F202D0" w:rsidRPr="00F202D0" w:rsidRDefault="00F202D0" w:rsidP="00F202D0">
      <w:pPr>
        <w:pStyle w:val="References"/>
      </w:pPr>
      <w:r w:rsidRPr="00F202D0">
        <w:t xml:space="preserve">Atkinson, G. M., K. Assatourians, D. M. Boore, K. Campbell, and D. Motazedian (2009). A guide to differences between stochastic point-source and stochastic finite-fault simulations, </w:t>
      </w:r>
      <w:r w:rsidRPr="00F202D0">
        <w:rPr>
          <w:i/>
        </w:rPr>
        <w:t>Bull. Seism. Soc. Am.</w:t>
      </w:r>
      <w:r w:rsidRPr="00F202D0">
        <w:t xml:space="preserve"> </w:t>
      </w:r>
      <w:r w:rsidRPr="00F202D0">
        <w:rPr>
          <w:b/>
        </w:rPr>
        <w:t>99,</w:t>
      </w:r>
      <w:r w:rsidRPr="00F202D0">
        <w:t xml:space="preserve"> 3192–3201.</w:t>
      </w:r>
    </w:p>
    <w:p w:rsidR="00F202D0" w:rsidRPr="00F202D0" w:rsidRDefault="00F202D0" w:rsidP="00F202D0">
      <w:pPr>
        <w:pStyle w:val="References"/>
      </w:pPr>
      <w:r w:rsidRPr="00F202D0">
        <w:lastRenderedPageBreak/>
        <w:t xml:space="preserve">Atkinson, G. M., and D. M. Boore (1995). Ground-motion relations for eastern North America, </w:t>
      </w:r>
      <w:r w:rsidRPr="00F202D0">
        <w:rPr>
          <w:i/>
        </w:rPr>
        <w:t>Bull. Seism. Soc. Am.</w:t>
      </w:r>
      <w:r w:rsidRPr="00F202D0">
        <w:t xml:space="preserve"> </w:t>
      </w:r>
      <w:r w:rsidRPr="00F202D0">
        <w:rPr>
          <w:b/>
        </w:rPr>
        <w:t>85,</w:t>
      </w:r>
      <w:r w:rsidRPr="00F202D0">
        <w:t xml:space="preserve"> 17-30.</w:t>
      </w:r>
    </w:p>
    <w:p w:rsidR="00F202D0" w:rsidRPr="00F202D0" w:rsidRDefault="00F202D0" w:rsidP="00F202D0">
      <w:pPr>
        <w:pStyle w:val="References"/>
      </w:pPr>
      <w:r w:rsidRPr="00F202D0">
        <w:t xml:space="preserve">Atkinson, G. M., and D. M. Boore (2006). Earthquake ground-motion predictions for eastern North America, </w:t>
      </w:r>
      <w:r w:rsidRPr="00F202D0">
        <w:rPr>
          <w:i/>
        </w:rPr>
        <w:t>Bull. Seism. Soc. Am.</w:t>
      </w:r>
      <w:r w:rsidRPr="00F202D0">
        <w:t xml:space="preserve"> </w:t>
      </w:r>
      <w:r w:rsidRPr="00F202D0">
        <w:rPr>
          <w:b/>
        </w:rPr>
        <w:t>96,</w:t>
      </w:r>
      <w:r w:rsidRPr="00F202D0">
        <w:t xml:space="preserve"> 2181-2205.</w:t>
      </w:r>
    </w:p>
    <w:p w:rsidR="00F202D0" w:rsidRPr="00F202D0" w:rsidRDefault="00F202D0" w:rsidP="00F202D0">
      <w:pPr>
        <w:pStyle w:val="References"/>
      </w:pPr>
      <w:r w:rsidRPr="00F202D0">
        <w:t xml:space="preserve">Atkinson, G. M., and D. M. Boore (2011). Modifications to existing ground-motion prediction equations in light of new data, </w:t>
      </w:r>
      <w:r w:rsidRPr="00F202D0">
        <w:rPr>
          <w:i/>
        </w:rPr>
        <w:t>Bull. Seism. Soc. Am.</w:t>
      </w:r>
      <w:r w:rsidRPr="00F202D0">
        <w:t xml:space="preserve"> </w:t>
      </w:r>
      <w:r w:rsidRPr="00F202D0">
        <w:rPr>
          <w:b/>
        </w:rPr>
        <w:t>101,</w:t>
      </w:r>
      <w:r w:rsidRPr="00F202D0">
        <w:t xml:space="preserve"> 1121–1135.</w:t>
      </w:r>
    </w:p>
    <w:p w:rsidR="00F202D0" w:rsidRPr="00F202D0" w:rsidRDefault="00F202D0" w:rsidP="00F202D0">
      <w:pPr>
        <w:pStyle w:val="References"/>
      </w:pPr>
      <w:r w:rsidRPr="00F202D0">
        <w:t xml:space="preserve">Atkinson, G. M., and R. F. Mereu (1992). The shape of ground motion attenuation curves in southeastern Canada, </w:t>
      </w:r>
      <w:r w:rsidRPr="00F202D0">
        <w:rPr>
          <w:i/>
        </w:rPr>
        <w:t>Bull. Seism. Soc. Am.</w:t>
      </w:r>
      <w:r w:rsidRPr="00F202D0">
        <w:t xml:space="preserve"> </w:t>
      </w:r>
      <w:r w:rsidRPr="00F202D0">
        <w:rPr>
          <w:b/>
        </w:rPr>
        <w:t>82,</w:t>
      </w:r>
      <w:r w:rsidRPr="00F202D0">
        <w:t xml:space="preserve"> 2014-2031.</w:t>
      </w:r>
    </w:p>
    <w:p w:rsidR="00F202D0" w:rsidRPr="00F202D0" w:rsidRDefault="00F202D0" w:rsidP="00F202D0">
      <w:pPr>
        <w:pStyle w:val="References"/>
      </w:pPr>
      <w:r w:rsidRPr="00F202D0">
        <w:t xml:space="preserve">Atkinson, G. M., and M. Morrison (2009). Observations on regional variability in ground-motion amplitudes for small-to-moderate earthquakes in North America, </w:t>
      </w:r>
      <w:r w:rsidRPr="00F202D0">
        <w:rPr>
          <w:i/>
        </w:rPr>
        <w:t>Bull. Seism. Soc. Am.</w:t>
      </w:r>
      <w:r w:rsidRPr="00F202D0">
        <w:t xml:space="preserve"> </w:t>
      </w:r>
      <w:r w:rsidRPr="00F202D0">
        <w:rPr>
          <w:b/>
        </w:rPr>
        <w:t>99,</w:t>
      </w:r>
      <w:r w:rsidRPr="00F202D0">
        <w:t xml:space="preserve"> 2393–2409.</w:t>
      </w:r>
    </w:p>
    <w:p w:rsidR="00F202D0" w:rsidRPr="00F202D0" w:rsidRDefault="00F202D0" w:rsidP="00F202D0">
      <w:pPr>
        <w:pStyle w:val="References"/>
      </w:pPr>
      <w:r w:rsidRPr="00F202D0">
        <w:t xml:space="preserve">Bay, F., D. Fäh, L. Malagnini, and D. Giardini (2003). Spectral shear-wave ground-motion scaling in Switzerland, </w:t>
      </w:r>
      <w:r w:rsidRPr="00F202D0">
        <w:rPr>
          <w:i/>
        </w:rPr>
        <w:t>Bull. Seism. Soc. Am.</w:t>
      </w:r>
      <w:r w:rsidRPr="00F202D0">
        <w:t xml:space="preserve"> </w:t>
      </w:r>
      <w:r w:rsidRPr="00F202D0">
        <w:rPr>
          <w:b/>
        </w:rPr>
        <w:t>93,</w:t>
      </w:r>
      <w:r w:rsidRPr="00F202D0">
        <w:t xml:space="preserve"> 414–429.</w:t>
      </w:r>
    </w:p>
    <w:p w:rsidR="00F202D0" w:rsidRPr="00F202D0" w:rsidRDefault="00F202D0" w:rsidP="00F202D0">
      <w:pPr>
        <w:pStyle w:val="References"/>
      </w:pPr>
      <w:r w:rsidRPr="00F202D0">
        <w:t xml:space="preserve">Bommer, J. J., F. Scherbaum, H. Bungum, F. Cotton, F. Sabetta, and N. A. Abrahamson (2005). On the use of logic trees for ground-motion prediction equations in seismic-hazard analysis, </w:t>
      </w:r>
      <w:r w:rsidRPr="00F202D0">
        <w:rPr>
          <w:i/>
        </w:rPr>
        <w:t>Bull. Seism. Soc. Am.</w:t>
      </w:r>
      <w:r w:rsidRPr="00F202D0">
        <w:t xml:space="preserve"> </w:t>
      </w:r>
      <w:r w:rsidRPr="00F202D0">
        <w:rPr>
          <w:b/>
        </w:rPr>
        <w:t>95,</w:t>
      </w:r>
      <w:r w:rsidRPr="00F202D0">
        <w:t xml:space="preserve"> 377–389.</w:t>
      </w:r>
    </w:p>
    <w:p w:rsidR="00F202D0" w:rsidRPr="00F202D0" w:rsidRDefault="00F202D0" w:rsidP="00F202D0">
      <w:pPr>
        <w:pStyle w:val="References"/>
      </w:pPr>
      <w:r w:rsidRPr="00F202D0">
        <w:t xml:space="preserve">Boore, D. M. (1983). Stochastic simulation of high-frequency ground motions based on seismological models of the radiated spectra, </w:t>
      </w:r>
      <w:r w:rsidRPr="00F202D0">
        <w:rPr>
          <w:i/>
        </w:rPr>
        <w:t>Bull. Seism. Soc. Am.</w:t>
      </w:r>
      <w:r w:rsidRPr="00F202D0">
        <w:t xml:space="preserve"> </w:t>
      </w:r>
      <w:r w:rsidRPr="00F202D0">
        <w:rPr>
          <w:b/>
        </w:rPr>
        <w:t>73,</w:t>
      </w:r>
      <w:r w:rsidRPr="00F202D0">
        <w:t xml:space="preserve"> 1865-1894.</w:t>
      </w:r>
    </w:p>
    <w:p w:rsidR="00F202D0" w:rsidRPr="00F202D0" w:rsidRDefault="00F202D0" w:rsidP="00F202D0">
      <w:pPr>
        <w:pStyle w:val="References"/>
      </w:pPr>
      <w:r w:rsidRPr="00F202D0">
        <w:t xml:space="preserve">Boore, D. M. (2003). Simulation of ground motion using the stochastic method, </w:t>
      </w:r>
      <w:r w:rsidRPr="00F202D0">
        <w:rPr>
          <w:i/>
        </w:rPr>
        <w:t>Pure appl. geophys.</w:t>
      </w:r>
      <w:r w:rsidRPr="00F202D0">
        <w:t xml:space="preserve"> </w:t>
      </w:r>
      <w:r w:rsidRPr="00F202D0">
        <w:rPr>
          <w:b/>
        </w:rPr>
        <w:t>160,</w:t>
      </w:r>
      <w:r w:rsidRPr="00F202D0">
        <w:t xml:space="preserve"> 635-676.</w:t>
      </w:r>
    </w:p>
    <w:p w:rsidR="00F202D0" w:rsidRPr="00F202D0" w:rsidRDefault="00F202D0" w:rsidP="00F202D0">
      <w:pPr>
        <w:pStyle w:val="References"/>
      </w:pPr>
      <w:r w:rsidRPr="00F202D0">
        <w:t xml:space="preserve">Boore, D. M. (2009). Comparing stochastic point-source and finite-source ground-motion simulations: SMSIM and EXSIM, </w:t>
      </w:r>
      <w:r w:rsidRPr="00F202D0">
        <w:rPr>
          <w:i/>
        </w:rPr>
        <w:t>Bull. Seism. Soc. Am.</w:t>
      </w:r>
      <w:r w:rsidRPr="00F202D0">
        <w:t xml:space="preserve"> </w:t>
      </w:r>
      <w:r w:rsidRPr="00F202D0">
        <w:rPr>
          <w:b/>
        </w:rPr>
        <w:t>99,</w:t>
      </w:r>
      <w:r w:rsidRPr="00F202D0">
        <w:t xml:space="preserve"> 3202–3216.</w:t>
      </w:r>
    </w:p>
    <w:p w:rsidR="00F202D0" w:rsidRPr="00F202D0" w:rsidRDefault="00F202D0" w:rsidP="00F202D0">
      <w:pPr>
        <w:pStyle w:val="References"/>
      </w:pPr>
      <w:r w:rsidRPr="00F202D0">
        <w:t xml:space="preserve">Boore, D. M. (2012). Updated determination of stress parameters for nine well-recorded earthquakes in eastern North America, </w:t>
      </w:r>
      <w:r w:rsidRPr="00F202D0">
        <w:rPr>
          <w:i/>
        </w:rPr>
        <w:t>Seism. Res. Lett.</w:t>
      </w:r>
      <w:r w:rsidRPr="00F202D0">
        <w:t xml:space="preserve"> </w:t>
      </w:r>
      <w:r w:rsidRPr="00F202D0">
        <w:rPr>
          <w:b/>
        </w:rPr>
        <w:t>83,</w:t>
      </w:r>
      <w:r w:rsidRPr="00F202D0">
        <w:t xml:space="preserve"> 190-199.</w:t>
      </w:r>
    </w:p>
    <w:p w:rsidR="00F202D0" w:rsidRPr="00F202D0" w:rsidRDefault="00F202D0" w:rsidP="00F202D0">
      <w:pPr>
        <w:pStyle w:val="References"/>
      </w:pPr>
      <w:r w:rsidRPr="00F202D0">
        <w:t xml:space="preserve">Boore, D. M., and J. Boatwright (1984). Average body-wave radiation coefficients, </w:t>
      </w:r>
      <w:r w:rsidRPr="00F202D0">
        <w:rPr>
          <w:i/>
        </w:rPr>
        <w:t>Bull. Seism. Soc. Am.</w:t>
      </w:r>
      <w:r w:rsidRPr="00F202D0">
        <w:t xml:space="preserve"> </w:t>
      </w:r>
      <w:r w:rsidRPr="00F202D0">
        <w:rPr>
          <w:b/>
        </w:rPr>
        <w:t>74,</w:t>
      </w:r>
      <w:r w:rsidRPr="00F202D0">
        <w:t xml:space="preserve"> 1615-1621.</w:t>
      </w:r>
    </w:p>
    <w:p w:rsidR="00F202D0" w:rsidRPr="00F202D0" w:rsidRDefault="00F202D0" w:rsidP="00F202D0">
      <w:pPr>
        <w:pStyle w:val="References"/>
      </w:pPr>
      <w:r w:rsidRPr="00F202D0">
        <w:t xml:space="preserve">Boore, D. M., K. W. Campbell, and G. M. Atkinson (2010). Determination of stress parameters for eight well-recorded earthquakes in eastern North America, </w:t>
      </w:r>
      <w:r w:rsidRPr="00F202D0">
        <w:rPr>
          <w:i/>
        </w:rPr>
        <w:t>Bull. Seism. Soc. Am.</w:t>
      </w:r>
      <w:r w:rsidRPr="00F202D0">
        <w:t xml:space="preserve"> </w:t>
      </w:r>
      <w:r w:rsidRPr="00F202D0">
        <w:rPr>
          <w:b/>
        </w:rPr>
        <w:t>100,</w:t>
      </w:r>
      <w:r w:rsidRPr="00F202D0">
        <w:t xml:space="preserve"> 1632–1645.</w:t>
      </w:r>
    </w:p>
    <w:p w:rsidR="00F202D0" w:rsidRPr="00F202D0" w:rsidRDefault="00F202D0" w:rsidP="00F202D0">
      <w:pPr>
        <w:pStyle w:val="References"/>
      </w:pPr>
      <w:r w:rsidRPr="00F202D0">
        <w:t xml:space="preserve">Boore, D. M., W. B. Joyner, and L. Wennerberg (1992). Fitting the stocastic </w:t>
      </w:r>
      <w:r w:rsidRPr="00F202D0">
        <w:rPr>
          <w:rFonts w:ascii="Symbol" w:hAnsi="Symbol"/>
          <w:i/>
        </w:rPr>
        <w:t>w</w:t>
      </w:r>
      <w:r w:rsidRPr="00F202D0">
        <w:rPr>
          <w:vertAlign w:val="superscript"/>
        </w:rPr>
        <w:t>-2</w:t>
      </w:r>
      <w:r w:rsidRPr="00F202D0">
        <w:t xml:space="preserve"> source model to observed response spectra in western North America: trade-offs between </w:t>
      </w:r>
      <w:r w:rsidRPr="00F202D0">
        <w:rPr>
          <w:rFonts w:ascii="Symbol" w:hAnsi="Symbol"/>
        </w:rPr>
        <w:t>D</w:t>
      </w:r>
      <w:r w:rsidRPr="00F202D0">
        <w:rPr>
          <w:rFonts w:ascii="Symbol" w:hAnsi="Symbol"/>
          <w:i/>
        </w:rPr>
        <w:t>s</w:t>
      </w:r>
      <w:r w:rsidRPr="00F202D0">
        <w:rPr>
          <w:i/>
        </w:rPr>
        <w:t xml:space="preserve"> </w:t>
      </w:r>
      <w:r w:rsidRPr="00F202D0">
        <w:t xml:space="preserve">and </w:t>
      </w:r>
      <w:r w:rsidRPr="00F202D0">
        <w:rPr>
          <w:rFonts w:ascii="Symbol" w:hAnsi="Symbol"/>
          <w:i/>
        </w:rPr>
        <w:t>k</w:t>
      </w:r>
      <w:r w:rsidRPr="00F202D0">
        <w:t xml:space="preserve">, </w:t>
      </w:r>
      <w:r w:rsidRPr="00F202D0">
        <w:rPr>
          <w:i/>
        </w:rPr>
        <w:t>Bull. Seism. Soc. Am.</w:t>
      </w:r>
      <w:r w:rsidRPr="00F202D0">
        <w:t xml:space="preserve"> </w:t>
      </w:r>
      <w:r w:rsidRPr="00F202D0">
        <w:rPr>
          <w:b/>
        </w:rPr>
        <w:t>82,</w:t>
      </w:r>
      <w:r w:rsidRPr="00F202D0">
        <w:t xml:space="preserve"> 1956-1963.</w:t>
      </w:r>
    </w:p>
    <w:p w:rsidR="00BC220E" w:rsidRPr="00A82661" w:rsidRDefault="00BC220E" w:rsidP="00BC220E">
      <w:pPr>
        <w:pStyle w:val="References"/>
      </w:pPr>
      <w:r>
        <w:t>Bowman</w:t>
      </w:r>
      <w:r w:rsidRPr="00C1729D">
        <w:t>,</w:t>
      </w:r>
      <w:r>
        <w:t xml:space="preserve"> </w:t>
      </w:r>
      <w:r w:rsidRPr="00C1729D">
        <w:t>J.</w:t>
      </w:r>
      <w:r>
        <w:t xml:space="preserve"> </w:t>
      </w:r>
      <w:r w:rsidRPr="00C1729D">
        <w:t>R., and Kennett,</w:t>
      </w:r>
      <w:r>
        <w:t xml:space="preserve"> </w:t>
      </w:r>
      <w:r w:rsidRPr="00C1729D">
        <w:t>B.</w:t>
      </w:r>
      <w:r>
        <w:t xml:space="preserve"> </w:t>
      </w:r>
      <w:r w:rsidRPr="00C1729D">
        <w:t>L.</w:t>
      </w:r>
      <w:r>
        <w:t xml:space="preserve"> </w:t>
      </w:r>
      <w:r w:rsidRPr="00C1729D">
        <w:t xml:space="preserve">N. (1991). Propagation of </w:t>
      </w:r>
      <w:r w:rsidRPr="00C1729D">
        <w:rPr>
          <w:i/>
        </w:rPr>
        <w:t>Lg</w:t>
      </w:r>
      <w:r w:rsidRPr="00C1729D">
        <w:t xml:space="preserve"> waves in the north Australian craton: influence of crustal velocity gradients, Bull. Seism. Soc. Am. 81, 592-610.</w:t>
      </w:r>
    </w:p>
    <w:p w:rsidR="00F202D0" w:rsidRPr="00F202D0" w:rsidRDefault="00F202D0" w:rsidP="00F202D0">
      <w:pPr>
        <w:pStyle w:val="References"/>
      </w:pPr>
      <w:r w:rsidRPr="00F202D0">
        <w:t xml:space="preserve">Brune, J. N. (1970). Tectonic stress and the spectra of seismic shear waves from earthquakes, </w:t>
      </w:r>
      <w:r w:rsidRPr="00F202D0">
        <w:rPr>
          <w:i/>
        </w:rPr>
        <w:t>J. Geophys. Res.</w:t>
      </w:r>
      <w:r w:rsidRPr="00F202D0">
        <w:t xml:space="preserve"> </w:t>
      </w:r>
      <w:r w:rsidRPr="00F202D0">
        <w:rPr>
          <w:b/>
        </w:rPr>
        <w:t>75,</w:t>
      </w:r>
      <w:r w:rsidRPr="00F202D0">
        <w:t xml:space="preserve"> 4997-5009.</w:t>
      </w:r>
    </w:p>
    <w:p w:rsidR="00F202D0" w:rsidRPr="00F202D0" w:rsidRDefault="00F202D0" w:rsidP="00F202D0">
      <w:pPr>
        <w:pStyle w:val="References"/>
      </w:pPr>
      <w:r w:rsidRPr="00F202D0">
        <w:t xml:space="preserve">Brune, J. N. (1971). Correction, </w:t>
      </w:r>
      <w:r w:rsidRPr="00F202D0">
        <w:rPr>
          <w:i/>
        </w:rPr>
        <w:t>J. Geophys. Res.</w:t>
      </w:r>
      <w:r w:rsidRPr="00F202D0">
        <w:t xml:space="preserve"> </w:t>
      </w:r>
      <w:r w:rsidRPr="00F202D0">
        <w:rPr>
          <w:b/>
        </w:rPr>
        <w:t>76,</w:t>
      </w:r>
      <w:r w:rsidRPr="00F202D0">
        <w:t xml:space="preserve"> 5002.</w:t>
      </w:r>
    </w:p>
    <w:p w:rsidR="00F202D0" w:rsidRPr="00F202D0" w:rsidRDefault="00F202D0" w:rsidP="00F202D0">
      <w:pPr>
        <w:pStyle w:val="References"/>
      </w:pPr>
      <w:r w:rsidRPr="00F202D0">
        <w:t xml:space="preserve">Building Seismic Safety Council (2003). NEHRP Recommended Provisions for seismic regulations for new buildings and other structures, 2003 edition. Washington, D.C., Federal Emergency Management Agency </w:t>
      </w:r>
      <w:r w:rsidRPr="00EC212D">
        <w:rPr>
          <w:b/>
        </w:rPr>
        <w:t>450</w:t>
      </w:r>
      <w:r w:rsidR="00EC212D" w:rsidRPr="00EC212D">
        <w:rPr>
          <w:b/>
        </w:rPr>
        <w:t>,</w:t>
      </w:r>
      <w:r w:rsidRPr="00F202D0">
        <w:rPr>
          <w:b/>
        </w:rPr>
        <w:t xml:space="preserve"> </w:t>
      </w:r>
      <w:r w:rsidRPr="00F202D0">
        <w:t>338</w:t>
      </w:r>
      <w:r w:rsidR="00EC212D">
        <w:t xml:space="preserve"> pp</w:t>
      </w:r>
      <w:r w:rsidRPr="00F202D0">
        <w:t>.</w:t>
      </w:r>
    </w:p>
    <w:p w:rsidR="00F202D0" w:rsidRPr="00F202D0" w:rsidRDefault="00F202D0" w:rsidP="00F202D0">
      <w:pPr>
        <w:pStyle w:val="References"/>
      </w:pPr>
      <w:r w:rsidRPr="00F202D0">
        <w:rPr>
          <w:lang w:val="nb-NO"/>
        </w:rPr>
        <w:t xml:space="preserve">Bungum, H., S. Vaage, and E. S. Husebye (1982). </w:t>
      </w:r>
      <w:r w:rsidRPr="00F202D0">
        <w:t xml:space="preserve">The Meløy earthquake sequence, northern Norway: source parameters and their scaling relations, </w:t>
      </w:r>
      <w:r w:rsidRPr="00F202D0">
        <w:rPr>
          <w:i/>
        </w:rPr>
        <w:t>Bull. Seism. Soc. Am.</w:t>
      </w:r>
      <w:r w:rsidRPr="00F202D0">
        <w:t xml:space="preserve"> </w:t>
      </w:r>
      <w:r w:rsidRPr="00F202D0">
        <w:rPr>
          <w:b/>
        </w:rPr>
        <w:t>72,</w:t>
      </w:r>
      <w:r w:rsidRPr="00F202D0">
        <w:t xml:space="preserve"> 197-206.</w:t>
      </w:r>
    </w:p>
    <w:p w:rsidR="00F202D0" w:rsidRPr="00F202D0" w:rsidRDefault="00F202D0" w:rsidP="00F202D0">
      <w:pPr>
        <w:pStyle w:val="References"/>
      </w:pPr>
      <w:r w:rsidRPr="00F202D0">
        <w:t xml:space="preserve">Burbidge, D., and M. Leonard (2011). The 2012 Australian Seismic Hazard Map – draft maps, </w:t>
      </w:r>
      <w:r w:rsidRPr="00F202D0">
        <w:rPr>
          <w:i/>
        </w:rPr>
        <w:t>Proceedings of the 2011 Australian Earthquake Engineering Society Conference</w:t>
      </w:r>
      <w:r w:rsidRPr="00F202D0">
        <w:t>, Barossa Valley, South Australia, Australian Earthquake Engineering Society.</w:t>
      </w:r>
    </w:p>
    <w:p w:rsidR="00F202D0" w:rsidRPr="00F202D0" w:rsidRDefault="00F202D0" w:rsidP="00F202D0">
      <w:pPr>
        <w:pStyle w:val="References"/>
      </w:pPr>
      <w:r w:rsidRPr="00F202D0">
        <w:t xml:space="preserve">Burbidge, D. R., Ed. (2012). </w:t>
      </w:r>
      <w:r w:rsidRPr="00F202D0">
        <w:rPr>
          <w:i/>
        </w:rPr>
        <w:t>The 2012 Australian Earthquake Hazard Map</w:t>
      </w:r>
      <w:r w:rsidRPr="00F202D0">
        <w:t>, Geoscience Australia, Record 2012/XX.</w:t>
      </w:r>
    </w:p>
    <w:p w:rsidR="00F202D0" w:rsidRPr="00F202D0" w:rsidRDefault="00F202D0" w:rsidP="00F202D0">
      <w:pPr>
        <w:pStyle w:val="References"/>
      </w:pPr>
      <w:r w:rsidRPr="00F202D0">
        <w:lastRenderedPageBreak/>
        <w:t xml:space="preserve">Burbidge, D. R., T. Allen, C. Collins, A. McPherson, B. Drummond, M. Leonard, D. Clark, P. Cummins, R. Cuthbertson, M. Dentith, B. Gaull, G. Gibson, M. Leiba, D. Love, K. McCue, P. Somerville, J. Rynn, and J. Wilson (2010). Future directions for the National Earthquake Hazard Map for Australia, </w:t>
      </w:r>
      <w:r w:rsidRPr="00EC212D">
        <w:rPr>
          <w:i/>
        </w:rPr>
        <w:t>Geoscience Australia Record 2010/04</w:t>
      </w:r>
      <w:r w:rsidRPr="00F202D0">
        <w:t>. Canberra, Geoscience Australia</w:t>
      </w:r>
      <w:r w:rsidRPr="00F202D0">
        <w:rPr>
          <w:b/>
        </w:rPr>
        <w:t xml:space="preserve"> </w:t>
      </w:r>
      <w:r w:rsidRPr="00F202D0">
        <w:t>26</w:t>
      </w:r>
      <w:r w:rsidR="00EC212D">
        <w:t xml:space="preserve"> pp</w:t>
      </w:r>
      <w:r w:rsidRPr="00F202D0">
        <w:t>.</w:t>
      </w:r>
    </w:p>
    <w:p w:rsidR="00F202D0" w:rsidRPr="00F202D0" w:rsidRDefault="00F202D0" w:rsidP="00F202D0">
      <w:pPr>
        <w:pStyle w:val="References"/>
      </w:pPr>
      <w:r w:rsidRPr="00F202D0">
        <w:rPr>
          <w:lang w:val="nb-NO"/>
        </w:rPr>
        <w:t xml:space="preserve">Burger, R. W., P. G. Somerville, J. S. Barker, R. B. Herrmann, and D. V. Helmberger (1987). </w:t>
      </w:r>
      <w:r w:rsidRPr="00F202D0">
        <w:t xml:space="preserve">The effect of crustal structure on strong ground motion attenuation relations in eastern North America, </w:t>
      </w:r>
      <w:r w:rsidRPr="00F202D0">
        <w:rPr>
          <w:i/>
        </w:rPr>
        <w:t>Bull. Seism. Soc. Am.</w:t>
      </w:r>
      <w:r w:rsidRPr="00F202D0">
        <w:t xml:space="preserve"> </w:t>
      </w:r>
      <w:r w:rsidRPr="00F202D0">
        <w:rPr>
          <w:b/>
        </w:rPr>
        <w:t>77,</w:t>
      </w:r>
      <w:r w:rsidRPr="00F202D0">
        <w:t xml:space="preserve"> 420-439.</w:t>
      </w:r>
    </w:p>
    <w:p w:rsidR="00F202D0" w:rsidRPr="00F202D0" w:rsidRDefault="00F202D0" w:rsidP="00F202D0">
      <w:pPr>
        <w:pStyle w:val="References"/>
      </w:pPr>
      <w:r w:rsidRPr="00F202D0">
        <w:t xml:space="preserve">Campbell, K. W. (2003). Prediction of strong ground motion using the hybrid empirical method and its use in the development of ground-motion (attenuation) relations in eastern North America, </w:t>
      </w:r>
      <w:r w:rsidRPr="00F202D0">
        <w:rPr>
          <w:i/>
        </w:rPr>
        <w:t>Bull. Seism. Soc. Am.</w:t>
      </w:r>
      <w:r w:rsidRPr="00F202D0">
        <w:t xml:space="preserve"> </w:t>
      </w:r>
      <w:r w:rsidRPr="00F202D0">
        <w:rPr>
          <w:b/>
        </w:rPr>
        <w:t>93,</w:t>
      </w:r>
      <w:r w:rsidRPr="00F202D0">
        <w:t xml:space="preserve"> 1012–1033.</w:t>
      </w:r>
    </w:p>
    <w:p w:rsidR="00F202D0" w:rsidRPr="00F202D0" w:rsidRDefault="00F202D0" w:rsidP="00F202D0">
      <w:pPr>
        <w:pStyle w:val="References"/>
      </w:pPr>
      <w:r w:rsidRPr="00F202D0">
        <w:t xml:space="preserve">Campbell, K. W. (2009). Estimates of shear-wave </w:t>
      </w:r>
      <w:r w:rsidRPr="00F202D0">
        <w:rPr>
          <w:i/>
        </w:rPr>
        <w:t>Q</w:t>
      </w:r>
      <w:r w:rsidRPr="00F202D0">
        <w:t xml:space="preserve"> and </w:t>
      </w:r>
      <w:r w:rsidRPr="00F202D0">
        <w:rPr>
          <w:i/>
        </w:rPr>
        <w:t>κ</w:t>
      </w:r>
      <w:r w:rsidRPr="00F202D0">
        <w:rPr>
          <w:vertAlign w:val="subscript"/>
        </w:rPr>
        <w:t>0</w:t>
      </w:r>
      <w:r w:rsidRPr="00F202D0">
        <w:t xml:space="preserve"> for unconsolidated and semiconsolidated sediments in eastern North America, </w:t>
      </w:r>
      <w:r w:rsidRPr="00F202D0">
        <w:rPr>
          <w:i/>
        </w:rPr>
        <w:t>Bull. Seism. Soc. Am.</w:t>
      </w:r>
      <w:r w:rsidRPr="00F202D0">
        <w:t xml:space="preserve"> </w:t>
      </w:r>
      <w:r w:rsidRPr="00F202D0">
        <w:rPr>
          <w:b/>
        </w:rPr>
        <w:t>99,</w:t>
      </w:r>
      <w:r w:rsidRPr="00F202D0">
        <w:t xml:space="preserve"> 2365–2392.</w:t>
      </w:r>
    </w:p>
    <w:p w:rsidR="00F202D0" w:rsidRPr="00F202D0" w:rsidRDefault="00F202D0" w:rsidP="00F202D0">
      <w:pPr>
        <w:pStyle w:val="References"/>
      </w:pPr>
      <w:r w:rsidRPr="00F202D0">
        <w:t xml:space="preserve">Campbell, K. W. (2011). Ground motion simulation using the hybrid empirical method: issues and insights, </w:t>
      </w:r>
      <w:r w:rsidRPr="00F202D0">
        <w:rPr>
          <w:i/>
        </w:rPr>
        <w:t>Geot Geol Earthquake</w:t>
      </w:r>
      <w:r w:rsidRPr="00F202D0">
        <w:t xml:space="preserve"> </w:t>
      </w:r>
      <w:r w:rsidRPr="00F202D0">
        <w:rPr>
          <w:b/>
        </w:rPr>
        <w:t>14,</w:t>
      </w:r>
      <w:r w:rsidRPr="00F202D0">
        <w:t xml:space="preserve"> 81-95.</w:t>
      </w:r>
    </w:p>
    <w:p w:rsidR="00F202D0" w:rsidRPr="00F202D0" w:rsidRDefault="00F202D0" w:rsidP="00F202D0">
      <w:pPr>
        <w:pStyle w:val="References"/>
        <w:rPr>
          <w:lang w:val="nb-NO"/>
        </w:rPr>
      </w:pPr>
      <w:r w:rsidRPr="00F202D0">
        <w:t xml:space="preserve">Castellaro, S., F. Mulargia, and P. L. Rossi (2008). Vs30: proxy for seismic ampliﬁcation?, </w:t>
      </w:r>
      <w:r w:rsidRPr="00F202D0">
        <w:rPr>
          <w:i/>
        </w:rPr>
        <w:t xml:space="preserve">Seism. </w:t>
      </w:r>
      <w:r w:rsidRPr="00F202D0">
        <w:rPr>
          <w:i/>
          <w:lang w:val="nb-NO"/>
        </w:rPr>
        <w:t>Res. Lett.</w:t>
      </w:r>
      <w:r w:rsidRPr="00F202D0">
        <w:rPr>
          <w:lang w:val="nb-NO"/>
        </w:rPr>
        <w:t xml:space="preserve"> </w:t>
      </w:r>
      <w:r w:rsidRPr="00F202D0">
        <w:rPr>
          <w:b/>
          <w:lang w:val="nb-NO"/>
        </w:rPr>
        <w:t>79,</w:t>
      </w:r>
      <w:r w:rsidRPr="00F202D0">
        <w:rPr>
          <w:lang w:val="nb-NO"/>
        </w:rPr>
        <w:t xml:space="preserve"> 540-543.</w:t>
      </w:r>
    </w:p>
    <w:p w:rsidR="00F202D0" w:rsidRPr="00F202D0" w:rsidRDefault="00F202D0" w:rsidP="00F202D0">
      <w:pPr>
        <w:pStyle w:val="References"/>
      </w:pPr>
      <w:r w:rsidRPr="00F202D0">
        <w:rPr>
          <w:lang w:val="nb-NO"/>
        </w:rPr>
        <w:t xml:space="preserve">Chandler, A. M., N. T. K. Lam, and H. H. Tsang (2006). </w:t>
      </w:r>
      <w:r w:rsidRPr="00F202D0">
        <w:t xml:space="preserve">Near-surface attenuation modelling based on rock shear-wave velocity profile, </w:t>
      </w:r>
      <w:r w:rsidRPr="00F202D0">
        <w:rPr>
          <w:i/>
        </w:rPr>
        <w:t>Soil Dyn. Earthq. Eng.</w:t>
      </w:r>
      <w:r w:rsidRPr="00F202D0">
        <w:t xml:space="preserve"> </w:t>
      </w:r>
      <w:r w:rsidRPr="00F202D0">
        <w:rPr>
          <w:b/>
        </w:rPr>
        <w:t>26,</w:t>
      </w:r>
      <w:r w:rsidRPr="00F202D0">
        <w:t xml:space="preserve"> 1004-1014.</w:t>
      </w:r>
    </w:p>
    <w:p w:rsidR="00F202D0" w:rsidRPr="00F202D0" w:rsidRDefault="00F202D0" w:rsidP="00F202D0">
      <w:pPr>
        <w:pStyle w:val="References"/>
      </w:pPr>
      <w:r w:rsidRPr="00F202D0">
        <w:t>Chapman, M. C., and R. W. Godbee (2010). Investigation into the nature of vertical strong ground motion, Final Technical Report Award Number G09AP00074, Virginia Polytechnic Institute and State University, Blacksburg, Virginia.</w:t>
      </w:r>
    </w:p>
    <w:p w:rsidR="00F202D0" w:rsidRPr="00F202D0" w:rsidRDefault="00F202D0" w:rsidP="00F202D0">
      <w:pPr>
        <w:pStyle w:val="References"/>
      </w:pPr>
      <w:r w:rsidRPr="00F202D0">
        <w:t xml:space="preserve">Chapman, M. C., and R. W. Godbee (2012). Modeling geometrical spreading and the relative amplitudes of vertical and horizontal high-frequency ground motions in eastern North America, </w:t>
      </w:r>
      <w:r w:rsidRPr="00F202D0">
        <w:rPr>
          <w:i/>
        </w:rPr>
        <w:t>Bull. Seism. Soc. Am.</w:t>
      </w:r>
      <w:r w:rsidRPr="00F202D0">
        <w:t xml:space="preserve"> </w:t>
      </w:r>
      <w:r w:rsidRPr="00F202D0">
        <w:rPr>
          <w:b/>
        </w:rPr>
        <w:t>102,</w:t>
      </w:r>
      <w:r w:rsidRPr="00F202D0">
        <w:t xml:space="preserve"> 1957–1975.</w:t>
      </w:r>
    </w:p>
    <w:p w:rsidR="00F202D0" w:rsidRPr="00F202D0" w:rsidRDefault="00F202D0" w:rsidP="00F202D0">
      <w:pPr>
        <w:pStyle w:val="References"/>
      </w:pPr>
      <w:r w:rsidRPr="00F202D0">
        <w:t xml:space="preserve">Chen, S.-Z., and G. M. Atkinson (2002). Global comparisons of earthquake source spectra, </w:t>
      </w:r>
      <w:r w:rsidRPr="00F202D0">
        <w:rPr>
          <w:i/>
        </w:rPr>
        <w:t>Bull. Seism. Soc. Am.</w:t>
      </w:r>
      <w:r w:rsidRPr="00F202D0">
        <w:t xml:space="preserve"> </w:t>
      </w:r>
      <w:r w:rsidRPr="00F202D0">
        <w:rPr>
          <w:b/>
        </w:rPr>
        <w:t>92,</w:t>
      </w:r>
      <w:r w:rsidRPr="00F202D0">
        <w:t xml:space="preserve"> 885–895.</w:t>
      </w:r>
    </w:p>
    <w:p w:rsidR="00F202D0" w:rsidRPr="00F202D0" w:rsidRDefault="00F202D0" w:rsidP="00F202D0">
      <w:pPr>
        <w:pStyle w:val="References"/>
      </w:pPr>
      <w:r w:rsidRPr="00F202D0">
        <w:t xml:space="preserve">Chiou, B., R. Youngs, N. Abrahamson, and K. Addo (2010). Ground-motion attenuation model for small-to-moderate shallow crustal earthquakes in California and its implications on regionalization of ground-motion prediction models, </w:t>
      </w:r>
      <w:r w:rsidRPr="00F202D0">
        <w:rPr>
          <w:i/>
        </w:rPr>
        <w:t>Earthq. Spectra</w:t>
      </w:r>
      <w:r w:rsidRPr="00F202D0">
        <w:t xml:space="preserve"> </w:t>
      </w:r>
      <w:r w:rsidRPr="00F202D0">
        <w:rPr>
          <w:b/>
        </w:rPr>
        <w:t>26,</w:t>
      </w:r>
      <w:r w:rsidRPr="00F202D0">
        <w:t xml:space="preserve"> 907–926.</w:t>
      </w:r>
    </w:p>
    <w:p w:rsidR="00F202D0" w:rsidRPr="00F202D0" w:rsidRDefault="00F202D0" w:rsidP="00F202D0">
      <w:pPr>
        <w:pStyle w:val="References"/>
      </w:pPr>
      <w:r w:rsidRPr="00F202D0">
        <w:t xml:space="preserve">Chiou, B. S.-J., and R. R. Youngs (2008). An NGA model for the average horizontal component of peak ground motion and response spectra, </w:t>
      </w:r>
      <w:r w:rsidRPr="00F202D0">
        <w:rPr>
          <w:i/>
        </w:rPr>
        <w:t>Earthq. Spectra</w:t>
      </w:r>
      <w:r w:rsidRPr="00F202D0">
        <w:t xml:space="preserve"> </w:t>
      </w:r>
      <w:r w:rsidRPr="00F202D0">
        <w:rPr>
          <w:b/>
        </w:rPr>
        <w:t>24,</w:t>
      </w:r>
      <w:r w:rsidRPr="00F202D0">
        <w:t xml:space="preserve"> 173–215.</w:t>
      </w:r>
    </w:p>
    <w:p w:rsidR="00F202D0" w:rsidRPr="00F202D0" w:rsidRDefault="00F202D0" w:rsidP="00F202D0">
      <w:pPr>
        <w:pStyle w:val="References"/>
      </w:pPr>
      <w:r w:rsidRPr="00F202D0">
        <w:t xml:space="preserve">Choi, Y., and J. P. Stewart (2005). Nonlinear site amplification as function of 30 m shear wave velocity, </w:t>
      </w:r>
      <w:r w:rsidRPr="00F202D0">
        <w:rPr>
          <w:i/>
        </w:rPr>
        <w:t>Earthquake Spectra</w:t>
      </w:r>
      <w:r w:rsidRPr="00F202D0">
        <w:t xml:space="preserve"> </w:t>
      </w:r>
      <w:r w:rsidRPr="00F202D0">
        <w:rPr>
          <w:b/>
        </w:rPr>
        <w:t>21,</w:t>
      </w:r>
      <w:r w:rsidRPr="00F202D0">
        <w:t xml:space="preserve"> 1-30.</w:t>
      </w:r>
    </w:p>
    <w:p w:rsidR="00F202D0" w:rsidRPr="00F202D0" w:rsidRDefault="00F202D0" w:rsidP="00F202D0">
      <w:pPr>
        <w:pStyle w:val="References"/>
      </w:pPr>
      <w:r w:rsidRPr="00F202D0">
        <w:t xml:space="preserve">Civil Engineers Australia (2012). Victorian earthquakes increase damage assessment demand, </w:t>
      </w:r>
      <w:r w:rsidRPr="00F202D0">
        <w:rPr>
          <w:i/>
        </w:rPr>
        <w:t>Civil Engineers Australia</w:t>
      </w:r>
      <w:r w:rsidRPr="00F202D0">
        <w:t xml:space="preserve"> </w:t>
      </w:r>
      <w:r w:rsidRPr="00F202D0">
        <w:rPr>
          <w:b/>
        </w:rPr>
        <w:t>September 2012,</w:t>
      </w:r>
      <w:r w:rsidRPr="00F202D0">
        <w:t xml:space="preserve"> 68.</w:t>
      </w:r>
    </w:p>
    <w:p w:rsidR="00F202D0" w:rsidRPr="00F202D0" w:rsidRDefault="00F202D0" w:rsidP="00F202D0">
      <w:pPr>
        <w:pStyle w:val="References"/>
      </w:pPr>
      <w:r w:rsidRPr="00F202D0">
        <w:t xml:space="preserve">Collins, C., R. Kayen, B. Carkin, T. Allen, P. Cummins, and A. McPherson (2006). Shear wave velocity measurement at Australian ground motion seismometer sites by the spectral analysis of surface waves (SASW) method, </w:t>
      </w:r>
      <w:r w:rsidRPr="00F202D0">
        <w:rPr>
          <w:i/>
        </w:rPr>
        <w:t>Earthquake Engineeri</w:t>
      </w:r>
      <w:r w:rsidR="00EC212D">
        <w:rPr>
          <w:i/>
        </w:rPr>
        <w:t xml:space="preserve">ng in Australia, </w:t>
      </w:r>
      <w:r w:rsidR="00EC212D" w:rsidRPr="00F202D0">
        <w:rPr>
          <w:i/>
        </w:rPr>
        <w:t>Proceedings: Australian Earthquake Engineering Society</w:t>
      </w:r>
      <w:r w:rsidR="00EC212D">
        <w:rPr>
          <w:i/>
        </w:rPr>
        <w:t xml:space="preserve"> Conference, Canberra, ACT</w:t>
      </w:r>
      <w:r w:rsidRPr="00F202D0">
        <w:rPr>
          <w:i/>
        </w:rPr>
        <w:t>,</w:t>
      </w:r>
      <w:r w:rsidRPr="00F202D0">
        <w:t>.</w:t>
      </w:r>
    </w:p>
    <w:p w:rsidR="00F202D0" w:rsidRPr="00F202D0" w:rsidRDefault="00F202D0" w:rsidP="00F202D0">
      <w:pPr>
        <w:pStyle w:val="References"/>
      </w:pPr>
      <w:r w:rsidRPr="00F202D0">
        <w:t xml:space="preserve">Collins, C. D. N., B. J. Drummond, and M. G. Nicoll (2003). Crustal thickness patterns in the Australian continent, </w:t>
      </w:r>
      <w:r w:rsidRPr="00F202D0">
        <w:rPr>
          <w:i/>
        </w:rPr>
        <w:t>Evolution and dynamics of the Australian Plate</w:t>
      </w:r>
      <w:r w:rsidRPr="00F202D0">
        <w:t xml:space="preserve">. R. R. Hillis, and R. D. Müller. Boulder, CO, Geological Society of America. </w:t>
      </w:r>
      <w:r w:rsidRPr="00F202D0">
        <w:rPr>
          <w:b/>
        </w:rPr>
        <w:t xml:space="preserve">Geol. Soc. Australia Spec. Publ. 22, and Geol. Soc. America Spec. Pap. 372, </w:t>
      </w:r>
      <w:r w:rsidRPr="00F202D0">
        <w:t>121–128.</w:t>
      </w:r>
    </w:p>
    <w:p w:rsidR="00F202D0" w:rsidRPr="00F202D0" w:rsidRDefault="00F202D0" w:rsidP="00F202D0">
      <w:pPr>
        <w:pStyle w:val="References"/>
      </w:pPr>
      <w:r w:rsidRPr="00F202D0">
        <w:t xml:space="preserve">Dainty, A. M. (1981). A scattering model to explain seismic </w:t>
      </w:r>
      <w:r w:rsidRPr="00F202D0">
        <w:rPr>
          <w:i/>
        </w:rPr>
        <w:t>Q</w:t>
      </w:r>
      <w:r w:rsidRPr="00F202D0">
        <w:t xml:space="preserve"> observations in the lithosphere between 1 and 30 Hz, </w:t>
      </w:r>
      <w:r w:rsidRPr="00F202D0">
        <w:rPr>
          <w:i/>
        </w:rPr>
        <w:t>Geophys. Res. Lett.</w:t>
      </w:r>
      <w:r w:rsidRPr="00F202D0">
        <w:t xml:space="preserve"> </w:t>
      </w:r>
      <w:r w:rsidRPr="00F202D0">
        <w:rPr>
          <w:b/>
        </w:rPr>
        <w:t>8,</w:t>
      </w:r>
      <w:r w:rsidRPr="00F202D0">
        <w:t xml:space="preserve"> 1126-1128.</w:t>
      </w:r>
    </w:p>
    <w:p w:rsidR="00F202D0" w:rsidRPr="00F202D0" w:rsidRDefault="00F202D0" w:rsidP="00F202D0">
      <w:pPr>
        <w:pStyle w:val="References"/>
      </w:pPr>
      <w:r w:rsidRPr="00F202D0">
        <w:t xml:space="preserve">Dhu, T., and T. Jones (2002). Earthquake risk in Newcastle and Lake Macquarie, </w:t>
      </w:r>
      <w:r w:rsidRPr="00F202D0">
        <w:rPr>
          <w:i/>
        </w:rPr>
        <w:t>Geoscience Australia Record 2002/15</w:t>
      </w:r>
      <w:r w:rsidRPr="00F202D0">
        <w:t>.</w:t>
      </w:r>
    </w:p>
    <w:p w:rsidR="00F202D0" w:rsidRPr="00F202D0" w:rsidRDefault="00F202D0" w:rsidP="00F202D0">
      <w:pPr>
        <w:pStyle w:val="References"/>
      </w:pPr>
      <w:r w:rsidRPr="00F202D0">
        <w:lastRenderedPageBreak/>
        <w:t xml:space="preserve">Douglas, J., P. Gehl, L. F. Bonilla, and C. Gélis (2010). A </w:t>
      </w:r>
      <w:r w:rsidRPr="00F202D0">
        <w:rPr>
          <w:rFonts w:ascii="Symbol" w:hAnsi="Symbol"/>
        </w:rPr>
        <w:t>k</w:t>
      </w:r>
      <w:r w:rsidRPr="00F202D0">
        <w:t xml:space="preserve"> model for mainland France, </w:t>
      </w:r>
      <w:r w:rsidRPr="00F202D0">
        <w:rPr>
          <w:i/>
        </w:rPr>
        <w:t>Pure Appl. Geophys.</w:t>
      </w:r>
      <w:r w:rsidRPr="00F202D0">
        <w:t xml:space="preserve"> </w:t>
      </w:r>
      <w:r w:rsidRPr="00F202D0">
        <w:rPr>
          <w:b/>
        </w:rPr>
        <w:t>167,</w:t>
      </w:r>
      <w:r w:rsidRPr="00F202D0">
        <w:t xml:space="preserve"> 1303-1315.</w:t>
      </w:r>
    </w:p>
    <w:p w:rsidR="00F202D0" w:rsidRPr="00F202D0" w:rsidRDefault="00F202D0" w:rsidP="00F202D0">
      <w:pPr>
        <w:pStyle w:val="References"/>
      </w:pPr>
      <w:r w:rsidRPr="00F202D0">
        <w:t xml:space="preserve">Drouet, S., F. Cotton, and P. Guéguen (2010). </w:t>
      </w:r>
      <w:r w:rsidRPr="00F202D0">
        <w:rPr>
          <w:i/>
        </w:rPr>
        <w:t>v</w:t>
      </w:r>
      <w:r w:rsidRPr="00F202D0">
        <w:rPr>
          <w:i/>
          <w:vertAlign w:val="subscript"/>
        </w:rPr>
        <w:t>S30</w:t>
      </w:r>
      <w:r w:rsidRPr="00F202D0">
        <w:t xml:space="preserve">, </w:t>
      </w:r>
      <w:r w:rsidRPr="00F202D0">
        <w:rPr>
          <w:rFonts w:ascii="Symbol" w:hAnsi="Symbol"/>
          <w:i/>
        </w:rPr>
        <w:t>k</w:t>
      </w:r>
      <w:r w:rsidRPr="00F202D0">
        <w:t xml:space="preserve">, regional attenuation and </w:t>
      </w:r>
      <w:r w:rsidRPr="00F202D0">
        <w:rPr>
          <w:i/>
        </w:rPr>
        <w:t>M</w:t>
      </w:r>
      <w:r w:rsidRPr="00F202D0">
        <w:rPr>
          <w:i/>
          <w:vertAlign w:val="subscript"/>
        </w:rPr>
        <w:t>W</w:t>
      </w:r>
      <w:r w:rsidRPr="00F202D0">
        <w:t xml:space="preserve"> from accelerograms: application to magnitude 3–5 French earthquakes, </w:t>
      </w:r>
      <w:r w:rsidRPr="00F202D0">
        <w:rPr>
          <w:i/>
        </w:rPr>
        <w:t>Geophys. J. Int.</w:t>
      </w:r>
      <w:r w:rsidRPr="00F202D0">
        <w:t xml:space="preserve"> </w:t>
      </w:r>
      <w:r w:rsidRPr="00F202D0">
        <w:rPr>
          <w:b/>
        </w:rPr>
        <w:t>182,</w:t>
      </w:r>
      <w:r w:rsidRPr="00F202D0">
        <w:t xml:space="preserve"> 880</w:t>
      </w:r>
      <w:r w:rsidR="00EC212D">
        <w:noBreakHyphen/>
      </w:r>
      <w:r w:rsidRPr="00F202D0">
        <w:t>898.</w:t>
      </w:r>
    </w:p>
    <w:p w:rsidR="00F202D0" w:rsidRPr="00F202D0" w:rsidRDefault="00F202D0" w:rsidP="00F202D0">
      <w:pPr>
        <w:pStyle w:val="References"/>
      </w:pPr>
      <w:r w:rsidRPr="00F202D0">
        <w:t>Earle, P. S., D. J. Wald, K. S. Jaiswal, T. I. Allen, M. G. Hearne, K. D. Marano, A. J. Hotovec, and J. M. Fee (2009). Prompt Assessment of Global Earthquakes for Response (PAGER): A system for rapidly determining the impact of earthquakes worldwide, U.S. Geological Survey Open-File Report 2009–1131. Golden</w:t>
      </w:r>
      <w:r w:rsidRPr="00F202D0">
        <w:rPr>
          <w:b/>
        </w:rPr>
        <w:t xml:space="preserve"> </w:t>
      </w:r>
      <w:r w:rsidRPr="00F202D0">
        <w:t>15</w:t>
      </w:r>
      <w:r w:rsidR="00EC212D">
        <w:t xml:space="preserve"> pp</w:t>
      </w:r>
      <w:r w:rsidRPr="00F202D0">
        <w:t>.</w:t>
      </w:r>
    </w:p>
    <w:p w:rsidR="00F202D0" w:rsidRPr="00F202D0" w:rsidRDefault="00F202D0" w:rsidP="00F202D0">
      <w:pPr>
        <w:pStyle w:val="References"/>
      </w:pPr>
      <w:r w:rsidRPr="00F202D0">
        <w:t xml:space="preserve">Edwards, B., D. Fäh, and D. Giardini (2011). Attenuation of seismic shear wave energy in Switzerland, </w:t>
      </w:r>
      <w:r w:rsidRPr="00F202D0">
        <w:rPr>
          <w:i/>
        </w:rPr>
        <w:t>Geophys. J. Int.</w:t>
      </w:r>
      <w:r w:rsidRPr="00F202D0">
        <w:t xml:space="preserve"> </w:t>
      </w:r>
      <w:r w:rsidRPr="00F202D0">
        <w:rPr>
          <w:b/>
        </w:rPr>
        <w:t>185,</w:t>
      </w:r>
      <w:r w:rsidRPr="00F202D0">
        <w:t xml:space="preserve"> 967–984.</w:t>
      </w:r>
    </w:p>
    <w:p w:rsidR="00F202D0" w:rsidRPr="00F202D0" w:rsidRDefault="00F202D0" w:rsidP="00F202D0">
      <w:pPr>
        <w:pStyle w:val="References"/>
      </w:pPr>
      <w:r w:rsidRPr="00F202D0">
        <w:t xml:space="preserve">Edwards, B., A. Rietbrock, J. J. Bommer, and B. Baptie (2008). The acquisition of source, path, and site effects from microearthquake recordings using </w:t>
      </w:r>
      <w:r w:rsidRPr="00F202D0">
        <w:rPr>
          <w:i/>
        </w:rPr>
        <w:t>Q</w:t>
      </w:r>
      <w:r w:rsidRPr="00F202D0">
        <w:t xml:space="preserve"> tomography: application to the United Kingdom, </w:t>
      </w:r>
      <w:r w:rsidRPr="00F202D0">
        <w:rPr>
          <w:i/>
        </w:rPr>
        <w:t>Bull. Seism. Soc. Am.</w:t>
      </w:r>
      <w:r w:rsidRPr="00F202D0">
        <w:t xml:space="preserve"> </w:t>
      </w:r>
      <w:r w:rsidRPr="00F202D0">
        <w:rPr>
          <w:b/>
        </w:rPr>
        <w:t>98,</w:t>
      </w:r>
      <w:r w:rsidRPr="00F202D0">
        <w:t xml:space="preserve"> 1915–1935.</w:t>
      </w:r>
    </w:p>
    <w:p w:rsidR="00F202D0" w:rsidRPr="00F202D0" w:rsidRDefault="00F202D0" w:rsidP="00F202D0">
      <w:pPr>
        <w:pStyle w:val="References"/>
        <w:rPr>
          <w:lang w:val="it-IT"/>
        </w:rPr>
      </w:pPr>
      <w:r w:rsidRPr="00F202D0">
        <w:t xml:space="preserve">Electric Power Research Institute (2003). CEUS Ground Motion Project: Model Development and Results, Electric Power Research Institute Report 1008910. </w:t>
      </w:r>
      <w:r w:rsidRPr="00F202D0">
        <w:rPr>
          <w:lang w:val="it-IT"/>
        </w:rPr>
        <w:t>EPRI. Palo Alto, CA</w:t>
      </w:r>
      <w:r w:rsidRPr="00F202D0">
        <w:rPr>
          <w:b/>
          <w:lang w:val="it-IT"/>
        </w:rPr>
        <w:t xml:space="preserve"> </w:t>
      </w:r>
      <w:r w:rsidRPr="00F202D0">
        <w:rPr>
          <w:lang w:val="it-IT"/>
        </w:rPr>
        <w:t>105.</w:t>
      </w:r>
    </w:p>
    <w:p w:rsidR="00F202D0" w:rsidRPr="00F202D0" w:rsidRDefault="00F202D0" w:rsidP="00F202D0">
      <w:pPr>
        <w:pStyle w:val="References"/>
      </w:pPr>
      <w:r w:rsidRPr="00F202D0">
        <w:t xml:space="preserve">Gaull, B. A., M. O. Michael-Leiba, and J. M. W. Rynn (1990). Probabilistic earthquake risk maps of Australia, </w:t>
      </w:r>
      <w:r w:rsidRPr="00F202D0">
        <w:rPr>
          <w:i/>
        </w:rPr>
        <w:t>Aust. J. Earth. Sci.</w:t>
      </w:r>
      <w:r w:rsidRPr="00F202D0">
        <w:t xml:space="preserve"> </w:t>
      </w:r>
      <w:r w:rsidRPr="00F202D0">
        <w:rPr>
          <w:b/>
        </w:rPr>
        <w:t>37,</w:t>
      </w:r>
      <w:r w:rsidRPr="00F202D0">
        <w:t xml:space="preserve"> 169-187.</w:t>
      </w:r>
    </w:p>
    <w:p w:rsidR="00F202D0" w:rsidRPr="00EC212D" w:rsidRDefault="00F202D0" w:rsidP="00F202D0">
      <w:pPr>
        <w:pStyle w:val="References"/>
        <w:rPr>
          <w:szCs w:val="21"/>
        </w:rPr>
      </w:pPr>
      <w:r w:rsidRPr="00F202D0">
        <w:t>Geoscience Australia (2004). Newcastle Earthquake, Geoscience Australia, Canberra,</w:t>
      </w:r>
      <w:r w:rsidRPr="00F202D0">
        <w:rPr>
          <w:b/>
        </w:rPr>
        <w:t xml:space="preserve"> </w:t>
      </w:r>
      <w:r w:rsidRPr="00ED3EA1">
        <w:rPr>
          <w:szCs w:val="21"/>
        </w:rPr>
        <w:t>http://www.ga.gov.au/image_cache/GA10000.pdf</w:t>
      </w:r>
      <w:r w:rsidRPr="00EC212D">
        <w:rPr>
          <w:szCs w:val="21"/>
        </w:rPr>
        <w:t>.</w:t>
      </w:r>
    </w:p>
    <w:p w:rsidR="00F202D0" w:rsidRPr="00F202D0" w:rsidRDefault="00F202D0" w:rsidP="00F202D0">
      <w:pPr>
        <w:pStyle w:val="References"/>
      </w:pPr>
      <w:r w:rsidRPr="00F202D0">
        <w:t>Goulet, C., N. Abrahamson, and Y. Bozorgnia (2011). NGA-East final project plan, Pacific Earthquake Engineering Research Center (PEER), Berkeley, CA</w:t>
      </w:r>
      <w:r w:rsidRPr="00F202D0">
        <w:rPr>
          <w:b/>
        </w:rPr>
        <w:t xml:space="preserve"> </w:t>
      </w:r>
      <w:r w:rsidRPr="00F202D0">
        <w:t>34</w:t>
      </w:r>
      <w:r w:rsidR="00EC212D">
        <w:t xml:space="preserve"> pp</w:t>
      </w:r>
      <w:r w:rsidRPr="00F202D0">
        <w:t>.</w:t>
      </w:r>
    </w:p>
    <w:p w:rsidR="00F202D0" w:rsidRPr="00F202D0" w:rsidRDefault="00F202D0" w:rsidP="00F202D0">
      <w:pPr>
        <w:pStyle w:val="References"/>
      </w:pPr>
      <w:r w:rsidRPr="00F202D0">
        <w:t xml:space="preserve">Haimson, B. C. (1978). Crustal stress in the Michigan Basin, </w:t>
      </w:r>
      <w:r w:rsidRPr="00F202D0">
        <w:rPr>
          <w:i/>
        </w:rPr>
        <w:t>J. Geophys. Res.</w:t>
      </w:r>
      <w:r w:rsidRPr="00F202D0">
        <w:t xml:space="preserve"> </w:t>
      </w:r>
      <w:r w:rsidRPr="00F202D0">
        <w:rPr>
          <w:b/>
        </w:rPr>
        <w:t>83,</w:t>
      </w:r>
      <w:r w:rsidRPr="00F202D0">
        <w:t xml:space="preserve"> 5857-5863.</w:t>
      </w:r>
    </w:p>
    <w:p w:rsidR="00F202D0" w:rsidRPr="00F202D0" w:rsidRDefault="00F202D0" w:rsidP="00F202D0">
      <w:pPr>
        <w:pStyle w:val="References"/>
      </w:pPr>
      <w:r w:rsidRPr="00F202D0">
        <w:t xml:space="preserve">Hanks, T. C., and H. Kanamori (1979). A moment magnitude scale, </w:t>
      </w:r>
      <w:r w:rsidRPr="00F202D0">
        <w:rPr>
          <w:i/>
        </w:rPr>
        <w:t>J. Geophys. Res.</w:t>
      </w:r>
      <w:r w:rsidRPr="00F202D0">
        <w:t xml:space="preserve"> </w:t>
      </w:r>
      <w:r w:rsidRPr="00F202D0">
        <w:rPr>
          <w:b/>
        </w:rPr>
        <w:t>84,</w:t>
      </w:r>
      <w:r w:rsidRPr="00F202D0">
        <w:t xml:space="preserve"> 2348</w:t>
      </w:r>
      <w:r w:rsidR="00EC212D">
        <w:noBreakHyphen/>
      </w:r>
      <w:r w:rsidRPr="00F202D0">
        <w:t>2350.</w:t>
      </w:r>
    </w:p>
    <w:p w:rsidR="00F202D0" w:rsidRPr="00F202D0" w:rsidRDefault="00F202D0" w:rsidP="00F202D0">
      <w:pPr>
        <w:pStyle w:val="References"/>
      </w:pPr>
      <w:r w:rsidRPr="00F202D0">
        <w:t xml:space="preserve">Hanks, T. C., and M. Wyss (1972). The use of body-wave spectra in the determination of seismic-source parameters, </w:t>
      </w:r>
      <w:r w:rsidRPr="00F202D0">
        <w:rPr>
          <w:i/>
        </w:rPr>
        <w:t>Bull. Seism. Soc. Am.</w:t>
      </w:r>
      <w:r w:rsidRPr="00F202D0">
        <w:t xml:space="preserve"> </w:t>
      </w:r>
      <w:r w:rsidRPr="00F202D0">
        <w:rPr>
          <w:b/>
        </w:rPr>
        <w:t>62,</w:t>
      </w:r>
      <w:r w:rsidRPr="00F202D0">
        <w:t xml:space="preserve"> 561-589.</w:t>
      </w:r>
    </w:p>
    <w:p w:rsidR="00F202D0" w:rsidRPr="00F202D0" w:rsidRDefault="00F202D0" w:rsidP="00F202D0">
      <w:pPr>
        <w:pStyle w:val="References"/>
      </w:pPr>
      <w:r w:rsidRPr="00F202D0">
        <w:t xml:space="preserve">Hartzell, S. H. (1978). Earthquake aftershocks as Green's Functions, </w:t>
      </w:r>
      <w:r w:rsidRPr="00F202D0">
        <w:rPr>
          <w:i/>
        </w:rPr>
        <w:t>Geophys. Res. Lett.</w:t>
      </w:r>
      <w:r w:rsidRPr="00F202D0">
        <w:t xml:space="preserve"> </w:t>
      </w:r>
      <w:r w:rsidRPr="00F202D0">
        <w:rPr>
          <w:b/>
        </w:rPr>
        <w:t>5,</w:t>
      </w:r>
      <w:r w:rsidRPr="00F202D0">
        <w:t xml:space="preserve"> 1-4.</w:t>
      </w:r>
    </w:p>
    <w:p w:rsidR="00F202D0" w:rsidRPr="00F202D0" w:rsidRDefault="00F202D0" w:rsidP="00F202D0">
      <w:pPr>
        <w:pStyle w:val="References"/>
      </w:pPr>
      <w:r w:rsidRPr="00F202D0">
        <w:t xml:space="preserve">Hashash, Y., K. Campbell, E. Rathje, W. Silva, J. Stewart, and A. Kottke (2011). Selected reference rock and issues for the CEUS, </w:t>
      </w:r>
      <w:r w:rsidRPr="00F202D0">
        <w:rPr>
          <w:i/>
        </w:rPr>
        <w:t>Next Generation Attenuation for CEUS (NGA-East) Workshop 2</w:t>
      </w:r>
      <w:r w:rsidRPr="00F202D0">
        <w:t>, Berkeley, CA.</w:t>
      </w:r>
    </w:p>
    <w:p w:rsidR="00F202D0" w:rsidRPr="00F202D0" w:rsidRDefault="00F202D0" w:rsidP="00F202D0">
      <w:pPr>
        <w:pStyle w:val="References"/>
      </w:pPr>
      <w:r w:rsidRPr="00F202D0">
        <w:t xml:space="preserve">Herrmann, R. B., and A. Kijko (1983). Modeling some empirical vertical component </w:t>
      </w:r>
      <w:r w:rsidRPr="00F202D0">
        <w:rPr>
          <w:i/>
        </w:rPr>
        <w:t>Lg</w:t>
      </w:r>
      <w:r w:rsidRPr="00F202D0">
        <w:t xml:space="preserve"> relations, </w:t>
      </w:r>
      <w:r w:rsidRPr="00F202D0">
        <w:rPr>
          <w:i/>
        </w:rPr>
        <w:t>Bull. Seism. Soc. Am.</w:t>
      </w:r>
      <w:r w:rsidRPr="00F202D0">
        <w:t xml:space="preserve"> </w:t>
      </w:r>
      <w:r w:rsidRPr="00F202D0">
        <w:rPr>
          <w:b/>
        </w:rPr>
        <w:t>73,</w:t>
      </w:r>
      <w:r w:rsidRPr="00F202D0">
        <w:t xml:space="preserve"> 157-171.</w:t>
      </w:r>
    </w:p>
    <w:p w:rsidR="00F202D0" w:rsidRPr="00F202D0" w:rsidRDefault="00F202D0" w:rsidP="00F202D0">
      <w:pPr>
        <w:pStyle w:val="References"/>
      </w:pPr>
      <w:r w:rsidRPr="00F202D0">
        <w:t xml:space="preserve">Hough, S. E., J. G. Anderson, J. Brune, F. Vernon, G. Berger, J. Fletcher, L. Haar, T. Hanks, and L. Baker (1988). Attenuation near Anza, California, </w:t>
      </w:r>
      <w:r w:rsidRPr="00F202D0">
        <w:rPr>
          <w:i/>
        </w:rPr>
        <w:t>Bull. Seism. Soc. Am.</w:t>
      </w:r>
      <w:r w:rsidRPr="00F202D0">
        <w:t xml:space="preserve"> </w:t>
      </w:r>
      <w:r w:rsidRPr="00F202D0">
        <w:rPr>
          <w:b/>
        </w:rPr>
        <w:t>78,</w:t>
      </w:r>
      <w:r w:rsidRPr="00F202D0">
        <w:t xml:space="preserve"> 672-691.</w:t>
      </w:r>
    </w:p>
    <w:p w:rsidR="00F202D0" w:rsidRPr="00ED3EA1" w:rsidRDefault="00F202D0" w:rsidP="00ED3EA1">
      <w:pPr>
        <w:pStyle w:val="References"/>
      </w:pPr>
      <w:r w:rsidRPr="00ED3EA1">
        <w:t xml:space="preserve">Insurance Council of Australia. (2012). Insurance Council of Australia - historical disaster statistics,   Retrieved 30 March 2012, </w:t>
      </w:r>
      <w:r w:rsidRPr="00ED3EA1">
        <w:rPr>
          <w:szCs w:val="21"/>
        </w:rPr>
        <w:t xml:space="preserve">from </w:t>
      </w:r>
      <w:hyperlink r:id="rId88" w:history="1">
        <w:r w:rsidRPr="00ED3EA1">
          <w:rPr>
            <w:rStyle w:val="Hyperlink"/>
            <w:color w:val="auto"/>
            <w:szCs w:val="21"/>
            <w:u w:val="none"/>
          </w:rPr>
          <w:t>http://www.insurancecouncil.com.au/Default.aspx?tabid=1572</w:t>
        </w:r>
      </w:hyperlink>
      <w:r w:rsidRPr="00ED3EA1">
        <w:t>.</w:t>
      </w:r>
    </w:p>
    <w:p w:rsidR="00F202D0" w:rsidRPr="00F202D0" w:rsidRDefault="00F202D0" w:rsidP="00F202D0">
      <w:pPr>
        <w:pStyle w:val="References"/>
      </w:pPr>
      <w:r w:rsidRPr="00F202D0">
        <w:t xml:space="preserve">Kayen, R., and B. Carkin (2006). Preliminary report on the shear wave velocity of Australian strong motion seismometer sites by the Spectral Analysis of Surface Waves method (SASW) with parallel-arrayed harmonic-wave sources and H/V microtremor method, </w:t>
      </w:r>
      <w:r w:rsidRPr="00EC212D">
        <w:rPr>
          <w:i/>
        </w:rPr>
        <w:t>U.S. Geological Survey Administritive Report 2006-2</w:t>
      </w:r>
      <w:r w:rsidRPr="00F202D0">
        <w:t>, Menlo Park, CA</w:t>
      </w:r>
      <w:r w:rsidRPr="00F202D0">
        <w:rPr>
          <w:b/>
        </w:rPr>
        <w:t xml:space="preserve"> </w:t>
      </w:r>
      <w:r w:rsidRPr="00F202D0">
        <w:t>30</w:t>
      </w:r>
      <w:r w:rsidR="00EC212D">
        <w:t xml:space="preserve"> pp</w:t>
      </w:r>
      <w:r w:rsidRPr="00F202D0">
        <w:t>.</w:t>
      </w:r>
    </w:p>
    <w:p w:rsidR="00F202D0" w:rsidRPr="00F202D0" w:rsidRDefault="00F202D0" w:rsidP="00F202D0">
      <w:pPr>
        <w:pStyle w:val="References"/>
      </w:pPr>
      <w:r w:rsidRPr="00F202D0">
        <w:t>Kayen, R., B. Carkin, and D. Minasian (2010). Shear wave velocity of Australian strong motion seismometer sites by the Spectral Analysis of Surface Waves method (SASW): 2010 Survey, U.S. Geological Survey, Menlo Park, CA</w:t>
      </w:r>
      <w:r w:rsidRPr="00F202D0">
        <w:rPr>
          <w:b/>
        </w:rPr>
        <w:t xml:space="preserve"> </w:t>
      </w:r>
      <w:r w:rsidRPr="00F202D0">
        <w:t>33</w:t>
      </w:r>
      <w:r w:rsidR="00EC212D">
        <w:t xml:space="preserve"> pp</w:t>
      </w:r>
      <w:r w:rsidRPr="00F202D0">
        <w:t>.</w:t>
      </w:r>
    </w:p>
    <w:p w:rsidR="00F202D0" w:rsidRPr="00F202D0" w:rsidRDefault="00F202D0" w:rsidP="00F202D0">
      <w:pPr>
        <w:pStyle w:val="References"/>
      </w:pPr>
      <w:r w:rsidRPr="00F202D0">
        <w:t xml:space="preserve">Lam, N. T. K., and J. L. Wilson (2008). The new response spectrum model for Australia,  </w:t>
      </w:r>
      <w:r w:rsidRPr="00F202D0">
        <w:rPr>
          <w:b/>
        </w:rPr>
        <w:t>Special Issue: Earthquake Engineering in the Low and Moderate Seismic Regions of Southeast Asia and Australia,</w:t>
      </w:r>
      <w:r w:rsidRPr="00F202D0">
        <w:t xml:space="preserve"> 6-24</w:t>
      </w:r>
      <w:r w:rsidR="00EC212D">
        <w:t>.</w:t>
      </w:r>
      <w:r w:rsidRPr="00F202D0">
        <w:t xml:space="preserve"> </w:t>
      </w:r>
    </w:p>
    <w:p w:rsidR="00F202D0" w:rsidRPr="00F202D0" w:rsidRDefault="00F202D0" w:rsidP="00F202D0">
      <w:pPr>
        <w:pStyle w:val="References"/>
      </w:pPr>
      <w:r w:rsidRPr="00F202D0">
        <w:lastRenderedPageBreak/>
        <w:t xml:space="preserve">Leonard, M. (2010). Earthquake fault scaling: self-consistent relating of rupture length, width, average displacement, and moment release, </w:t>
      </w:r>
      <w:r w:rsidRPr="00F202D0">
        <w:rPr>
          <w:i/>
        </w:rPr>
        <w:t>Bull. Seism. Soc. Am.</w:t>
      </w:r>
      <w:r w:rsidRPr="00F202D0">
        <w:t xml:space="preserve"> </w:t>
      </w:r>
      <w:r w:rsidRPr="00F202D0">
        <w:rPr>
          <w:b/>
        </w:rPr>
        <w:t>100,</w:t>
      </w:r>
      <w:r w:rsidRPr="00F202D0">
        <w:t xml:space="preserve"> 1971–1988.</w:t>
      </w:r>
    </w:p>
    <w:p w:rsidR="00F202D0" w:rsidRPr="00F202D0" w:rsidRDefault="00F202D0" w:rsidP="00F202D0">
      <w:pPr>
        <w:pStyle w:val="References"/>
      </w:pPr>
      <w:r w:rsidRPr="00F202D0">
        <w:t xml:space="preserve">Leonard, M., D. Robinson, T. Allen, J. Schneider, D. Clark, T. Dhu, and D. Burbidge (2007). Toward a better model of earthquake hazard in Australia, </w:t>
      </w:r>
      <w:r w:rsidRPr="00F202D0">
        <w:rPr>
          <w:i/>
        </w:rPr>
        <w:t>Continental intraplate earthquakes: science, hazard, and policy issues</w:t>
      </w:r>
      <w:r w:rsidRPr="00F202D0">
        <w:t xml:space="preserve">. S. Stein, and S. Mazzotti. Boulder, CO, The Geological Society of America. </w:t>
      </w:r>
      <w:r w:rsidRPr="00F202D0">
        <w:rPr>
          <w:b/>
        </w:rPr>
        <w:t xml:space="preserve">Special Paper 425, </w:t>
      </w:r>
      <w:r w:rsidRPr="00F202D0">
        <w:t>263-283.</w:t>
      </w:r>
    </w:p>
    <w:p w:rsidR="00F202D0" w:rsidRPr="00F202D0" w:rsidRDefault="00F202D0" w:rsidP="00F202D0">
      <w:pPr>
        <w:pStyle w:val="References"/>
      </w:pPr>
      <w:r w:rsidRPr="00F202D0">
        <w:t xml:space="preserve">Liang, J. Z., H. Hao, B. A. Gaull, and C. Sinadinovski (2008). Estimation of strong ground motions in southwest Western Australia with a combined Green's function and stochastic approach, </w:t>
      </w:r>
      <w:r w:rsidRPr="00F202D0">
        <w:rPr>
          <w:i/>
        </w:rPr>
        <w:t>J. Earthq. Eng.</w:t>
      </w:r>
      <w:r w:rsidRPr="00F202D0">
        <w:t xml:space="preserve"> </w:t>
      </w:r>
      <w:r w:rsidRPr="00F202D0">
        <w:rPr>
          <w:b/>
        </w:rPr>
        <w:t>12,</w:t>
      </w:r>
      <w:r w:rsidRPr="00F202D0">
        <w:t xml:space="preserve"> 382–405.</w:t>
      </w:r>
    </w:p>
    <w:p w:rsidR="00F202D0" w:rsidRPr="00F202D0" w:rsidRDefault="00F202D0" w:rsidP="00F202D0">
      <w:pPr>
        <w:pStyle w:val="References"/>
      </w:pPr>
      <w:r w:rsidRPr="00F202D0">
        <w:t xml:space="preserve">McCue, K., V. Wesson, and G. Gibson (1990). The Newcastle, New South Wales, earthquake of 28 December 1989, </w:t>
      </w:r>
      <w:r w:rsidRPr="00F202D0">
        <w:rPr>
          <w:i/>
        </w:rPr>
        <w:t>BMR J. Aust. Geol. Geophys.</w:t>
      </w:r>
      <w:r w:rsidRPr="00F202D0">
        <w:t xml:space="preserve"> </w:t>
      </w:r>
      <w:r w:rsidRPr="00F202D0">
        <w:rPr>
          <w:b/>
        </w:rPr>
        <w:t>11,</w:t>
      </w:r>
      <w:r w:rsidRPr="00F202D0">
        <w:t xml:space="preserve"> 559–567.</w:t>
      </w:r>
    </w:p>
    <w:p w:rsidR="00F202D0" w:rsidRPr="00F202D0" w:rsidRDefault="00F202D0" w:rsidP="00F202D0">
      <w:pPr>
        <w:pStyle w:val="References"/>
      </w:pPr>
      <w:r w:rsidRPr="00F202D0">
        <w:t xml:space="preserve">Morozov, I. B. (2008). Geometrical attenuation, frequency dependence of </w:t>
      </w:r>
      <w:r w:rsidRPr="00EC212D">
        <w:rPr>
          <w:i/>
        </w:rPr>
        <w:t>Q</w:t>
      </w:r>
      <w:r w:rsidRPr="00F202D0">
        <w:t xml:space="preserve">, and the absorption band problem, </w:t>
      </w:r>
      <w:r w:rsidRPr="00F202D0">
        <w:rPr>
          <w:i/>
        </w:rPr>
        <w:t>Geophys. J. Int.</w:t>
      </w:r>
      <w:r w:rsidRPr="00F202D0">
        <w:t xml:space="preserve"> </w:t>
      </w:r>
      <w:r w:rsidRPr="00F202D0">
        <w:rPr>
          <w:b/>
        </w:rPr>
        <w:t>175,</w:t>
      </w:r>
      <w:r w:rsidRPr="00F202D0">
        <w:t xml:space="preserve"> 239–252.</w:t>
      </w:r>
    </w:p>
    <w:p w:rsidR="00F202D0" w:rsidRPr="00F202D0" w:rsidRDefault="00F202D0" w:rsidP="00F202D0">
      <w:pPr>
        <w:pStyle w:val="References"/>
      </w:pPr>
      <w:r w:rsidRPr="00F202D0">
        <w:t xml:space="preserve">Morozov, I. B. (2009). Thirty years of confusion around “scattering </w:t>
      </w:r>
      <w:r w:rsidRPr="00EC212D">
        <w:rPr>
          <w:i/>
        </w:rPr>
        <w:t>Q</w:t>
      </w:r>
      <w:r w:rsidRPr="00F202D0">
        <w:t xml:space="preserve">”?, </w:t>
      </w:r>
      <w:r w:rsidRPr="00F202D0">
        <w:rPr>
          <w:i/>
        </w:rPr>
        <w:t>Seism. Res. Lett.</w:t>
      </w:r>
      <w:r w:rsidRPr="00F202D0">
        <w:t xml:space="preserve"> </w:t>
      </w:r>
      <w:r w:rsidRPr="00F202D0">
        <w:rPr>
          <w:b/>
        </w:rPr>
        <w:t>80,</w:t>
      </w:r>
      <w:r w:rsidRPr="00F202D0">
        <w:t xml:space="preserve"> 5-7.</w:t>
      </w:r>
    </w:p>
    <w:p w:rsidR="00F202D0" w:rsidRPr="00F202D0" w:rsidRDefault="00F202D0" w:rsidP="00F202D0">
      <w:pPr>
        <w:pStyle w:val="References"/>
      </w:pPr>
      <w:r w:rsidRPr="00F202D0">
        <w:t xml:space="preserve">Motazedian, D., and G. M. Atkinson (2005). Stochastic finite-fault modeling based on a dynamic corner frequency, </w:t>
      </w:r>
      <w:r w:rsidRPr="00F202D0">
        <w:rPr>
          <w:i/>
        </w:rPr>
        <w:t>Bull. Seism. Soc. Am.</w:t>
      </w:r>
      <w:r w:rsidRPr="00F202D0">
        <w:t xml:space="preserve"> </w:t>
      </w:r>
      <w:r w:rsidRPr="00F202D0">
        <w:rPr>
          <w:b/>
        </w:rPr>
        <w:t>95,</w:t>
      </w:r>
      <w:r w:rsidRPr="00F202D0">
        <w:t xml:space="preserve"> 995–1010.</w:t>
      </w:r>
    </w:p>
    <w:p w:rsidR="00F202D0" w:rsidRPr="00F202D0" w:rsidRDefault="00F202D0" w:rsidP="00F202D0">
      <w:pPr>
        <w:pStyle w:val="References"/>
      </w:pPr>
      <w:r w:rsidRPr="00F202D0">
        <w:t xml:space="preserve">Nuttli, O. W. (1983). Average seismic source-parameter relations for mid-plate earthquakes, </w:t>
      </w:r>
      <w:r w:rsidRPr="00F202D0">
        <w:rPr>
          <w:i/>
        </w:rPr>
        <w:t>Bull. Seism. Soc. Am.</w:t>
      </w:r>
      <w:r w:rsidRPr="00F202D0">
        <w:t xml:space="preserve"> </w:t>
      </w:r>
      <w:r w:rsidRPr="00F202D0">
        <w:rPr>
          <w:b/>
        </w:rPr>
        <w:t>73,</w:t>
      </w:r>
      <w:r w:rsidRPr="00F202D0">
        <w:t xml:space="preserve"> 519-535.</w:t>
      </w:r>
    </w:p>
    <w:p w:rsidR="00F202D0" w:rsidRPr="00F202D0" w:rsidRDefault="00F202D0" w:rsidP="00F202D0">
      <w:pPr>
        <w:pStyle w:val="References"/>
      </w:pPr>
      <w:r w:rsidRPr="00F202D0">
        <w:t xml:space="preserve">Ou, G.-B., and R. B. Herrmann (1990). Astatistical model for ground motion produced by earthquakes at loacl and regional distances, </w:t>
      </w:r>
      <w:r w:rsidRPr="00F202D0">
        <w:rPr>
          <w:i/>
        </w:rPr>
        <w:t>Bull. Seism. Soc. Am.</w:t>
      </w:r>
      <w:r w:rsidRPr="00F202D0">
        <w:t xml:space="preserve"> </w:t>
      </w:r>
      <w:r w:rsidRPr="00F202D0">
        <w:rPr>
          <w:b/>
        </w:rPr>
        <w:t>80,</w:t>
      </w:r>
      <w:r w:rsidRPr="00F202D0">
        <w:t xml:space="preserve"> 1397-1417.</w:t>
      </w:r>
    </w:p>
    <w:p w:rsidR="00F202D0" w:rsidRPr="00F202D0" w:rsidRDefault="00F202D0" w:rsidP="00F202D0">
      <w:pPr>
        <w:pStyle w:val="References"/>
      </w:pPr>
      <w:r w:rsidRPr="00F202D0">
        <w:t xml:space="preserve">Petersen, M. D., A. D. Frankel, S. C. Harmsen, C. S. Mueller, K. M. Haller, R. L. Wheeler, R. L. Wesson, Y. Zeng, O. S. Boyd, D. M. Perkins, N. Luco, E. H. Field, C. J. Wills, and K. S. Rukstales (2008). Documentation for the 2008 update of the United States National Seismic Hazard Maps, </w:t>
      </w:r>
      <w:r w:rsidRPr="00EC212D">
        <w:rPr>
          <w:i/>
        </w:rPr>
        <w:t>U.S. Geological Survey Open-File Report 2008–1128</w:t>
      </w:r>
      <w:r w:rsidRPr="00F202D0">
        <w:rPr>
          <w:b/>
        </w:rPr>
        <w:t xml:space="preserve"> </w:t>
      </w:r>
      <w:r w:rsidRPr="00F202D0">
        <w:t>128</w:t>
      </w:r>
      <w:r w:rsidR="00EC212D">
        <w:t xml:space="preserve"> pp</w:t>
      </w:r>
      <w:r w:rsidRPr="00F202D0">
        <w:t>.</w:t>
      </w:r>
    </w:p>
    <w:p w:rsidR="00F202D0" w:rsidRPr="00F202D0" w:rsidRDefault="00F202D0" w:rsidP="00F202D0">
      <w:pPr>
        <w:pStyle w:val="References"/>
      </w:pPr>
      <w:r w:rsidRPr="00F202D0">
        <w:t xml:space="preserve">Pezeshk, S., A. Zandieh, and B. Tavakoli (2011). Hybrid empirical ground-motion prediction equations for eastern North America using NGA models and updated seismological parameters, </w:t>
      </w:r>
      <w:r w:rsidRPr="00F202D0">
        <w:rPr>
          <w:i/>
        </w:rPr>
        <w:t>Bull. Seism. Soc. Am.</w:t>
      </w:r>
      <w:r w:rsidRPr="00F202D0">
        <w:t xml:space="preserve"> </w:t>
      </w:r>
      <w:r w:rsidRPr="00F202D0">
        <w:rPr>
          <w:b/>
        </w:rPr>
        <w:t>101,</w:t>
      </w:r>
      <w:r w:rsidRPr="00F202D0">
        <w:t xml:space="preserve"> 1859–1870.</w:t>
      </w:r>
    </w:p>
    <w:p w:rsidR="00F202D0" w:rsidRPr="00F202D0" w:rsidRDefault="00F202D0" w:rsidP="00F202D0">
      <w:pPr>
        <w:pStyle w:val="References"/>
      </w:pPr>
      <w:r w:rsidRPr="00F202D0">
        <w:t xml:space="preserve">Power, M., B. Chiou, N. Abrahamson, Y. Bozorgnia, T. Shantz, and C. Roblee (2008). An overview of the NGA project, </w:t>
      </w:r>
      <w:r w:rsidRPr="00F202D0">
        <w:rPr>
          <w:i/>
        </w:rPr>
        <w:t>Earthq. Spectra</w:t>
      </w:r>
      <w:r w:rsidRPr="00F202D0">
        <w:t xml:space="preserve"> </w:t>
      </w:r>
      <w:r w:rsidRPr="00F202D0">
        <w:rPr>
          <w:b/>
        </w:rPr>
        <w:t>24,</w:t>
      </w:r>
      <w:r w:rsidRPr="00F202D0">
        <w:t xml:space="preserve"> 3–21.</w:t>
      </w:r>
    </w:p>
    <w:p w:rsidR="00F202D0" w:rsidRPr="00F202D0" w:rsidRDefault="00F202D0" w:rsidP="00F202D0">
      <w:pPr>
        <w:pStyle w:val="References"/>
      </w:pPr>
      <w:r w:rsidRPr="00F202D0">
        <w:t xml:space="preserve">Raoof, M., R. B. Herrmann, and L. Malagnini (1999). Attenuation and excitation of three-component ground motion in southern California, </w:t>
      </w:r>
      <w:r w:rsidRPr="00F202D0">
        <w:rPr>
          <w:i/>
        </w:rPr>
        <w:t>Bull. Seism. Soc. Am.</w:t>
      </w:r>
      <w:r w:rsidRPr="00F202D0">
        <w:t xml:space="preserve"> </w:t>
      </w:r>
      <w:r w:rsidRPr="00F202D0">
        <w:rPr>
          <w:b/>
        </w:rPr>
        <w:t>89,</w:t>
      </w:r>
      <w:r w:rsidRPr="00F202D0">
        <w:t xml:space="preserve"> 888-902.</w:t>
      </w:r>
    </w:p>
    <w:p w:rsidR="00F202D0" w:rsidRPr="00F202D0" w:rsidRDefault="00F202D0" w:rsidP="00F202D0">
      <w:pPr>
        <w:pStyle w:val="References"/>
      </w:pPr>
      <w:r w:rsidRPr="00F202D0">
        <w:t xml:space="preserve">Scholz, C. H., C. A. Aviles, and S. G. Wesnousky (1986). Scaling differences between large interplate and intraplate earthquakes, </w:t>
      </w:r>
      <w:r w:rsidRPr="00F202D0">
        <w:rPr>
          <w:i/>
        </w:rPr>
        <w:t>Bull. Seism. Soc. Am.</w:t>
      </w:r>
      <w:r w:rsidRPr="00F202D0">
        <w:t xml:space="preserve"> </w:t>
      </w:r>
      <w:r w:rsidRPr="00F202D0">
        <w:rPr>
          <w:b/>
        </w:rPr>
        <w:t>76,</w:t>
      </w:r>
      <w:r w:rsidRPr="00F202D0">
        <w:t xml:space="preserve"> 65-70.</w:t>
      </w:r>
    </w:p>
    <w:p w:rsidR="00F202D0" w:rsidRPr="00F202D0" w:rsidRDefault="00F202D0" w:rsidP="00F202D0">
      <w:pPr>
        <w:pStyle w:val="References"/>
      </w:pPr>
      <w:r w:rsidRPr="00F202D0">
        <w:t xml:space="preserve">Schorlemmer, D., S. Wiemer, and M. Wyss (2005). Variations in earthquake-size distribution across different stress regimes, </w:t>
      </w:r>
      <w:r w:rsidRPr="00F202D0">
        <w:rPr>
          <w:i/>
        </w:rPr>
        <w:t>Nature</w:t>
      </w:r>
      <w:r w:rsidRPr="00F202D0">
        <w:t xml:space="preserve"> </w:t>
      </w:r>
      <w:r w:rsidRPr="00F202D0">
        <w:rPr>
          <w:b/>
        </w:rPr>
        <w:t>437,</w:t>
      </w:r>
      <w:r w:rsidRPr="00F202D0">
        <w:t xml:space="preserve"> 539-542.</w:t>
      </w:r>
    </w:p>
    <w:p w:rsidR="00F202D0" w:rsidRPr="00F202D0" w:rsidRDefault="00F202D0" w:rsidP="00F202D0">
      <w:pPr>
        <w:pStyle w:val="References"/>
      </w:pPr>
      <w:r w:rsidRPr="00F202D0">
        <w:t xml:space="preserve">Shi, J., W.-Y. Kim, and P. G. Richards (1998). The corner frequencies and stress drops of intraplate earthquakes in the northeastern United States, </w:t>
      </w:r>
      <w:r w:rsidRPr="00F202D0">
        <w:rPr>
          <w:i/>
        </w:rPr>
        <w:t>Bull. Seism. Soc. Am.</w:t>
      </w:r>
      <w:r w:rsidRPr="00F202D0">
        <w:t xml:space="preserve"> </w:t>
      </w:r>
      <w:r w:rsidRPr="00F202D0">
        <w:rPr>
          <w:b/>
        </w:rPr>
        <w:t>88,</w:t>
      </w:r>
      <w:r w:rsidRPr="00F202D0">
        <w:t xml:space="preserve"> 531-542.</w:t>
      </w:r>
    </w:p>
    <w:p w:rsidR="00F202D0" w:rsidRPr="00F202D0" w:rsidRDefault="00F202D0" w:rsidP="00F202D0">
      <w:pPr>
        <w:pStyle w:val="References"/>
      </w:pPr>
      <w:r w:rsidRPr="00F202D0">
        <w:t>Somerville, P., N. Collins, R. Graves, S.-G. Song, and S. Ni (2009). Ground motion models for Australian earthquakes, Final Report. URS Corporation, Pasadena, CA.</w:t>
      </w:r>
    </w:p>
    <w:p w:rsidR="00F202D0" w:rsidRPr="00F202D0" w:rsidRDefault="00F202D0" w:rsidP="00F202D0">
      <w:pPr>
        <w:pStyle w:val="References"/>
      </w:pPr>
      <w:r w:rsidRPr="00F202D0">
        <w:t>Somerville, P., R. Graves, N. Collins, S.-G. Song, S. Ni, and P. Cummins (2009). Source and ground motion models for Australian earthquakes, The Australian Earthquake Engineering Society Conference. Newcastle.</w:t>
      </w:r>
    </w:p>
    <w:p w:rsidR="00F202D0" w:rsidRPr="00F202D0" w:rsidRDefault="00F202D0" w:rsidP="00F202D0">
      <w:pPr>
        <w:pStyle w:val="References"/>
      </w:pPr>
      <w:r w:rsidRPr="00F202D0">
        <w:t>Somerville, P. G., N. Collins, N. Abrahamson, G. R., and C. Saikia (2001). Earthquake source scaling and ground motion attenuation relations for the central and eastern United States, Final Report to the U.S. Geological Survey, Contract No. 99HQGR0098.</w:t>
      </w:r>
    </w:p>
    <w:p w:rsidR="00F202D0" w:rsidRPr="00F202D0" w:rsidRDefault="00F202D0" w:rsidP="00F202D0">
      <w:pPr>
        <w:pStyle w:val="References"/>
      </w:pPr>
      <w:r w:rsidRPr="00F202D0">
        <w:t>Standards Australia (2007). Structural design actions, part 4: Earthquake actions in Australia, Standards Australia</w:t>
      </w:r>
      <w:r w:rsidRPr="00F202D0">
        <w:rPr>
          <w:b/>
        </w:rPr>
        <w:t xml:space="preserve"> </w:t>
      </w:r>
      <w:r w:rsidRPr="00F202D0">
        <w:t>52.</w:t>
      </w:r>
    </w:p>
    <w:p w:rsidR="00F202D0" w:rsidRPr="00F202D0" w:rsidRDefault="00F202D0" w:rsidP="00F202D0">
      <w:pPr>
        <w:pStyle w:val="References"/>
      </w:pPr>
      <w:r w:rsidRPr="00F202D0">
        <w:lastRenderedPageBreak/>
        <w:t>The Mathworks (2008). Matlab: the language of technical computing, The Mathworks, Inc., Natick, MA.</w:t>
      </w:r>
    </w:p>
    <w:p w:rsidR="00F202D0" w:rsidRPr="00F202D0" w:rsidRDefault="00F202D0" w:rsidP="00F202D0">
      <w:pPr>
        <w:pStyle w:val="References"/>
      </w:pPr>
      <w:r w:rsidRPr="00F202D0">
        <w:t xml:space="preserve">Urbancic, T. I., C.-I. Trifu, J. M. Long, and R. P. Young (1992). Space-time correlations of </w:t>
      </w:r>
      <w:r w:rsidRPr="00F202D0">
        <w:rPr>
          <w:i/>
        </w:rPr>
        <w:t>b</w:t>
      </w:r>
      <w:r w:rsidRPr="00F202D0">
        <w:t xml:space="preserve"> values with stress release, </w:t>
      </w:r>
      <w:r w:rsidRPr="00F202D0">
        <w:rPr>
          <w:i/>
        </w:rPr>
        <w:t>Pure appl. geophys.</w:t>
      </w:r>
      <w:r w:rsidRPr="00F202D0">
        <w:t xml:space="preserve"> </w:t>
      </w:r>
      <w:r w:rsidRPr="00F202D0">
        <w:rPr>
          <w:b/>
        </w:rPr>
        <w:t>139,</w:t>
      </w:r>
      <w:r w:rsidRPr="00F202D0">
        <w:t xml:space="preserve"> 450-462.</w:t>
      </w:r>
    </w:p>
    <w:p w:rsidR="00F202D0" w:rsidRPr="00F202D0" w:rsidRDefault="00F202D0" w:rsidP="00F202D0">
      <w:pPr>
        <w:pStyle w:val="References"/>
      </w:pPr>
      <w:r w:rsidRPr="00F202D0">
        <w:t xml:space="preserve">Van Houtte, C., S. Drouet, and F. Cotton (2011). Analysis of the origins of </w:t>
      </w:r>
      <w:r w:rsidRPr="00F202D0">
        <w:rPr>
          <w:rFonts w:ascii="Symbol" w:hAnsi="Symbol"/>
          <w:i/>
        </w:rPr>
        <w:t>k</w:t>
      </w:r>
      <w:r w:rsidRPr="00F202D0">
        <w:t xml:space="preserve"> (kappa) to compute hard rock to rock adjustment factors for GMPEs, </w:t>
      </w:r>
      <w:r w:rsidRPr="00F202D0">
        <w:rPr>
          <w:i/>
        </w:rPr>
        <w:t>Bull. Seism. Soc. Am.</w:t>
      </w:r>
      <w:r w:rsidRPr="00F202D0">
        <w:t xml:space="preserve"> </w:t>
      </w:r>
      <w:r w:rsidRPr="00F202D0">
        <w:rPr>
          <w:b/>
        </w:rPr>
        <w:t>101,</w:t>
      </w:r>
      <w:r w:rsidRPr="00F202D0">
        <w:t xml:space="preserve"> 2926–2941.</w:t>
      </w:r>
    </w:p>
    <w:p w:rsidR="00F202D0" w:rsidRPr="00F202D0" w:rsidRDefault="00F202D0" w:rsidP="00F202D0">
      <w:pPr>
        <w:pStyle w:val="References"/>
      </w:pPr>
      <w:r w:rsidRPr="00F202D0">
        <w:t xml:space="preserve">Wald, D. J., V. Quitoriano, T. H. Heaton, H. Kanamori, C. W. Scrivner, and B. C. Worden (1999). TriNet "ShakeMaps": Rapid generation of peak ground-motion and intensity maps for earthquakes in southern California, </w:t>
      </w:r>
      <w:r w:rsidRPr="00F202D0">
        <w:rPr>
          <w:i/>
        </w:rPr>
        <w:t>Earthq. Spectra</w:t>
      </w:r>
      <w:r w:rsidRPr="00F202D0">
        <w:t xml:space="preserve"> </w:t>
      </w:r>
      <w:r w:rsidRPr="00F202D0">
        <w:rPr>
          <w:b/>
        </w:rPr>
        <w:t>15,</w:t>
      </w:r>
      <w:r w:rsidRPr="00F202D0">
        <w:t xml:space="preserve"> 537-556.</w:t>
      </w:r>
    </w:p>
    <w:p w:rsidR="00F202D0" w:rsidRPr="00F202D0" w:rsidRDefault="00F202D0" w:rsidP="00F202D0">
      <w:pPr>
        <w:pStyle w:val="References"/>
      </w:pPr>
      <w:r w:rsidRPr="00F202D0">
        <w:t xml:space="preserve">Wells, D. L., and K. J. Coppersmith (1994). New empirical relationships among magnitude, rupture length, rupture width, rupture area, and surface displacement, </w:t>
      </w:r>
      <w:r w:rsidRPr="00F202D0">
        <w:rPr>
          <w:i/>
        </w:rPr>
        <w:t>Bull. Seism. Soc. Am.</w:t>
      </w:r>
      <w:r w:rsidRPr="00F202D0">
        <w:t xml:space="preserve"> </w:t>
      </w:r>
      <w:r w:rsidRPr="00F202D0">
        <w:rPr>
          <w:b/>
        </w:rPr>
        <w:t>84,</w:t>
      </w:r>
      <w:r w:rsidRPr="00F202D0">
        <w:t xml:space="preserve"> 974</w:t>
      </w:r>
      <w:r w:rsidR="00954573">
        <w:t> </w:t>
      </w:r>
      <w:r w:rsidRPr="00F202D0">
        <w:t>1002.</w:t>
      </w:r>
    </w:p>
    <w:p w:rsidR="00F202D0" w:rsidRPr="00F202D0" w:rsidRDefault="00F202D0" w:rsidP="00F202D0">
      <w:pPr>
        <w:pStyle w:val="References"/>
      </w:pPr>
      <w:r w:rsidRPr="00F202D0">
        <w:t xml:space="preserve">Wessel, P., and W. H. F. Smith (1991). Free software helps map and display data, </w:t>
      </w:r>
      <w:r w:rsidRPr="00F202D0">
        <w:rPr>
          <w:i/>
        </w:rPr>
        <w:t>Eos Trans.</w:t>
      </w:r>
      <w:r w:rsidRPr="00F202D0">
        <w:t xml:space="preserve"> </w:t>
      </w:r>
      <w:r w:rsidRPr="00F202D0">
        <w:rPr>
          <w:b/>
        </w:rPr>
        <w:t>72,</w:t>
      </w:r>
      <w:r w:rsidRPr="00F202D0">
        <w:t xml:space="preserve"> 441.</w:t>
      </w:r>
    </w:p>
    <w:p w:rsidR="00F202D0" w:rsidRPr="00F202D0" w:rsidRDefault="00F202D0" w:rsidP="00F202D0">
      <w:pPr>
        <w:pStyle w:val="References"/>
      </w:pPr>
      <w:r w:rsidRPr="00F202D0">
        <w:t xml:space="preserve">Wesson, V. (1988). Seismic modelling of the Victorian lithosphere, Phillip Institute of Technology, Melbourne. </w:t>
      </w:r>
      <w:r w:rsidRPr="00F202D0">
        <w:rPr>
          <w:b/>
        </w:rPr>
        <w:t>MAppSc Thesis</w:t>
      </w:r>
      <w:r w:rsidRPr="00F202D0">
        <w:t>.</w:t>
      </w:r>
    </w:p>
    <w:p w:rsidR="00F202D0" w:rsidRPr="00F202D0" w:rsidRDefault="00F202D0" w:rsidP="00F202D0">
      <w:pPr>
        <w:pStyle w:val="References"/>
      </w:pPr>
      <w:r w:rsidRPr="00F202D0">
        <w:t xml:space="preserve">Wilkie, J., and G. Gibson (1995). Estimation of seismic quality factor </w:t>
      </w:r>
      <w:r w:rsidRPr="00F202D0">
        <w:rPr>
          <w:i/>
        </w:rPr>
        <w:t>Q</w:t>
      </w:r>
      <w:r w:rsidRPr="00F202D0">
        <w:t xml:space="preserve"> for Victoria, Australia, </w:t>
      </w:r>
      <w:r w:rsidRPr="00F202D0">
        <w:rPr>
          <w:i/>
        </w:rPr>
        <w:t>AGSO J. Aust Geol. Geophys.</w:t>
      </w:r>
      <w:r w:rsidRPr="00F202D0">
        <w:t xml:space="preserve"> </w:t>
      </w:r>
      <w:r w:rsidRPr="00F202D0">
        <w:rPr>
          <w:b/>
        </w:rPr>
        <w:t>15,</w:t>
      </w:r>
      <w:r w:rsidRPr="00F202D0">
        <w:t xml:space="preserve"> 511-517.</w:t>
      </w:r>
    </w:p>
    <w:p w:rsidR="00F202D0" w:rsidRPr="00F202D0" w:rsidRDefault="00F202D0" w:rsidP="00F202D0">
      <w:pPr>
        <w:pStyle w:val="References"/>
      </w:pPr>
      <w:r w:rsidRPr="00F202D0">
        <w:t xml:space="preserve">Wills, C. J., M. Petersen, W. A. Bryant, M. Reichle, G. J. Saucedo, S. Tan, G. Taylor, and J. Treiman (2000). A site-conditions map for California based on geology and shear-wave velocity, </w:t>
      </w:r>
      <w:r w:rsidRPr="00F202D0">
        <w:rPr>
          <w:i/>
        </w:rPr>
        <w:t>Bull. Seism. Soc. Am.</w:t>
      </w:r>
      <w:r w:rsidRPr="00F202D0">
        <w:t xml:space="preserve"> </w:t>
      </w:r>
      <w:r w:rsidRPr="00F202D0">
        <w:rPr>
          <w:b/>
        </w:rPr>
        <w:t>90,</w:t>
      </w:r>
      <w:r w:rsidRPr="00F202D0">
        <w:t xml:space="preserve"> S187–S208.</w:t>
      </w:r>
    </w:p>
    <w:p w:rsidR="00F202D0" w:rsidRPr="00F202D0" w:rsidRDefault="00F202D0" w:rsidP="00F202D0">
      <w:pPr>
        <w:pStyle w:val="References"/>
      </w:pPr>
    </w:p>
    <w:p w:rsidR="00B15AC0" w:rsidRDefault="00B15AC0" w:rsidP="00F202D0">
      <w:pPr>
        <w:pStyle w:val="References"/>
      </w:pPr>
      <w:r>
        <w:fldChar w:fldCharType="end"/>
      </w:r>
    </w:p>
    <w:p w:rsidR="00BF4007" w:rsidRDefault="00B15AC0" w:rsidP="00BF4007">
      <w:pPr>
        <w:pStyle w:val="Heading1"/>
      </w:pPr>
      <w:r>
        <w:br w:type="page"/>
      </w:r>
      <w:bookmarkStart w:id="184" w:name="_Toc319918570"/>
      <w:bookmarkStart w:id="185" w:name="_Toc319918839"/>
      <w:bookmarkEnd w:id="39"/>
      <w:bookmarkEnd w:id="40"/>
      <w:r w:rsidR="00B91F7E" w:rsidDel="00B91F7E">
        <w:lastRenderedPageBreak/>
        <w:t xml:space="preserve"> </w:t>
      </w:r>
      <w:bookmarkStart w:id="186" w:name="_Toc319918573"/>
      <w:bookmarkStart w:id="187" w:name="_Toc319918842"/>
      <w:bookmarkStart w:id="188" w:name="_Toc349112551"/>
      <w:bookmarkEnd w:id="184"/>
      <w:bookmarkEnd w:id="185"/>
      <w:r w:rsidR="00BF4007">
        <w:t>Appendix I</w:t>
      </w:r>
      <w:bookmarkEnd w:id="186"/>
      <w:bookmarkEnd w:id="187"/>
      <w:bookmarkEnd w:id="188"/>
    </w:p>
    <w:p w:rsidR="00BF4007" w:rsidRPr="00BF4007" w:rsidRDefault="00BF4007" w:rsidP="00525FA5">
      <w:pPr>
        <w:pStyle w:val="BodyText"/>
        <w:spacing w:before="240" w:after="0"/>
        <w:rPr>
          <w:rFonts w:ascii="Courier New" w:hAnsi="Courier New" w:cs="Courier New"/>
        </w:rPr>
      </w:pPr>
      <w:r w:rsidRPr="00BF4007">
        <w:rPr>
          <w:rFonts w:ascii="Courier New" w:hAnsi="Courier New" w:cs="Courier New"/>
        </w:rPr>
        <w:t>UNIT TEST DATA FOR ALLEN (2012) GMPE FOR EASTERN AUSTRALIA</w:t>
      </w:r>
    </w:p>
    <w:p w:rsidR="00BF4007" w:rsidRPr="00BF4007" w:rsidRDefault="00BF4007" w:rsidP="00BF4007">
      <w:pPr>
        <w:pStyle w:val="BodyText"/>
        <w:spacing w:before="0" w:after="0"/>
        <w:rPr>
          <w:rFonts w:ascii="Courier New" w:hAnsi="Courier New" w:cs="Courier New"/>
        </w:rPr>
      </w:pPr>
      <w:r w:rsidRPr="00BF4007">
        <w:rPr>
          <w:rFonts w:ascii="Courier New" w:hAnsi="Courier New" w:cs="Courier New"/>
        </w:rPr>
        <w:t xml:space="preserve">DATA ARE INDICATED IN 5% DAMPED </w:t>
      </w:r>
      <w:r w:rsidR="00DC313D">
        <w:rPr>
          <w:rFonts w:ascii="Courier New" w:hAnsi="Courier New" w:cs="Courier New"/>
        </w:rPr>
        <w:t xml:space="preserve">PSEUDO </w:t>
      </w:r>
      <w:r w:rsidRPr="00BF4007">
        <w:rPr>
          <w:rFonts w:ascii="Courier New" w:hAnsi="Courier New" w:cs="Courier New"/>
        </w:rPr>
        <w:t>RESPONSE SPECTRAL ACCELERATION AT DIFFERENT SPECTRAL PERIODS</w:t>
      </w:r>
    </w:p>
    <w:p w:rsidR="00BF4007" w:rsidRPr="00BF4007" w:rsidRDefault="00BF4007" w:rsidP="00BF4007">
      <w:pPr>
        <w:pStyle w:val="BodyText"/>
        <w:spacing w:before="0" w:after="0"/>
        <w:rPr>
          <w:rFonts w:ascii="Courier New" w:hAnsi="Courier New" w:cs="Courier New"/>
        </w:rPr>
      </w:pPr>
      <w:r w:rsidRPr="00BF4007">
        <w:rPr>
          <w:rFonts w:ascii="Courier New" w:hAnsi="Courier New" w:cs="Courier New"/>
        </w:rPr>
        <w:t xml:space="preserve">FORMAT: PERIOD (SEC) LOG10 </w:t>
      </w:r>
      <w:r w:rsidR="00AF41D1">
        <w:rPr>
          <w:rFonts w:ascii="Courier New" w:hAnsi="Courier New" w:cs="Courier New"/>
        </w:rPr>
        <w:t>P</w:t>
      </w:r>
      <w:r w:rsidR="00AF41D1" w:rsidRPr="00BF4007">
        <w:rPr>
          <w:rFonts w:ascii="Courier New" w:hAnsi="Courier New" w:cs="Courier New"/>
        </w:rPr>
        <w:t xml:space="preserve">SA </w:t>
      </w:r>
      <w:r w:rsidRPr="00BF4007">
        <w:rPr>
          <w:rFonts w:ascii="Courier New" w:hAnsi="Courier New" w:cs="Courier New"/>
        </w:rPr>
        <w:t>(CM/S/S)</w:t>
      </w:r>
    </w:p>
    <w:p w:rsidR="00BF4007" w:rsidRPr="00286F0B" w:rsidRDefault="00BF4007" w:rsidP="00286F0B">
      <w:pPr>
        <w:pStyle w:val="BodyText"/>
        <w:spacing w:before="0" w:after="0"/>
        <w:rPr>
          <w:rFonts w:ascii="Courier New" w:hAnsi="Courier New" w:cs="Courier New"/>
        </w:rPr>
      </w:pPr>
    </w:p>
    <w:p w:rsidR="00286F0B" w:rsidRPr="00286F0B" w:rsidRDefault="00286F0B" w:rsidP="00286F0B">
      <w:pPr>
        <w:pStyle w:val="BodyText"/>
        <w:spacing w:before="0" w:after="0"/>
        <w:rPr>
          <w:rFonts w:ascii="Courier New" w:hAnsi="Courier New" w:cs="Courier New"/>
        </w:rPr>
      </w:pPr>
      <w:r w:rsidRPr="00172353">
        <w:rPr>
          <w:rStyle w:val="Bodytextitalic"/>
          <w:rFonts w:ascii="Courier New" w:hAnsi="Courier New" w:cs="Courier New"/>
        </w:rPr>
        <w:t>M</w:t>
      </w:r>
      <w:r w:rsidRPr="00172353">
        <w:rPr>
          <w:rStyle w:val="Subscriptitalic"/>
          <w:rFonts w:ascii="Courier New" w:hAnsi="Courier New" w:cs="Courier New"/>
        </w:rPr>
        <w:t>W</w:t>
      </w:r>
      <w:r w:rsidRPr="00286F0B">
        <w:rPr>
          <w:rFonts w:ascii="Courier New" w:hAnsi="Courier New" w:cs="Courier New"/>
        </w:rPr>
        <w:t xml:space="preserve"> = 4.5; </w:t>
      </w:r>
      <w:r w:rsidRPr="00172353">
        <w:rPr>
          <w:rStyle w:val="Bodytextitalic"/>
          <w:rFonts w:ascii="Courier New" w:hAnsi="Courier New" w:cs="Courier New"/>
        </w:rPr>
        <w:t>R</w:t>
      </w:r>
      <w:r w:rsidRPr="00172353">
        <w:rPr>
          <w:rStyle w:val="Subscriptitalic"/>
          <w:rFonts w:ascii="Courier New" w:hAnsi="Courier New" w:cs="Courier New"/>
        </w:rPr>
        <w:t>rup</w:t>
      </w:r>
      <w:r w:rsidRPr="00286F0B">
        <w:rPr>
          <w:rFonts w:ascii="Courier New" w:hAnsi="Courier New" w:cs="Courier New"/>
        </w:rPr>
        <w:t xml:space="preserve"> = 20; h = 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1.2021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1.3351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1.4107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1.4663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1.4849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1.4796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1.4363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1.3712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1.3004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1.2253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1.0533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0.8847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0.5156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0.2298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-0.1924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-0.4887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-0.8921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-1.1672</w:t>
      </w:r>
    </w:p>
    <w:p w:rsidR="00286F0B" w:rsidRPr="00286F0B" w:rsidRDefault="00172353" w:rsidP="00286F0B">
      <w:pPr>
        <w:pStyle w:val="BodyText"/>
        <w:spacing w:before="0" w:after="0"/>
        <w:rPr>
          <w:rFonts w:ascii="Courier New" w:hAnsi="Courier New" w:cs="Courier New"/>
        </w:rPr>
      </w:pPr>
      <w:r w:rsidRPr="00172353">
        <w:rPr>
          <w:rStyle w:val="Bodytextitalic"/>
          <w:rFonts w:ascii="Courier New" w:hAnsi="Courier New" w:cs="Courier New"/>
        </w:rPr>
        <w:t>M</w:t>
      </w:r>
      <w:r w:rsidRPr="00172353">
        <w:rPr>
          <w:rStyle w:val="Subscriptitalic"/>
          <w:rFonts w:ascii="Courier New" w:hAnsi="Courier New" w:cs="Courier New"/>
        </w:rPr>
        <w:t>W</w:t>
      </w:r>
      <w:r w:rsidRPr="00286F0B">
        <w:rPr>
          <w:rFonts w:ascii="Courier New" w:hAnsi="Courier New" w:cs="Courier New"/>
        </w:rPr>
        <w:t xml:space="preserve"> </w:t>
      </w:r>
      <w:r w:rsidR="00286F0B" w:rsidRPr="00286F0B">
        <w:rPr>
          <w:rFonts w:ascii="Courier New" w:hAnsi="Courier New" w:cs="Courier New"/>
        </w:rPr>
        <w:t xml:space="preserve">= 4.5; </w:t>
      </w:r>
      <w:r w:rsidRPr="00172353">
        <w:rPr>
          <w:rStyle w:val="Bodytextitalic"/>
          <w:rFonts w:ascii="Courier New" w:hAnsi="Courier New" w:cs="Courier New"/>
        </w:rPr>
        <w:t>R</w:t>
      </w:r>
      <w:r w:rsidRPr="00172353">
        <w:rPr>
          <w:rStyle w:val="Subscriptitalic"/>
          <w:rFonts w:ascii="Courier New" w:hAnsi="Courier New" w:cs="Courier New"/>
        </w:rPr>
        <w:t>rup</w:t>
      </w:r>
      <w:r w:rsidRPr="00286F0B">
        <w:rPr>
          <w:rFonts w:ascii="Courier New" w:hAnsi="Courier New" w:cs="Courier New"/>
        </w:rPr>
        <w:t xml:space="preserve"> </w:t>
      </w:r>
      <w:r w:rsidR="00286F0B" w:rsidRPr="00286F0B">
        <w:rPr>
          <w:rFonts w:ascii="Courier New" w:hAnsi="Courier New" w:cs="Courier New"/>
        </w:rPr>
        <w:t>= 20; h = 14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1.2642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1.4099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1.5013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1.5754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1.5851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1.5631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1.4912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1.3976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1.2981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1.1984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0.9912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0.8003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0.3989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0.0951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-0.3380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-0.6326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-1.0265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-1.2938</w:t>
      </w:r>
    </w:p>
    <w:p w:rsidR="00286F0B" w:rsidRPr="00286F0B" w:rsidRDefault="00AD1362" w:rsidP="00286F0B">
      <w:pPr>
        <w:pStyle w:val="BodyText"/>
        <w:spacing w:before="0" w:after="0"/>
        <w:rPr>
          <w:rFonts w:ascii="Courier New" w:hAnsi="Courier New" w:cs="Courier New"/>
        </w:rPr>
      </w:pPr>
      <w:r>
        <w:rPr>
          <w:rFonts w:ascii="Courier New" w:hAnsi="Courier New" w:cs="Courier New"/>
        </w:rPr>
        <w:br w:type="page"/>
      </w:r>
      <w:r w:rsidR="00172353" w:rsidRPr="00172353">
        <w:rPr>
          <w:rStyle w:val="Bodytextitalic"/>
          <w:rFonts w:ascii="Courier New" w:hAnsi="Courier New" w:cs="Courier New"/>
        </w:rPr>
        <w:lastRenderedPageBreak/>
        <w:t>M</w:t>
      </w:r>
      <w:r w:rsidR="00172353" w:rsidRPr="00172353">
        <w:rPr>
          <w:rStyle w:val="Subscriptitalic"/>
          <w:rFonts w:ascii="Courier New" w:hAnsi="Courier New" w:cs="Courier New"/>
        </w:rPr>
        <w:t>W</w:t>
      </w:r>
      <w:r w:rsidR="00172353" w:rsidRPr="00286F0B">
        <w:rPr>
          <w:rFonts w:ascii="Courier New" w:hAnsi="Courier New" w:cs="Courier New"/>
        </w:rPr>
        <w:t xml:space="preserve"> </w:t>
      </w:r>
      <w:r w:rsidR="00286F0B" w:rsidRPr="00286F0B">
        <w:rPr>
          <w:rFonts w:ascii="Courier New" w:hAnsi="Courier New" w:cs="Courier New"/>
        </w:rPr>
        <w:t xml:space="preserve">= 4.5; </w:t>
      </w:r>
      <w:r w:rsidR="00172353" w:rsidRPr="00172353">
        <w:rPr>
          <w:rStyle w:val="Bodytextitalic"/>
          <w:rFonts w:ascii="Courier New" w:hAnsi="Courier New" w:cs="Courier New"/>
        </w:rPr>
        <w:t>R</w:t>
      </w:r>
      <w:r w:rsidR="00172353" w:rsidRPr="00172353">
        <w:rPr>
          <w:rStyle w:val="Subscriptitalic"/>
          <w:rFonts w:ascii="Courier New" w:hAnsi="Courier New" w:cs="Courier New"/>
        </w:rPr>
        <w:t>rup</w:t>
      </w:r>
      <w:r w:rsidR="00172353" w:rsidRPr="00286F0B">
        <w:rPr>
          <w:rFonts w:ascii="Courier New" w:hAnsi="Courier New" w:cs="Courier New"/>
        </w:rPr>
        <w:t xml:space="preserve"> </w:t>
      </w:r>
      <w:r w:rsidR="00286F0B" w:rsidRPr="00286F0B">
        <w:rPr>
          <w:rFonts w:ascii="Courier New" w:hAnsi="Courier New" w:cs="Courier New"/>
        </w:rPr>
        <w:t>= 50; h = 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0.5040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0.6449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0.7043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0.7657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0.7967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0.8042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0.7879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0.7428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0.6854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0.6199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0.4598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0.2983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-0.0624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-0.3455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-0.7717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-1.0747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-1.4856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-1.7663</w:t>
      </w:r>
    </w:p>
    <w:p w:rsidR="00286F0B" w:rsidRPr="00286F0B" w:rsidRDefault="00172353" w:rsidP="00286F0B">
      <w:pPr>
        <w:pStyle w:val="BodyText"/>
        <w:spacing w:before="0" w:after="0"/>
        <w:rPr>
          <w:rFonts w:ascii="Courier New" w:hAnsi="Courier New" w:cs="Courier New"/>
        </w:rPr>
      </w:pPr>
      <w:r w:rsidRPr="00172353">
        <w:rPr>
          <w:rStyle w:val="Bodytextitalic"/>
          <w:rFonts w:ascii="Courier New" w:hAnsi="Courier New" w:cs="Courier New"/>
        </w:rPr>
        <w:t>M</w:t>
      </w:r>
      <w:r w:rsidRPr="00172353">
        <w:rPr>
          <w:rStyle w:val="Subscriptitalic"/>
          <w:rFonts w:ascii="Courier New" w:hAnsi="Courier New" w:cs="Courier New"/>
        </w:rPr>
        <w:t>W</w:t>
      </w:r>
      <w:r w:rsidRPr="00286F0B">
        <w:rPr>
          <w:rFonts w:ascii="Courier New" w:hAnsi="Courier New" w:cs="Courier New"/>
        </w:rPr>
        <w:t xml:space="preserve"> </w:t>
      </w:r>
      <w:r w:rsidR="00286F0B" w:rsidRPr="00286F0B">
        <w:rPr>
          <w:rFonts w:ascii="Courier New" w:hAnsi="Courier New" w:cs="Courier New"/>
        </w:rPr>
        <w:t xml:space="preserve">= 4.5; </w:t>
      </w:r>
      <w:r w:rsidRPr="00172353">
        <w:rPr>
          <w:rStyle w:val="Bodytextitalic"/>
          <w:rFonts w:ascii="Courier New" w:hAnsi="Courier New" w:cs="Courier New"/>
        </w:rPr>
        <w:t>R</w:t>
      </w:r>
      <w:r w:rsidRPr="00172353">
        <w:rPr>
          <w:rStyle w:val="Subscriptitalic"/>
          <w:rFonts w:ascii="Courier New" w:hAnsi="Courier New" w:cs="Courier New"/>
        </w:rPr>
        <w:t>rup</w:t>
      </w:r>
      <w:r w:rsidRPr="00286F0B">
        <w:rPr>
          <w:rFonts w:ascii="Courier New" w:hAnsi="Courier New" w:cs="Courier New"/>
        </w:rPr>
        <w:t xml:space="preserve"> </w:t>
      </w:r>
      <w:r w:rsidR="00286F0B" w:rsidRPr="00286F0B">
        <w:rPr>
          <w:rFonts w:ascii="Courier New" w:hAnsi="Courier New" w:cs="Courier New"/>
        </w:rPr>
        <w:t>= 50; h = 14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0.5336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0.6725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0.7552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0.8400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0.8677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0.8615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0.8149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0.7393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0.6531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0.5630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0.3676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0.1831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-0.2099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-0.5093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-0.9482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-1.2538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-1.6602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-1.9346</w:t>
      </w:r>
    </w:p>
    <w:p w:rsidR="00286F0B" w:rsidRPr="00286F0B" w:rsidRDefault="00172353" w:rsidP="00286F0B">
      <w:pPr>
        <w:pStyle w:val="BodyText"/>
        <w:spacing w:before="0" w:after="0"/>
        <w:rPr>
          <w:rFonts w:ascii="Courier New" w:hAnsi="Courier New" w:cs="Courier New"/>
        </w:rPr>
      </w:pPr>
      <w:r w:rsidRPr="00172353">
        <w:rPr>
          <w:rStyle w:val="Bodytextitalic"/>
          <w:rFonts w:ascii="Courier New" w:hAnsi="Courier New" w:cs="Courier New"/>
        </w:rPr>
        <w:t>M</w:t>
      </w:r>
      <w:r w:rsidRPr="00172353">
        <w:rPr>
          <w:rStyle w:val="Subscriptitalic"/>
          <w:rFonts w:ascii="Courier New" w:hAnsi="Courier New" w:cs="Courier New"/>
        </w:rPr>
        <w:t>W</w:t>
      </w:r>
      <w:r w:rsidRPr="00286F0B">
        <w:rPr>
          <w:rFonts w:ascii="Courier New" w:hAnsi="Courier New" w:cs="Courier New"/>
        </w:rPr>
        <w:t xml:space="preserve"> </w:t>
      </w:r>
      <w:r w:rsidR="00286F0B" w:rsidRPr="00286F0B">
        <w:rPr>
          <w:rFonts w:ascii="Courier New" w:hAnsi="Courier New" w:cs="Courier New"/>
        </w:rPr>
        <w:t xml:space="preserve">= 4.5; </w:t>
      </w:r>
      <w:r w:rsidRPr="00172353">
        <w:rPr>
          <w:rStyle w:val="Bodytextitalic"/>
          <w:rFonts w:ascii="Courier New" w:hAnsi="Courier New" w:cs="Courier New"/>
        </w:rPr>
        <w:t>R</w:t>
      </w:r>
      <w:r w:rsidRPr="00172353">
        <w:rPr>
          <w:rStyle w:val="Subscriptitalic"/>
          <w:rFonts w:ascii="Courier New" w:hAnsi="Courier New" w:cs="Courier New"/>
        </w:rPr>
        <w:t>rup</w:t>
      </w:r>
      <w:r w:rsidRPr="00286F0B">
        <w:rPr>
          <w:rFonts w:ascii="Courier New" w:hAnsi="Courier New" w:cs="Courier New"/>
        </w:rPr>
        <w:t xml:space="preserve"> </w:t>
      </w:r>
      <w:r w:rsidR="00286F0B" w:rsidRPr="00286F0B">
        <w:rPr>
          <w:rFonts w:ascii="Courier New" w:hAnsi="Courier New" w:cs="Courier New"/>
        </w:rPr>
        <w:t>= 100; h = 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0.0639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0.1937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0.2405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0.3083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0.3543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0.3758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0.3841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0.3586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0.3172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0.2635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0.1155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-0.0422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-0.3987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-0.6777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-1.1051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-1.4137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-1.8295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-2.1118</w:t>
      </w:r>
    </w:p>
    <w:p w:rsidR="00286F0B" w:rsidRPr="00286F0B" w:rsidRDefault="00AD1362" w:rsidP="00286F0B">
      <w:pPr>
        <w:pStyle w:val="BodyText"/>
        <w:spacing w:before="0" w:after="0"/>
        <w:rPr>
          <w:rFonts w:ascii="Courier New" w:hAnsi="Courier New" w:cs="Courier New"/>
        </w:rPr>
      </w:pPr>
      <w:r>
        <w:rPr>
          <w:rFonts w:ascii="Courier New" w:hAnsi="Courier New" w:cs="Courier New"/>
        </w:rPr>
        <w:br w:type="page"/>
      </w:r>
      <w:r w:rsidR="00172353" w:rsidRPr="00172353">
        <w:rPr>
          <w:rStyle w:val="Bodytextitalic"/>
          <w:rFonts w:ascii="Courier New" w:hAnsi="Courier New" w:cs="Courier New"/>
        </w:rPr>
        <w:lastRenderedPageBreak/>
        <w:t>M</w:t>
      </w:r>
      <w:r w:rsidR="00172353" w:rsidRPr="00172353">
        <w:rPr>
          <w:rStyle w:val="Subscriptitalic"/>
          <w:rFonts w:ascii="Courier New" w:hAnsi="Courier New" w:cs="Courier New"/>
        </w:rPr>
        <w:t>W</w:t>
      </w:r>
      <w:r w:rsidR="00172353" w:rsidRPr="00286F0B">
        <w:rPr>
          <w:rFonts w:ascii="Courier New" w:hAnsi="Courier New" w:cs="Courier New"/>
        </w:rPr>
        <w:t xml:space="preserve"> </w:t>
      </w:r>
      <w:r w:rsidR="00286F0B" w:rsidRPr="00286F0B">
        <w:rPr>
          <w:rFonts w:ascii="Courier New" w:hAnsi="Courier New" w:cs="Courier New"/>
        </w:rPr>
        <w:t xml:space="preserve">= 4.5; </w:t>
      </w:r>
      <w:r w:rsidR="00172353" w:rsidRPr="00172353">
        <w:rPr>
          <w:rStyle w:val="Bodytextitalic"/>
          <w:rFonts w:ascii="Courier New" w:hAnsi="Courier New" w:cs="Courier New"/>
        </w:rPr>
        <w:t>R</w:t>
      </w:r>
      <w:r w:rsidR="00172353" w:rsidRPr="00172353">
        <w:rPr>
          <w:rStyle w:val="Subscriptitalic"/>
          <w:rFonts w:ascii="Courier New" w:hAnsi="Courier New" w:cs="Courier New"/>
        </w:rPr>
        <w:t>rup</w:t>
      </w:r>
      <w:r w:rsidR="00172353" w:rsidRPr="00286F0B">
        <w:rPr>
          <w:rFonts w:ascii="Courier New" w:hAnsi="Courier New" w:cs="Courier New"/>
        </w:rPr>
        <w:t xml:space="preserve"> </w:t>
      </w:r>
      <w:r w:rsidR="00286F0B" w:rsidRPr="00286F0B">
        <w:rPr>
          <w:rFonts w:ascii="Courier New" w:hAnsi="Courier New" w:cs="Courier New"/>
        </w:rPr>
        <w:t>= 100; h = 14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0.0742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0.1952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0.2711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0.3618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0.4071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0.4171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0.3932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0.3354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0.2648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0.1869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0.0041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-0.1765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-0.5653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-0.8610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-1.3017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-1.6136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-2.0282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-2.3072</w:t>
      </w:r>
    </w:p>
    <w:p w:rsidR="00286F0B" w:rsidRPr="00286F0B" w:rsidRDefault="00172353" w:rsidP="00286F0B">
      <w:pPr>
        <w:pStyle w:val="BodyText"/>
        <w:spacing w:before="0" w:after="0"/>
        <w:rPr>
          <w:rFonts w:ascii="Courier New" w:hAnsi="Courier New" w:cs="Courier New"/>
        </w:rPr>
      </w:pPr>
      <w:r w:rsidRPr="00172353">
        <w:rPr>
          <w:rStyle w:val="Bodytextitalic"/>
          <w:rFonts w:ascii="Courier New" w:hAnsi="Courier New" w:cs="Courier New"/>
        </w:rPr>
        <w:t>M</w:t>
      </w:r>
      <w:r w:rsidRPr="00172353">
        <w:rPr>
          <w:rStyle w:val="Subscriptitalic"/>
          <w:rFonts w:ascii="Courier New" w:hAnsi="Courier New" w:cs="Courier New"/>
        </w:rPr>
        <w:t>W</w:t>
      </w:r>
      <w:r w:rsidRPr="00286F0B">
        <w:rPr>
          <w:rFonts w:ascii="Courier New" w:hAnsi="Courier New" w:cs="Courier New"/>
        </w:rPr>
        <w:t xml:space="preserve"> </w:t>
      </w:r>
      <w:r w:rsidR="00286F0B" w:rsidRPr="00286F0B">
        <w:rPr>
          <w:rFonts w:ascii="Courier New" w:hAnsi="Courier New" w:cs="Courier New"/>
        </w:rPr>
        <w:t xml:space="preserve">= 4.5; </w:t>
      </w:r>
      <w:r w:rsidRPr="00172353">
        <w:rPr>
          <w:rStyle w:val="Bodytextitalic"/>
          <w:rFonts w:ascii="Courier New" w:hAnsi="Courier New" w:cs="Courier New"/>
        </w:rPr>
        <w:t>R</w:t>
      </w:r>
      <w:r w:rsidRPr="00172353">
        <w:rPr>
          <w:rStyle w:val="Subscriptitalic"/>
          <w:rFonts w:ascii="Courier New" w:hAnsi="Courier New" w:cs="Courier New"/>
        </w:rPr>
        <w:t>rup</w:t>
      </w:r>
      <w:r w:rsidRPr="00286F0B">
        <w:rPr>
          <w:rFonts w:ascii="Courier New" w:hAnsi="Courier New" w:cs="Courier New"/>
        </w:rPr>
        <w:t xml:space="preserve"> </w:t>
      </w:r>
      <w:r w:rsidR="00286F0B" w:rsidRPr="00286F0B">
        <w:rPr>
          <w:rFonts w:ascii="Courier New" w:hAnsi="Courier New" w:cs="Courier New"/>
        </w:rPr>
        <w:t>= 200; h = 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-0.3488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-0.2961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-0.2658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-0.2106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-0.1453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-0.0929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-0.0224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0.0124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0.0273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0.0184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-0.0798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-0.2179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-0.5657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-0.8479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-1.2760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-1.5813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-1.9988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-2.2852</w:t>
      </w:r>
    </w:p>
    <w:p w:rsidR="00286F0B" w:rsidRPr="00286F0B" w:rsidRDefault="00172353" w:rsidP="00286F0B">
      <w:pPr>
        <w:pStyle w:val="BodyText"/>
        <w:spacing w:before="0" w:after="0"/>
        <w:rPr>
          <w:rFonts w:ascii="Courier New" w:hAnsi="Courier New" w:cs="Courier New"/>
        </w:rPr>
      </w:pPr>
      <w:r w:rsidRPr="00172353">
        <w:rPr>
          <w:rStyle w:val="Bodytextitalic"/>
          <w:rFonts w:ascii="Courier New" w:hAnsi="Courier New" w:cs="Courier New"/>
        </w:rPr>
        <w:t>M</w:t>
      </w:r>
      <w:r w:rsidRPr="00172353">
        <w:rPr>
          <w:rStyle w:val="Subscriptitalic"/>
          <w:rFonts w:ascii="Courier New" w:hAnsi="Courier New" w:cs="Courier New"/>
        </w:rPr>
        <w:t>W</w:t>
      </w:r>
      <w:r w:rsidRPr="00286F0B">
        <w:rPr>
          <w:rFonts w:ascii="Courier New" w:hAnsi="Courier New" w:cs="Courier New"/>
        </w:rPr>
        <w:t xml:space="preserve"> </w:t>
      </w:r>
      <w:r w:rsidR="00286F0B" w:rsidRPr="00286F0B">
        <w:rPr>
          <w:rFonts w:ascii="Courier New" w:hAnsi="Courier New" w:cs="Courier New"/>
        </w:rPr>
        <w:t xml:space="preserve">= 4.5; </w:t>
      </w:r>
      <w:r w:rsidRPr="00172353">
        <w:rPr>
          <w:rStyle w:val="Bodytextitalic"/>
          <w:rFonts w:ascii="Courier New" w:hAnsi="Courier New" w:cs="Courier New"/>
        </w:rPr>
        <w:t>R</w:t>
      </w:r>
      <w:r w:rsidRPr="00172353">
        <w:rPr>
          <w:rStyle w:val="Subscriptitalic"/>
          <w:rFonts w:ascii="Courier New" w:hAnsi="Courier New" w:cs="Courier New"/>
        </w:rPr>
        <w:t>rup</w:t>
      </w:r>
      <w:r w:rsidRPr="00286F0B">
        <w:rPr>
          <w:rFonts w:ascii="Courier New" w:hAnsi="Courier New" w:cs="Courier New"/>
        </w:rPr>
        <w:t xml:space="preserve"> </w:t>
      </w:r>
      <w:r w:rsidR="00286F0B" w:rsidRPr="00286F0B">
        <w:rPr>
          <w:rFonts w:ascii="Courier New" w:hAnsi="Courier New" w:cs="Courier New"/>
        </w:rPr>
        <w:t>= 200; h = 14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-0.3595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-0.3094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-0.2571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-0.1841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-0.1128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-0.0641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-0.0162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-0.0091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-0.0208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-0.0527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-0.1872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-0.3521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-0.7357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-1.0321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-1.4721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-1.7820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-2.1942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-2.4735</w:t>
      </w:r>
    </w:p>
    <w:p w:rsidR="00286F0B" w:rsidRPr="00286F0B" w:rsidRDefault="00AD1362" w:rsidP="00286F0B">
      <w:pPr>
        <w:pStyle w:val="BodyText"/>
        <w:spacing w:before="0" w:after="0"/>
        <w:rPr>
          <w:rFonts w:ascii="Courier New" w:hAnsi="Courier New" w:cs="Courier New"/>
        </w:rPr>
      </w:pPr>
      <w:r>
        <w:rPr>
          <w:rFonts w:ascii="Courier New" w:hAnsi="Courier New" w:cs="Courier New"/>
        </w:rPr>
        <w:br w:type="page"/>
      </w:r>
      <w:r w:rsidR="00172353" w:rsidRPr="00172353">
        <w:rPr>
          <w:rStyle w:val="Bodytextitalic"/>
          <w:rFonts w:ascii="Courier New" w:hAnsi="Courier New" w:cs="Courier New"/>
        </w:rPr>
        <w:lastRenderedPageBreak/>
        <w:t>M</w:t>
      </w:r>
      <w:r w:rsidR="00172353" w:rsidRPr="00172353">
        <w:rPr>
          <w:rStyle w:val="Subscriptitalic"/>
          <w:rFonts w:ascii="Courier New" w:hAnsi="Courier New" w:cs="Courier New"/>
        </w:rPr>
        <w:t>W</w:t>
      </w:r>
      <w:r w:rsidR="00172353" w:rsidRPr="00286F0B">
        <w:rPr>
          <w:rFonts w:ascii="Courier New" w:hAnsi="Courier New" w:cs="Courier New"/>
        </w:rPr>
        <w:t xml:space="preserve"> </w:t>
      </w:r>
      <w:r w:rsidR="00286F0B" w:rsidRPr="00286F0B">
        <w:rPr>
          <w:rFonts w:ascii="Courier New" w:hAnsi="Courier New" w:cs="Courier New"/>
        </w:rPr>
        <w:t xml:space="preserve">= 5.5; </w:t>
      </w:r>
      <w:r w:rsidR="00172353" w:rsidRPr="00172353">
        <w:rPr>
          <w:rStyle w:val="Bodytextitalic"/>
          <w:rFonts w:ascii="Courier New" w:hAnsi="Courier New" w:cs="Courier New"/>
        </w:rPr>
        <w:t>R</w:t>
      </w:r>
      <w:r w:rsidR="00172353" w:rsidRPr="00172353">
        <w:rPr>
          <w:rStyle w:val="Subscriptitalic"/>
          <w:rFonts w:ascii="Courier New" w:hAnsi="Courier New" w:cs="Courier New"/>
        </w:rPr>
        <w:t>rup</w:t>
      </w:r>
      <w:r w:rsidR="00172353" w:rsidRPr="00286F0B">
        <w:rPr>
          <w:rFonts w:ascii="Courier New" w:hAnsi="Courier New" w:cs="Courier New"/>
        </w:rPr>
        <w:t xml:space="preserve"> </w:t>
      </w:r>
      <w:r w:rsidR="00286F0B" w:rsidRPr="00286F0B">
        <w:rPr>
          <w:rFonts w:ascii="Courier New" w:hAnsi="Courier New" w:cs="Courier New"/>
        </w:rPr>
        <w:t>= 20; h = 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1.7698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1.8800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1.9405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1.9940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2.0206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2.0286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2.0193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1.9911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1.9557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1.9134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1.8019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1.6847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1.4121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1.1907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0.8310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0.5577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0.1659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-0.1138</w:t>
      </w:r>
    </w:p>
    <w:p w:rsidR="00286F0B" w:rsidRPr="00286F0B" w:rsidRDefault="00172353" w:rsidP="00286F0B">
      <w:pPr>
        <w:pStyle w:val="BodyText"/>
        <w:spacing w:before="0" w:after="0"/>
        <w:rPr>
          <w:rFonts w:ascii="Courier New" w:hAnsi="Courier New" w:cs="Courier New"/>
        </w:rPr>
      </w:pPr>
      <w:r w:rsidRPr="00172353">
        <w:rPr>
          <w:rStyle w:val="Bodytextitalic"/>
          <w:rFonts w:ascii="Courier New" w:hAnsi="Courier New" w:cs="Courier New"/>
        </w:rPr>
        <w:t>M</w:t>
      </w:r>
      <w:r w:rsidRPr="00172353">
        <w:rPr>
          <w:rStyle w:val="Subscriptitalic"/>
          <w:rFonts w:ascii="Courier New" w:hAnsi="Courier New" w:cs="Courier New"/>
        </w:rPr>
        <w:t>W</w:t>
      </w:r>
      <w:r w:rsidRPr="00286F0B">
        <w:rPr>
          <w:rFonts w:ascii="Courier New" w:hAnsi="Courier New" w:cs="Courier New"/>
        </w:rPr>
        <w:t xml:space="preserve"> </w:t>
      </w:r>
      <w:r w:rsidR="00286F0B" w:rsidRPr="00286F0B">
        <w:rPr>
          <w:rFonts w:ascii="Courier New" w:hAnsi="Courier New" w:cs="Courier New"/>
        </w:rPr>
        <w:t xml:space="preserve">= 5.5; </w:t>
      </w:r>
      <w:r w:rsidRPr="00172353">
        <w:rPr>
          <w:rStyle w:val="Bodytextitalic"/>
          <w:rFonts w:ascii="Courier New" w:hAnsi="Courier New" w:cs="Courier New"/>
        </w:rPr>
        <w:t>R</w:t>
      </w:r>
      <w:r w:rsidRPr="00172353">
        <w:rPr>
          <w:rStyle w:val="Subscriptitalic"/>
          <w:rFonts w:ascii="Courier New" w:hAnsi="Courier New" w:cs="Courier New"/>
        </w:rPr>
        <w:t>rup</w:t>
      </w:r>
      <w:r w:rsidRPr="00286F0B">
        <w:rPr>
          <w:rFonts w:ascii="Courier New" w:hAnsi="Courier New" w:cs="Courier New"/>
        </w:rPr>
        <w:t xml:space="preserve"> </w:t>
      </w:r>
      <w:r w:rsidR="00286F0B" w:rsidRPr="00286F0B">
        <w:rPr>
          <w:rFonts w:ascii="Courier New" w:hAnsi="Courier New" w:cs="Courier New"/>
        </w:rPr>
        <w:t>= 20; h = 14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1.9109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2.0355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2.0978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2.1632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2.1899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2.1937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2.1784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2.1423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2.0972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2.0451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1.9148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1.7816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1.4745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1.2256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0.8322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0.5414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0.1363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-0.1452</w:t>
      </w:r>
    </w:p>
    <w:p w:rsidR="00286F0B" w:rsidRPr="00286F0B" w:rsidRDefault="00172353" w:rsidP="00286F0B">
      <w:pPr>
        <w:pStyle w:val="BodyText"/>
        <w:spacing w:before="0" w:after="0"/>
        <w:rPr>
          <w:rFonts w:ascii="Courier New" w:hAnsi="Courier New" w:cs="Courier New"/>
        </w:rPr>
      </w:pPr>
      <w:r w:rsidRPr="00172353">
        <w:rPr>
          <w:rStyle w:val="Bodytextitalic"/>
          <w:rFonts w:ascii="Courier New" w:hAnsi="Courier New" w:cs="Courier New"/>
        </w:rPr>
        <w:t>M</w:t>
      </w:r>
      <w:r w:rsidRPr="00172353">
        <w:rPr>
          <w:rStyle w:val="Subscriptitalic"/>
          <w:rFonts w:ascii="Courier New" w:hAnsi="Courier New" w:cs="Courier New"/>
        </w:rPr>
        <w:t>W</w:t>
      </w:r>
      <w:r w:rsidRPr="00286F0B">
        <w:rPr>
          <w:rFonts w:ascii="Courier New" w:hAnsi="Courier New" w:cs="Courier New"/>
        </w:rPr>
        <w:t xml:space="preserve"> </w:t>
      </w:r>
      <w:r w:rsidR="00286F0B" w:rsidRPr="00286F0B">
        <w:rPr>
          <w:rFonts w:ascii="Courier New" w:hAnsi="Courier New" w:cs="Courier New"/>
        </w:rPr>
        <w:t xml:space="preserve">= 5.5; </w:t>
      </w:r>
      <w:r w:rsidRPr="00172353">
        <w:rPr>
          <w:rStyle w:val="Bodytextitalic"/>
          <w:rFonts w:ascii="Courier New" w:hAnsi="Courier New" w:cs="Courier New"/>
        </w:rPr>
        <w:t>R</w:t>
      </w:r>
      <w:r w:rsidRPr="00172353">
        <w:rPr>
          <w:rStyle w:val="Subscriptitalic"/>
          <w:rFonts w:ascii="Courier New" w:hAnsi="Courier New" w:cs="Courier New"/>
        </w:rPr>
        <w:t>rup</w:t>
      </w:r>
      <w:r w:rsidRPr="00286F0B">
        <w:rPr>
          <w:rFonts w:ascii="Courier New" w:hAnsi="Courier New" w:cs="Courier New"/>
        </w:rPr>
        <w:t xml:space="preserve"> </w:t>
      </w:r>
      <w:r w:rsidR="00286F0B" w:rsidRPr="00286F0B">
        <w:rPr>
          <w:rFonts w:ascii="Courier New" w:hAnsi="Courier New" w:cs="Courier New"/>
        </w:rPr>
        <w:t>= 50; h = 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1.1383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1.2479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1.2957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1.3542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1.3939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1.4142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1.4270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1.4166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1.3957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1.3645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1.2666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1.1564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0.8924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0.6752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0.3178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0.0436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-0.3517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-0.6354</w:t>
      </w:r>
    </w:p>
    <w:p w:rsidR="00286F0B" w:rsidRPr="00286F0B" w:rsidRDefault="00AD1362" w:rsidP="00286F0B">
      <w:pPr>
        <w:pStyle w:val="BodyText"/>
        <w:spacing w:before="0" w:after="0"/>
        <w:rPr>
          <w:rFonts w:ascii="Courier New" w:hAnsi="Courier New" w:cs="Courier New"/>
        </w:rPr>
      </w:pPr>
      <w:r>
        <w:rPr>
          <w:rFonts w:ascii="Courier New" w:hAnsi="Courier New" w:cs="Courier New"/>
        </w:rPr>
        <w:br w:type="page"/>
      </w:r>
      <w:r w:rsidR="00172353" w:rsidRPr="00172353">
        <w:rPr>
          <w:rStyle w:val="Bodytextitalic"/>
          <w:rFonts w:ascii="Courier New" w:hAnsi="Courier New" w:cs="Courier New"/>
        </w:rPr>
        <w:lastRenderedPageBreak/>
        <w:t>M</w:t>
      </w:r>
      <w:r w:rsidR="00172353" w:rsidRPr="00172353">
        <w:rPr>
          <w:rStyle w:val="Subscriptitalic"/>
          <w:rFonts w:ascii="Courier New" w:hAnsi="Courier New" w:cs="Courier New"/>
        </w:rPr>
        <w:t>W</w:t>
      </w:r>
      <w:r w:rsidR="00172353" w:rsidRPr="00286F0B">
        <w:rPr>
          <w:rFonts w:ascii="Courier New" w:hAnsi="Courier New" w:cs="Courier New"/>
        </w:rPr>
        <w:t xml:space="preserve"> </w:t>
      </w:r>
      <w:r w:rsidR="00286F0B" w:rsidRPr="00286F0B">
        <w:rPr>
          <w:rFonts w:ascii="Courier New" w:hAnsi="Courier New" w:cs="Courier New"/>
        </w:rPr>
        <w:t xml:space="preserve">= 5.5; </w:t>
      </w:r>
      <w:r w:rsidR="00172353" w:rsidRPr="00172353">
        <w:rPr>
          <w:rStyle w:val="Bodytextitalic"/>
          <w:rFonts w:ascii="Courier New" w:hAnsi="Courier New" w:cs="Courier New"/>
        </w:rPr>
        <w:t>R</w:t>
      </w:r>
      <w:r w:rsidR="00172353" w:rsidRPr="00172353">
        <w:rPr>
          <w:rStyle w:val="Subscriptitalic"/>
          <w:rFonts w:ascii="Courier New" w:hAnsi="Courier New" w:cs="Courier New"/>
        </w:rPr>
        <w:t>rup</w:t>
      </w:r>
      <w:r w:rsidR="00172353" w:rsidRPr="00286F0B">
        <w:rPr>
          <w:rFonts w:ascii="Courier New" w:hAnsi="Courier New" w:cs="Courier New"/>
        </w:rPr>
        <w:t xml:space="preserve"> </w:t>
      </w:r>
      <w:r w:rsidR="00286F0B" w:rsidRPr="00286F0B">
        <w:rPr>
          <w:rFonts w:ascii="Courier New" w:hAnsi="Courier New" w:cs="Courier New"/>
        </w:rPr>
        <w:t>= 50; h = 14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1.2533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1.3665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1.4292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1.4984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1.5407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1.5600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1.5666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1.5472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1.5163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1.4754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1.3589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1.2325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0.9334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0.6888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0.2960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0.0025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-0.4060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-0.6902</w:t>
      </w:r>
    </w:p>
    <w:p w:rsidR="00286F0B" w:rsidRPr="00286F0B" w:rsidRDefault="00172353" w:rsidP="00286F0B">
      <w:pPr>
        <w:pStyle w:val="BodyText"/>
        <w:spacing w:before="0" w:after="0"/>
        <w:rPr>
          <w:rFonts w:ascii="Courier New" w:hAnsi="Courier New" w:cs="Courier New"/>
        </w:rPr>
      </w:pPr>
      <w:r w:rsidRPr="00172353">
        <w:rPr>
          <w:rStyle w:val="Bodytextitalic"/>
          <w:rFonts w:ascii="Courier New" w:hAnsi="Courier New" w:cs="Courier New"/>
        </w:rPr>
        <w:t>M</w:t>
      </w:r>
      <w:r w:rsidRPr="00172353">
        <w:rPr>
          <w:rStyle w:val="Subscriptitalic"/>
          <w:rFonts w:ascii="Courier New" w:hAnsi="Courier New" w:cs="Courier New"/>
        </w:rPr>
        <w:t>W</w:t>
      </w:r>
      <w:r w:rsidRPr="00286F0B">
        <w:rPr>
          <w:rFonts w:ascii="Courier New" w:hAnsi="Courier New" w:cs="Courier New"/>
        </w:rPr>
        <w:t xml:space="preserve"> </w:t>
      </w:r>
      <w:r w:rsidR="00286F0B" w:rsidRPr="00286F0B">
        <w:rPr>
          <w:rFonts w:ascii="Courier New" w:hAnsi="Courier New" w:cs="Courier New"/>
        </w:rPr>
        <w:t xml:space="preserve">= 5.5; </w:t>
      </w:r>
      <w:r w:rsidRPr="00172353">
        <w:rPr>
          <w:rStyle w:val="Bodytextitalic"/>
          <w:rFonts w:ascii="Courier New" w:hAnsi="Courier New" w:cs="Courier New"/>
        </w:rPr>
        <w:t>R</w:t>
      </w:r>
      <w:r w:rsidRPr="00172353">
        <w:rPr>
          <w:rStyle w:val="Subscriptitalic"/>
          <w:rFonts w:ascii="Courier New" w:hAnsi="Courier New" w:cs="Courier New"/>
        </w:rPr>
        <w:t>rup</w:t>
      </w:r>
      <w:r w:rsidRPr="00286F0B">
        <w:rPr>
          <w:rFonts w:ascii="Courier New" w:hAnsi="Courier New" w:cs="Courier New"/>
        </w:rPr>
        <w:t xml:space="preserve"> </w:t>
      </w:r>
      <w:r w:rsidR="00286F0B" w:rsidRPr="00286F0B">
        <w:rPr>
          <w:rFonts w:ascii="Courier New" w:hAnsi="Courier New" w:cs="Courier New"/>
        </w:rPr>
        <w:t>= 100; h = 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0.7692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0.8587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0.8963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0.9603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1.0144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1.0484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1.0836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1.0928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1.0896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1.0719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0.9858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0.8765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0.6145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0.4047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0.0486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-0.2312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-0.6282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-0.9094</w:t>
      </w:r>
    </w:p>
    <w:p w:rsidR="00286F0B" w:rsidRPr="00286F0B" w:rsidRDefault="00172353" w:rsidP="00286F0B">
      <w:pPr>
        <w:pStyle w:val="BodyText"/>
        <w:spacing w:before="0" w:after="0"/>
        <w:rPr>
          <w:rFonts w:ascii="Courier New" w:hAnsi="Courier New" w:cs="Courier New"/>
        </w:rPr>
      </w:pPr>
      <w:r w:rsidRPr="00172353">
        <w:rPr>
          <w:rStyle w:val="Bodytextitalic"/>
          <w:rFonts w:ascii="Courier New" w:hAnsi="Courier New" w:cs="Courier New"/>
        </w:rPr>
        <w:t>M</w:t>
      </w:r>
      <w:r w:rsidRPr="00172353">
        <w:rPr>
          <w:rStyle w:val="Subscriptitalic"/>
          <w:rFonts w:ascii="Courier New" w:hAnsi="Courier New" w:cs="Courier New"/>
        </w:rPr>
        <w:t>W</w:t>
      </w:r>
      <w:r w:rsidRPr="00286F0B">
        <w:rPr>
          <w:rFonts w:ascii="Courier New" w:hAnsi="Courier New" w:cs="Courier New"/>
        </w:rPr>
        <w:t xml:space="preserve"> </w:t>
      </w:r>
      <w:r w:rsidR="00286F0B" w:rsidRPr="00286F0B">
        <w:rPr>
          <w:rFonts w:ascii="Courier New" w:hAnsi="Courier New" w:cs="Courier New"/>
        </w:rPr>
        <w:t xml:space="preserve">= 5.5; </w:t>
      </w:r>
      <w:r w:rsidRPr="00172353">
        <w:rPr>
          <w:rStyle w:val="Bodytextitalic"/>
          <w:rFonts w:ascii="Courier New" w:hAnsi="Courier New" w:cs="Courier New"/>
        </w:rPr>
        <w:t>R</w:t>
      </w:r>
      <w:r w:rsidRPr="00172353">
        <w:rPr>
          <w:rStyle w:val="Subscriptitalic"/>
          <w:rFonts w:ascii="Courier New" w:hAnsi="Courier New" w:cs="Courier New"/>
        </w:rPr>
        <w:t>rup</w:t>
      </w:r>
      <w:r w:rsidRPr="00286F0B">
        <w:rPr>
          <w:rFonts w:ascii="Courier New" w:hAnsi="Courier New" w:cs="Courier New"/>
        </w:rPr>
        <w:t xml:space="preserve"> </w:t>
      </w:r>
      <w:r w:rsidR="00286F0B" w:rsidRPr="00286F0B">
        <w:rPr>
          <w:rFonts w:ascii="Courier New" w:hAnsi="Courier New" w:cs="Courier New"/>
        </w:rPr>
        <w:t>= 100; h = 14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0.8714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0.9630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1.0205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1.0887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1.1451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1.1795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1.2065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1.2048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1.1915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1.1650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1.0634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0.9414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0.6447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0.4017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0.0099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-0.2851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-0.7011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-0.9904</w:t>
      </w:r>
    </w:p>
    <w:p w:rsidR="00286F0B" w:rsidRPr="00286F0B" w:rsidRDefault="00AD1362" w:rsidP="00286F0B">
      <w:pPr>
        <w:pStyle w:val="BodyText"/>
        <w:spacing w:before="0" w:after="0"/>
        <w:rPr>
          <w:rFonts w:ascii="Courier New" w:hAnsi="Courier New" w:cs="Courier New"/>
        </w:rPr>
      </w:pPr>
      <w:r>
        <w:rPr>
          <w:rFonts w:ascii="Courier New" w:hAnsi="Courier New" w:cs="Courier New"/>
        </w:rPr>
        <w:br w:type="page"/>
      </w:r>
      <w:r w:rsidR="00172353" w:rsidRPr="00172353">
        <w:rPr>
          <w:rStyle w:val="Bodytextitalic"/>
          <w:rFonts w:ascii="Courier New" w:hAnsi="Courier New" w:cs="Courier New"/>
        </w:rPr>
        <w:lastRenderedPageBreak/>
        <w:t>M</w:t>
      </w:r>
      <w:r w:rsidR="00172353" w:rsidRPr="00172353">
        <w:rPr>
          <w:rStyle w:val="Subscriptitalic"/>
          <w:rFonts w:ascii="Courier New" w:hAnsi="Courier New" w:cs="Courier New"/>
        </w:rPr>
        <w:t>W</w:t>
      </w:r>
      <w:r w:rsidR="00172353" w:rsidRPr="00286F0B">
        <w:rPr>
          <w:rFonts w:ascii="Courier New" w:hAnsi="Courier New" w:cs="Courier New"/>
        </w:rPr>
        <w:t xml:space="preserve"> </w:t>
      </w:r>
      <w:r w:rsidR="00286F0B" w:rsidRPr="00286F0B">
        <w:rPr>
          <w:rFonts w:ascii="Courier New" w:hAnsi="Courier New" w:cs="Courier New"/>
        </w:rPr>
        <w:t xml:space="preserve">= 5.5; </w:t>
      </w:r>
      <w:r w:rsidR="00172353" w:rsidRPr="00172353">
        <w:rPr>
          <w:rStyle w:val="Bodytextitalic"/>
          <w:rFonts w:ascii="Courier New" w:hAnsi="Courier New" w:cs="Courier New"/>
        </w:rPr>
        <w:t>R</w:t>
      </w:r>
      <w:r w:rsidR="00172353" w:rsidRPr="00172353">
        <w:rPr>
          <w:rStyle w:val="Subscriptitalic"/>
          <w:rFonts w:ascii="Courier New" w:hAnsi="Courier New" w:cs="Courier New"/>
        </w:rPr>
        <w:t>rup</w:t>
      </w:r>
      <w:r w:rsidR="00172353" w:rsidRPr="00286F0B">
        <w:rPr>
          <w:rFonts w:ascii="Courier New" w:hAnsi="Courier New" w:cs="Courier New"/>
        </w:rPr>
        <w:t xml:space="preserve"> </w:t>
      </w:r>
      <w:r w:rsidR="00286F0B" w:rsidRPr="00286F0B">
        <w:rPr>
          <w:rFonts w:ascii="Courier New" w:hAnsi="Courier New" w:cs="Courier New"/>
        </w:rPr>
        <w:t>= 200; h = 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0.3700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0.3983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0.4183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0.4671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0.5343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0.5932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0.6815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0.7440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0.7911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0.8139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0.7735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0.6830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0.4288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0.2142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-0.1422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-0.4165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-0.8117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-1.0953</w:t>
      </w:r>
    </w:p>
    <w:p w:rsidR="00286F0B" w:rsidRPr="00286F0B" w:rsidRDefault="00172353" w:rsidP="00286F0B">
      <w:pPr>
        <w:pStyle w:val="BodyText"/>
        <w:spacing w:before="0" w:after="0"/>
        <w:rPr>
          <w:rFonts w:ascii="Courier New" w:hAnsi="Courier New" w:cs="Courier New"/>
        </w:rPr>
      </w:pPr>
      <w:r w:rsidRPr="00172353">
        <w:rPr>
          <w:rStyle w:val="Bodytextitalic"/>
          <w:rFonts w:ascii="Courier New" w:hAnsi="Courier New" w:cs="Courier New"/>
        </w:rPr>
        <w:t>M</w:t>
      </w:r>
      <w:r w:rsidRPr="00172353">
        <w:rPr>
          <w:rStyle w:val="Subscriptitalic"/>
          <w:rFonts w:ascii="Courier New" w:hAnsi="Courier New" w:cs="Courier New"/>
        </w:rPr>
        <w:t>W</w:t>
      </w:r>
      <w:r w:rsidRPr="00286F0B">
        <w:rPr>
          <w:rFonts w:ascii="Courier New" w:hAnsi="Courier New" w:cs="Courier New"/>
        </w:rPr>
        <w:t xml:space="preserve"> </w:t>
      </w:r>
      <w:r w:rsidR="00286F0B" w:rsidRPr="00286F0B">
        <w:rPr>
          <w:rFonts w:ascii="Courier New" w:hAnsi="Courier New" w:cs="Courier New"/>
        </w:rPr>
        <w:t xml:space="preserve">= 5.5; </w:t>
      </w:r>
      <w:r w:rsidRPr="00172353">
        <w:rPr>
          <w:rStyle w:val="Bodytextitalic"/>
          <w:rFonts w:ascii="Courier New" w:hAnsi="Courier New" w:cs="Courier New"/>
        </w:rPr>
        <w:t>R</w:t>
      </w:r>
      <w:r w:rsidRPr="00172353">
        <w:rPr>
          <w:rStyle w:val="Subscriptitalic"/>
          <w:rFonts w:ascii="Courier New" w:hAnsi="Courier New" w:cs="Courier New"/>
        </w:rPr>
        <w:t>rup</w:t>
      </w:r>
      <w:r w:rsidRPr="00286F0B">
        <w:rPr>
          <w:rFonts w:ascii="Courier New" w:hAnsi="Courier New" w:cs="Courier New"/>
        </w:rPr>
        <w:t xml:space="preserve"> </w:t>
      </w:r>
      <w:r w:rsidR="00286F0B" w:rsidRPr="00286F0B">
        <w:rPr>
          <w:rFonts w:ascii="Courier New" w:hAnsi="Courier New" w:cs="Courier New"/>
        </w:rPr>
        <w:t>= 200; h = 14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0.4681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0.4978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0.5325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0.5869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0.6551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0.7146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0.8047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0.8617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0.8989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0.9115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0.8523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0.7455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0.4563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0.2141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-0.1761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-0.4690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-0.8820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-1.1711</w:t>
      </w:r>
    </w:p>
    <w:p w:rsidR="00286F0B" w:rsidRPr="00286F0B" w:rsidRDefault="00172353" w:rsidP="00286F0B">
      <w:pPr>
        <w:pStyle w:val="BodyText"/>
        <w:spacing w:before="0" w:after="0"/>
        <w:rPr>
          <w:rFonts w:ascii="Courier New" w:hAnsi="Courier New" w:cs="Courier New"/>
        </w:rPr>
      </w:pPr>
      <w:r w:rsidRPr="00172353">
        <w:rPr>
          <w:rStyle w:val="Bodytextitalic"/>
          <w:rFonts w:ascii="Courier New" w:hAnsi="Courier New" w:cs="Courier New"/>
        </w:rPr>
        <w:t>M</w:t>
      </w:r>
      <w:r w:rsidRPr="00172353">
        <w:rPr>
          <w:rStyle w:val="Subscriptitalic"/>
          <w:rFonts w:ascii="Courier New" w:hAnsi="Courier New" w:cs="Courier New"/>
        </w:rPr>
        <w:t>W</w:t>
      </w:r>
      <w:r w:rsidRPr="00286F0B">
        <w:rPr>
          <w:rFonts w:ascii="Courier New" w:hAnsi="Courier New" w:cs="Courier New"/>
        </w:rPr>
        <w:t xml:space="preserve"> </w:t>
      </w:r>
      <w:r w:rsidR="00286F0B" w:rsidRPr="00286F0B">
        <w:rPr>
          <w:rFonts w:ascii="Courier New" w:hAnsi="Courier New" w:cs="Courier New"/>
        </w:rPr>
        <w:t xml:space="preserve">= 6.5; </w:t>
      </w:r>
      <w:r w:rsidRPr="00172353">
        <w:rPr>
          <w:rStyle w:val="Bodytextitalic"/>
          <w:rFonts w:ascii="Courier New" w:hAnsi="Courier New" w:cs="Courier New"/>
        </w:rPr>
        <w:t>R</w:t>
      </w:r>
      <w:r w:rsidRPr="00172353">
        <w:rPr>
          <w:rStyle w:val="Subscriptitalic"/>
          <w:rFonts w:ascii="Courier New" w:hAnsi="Courier New" w:cs="Courier New"/>
        </w:rPr>
        <w:t>rup</w:t>
      </w:r>
      <w:r w:rsidRPr="00286F0B">
        <w:rPr>
          <w:rFonts w:ascii="Courier New" w:hAnsi="Courier New" w:cs="Courier New"/>
        </w:rPr>
        <w:t xml:space="preserve"> </w:t>
      </w:r>
      <w:r w:rsidR="00286F0B" w:rsidRPr="00286F0B">
        <w:rPr>
          <w:rFonts w:ascii="Courier New" w:hAnsi="Courier New" w:cs="Courier New"/>
        </w:rPr>
        <w:t>= 20; h = 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2.1974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2.2994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2.3485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2.3940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2.4187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2.4302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2.4370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2.4265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2.4071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2.3803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2.3019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2.2162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2.0138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1.8482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1.5694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1.3511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1.0329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0.7969</w:t>
      </w:r>
    </w:p>
    <w:p w:rsidR="00286F0B" w:rsidRPr="00286F0B" w:rsidRDefault="00AD1362" w:rsidP="00286F0B">
      <w:pPr>
        <w:pStyle w:val="BodyText"/>
        <w:spacing w:before="0" w:after="0"/>
        <w:rPr>
          <w:rFonts w:ascii="Courier New" w:hAnsi="Courier New" w:cs="Courier New"/>
        </w:rPr>
      </w:pPr>
      <w:r>
        <w:rPr>
          <w:rFonts w:ascii="Courier New" w:hAnsi="Courier New" w:cs="Courier New"/>
        </w:rPr>
        <w:br w:type="page"/>
      </w:r>
      <w:r w:rsidR="00172353" w:rsidRPr="00172353">
        <w:rPr>
          <w:rStyle w:val="Bodytextitalic"/>
          <w:rFonts w:ascii="Courier New" w:hAnsi="Courier New" w:cs="Courier New"/>
        </w:rPr>
        <w:lastRenderedPageBreak/>
        <w:t>M</w:t>
      </w:r>
      <w:r w:rsidR="00172353" w:rsidRPr="00172353">
        <w:rPr>
          <w:rStyle w:val="Subscriptitalic"/>
          <w:rFonts w:ascii="Courier New" w:hAnsi="Courier New" w:cs="Courier New"/>
        </w:rPr>
        <w:t>W</w:t>
      </w:r>
      <w:r w:rsidR="00172353" w:rsidRPr="00286F0B">
        <w:rPr>
          <w:rFonts w:ascii="Courier New" w:hAnsi="Courier New" w:cs="Courier New"/>
        </w:rPr>
        <w:t xml:space="preserve"> </w:t>
      </w:r>
      <w:r w:rsidR="00286F0B" w:rsidRPr="00286F0B">
        <w:rPr>
          <w:rFonts w:ascii="Courier New" w:hAnsi="Courier New" w:cs="Courier New"/>
        </w:rPr>
        <w:t xml:space="preserve">= 6.5; </w:t>
      </w:r>
      <w:r w:rsidR="00172353" w:rsidRPr="00172353">
        <w:rPr>
          <w:rStyle w:val="Bodytextitalic"/>
          <w:rFonts w:ascii="Courier New" w:hAnsi="Courier New" w:cs="Courier New"/>
        </w:rPr>
        <w:t>R</w:t>
      </w:r>
      <w:r w:rsidR="00172353" w:rsidRPr="00172353">
        <w:rPr>
          <w:rStyle w:val="Subscriptitalic"/>
          <w:rFonts w:ascii="Courier New" w:hAnsi="Courier New" w:cs="Courier New"/>
        </w:rPr>
        <w:t>rup</w:t>
      </w:r>
      <w:r w:rsidR="00172353" w:rsidRPr="00286F0B">
        <w:rPr>
          <w:rFonts w:ascii="Courier New" w:hAnsi="Courier New" w:cs="Courier New"/>
        </w:rPr>
        <w:t xml:space="preserve"> </w:t>
      </w:r>
      <w:r w:rsidR="00286F0B" w:rsidRPr="00286F0B">
        <w:rPr>
          <w:rFonts w:ascii="Courier New" w:hAnsi="Courier New" w:cs="Courier New"/>
        </w:rPr>
        <w:t>= 20; h = 14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2.3755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2.4887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2.5246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2.5820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2.6141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2.6278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2.6377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2.6281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2.6079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2.5789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2.4935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2.4001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2.1763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1.9905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1.6784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1.4361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1.0873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0.8336</w:t>
      </w:r>
    </w:p>
    <w:p w:rsidR="00286F0B" w:rsidRPr="00286F0B" w:rsidRDefault="00172353" w:rsidP="00286F0B">
      <w:pPr>
        <w:pStyle w:val="BodyText"/>
        <w:spacing w:before="0" w:after="0"/>
        <w:rPr>
          <w:rFonts w:ascii="Courier New" w:hAnsi="Courier New" w:cs="Courier New"/>
        </w:rPr>
      </w:pPr>
      <w:r w:rsidRPr="00172353">
        <w:rPr>
          <w:rStyle w:val="Bodytextitalic"/>
          <w:rFonts w:ascii="Courier New" w:hAnsi="Courier New" w:cs="Courier New"/>
        </w:rPr>
        <w:t>M</w:t>
      </w:r>
      <w:r w:rsidRPr="00172353">
        <w:rPr>
          <w:rStyle w:val="Subscriptitalic"/>
          <w:rFonts w:ascii="Courier New" w:hAnsi="Courier New" w:cs="Courier New"/>
        </w:rPr>
        <w:t>W</w:t>
      </w:r>
      <w:r w:rsidRPr="00286F0B">
        <w:rPr>
          <w:rFonts w:ascii="Courier New" w:hAnsi="Courier New" w:cs="Courier New"/>
        </w:rPr>
        <w:t xml:space="preserve"> </w:t>
      </w:r>
      <w:r w:rsidR="00286F0B" w:rsidRPr="00286F0B">
        <w:rPr>
          <w:rFonts w:ascii="Courier New" w:hAnsi="Courier New" w:cs="Courier New"/>
        </w:rPr>
        <w:t xml:space="preserve">= 6.5; </w:t>
      </w:r>
      <w:r w:rsidRPr="00172353">
        <w:rPr>
          <w:rStyle w:val="Bodytextitalic"/>
          <w:rFonts w:ascii="Courier New" w:hAnsi="Courier New" w:cs="Courier New"/>
        </w:rPr>
        <w:t>R</w:t>
      </w:r>
      <w:r w:rsidRPr="00172353">
        <w:rPr>
          <w:rStyle w:val="Subscriptitalic"/>
          <w:rFonts w:ascii="Courier New" w:hAnsi="Courier New" w:cs="Courier New"/>
        </w:rPr>
        <w:t>rup</w:t>
      </w:r>
      <w:r w:rsidRPr="00286F0B">
        <w:rPr>
          <w:rFonts w:ascii="Courier New" w:hAnsi="Courier New" w:cs="Courier New"/>
        </w:rPr>
        <w:t xml:space="preserve"> </w:t>
      </w:r>
      <w:r w:rsidR="00286F0B" w:rsidRPr="00286F0B">
        <w:rPr>
          <w:rFonts w:ascii="Courier New" w:hAnsi="Courier New" w:cs="Courier New"/>
        </w:rPr>
        <w:t>= 50; h = 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1.6338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1.7267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1.7669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1.8168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1.8549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1.8783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1.9020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1.9070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1.9030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1.8888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1.8255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1.7467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1.5529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1.3931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1.1226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0.9093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0.5915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0.3531</w:t>
      </w:r>
    </w:p>
    <w:p w:rsidR="00286F0B" w:rsidRPr="00286F0B" w:rsidRDefault="00172353" w:rsidP="00286F0B">
      <w:pPr>
        <w:pStyle w:val="BodyText"/>
        <w:spacing w:before="0" w:after="0"/>
        <w:rPr>
          <w:rFonts w:ascii="Courier New" w:hAnsi="Courier New" w:cs="Courier New"/>
        </w:rPr>
      </w:pPr>
      <w:r w:rsidRPr="00172353">
        <w:rPr>
          <w:rStyle w:val="Bodytextitalic"/>
          <w:rFonts w:ascii="Courier New" w:hAnsi="Courier New" w:cs="Courier New"/>
        </w:rPr>
        <w:t>M</w:t>
      </w:r>
      <w:r w:rsidRPr="00172353">
        <w:rPr>
          <w:rStyle w:val="Subscriptitalic"/>
          <w:rFonts w:ascii="Courier New" w:hAnsi="Courier New" w:cs="Courier New"/>
        </w:rPr>
        <w:t>W</w:t>
      </w:r>
      <w:r w:rsidRPr="00286F0B">
        <w:rPr>
          <w:rFonts w:ascii="Courier New" w:hAnsi="Courier New" w:cs="Courier New"/>
        </w:rPr>
        <w:t xml:space="preserve"> </w:t>
      </w:r>
      <w:r w:rsidR="00286F0B" w:rsidRPr="00286F0B">
        <w:rPr>
          <w:rFonts w:ascii="Courier New" w:hAnsi="Courier New" w:cs="Courier New"/>
        </w:rPr>
        <w:t xml:space="preserve">= 6.5; </w:t>
      </w:r>
      <w:r w:rsidRPr="00172353">
        <w:rPr>
          <w:rStyle w:val="Bodytextitalic"/>
          <w:rFonts w:ascii="Courier New" w:hAnsi="Courier New" w:cs="Courier New"/>
        </w:rPr>
        <w:t>R</w:t>
      </w:r>
      <w:r w:rsidRPr="00172353">
        <w:rPr>
          <w:rStyle w:val="Subscriptitalic"/>
          <w:rFonts w:ascii="Courier New" w:hAnsi="Courier New" w:cs="Courier New"/>
        </w:rPr>
        <w:t>rup</w:t>
      </w:r>
      <w:r w:rsidRPr="00286F0B">
        <w:rPr>
          <w:rFonts w:ascii="Courier New" w:hAnsi="Courier New" w:cs="Courier New"/>
        </w:rPr>
        <w:t xml:space="preserve"> </w:t>
      </w:r>
      <w:r w:rsidR="00286F0B" w:rsidRPr="00286F0B">
        <w:rPr>
          <w:rFonts w:ascii="Courier New" w:hAnsi="Courier New" w:cs="Courier New"/>
        </w:rPr>
        <w:t>= 50; h = 14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1.7919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1.8891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1.9343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1.9894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2.0347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2.0637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2.0923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2.0980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2.0927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2.0763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2.0063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1.9202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1.7044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1.5228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1.2176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0.9805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0.6373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0.3852</w:t>
      </w:r>
    </w:p>
    <w:p w:rsidR="00286F0B" w:rsidRPr="00286F0B" w:rsidRDefault="00AD1362" w:rsidP="00286F0B">
      <w:pPr>
        <w:pStyle w:val="BodyText"/>
        <w:spacing w:before="0" w:after="0"/>
        <w:rPr>
          <w:rFonts w:ascii="Courier New" w:hAnsi="Courier New" w:cs="Courier New"/>
        </w:rPr>
      </w:pPr>
      <w:r>
        <w:rPr>
          <w:rFonts w:ascii="Courier New" w:hAnsi="Courier New" w:cs="Courier New"/>
        </w:rPr>
        <w:br w:type="page"/>
      </w:r>
      <w:r w:rsidR="00172353" w:rsidRPr="00172353">
        <w:rPr>
          <w:rStyle w:val="Bodytextitalic"/>
          <w:rFonts w:ascii="Courier New" w:hAnsi="Courier New" w:cs="Courier New"/>
        </w:rPr>
        <w:lastRenderedPageBreak/>
        <w:t>M</w:t>
      </w:r>
      <w:r w:rsidR="00172353" w:rsidRPr="00172353">
        <w:rPr>
          <w:rStyle w:val="Subscriptitalic"/>
          <w:rFonts w:ascii="Courier New" w:hAnsi="Courier New" w:cs="Courier New"/>
        </w:rPr>
        <w:t>W</w:t>
      </w:r>
      <w:r w:rsidR="00172353" w:rsidRPr="00286F0B">
        <w:rPr>
          <w:rFonts w:ascii="Courier New" w:hAnsi="Courier New" w:cs="Courier New"/>
        </w:rPr>
        <w:t xml:space="preserve"> </w:t>
      </w:r>
      <w:r w:rsidR="00286F0B" w:rsidRPr="00286F0B">
        <w:rPr>
          <w:rFonts w:ascii="Courier New" w:hAnsi="Courier New" w:cs="Courier New"/>
        </w:rPr>
        <w:t xml:space="preserve">= 6.5; </w:t>
      </w:r>
      <w:r w:rsidR="00172353" w:rsidRPr="00172353">
        <w:rPr>
          <w:rStyle w:val="Bodytextitalic"/>
          <w:rFonts w:ascii="Courier New" w:hAnsi="Courier New" w:cs="Courier New"/>
        </w:rPr>
        <w:t>R</w:t>
      </w:r>
      <w:r w:rsidR="00172353" w:rsidRPr="00172353">
        <w:rPr>
          <w:rStyle w:val="Subscriptitalic"/>
          <w:rFonts w:ascii="Courier New" w:hAnsi="Courier New" w:cs="Courier New"/>
        </w:rPr>
        <w:t>rup</w:t>
      </w:r>
      <w:r w:rsidR="00172353" w:rsidRPr="00286F0B">
        <w:rPr>
          <w:rFonts w:ascii="Courier New" w:hAnsi="Courier New" w:cs="Courier New"/>
        </w:rPr>
        <w:t xml:space="preserve"> </w:t>
      </w:r>
      <w:r w:rsidR="00286F0B" w:rsidRPr="00286F0B">
        <w:rPr>
          <w:rFonts w:ascii="Courier New" w:hAnsi="Courier New" w:cs="Courier New"/>
        </w:rPr>
        <w:t>= 100; h = 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1.3271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1.3951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1.4271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1.4801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1.5306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1.5666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1.6113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1.6354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1.6494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1.6491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1.5978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1.5192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1.3264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1.1745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0.9054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0.6870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0.3705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0.1372</w:t>
      </w:r>
    </w:p>
    <w:p w:rsidR="00286F0B" w:rsidRPr="00286F0B" w:rsidRDefault="00172353" w:rsidP="00286F0B">
      <w:pPr>
        <w:pStyle w:val="BodyText"/>
        <w:spacing w:before="0" w:after="0"/>
        <w:rPr>
          <w:rFonts w:ascii="Courier New" w:hAnsi="Courier New" w:cs="Courier New"/>
        </w:rPr>
      </w:pPr>
      <w:r w:rsidRPr="00172353">
        <w:rPr>
          <w:rStyle w:val="Bodytextitalic"/>
          <w:rFonts w:ascii="Courier New" w:hAnsi="Courier New" w:cs="Courier New"/>
        </w:rPr>
        <w:t>M</w:t>
      </w:r>
      <w:r w:rsidRPr="00172353">
        <w:rPr>
          <w:rStyle w:val="Subscriptitalic"/>
          <w:rFonts w:ascii="Courier New" w:hAnsi="Courier New" w:cs="Courier New"/>
        </w:rPr>
        <w:t>W</w:t>
      </w:r>
      <w:r w:rsidRPr="00286F0B">
        <w:rPr>
          <w:rFonts w:ascii="Courier New" w:hAnsi="Courier New" w:cs="Courier New"/>
        </w:rPr>
        <w:t xml:space="preserve"> </w:t>
      </w:r>
      <w:r w:rsidR="00286F0B" w:rsidRPr="00286F0B">
        <w:rPr>
          <w:rFonts w:ascii="Courier New" w:hAnsi="Courier New" w:cs="Courier New"/>
        </w:rPr>
        <w:t xml:space="preserve">= 6.5; </w:t>
      </w:r>
      <w:r w:rsidRPr="00172353">
        <w:rPr>
          <w:rStyle w:val="Bodytextitalic"/>
          <w:rFonts w:ascii="Courier New" w:hAnsi="Courier New" w:cs="Courier New"/>
        </w:rPr>
        <w:t>R</w:t>
      </w:r>
      <w:r w:rsidRPr="00172353">
        <w:rPr>
          <w:rStyle w:val="Subscriptitalic"/>
          <w:rFonts w:ascii="Courier New" w:hAnsi="Courier New" w:cs="Courier New"/>
        </w:rPr>
        <w:t>rup</w:t>
      </w:r>
      <w:r w:rsidRPr="00286F0B">
        <w:rPr>
          <w:rFonts w:ascii="Courier New" w:hAnsi="Courier New" w:cs="Courier New"/>
        </w:rPr>
        <w:t xml:space="preserve"> </w:t>
      </w:r>
      <w:r w:rsidR="00286F0B" w:rsidRPr="00286F0B">
        <w:rPr>
          <w:rFonts w:ascii="Courier New" w:hAnsi="Courier New" w:cs="Courier New"/>
        </w:rPr>
        <w:t>= 100; h = 14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1.4803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1.5549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1.5937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1.6425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1.6975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1.7396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1.7881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1.8118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1.8250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1.8240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1.7705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1.6898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1.4750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1.2924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0.9887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0.7536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0.4038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0.1469</w:t>
      </w:r>
    </w:p>
    <w:p w:rsidR="00286F0B" w:rsidRPr="00286F0B" w:rsidRDefault="00172353" w:rsidP="00286F0B">
      <w:pPr>
        <w:pStyle w:val="BodyText"/>
        <w:spacing w:before="0" w:after="0"/>
        <w:rPr>
          <w:rFonts w:ascii="Courier New" w:hAnsi="Courier New" w:cs="Courier New"/>
        </w:rPr>
      </w:pPr>
      <w:r w:rsidRPr="00172353">
        <w:rPr>
          <w:rStyle w:val="Bodytextitalic"/>
          <w:rFonts w:ascii="Courier New" w:hAnsi="Courier New" w:cs="Courier New"/>
        </w:rPr>
        <w:t>M</w:t>
      </w:r>
      <w:r w:rsidRPr="00172353">
        <w:rPr>
          <w:rStyle w:val="Subscriptitalic"/>
          <w:rFonts w:ascii="Courier New" w:hAnsi="Courier New" w:cs="Courier New"/>
        </w:rPr>
        <w:t>W</w:t>
      </w:r>
      <w:r w:rsidRPr="00286F0B">
        <w:rPr>
          <w:rFonts w:ascii="Courier New" w:hAnsi="Courier New" w:cs="Courier New"/>
        </w:rPr>
        <w:t xml:space="preserve"> </w:t>
      </w:r>
      <w:r w:rsidR="00286F0B" w:rsidRPr="00286F0B">
        <w:rPr>
          <w:rFonts w:ascii="Courier New" w:hAnsi="Courier New" w:cs="Courier New"/>
        </w:rPr>
        <w:t xml:space="preserve">= 6.5; </w:t>
      </w:r>
      <w:r w:rsidRPr="00172353">
        <w:rPr>
          <w:rStyle w:val="Bodytextitalic"/>
          <w:rFonts w:ascii="Courier New" w:hAnsi="Courier New" w:cs="Courier New"/>
        </w:rPr>
        <w:t>R</w:t>
      </w:r>
      <w:r w:rsidRPr="00172353">
        <w:rPr>
          <w:rStyle w:val="Subscriptitalic"/>
          <w:rFonts w:ascii="Courier New" w:hAnsi="Courier New" w:cs="Courier New"/>
        </w:rPr>
        <w:t>rup</w:t>
      </w:r>
      <w:r w:rsidRPr="00286F0B">
        <w:rPr>
          <w:rFonts w:ascii="Courier New" w:hAnsi="Courier New" w:cs="Courier New"/>
        </w:rPr>
        <w:t xml:space="preserve"> </w:t>
      </w:r>
      <w:r w:rsidR="00286F0B" w:rsidRPr="00286F0B">
        <w:rPr>
          <w:rFonts w:ascii="Courier New" w:hAnsi="Courier New" w:cs="Courier New"/>
        </w:rPr>
        <w:t>= 200; h = 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0.9423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0.9655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0.9788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1.0147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1.0713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1.1253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1.2130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1.2832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1.3414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1.3771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1.3679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1.3080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1.1228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0.9650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0.6955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0.4844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0.1728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-0.0609</w:t>
      </w:r>
    </w:p>
    <w:p w:rsidR="00286F0B" w:rsidRPr="00286F0B" w:rsidRDefault="00AD1362" w:rsidP="00286F0B">
      <w:pPr>
        <w:pStyle w:val="BodyText"/>
        <w:spacing w:before="0" w:after="0"/>
        <w:rPr>
          <w:rFonts w:ascii="Courier New" w:hAnsi="Courier New" w:cs="Courier New"/>
        </w:rPr>
      </w:pPr>
      <w:r>
        <w:rPr>
          <w:rFonts w:ascii="Courier New" w:hAnsi="Courier New" w:cs="Courier New"/>
        </w:rPr>
        <w:br w:type="page"/>
      </w:r>
      <w:r w:rsidR="00172353" w:rsidRPr="00172353">
        <w:rPr>
          <w:rStyle w:val="Bodytextitalic"/>
          <w:rFonts w:ascii="Courier New" w:hAnsi="Courier New" w:cs="Courier New"/>
        </w:rPr>
        <w:lastRenderedPageBreak/>
        <w:t>M</w:t>
      </w:r>
      <w:r w:rsidR="00172353" w:rsidRPr="00172353">
        <w:rPr>
          <w:rStyle w:val="Subscriptitalic"/>
          <w:rFonts w:ascii="Courier New" w:hAnsi="Courier New" w:cs="Courier New"/>
        </w:rPr>
        <w:t>W</w:t>
      </w:r>
      <w:r w:rsidR="00172353" w:rsidRPr="00286F0B">
        <w:rPr>
          <w:rFonts w:ascii="Courier New" w:hAnsi="Courier New" w:cs="Courier New"/>
        </w:rPr>
        <w:t xml:space="preserve"> </w:t>
      </w:r>
      <w:r w:rsidR="00286F0B" w:rsidRPr="00286F0B">
        <w:rPr>
          <w:rFonts w:ascii="Courier New" w:hAnsi="Courier New" w:cs="Courier New"/>
        </w:rPr>
        <w:t xml:space="preserve">= 6.5; </w:t>
      </w:r>
      <w:r w:rsidR="00172353" w:rsidRPr="00172353">
        <w:rPr>
          <w:rStyle w:val="Bodytextitalic"/>
          <w:rFonts w:ascii="Courier New" w:hAnsi="Courier New" w:cs="Courier New"/>
        </w:rPr>
        <w:t>R</w:t>
      </w:r>
      <w:r w:rsidR="00172353" w:rsidRPr="00172353">
        <w:rPr>
          <w:rStyle w:val="Subscriptitalic"/>
          <w:rFonts w:ascii="Courier New" w:hAnsi="Courier New" w:cs="Courier New"/>
        </w:rPr>
        <w:t>rup</w:t>
      </w:r>
      <w:r w:rsidR="00172353" w:rsidRPr="00286F0B">
        <w:rPr>
          <w:rFonts w:ascii="Courier New" w:hAnsi="Courier New" w:cs="Courier New"/>
        </w:rPr>
        <w:t xml:space="preserve"> </w:t>
      </w:r>
      <w:r w:rsidR="00286F0B" w:rsidRPr="00286F0B">
        <w:rPr>
          <w:rFonts w:ascii="Courier New" w:hAnsi="Courier New" w:cs="Courier New"/>
        </w:rPr>
        <w:t>= 200; h = 14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1.1085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1.1311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1.1489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1.1873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1.2401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1.2934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1.3940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1.4699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1.5255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1.5570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1.5404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1.4744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1.2696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1.0896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0.7885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0.5551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0.2090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-0.0464</w:t>
      </w:r>
    </w:p>
    <w:p w:rsidR="00286F0B" w:rsidRPr="00286F0B" w:rsidRDefault="00172353" w:rsidP="00286F0B">
      <w:pPr>
        <w:pStyle w:val="BodyText"/>
        <w:spacing w:before="0" w:after="0"/>
        <w:rPr>
          <w:rFonts w:ascii="Courier New" w:hAnsi="Courier New" w:cs="Courier New"/>
        </w:rPr>
      </w:pPr>
      <w:r w:rsidRPr="00172353">
        <w:rPr>
          <w:rStyle w:val="Bodytextitalic"/>
          <w:rFonts w:ascii="Courier New" w:hAnsi="Courier New" w:cs="Courier New"/>
        </w:rPr>
        <w:t>M</w:t>
      </w:r>
      <w:r w:rsidRPr="00172353">
        <w:rPr>
          <w:rStyle w:val="Subscriptitalic"/>
          <w:rFonts w:ascii="Courier New" w:hAnsi="Courier New" w:cs="Courier New"/>
        </w:rPr>
        <w:t>W</w:t>
      </w:r>
      <w:r w:rsidRPr="00286F0B">
        <w:rPr>
          <w:rFonts w:ascii="Courier New" w:hAnsi="Courier New" w:cs="Courier New"/>
        </w:rPr>
        <w:t xml:space="preserve"> </w:t>
      </w:r>
      <w:r w:rsidR="00286F0B" w:rsidRPr="00286F0B">
        <w:rPr>
          <w:rFonts w:ascii="Courier New" w:hAnsi="Courier New" w:cs="Courier New"/>
        </w:rPr>
        <w:t xml:space="preserve">= 7.5; </w:t>
      </w:r>
      <w:r w:rsidRPr="00172353">
        <w:rPr>
          <w:rStyle w:val="Bodytextitalic"/>
          <w:rFonts w:ascii="Courier New" w:hAnsi="Courier New" w:cs="Courier New"/>
        </w:rPr>
        <w:t>R</w:t>
      </w:r>
      <w:r w:rsidRPr="00172353">
        <w:rPr>
          <w:rStyle w:val="Subscriptitalic"/>
          <w:rFonts w:ascii="Courier New" w:hAnsi="Courier New" w:cs="Courier New"/>
        </w:rPr>
        <w:t>rup</w:t>
      </w:r>
      <w:r w:rsidRPr="00286F0B">
        <w:rPr>
          <w:rFonts w:ascii="Courier New" w:hAnsi="Courier New" w:cs="Courier New"/>
        </w:rPr>
        <w:t xml:space="preserve"> </w:t>
      </w:r>
      <w:r w:rsidR="00286F0B" w:rsidRPr="00286F0B">
        <w:rPr>
          <w:rFonts w:ascii="Courier New" w:hAnsi="Courier New" w:cs="Courier New"/>
        </w:rPr>
        <w:t>= 20; h = 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2.4859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2.5942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2.6357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2.6674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2.6802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2.6855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2.6901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2.6780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2.6554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2.6267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2.5538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2.4796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2.3213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2.2029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2.0232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1.8923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1.7097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1.5655</w:t>
      </w:r>
    </w:p>
    <w:p w:rsidR="00286F0B" w:rsidRPr="00286F0B" w:rsidRDefault="00172353" w:rsidP="00286F0B">
      <w:pPr>
        <w:pStyle w:val="BodyText"/>
        <w:spacing w:before="0" w:after="0"/>
        <w:rPr>
          <w:rFonts w:ascii="Courier New" w:hAnsi="Courier New" w:cs="Courier New"/>
        </w:rPr>
      </w:pPr>
      <w:r w:rsidRPr="00172353">
        <w:rPr>
          <w:rStyle w:val="Bodytextitalic"/>
          <w:rFonts w:ascii="Courier New" w:hAnsi="Courier New" w:cs="Courier New"/>
        </w:rPr>
        <w:t>M</w:t>
      </w:r>
      <w:r w:rsidRPr="00172353">
        <w:rPr>
          <w:rStyle w:val="Subscriptitalic"/>
          <w:rFonts w:ascii="Courier New" w:hAnsi="Courier New" w:cs="Courier New"/>
        </w:rPr>
        <w:t>W</w:t>
      </w:r>
      <w:r w:rsidRPr="00286F0B">
        <w:rPr>
          <w:rFonts w:ascii="Courier New" w:hAnsi="Courier New" w:cs="Courier New"/>
        </w:rPr>
        <w:t xml:space="preserve"> </w:t>
      </w:r>
      <w:r w:rsidR="00286F0B" w:rsidRPr="00286F0B">
        <w:rPr>
          <w:rFonts w:ascii="Courier New" w:hAnsi="Courier New" w:cs="Courier New"/>
        </w:rPr>
        <w:t xml:space="preserve">= 7.5; </w:t>
      </w:r>
      <w:r w:rsidRPr="00172353">
        <w:rPr>
          <w:rStyle w:val="Bodytextitalic"/>
          <w:rFonts w:ascii="Courier New" w:hAnsi="Courier New" w:cs="Courier New"/>
        </w:rPr>
        <w:t>R</w:t>
      </w:r>
      <w:r w:rsidRPr="00172353">
        <w:rPr>
          <w:rStyle w:val="Subscriptitalic"/>
          <w:rFonts w:ascii="Courier New" w:hAnsi="Courier New" w:cs="Courier New"/>
        </w:rPr>
        <w:t>rup</w:t>
      </w:r>
      <w:r w:rsidRPr="00286F0B">
        <w:rPr>
          <w:rFonts w:ascii="Courier New" w:hAnsi="Courier New" w:cs="Courier New"/>
        </w:rPr>
        <w:t xml:space="preserve"> </w:t>
      </w:r>
      <w:r w:rsidR="00286F0B" w:rsidRPr="00286F0B">
        <w:rPr>
          <w:rFonts w:ascii="Courier New" w:hAnsi="Courier New" w:cs="Courier New"/>
        </w:rPr>
        <w:t>= 20; h = 14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2.6588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2.7703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2.7825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2.8330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2.8589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2.8669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2.8706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2.8563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2.8315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2.8011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2.7285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2.6570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2.5058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2.3914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2.2024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2.0532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1.8284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1.6445</w:t>
      </w:r>
    </w:p>
    <w:p w:rsidR="00286F0B" w:rsidRPr="00286F0B" w:rsidRDefault="00AD1362" w:rsidP="00286F0B">
      <w:pPr>
        <w:pStyle w:val="BodyText"/>
        <w:spacing w:before="0" w:after="0"/>
        <w:rPr>
          <w:rFonts w:ascii="Courier New" w:hAnsi="Courier New" w:cs="Courier New"/>
        </w:rPr>
      </w:pPr>
      <w:r>
        <w:rPr>
          <w:rFonts w:ascii="Courier New" w:hAnsi="Courier New" w:cs="Courier New"/>
        </w:rPr>
        <w:br w:type="page"/>
      </w:r>
      <w:r w:rsidR="00172353" w:rsidRPr="00172353">
        <w:rPr>
          <w:rStyle w:val="Bodytextitalic"/>
          <w:rFonts w:ascii="Courier New" w:hAnsi="Courier New" w:cs="Courier New"/>
        </w:rPr>
        <w:lastRenderedPageBreak/>
        <w:t>M</w:t>
      </w:r>
      <w:r w:rsidR="00172353" w:rsidRPr="00172353">
        <w:rPr>
          <w:rStyle w:val="Subscriptitalic"/>
          <w:rFonts w:ascii="Courier New" w:hAnsi="Courier New" w:cs="Courier New"/>
        </w:rPr>
        <w:t>W</w:t>
      </w:r>
      <w:r w:rsidR="00172353" w:rsidRPr="00286F0B">
        <w:rPr>
          <w:rFonts w:ascii="Courier New" w:hAnsi="Courier New" w:cs="Courier New"/>
        </w:rPr>
        <w:t xml:space="preserve"> </w:t>
      </w:r>
      <w:r w:rsidR="00286F0B" w:rsidRPr="00286F0B">
        <w:rPr>
          <w:rFonts w:ascii="Courier New" w:hAnsi="Courier New" w:cs="Courier New"/>
        </w:rPr>
        <w:t xml:space="preserve">= 7.5; </w:t>
      </w:r>
      <w:r w:rsidR="00172353" w:rsidRPr="00172353">
        <w:rPr>
          <w:rStyle w:val="Bodytextitalic"/>
          <w:rFonts w:ascii="Courier New" w:hAnsi="Courier New" w:cs="Courier New"/>
        </w:rPr>
        <w:t>R</w:t>
      </w:r>
      <w:r w:rsidR="00172353" w:rsidRPr="00172353">
        <w:rPr>
          <w:rStyle w:val="Subscriptitalic"/>
          <w:rFonts w:ascii="Courier New" w:hAnsi="Courier New" w:cs="Courier New"/>
        </w:rPr>
        <w:t>rup</w:t>
      </w:r>
      <w:r w:rsidR="00172353" w:rsidRPr="00286F0B">
        <w:rPr>
          <w:rFonts w:ascii="Courier New" w:hAnsi="Courier New" w:cs="Courier New"/>
        </w:rPr>
        <w:t xml:space="preserve"> </w:t>
      </w:r>
      <w:r w:rsidR="00286F0B" w:rsidRPr="00286F0B">
        <w:rPr>
          <w:rFonts w:ascii="Courier New" w:hAnsi="Courier New" w:cs="Courier New"/>
        </w:rPr>
        <w:t>= 50; h = 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1.9904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2.0813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2.1180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2.1535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2.1799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2.1965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2.2130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2.2141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2.2075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2.1929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2.1364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2.0691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1.9193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1.8081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1.6428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1.5225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1.3442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1.1992</w:t>
      </w:r>
    </w:p>
    <w:p w:rsidR="00286F0B" w:rsidRPr="00286F0B" w:rsidRDefault="00172353" w:rsidP="00286F0B">
      <w:pPr>
        <w:pStyle w:val="BodyText"/>
        <w:spacing w:before="0" w:after="0"/>
        <w:rPr>
          <w:rFonts w:ascii="Courier New" w:hAnsi="Courier New" w:cs="Courier New"/>
        </w:rPr>
      </w:pPr>
      <w:r w:rsidRPr="00172353">
        <w:rPr>
          <w:rStyle w:val="Bodytextitalic"/>
          <w:rFonts w:ascii="Courier New" w:hAnsi="Courier New" w:cs="Courier New"/>
        </w:rPr>
        <w:t>M</w:t>
      </w:r>
      <w:r w:rsidRPr="00172353">
        <w:rPr>
          <w:rStyle w:val="Subscriptitalic"/>
          <w:rFonts w:ascii="Courier New" w:hAnsi="Courier New" w:cs="Courier New"/>
        </w:rPr>
        <w:t>W</w:t>
      </w:r>
      <w:r w:rsidRPr="00286F0B">
        <w:rPr>
          <w:rFonts w:ascii="Courier New" w:hAnsi="Courier New" w:cs="Courier New"/>
        </w:rPr>
        <w:t xml:space="preserve"> </w:t>
      </w:r>
      <w:r w:rsidR="00286F0B" w:rsidRPr="00286F0B">
        <w:rPr>
          <w:rFonts w:ascii="Courier New" w:hAnsi="Courier New" w:cs="Courier New"/>
        </w:rPr>
        <w:t xml:space="preserve">= 7.5; </w:t>
      </w:r>
      <w:r w:rsidRPr="00172353">
        <w:rPr>
          <w:rStyle w:val="Bodytextitalic"/>
          <w:rFonts w:ascii="Courier New" w:hAnsi="Courier New" w:cs="Courier New"/>
        </w:rPr>
        <w:t>R</w:t>
      </w:r>
      <w:r w:rsidRPr="00172353">
        <w:rPr>
          <w:rStyle w:val="Subscriptitalic"/>
          <w:rFonts w:ascii="Courier New" w:hAnsi="Courier New" w:cs="Courier New"/>
        </w:rPr>
        <w:t>rup</w:t>
      </w:r>
      <w:r w:rsidRPr="00286F0B">
        <w:rPr>
          <w:rFonts w:ascii="Courier New" w:hAnsi="Courier New" w:cs="Courier New"/>
        </w:rPr>
        <w:t xml:space="preserve"> </w:t>
      </w:r>
      <w:r w:rsidR="00286F0B" w:rsidRPr="00286F0B">
        <w:rPr>
          <w:rFonts w:ascii="Courier New" w:hAnsi="Courier New" w:cs="Courier New"/>
        </w:rPr>
        <w:t>= 50; h = 14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2.1494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2.2405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2.2708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2.3132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2.3500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2.3728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2.3923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2.3919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2.3826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2.3660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2.3102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2.2466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2.1032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1.9931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1.8169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1.6806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1.4699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1.2917</w:t>
      </w:r>
    </w:p>
    <w:p w:rsidR="00286F0B" w:rsidRPr="00286F0B" w:rsidRDefault="00172353" w:rsidP="00286F0B">
      <w:pPr>
        <w:pStyle w:val="BodyText"/>
        <w:spacing w:before="0" w:after="0"/>
        <w:rPr>
          <w:rFonts w:ascii="Courier New" w:hAnsi="Courier New" w:cs="Courier New"/>
        </w:rPr>
      </w:pPr>
      <w:r w:rsidRPr="00172353">
        <w:rPr>
          <w:rStyle w:val="Bodytextitalic"/>
          <w:rFonts w:ascii="Courier New" w:hAnsi="Courier New" w:cs="Courier New"/>
        </w:rPr>
        <w:t>M</w:t>
      </w:r>
      <w:r w:rsidRPr="00172353">
        <w:rPr>
          <w:rStyle w:val="Subscriptitalic"/>
          <w:rFonts w:ascii="Courier New" w:hAnsi="Courier New" w:cs="Courier New"/>
        </w:rPr>
        <w:t>W</w:t>
      </w:r>
      <w:r w:rsidRPr="00286F0B">
        <w:rPr>
          <w:rFonts w:ascii="Courier New" w:hAnsi="Courier New" w:cs="Courier New"/>
        </w:rPr>
        <w:t xml:space="preserve"> </w:t>
      </w:r>
      <w:r w:rsidR="00286F0B" w:rsidRPr="00286F0B">
        <w:rPr>
          <w:rFonts w:ascii="Courier New" w:hAnsi="Courier New" w:cs="Courier New"/>
        </w:rPr>
        <w:t xml:space="preserve">= 7.5; </w:t>
      </w:r>
      <w:r w:rsidRPr="00172353">
        <w:rPr>
          <w:rStyle w:val="Bodytextitalic"/>
          <w:rFonts w:ascii="Courier New" w:hAnsi="Courier New" w:cs="Courier New"/>
        </w:rPr>
        <w:t>R</w:t>
      </w:r>
      <w:r w:rsidRPr="00172353">
        <w:rPr>
          <w:rStyle w:val="Subscriptitalic"/>
          <w:rFonts w:ascii="Courier New" w:hAnsi="Courier New" w:cs="Courier New"/>
        </w:rPr>
        <w:t>rup</w:t>
      </w:r>
      <w:r w:rsidRPr="00286F0B">
        <w:rPr>
          <w:rFonts w:ascii="Courier New" w:hAnsi="Courier New" w:cs="Courier New"/>
        </w:rPr>
        <w:t xml:space="preserve"> </w:t>
      </w:r>
      <w:r w:rsidR="00286F0B" w:rsidRPr="00286F0B">
        <w:rPr>
          <w:rFonts w:ascii="Courier New" w:hAnsi="Courier New" w:cs="Courier New"/>
        </w:rPr>
        <w:t>= 100; h = 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1.7366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1.8028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1.8324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1.8671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1.9023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1.9298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1.9664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1.9858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1.9957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1.9940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1.9505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1.8852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1.7368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1.6312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1.4641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1.3401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1.1658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1.0270</w:t>
      </w:r>
    </w:p>
    <w:p w:rsidR="00286F0B" w:rsidRPr="00286F0B" w:rsidRDefault="00AD1362" w:rsidP="00286F0B">
      <w:pPr>
        <w:pStyle w:val="BodyText"/>
        <w:spacing w:before="0" w:after="0"/>
        <w:rPr>
          <w:rFonts w:ascii="Courier New" w:hAnsi="Courier New" w:cs="Courier New"/>
        </w:rPr>
      </w:pPr>
      <w:r>
        <w:rPr>
          <w:rFonts w:ascii="Courier New" w:hAnsi="Courier New" w:cs="Courier New"/>
        </w:rPr>
        <w:br w:type="page"/>
      </w:r>
      <w:r w:rsidR="00172353" w:rsidRPr="00172353">
        <w:rPr>
          <w:rStyle w:val="Bodytextitalic"/>
          <w:rFonts w:ascii="Courier New" w:hAnsi="Courier New" w:cs="Courier New"/>
        </w:rPr>
        <w:lastRenderedPageBreak/>
        <w:t>M</w:t>
      </w:r>
      <w:r w:rsidR="00172353" w:rsidRPr="00172353">
        <w:rPr>
          <w:rStyle w:val="Subscriptitalic"/>
          <w:rFonts w:ascii="Courier New" w:hAnsi="Courier New" w:cs="Courier New"/>
        </w:rPr>
        <w:t>W</w:t>
      </w:r>
      <w:r w:rsidR="00172353" w:rsidRPr="00286F0B">
        <w:rPr>
          <w:rFonts w:ascii="Courier New" w:hAnsi="Courier New" w:cs="Courier New"/>
        </w:rPr>
        <w:t xml:space="preserve"> </w:t>
      </w:r>
      <w:r w:rsidR="00286F0B" w:rsidRPr="00286F0B">
        <w:rPr>
          <w:rFonts w:ascii="Courier New" w:hAnsi="Courier New" w:cs="Courier New"/>
        </w:rPr>
        <w:t xml:space="preserve">= 7.5; </w:t>
      </w:r>
      <w:r w:rsidR="00172353" w:rsidRPr="00172353">
        <w:rPr>
          <w:rStyle w:val="Bodytextitalic"/>
          <w:rFonts w:ascii="Courier New" w:hAnsi="Courier New" w:cs="Courier New"/>
        </w:rPr>
        <w:t>R</w:t>
      </w:r>
      <w:r w:rsidR="00172353" w:rsidRPr="00172353">
        <w:rPr>
          <w:rStyle w:val="Subscriptitalic"/>
          <w:rFonts w:ascii="Courier New" w:hAnsi="Courier New" w:cs="Courier New"/>
        </w:rPr>
        <w:t>rup</w:t>
      </w:r>
      <w:r w:rsidR="00172353" w:rsidRPr="00286F0B">
        <w:rPr>
          <w:rFonts w:ascii="Courier New" w:hAnsi="Courier New" w:cs="Courier New"/>
        </w:rPr>
        <w:t xml:space="preserve"> </w:t>
      </w:r>
      <w:r w:rsidR="00286F0B" w:rsidRPr="00286F0B">
        <w:rPr>
          <w:rFonts w:ascii="Courier New" w:hAnsi="Courier New" w:cs="Courier New"/>
        </w:rPr>
        <w:t>= 100; h = 14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1.9002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1.9705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1.9903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2.0226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2.0636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2.0969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2.1375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2.1560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2.1650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2.1634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2.1248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2.0681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1.9253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1.8104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1.6340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1.5016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1.2858</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1.1042</w:t>
      </w:r>
    </w:p>
    <w:p w:rsidR="00286F0B" w:rsidRPr="00286F0B" w:rsidRDefault="00172353" w:rsidP="00286F0B">
      <w:pPr>
        <w:pStyle w:val="BodyText"/>
        <w:spacing w:before="0" w:after="0"/>
        <w:rPr>
          <w:rFonts w:ascii="Courier New" w:hAnsi="Courier New" w:cs="Courier New"/>
        </w:rPr>
      </w:pPr>
      <w:r w:rsidRPr="00172353">
        <w:rPr>
          <w:rStyle w:val="Bodytextitalic"/>
          <w:rFonts w:ascii="Courier New" w:hAnsi="Courier New" w:cs="Courier New"/>
        </w:rPr>
        <w:t>M</w:t>
      </w:r>
      <w:r w:rsidRPr="00172353">
        <w:rPr>
          <w:rStyle w:val="Subscriptitalic"/>
          <w:rFonts w:ascii="Courier New" w:hAnsi="Courier New" w:cs="Courier New"/>
        </w:rPr>
        <w:t>W</w:t>
      </w:r>
      <w:r w:rsidRPr="00286F0B">
        <w:rPr>
          <w:rFonts w:ascii="Courier New" w:hAnsi="Courier New" w:cs="Courier New"/>
        </w:rPr>
        <w:t xml:space="preserve"> </w:t>
      </w:r>
      <w:r w:rsidR="00286F0B" w:rsidRPr="00286F0B">
        <w:rPr>
          <w:rFonts w:ascii="Courier New" w:hAnsi="Courier New" w:cs="Courier New"/>
        </w:rPr>
        <w:t xml:space="preserve">= 7.5; </w:t>
      </w:r>
      <w:r w:rsidRPr="00172353">
        <w:rPr>
          <w:rStyle w:val="Bodytextitalic"/>
          <w:rFonts w:ascii="Courier New" w:hAnsi="Courier New" w:cs="Courier New"/>
        </w:rPr>
        <w:t>R</w:t>
      </w:r>
      <w:r w:rsidRPr="00172353">
        <w:rPr>
          <w:rStyle w:val="Subscriptitalic"/>
          <w:rFonts w:ascii="Courier New" w:hAnsi="Courier New" w:cs="Courier New"/>
        </w:rPr>
        <w:t>rup</w:t>
      </w:r>
      <w:r w:rsidRPr="00286F0B">
        <w:rPr>
          <w:rFonts w:ascii="Courier New" w:hAnsi="Courier New" w:cs="Courier New"/>
        </w:rPr>
        <w:t xml:space="preserve"> </w:t>
      </w:r>
      <w:r w:rsidR="00286F0B" w:rsidRPr="00286F0B">
        <w:rPr>
          <w:rFonts w:ascii="Courier New" w:hAnsi="Courier New" w:cs="Courier New"/>
        </w:rPr>
        <w:t>= 200; h = 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1.3672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1.4052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1.4155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1.4317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1.4651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1.5025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1.5714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1.6294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1.6775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1.7071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1.7025</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1.6564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1.5159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1.4039</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1.2363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1.1207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0.9541</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0.8168</w:t>
      </w:r>
    </w:p>
    <w:p w:rsidR="00286F0B" w:rsidRPr="00286F0B" w:rsidRDefault="00172353" w:rsidP="00286F0B">
      <w:pPr>
        <w:pStyle w:val="BodyText"/>
        <w:spacing w:before="0" w:after="0"/>
        <w:rPr>
          <w:rFonts w:ascii="Courier New" w:hAnsi="Courier New" w:cs="Courier New"/>
        </w:rPr>
      </w:pPr>
      <w:r w:rsidRPr="00172353">
        <w:rPr>
          <w:rStyle w:val="Bodytextitalic"/>
          <w:rFonts w:ascii="Courier New" w:hAnsi="Courier New" w:cs="Courier New"/>
        </w:rPr>
        <w:t>M</w:t>
      </w:r>
      <w:r w:rsidRPr="00172353">
        <w:rPr>
          <w:rStyle w:val="Subscriptitalic"/>
          <w:rFonts w:ascii="Courier New" w:hAnsi="Courier New" w:cs="Courier New"/>
        </w:rPr>
        <w:t>W</w:t>
      </w:r>
      <w:r w:rsidRPr="00286F0B">
        <w:rPr>
          <w:rFonts w:ascii="Courier New" w:hAnsi="Courier New" w:cs="Courier New"/>
        </w:rPr>
        <w:t xml:space="preserve"> </w:t>
      </w:r>
      <w:r w:rsidR="00286F0B" w:rsidRPr="00286F0B">
        <w:rPr>
          <w:rFonts w:ascii="Courier New" w:hAnsi="Courier New" w:cs="Courier New"/>
        </w:rPr>
        <w:t xml:space="preserve">= 7.5; </w:t>
      </w:r>
      <w:r w:rsidRPr="00172353">
        <w:rPr>
          <w:rStyle w:val="Bodytextitalic"/>
          <w:rFonts w:ascii="Courier New" w:hAnsi="Courier New" w:cs="Courier New"/>
        </w:rPr>
        <w:t>R</w:t>
      </w:r>
      <w:r w:rsidRPr="00172353">
        <w:rPr>
          <w:rStyle w:val="Subscriptitalic"/>
          <w:rFonts w:ascii="Courier New" w:hAnsi="Courier New" w:cs="Courier New"/>
        </w:rPr>
        <w:t>rup</w:t>
      </w:r>
      <w:r w:rsidRPr="00286F0B">
        <w:rPr>
          <w:rFonts w:ascii="Courier New" w:hAnsi="Courier New" w:cs="Courier New"/>
        </w:rPr>
        <w:t xml:space="preserve"> </w:t>
      </w:r>
      <w:r w:rsidR="00286F0B" w:rsidRPr="00286F0B">
        <w:rPr>
          <w:rFonts w:ascii="Courier New" w:hAnsi="Courier New" w:cs="Courier New"/>
        </w:rPr>
        <w:t>= 200; h = 14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0.0100</w:t>
      </w:r>
      <w:r w:rsidRPr="00286F0B">
        <w:rPr>
          <w:rFonts w:ascii="Courier New" w:hAnsi="Courier New" w:cs="Courier New"/>
        </w:rPr>
        <w:tab/>
        <w:t>1.5614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0.0200</w:t>
      </w:r>
      <w:r w:rsidRPr="00286F0B">
        <w:rPr>
          <w:rFonts w:ascii="Courier New" w:hAnsi="Courier New" w:cs="Courier New"/>
        </w:rPr>
        <w:tab/>
        <w:t>1.5902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0.0300</w:t>
      </w:r>
      <w:r w:rsidRPr="00286F0B">
        <w:rPr>
          <w:rFonts w:ascii="Courier New" w:hAnsi="Courier New" w:cs="Courier New"/>
        </w:rPr>
        <w:tab/>
        <w:t>1.5916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0.0500</w:t>
      </w:r>
      <w:r w:rsidRPr="00286F0B">
        <w:rPr>
          <w:rFonts w:ascii="Courier New" w:hAnsi="Courier New" w:cs="Courier New"/>
        </w:rPr>
        <w:tab/>
        <w:t>1.6167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0.0750</w:t>
      </w:r>
      <w:r w:rsidRPr="00286F0B">
        <w:rPr>
          <w:rFonts w:ascii="Courier New" w:hAnsi="Courier New" w:cs="Courier New"/>
        </w:rPr>
        <w:tab/>
        <w:t>1.6417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0.1000</w:t>
      </w:r>
      <w:r w:rsidRPr="00286F0B">
        <w:rPr>
          <w:rFonts w:ascii="Courier New" w:hAnsi="Courier New" w:cs="Courier New"/>
        </w:rPr>
        <w:tab/>
        <w:t>1.6716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0.1500</w:t>
      </w:r>
      <w:r w:rsidRPr="00286F0B">
        <w:rPr>
          <w:rFonts w:ascii="Courier New" w:hAnsi="Courier New" w:cs="Courier New"/>
        </w:rPr>
        <w:tab/>
        <w:t>1.7513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0.2000</w:t>
      </w:r>
      <w:r w:rsidRPr="00286F0B">
        <w:rPr>
          <w:rFonts w:ascii="Courier New" w:hAnsi="Courier New" w:cs="Courier New"/>
        </w:rPr>
        <w:tab/>
        <w:t>1.8152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0.2500</w:t>
      </w:r>
      <w:r w:rsidRPr="00286F0B">
        <w:rPr>
          <w:rFonts w:ascii="Courier New" w:hAnsi="Courier New" w:cs="Courier New"/>
        </w:rPr>
        <w:tab/>
        <w:t>1.8587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0.3000</w:t>
      </w:r>
      <w:r w:rsidRPr="00286F0B">
        <w:rPr>
          <w:rFonts w:ascii="Courier New" w:hAnsi="Courier New" w:cs="Courier New"/>
        </w:rPr>
        <w:tab/>
        <w:t>1.8834</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0.4000</w:t>
      </w:r>
      <w:r w:rsidRPr="00286F0B">
        <w:rPr>
          <w:rFonts w:ascii="Courier New" w:hAnsi="Courier New" w:cs="Courier New"/>
        </w:rPr>
        <w:tab/>
        <w:t>1.8766</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0.5000</w:t>
      </w:r>
      <w:r w:rsidRPr="00286F0B">
        <w:rPr>
          <w:rFonts w:ascii="Courier New" w:hAnsi="Courier New" w:cs="Courier New"/>
        </w:rPr>
        <w:tab/>
        <w:t>1.8342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0.7500</w:t>
      </w:r>
      <w:r w:rsidRPr="00286F0B">
        <w:rPr>
          <w:rFonts w:ascii="Courier New" w:hAnsi="Courier New" w:cs="Courier New"/>
        </w:rPr>
        <w:tab/>
        <w:t>1.7037</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1.0000</w:t>
      </w:r>
      <w:r w:rsidRPr="00286F0B">
        <w:rPr>
          <w:rFonts w:ascii="Courier New" w:hAnsi="Courier New" w:cs="Courier New"/>
        </w:rPr>
        <w:tab/>
        <w:t>1.5940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1.5000</w:t>
      </w:r>
      <w:r w:rsidRPr="00286F0B">
        <w:rPr>
          <w:rFonts w:ascii="Courier New" w:hAnsi="Courier New" w:cs="Courier New"/>
        </w:rPr>
        <w:tab/>
        <w:t>1.4210</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2.0000</w:t>
      </w:r>
      <w:r w:rsidRPr="00286F0B">
        <w:rPr>
          <w:rFonts w:ascii="Courier New" w:hAnsi="Courier New" w:cs="Courier New"/>
        </w:rPr>
        <w:tab/>
        <w:t>1.2893</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3.0000</w:t>
      </w:r>
      <w:r w:rsidRPr="00286F0B">
        <w:rPr>
          <w:rFonts w:ascii="Courier New" w:hAnsi="Courier New" w:cs="Courier New"/>
        </w:rPr>
        <w:tab/>
        <w:t>1.0782</w:t>
      </w:r>
    </w:p>
    <w:p w:rsidR="00286F0B" w:rsidRPr="00286F0B" w:rsidRDefault="00286F0B" w:rsidP="00286F0B">
      <w:pPr>
        <w:pStyle w:val="BodyText"/>
        <w:spacing w:before="0" w:after="0"/>
        <w:rPr>
          <w:rFonts w:ascii="Courier New" w:hAnsi="Courier New" w:cs="Courier New"/>
        </w:rPr>
      </w:pPr>
      <w:r w:rsidRPr="00286F0B">
        <w:rPr>
          <w:rFonts w:ascii="Courier New" w:hAnsi="Courier New" w:cs="Courier New"/>
        </w:rPr>
        <w:t>4.0000</w:t>
      </w:r>
      <w:r w:rsidRPr="00286F0B">
        <w:rPr>
          <w:rFonts w:ascii="Courier New" w:hAnsi="Courier New" w:cs="Courier New"/>
        </w:rPr>
        <w:tab/>
        <w:t>0.9001</w:t>
      </w:r>
    </w:p>
    <w:sectPr w:rsidR="00286F0B" w:rsidRPr="00286F0B" w:rsidSect="003166B9">
      <w:pgSz w:w="11907" w:h="16840" w:code="9"/>
      <w:pgMar w:top="1985" w:right="1418" w:bottom="170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338" w:rsidRDefault="005E1338">
      <w:r>
        <w:separator/>
      </w:r>
    </w:p>
  </w:endnote>
  <w:endnote w:type="continuationSeparator" w:id="0">
    <w:p w:rsidR="005E1338" w:rsidRDefault="005E1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38" w:rsidRDefault="005E1338" w:rsidP="00C36894">
    <w:pPr>
      <w:pStyle w:val="Heading7"/>
      <w:ind w:right="49"/>
      <w:jc w:val="center"/>
    </w:pPr>
    <w:r>
      <w:fldChar w:fldCharType="begin"/>
    </w:r>
    <w:r>
      <w:instrText xml:space="preserve"> PAGE </w:instrText>
    </w:r>
    <w:r>
      <w:fldChar w:fldCharType="separate"/>
    </w:r>
    <w:r w:rsidR="000F7FEF">
      <w:rPr>
        <w:noProof/>
      </w:rPr>
      <w:t>viii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38" w:rsidRDefault="005E1338" w:rsidP="00C36894">
    <w:pPr>
      <w:pStyle w:val="Heading7"/>
      <w:ind w:right="51"/>
      <w:jc w:val="center"/>
    </w:pPr>
    <w:r>
      <w:fldChar w:fldCharType="begin"/>
    </w:r>
    <w:r>
      <w:instrText xml:space="preserve"> PAGE </w:instrText>
    </w:r>
    <w:r>
      <w:fldChar w:fldCharType="separate"/>
    </w:r>
    <w:r w:rsidR="000F7FEF">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338" w:rsidRDefault="005E1338">
      <w:r>
        <w:separator/>
      </w:r>
    </w:p>
  </w:footnote>
  <w:footnote w:type="continuationSeparator" w:id="0">
    <w:p w:rsidR="005E1338" w:rsidRDefault="005E13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38" w:rsidRDefault="005E133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33" type="#_x0000_t136" style="position:absolute;margin-left:0;margin-top:0;width:428.25pt;height:171.3pt;rotation:315;z-index:-2516613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38" w:rsidRDefault="005E1338" w:rsidP="00ED3EA1">
    <w:pPr>
      <w:pStyle w:val="Header"/>
    </w:pPr>
    <w:r>
      <w:t xml:space="preserve">Stochastic ground-motion prediction equations for southeastern </w:t>
    </w:r>
    <w:smartTag w:uri="urn:schemas-microsoft-com:office:smarttags" w:element="place">
      <w:smartTag w:uri="urn:schemas-microsoft-com:office:smarttags" w:element="country-region">
        <w:r>
          <w:t>Australia</w:t>
        </w:r>
      </w:smartTag>
    </w:smartTag>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38" w:rsidRDefault="005E133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1041" type="#_x0000_t136" style="position:absolute;margin-left:0;margin-top:0;width:428.25pt;height:171.3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38" w:rsidRDefault="005E133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32" type="#_x0000_t136" style="position:absolute;margin-left:0;margin-top:0;width:428.25pt;height:171.3pt;rotation:315;z-index:-2516623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38" w:rsidRDefault="005E133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36" type="#_x0000_t136" style="position:absolute;margin-left:0;margin-top:0;width:428.25pt;height:171.3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38" w:rsidRDefault="005E1338" w:rsidP="00ED3EA1">
    <w:pPr>
      <w:pStyle w:val="Header"/>
    </w:pPr>
    <w:bookmarkStart w:id="31" w:name="OLE_LINK5"/>
    <w:bookmarkStart w:id="32" w:name="OLE_LINK6"/>
    <w:bookmarkStart w:id="33" w:name="_Hlk320873295"/>
    <w:r>
      <w:t xml:space="preserve">Stochastic ground-motion prediction equations for southeastern </w:t>
    </w:r>
    <w:smartTag w:uri="urn:schemas-microsoft-com:office:smarttags" w:element="place">
      <w:smartTag w:uri="urn:schemas-microsoft-com:office:smarttags" w:element="country-region">
        <w:r>
          <w:t>Australia</w:t>
        </w:r>
      </w:smartTag>
    </w:smartTag>
    <w:bookmarkEnd w:id="31"/>
    <w:bookmarkEnd w:id="32"/>
    <w:bookmarkEnd w:id="33"/>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38" w:rsidRDefault="005E133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35" type="#_x0000_t136" style="position:absolute;margin-left:0;margin-top:0;width:428.25pt;height:171.3pt;rotation:315;z-index:-2516602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38" w:rsidRDefault="005E133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1039" type="#_x0000_t136" style="position:absolute;margin-left:0;margin-top:0;width:428.25pt;height:171.3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38" w:rsidRDefault="005E1338" w:rsidP="00ED3EA1">
    <w:pPr>
      <w:pStyle w:val="Header"/>
    </w:pPr>
    <w:r>
      <w:t>Stochastic ground-motion prediction equations for southeastern Australia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38" w:rsidRDefault="005E133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1038" type="#_x0000_t136" style="position:absolute;margin-left:0;margin-top:0;width:428.25pt;height:171.3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38" w:rsidRDefault="005E133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1042" type="#_x0000_t136" style="position:absolute;margin-left:0;margin-top:0;width:428.25pt;height:171.3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EE7724"/>
    <w:lvl w:ilvl="0">
      <w:start w:val="1"/>
      <w:numFmt w:val="decimal"/>
      <w:lvlText w:val="%1."/>
      <w:lvlJc w:val="left"/>
      <w:pPr>
        <w:tabs>
          <w:tab w:val="num" w:pos="1800"/>
        </w:tabs>
        <w:ind w:left="1800" w:hanging="360"/>
      </w:pPr>
    </w:lvl>
  </w:abstractNum>
  <w:abstractNum w:abstractNumId="1">
    <w:nsid w:val="FFFFFF7D"/>
    <w:multiLevelType w:val="singleLevel"/>
    <w:tmpl w:val="48FA2C12"/>
    <w:lvl w:ilvl="0">
      <w:start w:val="1"/>
      <w:numFmt w:val="decimal"/>
      <w:lvlText w:val="%1."/>
      <w:lvlJc w:val="left"/>
      <w:pPr>
        <w:tabs>
          <w:tab w:val="num" w:pos="1440"/>
        </w:tabs>
        <w:ind w:left="1440" w:hanging="360"/>
      </w:pPr>
    </w:lvl>
  </w:abstractNum>
  <w:abstractNum w:abstractNumId="2">
    <w:nsid w:val="FFFFFF7E"/>
    <w:multiLevelType w:val="singleLevel"/>
    <w:tmpl w:val="16EEF568"/>
    <w:lvl w:ilvl="0">
      <w:start w:val="1"/>
      <w:numFmt w:val="decimal"/>
      <w:lvlText w:val="%1."/>
      <w:lvlJc w:val="left"/>
      <w:pPr>
        <w:tabs>
          <w:tab w:val="num" w:pos="1080"/>
        </w:tabs>
        <w:ind w:left="1080" w:hanging="360"/>
      </w:pPr>
    </w:lvl>
  </w:abstractNum>
  <w:abstractNum w:abstractNumId="3">
    <w:nsid w:val="FFFFFF7F"/>
    <w:multiLevelType w:val="singleLevel"/>
    <w:tmpl w:val="1DB2AD98"/>
    <w:lvl w:ilvl="0">
      <w:start w:val="1"/>
      <w:numFmt w:val="decimal"/>
      <w:lvlText w:val="%1."/>
      <w:lvlJc w:val="left"/>
      <w:pPr>
        <w:tabs>
          <w:tab w:val="num" w:pos="720"/>
        </w:tabs>
        <w:ind w:left="720" w:hanging="360"/>
      </w:pPr>
    </w:lvl>
  </w:abstractNum>
  <w:abstractNum w:abstractNumId="4">
    <w:nsid w:val="FFFFFF80"/>
    <w:multiLevelType w:val="singleLevel"/>
    <w:tmpl w:val="252C59B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520537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400E67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4981C0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44437F6"/>
    <w:lvl w:ilvl="0">
      <w:start w:val="1"/>
      <w:numFmt w:val="decimal"/>
      <w:lvlText w:val="%1."/>
      <w:lvlJc w:val="left"/>
      <w:pPr>
        <w:tabs>
          <w:tab w:val="num" w:pos="360"/>
        </w:tabs>
        <w:ind w:left="360" w:hanging="360"/>
      </w:pPr>
    </w:lvl>
  </w:abstractNum>
  <w:abstractNum w:abstractNumId="9">
    <w:nsid w:val="FFFFFF89"/>
    <w:multiLevelType w:val="singleLevel"/>
    <w:tmpl w:val="65D4ECA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singleLevel"/>
    <w:tmpl w:val="00000000"/>
    <w:lvl w:ilvl="0">
      <w:start w:val="1"/>
      <w:numFmt w:val="bullet"/>
      <w:pStyle w:val="Bulletlevel1"/>
      <w:lvlText w:val=""/>
      <w:lvlJc w:val="left"/>
      <w:pPr>
        <w:tabs>
          <w:tab w:val="num" w:pos="360"/>
        </w:tabs>
        <w:ind w:left="360" w:hanging="360"/>
      </w:pPr>
      <w:rPr>
        <w:rFonts w:ascii="Symbol" w:hAnsi="Symbol" w:hint="default"/>
        <w:sz w:val="18"/>
      </w:rPr>
    </w:lvl>
  </w:abstractNum>
  <w:abstractNum w:abstractNumId="11">
    <w:nsid w:val="00000002"/>
    <w:multiLevelType w:val="singleLevel"/>
    <w:tmpl w:val="00000000"/>
    <w:lvl w:ilvl="0">
      <w:start w:val="1"/>
      <w:numFmt w:val="bullet"/>
      <w:pStyle w:val="Bulletlevel2"/>
      <w:lvlText w:val=""/>
      <w:lvlJc w:val="left"/>
      <w:pPr>
        <w:tabs>
          <w:tab w:val="num" w:pos="1080"/>
        </w:tabs>
        <w:ind w:left="1003" w:hanging="283"/>
      </w:pPr>
      <w:rPr>
        <w:rFonts w:ascii="Symbol" w:hAnsi="Symbol" w:hint="default"/>
      </w:rPr>
    </w:lvl>
  </w:abstractNum>
  <w:abstractNum w:abstractNumId="12">
    <w:nsid w:val="00000003"/>
    <w:multiLevelType w:val="multilevel"/>
    <w:tmpl w:val="B9E62BDE"/>
    <w:lvl w:ilvl="0">
      <w:start w:val="1"/>
      <w:numFmt w:val="decimal"/>
      <w:pStyle w:val="Notes"/>
      <w:lvlText w:val="%1."/>
      <w:lvlJc w:val="left"/>
      <w:pPr>
        <w:tabs>
          <w:tab w:val="num" w:pos="360"/>
        </w:tabs>
        <w:ind w:left="360" w:hanging="360"/>
      </w:pPr>
    </w:lvl>
    <w:lvl w:ilvl="1">
      <w:start w:val="5"/>
      <w:numFmt w:val="decimal"/>
      <w:isLgl/>
      <w:lvlText w:val="%1.%2"/>
      <w:lvlJc w:val="left"/>
      <w:pPr>
        <w:tabs>
          <w:tab w:val="num" w:pos="1040"/>
        </w:tabs>
        <w:ind w:left="1040" w:hanging="360"/>
      </w:pPr>
      <w:rPr>
        <w:rFonts w:hint="default"/>
      </w:rPr>
    </w:lvl>
    <w:lvl w:ilvl="2">
      <w:start w:val="1"/>
      <w:numFmt w:val="decimal"/>
      <w:isLgl/>
      <w:lvlText w:val="%1.%2.%3"/>
      <w:lvlJc w:val="left"/>
      <w:pPr>
        <w:tabs>
          <w:tab w:val="num" w:pos="2080"/>
        </w:tabs>
        <w:ind w:left="2080" w:hanging="720"/>
      </w:pPr>
      <w:rPr>
        <w:rFonts w:hint="default"/>
      </w:rPr>
    </w:lvl>
    <w:lvl w:ilvl="3">
      <w:start w:val="1"/>
      <w:numFmt w:val="decimal"/>
      <w:isLgl/>
      <w:lvlText w:val="%1.%2.%3.%4"/>
      <w:lvlJc w:val="left"/>
      <w:pPr>
        <w:tabs>
          <w:tab w:val="num" w:pos="2760"/>
        </w:tabs>
        <w:ind w:left="2760" w:hanging="720"/>
      </w:pPr>
      <w:rPr>
        <w:rFonts w:hint="default"/>
      </w:rPr>
    </w:lvl>
    <w:lvl w:ilvl="4">
      <w:start w:val="1"/>
      <w:numFmt w:val="decimal"/>
      <w:isLgl/>
      <w:lvlText w:val="%1.%2.%3.%4.%5"/>
      <w:lvlJc w:val="left"/>
      <w:pPr>
        <w:tabs>
          <w:tab w:val="num" w:pos="3800"/>
        </w:tabs>
        <w:ind w:left="3800" w:hanging="1080"/>
      </w:pPr>
      <w:rPr>
        <w:rFonts w:hint="default"/>
      </w:rPr>
    </w:lvl>
    <w:lvl w:ilvl="5">
      <w:start w:val="1"/>
      <w:numFmt w:val="decimal"/>
      <w:isLgl/>
      <w:lvlText w:val="%1.%2.%3.%4.%5.%6"/>
      <w:lvlJc w:val="left"/>
      <w:pPr>
        <w:tabs>
          <w:tab w:val="num" w:pos="4480"/>
        </w:tabs>
        <w:ind w:left="4480" w:hanging="1080"/>
      </w:pPr>
      <w:rPr>
        <w:rFonts w:hint="default"/>
      </w:rPr>
    </w:lvl>
    <w:lvl w:ilvl="6">
      <w:start w:val="1"/>
      <w:numFmt w:val="decimal"/>
      <w:isLgl/>
      <w:lvlText w:val="%1.%2.%3.%4.%5.%6.%7"/>
      <w:lvlJc w:val="left"/>
      <w:pPr>
        <w:tabs>
          <w:tab w:val="num" w:pos="5160"/>
        </w:tabs>
        <w:ind w:left="5160" w:hanging="1080"/>
      </w:pPr>
      <w:rPr>
        <w:rFonts w:hint="default"/>
      </w:rPr>
    </w:lvl>
    <w:lvl w:ilvl="7">
      <w:start w:val="1"/>
      <w:numFmt w:val="decimal"/>
      <w:isLgl/>
      <w:lvlText w:val="%1.%2.%3.%4.%5.%6.%7.%8"/>
      <w:lvlJc w:val="left"/>
      <w:pPr>
        <w:tabs>
          <w:tab w:val="num" w:pos="6200"/>
        </w:tabs>
        <w:ind w:left="6200" w:hanging="1440"/>
      </w:pPr>
      <w:rPr>
        <w:rFonts w:hint="default"/>
      </w:rPr>
    </w:lvl>
    <w:lvl w:ilvl="8">
      <w:start w:val="1"/>
      <w:numFmt w:val="decimal"/>
      <w:isLgl/>
      <w:lvlText w:val="%1.%2.%3.%4.%5.%6.%7.%8.%9"/>
      <w:lvlJc w:val="left"/>
      <w:pPr>
        <w:tabs>
          <w:tab w:val="num" w:pos="6880"/>
        </w:tabs>
        <w:ind w:left="6880" w:hanging="1440"/>
      </w:pPr>
      <w:rPr>
        <w:rFonts w:hint="default"/>
      </w:rPr>
    </w:lvl>
  </w:abstractNum>
  <w:abstractNum w:abstractNumId="13">
    <w:nsid w:val="091E737F"/>
    <w:multiLevelType w:val="singleLevel"/>
    <w:tmpl w:val="0C090017"/>
    <w:lvl w:ilvl="0">
      <w:start w:val="1"/>
      <w:numFmt w:val="lowerLetter"/>
      <w:lvlText w:val="%1)"/>
      <w:lvlJc w:val="left"/>
      <w:pPr>
        <w:tabs>
          <w:tab w:val="num" w:pos="360"/>
        </w:tabs>
        <w:ind w:left="360" w:hanging="360"/>
      </w:pPr>
    </w:lvl>
  </w:abstractNum>
  <w:abstractNum w:abstractNumId="14">
    <w:nsid w:val="23B4687B"/>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3"/>
  </w:num>
  <w:num w:numId="13">
    <w:abstractNumId w:val="10"/>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SystemFonts/>
  <w:mirrorMargins/>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revisionView w:inkAnnotations="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69">
      <o:colormenu v:ext="edit" fillcolor="non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BSSA&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PAGER.refs.main.enl&lt;/item&gt;&lt;/Libraries&gt;&lt;/ENLibraries&gt;"/>
  </w:docVars>
  <w:rsids>
    <w:rsidRoot w:val="00A33C21"/>
    <w:rsid w:val="000118CB"/>
    <w:rsid w:val="00012333"/>
    <w:rsid w:val="0002549F"/>
    <w:rsid w:val="000263F6"/>
    <w:rsid w:val="00036D9D"/>
    <w:rsid w:val="0004474C"/>
    <w:rsid w:val="00050122"/>
    <w:rsid w:val="00057389"/>
    <w:rsid w:val="00060E92"/>
    <w:rsid w:val="00066512"/>
    <w:rsid w:val="00073AEF"/>
    <w:rsid w:val="0007513A"/>
    <w:rsid w:val="000768C9"/>
    <w:rsid w:val="00077303"/>
    <w:rsid w:val="00087E43"/>
    <w:rsid w:val="000907EA"/>
    <w:rsid w:val="000A6F0C"/>
    <w:rsid w:val="000A723A"/>
    <w:rsid w:val="000B16C9"/>
    <w:rsid w:val="000B39DF"/>
    <w:rsid w:val="000C00DA"/>
    <w:rsid w:val="000C619E"/>
    <w:rsid w:val="000D063E"/>
    <w:rsid w:val="000D2711"/>
    <w:rsid w:val="000D513B"/>
    <w:rsid w:val="000D6F5A"/>
    <w:rsid w:val="000E2541"/>
    <w:rsid w:val="000F05C7"/>
    <w:rsid w:val="000F0F1B"/>
    <w:rsid w:val="000F2A6B"/>
    <w:rsid w:val="000F2D81"/>
    <w:rsid w:val="000F3D39"/>
    <w:rsid w:val="000F5E36"/>
    <w:rsid w:val="000F5F86"/>
    <w:rsid w:val="000F7FEF"/>
    <w:rsid w:val="001026FC"/>
    <w:rsid w:val="001111BF"/>
    <w:rsid w:val="00115B27"/>
    <w:rsid w:val="00122492"/>
    <w:rsid w:val="00123E08"/>
    <w:rsid w:val="00124092"/>
    <w:rsid w:val="001313C9"/>
    <w:rsid w:val="00136F01"/>
    <w:rsid w:val="0014482F"/>
    <w:rsid w:val="0014697E"/>
    <w:rsid w:val="00146ED0"/>
    <w:rsid w:val="00153E78"/>
    <w:rsid w:val="00154583"/>
    <w:rsid w:val="00157D06"/>
    <w:rsid w:val="001665E8"/>
    <w:rsid w:val="00172353"/>
    <w:rsid w:val="0017672B"/>
    <w:rsid w:val="00176793"/>
    <w:rsid w:val="001822B9"/>
    <w:rsid w:val="00183EB1"/>
    <w:rsid w:val="001860CF"/>
    <w:rsid w:val="00190045"/>
    <w:rsid w:val="001977BB"/>
    <w:rsid w:val="001A3699"/>
    <w:rsid w:val="001A5965"/>
    <w:rsid w:val="001B0C50"/>
    <w:rsid w:val="001B4240"/>
    <w:rsid w:val="001C126C"/>
    <w:rsid w:val="001C3FEE"/>
    <w:rsid w:val="001C42C7"/>
    <w:rsid w:val="001D2FE9"/>
    <w:rsid w:val="001D389F"/>
    <w:rsid w:val="001D5670"/>
    <w:rsid w:val="001D723D"/>
    <w:rsid w:val="001E0722"/>
    <w:rsid w:val="001E61B1"/>
    <w:rsid w:val="001E6F88"/>
    <w:rsid w:val="001E7935"/>
    <w:rsid w:val="001F3717"/>
    <w:rsid w:val="00202C63"/>
    <w:rsid w:val="0020613F"/>
    <w:rsid w:val="00211AF1"/>
    <w:rsid w:val="002141AF"/>
    <w:rsid w:val="00216FB0"/>
    <w:rsid w:val="00217362"/>
    <w:rsid w:val="0022333F"/>
    <w:rsid w:val="0022380D"/>
    <w:rsid w:val="00224D2C"/>
    <w:rsid w:val="0023276D"/>
    <w:rsid w:val="00233D48"/>
    <w:rsid w:val="002403BE"/>
    <w:rsid w:val="00245A29"/>
    <w:rsid w:val="00254EC1"/>
    <w:rsid w:val="002668DF"/>
    <w:rsid w:val="00267EE4"/>
    <w:rsid w:val="002710C3"/>
    <w:rsid w:val="00272BB8"/>
    <w:rsid w:val="00280C5D"/>
    <w:rsid w:val="00286029"/>
    <w:rsid w:val="00286F0B"/>
    <w:rsid w:val="0029133F"/>
    <w:rsid w:val="002B4100"/>
    <w:rsid w:val="002B680F"/>
    <w:rsid w:val="002C01B0"/>
    <w:rsid w:val="002C0314"/>
    <w:rsid w:val="002C04F5"/>
    <w:rsid w:val="002D0385"/>
    <w:rsid w:val="002D140F"/>
    <w:rsid w:val="002E034A"/>
    <w:rsid w:val="00301BF7"/>
    <w:rsid w:val="0030259D"/>
    <w:rsid w:val="00306012"/>
    <w:rsid w:val="00307649"/>
    <w:rsid w:val="00312B16"/>
    <w:rsid w:val="003166B9"/>
    <w:rsid w:val="00323040"/>
    <w:rsid w:val="003235DC"/>
    <w:rsid w:val="0032407A"/>
    <w:rsid w:val="003257C0"/>
    <w:rsid w:val="003314F8"/>
    <w:rsid w:val="00332AA7"/>
    <w:rsid w:val="00333EFF"/>
    <w:rsid w:val="00336155"/>
    <w:rsid w:val="003370DB"/>
    <w:rsid w:val="00337ACF"/>
    <w:rsid w:val="00340563"/>
    <w:rsid w:val="00342BC6"/>
    <w:rsid w:val="00352B22"/>
    <w:rsid w:val="00356123"/>
    <w:rsid w:val="00362DA4"/>
    <w:rsid w:val="003630A2"/>
    <w:rsid w:val="00370694"/>
    <w:rsid w:val="00370CE2"/>
    <w:rsid w:val="003710AC"/>
    <w:rsid w:val="00371B56"/>
    <w:rsid w:val="003723FA"/>
    <w:rsid w:val="003762DC"/>
    <w:rsid w:val="003830DD"/>
    <w:rsid w:val="003913D4"/>
    <w:rsid w:val="0039475E"/>
    <w:rsid w:val="00394C28"/>
    <w:rsid w:val="003A0DE8"/>
    <w:rsid w:val="003A376D"/>
    <w:rsid w:val="003A4C3C"/>
    <w:rsid w:val="003B3096"/>
    <w:rsid w:val="003B5400"/>
    <w:rsid w:val="003B61E8"/>
    <w:rsid w:val="003C30CA"/>
    <w:rsid w:val="003D2A2A"/>
    <w:rsid w:val="003D3746"/>
    <w:rsid w:val="003D7270"/>
    <w:rsid w:val="003E5F0C"/>
    <w:rsid w:val="003F4034"/>
    <w:rsid w:val="003F56F1"/>
    <w:rsid w:val="0040271F"/>
    <w:rsid w:val="0040672D"/>
    <w:rsid w:val="00422A38"/>
    <w:rsid w:val="00422CDB"/>
    <w:rsid w:val="00424D24"/>
    <w:rsid w:val="00426A2C"/>
    <w:rsid w:val="00435A3E"/>
    <w:rsid w:val="004367CC"/>
    <w:rsid w:val="00445C20"/>
    <w:rsid w:val="00446C4E"/>
    <w:rsid w:val="0045054F"/>
    <w:rsid w:val="004517EE"/>
    <w:rsid w:val="004523CE"/>
    <w:rsid w:val="00453FE1"/>
    <w:rsid w:val="0045676A"/>
    <w:rsid w:val="004606E8"/>
    <w:rsid w:val="004635B0"/>
    <w:rsid w:val="0046421F"/>
    <w:rsid w:val="004747CA"/>
    <w:rsid w:val="004778A7"/>
    <w:rsid w:val="004835D2"/>
    <w:rsid w:val="00486ACB"/>
    <w:rsid w:val="004878FE"/>
    <w:rsid w:val="004A080A"/>
    <w:rsid w:val="004A086D"/>
    <w:rsid w:val="004A2691"/>
    <w:rsid w:val="004B3250"/>
    <w:rsid w:val="004B777A"/>
    <w:rsid w:val="004C07F4"/>
    <w:rsid w:val="004C0C59"/>
    <w:rsid w:val="004C30F0"/>
    <w:rsid w:val="004C316E"/>
    <w:rsid w:val="004E0EB8"/>
    <w:rsid w:val="004E26FE"/>
    <w:rsid w:val="004E3063"/>
    <w:rsid w:val="004F3868"/>
    <w:rsid w:val="004F44E4"/>
    <w:rsid w:val="004F45B9"/>
    <w:rsid w:val="004F78C4"/>
    <w:rsid w:val="00511C33"/>
    <w:rsid w:val="00516053"/>
    <w:rsid w:val="00524660"/>
    <w:rsid w:val="005246BB"/>
    <w:rsid w:val="00525BC1"/>
    <w:rsid w:val="00525FA5"/>
    <w:rsid w:val="00530E22"/>
    <w:rsid w:val="005438BC"/>
    <w:rsid w:val="005441E8"/>
    <w:rsid w:val="0054434E"/>
    <w:rsid w:val="00551E1A"/>
    <w:rsid w:val="005558F8"/>
    <w:rsid w:val="00565F04"/>
    <w:rsid w:val="0056652E"/>
    <w:rsid w:val="0056680B"/>
    <w:rsid w:val="005705C3"/>
    <w:rsid w:val="00572EBF"/>
    <w:rsid w:val="00582AFD"/>
    <w:rsid w:val="00590FA2"/>
    <w:rsid w:val="00594F1E"/>
    <w:rsid w:val="0059614E"/>
    <w:rsid w:val="005A6F1F"/>
    <w:rsid w:val="005B5D00"/>
    <w:rsid w:val="005C10AE"/>
    <w:rsid w:val="005C7510"/>
    <w:rsid w:val="005D0522"/>
    <w:rsid w:val="005D057B"/>
    <w:rsid w:val="005D0B8A"/>
    <w:rsid w:val="005D1CBA"/>
    <w:rsid w:val="005D2756"/>
    <w:rsid w:val="005E1338"/>
    <w:rsid w:val="005F1FC1"/>
    <w:rsid w:val="005F4902"/>
    <w:rsid w:val="005F5C85"/>
    <w:rsid w:val="0060022E"/>
    <w:rsid w:val="006113E4"/>
    <w:rsid w:val="00613519"/>
    <w:rsid w:val="00626423"/>
    <w:rsid w:val="00647BA5"/>
    <w:rsid w:val="006548DE"/>
    <w:rsid w:val="006570F6"/>
    <w:rsid w:val="006577C1"/>
    <w:rsid w:val="00666DF6"/>
    <w:rsid w:val="0067040E"/>
    <w:rsid w:val="00672908"/>
    <w:rsid w:val="00673C7F"/>
    <w:rsid w:val="00675A42"/>
    <w:rsid w:val="00677290"/>
    <w:rsid w:val="00683C36"/>
    <w:rsid w:val="006918F7"/>
    <w:rsid w:val="00694E33"/>
    <w:rsid w:val="006A05EA"/>
    <w:rsid w:val="006A165E"/>
    <w:rsid w:val="006B06B2"/>
    <w:rsid w:val="006B73CD"/>
    <w:rsid w:val="006C2119"/>
    <w:rsid w:val="006D2E32"/>
    <w:rsid w:val="006D33DA"/>
    <w:rsid w:val="006D50EF"/>
    <w:rsid w:val="006D58F4"/>
    <w:rsid w:val="006E35F4"/>
    <w:rsid w:val="006E4A92"/>
    <w:rsid w:val="006E5680"/>
    <w:rsid w:val="006E7AA3"/>
    <w:rsid w:val="007021B6"/>
    <w:rsid w:val="00702A82"/>
    <w:rsid w:val="00706C3A"/>
    <w:rsid w:val="00714DB3"/>
    <w:rsid w:val="00720E93"/>
    <w:rsid w:val="007311F3"/>
    <w:rsid w:val="00737130"/>
    <w:rsid w:val="00737E7A"/>
    <w:rsid w:val="00741664"/>
    <w:rsid w:val="0074579A"/>
    <w:rsid w:val="007539E8"/>
    <w:rsid w:val="0076074A"/>
    <w:rsid w:val="00762DCA"/>
    <w:rsid w:val="0077294F"/>
    <w:rsid w:val="00774E59"/>
    <w:rsid w:val="0077537F"/>
    <w:rsid w:val="00776F71"/>
    <w:rsid w:val="00777332"/>
    <w:rsid w:val="00781155"/>
    <w:rsid w:val="0079036B"/>
    <w:rsid w:val="00795B35"/>
    <w:rsid w:val="00795BC4"/>
    <w:rsid w:val="007A1429"/>
    <w:rsid w:val="007B218B"/>
    <w:rsid w:val="007C03F2"/>
    <w:rsid w:val="007C1715"/>
    <w:rsid w:val="007C3037"/>
    <w:rsid w:val="007D16AD"/>
    <w:rsid w:val="007D4586"/>
    <w:rsid w:val="007D4E78"/>
    <w:rsid w:val="007E1E43"/>
    <w:rsid w:val="007E5230"/>
    <w:rsid w:val="007E66F5"/>
    <w:rsid w:val="007E7A05"/>
    <w:rsid w:val="007F0D8E"/>
    <w:rsid w:val="007F2023"/>
    <w:rsid w:val="007F3614"/>
    <w:rsid w:val="00812DE9"/>
    <w:rsid w:val="00812E20"/>
    <w:rsid w:val="00813D0F"/>
    <w:rsid w:val="00815CC4"/>
    <w:rsid w:val="008216E4"/>
    <w:rsid w:val="00825D55"/>
    <w:rsid w:val="00825D83"/>
    <w:rsid w:val="00827F2E"/>
    <w:rsid w:val="00832B61"/>
    <w:rsid w:val="008348A1"/>
    <w:rsid w:val="00842C9B"/>
    <w:rsid w:val="008530DC"/>
    <w:rsid w:val="00853B47"/>
    <w:rsid w:val="008574FB"/>
    <w:rsid w:val="00861C00"/>
    <w:rsid w:val="00864974"/>
    <w:rsid w:val="00870F93"/>
    <w:rsid w:val="00872040"/>
    <w:rsid w:val="00876A83"/>
    <w:rsid w:val="008818F0"/>
    <w:rsid w:val="00885347"/>
    <w:rsid w:val="00890683"/>
    <w:rsid w:val="00890F92"/>
    <w:rsid w:val="00891DC3"/>
    <w:rsid w:val="00894B5A"/>
    <w:rsid w:val="008A0119"/>
    <w:rsid w:val="008A45C7"/>
    <w:rsid w:val="008B3696"/>
    <w:rsid w:val="008B4A86"/>
    <w:rsid w:val="008B52DA"/>
    <w:rsid w:val="008C3EC1"/>
    <w:rsid w:val="008C4EAC"/>
    <w:rsid w:val="008C7D7B"/>
    <w:rsid w:val="008D7407"/>
    <w:rsid w:val="008D7DE6"/>
    <w:rsid w:val="008E190E"/>
    <w:rsid w:val="008E2286"/>
    <w:rsid w:val="008E6284"/>
    <w:rsid w:val="008F01AF"/>
    <w:rsid w:val="008F1CD4"/>
    <w:rsid w:val="00900A76"/>
    <w:rsid w:val="00902F7C"/>
    <w:rsid w:val="00905C65"/>
    <w:rsid w:val="00910C0A"/>
    <w:rsid w:val="009137C4"/>
    <w:rsid w:val="009202BC"/>
    <w:rsid w:val="00922CFD"/>
    <w:rsid w:val="00924227"/>
    <w:rsid w:val="00924BE1"/>
    <w:rsid w:val="00927A50"/>
    <w:rsid w:val="00930827"/>
    <w:rsid w:val="00933B72"/>
    <w:rsid w:val="00940AF1"/>
    <w:rsid w:val="00947A4A"/>
    <w:rsid w:val="00950318"/>
    <w:rsid w:val="00950C4A"/>
    <w:rsid w:val="00954573"/>
    <w:rsid w:val="00961A4E"/>
    <w:rsid w:val="00970840"/>
    <w:rsid w:val="00975A47"/>
    <w:rsid w:val="00977342"/>
    <w:rsid w:val="009803C2"/>
    <w:rsid w:val="009848E8"/>
    <w:rsid w:val="00985413"/>
    <w:rsid w:val="009910A5"/>
    <w:rsid w:val="009A1C41"/>
    <w:rsid w:val="009A1EBC"/>
    <w:rsid w:val="009A741F"/>
    <w:rsid w:val="009B4BDF"/>
    <w:rsid w:val="009B4C2C"/>
    <w:rsid w:val="009B6CA7"/>
    <w:rsid w:val="009D0A3F"/>
    <w:rsid w:val="009D4196"/>
    <w:rsid w:val="009D4289"/>
    <w:rsid w:val="009E36A2"/>
    <w:rsid w:val="009E4BBF"/>
    <w:rsid w:val="009E64B6"/>
    <w:rsid w:val="009E79FD"/>
    <w:rsid w:val="009F3201"/>
    <w:rsid w:val="00A01252"/>
    <w:rsid w:val="00A02643"/>
    <w:rsid w:val="00A02EBC"/>
    <w:rsid w:val="00A03AFA"/>
    <w:rsid w:val="00A05115"/>
    <w:rsid w:val="00A10096"/>
    <w:rsid w:val="00A10B71"/>
    <w:rsid w:val="00A11B44"/>
    <w:rsid w:val="00A1213B"/>
    <w:rsid w:val="00A13F7D"/>
    <w:rsid w:val="00A1533C"/>
    <w:rsid w:val="00A2275E"/>
    <w:rsid w:val="00A24EE8"/>
    <w:rsid w:val="00A309F2"/>
    <w:rsid w:val="00A3189D"/>
    <w:rsid w:val="00A33C21"/>
    <w:rsid w:val="00A34F7F"/>
    <w:rsid w:val="00A36DDD"/>
    <w:rsid w:val="00A3724A"/>
    <w:rsid w:val="00A42C6A"/>
    <w:rsid w:val="00A4373B"/>
    <w:rsid w:val="00A508AD"/>
    <w:rsid w:val="00A50B7E"/>
    <w:rsid w:val="00A62147"/>
    <w:rsid w:val="00A71A49"/>
    <w:rsid w:val="00A75B05"/>
    <w:rsid w:val="00A9111A"/>
    <w:rsid w:val="00A9432D"/>
    <w:rsid w:val="00A97E5F"/>
    <w:rsid w:val="00AA0B7D"/>
    <w:rsid w:val="00AA303C"/>
    <w:rsid w:val="00AA3238"/>
    <w:rsid w:val="00AA50E2"/>
    <w:rsid w:val="00AA75AA"/>
    <w:rsid w:val="00AB30A9"/>
    <w:rsid w:val="00AB333E"/>
    <w:rsid w:val="00AC07A5"/>
    <w:rsid w:val="00AC3909"/>
    <w:rsid w:val="00AC4F14"/>
    <w:rsid w:val="00AC5760"/>
    <w:rsid w:val="00AD1362"/>
    <w:rsid w:val="00AD7820"/>
    <w:rsid w:val="00AF3B03"/>
    <w:rsid w:val="00AF41D1"/>
    <w:rsid w:val="00B0175C"/>
    <w:rsid w:val="00B03ACE"/>
    <w:rsid w:val="00B10A01"/>
    <w:rsid w:val="00B138DA"/>
    <w:rsid w:val="00B14E29"/>
    <w:rsid w:val="00B15AC0"/>
    <w:rsid w:val="00B17A87"/>
    <w:rsid w:val="00B2211C"/>
    <w:rsid w:val="00B240E3"/>
    <w:rsid w:val="00B24F9E"/>
    <w:rsid w:val="00B251A1"/>
    <w:rsid w:val="00B2522A"/>
    <w:rsid w:val="00B255FF"/>
    <w:rsid w:val="00B27EA9"/>
    <w:rsid w:val="00B56554"/>
    <w:rsid w:val="00B57324"/>
    <w:rsid w:val="00B63C6F"/>
    <w:rsid w:val="00B64F07"/>
    <w:rsid w:val="00B66EE1"/>
    <w:rsid w:val="00B71984"/>
    <w:rsid w:val="00B91F7E"/>
    <w:rsid w:val="00B926A5"/>
    <w:rsid w:val="00B97058"/>
    <w:rsid w:val="00B979B8"/>
    <w:rsid w:val="00BA37C4"/>
    <w:rsid w:val="00BB15FC"/>
    <w:rsid w:val="00BB47A7"/>
    <w:rsid w:val="00BC0AD7"/>
    <w:rsid w:val="00BC120E"/>
    <w:rsid w:val="00BC220E"/>
    <w:rsid w:val="00BC7299"/>
    <w:rsid w:val="00BC7FFB"/>
    <w:rsid w:val="00BD217A"/>
    <w:rsid w:val="00BD25FF"/>
    <w:rsid w:val="00BD418B"/>
    <w:rsid w:val="00BD432D"/>
    <w:rsid w:val="00BD68F6"/>
    <w:rsid w:val="00BD75CF"/>
    <w:rsid w:val="00BF4007"/>
    <w:rsid w:val="00BF7799"/>
    <w:rsid w:val="00C02C43"/>
    <w:rsid w:val="00C06124"/>
    <w:rsid w:val="00C129EB"/>
    <w:rsid w:val="00C208B5"/>
    <w:rsid w:val="00C24397"/>
    <w:rsid w:val="00C36894"/>
    <w:rsid w:val="00C409B2"/>
    <w:rsid w:val="00C42CBC"/>
    <w:rsid w:val="00C50FF6"/>
    <w:rsid w:val="00C55730"/>
    <w:rsid w:val="00C61A99"/>
    <w:rsid w:val="00C6648D"/>
    <w:rsid w:val="00C73A6D"/>
    <w:rsid w:val="00C77B1B"/>
    <w:rsid w:val="00C85905"/>
    <w:rsid w:val="00CA7E8F"/>
    <w:rsid w:val="00CB012F"/>
    <w:rsid w:val="00CB090F"/>
    <w:rsid w:val="00CB1831"/>
    <w:rsid w:val="00CC0EF1"/>
    <w:rsid w:val="00CD63CD"/>
    <w:rsid w:val="00CD69A8"/>
    <w:rsid w:val="00CD7399"/>
    <w:rsid w:val="00CE03A4"/>
    <w:rsid w:val="00CE1514"/>
    <w:rsid w:val="00CE4366"/>
    <w:rsid w:val="00CE79E0"/>
    <w:rsid w:val="00CF195B"/>
    <w:rsid w:val="00CF1B53"/>
    <w:rsid w:val="00CF3A3A"/>
    <w:rsid w:val="00CF54FD"/>
    <w:rsid w:val="00CF6EBC"/>
    <w:rsid w:val="00D04D56"/>
    <w:rsid w:val="00D07131"/>
    <w:rsid w:val="00D11823"/>
    <w:rsid w:val="00D122D7"/>
    <w:rsid w:val="00D17C5F"/>
    <w:rsid w:val="00D2085B"/>
    <w:rsid w:val="00D2085E"/>
    <w:rsid w:val="00D22BFD"/>
    <w:rsid w:val="00D24FC6"/>
    <w:rsid w:val="00D27D81"/>
    <w:rsid w:val="00D33AA0"/>
    <w:rsid w:val="00D43453"/>
    <w:rsid w:val="00D526C8"/>
    <w:rsid w:val="00D53462"/>
    <w:rsid w:val="00D5525D"/>
    <w:rsid w:val="00D5557B"/>
    <w:rsid w:val="00D57847"/>
    <w:rsid w:val="00D611F5"/>
    <w:rsid w:val="00D61DDC"/>
    <w:rsid w:val="00D657B5"/>
    <w:rsid w:val="00D65A96"/>
    <w:rsid w:val="00D67DCD"/>
    <w:rsid w:val="00D75B94"/>
    <w:rsid w:val="00D8297C"/>
    <w:rsid w:val="00D858B3"/>
    <w:rsid w:val="00D9022D"/>
    <w:rsid w:val="00D921AA"/>
    <w:rsid w:val="00DA2E0F"/>
    <w:rsid w:val="00DA399F"/>
    <w:rsid w:val="00DA47C3"/>
    <w:rsid w:val="00DA5F3F"/>
    <w:rsid w:val="00DB2504"/>
    <w:rsid w:val="00DB6BC1"/>
    <w:rsid w:val="00DC313D"/>
    <w:rsid w:val="00DC67FC"/>
    <w:rsid w:val="00DD6E92"/>
    <w:rsid w:val="00DE2621"/>
    <w:rsid w:val="00DE5723"/>
    <w:rsid w:val="00DF2159"/>
    <w:rsid w:val="00DF4780"/>
    <w:rsid w:val="00DF6786"/>
    <w:rsid w:val="00E033F4"/>
    <w:rsid w:val="00E14326"/>
    <w:rsid w:val="00E15B55"/>
    <w:rsid w:val="00E223AB"/>
    <w:rsid w:val="00E239F0"/>
    <w:rsid w:val="00E24149"/>
    <w:rsid w:val="00E25204"/>
    <w:rsid w:val="00E26812"/>
    <w:rsid w:val="00E37AAB"/>
    <w:rsid w:val="00E41C44"/>
    <w:rsid w:val="00E460E1"/>
    <w:rsid w:val="00E50AB4"/>
    <w:rsid w:val="00E54229"/>
    <w:rsid w:val="00E601DD"/>
    <w:rsid w:val="00E67D1C"/>
    <w:rsid w:val="00E70A4B"/>
    <w:rsid w:val="00E722B3"/>
    <w:rsid w:val="00E74E7A"/>
    <w:rsid w:val="00E764E1"/>
    <w:rsid w:val="00E806BC"/>
    <w:rsid w:val="00E80707"/>
    <w:rsid w:val="00E82A4D"/>
    <w:rsid w:val="00E84F46"/>
    <w:rsid w:val="00E85847"/>
    <w:rsid w:val="00E90678"/>
    <w:rsid w:val="00E90CE5"/>
    <w:rsid w:val="00E913A4"/>
    <w:rsid w:val="00E93F07"/>
    <w:rsid w:val="00EA0998"/>
    <w:rsid w:val="00EA1BD4"/>
    <w:rsid w:val="00EB3A26"/>
    <w:rsid w:val="00EC212D"/>
    <w:rsid w:val="00ED1C32"/>
    <w:rsid w:val="00ED344B"/>
    <w:rsid w:val="00ED3EA1"/>
    <w:rsid w:val="00EE0369"/>
    <w:rsid w:val="00EF41AA"/>
    <w:rsid w:val="00F01141"/>
    <w:rsid w:val="00F05AA9"/>
    <w:rsid w:val="00F116B8"/>
    <w:rsid w:val="00F202D0"/>
    <w:rsid w:val="00F373C5"/>
    <w:rsid w:val="00F4085E"/>
    <w:rsid w:val="00F470F6"/>
    <w:rsid w:val="00F558DD"/>
    <w:rsid w:val="00F63FFC"/>
    <w:rsid w:val="00F66B89"/>
    <w:rsid w:val="00F72D5B"/>
    <w:rsid w:val="00F73F1C"/>
    <w:rsid w:val="00F82CFC"/>
    <w:rsid w:val="00F92E2A"/>
    <w:rsid w:val="00F9645B"/>
    <w:rsid w:val="00FA08BE"/>
    <w:rsid w:val="00FA1876"/>
    <w:rsid w:val="00FB6EF2"/>
    <w:rsid w:val="00FC57B1"/>
    <w:rsid w:val="00FD22B6"/>
    <w:rsid w:val="00FD3DD9"/>
    <w:rsid w:val="00FE1618"/>
    <w:rsid w:val="00FF0F33"/>
    <w:rsid w:val="00FF6D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ersonName"/>
  <w:smartTagType w:namespaceuri="urn:schemas-microsoft-com:office:smarttags" w:name="place"/>
  <w:smartTagType w:namespaceuri="urn:schemas-microsoft-com:office:smarttags" w:name="country-region"/>
  <w:shapeDefaults>
    <o:shapedefaults v:ext="edit" spidmax="2069">
      <o:colormenu v:ext="edit" fillcolor="none"/>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5730"/>
    <w:pPr>
      <w:spacing w:line="200" w:lineRule="atLeast"/>
    </w:pPr>
    <w:rPr>
      <w:rFonts w:ascii="Arial" w:hAnsi="Arial"/>
    </w:rPr>
  </w:style>
  <w:style w:type="paragraph" w:styleId="Heading1">
    <w:name w:val="heading 1"/>
    <w:basedOn w:val="Normal"/>
    <w:next w:val="Normal"/>
    <w:link w:val="Heading1Char"/>
    <w:qFormat/>
    <w:rsid w:val="00ED3EA1"/>
    <w:pPr>
      <w:keepNext/>
      <w:spacing w:before="120" w:after="240"/>
      <w:outlineLvl w:val="0"/>
    </w:pPr>
    <w:rPr>
      <w:kern w:val="28"/>
      <w:sz w:val="40"/>
    </w:rPr>
  </w:style>
  <w:style w:type="paragraph" w:styleId="Heading2">
    <w:name w:val="heading 2"/>
    <w:basedOn w:val="Normal"/>
    <w:next w:val="Normal"/>
    <w:link w:val="Heading2Char"/>
    <w:qFormat/>
    <w:rsid w:val="007539E8"/>
    <w:pPr>
      <w:keepNext/>
      <w:spacing w:before="120" w:line="260" w:lineRule="exact"/>
      <w:outlineLvl w:val="1"/>
    </w:pPr>
    <w:rPr>
      <w:b/>
      <w:caps/>
      <w:spacing w:val="10"/>
      <w:sz w:val="19"/>
    </w:rPr>
  </w:style>
  <w:style w:type="paragraph" w:styleId="Heading3">
    <w:name w:val="heading 3"/>
    <w:basedOn w:val="Normal"/>
    <w:next w:val="Normal"/>
    <w:link w:val="Heading3Char"/>
    <w:qFormat/>
    <w:rsid w:val="001A3699"/>
    <w:pPr>
      <w:keepNext/>
      <w:spacing w:line="260" w:lineRule="exact"/>
      <w:outlineLvl w:val="2"/>
    </w:pPr>
    <w:rPr>
      <w:b/>
      <w:spacing w:val="10"/>
    </w:rPr>
  </w:style>
  <w:style w:type="paragraph" w:styleId="Heading4">
    <w:name w:val="heading 4"/>
    <w:basedOn w:val="Normal"/>
    <w:next w:val="Normal"/>
    <w:qFormat/>
    <w:pPr>
      <w:keepNext/>
      <w:spacing w:line="260" w:lineRule="exact"/>
      <w:outlineLvl w:val="3"/>
    </w:pPr>
    <w:rPr>
      <w:rFonts w:ascii="Times New Roman" w:hAnsi="Times New Roman"/>
      <w:b/>
      <w:i/>
      <w:spacing w:val="10"/>
      <w:sz w:val="21"/>
    </w:rPr>
  </w:style>
  <w:style w:type="paragraph" w:styleId="Heading5">
    <w:name w:val="heading 5"/>
    <w:basedOn w:val="Normal"/>
    <w:next w:val="Normal"/>
    <w:qFormat/>
    <w:pPr>
      <w:spacing w:line="260" w:lineRule="exact"/>
      <w:outlineLvl w:val="4"/>
    </w:pPr>
    <w:rPr>
      <w:rFonts w:ascii="Times New Roman" w:hAnsi="Times New Roman"/>
      <w:i/>
      <w:spacing w:val="10"/>
      <w:sz w:val="21"/>
    </w:rPr>
  </w:style>
  <w:style w:type="paragraph" w:styleId="Heading6">
    <w:name w:val="heading 6"/>
    <w:basedOn w:val="Normal"/>
    <w:next w:val="Normal"/>
    <w:qFormat/>
    <w:pPr>
      <w:spacing w:line="260" w:lineRule="exact"/>
      <w:outlineLvl w:val="5"/>
    </w:pPr>
    <w:rPr>
      <w:rFonts w:ascii="Times New Roman" w:hAnsi="Times New Roman"/>
      <w:sz w:val="21"/>
    </w:rPr>
  </w:style>
  <w:style w:type="paragraph" w:styleId="Heading7">
    <w:name w:val="heading 7"/>
    <w:basedOn w:val="Normal"/>
    <w:next w:val="Normal"/>
    <w:qFormat/>
    <w:pPr>
      <w:spacing w:line="220" w:lineRule="exact"/>
      <w:outlineLvl w:val="6"/>
    </w:pPr>
    <w:rPr>
      <w:b/>
      <w:caps/>
      <w:spacing w:val="10"/>
      <w:sz w:val="16"/>
    </w:rPr>
  </w:style>
  <w:style w:type="paragraph" w:styleId="Heading8">
    <w:name w:val="heading 8"/>
    <w:basedOn w:val="Normal"/>
    <w:next w:val="Normal"/>
    <w:qFormat/>
    <w:pPr>
      <w:outlineLvl w:val="7"/>
    </w:pPr>
    <w:rPr>
      <w:rFonts w:ascii="Helvetica" w:hAnsi="Helvetica"/>
      <w:i/>
    </w:rPr>
  </w:style>
  <w:style w:type="paragraph" w:styleId="Heading9">
    <w:name w:val="heading 9"/>
    <w:basedOn w:val="Normal"/>
    <w:next w:val="Normal"/>
    <w:qFormat/>
    <w:pPr>
      <w:outlineLvl w:val="8"/>
    </w:pPr>
    <w:rPr>
      <w:rFonts w:ascii="Helvetica" w:hAnsi="Helvetica"/>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32AA7"/>
    <w:pPr>
      <w:spacing w:before="120" w:after="120"/>
    </w:pPr>
  </w:style>
  <w:style w:type="paragraph" w:styleId="Footer">
    <w:name w:val="footer"/>
    <w:basedOn w:val="Normal"/>
    <w:pPr>
      <w:tabs>
        <w:tab w:val="center" w:pos="4153"/>
        <w:tab w:val="right" w:pos="8306"/>
      </w:tabs>
    </w:pPr>
  </w:style>
  <w:style w:type="paragraph" w:styleId="Header">
    <w:name w:val="header"/>
    <w:basedOn w:val="Normal"/>
    <w:rsid w:val="00ED3EA1"/>
    <w:pPr>
      <w:tabs>
        <w:tab w:val="center" w:pos="4320"/>
        <w:tab w:val="right" w:pos="8640"/>
      </w:tabs>
    </w:pPr>
    <w:rPr>
      <w:b/>
      <w:spacing w:val="10"/>
      <w:sz w:val="16"/>
      <w:szCs w:val="16"/>
    </w:rPr>
  </w:style>
  <w:style w:type="paragraph" w:customStyle="1" w:styleId="Record">
    <w:name w:val="Record #"/>
    <w:basedOn w:val="Normal"/>
    <w:pPr>
      <w:keepNext/>
      <w:spacing w:line="260" w:lineRule="exact"/>
      <w:outlineLvl w:val="0"/>
    </w:pPr>
    <w:rPr>
      <w:rFonts w:eastAsia="Times New Roman"/>
      <w:caps/>
      <w:spacing w:val="10"/>
      <w:sz w:val="19"/>
    </w:rPr>
  </w:style>
  <w:style w:type="paragraph" w:customStyle="1" w:styleId="Bibliographicref">
    <w:name w:val="Bibliographic ref"/>
    <w:basedOn w:val="Normal"/>
    <w:pPr>
      <w:pBdr>
        <w:top w:val="single" w:sz="4" w:space="1" w:color="808080"/>
        <w:left w:val="single" w:sz="4" w:space="4" w:color="808080"/>
        <w:bottom w:val="single" w:sz="4" w:space="1" w:color="808080"/>
        <w:right w:val="single" w:sz="4" w:space="4" w:color="808080"/>
      </w:pBdr>
      <w:spacing w:after="160" w:line="260" w:lineRule="exact"/>
      <w:jc w:val="both"/>
    </w:pPr>
    <w:rPr>
      <w:rFonts w:ascii="Times New Roman" w:eastAsia="Times New Roman" w:hAnsi="Times New Roman"/>
      <w:sz w:val="21"/>
    </w:rPr>
  </w:style>
  <w:style w:type="character" w:customStyle="1" w:styleId="Captionsbold">
    <w:name w:val="Captions bold"/>
    <w:basedOn w:val="DefaultParagraphFont"/>
    <w:rPr>
      <w:rFonts w:ascii="Times New Roman" w:hAnsi="Times New Roman"/>
      <w:b/>
      <w:sz w:val="20"/>
    </w:rPr>
  </w:style>
  <w:style w:type="paragraph" w:customStyle="1" w:styleId="Contentsheading">
    <w:name w:val="Contents heading"/>
    <w:basedOn w:val="Normal"/>
    <w:rsid w:val="00ED3EA1"/>
    <w:pPr>
      <w:keepNext/>
      <w:tabs>
        <w:tab w:val="right" w:leader="dot" w:pos="8222"/>
      </w:tabs>
      <w:spacing w:after="240" w:line="240" w:lineRule="atLeast"/>
      <w:outlineLvl w:val="0"/>
    </w:pPr>
    <w:rPr>
      <w:rFonts w:eastAsia="Times New Roman"/>
      <w:spacing w:val="10"/>
      <w:sz w:val="40"/>
    </w:rPr>
  </w:style>
  <w:style w:type="paragraph" w:customStyle="1" w:styleId="Documenttitle">
    <w:name w:val="Document title"/>
    <w:basedOn w:val="Normal"/>
    <w:pPr>
      <w:keepNext/>
      <w:spacing w:before="1680"/>
      <w:outlineLvl w:val="0"/>
    </w:pPr>
    <w:rPr>
      <w:rFonts w:eastAsia="Times New Roman"/>
      <w:sz w:val="48"/>
    </w:rPr>
  </w:style>
  <w:style w:type="paragraph" w:customStyle="1" w:styleId="Notes">
    <w:name w:val="Notes"/>
    <w:basedOn w:val="Normal"/>
    <w:pPr>
      <w:numPr>
        <w:numId w:val="11"/>
      </w:numPr>
      <w:pBdr>
        <w:top w:val="single" w:sz="4" w:space="1" w:color="808080"/>
      </w:pBdr>
      <w:tabs>
        <w:tab w:val="clear" w:pos="360"/>
        <w:tab w:val="num" w:pos="284"/>
      </w:tabs>
      <w:spacing w:line="220" w:lineRule="exact"/>
      <w:ind w:left="284" w:hanging="284"/>
      <w:jc w:val="both"/>
    </w:pPr>
    <w:rPr>
      <w:rFonts w:eastAsia="Times New Roman"/>
      <w:sz w:val="16"/>
    </w:rPr>
  </w:style>
  <w:style w:type="paragraph" w:customStyle="1" w:styleId="Contentsbodytext">
    <w:name w:val="Contents body text"/>
    <w:basedOn w:val="Normal"/>
    <w:pPr>
      <w:tabs>
        <w:tab w:val="right" w:leader="dot" w:pos="8222"/>
      </w:tabs>
      <w:spacing w:line="260" w:lineRule="exact"/>
      <w:jc w:val="both"/>
    </w:pPr>
    <w:rPr>
      <w:rFonts w:eastAsia="Times New Roman"/>
    </w:rPr>
  </w:style>
  <w:style w:type="paragraph" w:customStyle="1" w:styleId="Contentsbodyindented">
    <w:name w:val="Contents body indented"/>
    <w:basedOn w:val="Contentsbodytext"/>
    <w:pPr>
      <w:ind w:left="284"/>
    </w:pPr>
  </w:style>
  <w:style w:type="paragraph" w:customStyle="1" w:styleId="Bulletlevel1">
    <w:name w:val="Bullet level 1"/>
    <w:basedOn w:val="Normal"/>
    <w:next w:val="Normal"/>
    <w:pPr>
      <w:numPr>
        <w:numId w:val="13"/>
      </w:numPr>
      <w:tabs>
        <w:tab w:val="clear" w:pos="360"/>
        <w:tab w:val="num" w:pos="284"/>
      </w:tabs>
      <w:spacing w:line="260" w:lineRule="exact"/>
      <w:ind w:left="284" w:hanging="284"/>
      <w:jc w:val="both"/>
    </w:pPr>
    <w:rPr>
      <w:rFonts w:ascii="Times New Roman" w:eastAsia="Times New Roman" w:hAnsi="Times New Roman"/>
      <w:sz w:val="21"/>
    </w:rPr>
  </w:style>
  <w:style w:type="paragraph" w:customStyle="1" w:styleId="Captions">
    <w:name w:val="Captions"/>
    <w:basedOn w:val="Normal"/>
    <w:link w:val="CaptionsChar"/>
    <w:rsid w:val="00E033F4"/>
    <w:pPr>
      <w:spacing w:before="60" w:after="180" w:line="180" w:lineRule="atLeast"/>
    </w:pPr>
    <w:rPr>
      <w:rFonts w:eastAsia="Times New Roman"/>
      <w:i/>
      <w:sz w:val="18"/>
    </w:rPr>
  </w:style>
  <w:style w:type="paragraph" w:customStyle="1" w:styleId="Bulletlevel2">
    <w:name w:val="Bullet level 2"/>
    <w:basedOn w:val="Normal"/>
    <w:next w:val="Bulletlevel1"/>
    <w:pPr>
      <w:numPr>
        <w:numId w:val="14"/>
      </w:numPr>
      <w:tabs>
        <w:tab w:val="clear" w:pos="1080"/>
        <w:tab w:val="num" w:pos="567"/>
      </w:tabs>
      <w:spacing w:line="260" w:lineRule="exact"/>
      <w:ind w:left="568" w:hanging="284"/>
      <w:jc w:val="both"/>
    </w:pPr>
    <w:rPr>
      <w:rFonts w:ascii="Times New Roman" w:eastAsia="Times New Roman" w:hAnsi="Times New Roman"/>
      <w:sz w:val="21"/>
    </w:rPr>
  </w:style>
  <w:style w:type="paragraph" w:customStyle="1" w:styleId="Tabletitle">
    <w:name w:val="Table title"/>
    <w:basedOn w:val="Normal"/>
    <w:rsid w:val="00E033F4"/>
    <w:pPr>
      <w:spacing w:before="120" w:after="40"/>
    </w:pPr>
    <w:rPr>
      <w:rFonts w:eastAsia="Times New Roman"/>
      <w:i/>
      <w:sz w:val="18"/>
    </w:rPr>
  </w:style>
  <w:style w:type="character" w:customStyle="1" w:styleId="Tablenumber">
    <w:name w:val="Table number"/>
    <w:basedOn w:val="DefaultParagraphFont"/>
    <w:rPr>
      <w:b/>
    </w:rPr>
  </w:style>
  <w:style w:type="paragraph" w:customStyle="1" w:styleId="Tabletext">
    <w:name w:val="Table text"/>
    <w:basedOn w:val="Normal"/>
    <w:rsid w:val="001A3699"/>
    <w:pPr>
      <w:spacing w:before="60" w:after="60"/>
    </w:pPr>
    <w:rPr>
      <w:rFonts w:eastAsia="Times New Roman"/>
      <w:sz w:val="18"/>
    </w:rPr>
  </w:style>
  <w:style w:type="paragraph" w:customStyle="1" w:styleId="Tableheadingrow">
    <w:name w:val="Table heading row"/>
    <w:basedOn w:val="Normal"/>
    <w:rsid w:val="001A3699"/>
    <w:pPr>
      <w:spacing w:before="60" w:after="60"/>
    </w:pPr>
    <w:rPr>
      <w:rFonts w:eastAsia="Times New Roman"/>
      <w:b/>
      <w:caps/>
      <w:spacing w:val="10"/>
      <w:sz w:val="16"/>
    </w:rPr>
  </w:style>
  <w:style w:type="paragraph" w:customStyle="1" w:styleId="References">
    <w:name w:val="References"/>
    <w:basedOn w:val="Bulletlevel1"/>
    <w:rsid w:val="00332AA7"/>
    <w:pPr>
      <w:numPr>
        <w:numId w:val="0"/>
      </w:numPr>
      <w:spacing w:after="120" w:line="200" w:lineRule="atLeast"/>
      <w:ind w:left="284" w:hanging="284"/>
      <w:jc w:val="left"/>
    </w:pPr>
    <w:rPr>
      <w:rFonts w:ascii="Arial" w:hAnsi="Arial"/>
      <w:sz w:val="20"/>
    </w:rPr>
  </w:style>
  <w:style w:type="paragraph" w:styleId="CommentText">
    <w:name w:val="annotation text"/>
    <w:basedOn w:val="BodyText"/>
    <w:link w:val="CommentTextChar"/>
    <w:semiHidden/>
  </w:style>
  <w:style w:type="paragraph" w:styleId="EndnoteText">
    <w:name w:val="endnote text"/>
    <w:basedOn w:val="BodyText"/>
    <w:semiHidden/>
  </w:style>
  <w:style w:type="character" w:customStyle="1" w:styleId="Bodytextbold">
    <w:name w:val="Body text bold"/>
    <w:basedOn w:val="DefaultParagraphFont"/>
    <w:rPr>
      <w:b/>
    </w:rPr>
  </w:style>
  <w:style w:type="character" w:customStyle="1" w:styleId="Bodytextitalic">
    <w:name w:val="Body text italic"/>
    <w:basedOn w:val="DefaultParagraphFont"/>
    <w:rPr>
      <w:i/>
    </w:rPr>
  </w:style>
  <w:style w:type="character" w:customStyle="1" w:styleId="Instructions">
    <w:name w:val="Instructions"/>
    <w:basedOn w:val="DefaultParagraphFont"/>
    <w:rPr>
      <w:rFonts w:ascii="Arial" w:hAnsi="Arial"/>
      <w:b/>
      <w:bCs/>
      <w:color w:val="FF0000"/>
      <w:sz w:val="16"/>
    </w:rPr>
  </w:style>
  <w:style w:type="character" w:customStyle="1" w:styleId="ContentsbodytextChar">
    <w:name w:val="Contents body text Char"/>
    <w:basedOn w:val="DefaultParagraphFont"/>
    <w:rPr>
      <w:noProof w:val="0"/>
      <w:sz w:val="21"/>
      <w:lang w:val="en-AU" w:eastAsia="en-AU" w:bidi="ar-SA"/>
    </w:rPr>
  </w:style>
  <w:style w:type="character" w:customStyle="1" w:styleId="BodyTextChar">
    <w:name w:val="Body Text Char"/>
    <w:basedOn w:val="DefaultParagraphFont"/>
    <w:link w:val="BodyText"/>
    <w:rsid w:val="00332AA7"/>
    <w:rPr>
      <w:rFonts w:ascii="Arial" w:eastAsia="Times" w:hAnsi="Arial"/>
      <w:lang w:val="en-AU" w:eastAsia="en-AU" w:bidi="ar-SA"/>
    </w:rPr>
  </w:style>
  <w:style w:type="character" w:customStyle="1" w:styleId="Heading2Char">
    <w:name w:val="Heading 2 Char"/>
    <w:link w:val="Heading2"/>
    <w:rsid w:val="007539E8"/>
    <w:rPr>
      <w:rFonts w:ascii="Arial" w:eastAsia="Times" w:hAnsi="Arial"/>
      <w:b/>
      <w:caps/>
      <w:spacing w:val="10"/>
      <w:sz w:val="19"/>
      <w:lang w:val="en-AU" w:eastAsia="en-AU" w:bidi="ar-SA"/>
    </w:rPr>
  </w:style>
  <w:style w:type="character" w:customStyle="1" w:styleId="Heading1Char">
    <w:name w:val="Heading 1 Char"/>
    <w:link w:val="Heading1"/>
    <w:rsid w:val="00ED3EA1"/>
    <w:rPr>
      <w:rFonts w:ascii="Arial" w:eastAsia="Times" w:hAnsi="Arial"/>
      <w:kern w:val="28"/>
      <w:sz w:val="40"/>
      <w:lang w:val="en-AU" w:eastAsia="en-AU" w:bidi="ar-SA"/>
    </w:rPr>
  </w:style>
  <w:style w:type="character" w:customStyle="1" w:styleId="Heading3Char">
    <w:name w:val="Heading 3 Char"/>
    <w:link w:val="Heading3"/>
    <w:rsid w:val="001A3699"/>
    <w:rPr>
      <w:rFonts w:ascii="Arial" w:eastAsia="Times" w:hAnsi="Arial"/>
      <w:b/>
      <w:spacing w:val="10"/>
      <w:lang w:val="en-AU" w:eastAsia="en-AU" w:bidi="ar-SA"/>
    </w:rPr>
  </w:style>
  <w:style w:type="paragraph" w:customStyle="1" w:styleId="Body">
    <w:name w:val="Body"/>
    <w:basedOn w:val="Normal"/>
    <w:link w:val="BodyChar1"/>
    <w:rsid w:val="00B15AC0"/>
    <w:pPr>
      <w:spacing w:after="120" w:line="480" w:lineRule="auto"/>
      <w:jc w:val="both"/>
    </w:pPr>
    <w:rPr>
      <w:rFonts w:ascii="Times" w:eastAsia="Batang" w:hAnsi="Times"/>
    </w:rPr>
  </w:style>
  <w:style w:type="character" w:customStyle="1" w:styleId="BodyChar1">
    <w:name w:val="Body Char1"/>
    <w:link w:val="Body"/>
    <w:rsid w:val="00B15AC0"/>
    <w:rPr>
      <w:rFonts w:eastAsia="Batang"/>
      <w:lang w:val="en-AU" w:eastAsia="en-AU" w:bidi="ar-SA"/>
    </w:rPr>
  </w:style>
  <w:style w:type="character" w:styleId="Hyperlink">
    <w:name w:val="Hyperlink"/>
    <w:uiPriority w:val="99"/>
    <w:rsid w:val="00B15AC0"/>
    <w:rPr>
      <w:color w:val="0000FF"/>
      <w:u w:val="single"/>
    </w:rPr>
  </w:style>
  <w:style w:type="paragraph" w:customStyle="1" w:styleId="body0">
    <w:name w:val="body"/>
    <w:basedOn w:val="Normal"/>
    <w:link w:val="bodyChar"/>
    <w:rsid w:val="00B15AC0"/>
    <w:pPr>
      <w:spacing w:before="120" w:line="360" w:lineRule="auto"/>
      <w:jc w:val="both"/>
    </w:pPr>
    <w:rPr>
      <w:rFonts w:ascii="Times" w:eastAsia="Batang" w:hAnsi="Times"/>
      <w:lang w:eastAsia="ko-KR"/>
    </w:rPr>
  </w:style>
  <w:style w:type="character" w:customStyle="1" w:styleId="bodyChar">
    <w:name w:val="body Char"/>
    <w:link w:val="body0"/>
    <w:rsid w:val="00B15AC0"/>
    <w:rPr>
      <w:rFonts w:eastAsia="Batang"/>
      <w:lang w:val="en-AU" w:eastAsia="ko-KR" w:bidi="ar-SA"/>
    </w:rPr>
  </w:style>
  <w:style w:type="character" w:customStyle="1" w:styleId="CharChar3">
    <w:name w:val="Char Char3"/>
    <w:rsid w:val="00B15AC0"/>
    <w:rPr>
      <w:rFonts w:ascii="Times New Roman" w:eastAsia="Times" w:hAnsi="Times New Roman" w:cs="Times New Roman"/>
      <w:sz w:val="21"/>
      <w:szCs w:val="20"/>
      <w:lang w:val="en-AU" w:eastAsia="en-AU"/>
    </w:rPr>
  </w:style>
  <w:style w:type="paragraph" w:customStyle="1" w:styleId="Equation">
    <w:name w:val="Equation"/>
    <w:basedOn w:val="Normal"/>
    <w:next w:val="Normal"/>
    <w:rsid w:val="0007513A"/>
    <w:pPr>
      <w:widowControl w:val="0"/>
      <w:tabs>
        <w:tab w:val="right" w:pos="8505"/>
      </w:tabs>
      <w:suppressAutoHyphens/>
      <w:overflowPunct w:val="0"/>
      <w:autoSpaceDE w:val="0"/>
      <w:autoSpaceDN w:val="0"/>
      <w:adjustRightInd w:val="0"/>
      <w:spacing w:before="120" w:after="120"/>
      <w:ind w:left="680"/>
      <w:jc w:val="both"/>
      <w:textAlignment w:val="baseline"/>
    </w:pPr>
    <w:rPr>
      <w:rFonts w:eastAsia="Times New Roman" w:cs="Courier New"/>
      <w:sz w:val="22"/>
      <w:szCs w:val="22"/>
      <w:lang w:val="en-NZ" w:eastAsia="en-US"/>
    </w:rPr>
  </w:style>
  <w:style w:type="paragraph" w:styleId="TOC1">
    <w:name w:val="toc 1"/>
    <w:basedOn w:val="Normal"/>
    <w:next w:val="Normal"/>
    <w:autoRedefine/>
    <w:uiPriority w:val="39"/>
    <w:rsid w:val="00A75B05"/>
    <w:pPr>
      <w:tabs>
        <w:tab w:val="right" w:leader="dot" w:pos="9072"/>
      </w:tabs>
      <w:spacing w:before="120" w:after="120"/>
      <w:ind w:right="282"/>
    </w:pPr>
    <w:rPr>
      <w:b/>
      <w:bCs/>
      <w:noProof/>
    </w:rPr>
  </w:style>
  <w:style w:type="table" w:styleId="TableGrid">
    <w:name w:val="Table Grid"/>
    <w:basedOn w:val="TableNormal"/>
    <w:rsid w:val="00B15AC0"/>
    <w:rPr>
      <w:rFonts w:ascii="Cambria" w:eastAsia="MS Mincho"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B15AC0"/>
    <w:pPr>
      <w:jc w:val="both"/>
    </w:pPr>
    <w:rPr>
      <w:rFonts w:ascii="Lucida Grande" w:eastAsia="Batang" w:hAnsi="Lucida Grande"/>
      <w:sz w:val="18"/>
      <w:szCs w:val="18"/>
      <w:lang w:eastAsia="ko-KR"/>
    </w:rPr>
  </w:style>
  <w:style w:type="character" w:customStyle="1" w:styleId="BalloonTextChar">
    <w:name w:val="Balloon Text Char"/>
    <w:link w:val="BalloonText"/>
    <w:semiHidden/>
    <w:rsid w:val="00B15AC0"/>
    <w:rPr>
      <w:rFonts w:ascii="Lucida Grande" w:eastAsia="Batang" w:hAnsi="Lucida Grande"/>
      <w:sz w:val="18"/>
      <w:szCs w:val="18"/>
      <w:lang w:val="en-AU" w:eastAsia="ko-KR" w:bidi="ar-SA"/>
    </w:rPr>
  </w:style>
  <w:style w:type="character" w:styleId="CommentReference">
    <w:name w:val="annotation reference"/>
    <w:basedOn w:val="DefaultParagraphFont"/>
    <w:semiHidden/>
    <w:unhideWhenUsed/>
    <w:rsid w:val="00B15AC0"/>
    <w:rPr>
      <w:sz w:val="16"/>
      <w:szCs w:val="16"/>
    </w:rPr>
  </w:style>
  <w:style w:type="character" w:customStyle="1" w:styleId="CommentTextChar">
    <w:name w:val="Comment Text Char"/>
    <w:basedOn w:val="DefaultParagraphFont"/>
    <w:link w:val="CommentText"/>
    <w:semiHidden/>
    <w:rsid w:val="00B15AC0"/>
    <w:rPr>
      <w:rFonts w:eastAsia="Times"/>
      <w:lang w:val="en-AU" w:eastAsia="en-AU" w:bidi="ar-SA"/>
    </w:rPr>
  </w:style>
  <w:style w:type="paragraph" w:styleId="CommentSubject">
    <w:name w:val="annotation subject"/>
    <w:basedOn w:val="CommentText"/>
    <w:next w:val="CommentText"/>
    <w:semiHidden/>
    <w:unhideWhenUsed/>
    <w:rsid w:val="00B15AC0"/>
    <w:pPr>
      <w:spacing w:line="360" w:lineRule="auto"/>
    </w:pPr>
    <w:rPr>
      <w:rFonts w:eastAsia="Batang"/>
      <w:b/>
      <w:bCs/>
      <w:lang w:eastAsia="ko-KR"/>
    </w:rPr>
  </w:style>
  <w:style w:type="paragraph" w:styleId="Caption">
    <w:name w:val="caption"/>
    <w:basedOn w:val="Normal"/>
    <w:next w:val="Normal"/>
    <w:qFormat/>
    <w:rsid w:val="00B15AC0"/>
    <w:pPr>
      <w:spacing w:before="120" w:after="120" w:line="360" w:lineRule="auto"/>
      <w:jc w:val="both"/>
    </w:pPr>
    <w:rPr>
      <w:rFonts w:eastAsia="Batang"/>
      <w:b/>
      <w:bCs/>
      <w:lang w:eastAsia="ko-KR"/>
    </w:rPr>
  </w:style>
  <w:style w:type="paragraph" w:styleId="TOC2">
    <w:name w:val="toc 2"/>
    <w:basedOn w:val="Normal"/>
    <w:next w:val="Normal"/>
    <w:autoRedefine/>
    <w:uiPriority w:val="39"/>
    <w:rsid w:val="00A75B05"/>
    <w:pPr>
      <w:tabs>
        <w:tab w:val="right" w:leader="dot" w:pos="9072"/>
      </w:tabs>
      <w:ind w:left="210" w:right="282"/>
    </w:pPr>
    <w:rPr>
      <w:i/>
      <w:noProof/>
    </w:rPr>
  </w:style>
  <w:style w:type="paragraph" w:styleId="TOC3">
    <w:name w:val="toc 3"/>
    <w:basedOn w:val="Normal"/>
    <w:next w:val="Normal"/>
    <w:autoRedefine/>
    <w:rsid w:val="00A9111A"/>
    <w:pPr>
      <w:ind w:left="420"/>
    </w:pPr>
    <w:rPr>
      <w:i/>
      <w:iCs/>
    </w:rPr>
  </w:style>
  <w:style w:type="paragraph" w:styleId="TOC4">
    <w:name w:val="toc 4"/>
    <w:basedOn w:val="Normal"/>
    <w:next w:val="Normal"/>
    <w:autoRedefine/>
    <w:semiHidden/>
    <w:rsid w:val="00A9111A"/>
    <w:pPr>
      <w:ind w:left="630"/>
    </w:pPr>
    <w:rPr>
      <w:sz w:val="18"/>
      <w:szCs w:val="18"/>
    </w:rPr>
  </w:style>
  <w:style w:type="paragraph" w:styleId="TOC5">
    <w:name w:val="toc 5"/>
    <w:basedOn w:val="Normal"/>
    <w:next w:val="Normal"/>
    <w:autoRedefine/>
    <w:semiHidden/>
    <w:rsid w:val="00A9111A"/>
    <w:pPr>
      <w:ind w:left="840"/>
    </w:pPr>
    <w:rPr>
      <w:sz w:val="18"/>
      <w:szCs w:val="18"/>
    </w:rPr>
  </w:style>
  <w:style w:type="paragraph" w:styleId="TOC6">
    <w:name w:val="toc 6"/>
    <w:basedOn w:val="Normal"/>
    <w:next w:val="Normal"/>
    <w:autoRedefine/>
    <w:semiHidden/>
    <w:rsid w:val="00A9111A"/>
    <w:pPr>
      <w:ind w:left="1050"/>
    </w:pPr>
    <w:rPr>
      <w:sz w:val="18"/>
      <w:szCs w:val="18"/>
    </w:rPr>
  </w:style>
  <w:style w:type="paragraph" w:styleId="TOC7">
    <w:name w:val="toc 7"/>
    <w:basedOn w:val="Normal"/>
    <w:next w:val="Normal"/>
    <w:autoRedefine/>
    <w:semiHidden/>
    <w:rsid w:val="00A9111A"/>
    <w:pPr>
      <w:ind w:left="1260"/>
    </w:pPr>
    <w:rPr>
      <w:sz w:val="18"/>
      <w:szCs w:val="18"/>
    </w:rPr>
  </w:style>
  <w:style w:type="paragraph" w:styleId="TOC8">
    <w:name w:val="toc 8"/>
    <w:basedOn w:val="Normal"/>
    <w:next w:val="Normal"/>
    <w:autoRedefine/>
    <w:semiHidden/>
    <w:rsid w:val="00A9111A"/>
    <w:pPr>
      <w:ind w:left="1470"/>
    </w:pPr>
    <w:rPr>
      <w:sz w:val="18"/>
      <w:szCs w:val="18"/>
    </w:rPr>
  </w:style>
  <w:style w:type="paragraph" w:styleId="TOC9">
    <w:name w:val="toc 9"/>
    <w:basedOn w:val="Normal"/>
    <w:next w:val="Normal"/>
    <w:autoRedefine/>
    <w:semiHidden/>
    <w:rsid w:val="00A9111A"/>
    <w:pPr>
      <w:ind w:left="1680"/>
    </w:pPr>
    <w:rPr>
      <w:sz w:val="18"/>
      <w:szCs w:val="18"/>
    </w:rPr>
  </w:style>
  <w:style w:type="paragraph" w:customStyle="1" w:styleId="Style1">
    <w:name w:val="Style1"/>
    <w:basedOn w:val="Heading1"/>
    <w:rsid w:val="0030259D"/>
    <w:pPr>
      <w:spacing w:after="120"/>
    </w:pPr>
  </w:style>
  <w:style w:type="character" w:customStyle="1" w:styleId="CaptionsChar">
    <w:name w:val="Captions Char"/>
    <w:basedOn w:val="DefaultParagraphFont"/>
    <w:link w:val="Captions"/>
    <w:rsid w:val="00E033F4"/>
    <w:rPr>
      <w:rFonts w:ascii="Arial" w:hAnsi="Arial"/>
      <w:i/>
      <w:sz w:val="18"/>
      <w:lang w:val="en-AU" w:eastAsia="en-AU" w:bidi="ar-SA"/>
    </w:rPr>
  </w:style>
  <w:style w:type="paragraph" w:styleId="TableofFigures">
    <w:name w:val="table of figures"/>
    <w:basedOn w:val="Normal"/>
    <w:next w:val="Normal"/>
    <w:rsid w:val="00694E33"/>
  </w:style>
  <w:style w:type="paragraph" w:customStyle="1" w:styleId="Bodytextnolinespacing">
    <w:name w:val="Body text no line spacing"/>
    <w:basedOn w:val="BodyText"/>
    <w:link w:val="BodytextnolinespacingChar"/>
    <w:rsid w:val="00C36894"/>
    <w:pPr>
      <w:spacing w:before="0" w:after="0" w:line="240" w:lineRule="atLeast"/>
    </w:pPr>
    <w:rPr>
      <w:rFonts w:cs="Arial"/>
    </w:rPr>
  </w:style>
  <w:style w:type="character" w:customStyle="1" w:styleId="BodytextnolinespacingChar">
    <w:name w:val="Body text no line spacing Char"/>
    <w:basedOn w:val="CommentTextChar"/>
    <w:link w:val="Bodytextnolinespacing"/>
    <w:rsid w:val="00C36894"/>
    <w:rPr>
      <w:rFonts w:eastAsia="Times" w:cs="Arial"/>
      <w:sz w:val="21"/>
      <w:lang w:val="en-AU" w:eastAsia="en-AU" w:bidi="ar-SA"/>
    </w:rPr>
  </w:style>
  <w:style w:type="paragraph" w:customStyle="1" w:styleId="VersoBold">
    <w:name w:val="Verso Bold"/>
    <w:basedOn w:val="BodyText"/>
    <w:next w:val="Bodytextnolinespacing"/>
    <w:rsid w:val="00C36894"/>
    <w:pPr>
      <w:spacing w:before="240" w:after="0" w:line="240" w:lineRule="atLeast"/>
    </w:pPr>
    <w:rPr>
      <w:rFonts w:cs="Arial"/>
      <w:b/>
      <w:kern w:val="28"/>
    </w:rPr>
  </w:style>
  <w:style w:type="paragraph" w:customStyle="1" w:styleId="VersoBoldPgB4">
    <w:name w:val="Verso Bold Pg B4"/>
    <w:basedOn w:val="VersoBold"/>
    <w:next w:val="BodyText"/>
    <w:rsid w:val="00C36894"/>
    <w:pPr>
      <w:pageBreakBefore/>
      <w:spacing w:before="0"/>
    </w:pPr>
  </w:style>
  <w:style w:type="paragraph" w:customStyle="1" w:styleId="InlineObject">
    <w:name w:val="Inline Object"/>
    <w:basedOn w:val="BodyText"/>
    <w:link w:val="InlineObjectChar"/>
    <w:rsid w:val="00332AA7"/>
    <w:pPr>
      <w:spacing w:before="360" w:after="0"/>
      <w:jc w:val="center"/>
    </w:pPr>
  </w:style>
  <w:style w:type="character" w:customStyle="1" w:styleId="InlineObjectChar">
    <w:name w:val="Inline Object Char"/>
    <w:basedOn w:val="BodyTextChar"/>
    <w:link w:val="InlineObject"/>
    <w:rsid w:val="00332AA7"/>
    <w:rPr>
      <w:rFonts w:ascii="Arial" w:eastAsia="Times" w:hAnsi="Arial"/>
      <w:lang w:val="en-AU" w:eastAsia="en-AU" w:bidi="ar-SA"/>
    </w:rPr>
  </w:style>
  <w:style w:type="character" w:customStyle="1" w:styleId="Subscript">
    <w:name w:val="Subscript"/>
    <w:basedOn w:val="DefaultParagraphFont"/>
    <w:qFormat/>
    <w:rsid w:val="00172353"/>
    <w:rPr>
      <w:position w:val="-2"/>
      <w:vertAlign w:val="subscript"/>
    </w:rPr>
  </w:style>
  <w:style w:type="character" w:customStyle="1" w:styleId="Subscriptitalic">
    <w:name w:val="Subscript italic"/>
    <w:basedOn w:val="Subscript"/>
    <w:qFormat/>
    <w:rsid w:val="00172353"/>
    <w:rPr>
      <w:i/>
      <w:iCs/>
      <w:position w:val="-2"/>
      <w:vertAlign w:val="sub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5730"/>
    <w:pPr>
      <w:spacing w:line="200" w:lineRule="atLeast"/>
    </w:pPr>
    <w:rPr>
      <w:rFonts w:ascii="Arial" w:hAnsi="Arial"/>
    </w:rPr>
  </w:style>
  <w:style w:type="paragraph" w:styleId="Heading1">
    <w:name w:val="heading 1"/>
    <w:basedOn w:val="Normal"/>
    <w:next w:val="Normal"/>
    <w:link w:val="Heading1Char"/>
    <w:qFormat/>
    <w:rsid w:val="00ED3EA1"/>
    <w:pPr>
      <w:keepNext/>
      <w:spacing w:before="120" w:after="240"/>
      <w:outlineLvl w:val="0"/>
    </w:pPr>
    <w:rPr>
      <w:kern w:val="28"/>
      <w:sz w:val="40"/>
    </w:rPr>
  </w:style>
  <w:style w:type="paragraph" w:styleId="Heading2">
    <w:name w:val="heading 2"/>
    <w:basedOn w:val="Normal"/>
    <w:next w:val="Normal"/>
    <w:link w:val="Heading2Char"/>
    <w:qFormat/>
    <w:rsid w:val="007539E8"/>
    <w:pPr>
      <w:keepNext/>
      <w:spacing w:before="120" w:line="260" w:lineRule="exact"/>
      <w:outlineLvl w:val="1"/>
    </w:pPr>
    <w:rPr>
      <w:b/>
      <w:caps/>
      <w:spacing w:val="10"/>
      <w:sz w:val="19"/>
    </w:rPr>
  </w:style>
  <w:style w:type="paragraph" w:styleId="Heading3">
    <w:name w:val="heading 3"/>
    <w:basedOn w:val="Normal"/>
    <w:next w:val="Normal"/>
    <w:link w:val="Heading3Char"/>
    <w:qFormat/>
    <w:rsid w:val="001A3699"/>
    <w:pPr>
      <w:keepNext/>
      <w:spacing w:line="260" w:lineRule="exact"/>
      <w:outlineLvl w:val="2"/>
    </w:pPr>
    <w:rPr>
      <w:b/>
      <w:spacing w:val="10"/>
    </w:rPr>
  </w:style>
  <w:style w:type="paragraph" w:styleId="Heading4">
    <w:name w:val="heading 4"/>
    <w:basedOn w:val="Normal"/>
    <w:next w:val="Normal"/>
    <w:qFormat/>
    <w:pPr>
      <w:keepNext/>
      <w:spacing w:line="260" w:lineRule="exact"/>
      <w:outlineLvl w:val="3"/>
    </w:pPr>
    <w:rPr>
      <w:rFonts w:ascii="Times New Roman" w:hAnsi="Times New Roman"/>
      <w:b/>
      <w:i/>
      <w:spacing w:val="10"/>
      <w:sz w:val="21"/>
    </w:rPr>
  </w:style>
  <w:style w:type="paragraph" w:styleId="Heading5">
    <w:name w:val="heading 5"/>
    <w:basedOn w:val="Normal"/>
    <w:next w:val="Normal"/>
    <w:qFormat/>
    <w:pPr>
      <w:spacing w:line="260" w:lineRule="exact"/>
      <w:outlineLvl w:val="4"/>
    </w:pPr>
    <w:rPr>
      <w:rFonts w:ascii="Times New Roman" w:hAnsi="Times New Roman"/>
      <w:i/>
      <w:spacing w:val="10"/>
      <w:sz w:val="21"/>
    </w:rPr>
  </w:style>
  <w:style w:type="paragraph" w:styleId="Heading6">
    <w:name w:val="heading 6"/>
    <w:basedOn w:val="Normal"/>
    <w:next w:val="Normal"/>
    <w:qFormat/>
    <w:pPr>
      <w:spacing w:line="260" w:lineRule="exact"/>
      <w:outlineLvl w:val="5"/>
    </w:pPr>
    <w:rPr>
      <w:rFonts w:ascii="Times New Roman" w:hAnsi="Times New Roman"/>
      <w:sz w:val="21"/>
    </w:rPr>
  </w:style>
  <w:style w:type="paragraph" w:styleId="Heading7">
    <w:name w:val="heading 7"/>
    <w:basedOn w:val="Normal"/>
    <w:next w:val="Normal"/>
    <w:qFormat/>
    <w:pPr>
      <w:spacing w:line="220" w:lineRule="exact"/>
      <w:outlineLvl w:val="6"/>
    </w:pPr>
    <w:rPr>
      <w:b/>
      <w:caps/>
      <w:spacing w:val="10"/>
      <w:sz w:val="16"/>
    </w:rPr>
  </w:style>
  <w:style w:type="paragraph" w:styleId="Heading8">
    <w:name w:val="heading 8"/>
    <w:basedOn w:val="Normal"/>
    <w:next w:val="Normal"/>
    <w:qFormat/>
    <w:pPr>
      <w:outlineLvl w:val="7"/>
    </w:pPr>
    <w:rPr>
      <w:rFonts w:ascii="Helvetica" w:hAnsi="Helvetica"/>
      <w:i/>
    </w:rPr>
  </w:style>
  <w:style w:type="paragraph" w:styleId="Heading9">
    <w:name w:val="heading 9"/>
    <w:basedOn w:val="Normal"/>
    <w:next w:val="Normal"/>
    <w:qFormat/>
    <w:pPr>
      <w:outlineLvl w:val="8"/>
    </w:pPr>
    <w:rPr>
      <w:rFonts w:ascii="Helvetica" w:hAnsi="Helvetica"/>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32AA7"/>
    <w:pPr>
      <w:spacing w:before="120" w:after="120"/>
    </w:pPr>
  </w:style>
  <w:style w:type="paragraph" w:styleId="Footer">
    <w:name w:val="footer"/>
    <w:basedOn w:val="Normal"/>
    <w:pPr>
      <w:tabs>
        <w:tab w:val="center" w:pos="4153"/>
        <w:tab w:val="right" w:pos="8306"/>
      </w:tabs>
    </w:pPr>
  </w:style>
  <w:style w:type="paragraph" w:styleId="Header">
    <w:name w:val="header"/>
    <w:basedOn w:val="Normal"/>
    <w:rsid w:val="00ED3EA1"/>
    <w:pPr>
      <w:tabs>
        <w:tab w:val="center" w:pos="4320"/>
        <w:tab w:val="right" w:pos="8640"/>
      </w:tabs>
    </w:pPr>
    <w:rPr>
      <w:b/>
      <w:spacing w:val="10"/>
      <w:sz w:val="16"/>
      <w:szCs w:val="16"/>
    </w:rPr>
  </w:style>
  <w:style w:type="paragraph" w:customStyle="1" w:styleId="Record">
    <w:name w:val="Record #"/>
    <w:basedOn w:val="Normal"/>
    <w:pPr>
      <w:keepNext/>
      <w:spacing w:line="260" w:lineRule="exact"/>
      <w:outlineLvl w:val="0"/>
    </w:pPr>
    <w:rPr>
      <w:rFonts w:eastAsia="Times New Roman"/>
      <w:caps/>
      <w:spacing w:val="10"/>
      <w:sz w:val="19"/>
    </w:rPr>
  </w:style>
  <w:style w:type="paragraph" w:customStyle="1" w:styleId="Bibliographicref">
    <w:name w:val="Bibliographic ref"/>
    <w:basedOn w:val="Normal"/>
    <w:pPr>
      <w:pBdr>
        <w:top w:val="single" w:sz="4" w:space="1" w:color="808080"/>
        <w:left w:val="single" w:sz="4" w:space="4" w:color="808080"/>
        <w:bottom w:val="single" w:sz="4" w:space="1" w:color="808080"/>
        <w:right w:val="single" w:sz="4" w:space="4" w:color="808080"/>
      </w:pBdr>
      <w:spacing w:after="160" w:line="260" w:lineRule="exact"/>
      <w:jc w:val="both"/>
    </w:pPr>
    <w:rPr>
      <w:rFonts w:ascii="Times New Roman" w:eastAsia="Times New Roman" w:hAnsi="Times New Roman"/>
      <w:sz w:val="21"/>
    </w:rPr>
  </w:style>
  <w:style w:type="character" w:customStyle="1" w:styleId="Captionsbold">
    <w:name w:val="Captions bold"/>
    <w:basedOn w:val="DefaultParagraphFont"/>
    <w:rPr>
      <w:rFonts w:ascii="Times New Roman" w:hAnsi="Times New Roman"/>
      <w:b/>
      <w:sz w:val="20"/>
    </w:rPr>
  </w:style>
  <w:style w:type="paragraph" w:customStyle="1" w:styleId="Contentsheading">
    <w:name w:val="Contents heading"/>
    <w:basedOn w:val="Normal"/>
    <w:rsid w:val="00ED3EA1"/>
    <w:pPr>
      <w:keepNext/>
      <w:tabs>
        <w:tab w:val="right" w:leader="dot" w:pos="8222"/>
      </w:tabs>
      <w:spacing w:after="240" w:line="240" w:lineRule="atLeast"/>
      <w:outlineLvl w:val="0"/>
    </w:pPr>
    <w:rPr>
      <w:rFonts w:eastAsia="Times New Roman"/>
      <w:spacing w:val="10"/>
      <w:sz w:val="40"/>
    </w:rPr>
  </w:style>
  <w:style w:type="paragraph" w:customStyle="1" w:styleId="Documenttitle">
    <w:name w:val="Document title"/>
    <w:basedOn w:val="Normal"/>
    <w:pPr>
      <w:keepNext/>
      <w:spacing w:before="1680"/>
      <w:outlineLvl w:val="0"/>
    </w:pPr>
    <w:rPr>
      <w:rFonts w:eastAsia="Times New Roman"/>
      <w:sz w:val="48"/>
    </w:rPr>
  </w:style>
  <w:style w:type="paragraph" w:customStyle="1" w:styleId="Notes">
    <w:name w:val="Notes"/>
    <w:basedOn w:val="Normal"/>
    <w:pPr>
      <w:numPr>
        <w:numId w:val="11"/>
      </w:numPr>
      <w:pBdr>
        <w:top w:val="single" w:sz="4" w:space="1" w:color="808080"/>
      </w:pBdr>
      <w:tabs>
        <w:tab w:val="clear" w:pos="360"/>
        <w:tab w:val="num" w:pos="284"/>
      </w:tabs>
      <w:spacing w:line="220" w:lineRule="exact"/>
      <w:ind w:left="284" w:hanging="284"/>
      <w:jc w:val="both"/>
    </w:pPr>
    <w:rPr>
      <w:rFonts w:eastAsia="Times New Roman"/>
      <w:sz w:val="16"/>
    </w:rPr>
  </w:style>
  <w:style w:type="paragraph" w:customStyle="1" w:styleId="Contentsbodytext">
    <w:name w:val="Contents body text"/>
    <w:basedOn w:val="Normal"/>
    <w:pPr>
      <w:tabs>
        <w:tab w:val="right" w:leader="dot" w:pos="8222"/>
      </w:tabs>
      <w:spacing w:line="260" w:lineRule="exact"/>
      <w:jc w:val="both"/>
    </w:pPr>
    <w:rPr>
      <w:rFonts w:eastAsia="Times New Roman"/>
    </w:rPr>
  </w:style>
  <w:style w:type="paragraph" w:customStyle="1" w:styleId="Contentsbodyindented">
    <w:name w:val="Contents body indented"/>
    <w:basedOn w:val="Contentsbodytext"/>
    <w:pPr>
      <w:ind w:left="284"/>
    </w:pPr>
  </w:style>
  <w:style w:type="paragraph" w:customStyle="1" w:styleId="Bulletlevel1">
    <w:name w:val="Bullet level 1"/>
    <w:basedOn w:val="Normal"/>
    <w:next w:val="Normal"/>
    <w:pPr>
      <w:numPr>
        <w:numId w:val="13"/>
      </w:numPr>
      <w:tabs>
        <w:tab w:val="clear" w:pos="360"/>
        <w:tab w:val="num" w:pos="284"/>
      </w:tabs>
      <w:spacing w:line="260" w:lineRule="exact"/>
      <w:ind w:left="284" w:hanging="284"/>
      <w:jc w:val="both"/>
    </w:pPr>
    <w:rPr>
      <w:rFonts w:ascii="Times New Roman" w:eastAsia="Times New Roman" w:hAnsi="Times New Roman"/>
      <w:sz w:val="21"/>
    </w:rPr>
  </w:style>
  <w:style w:type="paragraph" w:customStyle="1" w:styleId="Captions">
    <w:name w:val="Captions"/>
    <w:basedOn w:val="Normal"/>
    <w:link w:val="CaptionsChar"/>
    <w:rsid w:val="00E033F4"/>
    <w:pPr>
      <w:spacing w:before="60" w:after="180" w:line="180" w:lineRule="atLeast"/>
    </w:pPr>
    <w:rPr>
      <w:rFonts w:eastAsia="Times New Roman"/>
      <w:i/>
      <w:sz w:val="18"/>
    </w:rPr>
  </w:style>
  <w:style w:type="paragraph" w:customStyle="1" w:styleId="Bulletlevel2">
    <w:name w:val="Bullet level 2"/>
    <w:basedOn w:val="Normal"/>
    <w:next w:val="Bulletlevel1"/>
    <w:pPr>
      <w:numPr>
        <w:numId w:val="14"/>
      </w:numPr>
      <w:tabs>
        <w:tab w:val="clear" w:pos="1080"/>
        <w:tab w:val="num" w:pos="567"/>
      </w:tabs>
      <w:spacing w:line="260" w:lineRule="exact"/>
      <w:ind w:left="568" w:hanging="284"/>
      <w:jc w:val="both"/>
    </w:pPr>
    <w:rPr>
      <w:rFonts w:ascii="Times New Roman" w:eastAsia="Times New Roman" w:hAnsi="Times New Roman"/>
      <w:sz w:val="21"/>
    </w:rPr>
  </w:style>
  <w:style w:type="paragraph" w:customStyle="1" w:styleId="Tabletitle">
    <w:name w:val="Table title"/>
    <w:basedOn w:val="Normal"/>
    <w:rsid w:val="00E033F4"/>
    <w:pPr>
      <w:spacing w:before="120" w:after="40"/>
    </w:pPr>
    <w:rPr>
      <w:rFonts w:eastAsia="Times New Roman"/>
      <w:i/>
      <w:sz w:val="18"/>
    </w:rPr>
  </w:style>
  <w:style w:type="character" w:customStyle="1" w:styleId="Tablenumber">
    <w:name w:val="Table number"/>
    <w:basedOn w:val="DefaultParagraphFont"/>
    <w:rPr>
      <w:b/>
    </w:rPr>
  </w:style>
  <w:style w:type="paragraph" w:customStyle="1" w:styleId="Tabletext">
    <w:name w:val="Table text"/>
    <w:basedOn w:val="Normal"/>
    <w:rsid w:val="001A3699"/>
    <w:pPr>
      <w:spacing w:before="60" w:after="60"/>
    </w:pPr>
    <w:rPr>
      <w:rFonts w:eastAsia="Times New Roman"/>
      <w:sz w:val="18"/>
    </w:rPr>
  </w:style>
  <w:style w:type="paragraph" w:customStyle="1" w:styleId="Tableheadingrow">
    <w:name w:val="Table heading row"/>
    <w:basedOn w:val="Normal"/>
    <w:rsid w:val="001A3699"/>
    <w:pPr>
      <w:spacing w:before="60" w:after="60"/>
    </w:pPr>
    <w:rPr>
      <w:rFonts w:eastAsia="Times New Roman"/>
      <w:b/>
      <w:caps/>
      <w:spacing w:val="10"/>
      <w:sz w:val="16"/>
    </w:rPr>
  </w:style>
  <w:style w:type="paragraph" w:customStyle="1" w:styleId="References">
    <w:name w:val="References"/>
    <w:basedOn w:val="Bulletlevel1"/>
    <w:rsid w:val="00332AA7"/>
    <w:pPr>
      <w:numPr>
        <w:numId w:val="0"/>
      </w:numPr>
      <w:spacing w:after="120" w:line="200" w:lineRule="atLeast"/>
      <w:ind w:left="284" w:hanging="284"/>
      <w:jc w:val="left"/>
    </w:pPr>
    <w:rPr>
      <w:rFonts w:ascii="Arial" w:hAnsi="Arial"/>
      <w:sz w:val="20"/>
    </w:rPr>
  </w:style>
  <w:style w:type="paragraph" w:styleId="CommentText">
    <w:name w:val="annotation text"/>
    <w:basedOn w:val="BodyText"/>
    <w:link w:val="CommentTextChar"/>
    <w:semiHidden/>
  </w:style>
  <w:style w:type="paragraph" w:styleId="EndnoteText">
    <w:name w:val="endnote text"/>
    <w:basedOn w:val="BodyText"/>
    <w:semiHidden/>
  </w:style>
  <w:style w:type="character" w:customStyle="1" w:styleId="Bodytextbold">
    <w:name w:val="Body text bold"/>
    <w:basedOn w:val="DefaultParagraphFont"/>
    <w:rPr>
      <w:b/>
    </w:rPr>
  </w:style>
  <w:style w:type="character" w:customStyle="1" w:styleId="Bodytextitalic">
    <w:name w:val="Body text italic"/>
    <w:basedOn w:val="DefaultParagraphFont"/>
    <w:rPr>
      <w:i/>
    </w:rPr>
  </w:style>
  <w:style w:type="character" w:customStyle="1" w:styleId="Instructions">
    <w:name w:val="Instructions"/>
    <w:basedOn w:val="DefaultParagraphFont"/>
    <w:rPr>
      <w:rFonts w:ascii="Arial" w:hAnsi="Arial"/>
      <w:b/>
      <w:bCs/>
      <w:color w:val="FF0000"/>
      <w:sz w:val="16"/>
    </w:rPr>
  </w:style>
  <w:style w:type="character" w:customStyle="1" w:styleId="ContentsbodytextChar">
    <w:name w:val="Contents body text Char"/>
    <w:basedOn w:val="DefaultParagraphFont"/>
    <w:rPr>
      <w:noProof w:val="0"/>
      <w:sz w:val="21"/>
      <w:lang w:val="en-AU" w:eastAsia="en-AU" w:bidi="ar-SA"/>
    </w:rPr>
  </w:style>
  <w:style w:type="character" w:customStyle="1" w:styleId="BodyTextChar">
    <w:name w:val="Body Text Char"/>
    <w:basedOn w:val="DefaultParagraphFont"/>
    <w:link w:val="BodyText"/>
    <w:rsid w:val="00332AA7"/>
    <w:rPr>
      <w:rFonts w:ascii="Arial" w:eastAsia="Times" w:hAnsi="Arial"/>
      <w:lang w:val="en-AU" w:eastAsia="en-AU" w:bidi="ar-SA"/>
    </w:rPr>
  </w:style>
  <w:style w:type="character" w:customStyle="1" w:styleId="Heading2Char">
    <w:name w:val="Heading 2 Char"/>
    <w:link w:val="Heading2"/>
    <w:rsid w:val="007539E8"/>
    <w:rPr>
      <w:rFonts w:ascii="Arial" w:eastAsia="Times" w:hAnsi="Arial"/>
      <w:b/>
      <w:caps/>
      <w:spacing w:val="10"/>
      <w:sz w:val="19"/>
      <w:lang w:val="en-AU" w:eastAsia="en-AU" w:bidi="ar-SA"/>
    </w:rPr>
  </w:style>
  <w:style w:type="character" w:customStyle="1" w:styleId="Heading1Char">
    <w:name w:val="Heading 1 Char"/>
    <w:link w:val="Heading1"/>
    <w:rsid w:val="00ED3EA1"/>
    <w:rPr>
      <w:rFonts w:ascii="Arial" w:eastAsia="Times" w:hAnsi="Arial"/>
      <w:kern w:val="28"/>
      <w:sz w:val="40"/>
      <w:lang w:val="en-AU" w:eastAsia="en-AU" w:bidi="ar-SA"/>
    </w:rPr>
  </w:style>
  <w:style w:type="character" w:customStyle="1" w:styleId="Heading3Char">
    <w:name w:val="Heading 3 Char"/>
    <w:link w:val="Heading3"/>
    <w:rsid w:val="001A3699"/>
    <w:rPr>
      <w:rFonts w:ascii="Arial" w:eastAsia="Times" w:hAnsi="Arial"/>
      <w:b/>
      <w:spacing w:val="10"/>
      <w:lang w:val="en-AU" w:eastAsia="en-AU" w:bidi="ar-SA"/>
    </w:rPr>
  </w:style>
  <w:style w:type="paragraph" w:customStyle="1" w:styleId="Body">
    <w:name w:val="Body"/>
    <w:basedOn w:val="Normal"/>
    <w:link w:val="BodyChar1"/>
    <w:rsid w:val="00B15AC0"/>
    <w:pPr>
      <w:spacing w:after="120" w:line="480" w:lineRule="auto"/>
      <w:jc w:val="both"/>
    </w:pPr>
    <w:rPr>
      <w:rFonts w:ascii="Times" w:eastAsia="Batang" w:hAnsi="Times"/>
    </w:rPr>
  </w:style>
  <w:style w:type="character" w:customStyle="1" w:styleId="BodyChar1">
    <w:name w:val="Body Char1"/>
    <w:link w:val="Body"/>
    <w:rsid w:val="00B15AC0"/>
    <w:rPr>
      <w:rFonts w:eastAsia="Batang"/>
      <w:lang w:val="en-AU" w:eastAsia="en-AU" w:bidi="ar-SA"/>
    </w:rPr>
  </w:style>
  <w:style w:type="character" w:styleId="Hyperlink">
    <w:name w:val="Hyperlink"/>
    <w:uiPriority w:val="99"/>
    <w:rsid w:val="00B15AC0"/>
    <w:rPr>
      <w:color w:val="0000FF"/>
      <w:u w:val="single"/>
    </w:rPr>
  </w:style>
  <w:style w:type="paragraph" w:customStyle="1" w:styleId="body0">
    <w:name w:val="body"/>
    <w:basedOn w:val="Normal"/>
    <w:link w:val="bodyChar"/>
    <w:rsid w:val="00B15AC0"/>
    <w:pPr>
      <w:spacing w:before="120" w:line="360" w:lineRule="auto"/>
      <w:jc w:val="both"/>
    </w:pPr>
    <w:rPr>
      <w:rFonts w:ascii="Times" w:eastAsia="Batang" w:hAnsi="Times"/>
      <w:lang w:eastAsia="ko-KR"/>
    </w:rPr>
  </w:style>
  <w:style w:type="character" w:customStyle="1" w:styleId="bodyChar">
    <w:name w:val="body Char"/>
    <w:link w:val="body0"/>
    <w:rsid w:val="00B15AC0"/>
    <w:rPr>
      <w:rFonts w:eastAsia="Batang"/>
      <w:lang w:val="en-AU" w:eastAsia="ko-KR" w:bidi="ar-SA"/>
    </w:rPr>
  </w:style>
  <w:style w:type="character" w:customStyle="1" w:styleId="CharChar3">
    <w:name w:val="Char Char3"/>
    <w:rsid w:val="00B15AC0"/>
    <w:rPr>
      <w:rFonts w:ascii="Times New Roman" w:eastAsia="Times" w:hAnsi="Times New Roman" w:cs="Times New Roman"/>
      <w:sz w:val="21"/>
      <w:szCs w:val="20"/>
      <w:lang w:val="en-AU" w:eastAsia="en-AU"/>
    </w:rPr>
  </w:style>
  <w:style w:type="paragraph" w:customStyle="1" w:styleId="Equation">
    <w:name w:val="Equation"/>
    <w:basedOn w:val="Normal"/>
    <w:next w:val="Normal"/>
    <w:rsid w:val="0007513A"/>
    <w:pPr>
      <w:widowControl w:val="0"/>
      <w:tabs>
        <w:tab w:val="right" w:pos="8505"/>
      </w:tabs>
      <w:suppressAutoHyphens/>
      <w:overflowPunct w:val="0"/>
      <w:autoSpaceDE w:val="0"/>
      <w:autoSpaceDN w:val="0"/>
      <w:adjustRightInd w:val="0"/>
      <w:spacing w:before="120" w:after="120"/>
      <w:ind w:left="680"/>
      <w:jc w:val="both"/>
      <w:textAlignment w:val="baseline"/>
    </w:pPr>
    <w:rPr>
      <w:rFonts w:eastAsia="Times New Roman" w:cs="Courier New"/>
      <w:sz w:val="22"/>
      <w:szCs w:val="22"/>
      <w:lang w:val="en-NZ" w:eastAsia="en-US"/>
    </w:rPr>
  </w:style>
  <w:style w:type="paragraph" w:styleId="TOC1">
    <w:name w:val="toc 1"/>
    <w:basedOn w:val="Normal"/>
    <w:next w:val="Normal"/>
    <w:autoRedefine/>
    <w:uiPriority w:val="39"/>
    <w:rsid w:val="00A75B05"/>
    <w:pPr>
      <w:tabs>
        <w:tab w:val="right" w:leader="dot" w:pos="9072"/>
      </w:tabs>
      <w:spacing w:before="120" w:after="120"/>
      <w:ind w:right="282"/>
    </w:pPr>
    <w:rPr>
      <w:b/>
      <w:bCs/>
      <w:noProof/>
    </w:rPr>
  </w:style>
  <w:style w:type="table" w:styleId="TableGrid">
    <w:name w:val="Table Grid"/>
    <w:basedOn w:val="TableNormal"/>
    <w:rsid w:val="00B15AC0"/>
    <w:rPr>
      <w:rFonts w:ascii="Cambria" w:eastAsia="MS Mincho"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B15AC0"/>
    <w:pPr>
      <w:jc w:val="both"/>
    </w:pPr>
    <w:rPr>
      <w:rFonts w:ascii="Lucida Grande" w:eastAsia="Batang" w:hAnsi="Lucida Grande"/>
      <w:sz w:val="18"/>
      <w:szCs w:val="18"/>
      <w:lang w:eastAsia="ko-KR"/>
    </w:rPr>
  </w:style>
  <w:style w:type="character" w:customStyle="1" w:styleId="BalloonTextChar">
    <w:name w:val="Balloon Text Char"/>
    <w:link w:val="BalloonText"/>
    <w:semiHidden/>
    <w:rsid w:val="00B15AC0"/>
    <w:rPr>
      <w:rFonts w:ascii="Lucida Grande" w:eastAsia="Batang" w:hAnsi="Lucida Grande"/>
      <w:sz w:val="18"/>
      <w:szCs w:val="18"/>
      <w:lang w:val="en-AU" w:eastAsia="ko-KR" w:bidi="ar-SA"/>
    </w:rPr>
  </w:style>
  <w:style w:type="character" w:styleId="CommentReference">
    <w:name w:val="annotation reference"/>
    <w:basedOn w:val="DefaultParagraphFont"/>
    <w:semiHidden/>
    <w:unhideWhenUsed/>
    <w:rsid w:val="00B15AC0"/>
    <w:rPr>
      <w:sz w:val="16"/>
      <w:szCs w:val="16"/>
    </w:rPr>
  </w:style>
  <w:style w:type="character" w:customStyle="1" w:styleId="CommentTextChar">
    <w:name w:val="Comment Text Char"/>
    <w:basedOn w:val="DefaultParagraphFont"/>
    <w:link w:val="CommentText"/>
    <w:semiHidden/>
    <w:rsid w:val="00B15AC0"/>
    <w:rPr>
      <w:rFonts w:eastAsia="Times"/>
      <w:lang w:val="en-AU" w:eastAsia="en-AU" w:bidi="ar-SA"/>
    </w:rPr>
  </w:style>
  <w:style w:type="paragraph" w:styleId="CommentSubject">
    <w:name w:val="annotation subject"/>
    <w:basedOn w:val="CommentText"/>
    <w:next w:val="CommentText"/>
    <w:semiHidden/>
    <w:unhideWhenUsed/>
    <w:rsid w:val="00B15AC0"/>
    <w:pPr>
      <w:spacing w:line="360" w:lineRule="auto"/>
    </w:pPr>
    <w:rPr>
      <w:rFonts w:eastAsia="Batang"/>
      <w:b/>
      <w:bCs/>
      <w:lang w:eastAsia="ko-KR"/>
    </w:rPr>
  </w:style>
  <w:style w:type="paragraph" w:styleId="Caption">
    <w:name w:val="caption"/>
    <w:basedOn w:val="Normal"/>
    <w:next w:val="Normal"/>
    <w:qFormat/>
    <w:rsid w:val="00B15AC0"/>
    <w:pPr>
      <w:spacing w:before="120" w:after="120" w:line="360" w:lineRule="auto"/>
      <w:jc w:val="both"/>
    </w:pPr>
    <w:rPr>
      <w:rFonts w:eastAsia="Batang"/>
      <w:b/>
      <w:bCs/>
      <w:lang w:eastAsia="ko-KR"/>
    </w:rPr>
  </w:style>
  <w:style w:type="paragraph" w:styleId="TOC2">
    <w:name w:val="toc 2"/>
    <w:basedOn w:val="Normal"/>
    <w:next w:val="Normal"/>
    <w:autoRedefine/>
    <w:uiPriority w:val="39"/>
    <w:rsid w:val="00A75B05"/>
    <w:pPr>
      <w:tabs>
        <w:tab w:val="right" w:leader="dot" w:pos="9072"/>
      </w:tabs>
      <w:ind w:left="210" w:right="282"/>
    </w:pPr>
    <w:rPr>
      <w:i/>
      <w:noProof/>
    </w:rPr>
  </w:style>
  <w:style w:type="paragraph" w:styleId="TOC3">
    <w:name w:val="toc 3"/>
    <w:basedOn w:val="Normal"/>
    <w:next w:val="Normal"/>
    <w:autoRedefine/>
    <w:rsid w:val="00A9111A"/>
    <w:pPr>
      <w:ind w:left="420"/>
    </w:pPr>
    <w:rPr>
      <w:i/>
      <w:iCs/>
    </w:rPr>
  </w:style>
  <w:style w:type="paragraph" w:styleId="TOC4">
    <w:name w:val="toc 4"/>
    <w:basedOn w:val="Normal"/>
    <w:next w:val="Normal"/>
    <w:autoRedefine/>
    <w:semiHidden/>
    <w:rsid w:val="00A9111A"/>
    <w:pPr>
      <w:ind w:left="630"/>
    </w:pPr>
    <w:rPr>
      <w:sz w:val="18"/>
      <w:szCs w:val="18"/>
    </w:rPr>
  </w:style>
  <w:style w:type="paragraph" w:styleId="TOC5">
    <w:name w:val="toc 5"/>
    <w:basedOn w:val="Normal"/>
    <w:next w:val="Normal"/>
    <w:autoRedefine/>
    <w:semiHidden/>
    <w:rsid w:val="00A9111A"/>
    <w:pPr>
      <w:ind w:left="840"/>
    </w:pPr>
    <w:rPr>
      <w:sz w:val="18"/>
      <w:szCs w:val="18"/>
    </w:rPr>
  </w:style>
  <w:style w:type="paragraph" w:styleId="TOC6">
    <w:name w:val="toc 6"/>
    <w:basedOn w:val="Normal"/>
    <w:next w:val="Normal"/>
    <w:autoRedefine/>
    <w:semiHidden/>
    <w:rsid w:val="00A9111A"/>
    <w:pPr>
      <w:ind w:left="1050"/>
    </w:pPr>
    <w:rPr>
      <w:sz w:val="18"/>
      <w:szCs w:val="18"/>
    </w:rPr>
  </w:style>
  <w:style w:type="paragraph" w:styleId="TOC7">
    <w:name w:val="toc 7"/>
    <w:basedOn w:val="Normal"/>
    <w:next w:val="Normal"/>
    <w:autoRedefine/>
    <w:semiHidden/>
    <w:rsid w:val="00A9111A"/>
    <w:pPr>
      <w:ind w:left="1260"/>
    </w:pPr>
    <w:rPr>
      <w:sz w:val="18"/>
      <w:szCs w:val="18"/>
    </w:rPr>
  </w:style>
  <w:style w:type="paragraph" w:styleId="TOC8">
    <w:name w:val="toc 8"/>
    <w:basedOn w:val="Normal"/>
    <w:next w:val="Normal"/>
    <w:autoRedefine/>
    <w:semiHidden/>
    <w:rsid w:val="00A9111A"/>
    <w:pPr>
      <w:ind w:left="1470"/>
    </w:pPr>
    <w:rPr>
      <w:sz w:val="18"/>
      <w:szCs w:val="18"/>
    </w:rPr>
  </w:style>
  <w:style w:type="paragraph" w:styleId="TOC9">
    <w:name w:val="toc 9"/>
    <w:basedOn w:val="Normal"/>
    <w:next w:val="Normal"/>
    <w:autoRedefine/>
    <w:semiHidden/>
    <w:rsid w:val="00A9111A"/>
    <w:pPr>
      <w:ind w:left="1680"/>
    </w:pPr>
    <w:rPr>
      <w:sz w:val="18"/>
      <w:szCs w:val="18"/>
    </w:rPr>
  </w:style>
  <w:style w:type="paragraph" w:customStyle="1" w:styleId="Style1">
    <w:name w:val="Style1"/>
    <w:basedOn w:val="Heading1"/>
    <w:rsid w:val="0030259D"/>
    <w:pPr>
      <w:spacing w:after="120"/>
    </w:pPr>
  </w:style>
  <w:style w:type="character" w:customStyle="1" w:styleId="CaptionsChar">
    <w:name w:val="Captions Char"/>
    <w:basedOn w:val="DefaultParagraphFont"/>
    <w:link w:val="Captions"/>
    <w:rsid w:val="00E033F4"/>
    <w:rPr>
      <w:rFonts w:ascii="Arial" w:hAnsi="Arial"/>
      <w:i/>
      <w:sz w:val="18"/>
      <w:lang w:val="en-AU" w:eastAsia="en-AU" w:bidi="ar-SA"/>
    </w:rPr>
  </w:style>
  <w:style w:type="paragraph" w:styleId="TableofFigures">
    <w:name w:val="table of figures"/>
    <w:basedOn w:val="Normal"/>
    <w:next w:val="Normal"/>
    <w:rsid w:val="00694E33"/>
  </w:style>
  <w:style w:type="paragraph" w:customStyle="1" w:styleId="Bodytextnolinespacing">
    <w:name w:val="Body text no line spacing"/>
    <w:basedOn w:val="BodyText"/>
    <w:link w:val="BodytextnolinespacingChar"/>
    <w:rsid w:val="00C36894"/>
    <w:pPr>
      <w:spacing w:before="0" w:after="0" w:line="240" w:lineRule="atLeast"/>
    </w:pPr>
    <w:rPr>
      <w:rFonts w:cs="Arial"/>
    </w:rPr>
  </w:style>
  <w:style w:type="character" w:customStyle="1" w:styleId="BodytextnolinespacingChar">
    <w:name w:val="Body text no line spacing Char"/>
    <w:basedOn w:val="CommentTextChar"/>
    <w:link w:val="Bodytextnolinespacing"/>
    <w:rsid w:val="00C36894"/>
    <w:rPr>
      <w:rFonts w:eastAsia="Times" w:cs="Arial"/>
      <w:sz w:val="21"/>
      <w:lang w:val="en-AU" w:eastAsia="en-AU" w:bidi="ar-SA"/>
    </w:rPr>
  </w:style>
  <w:style w:type="paragraph" w:customStyle="1" w:styleId="VersoBold">
    <w:name w:val="Verso Bold"/>
    <w:basedOn w:val="BodyText"/>
    <w:next w:val="Bodytextnolinespacing"/>
    <w:rsid w:val="00C36894"/>
    <w:pPr>
      <w:spacing w:before="240" w:after="0" w:line="240" w:lineRule="atLeast"/>
    </w:pPr>
    <w:rPr>
      <w:rFonts w:cs="Arial"/>
      <w:b/>
      <w:kern w:val="28"/>
    </w:rPr>
  </w:style>
  <w:style w:type="paragraph" w:customStyle="1" w:styleId="VersoBoldPgB4">
    <w:name w:val="Verso Bold Pg B4"/>
    <w:basedOn w:val="VersoBold"/>
    <w:next w:val="BodyText"/>
    <w:rsid w:val="00C36894"/>
    <w:pPr>
      <w:pageBreakBefore/>
      <w:spacing w:before="0"/>
    </w:pPr>
  </w:style>
  <w:style w:type="paragraph" w:customStyle="1" w:styleId="InlineObject">
    <w:name w:val="Inline Object"/>
    <w:basedOn w:val="BodyText"/>
    <w:link w:val="InlineObjectChar"/>
    <w:rsid w:val="00332AA7"/>
    <w:pPr>
      <w:spacing w:before="360" w:after="0"/>
      <w:jc w:val="center"/>
    </w:pPr>
  </w:style>
  <w:style w:type="character" w:customStyle="1" w:styleId="InlineObjectChar">
    <w:name w:val="Inline Object Char"/>
    <w:basedOn w:val="BodyTextChar"/>
    <w:link w:val="InlineObject"/>
    <w:rsid w:val="00332AA7"/>
    <w:rPr>
      <w:rFonts w:ascii="Arial" w:eastAsia="Times" w:hAnsi="Arial"/>
      <w:lang w:val="en-AU" w:eastAsia="en-AU" w:bidi="ar-SA"/>
    </w:rPr>
  </w:style>
  <w:style w:type="character" w:customStyle="1" w:styleId="Subscript">
    <w:name w:val="Subscript"/>
    <w:basedOn w:val="DefaultParagraphFont"/>
    <w:qFormat/>
    <w:rsid w:val="00172353"/>
    <w:rPr>
      <w:position w:val="-2"/>
      <w:vertAlign w:val="subscript"/>
    </w:rPr>
  </w:style>
  <w:style w:type="character" w:customStyle="1" w:styleId="Subscriptitalic">
    <w:name w:val="Subscript italic"/>
    <w:basedOn w:val="Subscript"/>
    <w:qFormat/>
    <w:rsid w:val="00172353"/>
    <w:rPr>
      <w:i/>
      <w:iCs/>
      <w:position w:val="-2"/>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2280005">
      <w:bodyDiv w:val="1"/>
      <w:marLeft w:val="0"/>
      <w:marRight w:val="0"/>
      <w:marTop w:val="0"/>
      <w:marBottom w:val="0"/>
      <w:divBdr>
        <w:top w:val="none" w:sz="0" w:space="0" w:color="auto"/>
        <w:left w:val="none" w:sz="0" w:space="0" w:color="auto"/>
        <w:bottom w:val="none" w:sz="0" w:space="0" w:color="auto"/>
        <w:right w:val="none" w:sz="0" w:space="0" w:color="auto"/>
      </w:divBdr>
    </w:div>
    <w:div w:id="1522284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jpeg"/><Relationship Id="rId26" Type="http://schemas.openxmlformats.org/officeDocument/2006/relationships/image" Target="media/image5.jpeg"/><Relationship Id="rId39" Type="http://schemas.openxmlformats.org/officeDocument/2006/relationships/oleObject" Target="embeddings/oleObject6.bin"/><Relationship Id="rId21" Type="http://schemas.openxmlformats.org/officeDocument/2006/relationships/footer" Target="footer2.xml"/><Relationship Id="rId34" Type="http://schemas.openxmlformats.org/officeDocument/2006/relationships/oleObject" Target="embeddings/oleObject4.bin"/><Relationship Id="rId42" Type="http://schemas.openxmlformats.org/officeDocument/2006/relationships/image" Target="media/image15.wmf"/><Relationship Id="rId47" Type="http://schemas.openxmlformats.org/officeDocument/2006/relationships/image" Target="media/image18.jpeg"/><Relationship Id="rId50" Type="http://schemas.openxmlformats.org/officeDocument/2006/relationships/oleObject" Target="embeddings/oleObject10.bin"/><Relationship Id="rId55" Type="http://schemas.openxmlformats.org/officeDocument/2006/relationships/oleObject" Target="embeddings/oleObject11.bin"/><Relationship Id="rId63" Type="http://schemas.openxmlformats.org/officeDocument/2006/relationships/image" Target="media/image29.wmf"/><Relationship Id="rId68" Type="http://schemas.openxmlformats.org/officeDocument/2006/relationships/image" Target="media/image32.wmf"/><Relationship Id="rId76" Type="http://schemas.openxmlformats.org/officeDocument/2006/relationships/image" Target="media/image37.jpeg"/><Relationship Id="rId84" Type="http://schemas.openxmlformats.org/officeDocument/2006/relationships/image" Target="media/image45.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image" Target="media/image8.wmf"/><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oleObject" Target="embeddings/oleObject3.bin"/><Relationship Id="rId37" Type="http://schemas.openxmlformats.org/officeDocument/2006/relationships/image" Target="media/image12.jpeg"/><Relationship Id="rId40" Type="http://schemas.openxmlformats.org/officeDocument/2006/relationships/image" Target="media/image14.wmf"/><Relationship Id="rId45" Type="http://schemas.openxmlformats.org/officeDocument/2006/relationships/oleObject" Target="embeddings/oleObject9.bin"/><Relationship Id="rId53" Type="http://schemas.openxmlformats.org/officeDocument/2006/relationships/image" Target="media/image23.jpeg"/><Relationship Id="rId58" Type="http://schemas.openxmlformats.org/officeDocument/2006/relationships/image" Target="media/image26.emf"/><Relationship Id="rId66" Type="http://schemas.openxmlformats.org/officeDocument/2006/relationships/image" Target="media/image31.wmf"/><Relationship Id="rId74" Type="http://schemas.openxmlformats.org/officeDocument/2006/relationships/image" Target="media/image36.wmf"/><Relationship Id="rId79" Type="http://schemas.openxmlformats.org/officeDocument/2006/relationships/image" Target="media/image40.jpeg"/><Relationship Id="rId87" Type="http://schemas.openxmlformats.org/officeDocument/2006/relationships/hyperlink" Target="http://www.gebco.net/data_and_products/gridded_bathymetry_data/" TargetMode="External"/><Relationship Id="rId5" Type="http://schemas.openxmlformats.org/officeDocument/2006/relationships/webSettings" Target="webSettings.xml"/><Relationship Id="rId61" Type="http://schemas.openxmlformats.org/officeDocument/2006/relationships/image" Target="media/image28.wmf"/><Relationship Id="rId82" Type="http://schemas.openxmlformats.org/officeDocument/2006/relationships/image" Target="media/image43.jpeg"/><Relationship Id="rId90" Type="http://schemas.openxmlformats.org/officeDocument/2006/relationships/theme" Target="theme/theme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image" Target="media/image6.jpeg"/><Relationship Id="rId30" Type="http://schemas.openxmlformats.org/officeDocument/2006/relationships/oleObject" Target="embeddings/oleObject2.bin"/><Relationship Id="rId35" Type="http://schemas.openxmlformats.org/officeDocument/2006/relationships/image" Target="media/image11.emf"/><Relationship Id="rId43" Type="http://schemas.openxmlformats.org/officeDocument/2006/relationships/oleObject" Target="embeddings/oleObject8.bin"/><Relationship Id="rId48" Type="http://schemas.openxmlformats.org/officeDocument/2006/relationships/image" Target="media/image19.jpeg"/><Relationship Id="rId56" Type="http://schemas.openxmlformats.org/officeDocument/2006/relationships/image" Target="media/image25.emf"/><Relationship Id="rId64" Type="http://schemas.openxmlformats.org/officeDocument/2006/relationships/oleObject" Target="embeddings/oleObject15.bin"/><Relationship Id="rId69" Type="http://schemas.openxmlformats.org/officeDocument/2006/relationships/oleObject" Target="embeddings/oleObject17.bin"/><Relationship Id="rId77"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image" Target="media/image21.jpeg"/><Relationship Id="rId72" Type="http://schemas.openxmlformats.org/officeDocument/2006/relationships/image" Target="media/image35.wmf"/><Relationship Id="rId80" Type="http://schemas.openxmlformats.org/officeDocument/2006/relationships/image" Target="media/image41.jpeg"/><Relationship Id="rId85"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header" Target="header11.xml"/><Relationship Id="rId33" Type="http://schemas.openxmlformats.org/officeDocument/2006/relationships/image" Target="media/image10.wmf"/><Relationship Id="rId38" Type="http://schemas.openxmlformats.org/officeDocument/2006/relationships/image" Target="media/image13.wmf"/><Relationship Id="rId46" Type="http://schemas.openxmlformats.org/officeDocument/2006/relationships/image" Target="media/image17.jpeg"/><Relationship Id="rId59" Type="http://schemas.openxmlformats.org/officeDocument/2006/relationships/oleObject" Target="embeddings/oleObject13.bin"/><Relationship Id="rId67" Type="http://schemas.openxmlformats.org/officeDocument/2006/relationships/oleObject" Target="embeddings/oleObject16.bin"/><Relationship Id="rId20" Type="http://schemas.openxmlformats.org/officeDocument/2006/relationships/header" Target="header7.xml"/><Relationship Id="rId41" Type="http://schemas.openxmlformats.org/officeDocument/2006/relationships/oleObject" Target="embeddings/oleObject7.bin"/><Relationship Id="rId54" Type="http://schemas.openxmlformats.org/officeDocument/2006/relationships/image" Target="media/image24.wmf"/><Relationship Id="rId62" Type="http://schemas.openxmlformats.org/officeDocument/2006/relationships/oleObject" Target="embeddings/oleObject14.bin"/><Relationship Id="rId70" Type="http://schemas.openxmlformats.org/officeDocument/2006/relationships/image" Target="media/image33.jpeg"/><Relationship Id="rId75" Type="http://schemas.openxmlformats.org/officeDocument/2006/relationships/oleObject" Target="embeddings/oleObject19.bin"/><Relationship Id="rId83" Type="http://schemas.openxmlformats.org/officeDocument/2006/relationships/image" Target="media/image44.jpeg"/><Relationship Id="rId88" Type="http://schemas.openxmlformats.org/officeDocument/2006/relationships/hyperlink" Target="http://www.insurancecouncil.com.au/Default.aspx?tabid=1572"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7.jpeg"/><Relationship Id="rId36" Type="http://schemas.openxmlformats.org/officeDocument/2006/relationships/oleObject" Target="embeddings/oleObject5.bin"/><Relationship Id="rId49" Type="http://schemas.openxmlformats.org/officeDocument/2006/relationships/image" Target="media/image20.wmf"/><Relationship Id="rId57" Type="http://schemas.openxmlformats.org/officeDocument/2006/relationships/oleObject" Target="embeddings/oleObject12.bin"/><Relationship Id="rId10" Type="http://schemas.openxmlformats.org/officeDocument/2006/relationships/header" Target="header1.xml"/><Relationship Id="rId31" Type="http://schemas.openxmlformats.org/officeDocument/2006/relationships/image" Target="media/image9.wmf"/><Relationship Id="rId44" Type="http://schemas.openxmlformats.org/officeDocument/2006/relationships/image" Target="media/image16.wmf"/><Relationship Id="rId52" Type="http://schemas.openxmlformats.org/officeDocument/2006/relationships/image" Target="media/image22.jpeg"/><Relationship Id="rId60" Type="http://schemas.openxmlformats.org/officeDocument/2006/relationships/image" Target="media/image27.jpeg"/><Relationship Id="rId65" Type="http://schemas.openxmlformats.org/officeDocument/2006/relationships/image" Target="media/image30.jpeg"/><Relationship Id="rId73" Type="http://schemas.openxmlformats.org/officeDocument/2006/relationships/oleObject" Target="embeddings/oleObject18.bin"/><Relationship Id="rId78" Type="http://schemas.openxmlformats.org/officeDocument/2006/relationships/image" Target="media/image39.jpeg"/><Relationship Id="rId81" Type="http://schemas.openxmlformats.org/officeDocument/2006/relationships/image" Target="media/image42.jpeg"/><Relationship Id="rId86" Type="http://schemas.openxmlformats.org/officeDocument/2006/relationships/image" Target="media/image47.jpe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Geoscience%20Australia\GA%20Rec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GA Record.dot</Template>
  <TotalTime>201</TotalTime>
  <Pages>74</Pages>
  <Words>21370</Words>
  <Characters>271598</Characters>
  <Application>Microsoft Office Word</Application>
  <DocSecurity>0</DocSecurity>
  <Lines>2263</Lines>
  <Paragraphs>584</Paragraphs>
  <ScaleCrop>false</ScaleCrop>
  <HeadingPairs>
    <vt:vector size="2" baseType="variant">
      <vt:variant>
        <vt:lpstr>Title</vt:lpstr>
      </vt:variant>
      <vt:variant>
        <vt:i4>1</vt:i4>
      </vt:variant>
    </vt:vector>
  </HeadingPairs>
  <TitlesOfParts>
    <vt:vector size="1" baseType="lpstr">
      <vt:lpstr>Document Title</vt:lpstr>
    </vt:vector>
  </TitlesOfParts>
  <Company>Geoscience Australia</Company>
  <LinksUpToDate>false</LinksUpToDate>
  <CharactersWithSpaces>292384</CharactersWithSpaces>
  <SharedDoc>false</SharedDoc>
  <HLinks>
    <vt:vector size="372" baseType="variant">
      <vt:variant>
        <vt:i4>2424873</vt:i4>
      </vt:variant>
      <vt:variant>
        <vt:i4>1035</vt:i4>
      </vt:variant>
      <vt:variant>
        <vt:i4>0</vt:i4>
      </vt:variant>
      <vt:variant>
        <vt:i4>5</vt:i4>
      </vt:variant>
      <vt:variant>
        <vt:lpwstr>http://www.insurancecouncil.com.au/Default.aspx?tabid=1572</vt:lpwstr>
      </vt:variant>
      <vt:variant>
        <vt:lpwstr/>
      </vt:variant>
      <vt:variant>
        <vt:i4>655443</vt:i4>
      </vt:variant>
      <vt:variant>
        <vt:i4>1030</vt:i4>
      </vt:variant>
      <vt:variant>
        <vt:i4>0</vt:i4>
      </vt:variant>
      <vt:variant>
        <vt:i4>5</vt:i4>
      </vt:variant>
      <vt:variant>
        <vt:lpwstr>http://www.gebco.net/data_and_products/gridded_bathymetry_data/</vt:lpwstr>
      </vt:variant>
      <vt:variant>
        <vt:lpwstr/>
      </vt:variant>
      <vt:variant>
        <vt:i4>4521995</vt:i4>
      </vt:variant>
      <vt:variant>
        <vt:i4>438</vt:i4>
      </vt:variant>
      <vt:variant>
        <vt:i4>0</vt:i4>
      </vt:variant>
      <vt:variant>
        <vt:i4>5</vt:i4>
      </vt:variant>
      <vt:variant>
        <vt:lpwstr/>
      </vt:variant>
      <vt:variant>
        <vt:lpwstr>_ENREF_4</vt:lpwstr>
      </vt:variant>
      <vt:variant>
        <vt:i4>1638448</vt:i4>
      </vt:variant>
      <vt:variant>
        <vt:i4>356</vt:i4>
      </vt:variant>
      <vt:variant>
        <vt:i4>0</vt:i4>
      </vt:variant>
      <vt:variant>
        <vt:i4>5</vt:i4>
      </vt:variant>
      <vt:variant>
        <vt:lpwstr/>
      </vt:variant>
      <vt:variant>
        <vt:lpwstr>_Toc338429902</vt:lpwstr>
      </vt:variant>
      <vt:variant>
        <vt:i4>1638448</vt:i4>
      </vt:variant>
      <vt:variant>
        <vt:i4>350</vt:i4>
      </vt:variant>
      <vt:variant>
        <vt:i4>0</vt:i4>
      </vt:variant>
      <vt:variant>
        <vt:i4>5</vt:i4>
      </vt:variant>
      <vt:variant>
        <vt:lpwstr/>
      </vt:variant>
      <vt:variant>
        <vt:lpwstr>_Toc338429901</vt:lpwstr>
      </vt:variant>
      <vt:variant>
        <vt:i4>1638448</vt:i4>
      </vt:variant>
      <vt:variant>
        <vt:i4>344</vt:i4>
      </vt:variant>
      <vt:variant>
        <vt:i4>0</vt:i4>
      </vt:variant>
      <vt:variant>
        <vt:i4>5</vt:i4>
      </vt:variant>
      <vt:variant>
        <vt:lpwstr/>
      </vt:variant>
      <vt:variant>
        <vt:lpwstr>_Toc338429900</vt:lpwstr>
      </vt:variant>
      <vt:variant>
        <vt:i4>1048625</vt:i4>
      </vt:variant>
      <vt:variant>
        <vt:i4>338</vt:i4>
      </vt:variant>
      <vt:variant>
        <vt:i4>0</vt:i4>
      </vt:variant>
      <vt:variant>
        <vt:i4>5</vt:i4>
      </vt:variant>
      <vt:variant>
        <vt:lpwstr/>
      </vt:variant>
      <vt:variant>
        <vt:lpwstr>_Toc338429899</vt:lpwstr>
      </vt:variant>
      <vt:variant>
        <vt:i4>1048625</vt:i4>
      </vt:variant>
      <vt:variant>
        <vt:i4>332</vt:i4>
      </vt:variant>
      <vt:variant>
        <vt:i4>0</vt:i4>
      </vt:variant>
      <vt:variant>
        <vt:i4>5</vt:i4>
      </vt:variant>
      <vt:variant>
        <vt:lpwstr/>
      </vt:variant>
      <vt:variant>
        <vt:lpwstr>_Toc338429898</vt:lpwstr>
      </vt:variant>
      <vt:variant>
        <vt:i4>1048625</vt:i4>
      </vt:variant>
      <vt:variant>
        <vt:i4>326</vt:i4>
      </vt:variant>
      <vt:variant>
        <vt:i4>0</vt:i4>
      </vt:variant>
      <vt:variant>
        <vt:i4>5</vt:i4>
      </vt:variant>
      <vt:variant>
        <vt:lpwstr/>
      </vt:variant>
      <vt:variant>
        <vt:lpwstr>_Toc338429897</vt:lpwstr>
      </vt:variant>
      <vt:variant>
        <vt:i4>1048625</vt:i4>
      </vt:variant>
      <vt:variant>
        <vt:i4>320</vt:i4>
      </vt:variant>
      <vt:variant>
        <vt:i4>0</vt:i4>
      </vt:variant>
      <vt:variant>
        <vt:i4>5</vt:i4>
      </vt:variant>
      <vt:variant>
        <vt:lpwstr/>
      </vt:variant>
      <vt:variant>
        <vt:lpwstr>_Toc338429896</vt:lpwstr>
      </vt:variant>
      <vt:variant>
        <vt:i4>1048625</vt:i4>
      </vt:variant>
      <vt:variant>
        <vt:i4>314</vt:i4>
      </vt:variant>
      <vt:variant>
        <vt:i4>0</vt:i4>
      </vt:variant>
      <vt:variant>
        <vt:i4>5</vt:i4>
      </vt:variant>
      <vt:variant>
        <vt:lpwstr/>
      </vt:variant>
      <vt:variant>
        <vt:lpwstr>_Toc338429895</vt:lpwstr>
      </vt:variant>
      <vt:variant>
        <vt:i4>1703994</vt:i4>
      </vt:variant>
      <vt:variant>
        <vt:i4>305</vt:i4>
      </vt:variant>
      <vt:variant>
        <vt:i4>0</vt:i4>
      </vt:variant>
      <vt:variant>
        <vt:i4>5</vt:i4>
      </vt:variant>
      <vt:variant>
        <vt:lpwstr/>
      </vt:variant>
      <vt:variant>
        <vt:lpwstr>_Toc338429339</vt:lpwstr>
      </vt:variant>
      <vt:variant>
        <vt:i4>1703994</vt:i4>
      </vt:variant>
      <vt:variant>
        <vt:i4>299</vt:i4>
      </vt:variant>
      <vt:variant>
        <vt:i4>0</vt:i4>
      </vt:variant>
      <vt:variant>
        <vt:i4>5</vt:i4>
      </vt:variant>
      <vt:variant>
        <vt:lpwstr/>
      </vt:variant>
      <vt:variant>
        <vt:lpwstr>_Toc338429338</vt:lpwstr>
      </vt:variant>
      <vt:variant>
        <vt:i4>1703994</vt:i4>
      </vt:variant>
      <vt:variant>
        <vt:i4>293</vt:i4>
      </vt:variant>
      <vt:variant>
        <vt:i4>0</vt:i4>
      </vt:variant>
      <vt:variant>
        <vt:i4>5</vt:i4>
      </vt:variant>
      <vt:variant>
        <vt:lpwstr/>
      </vt:variant>
      <vt:variant>
        <vt:lpwstr>_Toc338429337</vt:lpwstr>
      </vt:variant>
      <vt:variant>
        <vt:i4>1703994</vt:i4>
      </vt:variant>
      <vt:variant>
        <vt:i4>287</vt:i4>
      </vt:variant>
      <vt:variant>
        <vt:i4>0</vt:i4>
      </vt:variant>
      <vt:variant>
        <vt:i4>5</vt:i4>
      </vt:variant>
      <vt:variant>
        <vt:lpwstr/>
      </vt:variant>
      <vt:variant>
        <vt:lpwstr>_Toc338429336</vt:lpwstr>
      </vt:variant>
      <vt:variant>
        <vt:i4>1703994</vt:i4>
      </vt:variant>
      <vt:variant>
        <vt:i4>281</vt:i4>
      </vt:variant>
      <vt:variant>
        <vt:i4>0</vt:i4>
      </vt:variant>
      <vt:variant>
        <vt:i4>5</vt:i4>
      </vt:variant>
      <vt:variant>
        <vt:lpwstr/>
      </vt:variant>
      <vt:variant>
        <vt:lpwstr>_Toc338429335</vt:lpwstr>
      </vt:variant>
      <vt:variant>
        <vt:i4>1703994</vt:i4>
      </vt:variant>
      <vt:variant>
        <vt:i4>275</vt:i4>
      </vt:variant>
      <vt:variant>
        <vt:i4>0</vt:i4>
      </vt:variant>
      <vt:variant>
        <vt:i4>5</vt:i4>
      </vt:variant>
      <vt:variant>
        <vt:lpwstr/>
      </vt:variant>
      <vt:variant>
        <vt:lpwstr>_Toc338429334</vt:lpwstr>
      </vt:variant>
      <vt:variant>
        <vt:i4>1703994</vt:i4>
      </vt:variant>
      <vt:variant>
        <vt:i4>269</vt:i4>
      </vt:variant>
      <vt:variant>
        <vt:i4>0</vt:i4>
      </vt:variant>
      <vt:variant>
        <vt:i4>5</vt:i4>
      </vt:variant>
      <vt:variant>
        <vt:lpwstr/>
      </vt:variant>
      <vt:variant>
        <vt:lpwstr>_Toc338429333</vt:lpwstr>
      </vt:variant>
      <vt:variant>
        <vt:i4>1703994</vt:i4>
      </vt:variant>
      <vt:variant>
        <vt:i4>263</vt:i4>
      </vt:variant>
      <vt:variant>
        <vt:i4>0</vt:i4>
      </vt:variant>
      <vt:variant>
        <vt:i4>5</vt:i4>
      </vt:variant>
      <vt:variant>
        <vt:lpwstr/>
      </vt:variant>
      <vt:variant>
        <vt:lpwstr>_Toc338429332</vt:lpwstr>
      </vt:variant>
      <vt:variant>
        <vt:i4>1703994</vt:i4>
      </vt:variant>
      <vt:variant>
        <vt:i4>257</vt:i4>
      </vt:variant>
      <vt:variant>
        <vt:i4>0</vt:i4>
      </vt:variant>
      <vt:variant>
        <vt:i4>5</vt:i4>
      </vt:variant>
      <vt:variant>
        <vt:lpwstr/>
      </vt:variant>
      <vt:variant>
        <vt:lpwstr>_Toc338429331</vt:lpwstr>
      </vt:variant>
      <vt:variant>
        <vt:i4>1703994</vt:i4>
      </vt:variant>
      <vt:variant>
        <vt:i4>251</vt:i4>
      </vt:variant>
      <vt:variant>
        <vt:i4>0</vt:i4>
      </vt:variant>
      <vt:variant>
        <vt:i4>5</vt:i4>
      </vt:variant>
      <vt:variant>
        <vt:lpwstr/>
      </vt:variant>
      <vt:variant>
        <vt:lpwstr>_Toc338429330</vt:lpwstr>
      </vt:variant>
      <vt:variant>
        <vt:i4>1769530</vt:i4>
      </vt:variant>
      <vt:variant>
        <vt:i4>245</vt:i4>
      </vt:variant>
      <vt:variant>
        <vt:i4>0</vt:i4>
      </vt:variant>
      <vt:variant>
        <vt:i4>5</vt:i4>
      </vt:variant>
      <vt:variant>
        <vt:lpwstr/>
      </vt:variant>
      <vt:variant>
        <vt:lpwstr>_Toc338429329</vt:lpwstr>
      </vt:variant>
      <vt:variant>
        <vt:i4>1769530</vt:i4>
      </vt:variant>
      <vt:variant>
        <vt:i4>239</vt:i4>
      </vt:variant>
      <vt:variant>
        <vt:i4>0</vt:i4>
      </vt:variant>
      <vt:variant>
        <vt:i4>5</vt:i4>
      </vt:variant>
      <vt:variant>
        <vt:lpwstr/>
      </vt:variant>
      <vt:variant>
        <vt:lpwstr>_Toc338429328</vt:lpwstr>
      </vt:variant>
      <vt:variant>
        <vt:i4>1769530</vt:i4>
      </vt:variant>
      <vt:variant>
        <vt:i4>233</vt:i4>
      </vt:variant>
      <vt:variant>
        <vt:i4>0</vt:i4>
      </vt:variant>
      <vt:variant>
        <vt:i4>5</vt:i4>
      </vt:variant>
      <vt:variant>
        <vt:lpwstr/>
      </vt:variant>
      <vt:variant>
        <vt:lpwstr>_Toc338429327</vt:lpwstr>
      </vt:variant>
      <vt:variant>
        <vt:i4>1769530</vt:i4>
      </vt:variant>
      <vt:variant>
        <vt:i4>227</vt:i4>
      </vt:variant>
      <vt:variant>
        <vt:i4>0</vt:i4>
      </vt:variant>
      <vt:variant>
        <vt:i4>5</vt:i4>
      </vt:variant>
      <vt:variant>
        <vt:lpwstr/>
      </vt:variant>
      <vt:variant>
        <vt:lpwstr>_Toc338429326</vt:lpwstr>
      </vt:variant>
      <vt:variant>
        <vt:i4>1769530</vt:i4>
      </vt:variant>
      <vt:variant>
        <vt:i4>221</vt:i4>
      </vt:variant>
      <vt:variant>
        <vt:i4>0</vt:i4>
      </vt:variant>
      <vt:variant>
        <vt:i4>5</vt:i4>
      </vt:variant>
      <vt:variant>
        <vt:lpwstr/>
      </vt:variant>
      <vt:variant>
        <vt:lpwstr>_Toc338429325</vt:lpwstr>
      </vt:variant>
      <vt:variant>
        <vt:i4>1769530</vt:i4>
      </vt:variant>
      <vt:variant>
        <vt:i4>215</vt:i4>
      </vt:variant>
      <vt:variant>
        <vt:i4>0</vt:i4>
      </vt:variant>
      <vt:variant>
        <vt:i4>5</vt:i4>
      </vt:variant>
      <vt:variant>
        <vt:lpwstr/>
      </vt:variant>
      <vt:variant>
        <vt:lpwstr>_Toc338429324</vt:lpwstr>
      </vt:variant>
      <vt:variant>
        <vt:i4>1769530</vt:i4>
      </vt:variant>
      <vt:variant>
        <vt:i4>209</vt:i4>
      </vt:variant>
      <vt:variant>
        <vt:i4>0</vt:i4>
      </vt:variant>
      <vt:variant>
        <vt:i4>5</vt:i4>
      </vt:variant>
      <vt:variant>
        <vt:lpwstr/>
      </vt:variant>
      <vt:variant>
        <vt:lpwstr>_Toc338429323</vt:lpwstr>
      </vt:variant>
      <vt:variant>
        <vt:i4>1769530</vt:i4>
      </vt:variant>
      <vt:variant>
        <vt:i4>203</vt:i4>
      </vt:variant>
      <vt:variant>
        <vt:i4>0</vt:i4>
      </vt:variant>
      <vt:variant>
        <vt:i4>5</vt:i4>
      </vt:variant>
      <vt:variant>
        <vt:lpwstr/>
      </vt:variant>
      <vt:variant>
        <vt:lpwstr>_Toc338429322</vt:lpwstr>
      </vt:variant>
      <vt:variant>
        <vt:i4>1769530</vt:i4>
      </vt:variant>
      <vt:variant>
        <vt:i4>197</vt:i4>
      </vt:variant>
      <vt:variant>
        <vt:i4>0</vt:i4>
      </vt:variant>
      <vt:variant>
        <vt:i4>5</vt:i4>
      </vt:variant>
      <vt:variant>
        <vt:lpwstr/>
      </vt:variant>
      <vt:variant>
        <vt:lpwstr>_Toc338429321</vt:lpwstr>
      </vt:variant>
      <vt:variant>
        <vt:i4>1769530</vt:i4>
      </vt:variant>
      <vt:variant>
        <vt:i4>191</vt:i4>
      </vt:variant>
      <vt:variant>
        <vt:i4>0</vt:i4>
      </vt:variant>
      <vt:variant>
        <vt:i4>5</vt:i4>
      </vt:variant>
      <vt:variant>
        <vt:lpwstr/>
      </vt:variant>
      <vt:variant>
        <vt:lpwstr>_Toc338429320</vt:lpwstr>
      </vt:variant>
      <vt:variant>
        <vt:i4>1572922</vt:i4>
      </vt:variant>
      <vt:variant>
        <vt:i4>185</vt:i4>
      </vt:variant>
      <vt:variant>
        <vt:i4>0</vt:i4>
      </vt:variant>
      <vt:variant>
        <vt:i4>5</vt:i4>
      </vt:variant>
      <vt:variant>
        <vt:lpwstr/>
      </vt:variant>
      <vt:variant>
        <vt:lpwstr>_Toc338429319</vt:lpwstr>
      </vt:variant>
      <vt:variant>
        <vt:i4>1572922</vt:i4>
      </vt:variant>
      <vt:variant>
        <vt:i4>179</vt:i4>
      </vt:variant>
      <vt:variant>
        <vt:i4>0</vt:i4>
      </vt:variant>
      <vt:variant>
        <vt:i4>5</vt:i4>
      </vt:variant>
      <vt:variant>
        <vt:lpwstr/>
      </vt:variant>
      <vt:variant>
        <vt:lpwstr>_Toc338429318</vt:lpwstr>
      </vt:variant>
      <vt:variant>
        <vt:i4>1572922</vt:i4>
      </vt:variant>
      <vt:variant>
        <vt:i4>173</vt:i4>
      </vt:variant>
      <vt:variant>
        <vt:i4>0</vt:i4>
      </vt:variant>
      <vt:variant>
        <vt:i4>5</vt:i4>
      </vt:variant>
      <vt:variant>
        <vt:lpwstr/>
      </vt:variant>
      <vt:variant>
        <vt:lpwstr>_Toc338429317</vt:lpwstr>
      </vt:variant>
      <vt:variant>
        <vt:i4>1572922</vt:i4>
      </vt:variant>
      <vt:variant>
        <vt:i4>167</vt:i4>
      </vt:variant>
      <vt:variant>
        <vt:i4>0</vt:i4>
      </vt:variant>
      <vt:variant>
        <vt:i4>5</vt:i4>
      </vt:variant>
      <vt:variant>
        <vt:lpwstr/>
      </vt:variant>
      <vt:variant>
        <vt:lpwstr>_Toc338429316</vt:lpwstr>
      </vt:variant>
      <vt:variant>
        <vt:i4>1572922</vt:i4>
      </vt:variant>
      <vt:variant>
        <vt:i4>161</vt:i4>
      </vt:variant>
      <vt:variant>
        <vt:i4>0</vt:i4>
      </vt:variant>
      <vt:variant>
        <vt:i4>5</vt:i4>
      </vt:variant>
      <vt:variant>
        <vt:lpwstr/>
      </vt:variant>
      <vt:variant>
        <vt:lpwstr>_Toc338429315</vt:lpwstr>
      </vt:variant>
      <vt:variant>
        <vt:i4>1572923</vt:i4>
      </vt:variant>
      <vt:variant>
        <vt:i4>152</vt:i4>
      </vt:variant>
      <vt:variant>
        <vt:i4>0</vt:i4>
      </vt:variant>
      <vt:variant>
        <vt:i4>5</vt:i4>
      </vt:variant>
      <vt:variant>
        <vt:lpwstr/>
      </vt:variant>
      <vt:variant>
        <vt:lpwstr>_Toc341709959</vt:lpwstr>
      </vt:variant>
      <vt:variant>
        <vt:i4>1572923</vt:i4>
      </vt:variant>
      <vt:variant>
        <vt:i4>146</vt:i4>
      </vt:variant>
      <vt:variant>
        <vt:i4>0</vt:i4>
      </vt:variant>
      <vt:variant>
        <vt:i4>5</vt:i4>
      </vt:variant>
      <vt:variant>
        <vt:lpwstr/>
      </vt:variant>
      <vt:variant>
        <vt:lpwstr>_Toc341709958</vt:lpwstr>
      </vt:variant>
      <vt:variant>
        <vt:i4>1572923</vt:i4>
      </vt:variant>
      <vt:variant>
        <vt:i4>140</vt:i4>
      </vt:variant>
      <vt:variant>
        <vt:i4>0</vt:i4>
      </vt:variant>
      <vt:variant>
        <vt:i4>5</vt:i4>
      </vt:variant>
      <vt:variant>
        <vt:lpwstr/>
      </vt:variant>
      <vt:variant>
        <vt:lpwstr>_Toc341709957</vt:lpwstr>
      </vt:variant>
      <vt:variant>
        <vt:i4>1572923</vt:i4>
      </vt:variant>
      <vt:variant>
        <vt:i4>134</vt:i4>
      </vt:variant>
      <vt:variant>
        <vt:i4>0</vt:i4>
      </vt:variant>
      <vt:variant>
        <vt:i4>5</vt:i4>
      </vt:variant>
      <vt:variant>
        <vt:lpwstr/>
      </vt:variant>
      <vt:variant>
        <vt:lpwstr>_Toc341709956</vt:lpwstr>
      </vt:variant>
      <vt:variant>
        <vt:i4>1572923</vt:i4>
      </vt:variant>
      <vt:variant>
        <vt:i4>128</vt:i4>
      </vt:variant>
      <vt:variant>
        <vt:i4>0</vt:i4>
      </vt:variant>
      <vt:variant>
        <vt:i4>5</vt:i4>
      </vt:variant>
      <vt:variant>
        <vt:lpwstr/>
      </vt:variant>
      <vt:variant>
        <vt:lpwstr>_Toc341709955</vt:lpwstr>
      </vt:variant>
      <vt:variant>
        <vt:i4>1572923</vt:i4>
      </vt:variant>
      <vt:variant>
        <vt:i4>122</vt:i4>
      </vt:variant>
      <vt:variant>
        <vt:i4>0</vt:i4>
      </vt:variant>
      <vt:variant>
        <vt:i4>5</vt:i4>
      </vt:variant>
      <vt:variant>
        <vt:lpwstr/>
      </vt:variant>
      <vt:variant>
        <vt:lpwstr>_Toc341709954</vt:lpwstr>
      </vt:variant>
      <vt:variant>
        <vt:i4>1572923</vt:i4>
      </vt:variant>
      <vt:variant>
        <vt:i4>116</vt:i4>
      </vt:variant>
      <vt:variant>
        <vt:i4>0</vt:i4>
      </vt:variant>
      <vt:variant>
        <vt:i4>5</vt:i4>
      </vt:variant>
      <vt:variant>
        <vt:lpwstr/>
      </vt:variant>
      <vt:variant>
        <vt:lpwstr>_Toc341709953</vt:lpwstr>
      </vt:variant>
      <vt:variant>
        <vt:i4>1572923</vt:i4>
      </vt:variant>
      <vt:variant>
        <vt:i4>110</vt:i4>
      </vt:variant>
      <vt:variant>
        <vt:i4>0</vt:i4>
      </vt:variant>
      <vt:variant>
        <vt:i4>5</vt:i4>
      </vt:variant>
      <vt:variant>
        <vt:lpwstr/>
      </vt:variant>
      <vt:variant>
        <vt:lpwstr>_Toc341709952</vt:lpwstr>
      </vt:variant>
      <vt:variant>
        <vt:i4>1572923</vt:i4>
      </vt:variant>
      <vt:variant>
        <vt:i4>104</vt:i4>
      </vt:variant>
      <vt:variant>
        <vt:i4>0</vt:i4>
      </vt:variant>
      <vt:variant>
        <vt:i4>5</vt:i4>
      </vt:variant>
      <vt:variant>
        <vt:lpwstr/>
      </vt:variant>
      <vt:variant>
        <vt:lpwstr>_Toc341709951</vt:lpwstr>
      </vt:variant>
      <vt:variant>
        <vt:i4>1572923</vt:i4>
      </vt:variant>
      <vt:variant>
        <vt:i4>98</vt:i4>
      </vt:variant>
      <vt:variant>
        <vt:i4>0</vt:i4>
      </vt:variant>
      <vt:variant>
        <vt:i4>5</vt:i4>
      </vt:variant>
      <vt:variant>
        <vt:lpwstr/>
      </vt:variant>
      <vt:variant>
        <vt:lpwstr>_Toc341709950</vt:lpwstr>
      </vt:variant>
      <vt:variant>
        <vt:i4>1638459</vt:i4>
      </vt:variant>
      <vt:variant>
        <vt:i4>92</vt:i4>
      </vt:variant>
      <vt:variant>
        <vt:i4>0</vt:i4>
      </vt:variant>
      <vt:variant>
        <vt:i4>5</vt:i4>
      </vt:variant>
      <vt:variant>
        <vt:lpwstr/>
      </vt:variant>
      <vt:variant>
        <vt:lpwstr>_Toc341709949</vt:lpwstr>
      </vt:variant>
      <vt:variant>
        <vt:i4>1638459</vt:i4>
      </vt:variant>
      <vt:variant>
        <vt:i4>86</vt:i4>
      </vt:variant>
      <vt:variant>
        <vt:i4>0</vt:i4>
      </vt:variant>
      <vt:variant>
        <vt:i4>5</vt:i4>
      </vt:variant>
      <vt:variant>
        <vt:lpwstr/>
      </vt:variant>
      <vt:variant>
        <vt:lpwstr>_Toc341709948</vt:lpwstr>
      </vt:variant>
      <vt:variant>
        <vt:i4>1638459</vt:i4>
      </vt:variant>
      <vt:variant>
        <vt:i4>80</vt:i4>
      </vt:variant>
      <vt:variant>
        <vt:i4>0</vt:i4>
      </vt:variant>
      <vt:variant>
        <vt:i4>5</vt:i4>
      </vt:variant>
      <vt:variant>
        <vt:lpwstr/>
      </vt:variant>
      <vt:variant>
        <vt:lpwstr>_Toc341709947</vt:lpwstr>
      </vt:variant>
      <vt:variant>
        <vt:i4>1638459</vt:i4>
      </vt:variant>
      <vt:variant>
        <vt:i4>74</vt:i4>
      </vt:variant>
      <vt:variant>
        <vt:i4>0</vt:i4>
      </vt:variant>
      <vt:variant>
        <vt:i4>5</vt:i4>
      </vt:variant>
      <vt:variant>
        <vt:lpwstr/>
      </vt:variant>
      <vt:variant>
        <vt:lpwstr>_Toc341709946</vt:lpwstr>
      </vt:variant>
      <vt:variant>
        <vt:i4>1638459</vt:i4>
      </vt:variant>
      <vt:variant>
        <vt:i4>68</vt:i4>
      </vt:variant>
      <vt:variant>
        <vt:i4>0</vt:i4>
      </vt:variant>
      <vt:variant>
        <vt:i4>5</vt:i4>
      </vt:variant>
      <vt:variant>
        <vt:lpwstr/>
      </vt:variant>
      <vt:variant>
        <vt:lpwstr>_Toc341709945</vt:lpwstr>
      </vt:variant>
      <vt:variant>
        <vt:i4>1638459</vt:i4>
      </vt:variant>
      <vt:variant>
        <vt:i4>62</vt:i4>
      </vt:variant>
      <vt:variant>
        <vt:i4>0</vt:i4>
      </vt:variant>
      <vt:variant>
        <vt:i4>5</vt:i4>
      </vt:variant>
      <vt:variant>
        <vt:lpwstr/>
      </vt:variant>
      <vt:variant>
        <vt:lpwstr>_Toc341709944</vt:lpwstr>
      </vt:variant>
      <vt:variant>
        <vt:i4>1638459</vt:i4>
      </vt:variant>
      <vt:variant>
        <vt:i4>56</vt:i4>
      </vt:variant>
      <vt:variant>
        <vt:i4>0</vt:i4>
      </vt:variant>
      <vt:variant>
        <vt:i4>5</vt:i4>
      </vt:variant>
      <vt:variant>
        <vt:lpwstr/>
      </vt:variant>
      <vt:variant>
        <vt:lpwstr>_Toc341709943</vt:lpwstr>
      </vt:variant>
      <vt:variant>
        <vt:i4>1638459</vt:i4>
      </vt:variant>
      <vt:variant>
        <vt:i4>50</vt:i4>
      </vt:variant>
      <vt:variant>
        <vt:i4>0</vt:i4>
      </vt:variant>
      <vt:variant>
        <vt:i4>5</vt:i4>
      </vt:variant>
      <vt:variant>
        <vt:lpwstr/>
      </vt:variant>
      <vt:variant>
        <vt:lpwstr>_Toc341709942</vt:lpwstr>
      </vt:variant>
      <vt:variant>
        <vt:i4>1638459</vt:i4>
      </vt:variant>
      <vt:variant>
        <vt:i4>44</vt:i4>
      </vt:variant>
      <vt:variant>
        <vt:i4>0</vt:i4>
      </vt:variant>
      <vt:variant>
        <vt:i4>5</vt:i4>
      </vt:variant>
      <vt:variant>
        <vt:lpwstr/>
      </vt:variant>
      <vt:variant>
        <vt:lpwstr>_Toc341709941</vt:lpwstr>
      </vt:variant>
      <vt:variant>
        <vt:i4>1638459</vt:i4>
      </vt:variant>
      <vt:variant>
        <vt:i4>38</vt:i4>
      </vt:variant>
      <vt:variant>
        <vt:i4>0</vt:i4>
      </vt:variant>
      <vt:variant>
        <vt:i4>5</vt:i4>
      </vt:variant>
      <vt:variant>
        <vt:lpwstr/>
      </vt:variant>
      <vt:variant>
        <vt:lpwstr>_Toc341709940</vt:lpwstr>
      </vt:variant>
      <vt:variant>
        <vt:i4>1966139</vt:i4>
      </vt:variant>
      <vt:variant>
        <vt:i4>32</vt:i4>
      </vt:variant>
      <vt:variant>
        <vt:i4>0</vt:i4>
      </vt:variant>
      <vt:variant>
        <vt:i4>5</vt:i4>
      </vt:variant>
      <vt:variant>
        <vt:lpwstr/>
      </vt:variant>
      <vt:variant>
        <vt:lpwstr>_Toc341709939</vt:lpwstr>
      </vt:variant>
      <vt:variant>
        <vt:i4>1966139</vt:i4>
      </vt:variant>
      <vt:variant>
        <vt:i4>26</vt:i4>
      </vt:variant>
      <vt:variant>
        <vt:i4>0</vt:i4>
      </vt:variant>
      <vt:variant>
        <vt:i4>5</vt:i4>
      </vt:variant>
      <vt:variant>
        <vt:lpwstr/>
      </vt:variant>
      <vt:variant>
        <vt:lpwstr>_Toc341709938</vt:lpwstr>
      </vt:variant>
      <vt:variant>
        <vt:i4>1966139</vt:i4>
      </vt:variant>
      <vt:variant>
        <vt:i4>20</vt:i4>
      </vt:variant>
      <vt:variant>
        <vt:i4>0</vt:i4>
      </vt:variant>
      <vt:variant>
        <vt:i4>5</vt:i4>
      </vt:variant>
      <vt:variant>
        <vt:lpwstr/>
      </vt:variant>
      <vt:variant>
        <vt:lpwstr>_Toc341709937</vt:lpwstr>
      </vt:variant>
      <vt:variant>
        <vt:i4>1966139</vt:i4>
      </vt:variant>
      <vt:variant>
        <vt:i4>14</vt:i4>
      </vt:variant>
      <vt:variant>
        <vt:i4>0</vt:i4>
      </vt:variant>
      <vt:variant>
        <vt:i4>5</vt:i4>
      </vt:variant>
      <vt:variant>
        <vt:lpwstr/>
      </vt:variant>
      <vt:variant>
        <vt:lpwstr>_Toc341709936</vt:lpwstr>
      </vt:variant>
      <vt:variant>
        <vt:i4>1966139</vt:i4>
      </vt:variant>
      <vt:variant>
        <vt:i4>8</vt:i4>
      </vt:variant>
      <vt:variant>
        <vt:i4>0</vt:i4>
      </vt:variant>
      <vt:variant>
        <vt:i4>5</vt:i4>
      </vt:variant>
      <vt:variant>
        <vt:lpwstr/>
      </vt:variant>
      <vt:variant>
        <vt:lpwstr>_Toc341709935</vt:lpwstr>
      </vt:variant>
      <vt:variant>
        <vt:i4>1966139</vt:i4>
      </vt:variant>
      <vt:variant>
        <vt:i4>2</vt:i4>
      </vt:variant>
      <vt:variant>
        <vt:i4>0</vt:i4>
      </vt:variant>
      <vt:variant>
        <vt:i4>5</vt:i4>
      </vt:variant>
      <vt:variant>
        <vt:lpwstr/>
      </vt:variant>
      <vt:variant>
        <vt:lpwstr>_Toc341709934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creator>gratton lindy</dc:creator>
  <cp:lastModifiedBy>Geoscience Australia</cp:lastModifiedBy>
  <cp:revision>6</cp:revision>
  <cp:lastPrinted>2012-10-19T06:24:00Z</cp:lastPrinted>
  <dcterms:created xsi:type="dcterms:W3CDTF">2013-02-19T21:21:00Z</dcterms:created>
  <dcterms:modified xsi:type="dcterms:W3CDTF">2013-04-08T03:53:00Z</dcterms:modified>
</cp:coreProperties>
</file>