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1E0"/>
      </w:tblPr>
      <w:tblGrid>
        <w:gridCol w:w="4248"/>
        <w:gridCol w:w="4320"/>
        <w:gridCol w:w="6120"/>
      </w:tblGrid>
      <w:tr>
        <w:tc>
          <w:tcPr>
            <w:tcW w:w="4248" w:type="dxa"/>
          </w:tcPr>
          <w:p>
            <w:pPr>
              <w:spacing w:before="60" w:after="60"/>
              <w:rPr>
                <w:rFonts w:ascii="Arial" w:hAnsi="Arial" w:cs="Arial"/>
                <w:b/>
                <w:sz w:val="20"/>
                <w:szCs w:val="20"/>
              </w:rPr>
            </w:pPr>
            <w:r>
              <w:rPr>
                <w:rFonts w:ascii="Arial" w:hAnsi="Arial" w:cs="Arial"/>
                <w:b/>
                <w:sz w:val="20"/>
                <w:szCs w:val="20"/>
              </w:rPr>
              <w:t>Filename</w:t>
            </w:r>
          </w:p>
        </w:tc>
        <w:tc>
          <w:tcPr>
            <w:tcW w:w="4320" w:type="dxa"/>
          </w:tcPr>
          <w:p>
            <w:pPr>
              <w:spacing w:before="60" w:after="60"/>
              <w:rPr>
                <w:rFonts w:ascii="Arial" w:hAnsi="Arial" w:cs="Arial"/>
                <w:b/>
                <w:sz w:val="20"/>
                <w:szCs w:val="20"/>
              </w:rPr>
            </w:pPr>
            <w:r>
              <w:rPr>
                <w:rFonts w:ascii="Arial" w:hAnsi="Arial" w:cs="Arial"/>
                <w:b/>
                <w:sz w:val="20"/>
                <w:szCs w:val="20"/>
              </w:rPr>
              <w:t>Description</w:t>
            </w:r>
          </w:p>
        </w:tc>
        <w:tc>
          <w:tcPr>
            <w:tcW w:w="6120" w:type="dxa"/>
          </w:tcPr>
          <w:p>
            <w:pPr>
              <w:spacing w:before="60" w:after="60"/>
              <w:rPr>
                <w:rFonts w:ascii="Arial" w:hAnsi="Arial" w:cs="Arial"/>
                <w:b/>
                <w:sz w:val="20"/>
                <w:szCs w:val="20"/>
              </w:rPr>
            </w:pPr>
            <w:r>
              <w:rPr>
                <w:rFonts w:ascii="Arial" w:hAnsi="Arial" w:cs="Arial"/>
                <w:b/>
                <w:sz w:val="20"/>
                <w:szCs w:val="20"/>
              </w:rPr>
              <w:t>Citation</w:t>
            </w:r>
          </w:p>
        </w:tc>
      </w:tr>
      <w:tr>
        <w:tc>
          <w:tcPr>
            <w:tcW w:w="4248" w:type="dxa"/>
          </w:tcPr>
          <w:p>
            <w:pPr>
              <w:rPr>
                <w:rFonts w:ascii="Arial" w:hAnsi="Arial" w:cs="Arial"/>
                <w:sz w:val="20"/>
                <w:szCs w:val="20"/>
              </w:rPr>
            </w:pPr>
            <w:r>
              <w:rPr>
                <w:rFonts w:ascii="Arial" w:hAnsi="Arial" w:cs="Arial"/>
                <w:sz w:val="20"/>
                <w:szCs w:val="20"/>
              </w:rPr>
              <w:t>Lower_Macquarie_River_Report.pdf</w:t>
            </w:r>
          </w:p>
        </w:tc>
        <w:tc>
          <w:tcPr>
            <w:tcW w:w="4320" w:type="dxa"/>
          </w:tcPr>
          <w:p>
            <w:pPr>
              <w:autoSpaceDE w:val="0"/>
              <w:autoSpaceDN w:val="0"/>
              <w:adjustRightInd w:val="0"/>
              <w:rPr>
                <w:rFonts w:ascii="Arial" w:hAnsi="Arial" w:cs="Arial"/>
                <w:sz w:val="20"/>
                <w:szCs w:val="20"/>
              </w:rPr>
            </w:pPr>
            <w:r>
              <w:rPr>
                <w:rFonts w:ascii="Arial" w:hAnsi="Arial" w:cs="Arial"/>
                <w:sz w:val="20"/>
                <w:szCs w:val="20"/>
              </w:rPr>
              <w:t>Fugro Airborne Services (FAS) acquisition and processing report, Adobe Acrobat (PDF) format.</w:t>
            </w:r>
          </w:p>
          <w:p>
            <w:pPr>
              <w:autoSpaceDE w:val="0"/>
              <w:autoSpaceDN w:val="0"/>
              <w:adjustRightInd w:val="0"/>
              <w:rPr>
                <w:rFonts w:ascii="Arial" w:hAnsi="Arial" w:cs="Arial"/>
                <w:sz w:val="20"/>
                <w:szCs w:val="20"/>
              </w:rPr>
            </w:pPr>
          </w:p>
          <w:p>
            <w:pPr>
              <w:autoSpaceDE w:val="0"/>
              <w:autoSpaceDN w:val="0"/>
              <w:adjustRightInd w:val="0"/>
              <w:rPr>
                <w:rFonts w:ascii="Arial" w:hAnsi="Arial" w:cs="Arial"/>
                <w:sz w:val="20"/>
                <w:szCs w:val="20"/>
              </w:rPr>
            </w:pPr>
            <w:r>
              <w:rPr>
                <w:rFonts w:ascii="Arial" w:hAnsi="Arial" w:cs="Arial"/>
                <w:sz w:val="20"/>
                <w:szCs w:val="20"/>
              </w:rPr>
              <w:t xml:space="preserve">This report summarises the procedures and equipment used by FAS in the acquisition, verification and processing of TEMPEST airborne electromagnetic and magnetic survey data, over the Lower Macquarie River Project area in New South Wales. </w:t>
            </w:r>
          </w:p>
          <w:p>
            <w:pPr>
              <w:autoSpaceDE w:val="0"/>
              <w:autoSpaceDN w:val="0"/>
              <w:adjustRightInd w:val="0"/>
              <w:rPr>
                <w:rFonts w:ascii="Arial" w:hAnsi="Arial" w:cs="Arial"/>
                <w:sz w:val="20"/>
                <w:szCs w:val="20"/>
              </w:rPr>
            </w:pPr>
          </w:p>
        </w:tc>
        <w:tc>
          <w:tcPr>
            <w:tcW w:w="6120" w:type="dxa"/>
          </w:tcPr>
          <w:p>
            <w:pPr>
              <w:autoSpaceDE w:val="0"/>
              <w:autoSpaceDN w:val="0"/>
              <w:adjustRightInd w:val="0"/>
              <w:rPr>
                <w:rFonts w:ascii="Arial" w:hAnsi="Arial" w:cs="Arial"/>
                <w:sz w:val="20"/>
                <w:szCs w:val="20"/>
              </w:rPr>
            </w:pPr>
            <w:r>
              <w:rPr>
                <w:rFonts w:ascii="Arial" w:hAnsi="Arial" w:cs="Arial"/>
                <w:sz w:val="20"/>
                <w:szCs w:val="20"/>
              </w:rPr>
              <w:t xml:space="preserve">Noteboom, M., and Stenning, L., 2008. Lower Macquarie River Airborne Electromagnetic Mapping Survey Acquisition and Processing Report. </w:t>
            </w:r>
            <w:r>
              <w:rPr>
                <w:rFonts w:ascii="Arial" w:hAnsi="Arial" w:cs="Arial"/>
                <w:sz w:val="20"/>
                <w:szCs w:val="20"/>
              </w:rPr>
              <w:t>Fugro Airborne Surveys</w:t>
            </w:r>
            <w:r>
              <w:rPr>
                <w:rFonts w:ascii="Arial" w:hAnsi="Arial" w:cs="Arial"/>
                <w:sz w:val="20"/>
                <w:szCs w:val="20"/>
              </w:rPr>
              <w:t>,</w:t>
            </w:r>
            <w:r>
              <w:rPr>
                <w:rFonts w:ascii="Arial" w:hAnsi="Arial" w:cs="Arial"/>
                <w:sz w:val="20"/>
                <w:szCs w:val="20"/>
              </w:rPr>
              <w:t xml:space="preserve"> Floreat. WA</w:t>
            </w:r>
            <w:r>
              <w:rPr>
                <w:rFonts w:ascii="Arial" w:hAnsi="Arial" w:cs="Arial"/>
                <w:sz w:val="20"/>
                <w:szCs w:val="20"/>
              </w:rPr>
              <w:t xml:space="preserve">. </w:t>
            </w:r>
            <w:r>
              <w:rPr>
                <w:rFonts w:ascii="Arial" w:hAnsi="Arial" w:cs="Arial"/>
                <w:sz w:val="20"/>
                <w:szCs w:val="20"/>
              </w:rPr>
              <w:t xml:space="preserve"> </w:t>
            </w:r>
          </w:p>
          <w:p>
            <w:pPr>
              <w:autoSpaceDE w:val="0"/>
              <w:autoSpaceDN w:val="0"/>
              <w:adjustRightInd w:val="0"/>
              <w:rPr>
                <w:rFonts w:ascii="Arial" w:hAnsi="Arial" w:cs="Arial"/>
                <w:sz w:val="20"/>
                <w:szCs w:val="20"/>
              </w:rPr>
            </w:pPr>
          </w:p>
        </w:tc>
      </w:tr>
      <w:tr>
        <w:tc>
          <w:tcPr>
            <w:tcW w:w="4248" w:type="dxa"/>
          </w:tcPr>
          <w:p>
            <w:pPr>
              <w:rPr>
                <w:rFonts w:ascii="Arial" w:hAnsi="Arial" w:cs="Arial"/>
                <w:sz w:val="20"/>
                <w:szCs w:val="20"/>
              </w:rPr>
            </w:pPr>
            <w:r>
              <w:rPr>
                <w:rFonts w:ascii="Arial" w:hAnsi="Arial" w:cs="Arial"/>
                <w:sz w:val="20"/>
                <w:szCs w:val="20"/>
              </w:rPr>
              <w:t>LMR_GA_AEM_InversionReport.pdf</w:t>
            </w:r>
          </w:p>
        </w:tc>
        <w:tc>
          <w:tcPr>
            <w:tcW w:w="4320" w:type="dxa"/>
          </w:tcPr>
          <w:p>
            <w:pPr>
              <w:autoSpaceDE w:val="0"/>
              <w:autoSpaceDN w:val="0"/>
              <w:adjustRightInd w:val="0"/>
              <w:rPr>
                <w:rFonts w:ascii="Arial" w:hAnsi="Arial" w:cs="Arial"/>
                <w:sz w:val="20"/>
                <w:szCs w:val="20"/>
              </w:rPr>
            </w:pPr>
            <w:r>
              <w:rPr>
                <w:rFonts w:ascii="Arial" w:hAnsi="Arial" w:cs="Arial"/>
                <w:sz w:val="20"/>
                <w:szCs w:val="20"/>
              </w:rPr>
              <w:t>AEM Inversion report from Geoscience Australia, Adobe Acrobat (PDF) format.</w:t>
            </w:r>
          </w:p>
          <w:p>
            <w:pPr>
              <w:spacing w:after="120"/>
              <w:rPr>
                <w:rFonts w:ascii="Arial" w:hAnsi="Arial" w:cs="Arial"/>
                <w:sz w:val="20"/>
                <w:szCs w:val="20"/>
              </w:rPr>
            </w:pPr>
          </w:p>
          <w:p>
            <w:pPr>
              <w:spacing w:after="120"/>
              <w:rPr>
                <w:rFonts w:ascii="Arial" w:hAnsi="Arial" w:cs="Arial"/>
                <w:sz w:val="20"/>
                <w:szCs w:val="20"/>
              </w:rPr>
            </w:pPr>
            <w:r>
              <w:rPr>
                <w:rFonts w:ascii="Arial" w:hAnsi="Arial" w:cs="Arial"/>
                <w:sz w:val="20"/>
                <w:szCs w:val="20"/>
              </w:rPr>
              <w:t>This report describes the geophysical inversion of the Lower Macquarie River TEMPEST airborne electromagnetic (AEM) survey data to produce subsurface electrical conductivity predictions using a layered earth inversion algorithm developed by Geoscience Australia (GA-LEI). The inversion was calibrated against</w:t>
            </w:r>
            <w:r>
              <w:rPr>
                <w:rFonts w:ascii="Arial" w:hAnsi="Arial" w:cs="Arial"/>
                <w:sz w:val="20"/>
                <w:szCs w:val="20"/>
              </w:rPr>
              <w:t xml:space="preserve"> independent ground truth data (measurements of</w:t>
            </w:r>
            <w:r>
              <w:rPr>
                <w:rFonts w:ascii="Arial" w:hAnsi="Arial" w:cs="Arial"/>
                <w:sz w:val="20"/>
                <w:szCs w:val="20"/>
              </w:rPr>
              <w:t xml:space="preserve"> </w:t>
            </w:r>
            <w:r>
              <w:rPr>
                <w:rFonts w:ascii="Arial" w:hAnsi="Arial" w:cs="Arial"/>
                <w:sz w:val="20"/>
                <w:szCs w:val="20"/>
              </w:rPr>
              <w:t>conductivity acquired down boreholes) as a means of assessing the accuracy of the results.</w:t>
            </w:r>
            <w:r>
              <w:rPr>
                <w:rFonts w:ascii="Arial" w:hAnsi="Arial" w:cs="Arial"/>
                <w:sz w:val="20"/>
                <w:szCs w:val="20"/>
              </w:rPr>
              <w:t xml:space="preserve"> </w:t>
            </w:r>
            <w:r>
              <w:rPr>
                <w:rFonts w:ascii="Arial" w:hAnsi="Arial" w:cs="Arial"/>
                <w:sz w:val="20"/>
                <w:szCs w:val="20"/>
              </w:rPr>
              <w:t>Correlation between the GA-LEI predictions and borehole measured conductivities resulted in a</w:t>
            </w:r>
            <w:r>
              <w:rPr>
                <w:rFonts w:ascii="Arial" w:hAnsi="Arial" w:cs="Arial"/>
                <w:sz w:val="20"/>
                <w:szCs w:val="20"/>
              </w:rPr>
              <w:t xml:space="preserve"> </w:t>
            </w:r>
            <w:r>
              <w:rPr>
                <w:rFonts w:ascii="Arial" w:hAnsi="Arial" w:cs="Arial"/>
                <w:sz w:val="20"/>
                <w:szCs w:val="20"/>
              </w:rPr>
              <w:t>R</w:t>
            </w:r>
            <w:r>
              <w:rPr>
                <w:rFonts w:ascii="Arial" w:hAnsi="Arial" w:cs="Arial"/>
                <w:sz w:val="20"/>
                <w:szCs w:val="20"/>
                <w:vertAlign w:val="superscript"/>
              </w:rPr>
              <w:t>2</w:t>
            </w:r>
            <w:r>
              <w:rPr>
                <w:rFonts w:ascii="Arial" w:hAnsi="Arial" w:cs="Arial"/>
                <w:sz w:val="20"/>
                <w:szCs w:val="20"/>
              </w:rPr>
              <w:t xml:space="preserve"> value of 0.78.</w:t>
            </w:r>
          </w:p>
        </w:tc>
        <w:tc>
          <w:tcPr>
            <w:tcW w:w="6120" w:type="dxa"/>
          </w:tcPr>
          <w:p>
            <w:pPr>
              <w:spacing w:after="120"/>
              <w:rPr>
                <w:rFonts w:ascii="Arial" w:hAnsi="Arial" w:cs="Arial"/>
                <w:sz w:val="20"/>
                <w:szCs w:val="20"/>
              </w:rPr>
            </w:pPr>
            <w:r>
              <w:rPr>
                <w:rFonts w:ascii="Arial" w:hAnsi="Arial" w:cs="Arial"/>
                <w:sz w:val="20"/>
                <w:szCs w:val="20"/>
              </w:rPr>
              <w:t xml:space="preserve">Brodie, R. C., and Fisher, A., 2008. Inversion of Tempest AEM survey data, Lower Macquarie River, New South Wales. Unpublished Geoscience </w:t>
            </w:r>
            <w:smartTag w:uri="urn:schemas-microsoft-com:office:smarttags" w:element="country-region">
              <w:smartTag w:uri="urn:schemas-microsoft-com:office:smarttags" w:element="place">
                <w:r>
                  <w:rPr>
                    <w:rFonts w:ascii="Arial" w:hAnsi="Arial" w:cs="Arial"/>
                    <w:sz w:val="20"/>
                    <w:szCs w:val="20"/>
                  </w:rPr>
                  <w:t>Australia</w:t>
                </w:r>
              </w:smartTag>
            </w:smartTag>
            <w:r>
              <w:rPr>
                <w:rFonts w:ascii="Arial" w:hAnsi="Arial" w:cs="Arial"/>
                <w:sz w:val="20"/>
                <w:szCs w:val="20"/>
              </w:rPr>
              <w:t xml:space="preserve"> report to the Bureau of Rural Sciences.</w:t>
            </w:r>
          </w:p>
        </w:tc>
      </w:tr>
    </w:tbl>
    <w:p>
      <w:pPr>
        <w:pStyle w:val="Default"/>
        <w:rPr>
          <w:rFonts w:cs="Times New Roman"/>
          <w:color w:val="auto"/>
        </w:rPr>
      </w:pPr>
    </w:p>
    <w:p/>
    <w:sectPr>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stylePaneFormatFilter w:val="3F01"/>
  <w:defaultTabStop w:val="720"/>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paragraph" w:styleId="NormalWeb">
    <w:name w:val="Normal (Web)"/>
    <w:basedOn w:val="Normal"/>
    <w:pPr>
      <w:spacing w:before="100" w:beforeAutospacing="1" w:after="100" w:afterAutospacing="1"/>
    </w:p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97799132">
      <w:bodyDiv w:val="1"/>
      <w:marLeft w:val="0"/>
      <w:marRight w:val="0"/>
      <w:marTop w:val="0"/>
      <w:marBottom w:val="0"/>
      <w:divBdr>
        <w:top w:val="none" w:sz="0" w:space="0" w:color="auto"/>
        <w:left w:val="none" w:sz="0" w:space="0" w:color="auto"/>
        <w:bottom w:val="none" w:sz="0" w:space="0" w:color="auto"/>
        <w:right w:val="none" w:sz="0" w:space="0" w:color="auto"/>
      </w:divBdr>
    </w:div>
    <w:div w:id="655913253">
      <w:bodyDiv w:val="1"/>
      <w:marLeft w:val="0"/>
      <w:marRight w:val="0"/>
      <w:marTop w:val="0"/>
      <w:marBottom w:val="0"/>
      <w:divBdr>
        <w:top w:val="none" w:sz="0" w:space="0" w:color="auto"/>
        <w:left w:val="none" w:sz="0" w:space="0" w:color="auto"/>
        <w:bottom w:val="none" w:sz="0" w:space="0" w:color="auto"/>
        <w:right w:val="none" w:sz="0" w:space="0" w:color="auto"/>
      </w:divBdr>
    </w:div>
    <w:div w:id="915437514">
      <w:bodyDiv w:val="1"/>
      <w:marLeft w:val="0"/>
      <w:marRight w:val="0"/>
      <w:marTop w:val="0"/>
      <w:marBottom w:val="0"/>
      <w:divBdr>
        <w:top w:val="none" w:sz="0" w:space="0" w:color="auto"/>
        <w:left w:val="none" w:sz="0" w:space="0" w:color="auto"/>
        <w:bottom w:val="none" w:sz="0" w:space="0" w:color="auto"/>
        <w:right w:val="none" w:sz="0" w:space="0" w:color="auto"/>
      </w:divBdr>
    </w:div>
    <w:div w:id="1597638786">
      <w:bodyDiv w:val="1"/>
      <w:marLeft w:val="0"/>
      <w:marRight w:val="0"/>
      <w:marTop w:val="0"/>
      <w:marBottom w:val="0"/>
      <w:divBdr>
        <w:top w:val="none" w:sz="0" w:space="0" w:color="auto"/>
        <w:left w:val="none" w:sz="0" w:space="0" w:color="auto"/>
        <w:bottom w:val="none" w:sz="0" w:space="0" w:color="auto"/>
        <w:right w:val="none" w:sz="0" w:space="0" w:color="auto"/>
      </w:divBdr>
    </w:div>
    <w:div w:id="20515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Department of Agriculture Fisheries &amp; Forestry</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Mullen Ian</dc:creator>
  <cp:keywords/>
  <dc:description/>
  <cp:lastModifiedBy>mullen ian</cp:lastModifiedBy>
  <cp:revision>7</cp:revision>
  <cp:lastPrinted>2008-10-24T00:16:00Z</cp:lastPrinted>
  <dcterms:created xsi:type="dcterms:W3CDTF">2011-06-13T19:38:00Z</dcterms:created>
  <dcterms:modified xsi:type="dcterms:W3CDTF">2011-06-13T19:45:00Z</dcterms:modified>
</cp:coreProperties>
</file>