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93401" w:rsidRPr="003A2F94" w:rsidRDefault="00C93401" w:rsidP="00C93401">
      <w:pPr>
        <w:pStyle w:val="Documenttitle"/>
      </w:pPr>
      <w:bookmarkStart w:id="0" w:name="_Toc336954869"/>
      <w:bookmarkStart w:id="1" w:name="_Toc338237913"/>
      <w:bookmarkStart w:id="2" w:name="_Toc338241821"/>
      <w:bookmarkStart w:id="3" w:name="_Toc337187886"/>
      <w:bookmarkStart w:id="4" w:name="_Toc339264171"/>
      <w:bookmarkStart w:id="5" w:name="_Toc339267768"/>
      <w:bookmarkStart w:id="6" w:name="_Toc341096061"/>
      <w:bookmarkStart w:id="7" w:name="_Toc341273560"/>
      <w:bookmarkStart w:id="8" w:name="_Toc341274345"/>
      <w:bookmarkStart w:id="9" w:name="_Toc347821383"/>
      <w:bookmarkStart w:id="10" w:name="_Toc347836624"/>
      <w:bookmarkStart w:id="11" w:name="_Toc353281996"/>
      <w:bookmarkStart w:id="12" w:name="_Toc353365102"/>
      <w:r w:rsidRPr="003A2F94">
        <w:t>An Assessment of the Impact of the 34</w:t>
      </w:r>
      <w:r w:rsidRPr="00CF07C2">
        <w:rPr>
          <w:rStyle w:val="Superscript"/>
        </w:rPr>
        <w:t>th</w:t>
      </w:r>
      <w:r w:rsidRPr="003A2F94">
        <w:t xml:space="preserve"> International Geological Congres</w:t>
      </w:r>
      <w:bookmarkEnd w:id="0"/>
      <w:bookmarkEnd w:id="1"/>
      <w:bookmarkEnd w:id="2"/>
      <w:r w:rsidRPr="003A2F94">
        <w:t xml:space="preserve">s (IGC) </w:t>
      </w:r>
      <w:bookmarkEnd w:id="3"/>
      <w:bookmarkEnd w:id="4"/>
      <w:bookmarkEnd w:id="5"/>
      <w:r w:rsidRPr="003A2F94">
        <w:t>on Australia</w:t>
      </w:r>
      <w:bookmarkEnd w:id="6"/>
      <w:bookmarkEnd w:id="7"/>
      <w:bookmarkEnd w:id="8"/>
      <w:bookmarkEnd w:id="9"/>
      <w:bookmarkEnd w:id="10"/>
      <w:bookmarkEnd w:id="11"/>
      <w:bookmarkEnd w:id="12"/>
    </w:p>
    <w:p w:rsidR="00C93401" w:rsidRPr="003A2F94" w:rsidRDefault="00C93401" w:rsidP="00C93401">
      <w:pPr>
        <w:pStyle w:val="Record"/>
      </w:pPr>
      <w:bookmarkStart w:id="13" w:name="_Toc336954870"/>
      <w:bookmarkStart w:id="14" w:name="_Toc337187887"/>
      <w:bookmarkStart w:id="15" w:name="_Toc338237914"/>
      <w:bookmarkStart w:id="16" w:name="_Toc338241822"/>
      <w:bookmarkStart w:id="17" w:name="_Toc339264172"/>
      <w:bookmarkStart w:id="18" w:name="_Toc339267769"/>
      <w:bookmarkStart w:id="19" w:name="_Toc341096062"/>
      <w:bookmarkStart w:id="20" w:name="_Toc341273561"/>
      <w:bookmarkStart w:id="21" w:name="_Toc341274346"/>
      <w:bookmarkStart w:id="22" w:name="_Toc346284386"/>
      <w:bookmarkStart w:id="23" w:name="_Toc347821384"/>
      <w:bookmarkStart w:id="24" w:name="_Toc347836625"/>
      <w:bookmarkStart w:id="25" w:name="_Toc353281997"/>
      <w:bookmarkStart w:id="26" w:name="_Toc353365103"/>
      <w:r w:rsidRPr="003A2F94">
        <w:t>Geoscience Australia</w:t>
      </w:r>
      <w:bookmarkEnd w:id="13"/>
      <w:bookmarkEnd w:id="14"/>
      <w:bookmarkEnd w:id="15"/>
      <w:bookmarkEnd w:id="16"/>
      <w:bookmarkEnd w:id="17"/>
      <w:bookmarkEnd w:id="18"/>
      <w:bookmarkEnd w:id="19"/>
      <w:bookmarkEnd w:id="20"/>
      <w:bookmarkEnd w:id="21"/>
      <w:bookmarkEnd w:id="22"/>
      <w:bookmarkEnd w:id="23"/>
      <w:bookmarkEnd w:id="24"/>
      <w:bookmarkEnd w:id="25"/>
      <w:bookmarkEnd w:id="26"/>
    </w:p>
    <w:p w:rsidR="00C93401" w:rsidRDefault="00C93401" w:rsidP="00C93401">
      <w:pPr>
        <w:pStyle w:val="Record"/>
      </w:pPr>
      <w:bookmarkStart w:id="27" w:name="_Toc336954871"/>
      <w:bookmarkStart w:id="28" w:name="_Toc337187888"/>
      <w:bookmarkStart w:id="29" w:name="_Toc338237915"/>
      <w:bookmarkStart w:id="30" w:name="_Toc338241823"/>
      <w:bookmarkStart w:id="31" w:name="_Toc338851221"/>
      <w:bookmarkStart w:id="32" w:name="_Toc339264173"/>
      <w:bookmarkStart w:id="33" w:name="_Toc339267770"/>
      <w:bookmarkStart w:id="34" w:name="_Toc341096063"/>
      <w:bookmarkStart w:id="35" w:name="_Toc341273562"/>
      <w:bookmarkStart w:id="36" w:name="_Toc341274347"/>
      <w:bookmarkStart w:id="37" w:name="_Toc346284387"/>
      <w:bookmarkStart w:id="38" w:name="_Toc347821385"/>
      <w:bookmarkStart w:id="39" w:name="_Toc347836626"/>
      <w:bookmarkStart w:id="40" w:name="_Toc353281998"/>
      <w:bookmarkStart w:id="41" w:name="_Toc353365104"/>
      <w:r w:rsidRPr="003A2F94">
        <w:t>Record 2012/</w:t>
      </w:r>
      <w:bookmarkEnd w:id="27"/>
      <w:bookmarkEnd w:id="28"/>
      <w:bookmarkEnd w:id="29"/>
      <w:bookmarkEnd w:id="30"/>
      <w:bookmarkEnd w:id="31"/>
      <w:bookmarkEnd w:id="32"/>
      <w:bookmarkEnd w:id="33"/>
      <w:bookmarkEnd w:id="34"/>
      <w:bookmarkEnd w:id="35"/>
      <w:bookmarkEnd w:id="36"/>
      <w:r w:rsidRPr="003A2F94">
        <w:t>78</w:t>
      </w:r>
      <w:bookmarkEnd w:id="37"/>
      <w:bookmarkEnd w:id="38"/>
      <w:bookmarkEnd w:id="39"/>
      <w:bookmarkEnd w:id="40"/>
      <w:bookmarkEnd w:id="41"/>
    </w:p>
    <w:p w:rsidR="00C93401" w:rsidRPr="00DF4475" w:rsidRDefault="00C93401" w:rsidP="00C93401">
      <w:pPr>
        <w:pStyle w:val="Authors"/>
      </w:pPr>
      <w:r w:rsidRPr="00DF4475">
        <w:t>H. Dulfer, M. Haynes, A. Hill</w:t>
      </w:r>
      <w:r>
        <w:t>, F.J.F. Howard, W. Jiang, V. Miller, R. Norman, R. Romeyn and I</w:t>
      </w:r>
      <w:r w:rsidR="00192E38">
        <w:t>.</w:t>
      </w:r>
      <w:r w:rsidR="00142A45">
        <w:t> </w:t>
      </w:r>
      <w:r>
        <w:t>Schroder.</w:t>
      </w:r>
    </w:p>
    <w:p w:rsidR="00C93401" w:rsidRDefault="00356CC4" w:rsidP="00C93401">
      <w:r>
        <w:rPr>
          <w:noProof/>
        </w:rPr>
        <w:drawing>
          <wp:inline distT="0" distB="0" distL="0" distR="0" wp14:anchorId="7AC1F169" wp14:editId="7D5744EC">
            <wp:extent cx="2552065" cy="743585"/>
            <wp:effectExtent l="0" t="0" r="635" b="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52065" cy="743585"/>
                    </a:xfrm>
                    <a:prstGeom prst="rect">
                      <a:avLst/>
                    </a:prstGeom>
                    <a:noFill/>
                    <a:ln>
                      <a:noFill/>
                    </a:ln>
                  </pic:spPr>
                </pic:pic>
              </a:graphicData>
            </a:graphic>
          </wp:inline>
        </w:drawing>
      </w:r>
    </w:p>
    <w:p w:rsidR="00356CC4" w:rsidRPr="00710117" w:rsidRDefault="00356CC4" w:rsidP="00356CC4">
      <w:pPr>
        <w:pStyle w:val="VersoBoldPgB4"/>
      </w:pPr>
      <w:r w:rsidRPr="00AD2347">
        <w:lastRenderedPageBreak/>
        <w:t>Department</w:t>
      </w:r>
      <w:r w:rsidRPr="00710117">
        <w:t xml:space="preserve"> of Resources, Energy and Tourism</w:t>
      </w:r>
    </w:p>
    <w:p w:rsidR="00356CC4" w:rsidRPr="00A32A11" w:rsidRDefault="00356CC4" w:rsidP="00356CC4">
      <w:pPr>
        <w:pStyle w:val="Versopageinfo"/>
      </w:pPr>
      <w:r w:rsidRPr="00661A73">
        <w:t xml:space="preserve">Minister for Resources and Energy: </w:t>
      </w:r>
      <w:r w:rsidRPr="00692160">
        <w:t>The Hon Gary Gray AO MP</w:t>
      </w:r>
      <w:r>
        <w:br/>
      </w:r>
      <w:r w:rsidRPr="00661A73">
        <w:t>Secretary</w:t>
      </w:r>
      <w:r w:rsidRPr="00A32A11">
        <w:t xml:space="preserve">: Mr </w:t>
      </w:r>
      <w:r>
        <w:t>Blair Comley, PSM</w:t>
      </w:r>
    </w:p>
    <w:p w:rsidR="00356CC4" w:rsidRDefault="00356CC4" w:rsidP="00356CC4">
      <w:pPr>
        <w:pStyle w:val="VersoBold"/>
      </w:pPr>
      <w:r>
        <w:t>Geoscience Australia</w:t>
      </w:r>
    </w:p>
    <w:p w:rsidR="00356CC4" w:rsidRDefault="00356CC4" w:rsidP="00356CC4">
      <w:pPr>
        <w:pStyle w:val="Versopageinfo"/>
      </w:pPr>
      <w:r>
        <w:t>Chief Executive Officer: Dr Chris Pigram</w:t>
      </w:r>
      <w:r>
        <w:br/>
        <w:t>This paper is published with the permission of the CEO, Geoscience Australia</w:t>
      </w:r>
    </w:p>
    <w:p w:rsidR="00356CC4" w:rsidRDefault="00356CC4" w:rsidP="00356CC4">
      <w:pPr>
        <w:pStyle w:val="Figuresandimagesleft"/>
      </w:pPr>
      <w:r>
        <w:rPr>
          <w:noProof/>
        </w:rPr>
        <w:drawing>
          <wp:inline distT="0" distB="0" distL="0" distR="0" wp14:anchorId="17FC14A3" wp14:editId="3CB07147">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356CC4" w:rsidRDefault="00356CC4" w:rsidP="00356CC4">
      <w:pPr>
        <w:pStyle w:val="Versopageinfo"/>
      </w:pPr>
      <w:r>
        <w:t>© Commonwealth of Australia (Geoscience Australia) 2013</w:t>
      </w:r>
    </w:p>
    <w:p w:rsidR="00356CC4" w:rsidRDefault="00356CC4" w:rsidP="00356CC4">
      <w:pPr>
        <w:pStyle w:val="Versopageinfo"/>
      </w:pPr>
      <w:r>
        <w:t>With the exception of the Commonwealth Coat of Arms and where otherwise noted, all material in this publication is provided under a Creative Commons Attribution 3.0 Australia Licence. (</w:t>
      </w:r>
      <w:hyperlink r:id="rId11" w:tooltip="Link to Creative Commons website" w:history="1">
        <w:r w:rsidRPr="002E4BF6">
          <w:rPr>
            <w:rStyle w:val="Hyperlink"/>
          </w:rPr>
          <w:t>http://www.creativecommons.org/licenses/by/3.0/au/deed.en</w:t>
        </w:r>
      </w:hyperlink>
      <w:r>
        <w:t>)</w:t>
      </w:r>
    </w:p>
    <w:p w:rsidR="00356CC4" w:rsidRDefault="00356CC4" w:rsidP="00356CC4">
      <w:pPr>
        <w:pStyle w:val="Versopageinfo"/>
      </w:pPr>
      <w:r>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356CC4" w:rsidRDefault="00356CC4" w:rsidP="00356CC4">
      <w:pPr>
        <w:pStyle w:val="Versopageinfo"/>
      </w:pPr>
      <w:r>
        <w:t xml:space="preserve">Geoscience Australia is committed to providing web accessible content wherever possible. If you are having difficulties with accessing this document please contact </w:t>
      </w:r>
      <w:hyperlink r:id="rId12" w:tooltip="Email Geoscience Australia" w:history="1">
        <w:r w:rsidRPr="003726DC">
          <w:rPr>
            <w:rStyle w:val="Hyperlink"/>
          </w:rPr>
          <w:t>feedback@ga.gov.au</w:t>
        </w:r>
      </w:hyperlink>
      <w:r w:rsidRPr="003726DC">
        <w:t>.</w:t>
      </w:r>
    </w:p>
    <w:p w:rsidR="00356CC4" w:rsidRPr="00661A73" w:rsidRDefault="00356CC4" w:rsidP="00356CC4">
      <w:pPr>
        <w:pStyle w:val="VersoBold"/>
      </w:pPr>
      <w:r>
        <w:t>ISSN 2201-702X (PDF)</w:t>
      </w:r>
    </w:p>
    <w:p w:rsidR="00356CC4" w:rsidRPr="00661A73" w:rsidRDefault="009376C8" w:rsidP="00356CC4">
      <w:pPr>
        <w:pStyle w:val="VersoBold"/>
      </w:pPr>
      <w:r>
        <w:t>ISBN 978-1-922201-16-4</w:t>
      </w:r>
      <w:bookmarkStart w:id="42" w:name="_GoBack"/>
      <w:bookmarkEnd w:id="42"/>
      <w:r>
        <w:t xml:space="preserve"> (PDF)</w:t>
      </w:r>
    </w:p>
    <w:p w:rsidR="00356CC4" w:rsidRPr="00F77E2B" w:rsidRDefault="00356CC4" w:rsidP="00356CC4">
      <w:pPr>
        <w:pStyle w:val="VersoBold"/>
      </w:pPr>
      <w:r w:rsidRPr="00661A73">
        <w:t>GeoCat</w:t>
      </w:r>
      <w:r w:rsidRPr="00F77E2B">
        <w:t xml:space="preserve"> </w:t>
      </w:r>
      <w:r w:rsidR="00F92A67">
        <w:t>74796</w:t>
      </w:r>
    </w:p>
    <w:p w:rsidR="00F92A67" w:rsidRPr="008461A5" w:rsidRDefault="00F92A67" w:rsidP="00F92A67">
      <w:pPr>
        <w:pStyle w:val="Bibliography"/>
      </w:pPr>
      <w:r w:rsidRPr="00356CC4">
        <w:rPr>
          <w:rStyle w:val="Bold"/>
        </w:rPr>
        <w:t>Bibliographic reference</w:t>
      </w:r>
      <w:r w:rsidRPr="00B365EA">
        <w:t xml:space="preserve">: </w:t>
      </w:r>
      <w:r w:rsidRPr="008461A5">
        <w:t>Dulfer,</w:t>
      </w:r>
      <w:r>
        <w:t> H</w:t>
      </w:r>
      <w:r w:rsidRPr="008461A5">
        <w:t>.</w:t>
      </w:r>
      <w:r>
        <w:t>,</w:t>
      </w:r>
      <w:r w:rsidRPr="008461A5">
        <w:t xml:space="preserve"> Haynes,</w:t>
      </w:r>
      <w:r>
        <w:t> M.,</w:t>
      </w:r>
      <w:r w:rsidRPr="008461A5">
        <w:t xml:space="preserve"> Hill,</w:t>
      </w:r>
      <w:r>
        <w:t> A</w:t>
      </w:r>
      <w:r w:rsidRPr="008461A5">
        <w:t>.</w:t>
      </w:r>
      <w:r>
        <w:t>,</w:t>
      </w:r>
      <w:r w:rsidRPr="008461A5">
        <w:t xml:space="preserve"> Howard,</w:t>
      </w:r>
      <w:r>
        <w:t> F</w:t>
      </w:r>
      <w:r w:rsidRPr="008461A5">
        <w:t>.</w:t>
      </w:r>
      <w:r>
        <w:t>,</w:t>
      </w:r>
      <w:r w:rsidRPr="008461A5">
        <w:t xml:space="preserve"> Jiang,</w:t>
      </w:r>
      <w:r>
        <w:t> W</w:t>
      </w:r>
      <w:r w:rsidRPr="008461A5">
        <w:t>.</w:t>
      </w:r>
      <w:r>
        <w:t>,</w:t>
      </w:r>
      <w:r w:rsidRPr="008461A5">
        <w:t xml:space="preserve"> Miller,</w:t>
      </w:r>
      <w:r>
        <w:t> V</w:t>
      </w:r>
      <w:r w:rsidRPr="008461A5">
        <w:t>.</w:t>
      </w:r>
      <w:r>
        <w:t>,</w:t>
      </w:r>
      <w:r w:rsidRPr="008461A5">
        <w:t xml:space="preserve"> Norman,</w:t>
      </w:r>
      <w:r>
        <w:t> </w:t>
      </w:r>
      <w:r w:rsidRPr="008461A5">
        <w:t>R.</w:t>
      </w:r>
      <w:r>
        <w:t>,</w:t>
      </w:r>
      <w:r w:rsidRPr="008461A5">
        <w:t xml:space="preserve"> Romeyn</w:t>
      </w:r>
      <w:r>
        <w:t xml:space="preserve"> R. </w:t>
      </w:r>
      <w:r w:rsidRPr="008461A5">
        <w:t>and Schroder</w:t>
      </w:r>
      <w:r>
        <w:t xml:space="preserve">, I., 2013, </w:t>
      </w:r>
      <w:r w:rsidRPr="00F92A67">
        <w:rPr>
          <w:rStyle w:val="Italic"/>
        </w:rPr>
        <w:t>An Assessment of the Impact of the 34th International Geological Congress (IGC) on Australia</w:t>
      </w:r>
      <w:r>
        <w:t>. Record 201</w:t>
      </w:r>
      <w:r w:rsidR="00FC5014">
        <w:t>2</w:t>
      </w:r>
      <w:r>
        <w:t>/</w:t>
      </w:r>
      <w:r w:rsidR="00FC5014">
        <w:t>78</w:t>
      </w:r>
      <w:r>
        <w:t>. Geoscience Australia: Canberra.</w:t>
      </w:r>
    </w:p>
    <w:p w:rsidR="00EF6B0B" w:rsidRDefault="00356CC4" w:rsidP="00EF6B0B">
      <w:pPr>
        <w:pStyle w:val="Versopageinfo"/>
      </w:pPr>
      <w:r>
        <w:t>Current as at April 2, 2013</w:t>
      </w:r>
      <w:bookmarkStart w:id="43" w:name="_Toc336954872"/>
      <w:bookmarkStart w:id="44" w:name="_Toc338237916"/>
      <w:bookmarkStart w:id="45" w:name="_Toc338241824"/>
      <w:bookmarkStart w:id="46" w:name="_Toc338851222"/>
      <w:bookmarkStart w:id="47" w:name="_Toc339264174"/>
      <w:bookmarkStart w:id="48" w:name="_Toc339267771"/>
      <w:bookmarkStart w:id="49" w:name="_Toc341273563"/>
      <w:bookmarkStart w:id="50" w:name="_Toc341274348"/>
      <w:bookmarkStart w:id="51" w:name="_Toc346284388"/>
      <w:bookmarkStart w:id="52" w:name="_Toc347821386"/>
      <w:bookmarkStart w:id="53" w:name="_Toc347836627"/>
      <w:bookmarkStart w:id="54" w:name="_Toc353281999"/>
    </w:p>
    <w:p w:rsidR="00EF6B0B" w:rsidRDefault="00EF6B0B" w:rsidP="00EF6B0B">
      <w:pPr>
        <w:pStyle w:val="BodyText"/>
        <w:sectPr w:rsidR="00EF6B0B" w:rsidSect="00EF6B0B">
          <w:pgSz w:w="11907" w:h="16840" w:code="9"/>
          <w:pgMar w:top="1985" w:right="1134" w:bottom="1134" w:left="1701" w:header="720" w:footer="397" w:gutter="0"/>
          <w:pgNumType w:fmt="lowerRoman" w:start="1"/>
          <w:cols w:space="720"/>
        </w:sectPr>
      </w:pPr>
    </w:p>
    <w:p w:rsidR="00FC5014" w:rsidRDefault="00C93401" w:rsidP="00EF6B0B">
      <w:pPr>
        <w:pStyle w:val="TOCHeading"/>
      </w:pPr>
      <w:r>
        <w:lastRenderedPageBreak/>
        <w:t>Content</w:t>
      </w:r>
      <w:bookmarkEnd w:id="43"/>
      <w:bookmarkEnd w:id="44"/>
      <w:bookmarkEnd w:id="45"/>
      <w:bookmarkEnd w:id="46"/>
      <w:bookmarkEnd w:id="47"/>
      <w:bookmarkEnd w:id="48"/>
      <w:bookmarkEnd w:id="49"/>
      <w:bookmarkEnd w:id="50"/>
      <w:bookmarkEnd w:id="51"/>
      <w:bookmarkEnd w:id="52"/>
      <w:bookmarkEnd w:id="53"/>
      <w:bookmarkEnd w:id="54"/>
      <w:r w:rsidR="00FC5014">
        <w:t>s</w:t>
      </w:r>
      <w:bookmarkStart w:id="55" w:name="_Toc336954873"/>
      <w:bookmarkStart w:id="56" w:name="_Toc339264175"/>
      <w:bookmarkStart w:id="57" w:name="_Toc346284389"/>
      <w:bookmarkStart w:id="58" w:name="_Toc353282000"/>
    </w:p>
    <w:p w:rsidR="00070CA7" w:rsidRDefault="002507CC">
      <w:pPr>
        <w:pStyle w:val="TOC1"/>
        <w:rPr>
          <w:rFonts w:asciiTheme="minorHAnsi" w:eastAsiaTheme="minorEastAsia" w:hAnsiTheme="minorHAnsi" w:cstheme="minorBidi"/>
          <w:sz w:val="22"/>
          <w:szCs w:val="22"/>
        </w:rPr>
      </w:pPr>
      <w:r>
        <w:fldChar w:fldCharType="begin"/>
      </w:r>
      <w:r>
        <w:instrText xml:space="preserve"> TOC \o "5-5" \h \z \t "Heading 1,1,Heading 2,2,Heading 3,3,Heading 4,4,Contents heading,1,Heading 1 - Not numbered,1,Heading 2 - Not Numbered,2,Heading 3 after table,3,Heading 2 after table,2,Head 1 no numbers,1,Head 2 no numbers,2,Head 3 no numbers,3,Head 4 no numbers,4" </w:instrText>
      </w:r>
      <w:r>
        <w:fldChar w:fldCharType="separate"/>
      </w:r>
      <w:hyperlink w:anchor="_Toc355274212" w:history="1">
        <w:r w:rsidR="00070CA7" w:rsidRPr="00994631">
          <w:rPr>
            <w:rStyle w:val="Hyperlink"/>
          </w:rPr>
          <w:t>Executive Summary</w:t>
        </w:r>
        <w:r w:rsidR="00070CA7">
          <w:rPr>
            <w:webHidden/>
          </w:rPr>
          <w:tab/>
        </w:r>
        <w:r w:rsidR="00070CA7">
          <w:rPr>
            <w:webHidden/>
          </w:rPr>
          <w:fldChar w:fldCharType="begin"/>
        </w:r>
        <w:r w:rsidR="00070CA7">
          <w:rPr>
            <w:webHidden/>
          </w:rPr>
          <w:instrText xml:space="preserve"> PAGEREF _Toc355274212 \h </w:instrText>
        </w:r>
        <w:r w:rsidR="00070CA7">
          <w:rPr>
            <w:webHidden/>
          </w:rPr>
        </w:r>
        <w:r w:rsidR="00070CA7">
          <w:rPr>
            <w:webHidden/>
          </w:rPr>
          <w:fldChar w:fldCharType="separate"/>
        </w:r>
        <w:r w:rsidR="00070CA7">
          <w:rPr>
            <w:webHidden/>
          </w:rPr>
          <w:t>1</w:t>
        </w:r>
        <w:r w:rsidR="00070CA7">
          <w:rPr>
            <w:webHidden/>
          </w:rPr>
          <w:fldChar w:fldCharType="end"/>
        </w:r>
      </w:hyperlink>
    </w:p>
    <w:p w:rsidR="00070CA7" w:rsidRDefault="009376C8">
      <w:pPr>
        <w:pStyle w:val="TOC1"/>
        <w:rPr>
          <w:rFonts w:asciiTheme="minorHAnsi" w:eastAsiaTheme="minorEastAsia" w:hAnsiTheme="minorHAnsi" w:cstheme="minorBidi"/>
          <w:sz w:val="22"/>
          <w:szCs w:val="22"/>
        </w:rPr>
      </w:pPr>
      <w:hyperlink w:anchor="_Toc355274213" w:history="1">
        <w:r w:rsidR="00070CA7" w:rsidRPr="00994631">
          <w:rPr>
            <w:rStyle w:val="Hyperlink"/>
          </w:rPr>
          <w:t>1. Introduction</w:t>
        </w:r>
        <w:r w:rsidR="00070CA7">
          <w:rPr>
            <w:webHidden/>
          </w:rPr>
          <w:tab/>
        </w:r>
        <w:r w:rsidR="00070CA7">
          <w:rPr>
            <w:webHidden/>
          </w:rPr>
          <w:fldChar w:fldCharType="begin"/>
        </w:r>
        <w:r w:rsidR="00070CA7">
          <w:rPr>
            <w:webHidden/>
          </w:rPr>
          <w:instrText xml:space="preserve"> PAGEREF _Toc355274213 \h </w:instrText>
        </w:r>
        <w:r w:rsidR="00070CA7">
          <w:rPr>
            <w:webHidden/>
          </w:rPr>
        </w:r>
        <w:r w:rsidR="00070CA7">
          <w:rPr>
            <w:webHidden/>
          </w:rPr>
          <w:fldChar w:fldCharType="separate"/>
        </w:r>
        <w:r w:rsidR="00070CA7">
          <w:rPr>
            <w:webHidden/>
          </w:rPr>
          <w:t>3</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14" w:history="1">
        <w:r w:rsidR="00070CA7" w:rsidRPr="00994631">
          <w:rPr>
            <w:rStyle w:val="Hyperlink"/>
          </w:rPr>
          <w:t>1.1. The International Geological Congress</w:t>
        </w:r>
        <w:r w:rsidR="00070CA7">
          <w:rPr>
            <w:webHidden/>
          </w:rPr>
          <w:tab/>
        </w:r>
        <w:r w:rsidR="00070CA7">
          <w:rPr>
            <w:webHidden/>
          </w:rPr>
          <w:fldChar w:fldCharType="begin"/>
        </w:r>
        <w:r w:rsidR="00070CA7">
          <w:rPr>
            <w:webHidden/>
          </w:rPr>
          <w:instrText xml:space="preserve"> PAGEREF _Toc355274214 \h </w:instrText>
        </w:r>
        <w:r w:rsidR="00070CA7">
          <w:rPr>
            <w:webHidden/>
          </w:rPr>
        </w:r>
        <w:r w:rsidR="00070CA7">
          <w:rPr>
            <w:webHidden/>
          </w:rPr>
          <w:fldChar w:fldCharType="separate"/>
        </w:r>
        <w:r w:rsidR="00070CA7">
          <w:rPr>
            <w:webHidden/>
          </w:rPr>
          <w:t>3</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15" w:history="1">
        <w:r w:rsidR="00070CA7" w:rsidRPr="00994631">
          <w:rPr>
            <w:rStyle w:val="Hyperlink"/>
          </w:rPr>
          <w:t>1.2. Australia’s Bid for the International Geological Congress</w:t>
        </w:r>
        <w:r w:rsidR="00070CA7">
          <w:rPr>
            <w:webHidden/>
          </w:rPr>
          <w:tab/>
        </w:r>
        <w:r w:rsidR="00070CA7">
          <w:rPr>
            <w:webHidden/>
          </w:rPr>
          <w:fldChar w:fldCharType="begin"/>
        </w:r>
        <w:r w:rsidR="00070CA7">
          <w:rPr>
            <w:webHidden/>
          </w:rPr>
          <w:instrText xml:space="preserve"> PAGEREF _Toc355274215 \h </w:instrText>
        </w:r>
        <w:r w:rsidR="00070CA7">
          <w:rPr>
            <w:webHidden/>
          </w:rPr>
        </w:r>
        <w:r w:rsidR="00070CA7">
          <w:rPr>
            <w:webHidden/>
          </w:rPr>
          <w:fldChar w:fldCharType="separate"/>
        </w:r>
        <w:r w:rsidR="00070CA7">
          <w:rPr>
            <w:webHidden/>
          </w:rPr>
          <w:t>3</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16" w:history="1">
        <w:r w:rsidR="00070CA7" w:rsidRPr="00994631">
          <w:rPr>
            <w:rStyle w:val="Hyperlink"/>
          </w:rPr>
          <w:t>1.3. The 34</w:t>
        </w:r>
        <w:r w:rsidR="00070CA7" w:rsidRPr="00994631">
          <w:rPr>
            <w:rStyle w:val="Hyperlink"/>
            <w:vertAlign w:val="superscript"/>
          </w:rPr>
          <w:t>th</w:t>
        </w:r>
        <w:r w:rsidR="00070CA7" w:rsidRPr="00994631">
          <w:rPr>
            <w:rStyle w:val="Hyperlink"/>
          </w:rPr>
          <w:t xml:space="preserve"> International Geological Congress</w:t>
        </w:r>
        <w:r w:rsidR="00070CA7">
          <w:rPr>
            <w:webHidden/>
          </w:rPr>
          <w:tab/>
        </w:r>
        <w:r w:rsidR="00070CA7">
          <w:rPr>
            <w:webHidden/>
          </w:rPr>
          <w:fldChar w:fldCharType="begin"/>
        </w:r>
        <w:r w:rsidR="00070CA7">
          <w:rPr>
            <w:webHidden/>
          </w:rPr>
          <w:instrText xml:space="preserve"> PAGEREF _Toc355274216 \h </w:instrText>
        </w:r>
        <w:r w:rsidR="00070CA7">
          <w:rPr>
            <w:webHidden/>
          </w:rPr>
        </w:r>
        <w:r w:rsidR="00070CA7">
          <w:rPr>
            <w:webHidden/>
          </w:rPr>
          <w:fldChar w:fldCharType="separate"/>
        </w:r>
        <w:r w:rsidR="00070CA7">
          <w:rPr>
            <w:webHidden/>
          </w:rPr>
          <w:t>4</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17" w:history="1">
        <w:r w:rsidR="00070CA7" w:rsidRPr="00994631">
          <w:rPr>
            <w:rStyle w:val="Hyperlink"/>
          </w:rPr>
          <w:t>1.3.1. Scientific Program</w:t>
        </w:r>
        <w:r w:rsidR="00070CA7">
          <w:rPr>
            <w:webHidden/>
          </w:rPr>
          <w:tab/>
        </w:r>
        <w:r w:rsidR="00070CA7">
          <w:rPr>
            <w:webHidden/>
          </w:rPr>
          <w:fldChar w:fldCharType="begin"/>
        </w:r>
        <w:r w:rsidR="00070CA7">
          <w:rPr>
            <w:webHidden/>
          </w:rPr>
          <w:instrText xml:space="preserve"> PAGEREF _Toc355274217 \h </w:instrText>
        </w:r>
        <w:r w:rsidR="00070CA7">
          <w:rPr>
            <w:webHidden/>
          </w:rPr>
        </w:r>
        <w:r w:rsidR="00070CA7">
          <w:rPr>
            <w:webHidden/>
          </w:rPr>
          <w:fldChar w:fldCharType="separate"/>
        </w:r>
        <w:r w:rsidR="00070CA7">
          <w:rPr>
            <w:webHidden/>
          </w:rPr>
          <w:t>4</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18" w:history="1">
        <w:r w:rsidR="00070CA7" w:rsidRPr="00994631">
          <w:rPr>
            <w:rStyle w:val="Hyperlink"/>
          </w:rPr>
          <w:t>1.3.2. GeoExpo</w:t>
        </w:r>
        <w:r w:rsidR="00070CA7">
          <w:rPr>
            <w:webHidden/>
          </w:rPr>
          <w:tab/>
        </w:r>
        <w:r w:rsidR="00070CA7">
          <w:rPr>
            <w:webHidden/>
          </w:rPr>
          <w:fldChar w:fldCharType="begin"/>
        </w:r>
        <w:r w:rsidR="00070CA7">
          <w:rPr>
            <w:webHidden/>
          </w:rPr>
          <w:instrText xml:space="preserve"> PAGEREF _Toc355274218 \h </w:instrText>
        </w:r>
        <w:r w:rsidR="00070CA7">
          <w:rPr>
            <w:webHidden/>
          </w:rPr>
        </w:r>
        <w:r w:rsidR="00070CA7">
          <w:rPr>
            <w:webHidden/>
          </w:rPr>
          <w:fldChar w:fldCharType="separate"/>
        </w:r>
        <w:r w:rsidR="00070CA7">
          <w:rPr>
            <w:webHidden/>
          </w:rPr>
          <w:t>4</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19" w:history="1">
        <w:r w:rsidR="00070CA7" w:rsidRPr="00994631">
          <w:rPr>
            <w:rStyle w:val="Hyperlink"/>
          </w:rPr>
          <w:t>1.3.3. Workshops and Fieldtrips</w:t>
        </w:r>
        <w:r w:rsidR="00070CA7">
          <w:rPr>
            <w:webHidden/>
          </w:rPr>
          <w:tab/>
        </w:r>
        <w:r w:rsidR="00070CA7">
          <w:rPr>
            <w:webHidden/>
          </w:rPr>
          <w:fldChar w:fldCharType="begin"/>
        </w:r>
        <w:r w:rsidR="00070CA7">
          <w:rPr>
            <w:webHidden/>
          </w:rPr>
          <w:instrText xml:space="preserve"> PAGEREF _Toc355274219 \h </w:instrText>
        </w:r>
        <w:r w:rsidR="00070CA7">
          <w:rPr>
            <w:webHidden/>
          </w:rPr>
        </w:r>
        <w:r w:rsidR="00070CA7">
          <w:rPr>
            <w:webHidden/>
          </w:rPr>
          <w:fldChar w:fldCharType="separate"/>
        </w:r>
        <w:r w:rsidR="00070CA7">
          <w:rPr>
            <w:webHidden/>
          </w:rPr>
          <w:t>5</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20" w:history="1">
        <w:r w:rsidR="00070CA7" w:rsidRPr="00994631">
          <w:rPr>
            <w:rStyle w:val="Hyperlink"/>
          </w:rPr>
          <w:t>1.3.4. 2</w:t>
        </w:r>
        <w:r w:rsidR="00070CA7" w:rsidRPr="00994631">
          <w:rPr>
            <w:rStyle w:val="Hyperlink"/>
            <w:vertAlign w:val="superscript"/>
          </w:rPr>
          <w:t>nd</w:t>
        </w:r>
        <w:r w:rsidR="00070CA7" w:rsidRPr="00994631">
          <w:rPr>
            <w:rStyle w:val="Hyperlink"/>
          </w:rPr>
          <w:t xml:space="preserve"> World YES Congress and the GeoHost Funded Delegate Program</w:t>
        </w:r>
        <w:r w:rsidR="00070CA7">
          <w:rPr>
            <w:webHidden/>
          </w:rPr>
          <w:tab/>
        </w:r>
        <w:r w:rsidR="00070CA7">
          <w:rPr>
            <w:webHidden/>
          </w:rPr>
          <w:fldChar w:fldCharType="begin"/>
        </w:r>
        <w:r w:rsidR="00070CA7">
          <w:rPr>
            <w:webHidden/>
          </w:rPr>
          <w:instrText xml:space="preserve"> PAGEREF _Toc355274220 \h </w:instrText>
        </w:r>
        <w:r w:rsidR="00070CA7">
          <w:rPr>
            <w:webHidden/>
          </w:rPr>
        </w:r>
        <w:r w:rsidR="00070CA7">
          <w:rPr>
            <w:webHidden/>
          </w:rPr>
          <w:fldChar w:fldCharType="separate"/>
        </w:r>
        <w:r w:rsidR="00070CA7">
          <w:rPr>
            <w:webHidden/>
          </w:rPr>
          <w:t>5</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21" w:history="1">
        <w:r w:rsidR="00070CA7" w:rsidRPr="00994631">
          <w:rPr>
            <w:rStyle w:val="Hyperlink"/>
          </w:rPr>
          <w:t>1.4. Geoscience Australia’s Involvement in the 34</w:t>
        </w:r>
        <w:r w:rsidR="00070CA7" w:rsidRPr="00994631">
          <w:rPr>
            <w:rStyle w:val="Hyperlink"/>
            <w:vertAlign w:val="superscript"/>
          </w:rPr>
          <w:t>th</w:t>
        </w:r>
        <w:r w:rsidR="00070CA7" w:rsidRPr="00994631">
          <w:rPr>
            <w:rStyle w:val="Hyperlink"/>
          </w:rPr>
          <w:t xml:space="preserve"> IGC</w:t>
        </w:r>
        <w:r w:rsidR="00070CA7">
          <w:rPr>
            <w:webHidden/>
          </w:rPr>
          <w:tab/>
        </w:r>
        <w:r w:rsidR="00070CA7">
          <w:rPr>
            <w:webHidden/>
          </w:rPr>
          <w:fldChar w:fldCharType="begin"/>
        </w:r>
        <w:r w:rsidR="00070CA7">
          <w:rPr>
            <w:webHidden/>
          </w:rPr>
          <w:instrText xml:space="preserve"> PAGEREF _Toc355274221 \h </w:instrText>
        </w:r>
        <w:r w:rsidR="00070CA7">
          <w:rPr>
            <w:webHidden/>
          </w:rPr>
        </w:r>
        <w:r w:rsidR="00070CA7">
          <w:rPr>
            <w:webHidden/>
          </w:rPr>
          <w:fldChar w:fldCharType="separate"/>
        </w:r>
        <w:r w:rsidR="00070CA7">
          <w:rPr>
            <w:webHidden/>
          </w:rPr>
          <w:t>5</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22" w:history="1">
        <w:r w:rsidR="00070CA7" w:rsidRPr="00994631">
          <w:rPr>
            <w:rStyle w:val="Hyperlink"/>
          </w:rPr>
          <w:t>1.5. Summary</w:t>
        </w:r>
        <w:r w:rsidR="00070CA7">
          <w:rPr>
            <w:webHidden/>
          </w:rPr>
          <w:tab/>
        </w:r>
        <w:r w:rsidR="00070CA7">
          <w:rPr>
            <w:webHidden/>
          </w:rPr>
          <w:fldChar w:fldCharType="begin"/>
        </w:r>
        <w:r w:rsidR="00070CA7">
          <w:rPr>
            <w:webHidden/>
          </w:rPr>
          <w:instrText xml:space="preserve"> PAGEREF _Toc355274222 \h </w:instrText>
        </w:r>
        <w:r w:rsidR="00070CA7">
          <w:rPr>
            <w:webHidden/>
          </w:rPr>
        </w:r>
        <w:r w:rsidR="00070CA7">
          <w:rPr>
            <w:webHidden/>
          </w:rPr>
          <w:fldChar w:fldCharType="separate"/>
        </w:r>
        <w:r w:rsidR="00070CA7">
          <w:rPr>
            <w:webHidden/>
          </w:rPr>
          <w:t>7</w:t>
        </w:r>
        <w:r w:rsidR="00070CA7">
          <w:rPr>
            <w:webHidden/>
          </w:rPr>
          <w:fldChar w:fldCharType="end"/>
        </w:r>
      </w:hyperlink>
    </w:p>
    <w:p w:rsidR="00070CA7" w:rsidRDefault="009376C8">
      <w:pPr>
        <w:pStyle w:val="TOC1"/>
        <w:rPr>
          <w:rFonts w:asciiTheme="minorHAnsi" w:eastAsiaTheme="minorEastAsia" w:hAnsiTheme="minorHAnsi" w:cstheme="minorBidi"/>
          <w:sz w:val="22"/>
          <w:szCs w:val="22"/>
        </w:rPr>
      </w:pPr>
      <w:hyperlink w:anchor="_Toc355274223" w:history="1">
        <w:r w:rsidR="00070CA7" w:rsidRPr="00994631">
          <w:rPr>
            <w:rStyle w:val="Hyperlink"/>
          </w:rPr>
          <w:t>2. National-Scale Impacts</w:t>
        </w:r>
        <w:r w:rsidR="00070CA7">
          <w:rPr>
            <w:webHidden/>
          </w:rPr>
          <w:tab/>
        </w:r>
        <w:r w:rsidR="00070CA7">
          <w:rPr>
            <w:webHidden/>
          </w:rPr>
          <w:fldChar w:fldCharType="begin"/>
        </w:r>
        <w:r w:rsidR="00070CA7">
          <w:rPr>
            <w:webHidden/>
          </w:rPr>
          <w:instrText xml:space="preserve"> PAGEREF _Toc355274223 \h </w:instrText>
        </w:r>
        <w:r w:rsidR="00070CA7">
          <w:rPr>
            <w:webHidden/>
          </w:rPr>
        </w:r>
        <w:r w:rsidR="00070CA7">
          <w:rPr>
            <w:webHidden/>
          </w:rPr>
          <w:fldChar w:fldCharType="separate"/>
        </w:r>
        <w:r w:rsidR="00070CA7">
          <w:rPr>
            <w:webHidden/>
          </w:rPr>
          <w:t>8</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24" w:history="1">
        <w:r w:rsidR="00070CA7" w:rsidRPr="00994631">
          <w:rPr>
            <w:rStyle w:val="Hyperlink"/>
          </w:rPr>
          <w:t>2.1. Introduction</w:t>
        </w:r>
        <w:r w:rsidR="00070CA7">
          <w:rPr>
            <w:webHidden/>
          </w:rPr>
          <w:tab/>
        </w:r>
        <w:r w:rsidR="00070CA7">
          <w:rPr>
            <w:webHidden/>
          </w:rPr>
          <w:fldChar w:fldCharType="begin"/>
        </w:r>
        <w:r w:rsidR="00070CA7">
          <w:rPr>
            <w:webHidden/>
          </w:rPr>
          <w:instrText xml:space="preserve"> PAGEREF _Toc355274224 \h </w:instrText>
        </w:r>
        <w:r w:rsidR="00070CA7">
          <w:rPr>
            <w:webHidden/>
          </w:rPr>
        </w:r>
        <w:r w:rsidR="00070CA7">
          <w:rPr>
            <w:webHidden/>
          </w:rPr>
          <w:fldChar w:fldCharType="separate"/>
        </w:r>
        <w:r w:rsidR="00070CA7">
          <w:rPr>
            <w:webHidden/>
          </w:rPr>
          <w:t>8</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25" w:history="1">
        <w:r w:rsidR="00070CA7" w:rsidRPr="00994631">
          <w:rPr>
            <w:rStyle w:val="Hyperlink"/>
          </w:rPr>
          <w:t>2.2. Showcasing Geoscience</w:t>
        </w:r>
        <w:r w:rsidR="00070CA7">
          <w:rPr>
            <w:webHidden/>
          </w:rPr>
          <w:tab/>
        </w:r>
        <w:r w:rsidR="00070CA7">
          <w:rPr>
            <w:webHidden/>
          </w:rPr>
          <w:fldChar w:fldCharType="begin"/>
        </w:r>
        <w:r w:rsidR="00070CA7">
          <w:rPr>
            <w:webHidden/>
          </w:rPr>
          <w:instrText xml:space="preserve"> PAGEREF _Toc355274225 \h </w:instrText>
        </w:r>
        <w:r w:rsidR="00070CA7">
          <w:rPr>
            <w:webHidden/>
          </w:rPr>
        </w:r>
        <w:r w:rsidR="00070CA7">
          <w:rPr>
            <w:webHidden/>
          </w:rPr>
          <w:fldChar w:fldCharType="separate"/>
        </w:r>
        <w:r w:rsidR="00070CA7">
          <w:rPr>
            <w:webHidden/>
          </w:rPr>
          <w:t>9</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26" w:history="1">
        <w:r w:rsidR="00070CA7" w:rsidRPr="00994631">
          <w:rPr>
            <w:rStyle w:val="Hyperlink"/>
          </w:rPr>
          <w:t>2.2.1. Case Study: ASTER Geoscience Map of Australia Product Release</w:t>
        </w:r>
        <w:r w:rsidR="00070CA7">
          <w:rPr>
            <w:webHidden/>
          </w:rPr>
          <w:tab/>
        </w:r>
        <w:r w:rsidR="00070CA7">
          <w:rPr>
            <w:webHidden/>
          </w:rPr>
          <w:fldChar w:fldCharType="begin"/>
        </w:r>
        <w:r w:rsidR="00070CA7">
          <w:rPr>
            <w:webHidden/>
          </w:rPr>
          <w:instrText xml:space="preserve"> PAGEREF _Toc355274226 \h </w:instrText>
        </w:r>
        <w:r w:rsidR="00070CA7">
          <w:rPr>
            <w:webHidden/>
          </w:rPr>
        </w:r>
        <w:r w:rsidR="00070CA7">
          <w:rPr>
            <w:webHidden/>
          </w:rPr>
          <w:fldChar w:fldCharType="separate"/>
        </w:r>
        <w:r w:rsidR="00070CA7">
          <w:rPr>
            <w:webHidden/>
          </w:rPr>
          <w:t>9</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27" w:history="1">
        <w:r w:rsidR="00070CA7" w:rsidRPr="00994631">
          <w:rPr>
            <w:rStyle w:val="Hyperlink"/>
          </w:rPr>
          <w:t>2.3. Networking</w:t>
        </w:r>
        <w:r w:rsidR="00070CA7">
          <w:rPr>
            <w:webHidden/>
          </w:rPr>
          <w:tab/>
        </w:r>
        <w:r w:rsidR="00070CA7">
          <w:rPr>
            <w:webHidden/>
          </w:rPr>
          <w:fldChar w:fldCharType="begin"/>
        </w:r>
        <w:r w:rsidR="00070CA7">
          <w:rPr>
            <w:webHidden/>
          </w:rPr>
          <w:instrText xml:space="preserve"> PAGEREF _Toc355274227 \h </w:instrText>
        </w:r>
        <w:r w:rsidR="00070CA7">
          <w:rPr>
            <w:webHidden/>
          </w:rPr>
        </w:r>
        <w:r w:rsidR="00070CA7">
          <w:rPr>
            <w:webHidden/>
          </w:rPr>
          <w:fldChar w:fldCharType="separate"/>
        </w:r>
        <w:r w:rsidR="00070CA7">
          <w:rPr>
            <w:webHidden/>
          </w:rPr>
          <w:t>10</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28" w:history="1">
        <w:r w:rsidR="00070CA7" w:rsidRPr="00994631">
          <w:rPr>
            <w:rStyle w:val="Hyperlink"/>
          </w:rPr>
          <w:t>2.3.1. Case Study: International Collaboration</w:t>
        </w:r>
        <w:r w:rsidR="00070CA7">
          <w:rPr>
            <w:webHidden/>
          </w:rPr>
          <w:tab/>
        </w:r>
        <w:r w:rsidR="00070CA7">
          <w:rPr>
            <w:webHidden/>
          </w:rPr>
          <w:fldChar w:fldCharType="begin"/>
        </w:r>
        <w:r w:rsidR="00070CA7">
          <w:rPr>
            <w:webHidden/>
          </w:rPr>
          <w:instrText xml:space="preserve"> PAGEREF _Toc355274228 \h </w:instrText>
        </w:r>
        <w:r w:rsidR="00070CA7">
          <w:rPr>
            <w:webHidden/>
          </w:rPr>
        </w:r>
        <w:r w:rsidR="00070CA7">
          <w:rPr>
            <w:webHidden/>
          </w:rPr>
          <w:fldChar w:fldCharType="separate"/>
        </w:r>
        <w:r w:rsidR="00070CA7">
          <w:rPr>
            <w:webHidden/>
          </w:rPr>
          <w:t>11</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29" w:history="1">
        <w:r w:rsidR="00070CA7" w:rsidRPr="00994631">
          <w:rPr>
            <w:rStyle w:val="Hyperlink"/>
          </w:rPr>
          <w:t>2.4. Research Publications</w:t>
        </w:r>
        <w:r w:rsidR="00070CA7">
          <w:rPr>
            <w:webHidden/>
          </w:rPr>
          <w:tab/>
        </w:r>
        <w:r w:rsidR="00070CA7">
          <w:rPr>
            <w:webHidden/>
          </w:rPr>
          <w:fldChar w:fldCharType="begin"/>
        </w:r>
        <w:r w:rsidR="00070CA7">
          <w:rPr>
            <w:webHidden/>
          </w:rPr>
          <w:instrText xml:space="preserve"> PAGEREF _Toc355274229 \h </w:instrText>
        </w:r>
        <w:r w:rsidR="00070CA7">
          <w:rPr>
            <w:webHidden/>
          </w:rPr>
        </w:r>
        <w:r w:rsidR="00070CA7">
          <w:rPr>
            <w:webHidden/>
          </w:rPr>
          <w:fldChar w:fldCharType="separate"/>
        </w:r>
        <w:r w:rsidR="00070CA7">
          <w:rPr>
            <w:webHidden/>
          </w:rPr>
          <w:t>13</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30" w:history="1">
        <w:r w:rsidR="00070CA7" w:rsidRPr="00994631">
          <w:rPr>
            <w:rStyle w:val="Hyperlink"/>
          </w:rPr>
          <w:t>2.4.1. Case Study: IGC Host Nation Publication Rate</w:t>
        </w:r>
        <w:r w:rsidR="00070CA7">
          <w:rPr>
            <w:webHidden/>
          </w:rPr>
          <w:tab/>
        </w:r>
        <w:r w:rsidR="00070CA7">
          <w:rPr>
            <w:webHidden/>
          </w:rPr>
          <w:fldChar w:fldCharType="begin"/>
        </w:r>
        <w:r w:rsidR="00070CA7">
          <w:rPr>
            <w:webHidden/>
          </w:rPr>
          <w:instrText xml:space="preserve"> PAGEREF _Toc355274230 \h </w:instrText>
        </w:r>
        <w:r w:rsidR="00070CA7">
          <w:rPr>
            <w:webHidden/>
          </w:rPr>
        </w:r>
        <w:r w:rsidR="00070CA7">
          <w:rPr>
            <w:webHidden/>
          </w:rPr>
          <w:fldChar w:fldCharType="separate"/>
        </w:r>
        <w:r w:rsidR="00070CA7">
          <w:rPr>
            <w:webHidden/>
          </w:rPr>
          <w:t>14</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31" w:history="1">
        <w:r w:rsidR="00070CA7" w:rsidRPr="00994631">
          <w:rPr>
            <w:rStyle w:val="Hyperlink"/>
          </w:rPr>
          <w:t>2.5. Impact on Student Dynamics</w:t>
        </w:r>
        <w:r w:rsidR="00070CA7">
          <w:rPr>
            <w:webHidden/>
          </w:rPr>
          <w:tab/>
        </w:r>
        <w:r w:rsidR="00070CA7">
          <w:rPr>
            <w:webHidden/>
          </w:rPr>
          <w:fldChar w:fldCharType="begin"/>
        </w:r>
        <w:r w:rsidR="00070CA7">
          <w:rPr>
            <w:webHidden/>
          </w:rPr>
          <w:instrText xml:space="preserve"> PAGEREF _Toc355274231 \h </w:instrText>
        </w:r>
        <w:r w:rsidR="00070CA7">
          <w:rPr>
            <w:webHidden/>
          </w:rPr>
        </w:r>
        <w:r w:rsidR="00070CA7">
          <w:rPr>
            <w:webHidden/>
          </w:rPr>
          <w:fldChar w:fldCharType="separate"/>
        </w:r>
        <w:r w:rsidR="00070CA7">
          <w:rPr>
            <w:webHidden/>
          </w:rPr>
          <w:t>15</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32" w:history="1">
        <w:r w:rsidR="00070CA7" w:rsidRPr="00994631">
          <w:rPr>
            <w:rStyle w:val="Hyperlink"/>
          </w:rPr>
          <w:t>2.6. Tourism</w:t>
        </w:r>
        <w:r w:rsidR="00070CA7">
          <w:rPr>
            <w:webHidden/>
          </w:rPr>
          <w:tab/>
        </w:r>
        <w:r w:rsidR="00070CA7">
          <w:rPr>
            <w:webHidden/>
          </w:rPr>
          <w:fldChar w:fldCharType="begin"/>
        </w:r>
        <w:r w:rsidR="00070CA7">
          <w:rPr>
            <w:webHidden/>
          </w:rPr>
          <w:instrText xml:space="preserve"> PAGEREF _Toc355274232 \h </w:instrText>
        </w:r>
        <w:r w:rsidR="00070CA7">
          <w:rPr>
            <w:webHidden/>
          </w:rPr>
        </w:r>
        <w:r w:rsidR="00070CA7">
          <w:rPr>
            <w:webHidden/>
          </w:rPr>
          <w:fldChar w:fldCharType="separate"/>
        </w:r>
        <w:r w:rsidR="00070CA7">
          <w:rPr>
            <w:webHidden/>
          </w:rPr>
          <w:t>16</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33" w:history="1">
        <w:r w:rsidR="00070CA7" w:rsidRPr="00994631">
          <w:rPr>
            <w:rStyle w:val="Hyperlink"/>
          </w:rPr>
          <w:t>2.6.1. Case Study: Canada Justification to Host 2020 IGC</w:t>
        </w:r>
        <w:r w:rsidR="00070CA7">
          <w:rPr>
            <w:webHidden/>
          </w:rPr>
          <w:tab/>
        </w:r>
        <w:r w:rsidR="00070CA7">
          <w:rPr>
            <w:webHidden/>
          </w:rPr>
          <w:fldChar w:fldCharType="begin"/>
        </w:r>
        <w:r w:rsidR="00070CA7">
          <w:rPr>
            <w:webHidden/>
          </w:rPr>
          <w:instrText xml:space="preserve"> PAGEREF _Toc355274233 \h </w:instrText>
        </w:r>
        <w:r w:rsidR="00070CA7">
          <w:rPr>
            <w:webHidden/>
          </w:rPr>
        </w:r>
        <w:r w:rsidR="00070CA7">
          <w:rPr>
            <w:webHidden/>
          </w:rPr>
          <w:fldChar w:fldCharType="separate"/>
        </w:r>
        <w:r w:rsidR="00070CA7">
          <w:rPr>
            <w:webHidden/>
          </w:rPr>
          <w:t>16</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34" w:history="1">
        <w:r w:rsidR="00070CA7" w:rsidRPr="00994631">
          <w:rPr>
            <w:rStyle w:val="Hyperlink"/>
          </w:rPr>
          <w:t>2.6.2. Case Study: Tourism in Norway Around the 33</w:t>
        </w:r>
        <w:r w:rsidR="00070CA7" w:rsidRPr="00994631">
          <w:rPr>
            <w:rStyle w:val="Hyperlink"/>
            <w:vertAlign w:val="superscript"/>
          </w:rPr>
          <w:t>rd</w:t>
        </w:r>
        <w:r w:rsidR="00070CA7" w:rsidRPr="00994631">
          <w:rPr>
            <w:rStyle w:val="Hyperlink"/>
          </w:rPr>
          <w:t xml:space="preserve"> IGC</w:t>
        </w:r>
        <w:r w:rsidR="00070CA7">
          <w:rPr>
            <w:webHidden/>
          </w:rPr>
          <w:tab/>
        </w:r>
        <w:r w:rsidR="00070CA7">
          <w:rPr>
            <w:webHidden/>
          </w:rPr>
          <w:fldChar w:fldCharType="begin"/>
        </w:r>
        <w:r w:rsidR="00070CA7">
          <w:rPr>
            <w:webHidden/>
          </w:rPr>
          <w:instrText xml:space="preserve"> PAGEREF _Toc355274234 \h </w:instrText>
        </w:r>
        <w:r w:rsidR="00070CA7">
          <w:rPr>
            <w:webHidden/>
          </w:rPr>
        </w:r>
        <w:r w:rsidR="00070CA7">
          <w:rPr>
            <w:webHidden/>
          </w:rPr>
          <w:fldChar w:fldCharType="separate"/>
        </w:r>
        <w:r w:rsidR="00070CA7">
          <w:rPr>
            <w:webHidden/>
          </w:rPr>
          <w:t>16</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35" w:history="1">
        <w:r w:rsidR="00070CA7" w:rsidRPr="00994631">
          <w:rPr>
            <w:rStyle w:val="Hyperlink"/>
          </w:rPr>
          <w:t>2.6.3. Case Study: Tourism for Australia around the 34</w:t>
        </w:r>
        <w:r w:rsidR="00070CA7" w:rsidRPr="00994631">
          <w:rPr>
            <w:rStyle w:val="Hyperlink"/>
            <w:vertAlign w:val="superscript"/>
          </w:rPr>
          <w:t>th</w:t>
        </w:r>
        <w:r w:rsidR="00070CA7" w:rsidRPr="00994631">
          <w:rPr>
            <w:rStyle w:val="Hyperlink"/>
          </w:rPr>
          <w:t xml:space="preserve"> IGC</w:t>
        </w:r>
        <w:r w:rsidR="00070CA7">
          <w:rPr>
            <w:webHidden/>
          </w:rPr>
          <w:tab/>
        </w:r>
        <w:r w:rsidR="00070CA7">
          <w:rPr>
            <w:webHidden/>
          </w:rPr>
          <w:fldChar w:fldCharType="begin"/>
        </w:r>
        <w:r w:rsidR="00070CA7">
          <w:rPr>
            <w:webHidden/>
          </w:rPr>
          <w:instrText xml:space="preserve"> PAGEREF _Toc355274235 \h </w:instrText>
        </w:r>
        <w:r w:rsidR="00070CA7">
          <w:rPr>
            <w:webHidden/>
          </w:rPr>
        </w:r>
        <w:r w:rsidR="00070CA7">
          <w:rPr>
            <w:webHidden/>
          </w:rPr>
          <w:fldChar w:fldCharType="separate"/>
        </w:r>
        <w:r w:rsidR="00070CA7">
          <w:rPr>
            <w:webHidden/>
          </w:rPr>
          <w:t>17</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36" w:history="1">
        <w:r w:rsidR="00070CA7" w:rsidRPr="00994631">
          <w:rPr>
            <w:rStyle w:val="Hyperlink"/>
          </w:rPr>
          <w:t>2.7. Public Awareness of Geoscience</w:t>
        </w:r>
        <w:r w:rsidR="00070CA7">
          <w:rPr>
            <w:webHidden/>
          </w:rPr>
          <w:tab/>
        </w:r>
        <w:r w:rsidR="00070CA7">
          <w:rPr>
            <w:webHidden/>
          </w:rPr>
          <w:fldChar w:fldCharType="begin"/>
        </w:r>
        <w:r w:rsidR="00070CA7">
          <w:rPr>
            <w:webHidden/>
          </w:rPr>
          <w:instrText xml:space="preserve"> PAGEREF _Toc355274236 \h </w:instrText>
        </w:r>
        <w:r w:rsidR="00070CA7">
          <w:rPr>
            <w:webHidden/>
          </w:rPr>
        </w:r>
        <w:r w:rsidR="00070CA7">
          <w:rPr>
            <w:webHidden/>
          </w:rPr>
          <w:fldChar w:fldCharType="separate"/>
        </w:r>
        <w:r w:rsidR="00070CA7">
          <w:rPr>
            <w:webHidden/>
          </w:rPr>
          <w:t>17</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37" w:history="1">
        <w:r w:rsidR="00070CA7" w:rsidRPr="00994631">
          <w:rPr>
            <w:rStyle w:val="Hyperlink"/>
          </w:rPr>
          <w:t>2.7.1. 33</w:t>
        </w:r>
        <w:r w:rsidR="00070CA7" w:rsidRPr="00994631">
          <w:rPr>
            <w:rStyle w:val="Hyperlink"/>
            <w:vertAlign w:val="superscript"/>
          </w:rPr>
          <w:t>rd</w:t>
        </w:r>
        <w:r w:rsidR="00070CA7" w:rsidRPr="00994631">
          <w:rPr>
            <w:rStyle w:val="Hyperlink"/>
          </w:rPr>
          <w:t xml:space="preserve"> IGC Public Outreach Investigation</w:t>
        </w:r>
        <w:r w:rsidR="00070CA7">
          <w:rPr>
            <w:webHidden/>
          </w:rPr>
          <w:tab/>
        </w:r>
        <w:r w:rsidR="00070CA7">
          <w:rPr>
            <w:webHidden/>
          </w:rPr>
          <w:fldChar w:fldCharType="begin"/>
        </w:r>
        <w:r w:rsidR="00070CA7">
          <w:rPr>
            <w:webHidden/>
          </w:rPr>
          <w:instrText xml:space="preserve"> PAGEREF _Toc355274237 \h </w:instrText>
        </w:r>
        <w:r w:rsidR="00070CA7">
          <w:rPr>
            <w:webHidden/>
          </w:rPr>
        </w:r>
        <w:r w:rsidR="00070CA7">
          <w:rPr>
            <w:webHidden/>
          </w:rPr>
          <w:fldChar w:fldCharType="separate"/>
        </w:r>
        <w:r w:rsidR="00070CA7">
          <w:rPr>
            <w:webHidden/>
          </w:rPr>
          <w:t>18</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38" w:history="1">
        <w:r w:rsidR="00070CA7" w:rsidRPr="00994631">
          <w:rPr>
            <w:rStyle w:val="Hyperlink"/>
          </w:rPr>
          <w:t>2.7.2. Public Awareness for Australia</w:t>
        </w:r>
        <w:r w:rsidR="00070CA7">
          <w:rPr>
            <w:webHidden/>
          </w:rPr>
          <w:tab/>
        </w:r>
        <w:r w:rsidR="00070CA7">
          <w:rPr>
            <w:webHidden/>
          </w:rPr>
          <w:fldChar w:fldCharType="begin"/>
        </w:r>
        <w:r w:rsidR="00070CA7">
          <w:rPr>
            <w:webHidden/>
          </w:rPr>
          <w:instrText xml:space="preserve"> PAGEREF _Toc355274238 \h </w:instrText>
        </w:r>
        <w:r w:rsidR="00070CA7">
          <w:rPr>
            <w:webHidden/>
          </w:rPr>
        </w:r>
        <w:r w:rsidR="00070CA7">
          <w:rPr>
            <w:webHidden/>
          </w:rPr>
          <w:fldChar w:fldCharType="separate"/>
        </w:r>
        <w:r w:rsidR="00070CA7">
          <w:rPr>
            <w:webHidden/>
          </w:rPr>
          <w:t>20</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39" w:history="1">
        <w:r w:rsidR="00070CA7" w:rsidRPr="00994631">
          <w:rPr>
            <w:rStyle w:val="Hyperlink"/>
          </w:rPr>
          <w:t>2.8. Sponsorship and GeoExpo Exhibitor Demographics</w:t>
        </w:r>
        <w:r w:rsidR="00070CA7">
          <w:rPr>
            <w:webHidden/>
          </w:rPr>
          <w:tab/>
        </w:r>
        <w:r w:rsidR="00070CA7">
          <w:rPr>
            <w:webHidden/>
          </w:rPr>
          <w:fldChar w:fldCharType="begin"/>
        </w:r>
        <w:r w:rsidR="00070CA7">
          <w:rPr>
            <w:webHidden/>
          </w:rPr>
          <w:instrText xml:space="preserve"> PAGEREF _Toc355274239 \h </w:instrText>
        </w:r>
        <w:r w:rsidR="00070CA7">
          <w:rPr>
            <w:webHidden/>
          </w:rPr>
        </w:r>
        <w:r w:rsidR="00070CA7">
          <w:rPr>
            <w:webHidden/>
          </w:rPr>
          <w:fldChar w:fldCharType="separate"/>
        </w:r>
        <w:r w:rsidR="00070CA7">
          <w:rPr>
            <w:webHidden/>
          </w:rPr>
          <w:t>21</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40" w:history="1">
        <w:r w:rsidR="00070CA7" w:rsidRPr="00994631">
          <w:rPr>
            <w:rStyle w:val="Hyperlink"/>
          </w:rPr>
          <w:t>2.9. Conclusions</w:t>
        </w:r>
        <w:r w:rsidR="00070CA7">
          <w:rPr>
            <w:webHidden/>
          </w:rPr>
          <w:tab/>
        </w:r>
        <w:r w:rsidR="00070CA7">
          <w:rPr>
            <w:webHidden/>
          </w:rPr>
          <w:fldChar w:fldCharType="begin"/>
        </w:r>
        <w:r w:rsidR="00070CA7">
          <w:rPr>
            <w:webHidden/>
          </w:rPr>
          <w:instrText xml:space="preserve"> PAGEREF _Toc355274240 \h </w:instrText>
        </w:r>
        <w:r w:rsidR="00070CA7">
          <w:rPr>
            <w:webHidden/>
          </w:rPr>
        </w:r>
        <w:r w:rsidR="00070CA7">
          <w:rPr>
            <w:webHidden/>
          </w:rPr>
          <w:fldChar w:fldCharType="separate"/>
        </w:r>
        <w:r w:rsidR="00070CA7">
          <w:rPr>
            <w:webHidden/>
          </w:rPr>
          <w:t>22</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41" w:history="1">
        <w:r w:rsidR="00070CA7" w:rsidRPr="00994631">
          <w:rPr>
            <w:rStyle w:val="Hyperlink"/>
          </w:rPr>
          <w:t>2.10. Recommendations</w:t>
        </w:r>
        <w:r w:rsidR="00070CA7">
          <w:rPr>
            <w:webHidden/>
          </w:rPr>
          <w:tab/>
        </w:r>
        <w:r w:rsidR="00070CA7">
          <w:rPr>
            <w:webHidden/>
          </w:rPr>
          <w:fldChar w:fldCharType="begin"/>
        </w:r>
        <w:r w:rsidR="00070CA7">
          <w:rPr>
            <w:webHidden/>
          </w:rPr>
          <w:instrText xml:space="preserve"> PAGEREF _Toc355274241 \h </w:instrText>
        </w:r>
        <w:r w:rsidR="00070CA7">
          <w:rPr>
            <w:webHidden/>
          </w:rPr>
        </w:r>
        <w:r w:rsidR="00070CA7">
          <w:rPr>
            <w:webHidden/>
          </w:rPr>
          <w:fldChar w:fldCharType="separate"/>
        </w:r>
        <w:r w:rsidR="00070CA7">
          <w:rPr>
            <w:webHidden/>
          </w:rPr>
          <w:t>23</w:t>
        </w:r>
        <w:r w:rsidR="00070CA7">
          <w:rPr>
            <w:webHidden/>
          </w:rPr>
          <w:fldChar w:fldCharType="end"/>
        </w:r>
      </w:hyperlink>
    </w:p>
    <w:p w:rsidR="00070CA7" w:rsidRDefault="009376C8">
      <w:pPr>
        <w:pStyle w:val="TOC1"/>
        <w:rPr>
          <w:rFonts w:asciiTheme="minorHAnsi" w:eastAsiaTheme="minorEastAsia" w:hAnsiTheme="minorHAnsi" w:cstheme="minorBidi"/>
          <w:sz w:val="22"/>
          <w:szCs w:val="22"/>
        </w:rPr>
      </w:pPr>
      <w:hyperlink w:anchor="_Toc355274242" w:history="1">
        <w:r w:rsidR="00070CA7" w:rsidRPr="00994631">
          <w:rPr>
            <w:rStyle w:val="Hyperlink"/>
          </w:rPr>
          <w:t>3. Impacts for Geoscience Australia</w:t>
        </w:r>
        <w:r w:rsidR="00070CA7">
          <w:rPr>
            <w:webHidden/>
          </w:rPr>
          <w:tab/>
        </w:r>
        <w:r w:rsidR="00070CA7">
          <w:rPr>
            <w:webHidden/>
          </w:rPr>
          <w:fldChar w:fldCharType="begin"/>
        </w:r>
        <w:r w:rsidR="00070CA7">
          <w:rPr>
            <w:webHidden/>
          </w:rPr>
          <w:instrText xml:space="preserve"> PAGEREF _Toc355274242 \h </w:instrText>
        </w:r>
        <w:r w:rsidR="00070CA7">
          <w:rPr>
            <w:webHidden/>
          </w:rPr>
        </w:r>
        <w:r w:rsidR="00070CA7">
          <w:rPr>
            <w:webHidden/>
          </w:rPr>
          <w:fldChar w:fldCharType="separate"/>
        </w:r>
        <w:r w:rsidR="00070CA7">
          <w:rPr>
            <w:webHidden/>
          </w:rPr>
          <w:t>24</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43" w:history="1">
        <w:r w:rsidR="00070CA7" w:rsidRPr="00994631">
          <w:rPr>
            <w:rStyle w:val="Hyperlink"/>
          </w:rPr>
          <w:t>3.1. Introduction</w:t>
        </w:r>
        <w:r w:rsidR="00070CA7">
          <w:rPr>
            <w:webHidden/>
          </w:rPr>
          <w:tab/>
        </w:r>
        <w:r w:rsidR="00070CA7">
          <w:rPr>
            <w:webHidden/>
          </w:rPr>
          <w:fldChar w:fldCharType="begin"/>
        </w:r>
        <w:r w:rsidR="00070CA7">
          <w:rPr>
            <w:webHidden/>
          </w:rPr>
          <w:instrText xml:space="preserve"> PAGEREF _Toc355274243 \h </w:instrText>
        </w:r>
        <w:r w:rsidR="00070CA7">
          <w:rPr>
            <w:webHidden/>
          </w:rPr>
        </w:r>
        <w:r w:rsidR="00070CA7">
          <w:rPr>
            <w:webHidden/>
          </w:rPr>
          <w:fldChar w:fldCharType="separate"/>
        </w:r>
        <w:r w:rsidR="00070CA7">
          <w:rPr>
            <w:webHidden/>
          </w:rPr>
          <w:t>24</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44" w:history="1">
        <w:r w:rsidR="00070CA7" w:rsidRPr="00994631">
          <w:rPr>
            <w:rStyle w:val="Hyperlink"/>
          </w:rPr>
          <w:t>3.2. Literature Review and Key Discussions</w:t>
        </w:r>
        <w:r w:rsidR="00070CA7">
          <w:rPr>
            <w:webHidden/>
          </w:rPr>
          <w:tab/>
        </w:r>
        <w:r w:rsidR="00070CA7">
          <w:rPr>
            <w:webHidden/>
          </w:rPr>
          <w:fldChar w:fldCharType="begin"/>
        </w:r>
        <w:r w:rsidR="00070CA7">
          <w:rPr>
            <w:webHidden/>
          </w:rPr>
          <w:instrText xml:space="preserve"> PAGEREF _Toc355274244 \h </w:instrText>
        </w:r>
        <w:r w:rsidR="00070CA7">
          <w:rPr>
            <w:webHidden/>
          </w:rPr>
        </w:r>
        <w:r w:rsidR="00070CA7">
          <w:rPr>
            <w:webHidden/>
          </w:rPr>
          <w:fldChar w:fldCharType="separate"/>
        </w:r>
        <w:r w:rsidR="00070CA7">
          <w:rPr>
            <w:webHidden/>
          </w:rPr>
          <w:t>24</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45" w:history="1">
        <w:r w:rsidR="00070CA7" w:rsidRPr="00994631">
          <w:rPr>
            <w:rStyle w:val="Hyperlink"/>
          </w:rPr>
          <w:t>3.3. Interviews</w:t>
        </w:r>
        <w:r w:rsidR="00070CA7">
          <w:rPr>
            <w:webHidden/>
          </w:rPr>
          <w:tab/>
        </w:r>
        <w:r w:rsidR="00070CA7">
          <w:rPr>
            <w:webHidden/>
          </w:rPr>
          <w:fldChar w:fldCharType="begin"/>
        </w:r>
        <w:r w:rsidR="00070CA7">
          <w:rPr>
            <w:webHidden/>
          </w:rPr>
          <w:instrText xml:space="preserve"> PAGEREF _Toc355274245 \h </w:instrText>
        </w:r>
        <w:r w:rsidR="00070CA7">
          <w:rPr>
            <w:webHidden/>
          </w:rPr>
        </w:r>
        <w:r w:rsidR="00070CA7">
          <w:rPr>
            <w:webHidden/>
          </w:rPr>
          <w:fldChar w:fldCharType="separate"/>
        </w:r>
        <w:r w:rsidR="00070CA7">
          <w:rPr>
            <w:webHidden/>
          </w:rPr>
          <w:t>25</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46" w:history="1">
        <w:r w:rsidR="00070CA7" w:rsidRPr="00994631">
          <w:rPr>
            <w:rStyle w:val="Hyperlink"/>
          </w:rPr>
          <w:t>3.4. GA 34</w:t>
        </w:r>
        <w:r w:rsidR="00070CA7" w:rsidRPr="00994631">
          <w:rPr>
            <w:rStyle w:val="Hyperlink"/>
            <w:vertAlign w:val="superscript"/>
          </w:rPr>
          <w:t>th</w:t>
        </w:r>
        <w:r w:rsidR="00070CA7" w:rsidRPr="00994631">
          <w:rPr>
            <w:rStyle w:val="Hyperlink"/>
          </w:rPr>
          <w:t xml:space="preserve"> IGC Participation Survey</w:t>
        </w:r>
        <w:r w:rsidR="00070CA7">
          <w:rPr>
            <w:webHidden/>
          </w:rPr>
          <w:tab/>
        </w:r>
        <w:r w:rsidR="00070CA7">
          <w:rPr>
            <w:webHidden/>
          </w:rPr>
          <w:fldChar w:fldCharType="begin"/>
        </w:r>
        <w:r w:rsidR="00070CA7">
          <w:rPr>
            <w:webHidden/>
          </w:rPr>
          <w:instrText xml:space="preserve"> PAGEREF _Toc355274246 \h </w:instrText>
        </w:r>
        <w:r w:rsidR="00070CA7">
          <w:rPr>
            <w:webHidden/>
          </w:rPr>
        </w:r>
        <w:r w:rsidR="00070CA7">
          <w:rPr>
            <w:webHidden/>
          </w:rPr>
          <w:fldChar w:fldCharType="separate"/>
        </w:r>
        <w:r w:rsidR="00070CA7">
          <w:rPr>
            <w:webHidden/>
          </w:rPr>
          <w:t>26</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47" w:history="1">
        <w:r w:rsidR="00070CA7" w:rsidRPr="00994631">
          <w:rPr>
            <w:rStyle w:val="Hyperlink"/>
          </w:rPr>
          <w:t>3.4.1. Survey Format</w:t>
        </w:r>
        <w:r w:rsidR="00070CA7">
          <w:rPr>
            <w:webHidden/>
          </w:rPr>
          <w:tab/>
        </w:r>
        <w:r w:rsidR="00070CA7">
          <w:rPr>
            <w:webHidden/>
          </w:rPr>
          <w:fldChar w:fldCharType="begin"/>
        </w:r>
        <w:r w:rsidR="00070CA7">
          <w:rPr>
            <w:webHidden/>
          </w:rPr>
          <w:instrText xml:space="preserve"> PAGEREF _Toc355274247 \h </w:instrText>
        </w:r>
        <w:r w:rsidR="00070CA7">
          <w:rPr>
            <w:webHidden/>
          </w:rPr>
        </w:r>
        <w:r w:rsidR="00070CA7">
          <w:rPr>
            <w:webHidden/>
          </w:rPr>
          <w:fldChar w:fldCharType="separate"/>
        </w:r>
        <w:r w:rsidR="00070CA7">
          <w:rPr>
            <w:webHidden/>
          </w:rPr>
          <w:t>27</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48" w:history="1">
        <w:r w:rsidR="00070CA7" w:rsidRPr="00994631">
          <w:rPr>
            <w:rStyle w:val="Hyperlink"/>
          </w:rPr>
          <w:t>3.4.2. Analysis of Respondents</w:t>
        </w:r>
        <w:r w:rsidR="00070CA7">
          <w:rPr>
            <w:webHidden/>
          </w:rPr>
          <w:tab/>
        </w:r>
        <w:r w:rsidR="00070CA7">
          <w:rPr>
            <w:webHidden/>
          </w:rPr>
          <w:fldChar w:fldCharType="begin"/>
        </w:r>
        <w:r w:rsidR="00070CA7">
          <w:rPr>
            <w:webHidden/>
          </w:rPr>
          <w:instrText xml:space="preserve"> PAGEREF _Toc355274248 \h </w:instrText>
        </w:r>
        <w:r w:rsidR="00070CA7">
          <w:rPr>
            <w:webHidden/>
          </w:rPr>
        </w:r>
        <w:r w:rsidR="00070CA7">
          <w:rPr>
            <w:webHidden/>
          </w:rPr>
          <w:fldChar w:fldCharType="separate"/>
        </w:r>
        <w:r w:rsidR="00070CA7">
          <w:rPr>
            <w:webHidden/>
          </w:rPr>
          <w:t>27</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49" w:history="1">
        <w:r w:rsidR="00070CA7" w:rsidRPr="00994631">
          <w:rPr>
            <w:rStyle w:val="Hyperlink"/>
          </w:rPr>
          <w:t>3.5. Agency Wide Impact for Geoscience Australia</w:t>
        </w:r>
        <w:r w:rsidR="00070CA7">
          <w:rPr>
            <w:webHidden/>
          </w:rPr>
          <w:tab/>
        </w:r>
        <w:r w:rsidR="00070CA7">
          <w:rPr>
            <w:webHidden/>
          </w:rPr>
          <w:fldChar w:fldCharType="begin"/>
        </w:r>
        <w:r w:rsidR="00070CA7">
          <w:rPr>
            <w:webHidden/>
          </w:rPr>
          <w:instrText xml:space="preserve"> PAGEREF _Toc355274249 \h </w:instrText>
        </w:r>
        <w:r w:rsidR="00070CA7">
          <w:rPr>
            <w:webHidden/>
          </w:rPr>
        </w:r>
        <w:r w:rsidR="00070CA7">
          <w:rPr>
            <w:webHidden/>
          </w:rPr>
          <w:fldChar w:fldCharType="separate"/>
        </w:r>
        <w:r w:rsidR="00070CA7">
          <w:rPr>
            <w:webHidden/>
          </w:rPr>
          <w:t>28</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50" w:history="1">
        <w:r w:rsidR="00070CA7" w:rsidRPr="00994631">
          <w:rPr>
            <w:rStyle w:val="Hyperlink"/>
          </w:rPr>
          <w:t>3.5.1. Shaping a Nation: A Geology of Australia</w:t>
        </w:r>
        <w:r w:rsidR="00070CA7">
          <w:rPr>
            <w:webHidden/>
          </w:rPr>
          <w:tab/>
        </w:r>
        <w:r w:rsidR="00070CA7">
          <w:rPr>
            <w:webHidden/>
          </w:rPr>
          <w:fldChar w:fldCharType="begin"/>
        </w:r>
        <w:r w:rsidR="00070CA7">
          <w:rPr>
            <w:webHidden/>
          </w:rPr>
          <w:instrText xml:space="preserve"> PAGEREF _Toc355274250 \h </w:instrText>
        </w:r>
        <w:r w:rsidR="00070CA7">
          <w:rPr>
            <w:webHidden/>
          </w:rPr>
        </w:r>
        <w:r w:rsidR="00070CA7">
          <w:rPr>
            <w:webHidden/>
          </w:rPr>
          <w:fldChar w:fldCharType="separate"/>
        </w:r>
        <w:r w:rsidR="00070CA7">
          <w:rPr>
            <w:webHidden/>
          </w:rPr>
          <w:t>30</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51" w:history="1">
        <w:r w:rsidR="00070CA7" w:rsidRPr="00994631">
          <w:rPr>
            <w:rStyle w:val="Hyperlink"/>
          </w:rPr>
          <w:t>3.6. Impacts of the 34</w:t>
        </w:r>
        <w:r w:rsidR="00070CA7" w:rsidRPr="00994631">
          <w:rPr>
            <w:rStyle w:val="Hyperlink"/>
            <w:vertAlign w:val="superscript"/>
          </w:rPr>
          <w:t>th</w:t>
        </w:r>
        <w:r w:rsidR="00070CA7" w:rsidRPr="00994631">
          <w:rPr>
            <w:rStyle w:val="Hyperlink"/>
          </w:rPr>
          <w:t xml:space="preserve"> IGC for Geoscience Australia Employees</w:t>
        </w:r>
        <w:r w:rsidR="00070CA7">
          <w:rPr>
            <w:webHidden/>
          </w:rPr>
          <w:tab/>
        </w:r>
        <w:r w:rsidR="00070CA7">
          <w:rPr>
            <w:webHidden/>
          </w:rPr>
          <w:fldChar w:fldCharType="begin"/>
        </w:r>
        <w:r w:rsidR="00070CA7">
          <w:rPr>
            <w:webHidden/>
          </w:rPr>
          <w:instrText xml:space="preserve"> PAGEREF _Toc355274251 \h </w:instrText>
        </w:r>
        <w:r w:rsidR="00070CA7">
          <w:rPr>
            <w:webHidden/>
          </w:rPr>
        </w:r>
        <w:r w:rsidR="00070CA7">
          <w:rPr>
            <w:webHidden/>
          </w:rPr>
          <w:fldChar w:fldCharType="separate"/>
        </w:r>
        <w:r w:rsidR="00070CA7">
          <w:rPr>
            <w:webHidden/>
          </w:rPr>
          <w:t>32</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52" w:history="1">
        <w:r w:rsidR="00070CA7" w:rsidRPr="00994631">
          <w:rPr>
            <w:rStyle w:val="Hyperlink"/>
          </w:rPr>
          <w:t>3.6.1. Employees that Attended the 34</w:t>
        </w:r>
        <w:r w:rsidR="00070CA7" w:rsidRPr="00994631">
          <w:rPr>
            <w:rStyle w:val="Hyperlink"/>
            <w:vertAlign w:val="superscript"/>
          </w:rPr>
          <w:t>th</w:t>
        </w:r>
        <w:r w:rsidR="00070CA7" w:rsidRPr="00994631">
          <w:rPr>
            <w:rStyle w:val="Hyperlink"/>
          </w:rPr>
          <w:t xml:space="preserve"> IGC</w:t>
        </w:r>
        <w:r w:rsidR="00070CA7">
          <w:rPr>
            <w:webHidden/>
          </w:rPr>
          <w:tab/>
        </w:r>
        <w:r w:rsidR="00070CA7">
          <w:rPr>
            <w:webHidden/>
          </w:rPr>
          <w:fldChar w:fldCharType="begin"/>
        </w:r>
        <w:r w:rsidR="00070CA7">
          <w:rPr>
            <w:webHidden/>
          </w:rPr>
          <w:instrText xml:space="preserve"> PAGEREF _Toc355274252 \h </w:instrText>
        </w:r>
        <w:r w:rsidR="00070CA7">
          <w:rPr>
            <w:webHidden/>
          </w:rPr>
        </w:r>
        <w:r w:rsidR="00070CA7">
          <w:rPr>
            <w:webHidden/>
          </w:rPr>
          <w:fldChar w:fldCharType="separate"/>
        </w:r>
        <w:r w:rsidR="00070CA7">
          <w:rPr>
            <w:webHidden/>
          </w:rPr>
          <w:t>32</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53" w:history="1">
        <w:r w:rsidR="00070CA7" w:rsidRPr="00994631">
          <w:rPr>
            <w:rStyle w:val="Hyperlink"/>
          </w:rPr>
          <w:t>3.6.2. Employees that were Unable to Attend the 34</w:t>
        </w:r>
        <w:r w:rsidR="00070CA7" w:rsidRPr="00994631">
          <w:rPr>
            <w:rStyle w:val="Hyperlink"/>
            <w:vertAlign w:val="superscript"/>
          </w:rPr>
          <w:t>th</w:t>
        </w:r>
        <w:r w:rsidR="00070CA7" w:rsidRPr="00994631">
          <w:rPr>
            <w:rStyle w:val="Hyperlink"/>
          </w:rPr>
          <w:t xml:space="preserve"> IGC</w:t>
        </w:r>
        <w:r w:rsidR="00070CA7">
          <w:rPr>
            <w:webHidden/>
          </w:rPr>
          <w:tab/>
        </w:r>
        <w:r w:rsidR="00070CA7">
          <w:rPr>
            <w:webHidden/>
          </w:rPr>
          <w:fldChar w:fldCharType="begin"/>
        </w:r>
        <w:r w:rsidR="00070CA7">
          <w:rPr>
            <w:webHidden/>
          </w:rPr>
          <w:instrText xml:space="preserve"> PAGEREF _Toc355274253 \h </w:instrText>
        </w:r>
        <w:r w:rsidR="00070CA7">
          <w:rPr>
            <w:webHidden/>
          </w:rPr>
        </w:r>
        <w:r w:rsidR="00070CA7">
          <w:rPr>
            <w:webHidden/>
          </w:rPr>
          <w:fldChar w:fldCharType="separate"/>
        </w:r>
        <w:r w:rsidR="00070CA7">
          <w:rPr>
            <w:webHidden/>
          </w:rPr>
          <w:t>35</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54" w:history="1">
        <w:r w:rsidR="00070CA7" w:rsidRPr="00994631">
          <w:rPr>
            <w:rStyle w:val="Hyperlink"/>
          </w:rPr>
          <w:t>3.7. Job Satisfaction</w:t>
        </w:r>
        <w:r w:rsidR="00070CA7">
          <w:rPr>
            <w:webHidden/>
          </w:rPr>
          <w:tab/>
        </w:r>
        <w:r w:rsidR="00070CA7">
          <w:rPr>
            <w:webHidden/>
          </w:rPr>
          <w:fldChar w:fldCharType="begin"/>
        </w:r>
        <w:r w:rsidR="00070CA7">
          <w:rPr>
            <w:webHidden/>
          </w:rPr>
          <w:instrText xml:space="preserve"> PAGEREF _Toc355274254 \h </w:instrText>
        </w:r>
        <w:r w:rsidR="00070CA7">
          <w:rPr>
            <w:webHidden/>
          </w:rPr>
        </w:r>
        <w:r w:rsidR="00070CA7">
          <w:rPr>
            <w:webHidden/>
          </w:rPr>
          <w:fldChar w:fldCharType="separate"/>
        </w:r>
        <w:r w:rsidR="00070CA7">
          <w:rPr>
            <w:webHidden/>
          </w:rPr>
          <w:t>36</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55" w:history="1">
        <w:r w:rsidR="00070CA7" w:rsidRPr="00994631">
          <w:rPr>
            <w:rStyle w:val="Hyperlink"/>
          </w:rPr>
          <w:t>3.8. Conclusions</w:t>
        </w:r>
        <w:r w:rsidR="00070CA7">
          <w:rPr>
            <w:webHidden/>
          </w:rPr>
          <w:tab/>
        </w:r>
        <w:r w:rsidR="00070CA7">
          <w:rPr>
            <w:webHidden/>
          </w:rPr>
          <w:fldChar w:fldCharType="begin"/>
        </w:r>
        <w:r w:rsidR="00070CA7">
          <w:rPr>
            <w:webHidden/>
          </w:rPr>
          <w:instrText xml:space="preserve"> PAGEREF _Toc355274255 \h </w:instrText>
        </w:r>
        <w:r w:rsidR="00070CA7">
          <w:rPr>
            <w:webHidden/>
          </w:rPr>
        </w:r>
        <w:r w:rsidR="00070CA7">
          <w:rPr>
            <w:webHidden/>
          </w:rPr>
          <w:fldChar w:fldCharType="separate"/>
        </w:r>
        <w:r w:rsidR="00070CA7">
          <w:rPr>
            <w:webHidden/>
          </w:rPr>
          <w:t>37</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56" w:history="1">
        <w:r w:rsidR="00070CA7" w:rsidRPr="00994631">
          <w:rPr>
            <w:rStyle w:val="Hyperlink"/>
          </w:rPr>
          <w:t>3.9. Recommendations</w:t>
        </w:r>
        <w:r w:rsidR="00070CA7">
          <w:rPr>
            <w:webHidden/>
          </w:rPr>
          <w:tab/>
        </w:r>
        <w:r w:rsidR="00070CA7">
          <w:rPr>
            <w:webHidden/>
          </w:rPr>
          <w:fldChar w:fldCharType="begin"/>
        </w:r>
        <w:r w:rsidR="00070CA7">
          <w:rPr>
            <w:webHidden/>
          </w:rPr>
          <w:instrText xml:space="preserve"> PAGEREF _Toc355274256 \h </w:instrText>
        </w:r>
        <w:r w:rsidR="00070CA7">
          <w:rPr>
            <w:webHidden/>
          </w:rPr>
        </w:r>
        <w:r w:rsidR="00070CA7">
          <w:rPr>
            <w:webHidden/>
          </w:rPr>
          <w:fldChar w:fldCharType="separate"/>
        </w:r>
        <w:r w:rsidR="00070CA7">
          <w:rPr>
            <w:webHidden/>
          </w:rPr>
          <w:t>38</w:t>
        </w:r>
        <w:r w:rsidR="00070CA7">
          <w:rPr>
            <w:webHidden/>
          </w:rPr>
          <w:fldChar w:fldCharType="end"/>
        </w:r>
      </w:hyperlink>
    </w:p>
    <w:p w:rsidR="00070CA7" w:rsidRDefault="009376C8">
      <w:pPr>
        <w:pStyle w:val="TOC1"/>
        <w:rPr>
          <w:rFonts w:asciiTheme="minorHAnsi" w:eastAsiaTheme="minorEastAsia" w:hAnsiTheme="minorHAnsi" w:cstheme="minorBidi"/>
          <w:sz w:val="22"/>
          <w:szCs w:val="22"/>
        </w:rPr>
      </w:pPr>
      <w:hyperlink w:anchor="_Toc355274257" w:history="1">
        <w:r w:rsidR="00070CA7" w:rsidRPr="00994631">
          <w:rPr>
            <w:rStyle w:val="Hyperlink"/>
          </w:rPr>
          <w:t>4. Social Media Analysis</w:t>
        </w:r>
        <w:r w:rsidR="00070CA7">
          <w:rPr>
            <w:webHidden/>
          </w:rPr>
          <w:tab/>
        </w:r>
        <w:r w:rsidR="00070CA7">
          <w:rPr>
            <w:webHidden/>
          </w:rPr>
          <w:fldChar w:fldCharType="begin"/>
        </w:r>
        <w:r w:rsidR="00070CA7">
          <w:rPr>
            <w:webHidden/>
          </w:rPr>
          <w:instrText xml:space="preserve"> PAGEREF _Toc355274257 \h </w:instrText>
        </w:r>
        <w:r w:rsidR="00070CA7">
          <w:rPr>
            <w:webHidden/>
          </w:rPr>
        </w:r>
        <w:r w:rsidR="00070CA7">
          <w:rPr>
            <w:webHidden/>
          </w:rPr>
          <w:fldChar w:fldCharType="separate"/>
        </w:r>
        <w:r w:rsidR="00070CA7">
          <w:rPr>
            <w:webHidden/>
          </w:rPr>
          <w:t>40</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58" w:history="1">
        <w:r w:rsidR="00070CA7" w:rsidRPr="00994631">
          <w:rPr>
            <w:rStyle w:val="Hyperlink"/>
          </w:rPr>
          <w:t>4.1. Introduction</w:t>
        </w:r>
        <w:r w:rsidR="00070CA7">
          <w:rPr>
            <w:webHidden/>
          </w:rPr>
          <w:tab/>
        </w:r>
        <w:r w:rsidR="00070CA7">
          <w:rPr>
            <w:webHidden/>
          </w:rPr>
          <w:fldChar w:fldCharType="begin"/>
        </w:r>
        <w:r w:rsidR="00070CA7">
          <w:rPr>
            <w:webHidden/>
          </w:rPr>
          <w:instrText xml:space="preserve"> PAGEREF _Toc355274258 \h </w:instrText>
        </w:r>
        <w:r w:rsidR="00070CA7">
          <w:rPr>
            <w:webHidden/>
          </w:rPr>
        </w:r>
        <w:r w:rsidR="00070CA7">
          <w:rPr>
            <w:webHidden/>
          </w:rPr>
          <w:fldChar w:fldCharType="separate"/>
        </w:r>
        <w:r w:rsidR="00070CA7">
          <w:rPr>
            <w:webHidden/>
          </w:rPr>
          <w:t>40</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59" w:history="1">
        <w:r w:rsidR="00070CA7" w:rsidRPr="00994631">
          <w:rPr>
            <w:rStyle w:val="Hyperlink"/>
          </w:rPr>
          <w:t>4.2. Social Media Glossary</w:t>
        </w:r>
        <w:r w:rsidR="00070CA7">
          <w:rPr>
            <w:webHidden/>
          </w:rPr>
          <w:tab/>
        </w:r>
        <w:r w:rsidR="00070CA7">
          <w:rPr>
            <w:webHidden/>
          </w:rPr>
          <w:fldChar w:fldCharType="begin"/>
        </w:r>
        <w:r w:rsidR="00070CA7">
          <w:rPr>
            <w:webHidden/>
          </w:rPr>
          <w:instrText xml:space="preserve"> PAGEREF _Toc355274259 \h </w:instrText>
        </w:r>
        <w:r w:rsidR="00070CA7">
          <w:rPr>
            <w:webHidden/>
          </w:rPr>
        </w:r>
        <w:r w:rsidR="00070CA7">
          <w:rPr>
            <w:webHidden/>
          </w:rPr>
          <w:fldChar w:fldCharType="separate"/>
        </w:r>
        <w:r w:rsidR="00070CA7">
          <w:rPr>
            <w:webHidden/>
          </w:rPr>
          <w:t>40</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60" w:history="1">
        <w:r w:rsidR="00070CA7" w:rsidRPr="00994631">
          <w:rPr>
            <w:rStyle w:val="Hyperlink"/>
          </w:rPr>
          <w:t>4.3. Background</w:t>
        </w:r>
        <w:r w:rsidR="00070CA7">
          <w:rPr>
            <w:webHidden/>
          </w:rPr>
          <w:tab/>
        </w:r>
        <w:r w:rsidR="00070CA7">
          <w:rPr>
            <w:webHidden/>
          </w:rPr>
          <w:fldChar w:fldCharType="begin"/>
        </w:r>
        <w:r w:rsidR="00070CA7">
          <w:rPr>
            <w:webHidden/>
          </w:rPr>
          <w:instrText xml:space="preserve"> PAGEREF _Toc355274260 \h </w:instrText>
        </w:r>
        <w:r w:rsidR="00070CA7">
          <w:rPr>
            <w:webHidden/>
          </w:rPr>
        </w:r>
        <w:r w:rsidR="00070CA7">
          <w:rPr>
            <w:webHidden/>
          </w:rPr>
          <w:fldChar w:fldCharType="separate"/>
        </w:r>
        <w:r w:rsidR="00070CA7">
          <w:rPr>
            <w:webHidden/>
          </w:rPr>
          <w:t>42</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61" w:history="1">
        <w:r w:rsidR="00070CA7" w:rsidRPr="00994631">
          <w:rPr>
            <w:rStyle w:val="Hyperlink"/>
          </w:rPr>
          <w:t>4.3.1. What is Social Media?</w:t>
        </w:r>
        <w:r w:rsidR="00070CA7">
          <w:rPr>
            <w:webHidden/>
          </w:rPr>
          <w:tab/>
        </w:r>
        <w:r w:rsidR="00070CA7">
          <w:rPr>
            <w:webHidden/>
          </w:rPr>
          <w:fldChar w:fldCharType="begin"/>
        </w:r>
        <w:r w:rsidR="00070CA7">
          <w:rPr>
            <w:webHidden/>
          </w:rPr>
          <w:instrText xml:space="preserve"> PAGEREF _Toc355274261 \h </w:instrText>
        </w:r>
        <w:r w:rsidR="00070CA7">
          <w:rPr>
            <w:webHidden/>
          </w:rPr>
        </w:r>
        <w:r w:rsidR="00070CA7">
          <w:rPr>
            <w:webHidden/>
          </w:rPr>
          <w:fldChar w:fldCharType="separate"/>
        </w:r>
        <w:r w:rsidR="00070CA7">
          <w:rPr>
            <w:webHidden/>
          </w:rPr>
          <w:t>42</w:t>
        </w:r>
        <w:r w:rsidR="00070CA7">
          <w:rPr>
            <w:webHidden/>
          </w:rPr>
          <w:fldChar w:fldCharType="end"/>
        </w:r>
      </w:hyperlink>
    </w:p>
    <w:p w:rsidR="00070CA7" w:rsidRDefault="009376C8">
      <w:pPr>
        <w:pStyle w:val="TOC4"/>
        <w:rPr>
          <w:rFonts w:asciiTheme="minorHAnsi" w:eastAsiaTheme="minorEastAsia" w:hAnsiTheme="minorHAnsi" w:cstheme="minorBidi"/>
          <w:sz w:val="22"/>
          <w:szCs w:val="22"/>
        </w:rPr>
      </w:pPr>
      <w:hyperlink w:anchor="_Toc355274262" w:history="1">
        <w:r w:rsidR="00070CA7" w:rsidRPr="00994631">
          <w:rPr>
            <w:rStyle w:val="Hyperlink"/>
          </w:rPr>
          <w:t>4.3.1.1. Twitter</w:t>
        </w:r>
        <w:r w:rsidR="00070CA7">
          <w:rPr>
            <w:webHidden/>
          </w:rPr>
          <w:tab/>
        </w:r>
        <w:r w:rsidR="00070CA7">
          <w:rPr>
            <w:webHidden/>
          </w:rPr>
          <w:fldChar w:fldCharType="begin"/>
        </w:r>
        <w:r w:rsidR="00070CA7">
          <w:rPr>
            <w:webHidden/>
          </w:rPr>
          <w:instrText xml:space="preserve"> PAGEREF _Toc355274262 \h </w:instrText>
        </w:r>
        <w:r w:rsidR="00070CA7">
          <w:rPr>
            <w:webHidden/>
          </w:rPr>
        </w:r>
        <w:r w:rsidR="00070CA7">
          <w:rPr>
            <w:webHidden/>
          </w:rPr>
          <w:fldChar w:fldCharType="separate"/>
        </w:r>
        <w:r w:rsidR="00070CA7">
          <w:rPr>
            <w:webHidden/>
          </w:rPr>
          <w:t>43</w:t>
        </w:r>
        <w:r w:rsidR="00070CA7">
          <w:rPr>
            <w:webHidden/>
          </w:rPr>
          <w:fldChar w:fldCharType="end"/>
        </w:r>
      </w:hyperlink>
    </w:p>
    <w:p w:rsidR="00070CA7" w:rsidRDefault="009376C8">
      <w:pPr>
        <w:pStyle w:val="TOC4"/>
        <w:rPr>
          <w:rFonts w:asciiTheme="minorHAnsi" w:eastAsiaTheme="minorEastAsia" w:hAnsiTheme="minorHAnsi" w:cstheme="minorBidi"/>
          <w:sz w:val="22"/>
          <w:szCs w:val="22"/>
        </w:rPr>
      </w:pPr>
      <w:hyperlink w:anchor="_Toc355274263" w:history="1">
        <w:r w:rsidR="00070CA7" w:rsidRPr="00994631">
          <w:rPr>
            <w:rStyle w:val="Hyperlink"/>
          </w:rPr>
          <w:t>4.3.1.2. Facebook</w:t>
        </w:r>
        <w:r w:rsidR="00070CA7">
          <w:rPr>
            <w:webHidden/>
          </w:rPr>
          <w:tab/>
        </w:r>
        <w:r w:rsidR="00070CA7">
          <w:rPr>
            <w:webHidden/>
          </w:rPr>
          <w:fldChar w:fldCharType="begin"/>
        </w:r>
        <w:r w:rsidR="00070CA7">
          <w:rPr>
            <w:webHidden/>
          </w:rPr>
          <w:instrText xml:space="preserve"> PAGEREF _Toc355274263 \h </w:instrText>
        </w:r>
        <w:r w:rsidR="00070CA7">
          <w:rPr>
            <w:webHidden/>
          </w:rPr>
        </w:r>
        <w:r w:rsidR="00070CA7">
          <w:rPr>
            <w:webHidden/>
          </w:rPr>
          <w:fldChar w:fldCharType="separate"/>
        </w:r>
        <w:r w:rsidR="00070CA7">
          <w:rPr>
            <w:webHidden/>
          </w:rPr>
          <w:t>43</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64" w:history="1">
        <w:r w:rsidR="00070CA7" w:rsidRPr="00994631">
          <w:rPr>
            <w:rStyle w:val="Hyperlink"/>
          </w:rPr>
          <w:t>4.3.2. Demographics</w:t>
        </w:r>
        <w:r w:rsidR="00070CA7">
          <w:rPr>
            <w:webHidden/>
          </w:rPr>
          <w:tab/>
        </w:r>
        <w:r w:rsidR="00070CA7">
          <w:rPr>
            <w:webHidden/>
          </w:rPr>
          <w:fldChar w:fldCharType="begin"/>
        </w:r>
        <w:r w:rsidR="00070CA7">
          <w:rPr>
            <w:webHidden/>
          </w:rPr>
          <w:instrText xml:space="preserve"> PAGEREF _Toc355274264 \h </w:instrText>
        </w:r>
        <w:r w:rsidR="00070CA7">
          <w:rPr>
            <w:webHidden/>
          </w:rPr>
        </w:r>
        <w:r w:rsidR="00070CA7">
          <w:rPr>
            <w:webHidden/>
          </w:rPr>
          <w:fldChar w:fldCharType="separate"/>
        </w:r>
        <w:r w:rsidR="00070CA7">
          <w:rPr>
            <w:webHidden/>
          </w:rPr>
          <w:t>44</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65" w:history="1">
        <w:r w:rsidR="00070CA7" w:rsidRPr="00994631">
          <w:rPr>
            <w:rStyle w:val="Hyperlink"/>
          </w:rPr>
          <w:t>4.3.3. Social Media and Organisations</w:t>
        </w:r>
        <w:r w:rsidR="00070CA7">
          <w:rPr>
            <w:webHidden/>
          </w:rPr>
          <w:tab/>
        </w:r>
        <w:r w:rsidR="00070CA7">
          <w:rPr>
            <w:webHidden/>
          </w:rPr>
          <w:fldChar w:fldCharType="begin"/>
        </w:r>
        <w:r w:rsidR="00070CA7">
          <w:rPr>
            <w:webHidden/>
          </w:rPr>
          <w:instrText xml:space="preserve"> PAGEREF _Toc355274265 \h </w:instrText>
        </w:r>
        <w:r w:rsidR="00070CA7">
          <w:rPr>
            <w:webHidden/>
          </w:rPr>
        </w:r>
        <w:r w:rsidR="00070CA7">
          <w:rPr>
            <w:webHidden/>
          </w:rPr>
          <w:fldChar w:fldCharType="separate"/>
        </w:r>
        <w:r w:rsidR="00070CA7">
          <w:rPr>
            <w:webHidden/>
          </w:rPr>
          <w:t>44</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66" w:history="1">
        <w:r w:rsidR="00070CA7" w:rsidRPr="00994631">
          <w:rPr>
            <w:rStyle w:val="Hyperlink"/>
          </w:rPr>
          <w:t>4.3.4. Social Media and the Australian Government</w:t>
        </w:r>
        <w:r w:rsidR="00070CA7">
          <w:rPr>
            <w:webHidden/>
          </w:rPr>
          <w:tab/>
        </w:r>
        <w:r w:rsidR="00070CA7">
          <w:rPr>
            <w:webHidden/>
          </w:rPr>
          <w:fldChar w:fldCharType="begin"/>
        </w:r>
        <w:r w:rsidR="00070CA7">
          <w:rPr>
            <w:webHidden/>
          </w:rPr>
          <w:instrText xml:space="preserve"> PAGEREF _Toc355274266 \h </w:instrText>
        </w:r>
        <w:r w:rsidR="00070CA7">
          <w:rPr>
            <w:webHidden/>
          </w:rPr>
        </w:r>
        <w:r w:rsidR="00070CA7">
          <w:rPr>
            <w:webHidden/>
          </w:rPr>
          <w:fldChar w:fldCharType="separate"/>
        </w:r>
        <w:r w:rsidR="00070CA7">
          <w:rPr>
            <w:webHidden/>
          </w:rPr>
          <w:t>45</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67" w:history="1">
        <w:r w:rsidR="00070CA7" w:rsidRPr="00994631">
          <w:rPr>
            <w:rStyle w:val="Hyperlink"/>
          </w:rPr>
          <w:t>4.4. Implementation</w:t>
        </w:r>
        <w:r w:rsidR="00070CA7">
          <w:rPr>
            <w:webHidden/>
          </w:rPr>
          <w:tab/>
        </w:r>
        <w:r w:rsidR="00070CA7">
          <w:rPr>
            <w:webHidden/>
          </w:rPr>
          <w:fldChar w:fldCharType="begin"/>
        </w:r>
        <w:r w:rsidR="00070CA7">
          <w:rPr>
            <w:webHidden/>
          </w:rPr>
          <w:instrText xml:space="preserve"> PAGEREF _Toc355274267 \h </w:instrText>
        </w:r>
        <w:r w:rsidR="00070CA7">
          <w:rPr>
            <w:webHidden/>
          </w:rPr>
        </w:r>
        <w:r w:rsidR="00070CA7">
          <w:rPr>
            <w:webHidden/>
          </w:rPr>
          <w:fldChar w:fldCharType="separate"/>
        </w:r>
        <w:r w:rsidR="00070CA7">
          <w:rPr>
            <w:webHidden/>
          </w:rPr>
          <w:t>46</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68" w:history="1">
        <w:r w:rsidR="00070CA7" w:rsidRPr="00994631">
          <w:rPr>
            <w:rStyle w:val="Hyperlink"/>
          </w:rPr>
          <w:t>4.4.1. Social Media Page Content</w:t>
        </w:r>
        <w:r w:rsidR="00070CA7">
          <w:rPr>
            <w:webHidden/>
          </w:rPr>
          <w:tab/>
        </w:r>
        <w:r w:rsidR="00070CA7">
          <w:rPr>
            <w:webHidden/>
          </w:rPr>
          <w:fldChar w:fldCharType="begin"/>
        </w:r>
        <w:r w:rsidR="00070CA7">
          <w:rPr>
            <w:webHidden/>
          </w:rPr>
          <w:instrText xml:space="preserve"> PAGEREF _Toc355274268 \h </w:instrText>
        </w:r>
        <w:r w:rsidR="00070CA7">
          <w:rPr>
            <w:webHidden/>
          </w:rPr>
        </w:r>
        <w:r w:rsidR="00070CA7">
          <w:rPr>
            <w:webHidden/>
          </w:rPr>
          <w:fldChar w:fldCharType="separate"/>
        </w:r>
        <w:r w:rsidR="00070CA7">
          <w:rPr>
            <w:webHidden/>
          </w:rPr>
          <w:t>47</w:t>
        </w:r>
        <w:r w:rsidR="00070CA7">
          <w:rPr>
            <w:webHidden/>
          </w:rPr>
          <w:fldChar w:fldCharType="end"/>
        </w:r>
      </w:hyperlink>
    </w:p>
    <w:p w:rsidR="00070CA7" w:rsidRDefault="009376C8">
      <w:pPr>
        <w:pStyle w:val="TOC4"/>
        <w:rPr>
          <w:rFonts w:asciiTheme="minorHAnsi" w:eastAsiaTheme="minorEastAsia" w:hAnsiTheme="minorHAnsi" w:cstheme="minorBidi"/>
          <w:sz w:val="22"/>
          <w:szCs w:val="22"/>
        </w:rPr>
      </w:pPr>
      <w:hyperlink w:anchor="_Toc355274269" w:history="1">
        <w:r w:rsidR="00070CA7" w:rsidRPr="00994631">
          <w:rPr>
            <w:rStyle w:val="Hyperlink"/>
          </w:rPr>
          <w:t>4.4.1.1. Hootsuite</w:t>
        </w:r>
        <w:r w:rsidR="00070CA7">
          <w:rPr>
            <w:webHidden/>
          </w:rPr>
          <w:tab/>
        </w:r>
        <w:r w:rsidR="00070CA7">
          <w:rPr>
            <w:webHidden/>
          </w:rPr>
          <w:fldChar w:fldCharType="begin"/>
        </w:r>
        <w:r w:rsidR="00070CA7">
          <w:rPr>
            <w:webHidden/>
          </w:rPr>
          <w:instrText xml:space="preserve"> PAGEREF _Toc355274269 \h </w:instrText>
        </w:r>
        <w:r w:rsidR="00070CA7">
          <w:rPr>
            <w:webHidden/>
          </w:rPr>
        </w:r>
        <w:r w:rsidR="00070CA7">
          <w:rPr>
            <w:webHidden/>
          </w:rPr>
          <w:fldChar w:fldCharType="separate"/>
        </w:r>
        <w:r w:rsidR="00070CA7">
          <w:rPr>
            <w:webHidden/>
          </w:rPr>
          <w:t>48</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70" w:history="1">
        <w:r w:rsidR="00070CA7" w:rsidRPr="00994631">
          <w:rPr>
            <w:rStyle w:val="Hyperlink"/>
          </w:rPr>
          <w:t>4.4.2. Social Media Monitoring</w:t>
        </w:r>
        <w:r w:rsidR="00070CA7">
          <w:rPr>
            <w:webHidden/>
          </w:rPr>
          <w:tab/>
        </w:r>
        <w:r w:rsidR="00070CA7">
          <w:rPr>
            <w:webHidden/>
          </w:rPr>
          <w:fldChar w:fldCharType="begin"/>
        </w:r>
        <w:r w:rsidR="00070CA7">
          <w:rPr>
            <w:webHidden/>
          </w:rPr>
          <w:instrText xml:space="preserve"> PAGEREF _Toc355274270 \h </w:instrText>
        </w:r>
        <w:r w:rsidR="00070CA7">
          <w:rPr>
            <w:webHidden/>
          </w:rPr>
        </w:r>
        <w:r w:rsidR="00070CA7">
          <w:rPr>
            <w:webHidden/>
          </w:rPr>
          <w:fldChar w:fldCharType="separate"/>
        </w:r>
        <w:r w:rsidR="00070CA7">
          <w:rPr>
            <w:webHidden/>
          </w:rPr>
          <w:t>49</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71" w:history="1">
        <w:r w:rsidR="00070CA7" w:rsidRPr="00994631">
          <w:rPr>
            <w:rStyle w:val="Hyperlink"/>
          </w:rPr>
          <w:t>4.4.3. Advertising</w:t>
        </w:r>
        <w:r w:rsidR="00070CA7">
          <w:rPr>
            <w:webHidden/>
          </w:rPr>
          <w:tab/>
        </w:r>
        <w:r w:rsidR="00070CA7">
          <w:rPr>
            <w:webHidden/>
          </w:rPr>
          <w:fldChar w:fldCharType="begin"/>
        </w:r>
        <w:r w:rsidR="00070CA7">
          <w:rPr>
            <w:webHidden/>
          </w:rPr>
          <w:instrText xml:space="preserve"> PAGEREF _Toc355274271 \h </w:instrText>
        </w:r>
        <w:r w:rsidR="00070CA7">
          <w:rPr>
            <w:webHidden/>
          </w:rPr>
        </w:r>
        <w:r w:rsidR="00070CA7">
          <w:rPr>
            <w:webHidden/>
          </w:rPr>
          <w:fldChar w:fldCharType="separate"/>
        </w:r>
        <w:r w:rsidR="00070CA7">
          <w:rPr>
            <w:webHidden/>
          </w:rPr>
          <w:t>49</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72" w:history="1">
        <w:r w:rsidR="00070CA7" w:rsidRPr="00994631">
          <w:rPr>
            <w:rStyle w:val="Hyperlink"/>
          </w:rPr>
          <w:t>4.4.4. Social Media Analysis</w:t>
        </w:r>
        <w:r w:rsidR="00070CA7">
          <w:rPr>
            <w:webHidden/>
          </w:rPr>
          <w:tab/>
        </w:r>
        <w:r w:rsidR="00070CA7">
          <w:rPr>
            <w:webHidden/>
          </w:rPr>
          <w:fldChar w:fldCharType="begin"/>
        </w:r>
        <w:r w:rsidR="00070CA7">
          <w:rPr>
            <w:webHidden/>
          </w:rPr>
          <w:instrText xml:space="preserve"> PAGEREF _Toc355274272 \h </w:instrText>
        </w:r>
        <w:r w:rsidR="00070CA7">
          <w:rPr>
            <w:webHidden/>
          </w:rPr>
        </w:r>
        <w:r w:rsidR="00070CA7">
          <w:rPr>
            <w:webHidden/>
          </w:rPr>
          <w:fldChar w:fldCharType="separate"/>
        </w:r>
        <w:r w:rsidR="00070CA7">
          <w:rPr>
            <w:webHidden/>
          </w:rPr>
          <w:t>52</w:t>
        </w:r>
        <w:r w:rsidR="00070CA7">
          <w:rPr>
            <w:webHidden/>
          </w:rPr>
          <w:fldChar w:fldCharType="end"/>
        </w:r>
      </w:hyperlink>
    </w:p>
    <w:p w:rsidR="00070CA7" w:rsidRDefault="009376C8">
      <w:pPr>
        <w:pStyle w:val="TOC4"/>
        <w:rPr>
          <w:rFonts w:asciiTheme="minorHAnsi" w:eastAsiaTheme="minorEastAsia" w:hAnsiTheme="minorHAnsi" w:cstheme="minorBidi"/>
          <w:sz w:val="22"/>
          <w:szCs w:val="22"/>
        </w:rPr>
      </w:pPr>
      <w:hyperlink w:anchor="_Toc355274273" w:history="1">
        <w:r w:rsidR="00070CA7" w:rsidRPr="00994631">
          <w:rPr>
            <w:rStyle w:val="Hyperlink"/>
          </w:rPr>
          <w:t>4.4.4.1. Facebook Insights</w:t>
        </w:r>
        <w:r w:rsidR="00070CA7">
          <w:rPr>
            <w:webHidden/>
          </w:rPr>
          <w:tab/>
        </w:r>
        <w:r w:rsidR="00070CA7">
          <w:rPr>
            <w:webHidden/>
          </w:rPr>
          <w:fldChar w:fldCharType="begin"/>
        </w:r>
        <w:r w:rsidR="00070CA7">
          <w:rPr>
            <w:webHidden/>
          </w:rPr>
          <w:instrText xml:space="preserve"> PAGEREF _Toc355274273 \h </w:instrText>
        </w:r>
        <w:r w:rsidR="00070CA7">
          <w:rPr>
            <w:webHidden/>
          </w:rPr>
        </w:r>
        <w:r w:rsidR="00070CA7">
          <w:rPr>
            <w:webHidden/>
          </w:rPr>
          <w:fldChar w:fldCharType="separate"/>
        </w:r>
        <w:r w:rsidR="00070CA7">
          <w:rPr>
            <w:webHidden/>
          </w:rPr>
          <w:t>53</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74" w:history="1">
        <w:r w:rsidR="00070CA7" w:rsidRPr="00994631">
          <w:rPr>
            <w:rStyle w:val="Hyperlink"/>
          </w:rPr>
          <w:t>4.5. Analysis of the Social Media Pages</w:t>
        </w:r>
        <w:r w:rsidR="00070CA7">
          <w:rPr>
            <w:webHidden/>
          </w:rPr>
          <w:tab/>
        </w:r>
        <w:r w:rsidR="00070CA7">
          <w:rPr>
            <w:webHidden/>
          </w:rPr>
          <w:fldChar w:fldCharType="begin"/>
        </w:r>
        <w:r w:rsidR="00070CA7">
          <w:rPr>
            <w:webHidden/>
          </w:rPr>
          <w:instrText xml:space="preserve"> PAGEREF _Toc355274274 \h </w:instrText>
        </w:r>
        <w:r w:rsidR="00070CA7">
          <w:rPr>
            <w:webHidden/>
          </w:rPr>
        </w:r>
        <w:r w:rsidR="00070CA7">
          <w:rPr>
            <w:webHidden/>
          </w:rPr>
          <w:fldChar w:fldCharType="separate"/>
        </w:r>
        <w:r w:rsidR="00070CA7">
          <w:rPr>
            <w:webHidden/>
          </w:rPr>
          <w:t>53</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75" w:history="1">
        <w:r w:rsidR="00070CA7" w:rsidRPr="00994631">
          <w:rPr>
            <w:rStyle w:val="Hyperlink"/>
          </w:rPr>
          <w:t>4.5.1. Who was Engaged</w:t>
        </w:r>
        <w:r w:rsidR="00070CA7">
          <w:rPr>
            <w:webHidden/>
          </w:rPr>
          <w:tab/>
        </w:r>
        <w:r w:rsidR="00070CA7">
          <w:rPr>
            <w:webHidden/>
          </w:rPr>
          <w:fldChar w:fldCharType="begin"/>
        </w:r>
        <w:r w:rsidR="00070CA7">
          <w:rPr>
            <w:webHidden/>
          </w:rPr>
          <w:instrText xml:space="preserve"> PAGEREF _Toc355274275 \h </w:instrText>
        </w:r>
        <w:r w:rsidR="00070CA7">
          <w:rPr>
            <w:webHidden/>
          </w:rPr>
        </w:r>
        <w:r w:rsidR="00070CA7">
          <w:rPr>
            <w:webHidden/>
          </w:rPr>
          <w:fldChar w:fldCharType="separate"/>
        </w:r>
        <w:r w:rsidR="00070CA7">
          <w:rPr>
            <w:webHidden/>
          </w:rPr>
          <w:t>53</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76" w:history="1">
        <w:r w:rsidR="00070CA7" w:rsidRPr="00994631">
          <w:rPr>
            <w:rStyle w:val="Hyperlink"/>
          </w:rPr>
          <w:t>4.5.2. How Reach Changed Over Time</w:t>
        </w:r>
        <w:r w:rsidR="00070CA7">
          <w:rPr>
            <w:webHidden/>
          </w:rPr>
          <w:tab/>
        </w:r>
        <w:r w:rsidR="00070CA7">
          <w:rPr>
            <w:webHidden/>
          </w:rPr>
          <w:fldChar w:fldCharType="begin"/>
        </w:r>
        <w:r w:rsidR="00070CA7">
          <w:rPr>
            <w:webHidden/>
          </w:rPr>
          <w:instrText xml:space="preserve"> PAGEREF _Toc355274276 \h </w:instrText>
        </w:r>
        <w:r w:rsidR="00070CA7">
          <w:rPr>
            <w:webHidden/>
          </w:rPr>
        </w:r>
        <w:r w:rsidR="00070CA7">
          <w:rPr>
            <w:webHidden/>
          </w:rPr>
          <w:fldChar w:fldCharType="separate"/>
        </w:r>
        <w:r w:rsidR="00070CA7">
          <w:rPr>
            <w:webHidden/>
          </w:rPr>
          <w:t>55</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77" w:history="1">
        <w:r w:rsidR="00070CA7" w:rsidRPr="00994631">
          <w:rPr>
            <w:rStyle w:val="Hyperlink"/>
          </w:rPr>
          <w:t>4.5.3. How Interaction Changed Over Time</w:t>
        </w:r>
        <w:r w:rsidR="00070CA7">
          <w:rPr>
            <w:webHidden/>
          </w:rPr>
          <w:tab/>
        </w:r>
        <w:r w:rsidR="00070CA7">
          <w:rPr>
            <w:webHidden/>
          </w:rPr>
          <w:fldChar w:fldCharType="begin"/>
        </w:r>
        <w:r w:rsidR="00070CA7">
          <w:rPr>
            <w:webHidden/>
          </w:rPr>
          <w:instrText xml:space="preserve"> PAGEREF _Toc355274277 \h </w:instrText>
        </w:r>
        <w:r w:rsidR="00070CA7">
          <w:rPr>
            <w:webHidden/>
          </w:rPr>
        </w:r>
        <w:r w:rsidR="00070CA7">
          <w:rPr>
            <w:webHidden/>
          </w:rPr>
          <w:fldChar w:fldCharType="separate"/>
        </w:r>
        <w:r w:rsidR="00070CA7">
          <w:rPr>
            <w:webHidden/>
          </w:rPr>
          <w:t>57</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78" w:history="1">
        <w:r w:rsidR="00070CA7" w:rsidRPr="00994631">
          <w:rPr>
            <w:rStyle w:val="Hyperlink"/>
          </w:rPr>
          <w:t>4.5.4. Interaction by Post Content</w:t>
        </w:r>
        <w:r w:rsidR="00070CA7">
          <w:rPr>
            <w:webHidden/>
          </w:rPr>
          <w:tab/>
        </w:r>
        <w:r w:rsidR="00070CA7">
          <w:rPr>
            <w:webHidden/>
          </w:rPr>
          <w:fldChar w:fldCharType="begin"/>
        </w:r>
        <w:r w:rsidR="00070CA7">
          <w:rPr>
            <w:webHidden/>
          </w:rPr>
          <w:instrText xml:space="preserve"> PAGEREF _Toc355274278 \h </w:instrText>
        </w:r>
        <w:r w:rsidR="00070CA7">
          <w:rPr>
            <w:webHidden/>
          </w:rPr>
        </w:r>
        <w:r w:rsidR="00070CA7">
          <w:rPr>
            <w:webHidden/>
          </w:rPr>
          <w:fldChar w:fldCharType="separate"/>
        </w:r>
        <w:r w:rsidR="00070CA7">
          <w:rPr>
            <w:webHidden/>
          </w:rPr>
          <w:t>60</w:t>
        </w:r>
        <w:r w:rsidR="00070CA7">
          <w:rPr>
            <w:webHidden/>
          </w:rPr>
          <w:fldChar w:fldCharType="end"/>
        </w:r>
      </w:hyperlink>
    </w:p>
    <w:p w:rsidR="00070CA7" w:rsidRDefault="009376C8">
      <w:pPr>
        <w:pStyle w:val="TOC4"/>
        <w:rPr>
          <w:rFonts w:asciiTheme="minorHAnsi" w:eastAsiaTheme="minorEastAsia" w:hAnsiTheme="minorHAnsi" w:cstheme="minorBidi"/>
          <w:sz w:val="22"/>
          <w:szCs w:val="22"/>
        </w:rPr>
      </w:pPr>
      <w:hyperlink w:anchor="_Toc355274279" w:history="1">
        <w:r w:rsidR="00070CA7" w:rsidRPr="00994631">
          <w:rPr>
            <w:rStyle w:val="Hyperlink"/>
          </w:rPr>
          <w:t>4.5.4.1. Twitter</w:t>
        </w:r>
        <w:r w:rsidR="00070CA7">
          <w:rPr>
            <w:webHidden/>
          </w:rPr>
          <w:tab/>
        </w:r>
        <w:r w:rsidR="00070CA7">
          <w:rPr>
            <w:webHidden/>
          </w:rPr>
          <w:fldChar w:fldCharType="begin"/>
        </w:r>
        <w:r w:rsidR="00070CA7">
          <w:rPr>
            <w:webHidden/>
          </w:rPr>
          <w:instrText xml:space="preserve"> PAGEREF _Toc355274279 \h </w:instrText>
        </w:r>
        <w:r w:rsidR="00070CA7">
          <w:rPr>
            <w:webHidden/>
          </w:rPr>
        </w:r>
        <w:r w:rsidR="00070CA7">
          <w:rPr>
            <w:webHidden/>
          </w:rPr>
          <w:fldChar w:fldCharType="separate"/>
        </w:r>
        <w:r w:rsidR="00070CA7">
          <w:rPr>
            <w:webHidden/>
          </w:rPr>
          <w:t>60</w:t>
        </w:r>
        <w:r w:rsidR="00070CA7">
          <w:rPr>
            <w:webHidden/>
          </w:rPr>
          <w:fldChar w:fldCharType="end"/>
        </w:r>
      </w:hyperlink>
    </w:p>
    <w:p w:rsidR="00070CA7" w:rsidRDefault="009376C8">
      <w:pPr>
        <w:pStyle w:val="TOC4"/>
        <w:rPr>
          <w:rFonts w:asciiTheme="minorHAnsi" w:eastAsiaTheme="minorEastAsia" w:hAnsiTheme="minorHAnsi" w:cstheme="minorBidi"/>
          <w:sz w:val="22"/>
          <w:szCs w:val="22"/>
        </w:rPr>
      </w:pPr>
      <w:hyperlink w:anchor="_Toc355274280" w:history="1">
        <w:r w:rsidR="00070CA7" w:rsidRPr="00994631">
          <w:rPr>
            <w:rStyle w:val="Hyperlink"/>
          </w:rPr>
          <w:t>4.5.4.2. Facebook</w:t>
        </w:r>
        <w:r w:rsidR="00070CA7">
          <w:rPr>
            <w:webHidden/>
          </w:rPr>
          <w:tab/>
        </w:r>
        <w:r w:rsidR="00070CA7">
          <w:rPr>
            <w:webHidden/>
          </w:rPr>
          <w:fldChar w:fldCharType="begin"/>
        </w:r>
        <w:r w:rsidR="00070CA7">
          <w:rPr>
            <w:webHidden/>
          </w:rPr>
          <w:instrText xml:space="preserve"> PAGEREF _Toc355274280 \h </w:instrText>
        </w:r>
        <w:r w:rsidR="00070CA7">
          <w:rPr>
            <w:webHidden/>
          </w:rPr>
        </w:r>
        <w:r w:rsidR="00070CA7">
          <w:rPr>
            <w:webHidden/>
          </w:rPr>
          <w:fldChar w:fldCharType="separate"/>
        </w:r>
        <w:r w:rsidR="00070CA7">
          <w:rPr>
            <w:webHidden/>
          </w:rPr>
          <w:t>62</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81" w:history="1">
        <w:r w:rsidR="00070CA7" w:rsidRPr="00994631">
          <w:rPr>
            <w:rStyle w:val="Hyperlink"/>
          </w:rPr>
          <w:t>4.5.5. Negative Interaction</w:t>
        </w:r>
        <w:r w:rsidR="00070CA7">
          <w:rPr>
            <w:webHidden/>
          </w:rPr>
          <w:tab/>
        </w:r>
        <w:r w:rsidR="00070CA7">
          <w:rPr>
            <w:webHidden/>
          </w:rPr>
          <w:fldChar w:fldCharType="begin"/>
        </w:r>
        <w:r w:rsidR="00070CA7">
          <w:rPr>
            <w:webHidden/>
          </w:rPr>
          <w:instrText xml:space="preserve"> PAGEREF _Toc355274281 \h </w:instrText>
        </w:r>
        <w:r w:rsidR="00070CA7">
          <w:rPr>
            <w:webHidden/>
          </w:rPr>
        </w:r>
        <w:r w:rsidR="00070CA7">
          <w:rPr>
            <w:webHidden/>
          </w:rPr>
          <w:fldChar w:fldCharType="separate"/>
        </w:r>
        <w:r w:rsidR="00070CA7">
          <w:rPr>
            <w:webHidden/>
          </w:rPr>
          <w:t>62</w:t>
        </w:r>
        <w:r w:rsidR="00070CA7">
          <w:rPr>
            <w:webHidden/>
          </w:rPr>
          <w:fldChar w:fldCharType="end"/>
        </w:r>
      </w:hyperlink>
    </w:p>
    <w:p w:rsidR="00070CA7" w:rsidRDefault="009376C8">
      <w:pPr>
        <w:pStyle w:val="TOC3"/>
        <w:rPr>
          <w:rFonts w:asciiTheme="minorHAnsi" w:eastAsiaTheme="minorEastAsia" w:hAnsiTheme="minorHAnsi" w:cstheme="minorBidi"/>
          <w:sz w:val="22"/>
          <w:szCs w:val="22"/>
        </w:rPr>
      </w:pPr>
      <w:hyperlink w:anchor="_Toc355274282" w:history="1">
        <w:r w:rsidR="00070CA7" w:rsidRPr="00994631">
          <w:rPr>
            <w:rStyle w:val="Hyperlink"/>
          </w:rPr>
          <w:t>4.5.6. Trouble Shooting</w:t>
        </w:r>
        <w:r w:rsidR="00070CA7">
          <w:rPr>
            <w:webHidden/>
          </w:rPr>
          <w:tab/>
        </w:r>
        <w:r w:rsidR="00070CA7">
          <w:rPr>
            <w:webHidden/>
          </w:rPr>
          <w:fldChar w:fldCharType="begin"/>
        </w:r>
        <w:r w:rsidR="00070CA7">
          <w:rPr>
            <w:webHidden/>
          </w:rPr>
          <w:instrText xml:space="preserve"> PAGEREF _Toc355274282 \h </w:instrText>
        </w:r>
        <w:r w:rsidR="00070CA7">
          <w:rPr>
            <w:webHidden/>
          </w:rPr>
        </w:r>
        <w:r w:rsidR="00070CA7">
          <w:rPr>
            <w:webHidden/>
          </w:rPr>
          <w:fldChar w:fldCharType="separate"/>
        </w:r>
        <w:r w:rsidR="00070CA7">
          <w:rPr>
            <w:webHidden/>
          </w:rPr>
          <w:t>63</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83" w:history="1">
        <w:r w:rsidR="00070CA7" w:rsidRPr="00994631">
          <w:rPr>
            <w:rStyle w:val="Hyperlink"/>
          </w:rPr>
          <w:t>4.6. Conclusions</w:t>
        </w:r>
        <w:r w:rsidR="00070CA7">
          <w:rPr>
            <w:webHidden/>
          </w:rPr>
          <w:tab/>
        </w:r>
        <w:r w:rsidR="00070CA7">
          <w:rPr>
            <w:webHidden/>
          </w:rPr>
          <w:fldChar w:fldCharType="begin"/>
        </w:r>
        <w:r w:rsidR="00070CA7">
          <w:rPr>
            <w:webHidden/>
          </w:rPr>
          <w:instrText xml:space="preserve"> PAGEREF _Toc355274283 \h </w:instrText>
        </w:r>
        <w:r w:rsidR="00070CA7">
          <w:rPr>
            <w:webHidden/>
          </w:rPr>
        </w:r>
        <w:r w:rsidR="00070CA7">
          <w:rPr>
            <w:webHidden/>
          </w:rPr>
          <w:fldChar w:fldCharType="separate"/>
        </w:r>
        <w:r w:rsidR="00070CA7">
          <w:rPr>
            <w:webHidden/>
          </w:rPr>
          <w:t>63</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84" w:history="1">
        <w:r w:rsidR="00070CA7" w:rsidRPr="00994631">
          <w:rPr>
            <w:rStyle w:val="Hyperlink"/>
          </w:rPr>
          <w:t>4.7. Recommendations</w:t>
        </w:r>
        <w:r w:rsidR="00070CA7">
          <w:rPr>
            <w:webHidden/>
          </w:rPr>
          <w:tab/>
        </w:r>
        <w:r w:rsidR="00070CA7">
          <w:rPr>
            <w:webHidden/>
          </w:rPr>
          <w:fldChar w:fldCharType="begin"/>
        </w:r>
        <w:r w:rsidR="00070CA7">
          <w:rPr>
            <w:webHidden/>
          </w:rPr>
          <w:instrText xml:space="preserve"> PAGEREF _Toc355274284 \h </w:instrText>
        </w:r>
        <w:r w:rsidR="00070CA7">
          <w:rPr>
            <w:webHidden/>
          </w:rPr>
        </w:r>
        <w:r w:rsidR="00070CA7">
          <w:rPr>
            <w:webHidden/>
          </w:rPr>
          <w:fldChar w:fldCharType="separate"/>
        </w:r>
        <w:r w:rsidR="00070CA7">
          <w:rPr>
            <w:webHidden/>
          </w:rPr>
          <w:t>64</w:t>
        </w:r>
        <w:r w:rsidR="00070CA7">
          <w:rPr>
            <w:webHidden/>
          </w:rPr>
          <w:fldChar w:fldCharType="end"/>
        </w:r>
      </w:hyperlink>
    </w:p>
    <w:p w:rsidR="00070CA7" w:rsidRDefault="009376C8">
      <w:pPr>
        <w:pStyle w:val="TOC1"/>
        <w:rPr>
          <w:rFonts w:asciiTheme="minorHAnsi" w:eastAsiaTheme="minorEastAsia" w:hAnsiTheme="minorHAnsi" w:cstheme="minorBidi"/>
          <w:sz w:val="22"/>
          <w:szCs w:val="22"/>
        </w:rPr>
      </w:pPr>
      <w:hyperlink w:anchor="_Toc355274285" w:history="1">
        <w:r w:rsidR="00070CA7" w:rsidRPr="00994631">
          <w:rPr>
            <w:rStyle w:val="Hyperlink"/>
          </w:rPr>
          <w:t>5. Overall Conclusions</w:t>
        </w:r>
        <w:r w:rsidR="00070CA7">
          <w:rPr>
            <w:webHidden/>
          </w:rPr>
          <w:tab/>
        </w:r>
        <w:r w:rsidR="00070CA7">
          <w:rPr>
            <w:webHidden/>
          </w:rPr>
          <w:fldChar w:fldCharType="begin"/>
        </w:r>
        <w:r w:rsidR="00070CA7">
          <w:rPr>
            <w:webHidden/>
          </w:rPr>
          <w:instrText xml:space="preserve"> PAGEREF _Toc355274285 \h </w:instrText>
        </w:r>
        <w:r w:rsidR="00070CA7">
          <w:rPr>
            <w:webHidden/>
          </w:rPr>
        </w:r>
        <w:r w:rsidR="00070CA7">
          <w:rPr>
            <w:webHidden/>
          </w:rPr>
          <w:fldChar w:fldCharType="separate"/>
        </w:r>
        <w:r w:rsidR="00070CA7">
          <w:rPr>
            <w:webHidden/>
          </w:rPr>
          <w:t>65</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86" w:history="1">
        <w:r w:rsidR="00070CA7" w:rsidRPr="00994631">
          <w:rPr>
            <w:rStyle w:val="Hyperlink"/>
          </w:rPr>
          <w:t>5.1. Acknowledgments</w:t>
        </w:r>
        <w:r w:rsidR="00070CA7">
          <w:rPr>
            <w:webHidden/>
          </w:rPr>
          <w:tab/>
        </w:r>
        <w:r w:rsidR="00070CA7">
          <w:rPr>
            <w:webHidden/>
          </w:rPr>
          <w:fldChar w:fldCharType="begin"/>
        </w:r>
        <w:r w:rsidR="00070CA7">
          <w:rPr>
            <w:webHidden/>
          </w:rPr>
          <w:instrText xml:space="preserve"> PAGEREF _Toc355274286 \h </w:instrText>
        </w:r>
        <w:r w:rsidR="00070CA7">
          <w:rPr>
            <w:webHidden/>
          </w:rPr>
        </w:r>
        <w:r w:rsidR="00070CA7">
          <w:rPr>
            <w:webHidden/>
          </w:rPr>
          <w:fldChar w:fldCharType="separate"/>
        </w:r>
        <w:r w:rsidR="00070CA7">
          <w:rPr>
            <w:webHidden/>
          </w:rPr>
          <w:t>65</w:t>
        </w:r>
        <w:r w:rsidR="00070CA7">
          <w:rPr>
            <w:webHidden/>
          </w:rPr>
          <w:fldChar w:fldCharType="end"/>
        </w:r>
      </w:hyperlink>
    </w:p>
    <w:p w:rsidR="00070CA7" w:rsidRDefault="009376C8">
      <w:pPr>
        <w:pStyle w:val="TOC1"/>
        <w:rPr>
          <w:rFonts w:asciiTheme="minorHAnsi" w:eastAsiaTheme="minorEastAsia" w:hAnsiTheme="minorHAnsi" w:cstheme="minorBidi"/>
          <w:sz w:val="22"/>
          <w:szCs w:val="22"/>
        </w:rPr>
      </w:pPr>
      <w:hyperlink w:anchor="_Toc355274287" w:history="1">
        <w:r w:rsidR="00070CA7" w:rsidRPr="00994631">
          <w:rPr>
            <w:rStyle w:val="Hyperlink"/>
          </w:rPr>
          <w:t>References</w:t>
        </w:r>
        <w:r w:rsidR="00070CA7">
          <w:rPr>
            <w:webHidden/>
          </w:rPr>
          <w:tab/>
        </w:r>
        <w:r w:rsidR="00070CA7">
          <w:rPr>
            <w:webHidden/>
          </w:rPr>
          <w:fldChar w:fldCharType="begin"/>
        </w:r>
        <w:r w:rsidR="00070CA7">
          <w:rPr>
            <w:webHidden/>
          </w:rPr>
          <w:instrText xml:space="preserve"> PAGEREF _Toc355274287 \h </w:instrText>
        </w:r>
        <w:r w:rsidR="00070CA7">
          <w:rPr>
            <w:webHidden/>
          </w:rPr>
        </w:r>
        <w:r w:rsidR="00070CA7">
          <w:rPr>
            <w:webHidden/>
          </w:rPr>
          <w:fldChar w:fldCharType="separate"/>
        </w:r>
        <w:r w:rsidR="00070CA7">
          <w:rPr>
            <w:webHidden/>
          </w:rPr>
          <w:t>67</w:t>
        </w:r>
        <w:r w:rsidR="00070CA7">
          <w:rPr>
            <w:webHidden/>
          </w:rPr>
          <w:fldChar w:fldCharType="end"/>
        </w:r>
      </w:hyperlink>
    </w:p>
    <w:p w:rsidR="00070CA7" w:rsidRDefault="009376C8">
      <w:pPr>
        <w:pStyle w:val="TOC1"/>
        <w:rPr>
          <w:rFonts w:asciiTheme="minorHAnsi" w:eastAsiaTheme="minorEastAsia" w:hAnsiTheme="minorHAnsi" w:cstheme="minorBidi"/>
          <w:sz w:val="22"/>
          <w:szCs w:val="22"/>
        </w:rPr>
      </w:pPr>
      <w:hyperlink w:anchor="_Toc355274288" w:history="1">
        <w:r w:rsidR="00070CA7" w:rsidRPr="00994631">
          <w:rPr>
            <w:rStyle w:val="Hyperlink"/>
          </w:rPr>
          <w:t>Appendix One: Pre-34</w:t>
        </w:r>
        <w:r w:rsidR="00070CA7" w:rsidRPr="00994631">
          <w:rPr>
            <w:rStyle w:val="Hyperlink"/>
            <w:vertAlign w:val="superscript"/>
          </w:rPr>
          <w:t>th</w:t>
        </w:r>
        <w:r w:rsidR="00070CA7" w:rsidRPr="00994631">
          <w:rPr>
            <w:rStyle w:val="Hyperlink"/>
          </w:rPr>
          <w:t xml:space="preserve"> IGC Survey Questions</w:t>
        </w:r>
        <w:r w:rsidR="00070CA7">
          <w:rPr>
            <w:webHidden/>
          </w:rPr>
          <w:tab/>
        </w:r>
        <w:r w:rsidR="00070CA7">
          <w:rPr>
            <w:webHidden/>
          </w:rPr>
          <w:fldChar w:fldCharType="begin"/>
        </w:r>
        <w:r w:rsidR="00070CA7">
          <w:rPr>
            <w:webHidden/>
          </w:rPr>
          <w:instrText xml:space="preserve"> PAGEREF _Toc355274288 \h </w:instrText>
        </w:r>
        <w:r w:rsidR="00070CA7">
          <w:rPr>
            <w:webHidden/>
          </w:rPr>
        </w:r>
        <w:r w:rsidR="00070CA7">
          <w:rPr>
            <w:webHidden/>
          </w:rPr>
          <w:fldChar w:fldCharType="separate"/>
        </w:r>
        <w:r w:rsidR="00070CA7">
          <w:rPr>
            <w:webHidden/>
          </w:rPr>
          <w:t>70</w:t>
        </w:r>
        <w:r w:rsidR="00070CA7">
          <w:rPr>
            <w:webHidden/>
          </w:rPr>
          <w:fldChar w:fldCharType="end"/>
        </w:r>
      </w:hyperlink>
    </w:p>
    <w:p w:rsidR="00070CA7" w:rsidRDefault="009376C8">
      <w:pPr>
        <w:pStyle w:val="TOC1"/>
        <w:rPr>
          <w:rFonts w:asciiTheme="minorHAnsi" w:eastAsiaTheme="minorEastAsia" w:hAnsiTheme="minorHAnsi" w:cstheme="minorBidi"/>
          <w:sz w:val="22"/>
          <w:szCs w:val="22"/>
        </w:rPr>
      </w:pPr>
      <w:hyperlink w:anchor="_Toc355274289" w:history="1">
        <w:r w:rsidR="00070CA7" w:rsidRPr="00994631">
          <w:rPr>
            <w:rStyle w:val="Hyperlink"/>
          </w:rPr>
          <w:t>Appendix Two: Post-34</w:t>
        </w:r>
        <w:r w:rsidR="00070CA7" w:rsidRPr="00994631">
          <w:rPr>
            <w:rStyle w:val="Hyperlink"/>
            <w:vertAlign w:val="superscript"/>
          </w:rPr>
          <w:t>th</w:t>
        </w:r>
        <w:r w:rsidR="00070CA7" w:rsidRPr="00994631">
          <w:rPr>
            <w:rStyle w:val="Hyperlink"/>
          </w:rPr>
          <w:t xml:space="preserve"> IGC Survey Questions</w:t>
        </w:r>
        <w:r w:rsidR="00070CA7">
          <w:rPr>
            <w:webHidden/>
          </w:rPr>
          <w:tab/>
        </w:r>
        <w:r w:rsidR="00070CA7">
          <w:rPr>
            <w:webHidden/>
          </w:rPr>
          <w:fldChar w:fldCharType="begin"/>
        </w:r>
        <w:r w:rsidR="00070CA7">
          <w:rPr>
            <w:webHidden/>
          </w:rPr>
          <w:instrText xml:space="preserve"> PAGEREF _Toc355274289 \h </w:instrText>
        </w:r>
        <w:r w:rsidR="00070CA7">
          <w:rPr>
            <w:webHidden/>
          </w:rPr>
        </w:r>
        <w:r w:rsidR="00070CA7">
          <w:rPr>
            <w:webHidden/>
          </w:rPr>
          <w:fldChar w:fldCharType="separate"/>
        </w:r>
        <w:r w:rsidR="00070CA7">
          <w:rPr>
            <w:webHidden/>
          </w:rPr>
          <w:t>72</w:t>
        </w:r>
        <w:r w:rsidR="00070CA7">
          <w:rPr>
            <w:webHidden/>
          </w:rPr>
          <w:fldChar w:fldCharType="end"/>
        </w:r>
      </w:hyperlink>
    </w:p>
    <w:p w:rsidR="00070CA7" w:rsidRDefault="009376C8">
      <w:pPr>
        <w:pStyle w:val="TOC1"/>
        <w:rPr>
          <w:rFonts w:asciiTheme="minorHAnsi" w:eastAsiaTheme="minorEastAsia" w:hAnsiTheme="minorHAnsi" w:cstheme="minorBidi"/>
          <w:sz w:val="22"/>
          <w:szCs w:val="22"/>
        </w:rPr>
      </w:pPr>
      <w:hyperlink w:anchor="_Toc355274290" w:history="1">
        <w:r w:rsidR="00070CA7" w:rsidRPr="00994631">
          <w:rPr>
            <w:rStyle w:val="Hyperlink"/>
          </w:rPr>
          <w:t>Appendix Three: Geoscience Australia’s involvement in the scientific program of the 34</w:t>
        </w:r>
        <w:r w:rsidR="00070CA7" w:rsidRPr="00994631">
          <w:rPr>
            <w:rStyle w:val="Hyperlink"/>
            <w:vertAlign w:val="superscript"/>
          </w:rPr>
          <w:t>th</w:t>
        </w:r>
        <w:r w:rsidR="00070CA7" w:rsidRPr="00994631">
          <w:rPr>
            <w:rStyle w:val="Hyperlink"/>
          </w:rPr>
          <w:t xml:space="preserve"> IGC</w:t>
        </w:r>
        <w:r w:rsidR="00070CA7">
          <w:rPr>
            <w:webHidden/>
          </w:rPr>
          <w:tab/>
        </w:r>
        <w:r w:rsidR="00070CA7">
          <w:rPr>
            <w:webHidden/>
          </w:rPr>
          <w:fldChar w:fldCharType="begin"/>
        </w:r>
        <w:r w:rsidR="00070CA7">
          <w:rPr>
            <w:webHidden/>
          </w:rPr>
          <w:instrText xml:space="preserve"> PAGEREF _Toc355274290 \h </w:instrText>
        </w:r>
        <w:r w:rsidR="00070CA7">
          <w:rPr>
            <w:webHidden/>
          </w:rPr>
        </w:r>
        <w:r w:rsidR="00070CA7">
          <w:rPr>
            <w:webHidden/>
          </w:rPr>
          <w:fldChar w:fldCharType="separate"/>
        </w:r>
        <w:r w:rsidR="00070CA7">
          <w:rPr>
            <w:webHidden/>
          </w:rPr>
          <w:t>75</w:t>
        </w:r>
        <w:r w:rsidR="00070CA7">
          <w:rPr>
            <w:webHidden/>
          </w:rPr>
          <w:fldChar w:fldCharType="end"/>
        </w:r>
      </w:hyperlink>
    </w:p>
    <w:p w:rsidR="00070CA7" w:rsidRDefault="009376C8">
      <w:pPr>
        <w:pStyle w:val="TOC1"/>
        <w:rPr>
          <w:rFonts w:asciiTheme="minorHAnsi" w:eastAsiaTheme="minorEastAsia" w:hAnsiTheme="minorHAnsi" w:cstheme="minorBidi"/>
          <w:sz w:val="22"/>
          <w:szCs w:val="22"/>
        </w:rPr>
      </w:pPr>
      <w:hyperlink w:anchor="_Toc355274291" w:history="1">
        <w:r w:rsidR="00070CA7" w:rsidRPr="00994631">
          <w:rPr>
            <w:rStyle w:val="Hyperlink"/>
          </w:rPr>
          <w:t>Appendix Four: Breakdown of Recommendations from Chapter 3</w:t>
        </w:r>
        <w:r w:rsidR="00070CA7">
          <w:rPr>
            <w:webHidden/>
          </w:rPr>
          <w:tab/>
        </w:r>
        <w:r w:rsidR="00070CA7">
          <w:rPr>
            <w:webHidden/>
          </w:rPr>
          <w:fldChar w:fldCharType="begin"/>
        </w:r>
        <w:r w:rsidR="00070CA7">
          <w:rPr>
            <w:webHidden/>
          </w:rPr>
          <w:instrText xml:space="preserve"> PAGEREF _Toc355274291 \h </w:instrText>
        </w:r>
        <w:r w:rsidR="00070CA7">
          <w:rPr>
            <w:webHidden/>
          </w:rPr>
        </w:r>
        <w:r w:rsidR="00070CA7">
          <w:rPr>
            <w:webHidden/>
          </w:rPr>
          <w:fldChar w:fldCharType="separate"/>
        </w:r>
        <w:r w:rsidR="00070CA7">
          <w:rPr>
            <w:webHidden/>
          </w:rPr>
          <w:t>78</w:t>
        </w:r>
        <w:r w:rsidR="00070CA7">
          <w:rPr>
            <w:webHidden/>
          </w:rPr>
          <w:fldChar w:fldCharType="end"/>
        </w:r>
      </w:hyperlink>
    </w:p>
    <w:p w:rsidR="00070CA7" w:rsidRDefault="009376C8">
      <w:pPr>
        <w:pStyle w:val="TOC1"/>
        <w:rPr>
          <w:rFonts w:asciiTheme="minorHAnsi" w:eastAsiaTheme="minorEastAsia" w:hAnsiTheme="minorHAnsi" w:cstheme="minorBidi"/>
          <w:sz w:val="22"/>
          <w:szCs w:val="22"/>
        </w:rPr>
      </w:pPr>
      <w:hyperlink w:anchor="_Toc355274292" w:history="1">
        <w:r w:rsidR="00070CA7" w:rsidRPr="00994631">
          <w:rPr>
            <w:rStyle w:val="Hyperlink"/>
          </w:rPr>
          <w:t>Appendix Five: Content Manager and Monitoring Guidelines for the 34</w:t>
        </w:r>
        <w:r w:rsidR="00070CA7" w:rsidRPr="00994631">
          <w:rPr>
            <w:rStyle w:val="Hyperlink"/>
            <w:vertAlign w:val="superscript"/>
          </w:rPr>
          <w:t>th</w:t>
        </w:r>
        <w:r w:rsidR="00070CA7" w:rsidRPr="00994631">
          <w:rPr>
            <w:rStyle w:val="Hyperlink"/>
          </w:rPr>
          <w:t xml:space="preserve"> IGC Facebook and Twitter Accounts</w:t>
        </w:r>
        <w:r w:rsidR="00070CA7">
          <w:rPr>
            <w:webHidden/>
          </w:rPr>
          <w:tab/>
        </w:r>
        <w:r w:rsidR="00070CA7">
          <w:rPr>
            <w:webHidden/>
          </w:rPr>
          <w:fldChar w:fldCharType="begin"/>
        </w:r>
        <w:r w:rsidR="00070CA7">
          <w:rPr>
            <w:webHidden/>
          </w:rPr>
          <w:instrText xml:space="preserve"> PAGEREF _Toc355274292 \h </w:instrText>
        </w:r>
        <w:r w:rsidR="00070CA7">
          <w:rPr>
            <w:webHidden/>
          </w:rPr>
        </w:r>
        <w:r w:rsidR="00070CA7">
          <w:rPr>
            <w:webHidden/>
          </w:rPr>
          <w:fldChar w:fldCharType="separate"/>
        </w:r>
        <w:r w:rsidR="00070CA7">
          <w:rPr>
            <w:webHidden/>
          </w:rPr>
          <w:t>80</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93" w:history="1">
        <w:r w:rsidR="00070CA7" w:rsidRPr="00994631">
          <w:rPr>
            <w:rStyle w:val="Hyperlink"/>
          </w:rPr>
          <w:t>Twitter Content Management</w:t>
        </w:r>
        <w:r w:rsidR="00070CA7">
          <w:rPr>
            <w:webHidden/>
          </w:rPr>
          <w:tab/>
        </w:r>
        <w:r w:rsidR="00070CA7">
          <w:rPr>
            <w:webHidden/>
          </w:rPr>
          <w:fldChar w:fldCharType="begin"/>
        </w:r>
        <w:r w:rsidR="00070CA7">
          <w:rPr>
            <w:webHidden/>
          </w:rPr>
          <w:instrText xml:space="preserve"> PAGEREF _Toc355274293 \h </w:instrText>
        </w:r>
        <w:r w:rsidR="00070CA7">
          <w:rPr>
            <w:webHidden/>
          </w:rPr>
        </w:r>
        <w:r w:rsidR="00070CA7">
          <w:rPr>
            <w:webHidden/>
          </w:rPr>
          <w:fldChar w:fldCharType="separate"/>
        </w:r>
        <w:r w:rsidR="00070CA7">
          <w:rPr>
            <w:webHidden/>
          </w:rPr>
          <w:t>80</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94" w:history="1">
        <w:r w:rsidR="00070CA7" w:rsidRPr="00994631">
          <w:rPr>
            <w:rStyle w:val="Hyperlink"/>
          </w:rPr>
          <w:t>Facebook Content Management</w:t>
        </w:r>
        <w:r w:rsidR="00070CA7">
          <w:rPr>
            <w:webHidden/>
          </w:rPr>
          <w:tab/>
        </w:r>
        <w:r w:rsidR="00070CA7">
          <w:rPr>
            <w:webHidden/>
          </w:rPr>
          <w:fldChar w:fldCharType="begin"/>
        </w:r>
        <w:r w:rsidR="00070CA7">
          <w:rPr>
            <w:webHidden/>
          </w:rPr>
          <w:instrText xml:space="preserve"> PAGEREF _Toc355274294 \h </w:instrText>
        </w:r>
        <w:r w:rsidR="00070CA7">
          <w:rPr>
            <w:webHidden/>
          </w:rPr>
        </w:r>
        <w:r w:rsidR="00070CA7">
          <w:rPr>
            <w:webHidden/>
          </w:rPr>
          <w:fldChar w:fldCharType="separate"/>
        </w:r>
        <w:r w:rsidR="00070CA7">
          <w:rPr>
            <w:webHidden/>
          </w:rPr>
          <w:t>81</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95" w:history="1">
        <w:r w:rsidR="00070CA7" w:rsidRPr="00994631">
          <w:rPr>
            <w:rStyle w:val="Hyperlink"/>
          </w:rPr>
          <w:t>Twitter Content Monitoring</w:t>
        </w:r>
        <w:r w:rsidR="00070CA7">
          <w:rPr>
            <w:webHidden/>
          </w:rPr>
          <w:tab/>
        </w:r>
        <w:r w:rsidR="00070CA7">
          <w:rPr>
            <w:webHidden/>
          </w:rPr>
          <w:fldChar w:fldCharType="begin"/>
        </w:r>
        <w:r w:rsidR="00070CA7">
          <w:rPr>
            <w:webHidden/>
          </w:rPr>
          <w:instrText xml:space="preserve"> PAGEREF _Toc355274295 \h </w:instrText>
        </w:r>
        <w:r w:rsidR="00070CA7">
          <w:rPr>
            <w:webHidden/>
          </w:rPr>
        </w:r>
        <w:r w:rsidR="00070CA7">
          <w:rPr>
            <w:webHidden/>
          </w:rPr>
          <w:fldChar w:fldCharType="separate"/>
        </w:r>
        <w:r w:rsidR="00070CA7">
          <w:rPr>
            <w:webHidden/>
          </w:rPr>
          <w:t>81</w:t>
        </w:r>
        <w:r w:rsidR="00070CA7">
          <w:rPr>
            <w:webHidden/>
          </w:rPr>
          <w:fldChar w:fldCharType="end"/>
        </w:r>
      </w:hyperlink>
    </w:p>
    <w:p w:rsidR="00070CA7" w:rsidRDefault="009376C8">
      <w:pPr>
        <w:pStyle w:val="TOC2"/>
        <w:rPr>
          <w:rFonts w:asciiTheme="minorHAnsi" w:eastAsiaTheme="minorEastAsia" w:hAnsiTheme="minorHAnsi" w:cstheme="minorBidi"/>
          <w:sz w:val="22"/>
          <w:szCs w:val="22"/>
        </w:rPr>
      </w:pPr>
      <w:hyperlink w:anchor="_Toc355274296" w:history="1">
        <w:r w:rsidR="00070CA7" w:rsidRPr="00994631">
          <w:rPr>
            <w:rStyle w:val="Hyperlink"/>
          </w:rPr>
          <w:t>Facebook Content Monitoring</w:t>
        </w:r>
        <w:r w:rsidR="00070CA7">
          <w:rPr>
            <w:webHidden/>
          </w:rPr>
          <w:tab/>
        </w:r>
        <w:r w:rsidR="00070CA7">
          <w:rPr>
            <w:webHidden/>
          </w:rPr>
          <w:fldChar w:fldCharType="begin"/>
        </w:r>
        <w:r w:rsidR="00070CA7">
          <w:rPr>
            <w:webHidden/>
          </w:rPr>
          <w:instrText xml:space="preserve"> PAGEREF _Toc355274296 \h </w:instrText>
        </w:r>
        <w:r w:rsidR="00070CA7">
          <w:rPr>
            <w:webHidden/>
          </w:rPr>
        </w:r>
        <w:r w:rsidR="00070CA7">
          <w:rPr>
            <w:webHidden/>
          </w:rPr>
          <w:fldChar w:fldCharType="separate"/>
        </w:r>
        <w:r w:rsidR="00070CA7">
          <w:rPr>
            <w:webHidden/>
          </w:rPr>
          <w:t>82</w:t>
        </w:r>
        <w:r w:rsidR="00070CA7">
          <w:rPr>
            <w:webHidden/>
          </w:rPr>
          <w:fldChar w:fldCharType="end"/>
        </w:r>
      </w:hyperlink>
    </w:p>
    <w:p w:rsidR="00AD0DF8" w:rsidRDefault="002507CC" w:rsidP="00FC5014">
      <w:pPr>
        <w:sectPr w:rsidR="00AD0DF8" w:rsidSect="002507CC">
          <w:footerReference w:type="even" r:id="rId13"/>
          <w:footerReference w:type="default" r:id="rId14"/>
          <w:pgSz w:w="11907" w:h="16840" w:code="9"/>
          <w:pgMar w:top="1985" w:right="1418" w:bottom="1418" w:left="1418" w:header="720" w:footer="397" w:gutter="0"/>
          <w:pgNumType w:fmt="lowerRoman" w:start="3"/>
          <w:cols w:space="720"/>
          <w:docGrid w:linePitch="272"/>
        </w:sectPr>
      </w:pPr>
      <w:r>
        <w:rPr>
          <w:rFonts w:cs="Arial"/>
          <w:noProof/>
        </w:rPr>
        <w:fldChar w:fldCharType="end"/>
      </w:r>
    </w:p>
    <w:p w:rsidR="00C93401" w:rsidRDefault="00C93401" w:rsidP="00356CC4">
      <w:pPr>
        <w:pStyle w:val="Head1nonumbers"/>
      </w:pPr>
      <w:bookmarkStart w:id="59" w:name="_Toc355274212"/>
      <w:r>
        <w:lastRenderedPageBreak/>
        <w:t>Executive Summary</w:t>
      </w:r>
      <w:bookmarkStart w:id="60" w:name="_Toc336954874"/>
      <w:bookmarkEnd w:id="55"/>
      <w:bookmarkEnd w:id="56"/>
      <w:bookmarkEnd w:id="57"/>
      <w:bookmarkEnd w:id="58"/>
      <w:bookmarkEnd w:id="59"/>
    </w:p>
    <w:p w:rsidR="00C93401" w:rsidRDefault="00C93401" w:rsidP="00C93401">
      <w:pPr>
        <w:pStyle w:val="BodyText"/>
      </w:pPr>
      <w:r>
        <w:t>Each International Geological Congress (IGC) is a unique global meeting of geoscientists. Selection to host an IGC is a strongly competitive process and the planning, organisation, administration and implementation of the congress requires a significant national scale investment of resources. By focussing the attention of geoscientists from around the globe onto the host nation, the IGC has the potential to produce extensive benefits at a range of scales; from the national scale, through to the organisational scale, and down to the personal level. The aim of the present study is to investigate the impacts of the 34</w:t>
      </w:r>
      <w:r w:rsidRPr="00CF07C2">
        <w:rPr>
          <w:rStyle w:val="Superscript"/>
        </w:rPr>
        <w:t>th</w:t>
      </w:r>
      <w:r>
        <w:t xml:space="preserve"> International Geological Congress (34</w:t>
      </w:r>
      <w:r w:rsidRPr="00CF07C2">
        <w:rPr>
          <w:rStyle w:val="Superscript"/>
        </w:rPr>
        <w:t>th</w:t>
      </w:r>
      <w:r>
        <w:t xml:space="preserve"> IGC) from several different perspectives in an attempt to capture the impacts at these different scales.</w:t>
      </w:r>
    </w:p>
    <w:p w:rsidR="00C93401" w:rsidRDefault="00C93401" w:rsidP="00C93401">
      <w:pPr>
        <w:pStyle w:val="BodyText"/>
      </w:pPr>
      <w:r>
        <w:t>At a national scale the most immediate impact of hosting the 34</w:t>
      </w:r>
      <w:r w:rsidRPr="00CF07C2">
        <w:rPr>
          <w:rStyle w:val="Superscript"/>
        </w:rPr>
        <w:t>th</w:t>
      </w:r>
      <w:r>
        <w:t xml:space="preserve"> IGC was increased tourism revenue, injected into the economy by the large number of delegates and associated visitors. A key driver for any nation bidding to host an IGC is that the IGC provides a forum for showcasing the geoscience of the host country. The value of the </w:t>
      </w:r>
      <w:r w:rsidRPr="008D2CA0">
        <w:rPr>
          <w:szCs w:val="21"/>
        </w:rPr>
        <w:t>34</w:t>
      </w:r>
      <w:r w:rsidRPr="00CF07C2">
        <w:rPr>
          <w:rStyle w:val="Superscript"/>
        </w:rPr>
        <w:t>th</w:t>
      </w:r>
      <w:r>
        <w:t xml:space="preserve"> IGC as a geoscience showcase was demonstrated by the product release of the Advanced Spaceborne Thermal Emission and Reflection Radiometer (ASTER) Geoscience Maps of Australia, which gained significant exposure and international recognition through the </w:t>
      </w:r>
      <w:r w:rsidRPr="008D2CA0">
        <w:rPr>
          <w:szCs w:val="21"/>
        </w:rPr>
        <w:t>34</w:t>
      </w:r>
      <w:r w:rsidRPr="00CF07C2">
        <w:rPr>
          <w:rStyle w:val="Superscript"/>
        </w:rPr>
        <w:t>th</w:t>
      </w:r>
      <w:r>
        <w:t xml:space="preserve"> IGC. A study of published journal articles, recorded in geoscience reference databases, confirmed that journal article publication rates by IGC host countries often increase coincident with the timing of the congresses, though the effect may be relatively short-lived. There was no measurable increase in international collaboration, measured by journal article co-authorship, at the national scale for IGC host nations. On the other hand, the potential for international collaboration through hosting an IGC appears to be important at the personal level and was a strong motivator for attendance at the congress. </w:t>
      </w:r>
    </w:p>
    <w:p w:rsidR="00C93401" w:rsidRDefault="00C93401" w:rsidP="00C93401">
      <w:pPr>
        <w:pStyle w:val="BodyText"/>
      </w:pPr>
      <w:r>
        <w:t xml:space="preserve">The impacts of the </w:t>
      </w:r>
      <w:r w:rsidRPr="008D2CA0">
        <w:rPr>
          <w:szCs w:val="21"/>
        </w:rPr>
        <w:t>34</w:t>
      </w:r>
      <w:r w:rsidRPr="00CF07C2">
        <w:rPr>
          <w:rStyle w:val="Superscript"/>
        </w:rPr>
        <w:t>th</w:t>
      </w:r>
      <w:r>
        <w:t xml:space="preserve"> IGC at the organisational to the personal scale were investigated through a survey of </w:t>
      </w:r>
      <w:r w:rsidRPr="008D2CA0">
        <w:rPr>
          <w:szCs w:val="21"/>
        </w:rPr>
        <w:t>34</w:t>
      </w:r>
      <w:r w:rsidRPr="00CF07C2">
        <w:rPr>
          <w:rStyle w:val="Superscript"/>
        </w:rPr>
        <w:t>th</w:t>
      </w:r>
      <w:r>
        <w:t xml:space="preserve"> IGC delegates from Geoscience Australia (GA). GA was an obvious candidate for such a study, given its strong support for the </w:t>
      </w:r>
      <w:r>
        <w:rPr>
          <w:szCs w:val="21"/>
        </w:rPr>
        <w:t>event</w:t>
      </w:r>
      <w:r>
        <w:t xml:space="preserve"> and the active role taken by the agency in the lead-up to and during the conference. At an agency level, GA was able to showcase its work, products, and capabilities through a wide range of conference activities; including conference presentations and the GA booth. Based on feedback received from delegates at the conference, there was a strong perception amongst GA staff that the national and international reputation of the agency had been greatly enhanced. The </w:t>
      </w:r>
      <w:r w:rsidRPr="008D2CA0">
        <w:rPr>
          <w:szCs w:val="21"/>
        </w:rPr>
        <w:t>34</w:t>
      </w:r>
      <w:r w:rsidRPr="00CF07C2">
        <w:rPr>
          <w:rStyle w:val="Superscript"/>
        </w:rPr>
        <w:t>th</w:t>
      </w:r>
      <w:r>
        <w:t xml:space="preserve"> IGC also provided GA staff with an opportunity to increase their awareness of current trends in international geoscience and to receive feedback on their own work from the international geoscience community. This opportunity was highly valued by staff and there was a general consensus that the </w:t>
      </w:r>
      <w:r w:rsidRPr="008D2CA0">
        <w:rPr>
          <w:szCs w:val="21"/>
        </w:rPr>
        <w:t>34</w:t>
      </w:r>
      <w:r w:rsidRPr="00CF07C2">
        <w:rPr>
          <w:rStyle w:val="Superscript"/>
        </w:rPr>
        <w:t>th</w:t>
      </w:r>
      <w:r>
        <w:t xml:space="preserve"> IGC had a positive impact on job satisfaction, professional development, that it facilitated networking with international peers and allowed international collaborations to be developed.</w:t>
      </w:r>
    </w:p>
    <w:p w:rsidR="00C93401" w:rsidRDefault="00C93401" w:rsidP="00C93401">
      <w:pPr>
        <w:pStyle w:val="BodyText"/>
      </w:pPr>
      <w:r>
        <w:t xml:space="preserve">The implementation of the </w:t>
      </w:r>
      <w:r w:rsidRPr="008D2CA0">
        <w:rPr>
          <w:szCs w:val="21"/>
        </w:rPr>
        <w:t>34</w:t>
      </w:r>
      <w:r w:rsidRPr="00CF07C2">
        <w:rPr>
          <w:rStyle w:val="Superscript"/>
        </w:rPr>
        <w:t>th</w:t>
      </w:r>
      <w:r>
        <w:t xml:space="preserve"> IGC Social Media Plan (Rowland, 2012b) provided an additional opportunity to investigate the impact of the </w:t>
      </w:r>
      <w:r w:rsidRPr="008D2CA0">
        <w:rPr>
          <w:szCs w:val="21"/>
        </w:rPr>
        <w:t>34</w:t>
      </w:r>
      <w:r w:rsidRPr="00CF07C2">
        <w:rPr>
          <w:rStyle w:val="Superscript"/>
        </w:rPr>
        <w:t>th</w:t>
      </w:r>
      <w:r>
        <w:t xml:space="preserve"> IGC through an evaluation of the effectiveness of social media to engage with congress delegates and the general public at the personal level. Social media was shown to provide a valuable avenue for one-to-many communication with delegates and the public. In particular, it allowed the dissemination of messages, ideas, and scientific information to a widespread international audience in the lead-up to the conference. However, despite its success as a </w:t>
      </w:r>
      <w:r>
        <w:lastRenderedPageBreak/>
        <w:t>one-to-many communication tool, its expected use as a medium for communication and interaction amongst delegates during the conference was not fully realised.</w:t>
      </w:r>
    </w:p>
    <w:p w:rsidR="00C93401" w:rsidRDefault="00C93401" w:rsidP="00C93401">
      <w:pPr>
        <w:pStyle w:val="BodyText"/>
      </w:pPr>
      <w:r>
        <w:t>Overall, it can be concluded that hosting the 34</w:t>
      </w:r>
      <w:r w:rsidRPr="00CF07C2">
        <w:rPr>
          <w:rStyle w:val="Superscript"/>
        </w:rPr>
        <w:t>th</w:t>
      </w:r>
      <w:r>
        <w:t xml:space="preserve"> IGC within Australia was of great benefit to geosciences within Australia at the national scale, to Geoscience Australia as an organisation, and to the individuals who attended as congress delegates.</w:t>
      </w:r>
    </w:p>
    <w:p w:rsidR="00C93401" w:rsidRDefault="00C93401" w:rsidP="00C93401">
      <w:pPr>
        <w:pStyle w:val="Heading1"/>
      </w:pPr>
      <w:bookmarkStart w:id="61" w:name="_Toc353282001"/>
      <w:bookmarkStart w:id="62" w:name="_Toc355274213"/>
      <w:r>
        <w:lastRenderedPageBreak/>
        <w:t>Introduction</w:t>
      </w:r>
      <w:bookmarkEnd w:id="60"/>
      <w:bookmarkEnd w:id="61"/>
      <w:bookmarkEnd w:id="62"/>
    </w:p>
    <w:p w:rsidR="00C93401" w:rsidRDefault="00C93401" w:rsidP="00C93401">
      <w:pPr>
        <w:pStyle w:val="Heading2"/>
      </w:pPr>
      <w:bookmarkStart w:id="63" w:name="_Toc337824649"/>
      <w:bookmarkStart w:id="64" w:name="_Toc353282002"/>
      <w:bookmarkStart w:id="65" w:name="_Toc355274214"/>
      <w:r>
        <w:t>The International Geological Congress</w:t>
      </w:r>
      <w:bookmarkEnd w:id="63"/>
      <w:bookmarkEnd w:id="64"/>
      <w:bookmarkEnd w:id="65"/>
    </w:p>
    <w:p w:rsidR="00C93401" w:rsidRPr="003A2F94" w:rsidRDefault="00C93401" w:rsidP="00C93401">
      <w:pPr>
        <w:pStyle w:val="BodyText"/>
      </w:pPr>
      <w:r w:rsidRPr="003A2F94">
        <w:t>The IGC, originally the International Congress of Geologists, was founded in 1876. The first IGC was held in Paris, France, in 1878 and since then a total of 34 IGCs has been held in 24 different countries generally at 4 year intervals (International Union of Geological Sciences, 2008). Today the IGC is a general assembly of geoscientists, geologists and Earth-related scientists and is the major scientific forum of the International Union of Geological Sciences (IUGS), which was founded in 1961 to address global geological issues.</w:t>
      </w:r>
    </w:p>
    <w:p w:rsidR="00C93401" w:rsidRPr="003A2F94" w:rsidRDefault="00C93401" w:rsidP="00C93401">
      <w:pPr>
        <w:pStyle w:val="BodyText"/>
      </w:pPr>
      <w:r w:rsidRPr="003A2F94">
        <w:t>The IGC is the pre-eminent global geoscience congress. It provides a forum for geoscientists from around the globe to present scientific results across the whole spectrum of the geosciences to advance fundamental and applied research, as well as exchanging ideas and information. It also facilitates important international business meetings, encourages international networking and provides the opportunity to study the geological features and phenomena of the host nation through field trips.</w:t>
      </w:r>
    </w:p>
    <w:p w:rsidR="00C93401" w:rsidRPr="003A2F94" w:rsidRDefault="00C93401" w:rsidP="00C93401">
      <w:pPr>
        <w:pStyle w:val="Heading2"/>
      </w:pPr>
      <w:bookmarkStart w:id="66" w:name="_Toc337824650"/>
      <w:bookmarkStart w:id="67" w:name="_Ref339263521"/>
      <w:bookmarkStart w:id="68" w:name="_Toc353282003"/>
      <w:bookmarkStart w:id="69" w:name="_Toc355274215"/>
      <w:r w:rsidRPr="003A2F94">
        <w:t>Australia’s Bid for the International Geological Congress</w:t>
      </w:r>
      <w:bookmarkEnd w:id="66"/>
      <w:bookmarkEnd w:id="67"/>
      <w:bookmarkEnd w:id="68"/>
      <w:bookmarkEnd w:id="69"/>
    </w:p>
    <w:p w:rsidR="00C93401" w:rsidRPr="003A2F94" w:rsidRDefault="00C93401" w:rsidP="00C93401">
      <w:pPr>
        <w:pStyle w:val="BodyText"/>
      </w:pPr>
      <w:r w:rsidRPr="003A2F94">
        <w:t>At the end of each IGC the IUGS announces where the IGC will be held in 8 years time. This process is very competitive and involves the prospective host countries presenting a case (as a document and presentations) that justifies their bid to host an IGC. Australia won its bid to host the 34</w:t>
      </w:r>
      <w:r w:rsidRPr="00CF07C2">
        <w:rPr>
          <w:rStyle w:val="Superscript"/>
        </w:rPr>
        <w:t>th</w:t>
      </w:r>
      <w:r w:rsidRPr="003A2F94">
        <w:t xml:space="preserve"> IGC on behalf of the Oceania region (including New Zealand) at the IUGS-IGC council meeting held at the IGC in Italy in 2004. This bid was put together by a team led by Dr Neil Williams and Dr Ian Lambert and predominantly composed of GA employees. However, the invitation to hold the 34</w:t>
      </w:r>
      <w:r w:rsidRPr="00CF07C2">
        <w:rPr>
          <w:rStyle w:val="Superscript"/>
        </w:rPr>
        <w:t>th</w:t>
      </w:r>
      <w:r w:rsidRPr="003A2F94">
        <w:t xml:space="preserve"> IGC at the Brisbane Convention and Exhibition Centre stemmed from a broad consultative process undertaken in 2003 by the Australian Academy of Science in developing the National Strategic Plan for the Geosciences (NCES, 2003). This plan highlighted the value of geoscientists in unlocking Australia’s resources and understanding its natural hazards. A serious decline in the university sector was recognised as a major threat to Australia’s geoscience capacity and emphasised the need for Australia to take remedial action to re-establish its international reputation and capability in the geosciences.</w:t>
      </w:r>
    </w:p>
    <w:p w:rsidR="00C93401" w:rsidRPr="003A2F94" w:rsidRDefault="00C93401" w:rsidP="00C93401">
      <w:pPr>
        <w:pStyle w:val="BodyText"/>
      </w:pPr>
      <w:r w:rsidRPr="003A2F94">
        <w:t>The Australian Geoscience Council (AGC) was the legal entity responsible for the 34</w:t>
      </w:r>
      <w:r w:rsidRPr="00CF07C2">
        <w:rPr>
          <w:rStyle w:val="Superscript"/>
        </w:rPr>
        <w:t>th</w:t>
      </w:r>
      <w:r w:rsidRPr="003A2F94">
        <w:t xml:space="preserve"> IGC and endorsed an Australian IGC Organising Committee. This committee comprised prominent academic, government and private sector geoscientists. Many of the committee members were employees of GA for some or all of their time on the committee and included:</w:t>
      </w:r>
    </w:p>
    <w:p w:rsidR="00C93401" w:rsidRPr="003A2F94" w:rsidRDefault="00C93401" w:rsidP="00C93401">
      <w:pPr>
        <w:pStyle w:val="Bulletlevel1"/>
      </w:pPr>
      <w:r w:rsidRPr="003A2F94">
        <w:t>Dr Neil Williams PSM, President of the 34</w:t>
      </w:r>
      <w:r w:rsidRPr="00CF07C2">
        <w:rPr>
          <w:rStyle w:val="Superscript"/>
        </w:rPr>
        <w:t>th</w:t>
      </w:r>
      <w:r w:rsidRPr="003A2F94">
        <w:t xml:space="preserve"> IGC Organising Committee and former Chief Executive Officer of Geoscience Australia;</w:t>
      </w:r>
    </w:p>
    <w:p w:rsidR="00C93401" w:rsidRPr="003A2F94" w:rsidRDefault="00C93401" w:rsidP="00C93401">
      <w:pPr>
        <w:pStyle w:val="Bulletlevel1"/>
      </w:pPr>
      <w:r w:rsidRPr="003A2F94">
        <w:t>Dr Ian Lambert, 34</w:t>
      </w:r>
      <w:r w:rsidRPr="00CF07C2">
        <w:rPr>
          <w:rStyle w:val="Superscript"/>
        </w:rPr>
        <w:t>th</w:t>
      </w:r>
      <w:r w:rsidRPr="003A2F94">
        <w:t xml:space="preserve"> IGC Secretary General and former employee of GA; </w:t>
      </w:r>
    </w:p>
    <w:p w:rsidR="00C93401" w:rsidRPr="003A2F94" w:rsidRDefault="00C93401" w:rsidP="00C93401">
      <w:pPr>
        <w:pStyle w:val="Bulletlevel1"/>
      </w:pPr>
      <w:r w:rsidRPr="003A2F94">
        <w:t>Mr Paul Kay, 34</w:t>
      </w:r>
      <w:r w:rsidRPr="00CF07C2">
        <w:rPr>
          <w:rStyle w:val="Superscript"/>
        </w:rPr>
        <w:t>th</w:t>
      </w:r>
      <w:r w:rsidRPr="003A2F94">
        <w:t xml:space="preserve"> IGC Deputy Secretary General and GA employee</w:t>
      </w:r>
      <w:r w:rsidR="00A40F13">
        <w:t>; and,</w:t>
      </w:r>
    </w:p>
    <w:p w:rsidR="00C93401" w:rsidRPr="003A2F94" w:rsidRDefault="00C93401" w:rsidP="00C93401">
      <w:pPr>
        <w:pStyle w:val="Bulletlevel1"/>
      </w:pPr>
      <w:r w:rsidRPr="003A2F94">
        <w:lastRenderedPageBreak/>
        <w:t>Dr Lynton Jaques, 34</w:t>
      </w:r>
      <w:r w:rsidRPr="00CF07C2">
        <w:rPr>
          <w:rStyle w:val="Superscript"/>
        </w:rPr>
        <w:t>th</w:t>
      </w:r>
      <w:r w:rsidRPr="003A2F94">
        <w:t xml:space="preserve"> IGC Scientific Program Committee Chair and former Chief Scientist of GA.</w:t>
      </w:r>
    </w:p>
    <w:p w:rsidR="00C93401" w:rsidRPr="003A2F94" w:rsidRDefault="00C93401" w:rsidP="00C93401">
      <w:pPr>
        <w:pStyle w:val="BodyText"/>
      </w:pPr>
      <w:r w:rsidRPr="003A2F94">
        <w:t>The efforts of these prominent GA employees served as a significant in-kind contribution to the 34</w:t>
      </w:r>
      <w:r w:rsidRPr="00CF07C2">
        <w:rPr>
          <w:rStyle w:val="Superscript"/>
        </w:rPr>
        <w:t>th</w:t>
      </w:r>
      <w:r w:rsidRPr="003A2F94">
        <w:t xml:space="preserve"> IGC and ensured that GA had a direct input into the direction of the conference, its themes, and programme.</w:t>
      </w:r>
    </w:p>
    <w:p w:rsidR="00C93401" w:rsidRDefault="00C93401" w:rsidP="00C93401">
      <w:pPr>
        <w:pStyle w:val="Heading2"/>
      </w:pPr>
      <w:bookmarkStart w:id="70" w:name="_Toc337824651"/>
      <w:bookmarkStart w:id="71" w:name="_Toc353282004"/>
      <w:bookmarkStart w:id="72" w:name="_Toc355274216"/>
      <w:r>
        <w:t>The 34</w:t>
      </w:r>
      <w:r w:rsidRPr="00CF07C2">
        <w:rPr>
          <w:rStyle w:val="Superscript"/>
        </w:rPr>
        <w:t>th</w:t>
      </w:r>
      <w:r>
        <w:t xml:space="preserve"> International Geological Congress</w:t>
      </w:r>
      <w:bookmarkEnd w:id="70"/>
      <w:bookmarkEnd w:id="71"/>
      <w:bookmarkEnd w:id="72"/>
    </w:p>
    <w:p w:rsidR="00C93401" w:rsidRPr="00D13BB5" w:rsidRDefault="00C93401" w:rsidP="00C93401">
      <w:pPr>
        <w:pStyle w:val="BodyText"/>
      </w:pPr>
      <w:r w:rsidRPr="00D13BB5">
        <w:t>The 34</w:t>
      </w:r>
      <w:r w:rsidRPr="00CF07C2">
        <w:rPr>
          <w:rStyle w:val="Superscript"/>
        </w:rPr>
        <w:t>th</w:t>
      </w:r>
      <w:r w:rsidRPr="00D13BB5">
        <w:t xml:space="preserve"> International Geological Congress was held in Brisbane between 5 and 10 August 2012. It comprised 6,012 delegates from 112 countries, which demonstrates the global scope of the congress.</w:t>
      </w:r>
    </w:p>
    <w:p w:rsidR="00C93401" w:rsidRPr="00D13BB5" w:rsidRDefault="00C93401" w:rsidP="00C93401">
      <w:pPr>
        <w:pStyle w:val="BodyText"/>
      </w:pPr>
      <w:r w:rsidRPr="00D13BB5">
        <w:t>The 34</w:t>
      </w:r>
      <w:r w:rsidRPr="00CF07C2">
        <w:rPr>
          <w:rStyle w:val="Superscript"/>
        </w:rPr>
        <w:t>th</w:t>
      </w:r>
      <w:r w:rsidRPr="00D13BB5">
        <w:t xml:space="preserve"> IGC had a very strong representation from Asia-Pacific nations, reflecting both the economic downturn in Europe and the high level of geoscience interest in the </w:t>
      </w:r>
      <w:r w:rsidRPr="003A2F94">
        <w:t xml:space="preserve">Oceania region </w:t>
      </w:r>
      <w:r w:rsidRPr="00D13BB5">
        <w:t>driven by the growing demand for resources due to the emerging economies in Asia. Therefore, there was a major focus on the private sector, attributed to the fact that Australia was in a mineral economic boom at the time of the IGC. As a result of Australia’s importance on the world stage, particularly with respect to resources, there was also a strong interest from politicians around the world.</w:t>
      </w:r>
    </w:p>
    <w:p w:rsidR="00C93401" w:rsidRDefault="00C93401" w:rsidP="00C93401">
      <w:pPr>
        <w:pStyle w:val="Heading3"/>
      </w:pPr>
      <w:bookmarkStart w:id="73" w:name="_Toc337824652"/>
      <w:bookmarkStart w:id="74" w:name="_Toc353282005"/>
      <w:bookmarkStart w:id="75" w:name="_Toc355274217"/>
      <w:r>
        <w:t>Scientific Program</w:t>
      </w:r>
      <w:bookmarkEnd w:id="73"/>
      <w:bookmarkEnd w:id="74"/>
      <w:bookmarkEnd w:id="75"/>
    </w:p>
    <w:p w:rsidR="00C93401" w:rsidRPr="003A2F94" w:rsidRDefault="00C93401" w:rsidP="00C93401">
      <w:pPr>
        <w:pStyle w:val="BodyText"/>
      </w:pPr>
      <w:r>
        <w:t xml:space="preserve">The overall theme of the congress was </w:t>
      </w:r>
      <w:r w:rsidRPr="00D13BB5">
        <w:rPr>
          <w:rStyle w:val="Bodytextitalic"/>
        </w:rPr>
        <w:t>Unearthing our Past and Future – Resourcing Tomorrow.</w:t>
      </w:r>
      <w:r>
        <w:t xml:space="preserve"> This theme reflected the crucial role played by the geosciences in meeting the resource needs of modern society, while sustaining the natural environment. Distinguished speakers were invited to give presentations on major contemporary themes in the geosciences through daily plenary sessions </w:t>
      </w:r>
      <w:r w:rsidRPr="00F24794">
        <w:rPr>
          <w:szCs w:val="21"/>
        </w:rPr>
        <w:t>(these can be downloaded at</w:t>
      </w:r>
      <w:r w:rsidRPr="003A2F94">
        <w:t xml:space="preserve"> </w:t>
      </w:r>
      <w:hyperlink r:id="rId15" w:tooltip="Link to the 34th IGC Conference Share website." w:history="1">
        <w:r w:rsidRPr="00076D2D">
          <w:t>http://igc.conferenceshare.com.au/</w:t>
        </w:r>
      </w:hyperlink>
      <w:r w:rsidRPr="00F24794">
        <w:rPr>
          <w:szCs w:val="21"/>
        </w:rPr>
        <w:t>).</w:t>
      </w:r>
      <w:r>
        <w:t>The themes of the plenary sessions were:</w:t>
      </w:r>
    </w:p>
    <w:p w:rsidR="00C93401" w:rsidRDefault="00C93401" w:rsidP="00C93401">
      <w:pPr>
        <w:pStyle w:val="Bulletlevel1"/>
      </w:pPr>
      <w:r>
        <w:t>Resourcing tomorrow: meeting the needs of a growing population;</w:t>
      </w:r>
    </w:p>
    <w:p w:rsidR="00C93401" w:rsidRDefault="00C93401" w:rsidP="00C93401">
      <w:pPr>
        <w:pStyle w:val="Bulletlevel1"/>
      </w:pPr>
      <w:r>
        <w:t>Energy in a carbon-constrained world;</w:t>
      </w:r>
    </w:p>
    <w:p w:rsidR="00C93401" w:rsidRDefault="00C93401" w:rsidP="00C93401">
      <w:pPr>
        <w:pStyle w:val="Bulletlevel1"/>
      </w:pPr>
      <w:r>
        <w:t>The Earth and man: living with a restless Earth;</w:t>
      </w:r>
    </w:p>
    <w:p w:rsidR="00C93401" w:rsidRDefault="00C93401" w:rsidP="00C93401">
      <w:pPr>
        <w:pStyle w:val="Bulletlevel1"/>
      </w:pPr>
      <w:r>
        <w:t>What does the geological record tell us about the Earth’s past climates in relation to projected climate change?</w:t>
      </w:r>
      <w:r w:rsidR="00A40F13">
        <w:t>;</w:t>
      </w:r>
      <w:r>
        <w:t xml:space="preserve"> and</w:t>
      </w:r>
      <w:r w:rsidR="00A40F13">
        <w:t>,</w:t>
      </w:r>
    </w:p>
    <w:p w:rsidR="00C93401" w:rsidRDefault="00C93401" w:rsidP="00C93401">
      <w:pPr>
        <w:pStyle w:val="Bulletlevel1"/>
      </w:pPr>
      <w:r>
        <w:t>Digital Earth: The information explosion.</w:t>
      </w:r>
    </w:p>
    <w:p w:rsidR="00C93401" w:rsidRDefault="00C93401" w:rsidP="00C93401">
      <w:pPr>
        <w:pStyle w:val="BodyText"/>
      </w:pPr>
      <w:r>
        <w:t xml:space="preserve">The scientific program reflected the extraordinary breadth of the geosciences and included 37 separate themes. The program was developed by the Scientific Program Committee and the Scientific Theme Coordinators and included 3,712 oral presentations and 1,469 poster presentations, requiring a “herculean” effort to schedule within the five days of the congress (Governor of Queensland Penelope Wensley AC, IGC opening ceremony). Additionally, a special addition of </w:t>
      </w:r>
      <w:r w:rsidRPr="00D13BB5">
        <w:rPr>
          <w:rStyle w:val="Bodytextitalic"/>
        </w:rPr>
        <w:t>Episodes: Journal of International Geoscience</w:t>
      </w:r>
      <w:r>
        <w:t xml:space="preserve"> was produced for the 34</w:t>
      </w:r>
      <w:r w:rsidRPr="00CF07C2">
        <w:rPr>
          <w:rStyle w:val="Superscript"/>
        </w:rPr>
        <w:t>th</w:t>
      </w:r>
      <w:r>
        <w:t xml:space="preserve"> IGC. The special addition contains papers focused on areas that were visited by 34</w:t>
      </w:r>
      <w:r w:rsidRPr="00CF07C2">
        <w:rPr>
          <w:rStyle w:val="Superscript"/>
        </w:rPr>
        <w:t>th</w:t>
      </w:r>
      <w:r>
        <w:t xml:space="preserve"> IGC field trips.</w:t>
      </w:r>
    </w:p>
    <w:p w:rsidR="00C93401" w:rsidRDefault="00C93401" w:rsidP="00C93401">
      <w:pPr>
        <w:pStyle w:val="Heading3"/>
      </w:pPr>
      <w:bookmarkStart w:id="76" w:name="_Toc337824653"/>
      <w:bookmarkStart w:id="77" w:name="_Toc353282006"/>
      <w:bookmarkStart w:id="78" w:name="_Toc355274218"/>
      <w:r>
        <w:t>GeoExpo</w:t>
      </w:r>
      <w:bookmarkEnd w:id="76"/>
      <w:bookmarkEnd w:id="77"/>
      <w:bookmarkEnd w:id="78"/>
    </w:p>
    <w:p w:rsidR="00C93401" w:rsidRPr="003A2F94" w:rsidRDefault="00C93401" w:rsidP="00C93401">
      <w:pPr>
        <w:pStyle w:val="BodyText"/>
      </w:pPr>
      <w:r w:rsidRPr="003A2F94">
        <w:t>The 34</w:t>
      </w:r>
      <w:r w:rsidRPr="00CF07C2">
        <w:rPr>
          <w:rStyle w:val="Superscript"/>
        </w:rPr>
        <w:t>th</w:t>
      </w:r>
      <w:r w:rsidRPr="003A2F94">
        <w:t xml:space="preserve"> IGC provided a rare opportunity for industry, corporations, university research organisations, professional societies and Government departments to engage with the global geoscience community </w:t>
      </w:r>
      <w:r w:rsidRPr="003A2F94">
        <w:lastRenderedPageBreak/>
        <w:t>through GeoExpo, a trade-show style exhibition that ran throughout the congress. The GeoExpo was fully booked with 283 spaces occupied by exhibitors. Food and refreshments served within the GeoExpo ensured that it served as a major hub for delegates and encouraged interaction with the displays.</w:t>
      </w:r>
    </w:p>
    <w:p w:rsidR="00C93401" w:rsidRDefault="00C93401" w:rsidP="00C93401">
      <w:pPr>
        <w:pStyle w:val="Heading3"/>
      </w:pPr>
      <w:bookmarkStart w:id="79" w:name="_Toc353282007"/>
      <w:bookmarkStart w:id="80" w:name="_Toc355274219"/>
      <w:r>
        <w:t>Workshops and Fieldtrips</w:t>
      </w:r>
      <w:bookmarkEnd w:id="79"/>
      <w:bookmarkEnd w:id="80"/>
    </w:p>
    <w:p w:rsidR="00C93401" w:rsidRPr="00D13BB5" w:rsidRDefault="00C93401" w:rsidP="00C93401">
      <w:pPr>
        <w:pStyle w:val="BodyText"/>
      </w:pPr>
      <w:r w:rsidRPr="00D13BB5">
        <w:t>A program of 24 professional development workshops and 29 multiple-day field trips held in the Oceania region brought the geology and geoscience issues of the region into global focus. Both workshops and fieldtrips allowed delegates to further their technical skills by working with experts in the relevant fields. They also allowed delegates to apply their knowledge in the geosciences to new areas and expand their professional networks by working with a wide range of new people.</w:t>
      </w:r>
    </w:p>
    <w:p w:rsidR="00C93401" w:rsidRDefault="00C93401" w:rsidP="00C93401">
      <w:pPr>
        <w:pStyle w:val="Heading3"/>
      </w:pPr>
      <w:bookmarkStart w:id="81" w:name="_Toc353282008"/>
      <w:bookmarkStart w:id="82" w:name="_Toc355274220"/>
      <w:r>
        <w:t>2</w:t>
      </w:r>
      <w:r w:rsidRPr="00207DA1">
        <w:rPr>
          <w:rStyle w:val="Superscript"/>
        </w:rPr>
        <w:t>nd</w:t>
      </w:r>
      <w:r>
        <w:t xml:space="preserve"> World YES Congress and the GeoHost Funded Delegate Program</w:t>
      </w:r>
      <w:bookmarkEnd w:id="81"/>
      <w:bookmarkEnd w:id="82"/>
    </w:p>
    <w:p w:rsidR="00C93401" w:rsidRPr="00D13BB5" w:rsidRDefault="00C93401" w:rsidP="00C93401">
      <w:pPr>
        <w:pStyle w:val="BodyText"/>
      </w:pPr>
      <w:r w:rsidRPr="00D13BB5">
        <w:t>The Young Earth Scientist (YES) Network is 35 years old and the 2</w:t>
      </w:r>
      <w:r w:rsidRPr="00207DA1">
        <w:rPr>
          <w:rStyle w:val="Superscript"/>
        </w:rPr>
        <w:t>nd</w:t>
      </w:r>
      <w:r w:rsidRPr="00D13BB5">
        <w:t xml:space="preserve"> World YES Congress was held under the umbrella of the 34</w:t>
      </w:r>
      <w:r w:rsidRPr="00CF07C2">
        <w:rPr>
          <w:rStyle w:val="Superscript"/>
        </w:rPr>
        <w:t>th</w:t>
      </w:r>
      <w:r w:rsidRPr="00D13BB5">
        <w:t xml:space="preserve"> IGC. Holding the two events in parallel provided a unique opportunity to attract young Earth scientists from across the globe to the </w:t>
      </w:r>
      <w:r w:rsidRPr="003A2F94">
        <w:t>34</w:t>
      </w:r>
      <w:r w:rsidRPr="00CF07C2">
        <w:rPr>
          <w:rStyle w:val="Superscript"/>
        </w:rPr>
        <w:t>th</w:t>
      </w:r>
      <w:r w:rsidRPr="00D13BB5">
        <w:t xml:space="preserve"> IGC (</w:t>
      </w:r>
      <w:r w:rsidRPr="00D13BB5">
        <w:fldChar w:fldCharType="begin"/>
      </w:r>
      <w:r w:rsidRPr="00D13BB5">
        <w:instrText xml:space="preserve"> REF _Ref211740623 \h  \* MERGEFORMAT </w:instrText>
      </w:r>
      <w:r w:rsidRPr="00D13BB5">
        <w:fldChar w:fldCharType="separate"/>
      </w:r>
      <w:r w:rsidR="00EB5AC4" w:rsidRPr="00EB5AC4">
        <w:t>Figure 1.1</w:t>
      </w:r>
      <w:r w:rsidRPr="00D13BB5">
        <w:fldChar w:fldCharType="end"/>
      </w:r>
      <w:r w:rsidRPr="00D13BB5">
        <w:t xml:space="preserve">). The YES Congress included: a </w:t>
      </w:r>
      <w:r w:rsidRPr="003A2F94">
        <w:t>34</w:t>
      </w:r>
      <w:r w:rsidRPr="00CF07C2">
        <w:rPr>
          <w:rStyle w:val="Superscript"/>
        </w:rPr>
        <w:t>th</w:t>
      </w:r>
      <w:r w:rsidRPr="00D13BB5">
        <w:t xml:space="preserve"> IGC symposium on overcoming geoscience challenges in the 21</w:t>
      </w:r>
      <w:r w:rsidRPr="00207DA1">
        <w:rPr>
          <w:rStyle w:val="Superscript"/>
        </w:rPr>
        <w:t>st</w:t>
      </w:r>
      <w:r w:rsidRPr="00D13BB5">
        <w:t xml:space="preserve"> Century, early career perspectives on a range of issues, and a suite of evening workshops and roundtable discussions. The GeoHost Funded Delegate Program provided financial support for 244 delegates to attend and participate in the 34</w:t>
      </w:r>
      <w:r w:rsidRPr="00CF07C2">
        <w:rPr>
          <w:rStyle w:val="Superscript"/>
        </w:rPr>
        <w:t>th</w:t>
      </w:r>
      <w:r w:rsidRPr="00D13BB5">
        <w:t xml:space="preserve"> IGC (140 also participated in training workshops). Priority was given to geoscientists from developing countries and young Earth scientists who otherwise would not have had the means to attend the conference.</w:t>
      </w:r>
    </w:p>
    <w:p w:rsidR="00C93401" w:rsidRPr="00AD0DF8" w:rsidRDefault="00296658" w:rsidP="00AD0DF8">
      <w:pPr>
        <w:pStyle w:val="Figuresandimagescentred"/>
      </w:pPr>
      <w:r>
        <w:rPr>
          <w:noProof/>
        </w:rPr>
        <w:drawing>
          <wp:inline distT="0" distB="0" distL="0" distR="0" wp14:anchorId="752DF13F" wp14:editId="7E8CE297">
            <wp:extent cx="5410200" cy="2295525"/>
            <wp:effectExtent l="0" t="0" r="0" b="0"/>
            <wp:docPr id="3" name="Picture 3" descr="This figure illustrates the global distribution of YES Network delegates that participated in the 2nd World Yes Congress. China and Australia contributed the most delegates, with 76 and 72 students respectively. Europe was next represented with 38 delegates. A spread of YES delegates came from countries in South America, Africa, the Middle East and Asia-Pacific region. No YES delegates came from North 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is figure illustrates the global distribution of YES Network delegates that participated in the 2nd World Yes Congress. China and Australia contributed the most delegates, with 76 and 72 students respectively. Europe was next represented with 38 delegates. A spread of YES delegates came from countries in South America, Africa, the Middle East and Asia-Pacific region. No YES delegates came from North America."/>
                    <pic:cNvPicPr>
                      <a:picLocks noChangeAspect="1" noChangeArrowheads="1"/>
                    </pic:cNvPicPr>
                  </pic:nvPicPr>
                  <pic:blipFill>
                    <a:blip r:embed="rId16" cstate="print">
                      <a:extLst>
                        <a:ext uri="{28A0092B-C50C-407E-A947-70E740481C1C}">
                          <a14:useLocalDpi xmlns:a14="http://schemas.microsoft.com/office/drawing/2010/main" val="0"/>
                        </a:ext>
                      </a:extLst>
                    </a:blip>
                    <a:srcRect t="4579" b="18317"/>
                    <a:stretch>
                      <a:fillRect/>
                    </a:stretch>
                  </pic:blipFill>
                  <pic:spPr bwMode="auto">
                    <a:xfrm>
                      <a:off x="0" y="0"/>
                      <a:ext cx="5410200" cy="2295525"/>
                    </a:xfrm>
                    <a:prstGeom prst="rect">
                      <a:avLst/>
                    </a:prstGeom>
                    <a:noFill/>
                    <a:ln>
                      <a:noFill/>
                    </a:ln>
                  </pic:spPr>
                </pic:pic>
              </a:graphicData>
            </a:graphic>
          </wp:inline>
        </w:drawing>
      </w:r>
    </w:p>
    <w:p w:rsidR="00C93401" w:rsidRDefault="00C93401" w:rsidP="00C93401">
      <w:pPr>
        <w:pStyle w:val="Caption"/>
      </w:pPr>
      <w:bookmarkStart w:id="83" w:name="_Ref211740623"/>
      <w:r w:rsidRPr="00356CC4">
        <w:rPr>
          <w:rStyle w:val="Bold"/>
        </w:rPr>
        <w:t xml:space="preserve">Figure </w:t>
      </w:r>
      <w:r w:rsidRPr="00B365EA">
        <w:rPr>
          <w:rStyle w:val="Strong"/>
        </w:rPr>
        <w:fldChar w:fldCharType="begin"/>
      </w:r>
      <w:r w:rsidRPr="00B365EA">
        <w:rPr>
          <w:rStyle w:val="Strong"/>
        </w:rPr>
        <w:instrText xml:space="preserve"> STYLEREF 1 \s </w:instrText>
      </w:r>
      <w:r w:rsidRPr="00B365EA">
        <w:rPr>
          <w:rStyle w:val="Strong"/>
        </w:rPr>
        <w:fldChar w:fldCharType="separate"/>
      </w:r>
      <w:r w:rsidR="00EB5AC4">
        <w:rPr>
          <w:rStyle w:val="Strong"/>
          <w:noProof/>
        </w:rPr>
        <w:t>1</w:t>
      </w:r>
      <w:r w:rsidRPr="00B365EA">
        <w:rPr>
          <w:rStyle w:val="Strong"/>
        </w:rPr>
        <w:fldChar w:fldCharType="end"/>
      </w:r>
      <w:r w:rsidRPr="00356CC4">
        <w:rPr>
          <w:rStyle w:val="Bold"/>
        </w:rPr>
        <w:t>.</w:t>
      </w:r>
      <w:r w:rsidRPr="00B365EA">
        <w:rPr>
          <w:rStyle w:val="Strong"/>
        </w:rPr>
        <w:fldChar w:fldCharType="begin"/>
      </w:r>
      <w:r w:rsidRPr="00B365EA">
        <w:rPr>
          <w:rStyle w:val="Strong"/>
        </w:rPr>
        <w:instrText xml:space="preserve"> SEQ Figure \* ARABIC \s 1 </w:instrText>
      </w:r>
      <w:r w:rsidRPr="00B365EA">
        <w:rPr>
          <w:rStyle w:val="Strong"/>
        </w:rPr>
        <w:fldChar w:fldCharType="separate"/>
      </w:r>
      <w:r w:rsidR="00EB5AC4">
        <w:rPr>
          <w:rStyle w:val="Strong"/>
          <w:noProof/>
        </w:rPr>
        <w:t>1</w:t>
      </w:r>
      <w:r w:rsidRPr="00B365EA">
        <w:rPr>
          <w:rStyle w:val="Strong"/>
        </w:rPr>
        <w:fldChar w:fldCharType="end"/>
      </w:r>
      <w:bookmarkEnd w:id="83"/>
      <w:r w:rsidRPr="00356CC4">
        <w:rPr>
          <w:rStyle w:val="Bold"/>
        </w:rPr>
        <w:t>:</w:t>
      </w:r>
      <w:r w:rsidRPr="003A2F94">
        <w:t xml:space="preserve"> </w:t>
      </w:r>
      <w:r>
        <w:t>Map showing the number of YES Network delegates with their respective countries that participated in the 2</w:t>
      </w:r>
      <w:r w:rsidRPr="00207DA1">
        <w:rPr>
          <w:rStyle w:val="Superscript"/>
        </w:rPr>
        <w:t>nd</w:t>
      </w:r>
      <w:r>
        <w:t xml:space="preserve"> World YES Congress.</w:t>
      </w:r>
    </w:p>
    <w:p w:rsidR="00C93401" w:rsidRDefault="00C93401" w:rsidP="00C93401">
      <w:pPr>
        <w:pStyle w:val="Heading2"/>
      </w:pPr>
      <w:bookmarkStart w:id="84" w:name="_Ref338860409"/>
      <w:bookmarkStart w:id="85" w:name="_Toc353282009"/>
      <w:bookmarkStart w:id="86" w:name="_Toc355274221"/>
      <w:r>
        <w:t>Geoscience Australia’s Involvement in the 34</w:t>
      </w:r>
      <w:r w:rsidRPr="00CF07C2">
        <w:rPr>
          <w:rStyle w:val="Superscript"/>
        </w:rPr>
        <w:t>th</w:t>
      </w:r>
      <w:r>
        <w:t xml:space="preserve"> IGC</w:t>
      </w:r>
      <w:bookmarkEnd w:id="84"/>
      <w:bookmarkEnd w:id="85"/>
      <w:bookmarkEnd w:id="86"/>
    </w:p>
    <w:p w:rsidR="00C93401" w:rsidRPr="00D13BB5" w:rsidRDefault="00C93401" w:rsidP="00C93401">
      <w:pPr>
        <w:pStyle w:val="BodyText"/>
      </w:pPr>
      <w:r w:rsidRPr="00D13BB5">
        <w:t xml:space="preserve">Australia’s position as the host of the </w:t>
      </w:r>
      <w:r w:rsidRPr="003A2F94">
        <w:t>34</w:t>
      </w:r>
      <w:r w:rsidRPr="00CF07C2">
        <w:rPr>
          <w:rStyle w:val="Superscript"/>
        </w:rPr>
        <w:t>th</w:t>
      </w:r>
      <w:r w:rsidRPr="00D13BB5">
        <w:t xml:space="preserve"> IGC provided a rare opportunity to focus global attention on the geology of Australia, provide a forum for discussing Australia’s geoscientific issues and for promoting its resources. GA seeks to create, maintain and disseminate geoscientfic knowledge for the </w:t>
      </w:r>
      <w:r w:rsidRPr="00D13BB5">
        <w:lastRenderedPageBreak/>
        <w:t xml:space="preserve">future well-being of all Australians, as well as stimulating economic growth for the region. As a consequence, it was anticipated that involvement in the </w:t>
      </w:r>
      <w:r w:rsidRPr="003A2F94">
        <w:t>34</w:t>
      </w:r>
      <w:r w:rsidRPr="00CF07C2">
        <w:rPr>
          <w:rStyle w:val="Superscript"/>
        </w:rPr>
        <w:t>th</w:t>
      </w:r>
      <w:r w:rsidRPr="00D13BB5">
        <w:t xml:space="preserve"> IGC would help GA to fulfil its mandated objectives and promote its work to the global geoscience community. GA was a major partner in securing the bid of the 34</w:t>
      </w:r>
      <w:r w:rsidRPr="00CF07C2">
        <w:rPr>
          <w:rStyle w:val="Superscript"/>
        </w:rPr>
        <w:t>th</w:t>
      </w:r>
      <w:r w:rsidRPr="00D13BB5">
        <w:t xml:space="preserve"> IGC, as well as taking major roles in promoting and organising the congress. Although GA staff members featured prominently on the </w:t>
      </w:r>
      <w:r w:rsidRPr="003A2F94">
        <w:t>34</w:t>
      </w:r>
      <w:r w:rsidRPr="00CF07C2">
        <w:rPr>
          <w:rStyle w:val="Superscript"/>
        </w:rPr>
        <w:t>th</w:t>
      </w:r>
      <w:r w:rsidRPr="00D13BB5">
        <w:t xml:space="preserve"> IGC Organising Committee (see Section </w:t>
      </w:r>
      <w:r w:rsidRPr="00D13BB5">
        <w:fldChar w:fldCharType="begin"/>
      </w:r>
      <w:r w:rsidRPr="00D13BB5">
        <w:instrText xml:space="preserve"> REF _Ref339263521 \n \h </w:instrText>
      </w:r>
      <w:r>
        <w:instrText xml:space="preserve"> \* MERGEFORMAT </w:instrText>
      </w:r>
      <w:r w:rsidRPr="00D13BB5">
        <w:fldChar w:fldCharType="separate"/>
      </w:r>
      <w:r w:rsidR="00EB5AC4">
        <w:t>1.2</w:t>
      </w:r>
      <w:r w:rsidRPr="00D13BB5">
        <w:fldChar w:fldCharType="end"/>
      </w:r>
      <w:r w:rsidRPr="00D13BB5">
        <w:t xml:space="preserve">), the total contribution of the organisation extended well beyond this. A non-exhaustive summary of the contribution by GA to the </w:t>
      </w:r>
      <w:r w:rsidRPr="003A2F94">
        <w:t>34</w:t>
      </w:r>
      <w:r w:rsidRPr="00CF07C2">
        <w:rPr>
          <w:rStyle w:val="Superscript"/>
        </w:rPr>
        <w:t>th</w:t>
      </w:r>
      <w:r w:rsidRPr="00D13BB5">
        <w:t xml:space="preserve"> IGC includes the following activities:</w:t>
      </w:r>
    </w:p>
    <w:p w:rsidR="00C93401" w:rsidRDefault="00C93401" w:rsidP="00C93401">
      <w:pPr>
        <w:pStyle w:val="Bulletlevel1"/>
      </w:pPr>
      <w:r>
        <w:t>Promoting the 34</w:t>
      </w:r>
      <w:r w:rsidRPr="00CF07C2">
        <w:rPr>
          <w:rStyle w:val="Superscript"/>
        </w:rPr>
        <w:t>th</w:t>
      </w:r>
      <w:r>
        <w:t xml:space="preserve"> IGC at major conferences around the globe in the years leading up to the </w:t>
      </w:r>
      <w:r w:rsidRPr="003A2F94">
        <w:rPr>
          <w:rStyle w:val="BodyTextChar"/>
        </w:rPr>
        <w:t>34</w:t>
      </w:r>
      <w:r w:rsidRPr="00CF07C2">
        <w:rPr>
          <w:rStyle w:val="Superscript"/>
        </w:rPr>
        <w:t>th</w:t>
      </w:r>
      <w:r>
        <w:t xml:space="preserve"> IGC;</w:t>
      </w:r>
    </w:p>
    <w:p w:rsidR="00C93401" w:rsidRDefault="00C93401" w:rsidP="00C93401">
      <w:pPr>
        <w:pStyle w:val="Bulletlevel1"/>
      </w:pPr>
      <w:r>
        <w:t>Sending 120 delegates to the 34</w:t>
      </w:r>
      <w:r w:rsidRPr="00CF07C2">
        <w:rPr>
          <w:rStyle w:val="Superscript"/>
        </w:rPr>
        <w:t>th</w:t>
      </w:r>
      <w:r>
        <w:t xml:space="preserve"> IGC;</w:t>
      </w:r>
    </w:p>
    <w:p w:rsidR="00C93401" w:rsidRDefault="00C93401" w:rsidP="00C93401">
      <w:pPr>
        <w:pStyle w:val="Bulletlevel1"/>
      </w:pPr>
      <w:r>
        <w:t>Providing GA employees to organise themes and chair sessions (Appendix Three)</w:t>
      </w:r>
      <w:r w:rsidR="00A40F13">
        <w:t>;</w:t>
      </w:r>
    </w:p>
    <w:p w:rsidR="00C93401" w:rsidRPr="00EC77EA" w:rsidRDefault="00C93401" w:rsidP="00C93401">
      <w:pPr>
        <w:pStyle w:val="Bulletlevel1"/>
      </w:pPr>
      <w:r>
        <w:t xml:space="preserve">Producing the official congress volume, a book entitled </w:t>
      </w:r>
      <w:r w:rsidRPr="00D13BB5">
        <w:rPr>
          <w:rStyle w:val="Bodytextitalic"/>
        </w:rPr>
        <w:t>Shaping A Nation: A Geology of Australia</w:t>
      </w:r>
      <w:r w:rsidR="00A40F13" w:rsidRPr="00356CC4">
        <w:rPr>
          <w:rStyle w:val="BodyTextChar"/>
        </w:rPr>
        <w:t>;</w:t>
      </w:r>
      <w:r w:rsidRPr="00D13BB5">
        <w:rPr>
          <w:rStyle w:val="Bodytextitalic"/>
        </w:rPr>
        <w:t xml:space="preserve"> </w:t>
      </w:r>
      <w:r>
        <w:t>and</w:t>
      </w:r>
      <w:r w:rsidR="00A40F13">
        <w:t>,</w:t>
      </w:r>
    </w:p>
    <w:p w:rsidR="00C93401" w:rsidRPr="00427195" w:rsidRDefault="00C93401" w:rsidP="00C93401">
      <w:pPr>
        <w:pStyle w:val="Bulletlevel1"/>
      </w:pPr>
      <w:r>
        <w:t xml:space="preserve">Contributing to the special addition of </w:t>
      </w:r>
      <w:r w:rsidRPr="00D13BB5">
        <w:rPr>
          <w:rStyle w:val="Bodytextitalic"/>
        </w:rPr>
        <w:t>Episodes: Journal of International Geoscience</w:t>
      </w:r>
      <w:r>
        <w:t>.</w:t>
      </w:r>
    </w:p>
    <w:p w:rsidR="00C93401" w:rsidRDefault="00C93401" w:rsidP="00C93401">
      <w:pPr>
        <w:pStyle w:val="BodyText"/>
      </w:pPr>
      <w:r>
        <w:t>In addition, the congress provided an opportunity for information harvesting and collaborations, ensuring that GA scientists continue to apply best-practices and innovative solutions to Australia’s geoscientific problems and provide high-quality information to the Australian Government.</w:t>
      </w:r>
    </w:p>
    <w:p w:rsidR="00C93401" w:rsidRDefault="00C93401" w:rsidP="00C93401">
      <w:pPr>
        <w:pStyle w:val="BodyText"/>
      </w:pPr>
      <w:r w:rsidRPr="003A2F94">
        <w:t>GA also maintained a strong physical presence at the 34</w:t>
      </w:r>
      <w:r w:rsidRPr="00CF07C2">
        <w:rPr>
          <w:rStyle w:val="Superscript"/>
        </w:rPr>
        <w:t>th</w:t>
      </w:r>
      <w:r w:rsidRPr="003A2F94">
        <w:t xml:space="preserve"> IGC through its GeoExpo booth. The GA booth aimed to promote geosciences within Australia to the global delegate congregation. The display contained; an interactive 3D viewer for spatial data, computers with access to the public GA website, pamphlets containing information on the capabilities of GA, and copies of </w:t>
      </w:r>
      <w:r w:rsidRPr="00D13BB5">
        <w:rPr>
          <w:rStyle w:val="Bodytextitalic"/>
        </w:rPr>
        <w:t>Uluru and Kata Tjuta: a geological guide</w:t>
      </w:r>
      <w:r w:rsidRPr="003A2F94">
        <w:t xml:space="preserve"> (</w:t>
      </w:r>
      <w:r w:rsidRPr="00D57832">
        <w:rPr>
          <w:rStyle w:val="bodytext0"/>
          <w:highlight w:val="cyan"/>
        </w:rPr>
        <w:fldChar w:fldCharType="begin"/>
      </w:r>
      <w:r w:rsidRPr="00D57832">
        <w:rPr>
          <w:rStyle w:val="bodytext0"/>
        </w:rPr>
        <w:instrText xml:space="preserve"> REF _Ref338163441 \h </w:instrText>
      </w:r>
      <w:r w:rsidRPr="00D57832">
        <w:rPr>
          <w:highlight w:val="cyan"/>
        </w:rPr>
        <w:instrText xml:space="preserve"> \* MERGEFORMAT </w:instrText>
      </w:r>
      <w:r w:rsidRPr="00D57832">
        <w:rPr>
          <w:rStyle w:val="bodytext0"/>
          <w:highlight w:val="cyan"/>
        </w:rPr>
      </w:r>
      <w:r w:rsidRPr="00D57832">
        <w:rPr>
          <w:rStyle w:val="bodytext0"/>
          <w:highlight w:val="cyan"/>
        </w:rPr>
        <w:fldChar w:fldCharType="separate"/>
      </w:r>
      <w:r w:rsidR="00EB5AC4" w:rsidRPr="00EB5AC4">
        <w:t>Figure 1.2</w:t>
      </w:r>
      <w:r w:rsidRPr="00D57832">
        <w:rPr>
          <w:rStyle w:val="bodytext0"/>
          <w:highlight w:val="cyan"/>
        </w:rPr>
        <w:fldChar w:fldCharType="end"/>
      </w:r>
      <w:r w:rsidRPr="003A2F94">
        <w:t>). In addition, the booth contained a sales centre, which sold copies of the book ‘</w:t>
      </w:r>
      <w:r w:rsidRPr="00D13BB5">
        <w:rPr>
          <w:rStyle w:val="Bodytextitalic"/>
        </w:rPr>
        <w:t>Shaping a Nation: A Geology of Australia</w:t>
      </w:r>
      <w:r w:rsidRPr="003A2F94">
        <w:t>’.</w:t>
      </w:r>
    </w:p>
    <w:p w:rsidR="00192E38" w:rsidRPr="00356CC4" w:rsidRDefault="009F6C79" w:rsidP="00007801">
      <w:pPr>
        <w:pStyle w:val="Figuresandimagescentred"/>
      </w:pPr>
      <w:r>
        <w:rPr>
          <w:noProof/>
        </w:rPr>
        <w:lastRenderedPageBreak/>
        <w:drawing>
          <wp:inline distT="0" distB="0" distL="0" distR="0" wp14:anchorId="16DF84D4" wp14:editId="17F787EB">
            <wp:extent cx="4724400" cy="3895725"/>
            <wp:effectExtent l="0" t="0" r="0" b="9525"/>
            <wp:docPr id="11" name="Picture 11" descr="This figure provides four examples of the display items at the Geoscience Australia booth at the 34th IGC. See section 1.4, paragraph 3, for a detailed description of thi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_2.jpeg"/>
                    <pic:cNvPicPr/>
                  </pic:nvPicPr>
                  <pic:blipFill>
                    <a:blip r:embed="rId17">
                      <a:extLst>
                        <a:ext uri="{28A0092B-C50C-407E-A947-70E740481C1C}">
                          <a14:useLocalDpi xmlns:a14="http://schemas.microsoft.com/office/drawing/2010/main" val="0"/>
                        </a:ext>
                      </a:extLst>
                    </a:blip>
                    <a:stretch>
                      <a:fillRect/>
                    </a:stretch>
                  </pic:blipFill>
                  <pic:spPr>
                    <a:xfrm>
                      <a:off x="0" y="0"/>
                      <a:ext cx="4724400" cy="3895725"/>
                    </a:xfrm>
                    <a:prstGeom prst="rect">
                      <a:avLst/>
                    </a:prstGeom>
                  </pic:spPr>
                </pic:pic>
              </a:graphicData>
            </a:graphic>
          </wp:inline>
        </w:drawing>
      </w:r>
    </w:p>
    <w:p w:rsidR="00C93401" w:rsidRPr="003A2F94" w:rsidRDefault="00C93401" w:rsidP="00583FC4">
      <w:pPr>
        <w:pStyle w:val="Caption"/>
        <w:rPr>
          <w:rStyle w:val="BodyTextChar"/>
        </w:rPr>
      </w:pPr>
      <w:bookmarkStart w:id="87" w:name="_Ref338163441"/>
      <w:r w:rsidRPr="00356CC4">
        <w:rPr>
          <w:rStyle w:val="Bold"/>
        </w:rPr>
        <w:t xml:space="preserve">Figure </w:t>
      </w:r>
      <w:r w:rsidRPr="00B365EA">
        <w:rPr>
          <w:rStyle w:val="Strong"/>
        </w:rPr>
        <w:fldChar w:fldCharType="begin"/>
      </w:r>
      <w:r w:rsidRPr="00B365EA">
        <w:rPr>
          <w:rStyle w:val="Strong"/>
        </w:rPr>
        <w:instrText xml:space="preserve"> STYLEREF 1 \s </w:instrText>
      </w:r>
      <w:r w:rsidRPr="00B365EA">
        <w:rPr>
          <w:rStyle w:val="Strong"/>
        </w:rPr>
        <w:fldChar w:fldCharType="separate"/>
      </w:r>
      <w:r w:rsidR="00EB5AC4">
        <w:rPr>
          <w:rStyle w:val="Strong"/>
          <w:noProof/>
        </w:rPr>
        <w:t>1</w:t>
      </w:r>
      <w:r w:rsidRPr="00B365EA">
        <w:rPr>
          <w:rStyle w:val="Strong"/>
        </w:rPr>
        <w:fldChar w:fldCharType="end"/>
      </w:r>
      <w:r w:rsidRPr="00356CC4">
        <w:rPr>
          <w:rStyle w:val="Bold"/>
        </w:rPr>
        <w:t>.</w:t>
      </w:r>
      <w:r w:rsidRPr="00B365EA">
        <w:rPr>
          <w:rStyle w:val="Strong"/>
        </w:rPr>
        <w:fldChar w:fldCharType="begin"/>
      </w:r>
      <w:r w:rsidRPr="00B365EA">
        <w:rPr>
          <w:rStyle w:val="Strong"/>
        </w:rPr>
        <w:instrText xml:space="preserve"> SEQ Figure \* ARABIC \s 1 </w:instrText>
      </w:r>
      <w:r w:rsidRPr="00B365EA">
        <w:rPr>
          <w:rStyle w:val="Strong"/>
        </w:rPr>
        <w:fldChar w:fldCharType="separate"/>
      </w:r>
      <w:r w:rsidR="00EB5AC4">
        <w:rPr>
          <w:rStyle w:val="Strong"/>
          <w:noProof/>
        </w:rPr>
        <w:t>2</w:t>
      </w:r>
      <w:r w:rsidRPr="00B365EA">
        <w:rPr>
          <w:rStyle w:val="Strong"/>
        </w:rPr>
        <w:fldChar w:fldCharType="end"/>
      </w:r>
      <w:bookmarkEnd w:id="87"/>
      <w:r w:rsidRPr="00356CC4">
        <w:rPr>
          <w:rStyle w:val="Bold"/>
        </w:rPr>
        <w:t>:</w:t>
      </w:r>
      <w:r>
        <w:t xml:space="preserve"> </w:t>
      </w:r>
      <w:r w:rsidRPr="00B759FB">
        <w:t>Photographs of dis</w:t>
      </w:r>
      <w:r>
        <w:t>play items within the GA booth. a)</w:t>
      </w:r>
      <w:r w:rsidRPr="00B759FB">
        <w:t xml:space="preserve"> </w:t>
      </w:r>
      <w:r>
        <w:t>A GA employee</w:t>
      </w:r>
      <w:r w:rsidRPr="00B759FB">
        <w:t xml:space="preserve"> showing </w:t>
      </w:r>
      <w:r>
        <w:t xml:space="preserve">two </w:t>
      </w:r>
      <w:r w:rsidRPr="00B759FB">
        <w:t>dele</w:t>
      </w:r>
      <w:r>
        <w:t xml:space="preserve">gates </w:t>
      </w:r>
      <w:r w:rsidR="00583FC4">
        <w:t>GA</w:t>
      </w:r>
      <w:r w:rsidR="00D64715">
        <w:t>’</w:t>
      </w:r>
      <w:r w:rsidR="00583FC4">
        <w:t xml:space="preserve">s </w:t>
      </w:r>
      <w:r>
        <w:t>3D</w:t>
      </w:r>
      <w:r w:rsidR="00583FC4">
        <w:t xml:space="preserve"> Data V</w:t>
      </w:r>
      <w:r>
        <w:t>iewer</w:t>
      </w:r>
      <w:r w:rsidR="00583FC4">
        <w:t xml:space="preserve"> using the Kinetic Data Explorer</w:t>
      </w:r>
      <w:r w:rsidRPr="00B759FB">
        <w:t xml:space="preserve"> </w:t>
      </w:r>
      <w:r>
        <w:t>b</w:t>
      </w:r>
      <w:r w:rsidRPr="00B759FB">
        <w:t xml:space="preserve">) Computers with access to the GA website and </w:t>
      </w:r>
      <w:r w:rsidR="00583FC4">
        <w:t>3D Data Viewer</w:t>
      </w:r>
      <w:r>
        <w:t xml:space="preserve"> c</w:t>
      </w:r>
      <w:r w:rsidRPr="00B759FB">
        <w:t>) Computer with access to the GA website and free koalas that were very popul</w:t>
      </w:r>
      <w:r>
        <w:t>ar with international delegates</w:t>
      </w:r>
      <w:r w:rsidRPr="00B759FB">
        <w:t xml:space="preserve"> </w:t>
      </w:r>
      <w:r w:rsidRPr="00583FC4">
        <w:t>d) Pamphlets, Uluru and Kata Tjuta: a geological guide and Shaping a Nation: A Geology of Australia which were all available at the GA booth.</w:t>
      </w:r>
      <w:bookmarkStart w:id="88" w:name="_Toc336954875"/>
    </w:p>
    <w:p w:rsidR="00C93401" w:rsidRDefault="00C93401" w:rsidP="00C93401">
      <w:pPr>
        <w:pStyle w:val="Heading2"/>
      </w:pPr>
      <w:bookmarkStart w:id="89" w:name="_Toc353282010"/>
      <w:bookmarkStart w:id="90" w:name="_Toc355274222"/>
      <w:r>
        <w:t>Summary</w:t>
      </w:r>
      <w:bookmarkEnd w:id="89"/>
      <w:bookmarkEnd w:id="90"/>
    </w:p>
    <w:p w:rsidR="00C93401" w:rsidRPr="00D13BB5" w:rsidRDefault="00C93401" w:rsidP="00C93401">
      <w:pPr>
        <w:pStyle w:val="BodyText"/>
      </w:pPr>
      <w:r>
        <w:t>The IGC is the pre-eminent global geoscience congress. Since Australia won its bid to host the 34</w:t>
      </w:r>
      <w:r w:rsidRPr="00CF07C2">
        <w:rPr>
          <w:rStyle w:val="Superscript"/>
        </w:rPr>
        <w:t>th</w:t>
      </w:r>
      <w:r>
        <w:t xml:space="preserve"> IGC in 2004, a huge effort has gone into the planning, organisation, administration and implementation, sustained over the intervening eight years before the congress. This represents a significant investment into the geosciences of the nation and this investment will now be investigated on a national, organisational and personal level in the following chapters.</w:t>
      </w:r>
    </w:p>
    <w:p w:rsidR="00C93401" w:rsidRPr="003A2F94" w:rsidRDefault="00C93401" w:rsidP="00C93401">
      <w:pPr>
        <w:pStyle w:val="Heading1"/>
      </w:pPr>
      <w:bookmarkStart w:id="91" w:name="_Toc353282011"/>
      <w:bookmarkStart w:id="92" w:name="_Toc355274223"/>
      <w:r w:rsidRPr="003A2F94">
        <w:lastRenderedPageBreak/>
        <w:t>National-Scale Impacts</w:t>
      </w:r>
      <w:bookmarkEnd w:id="91"/>
      <w:bookmarkEnd w:id="92"/>
    </w:p>
    <w:p w:rsidR="00C93401" w:rsidRDefault="00C93401" w:rsidP="00C93401">
      <w:pPr>
        <w:pStyle w:val="Heading2"/>
      </w:pPr>
      <w:bookmarkStart w:id="93" w:name="_Toc17558419"/>
      <w:bookmarkStart w:id="94" w:name="_Toc55379346"/>
      <w:bookmarkStart w:id="95" w:name="_Toc336271064"/>
      <w:bookmarkStart w:id="96" w:name="_Toc353282012"/>
      <w:bookmarkStart w:id="97" w:name="_Toc355274224"/>
      <w:r>
        <w:t>Introduction</w:t>
      </w:r>
      <w:bookmarkEnd w:id="93"/>
      <w:bookmarkEnd w:id="94"/>
      <w:bookmarkEnd w:id="95"/>
      <w:bookmarkEnd w:id="96"/>
      <w:bookmarkEnd w:id="97"/>
    </w:p>
    <w:p w:rsidR="00C93401" w:rsidRPr="003A2F94" w:rsidRDefault="00C93401" w:rsidP="00C93401">
      <w:pPr>
        <w:pStyle w:val="BodyText"/>
      </w:pPr>
      <w:r w:rsidRPr="003A2F94">
        <w:t>The vast scale of the IGC leads to the expectation that it will produce observable impacts, at the national scale, for the country which plays host to it. Despite the costs associated with hosting an IGC, there is strong competition between countries to win the right. The focus of this chapter is to investigate the national-scale impacts that result from hosting an IGC to establish the benefits of hosting such an event.</w:t>
      </w:r>
    </w:p>
    <w:p w:rsidR="00C93401" w:rsidRPr="00D13BB5" w:rsidRDefault="00C93401" w:rsidP="00C93401">
      <w:pPr>
        <w:pStyle w:val="BodyText"/>
      </w:pPr>
      <w:r w:rsidRPr="00D13BB5">
        <w:t>Hosting an IGC has been purported to have many wide-reaching benefits, extending from the personal to the national scale. For example, Dr Clinton Foster (Chief Scientist, Geoscience Australia) and Dr Ian Lambert (34</w:t>
      </w:r>
      <w:r w:rsidRPr="00CF07C2">
        <w:rPr>
          <w:rStyle w:val="Superscript"/>
        </w:rPr>
        <w:t>th</w:t>
      </w:r>
      <w:r w:rsidRPr="00D13BB5">
        <w:t xml:space="preserve"> IGC Secretary General) described anecdotal broad-scale impacts of hosting the 25</w:t>
      </w:r>
      <w:r w:rsidRPr="00CF07C2">
        <w:rPr>
          <w:rStyle w:val="Superscript"/>
        </w:rPr>
        <w:t>th</w:t>
      </w:r>
      <w:r w:rsidRPr="00D13BB5">
        <w:t xml:space="preserve"> IGC in Sydney in 1976, including:</w:t>
      </w:r>
    </w:p>
    <w:p w:rsidR="00C93401" w:rsidRPr="00D13BB5" w:rsidRDefault="00C93401" w:rsidP="00C93401">
      <w:pPr>
        <w:pStyle w:val="Bulletlevel1"/>
      </w:pPr>
      <w:r w:rsidRPr="00D13BB5">
        <w:t>An increase in international collaboration, including networking and joint research programs</w:t>
      </w:r>
      <w:r w:rsidR="00A40F13">
        <w:t>;</w:t>
      </w:r>
      <w:r w:rsidRPr="00D13BB5">
        <w:t xml:space="preserve"> and</w:t>
      </w:r>
      <w:r w:rsidR="00A40F13">
        <w:t>,</w:t>
      </w:r>
    </w:p>
    <w:p w:rsidR="00C93401" w:rsidRPr="00D13BB5" w:rsidRDefault="00C93401" w:rsidP="00C93401">
      <w:pPr>
        <w:pStyle w:val="Bulletlevel1"/>
      </w:pPr>
      <w:r w:rsidRPr="00D13BB5">
        <w:t>A rise in resource exploration in Australia (although other contributing factors also had an impact).</w:t>
      </w:r>
    </w:p>
    <w:p w:rsidR="00C93401" w:rsidRPr="00D13BB5" w:rsidRDefault="00C93401" w:rsidP="00C93401">
      <w:pPr>
        <w:pStyle w:val="BodyText"/>
      </w:pPr>
      <w:r w:rsidRPr="00D13BB5">
        <w:t>In order to assess whether these impacts were observed for other sessions of the IGC (</w:t>
      </w:r>
      <w:r w:rsidRPr="00D13BB5">
        <w:fldChar w:fldCharType="begin"/>
      </w:r>
      <w:r w:rsidRPr="00D13BB5">
        <w:instrText xml:space="preserve"> REF _Ref338163746 \h  \* MERGEFORMAT </w:instrText>
      </w:r>
      <w:r w:rsidRPr="00D13BB5">
        <w:fldChar w:fldCharType="separate"/>
      </w:r>
      <w:r w:rsidR="00EB5AC4" w:rsidRPr="00EB5AC4">
        <w:t>Table 2.1</w:t>
      </w:r>
      <w:r w:rsidRPr="00D13BB5">
        <w:fldChar w:fldCharType="end"/>
      </w:r>
      <w:r w:rsidRPr="00D13BB5">
        <w:t>), the Secretary Generals of the 32</w:t>
      </w:r>
      <w:r w:rsidRPr="00207DA1">
        <w:rPr>
          <w:rStyle w:val="Superscript"/>
        </w:rPr>
        <w:t>nd</w:t>
      </w:r>
      <w:r w:rsidRPr="00D13BB5">
        <w:t xml:space="preserve"> IGC in Florence in 2004 and the 33</w:t>
      </w:r>
      <w:r w:rsidRPr="00207DA1">
        <w:rPr>
          <w:rStyle w:val="Superscript"/>
        </w:rPr>
        <w:t>rd</w:t>
      </w:r>
      <w:r w:rsidRPr="00D13BB5">
        <w:t xml:space="preserve"> IGC in Oslo in 2008—Professor Ernesto Abbate and Dr Anders Solheim respectively—were interviewed. Their positions as Secretary General of past IGCs allowed them to comment on the longer term impacts in their countries. These interviews proved extremely useful in guiding the scope of investigation for the present study and will be referred to in subsequent sections. This approach was based on the hypothesis: the benefits observed by host nations for previous IGCs would provide a guide for the longer term impacts to be expected from the 34</w:t>
      </w:r>
      <w:r w:rsidRPr="000B3A04">
        <w:rPr>
          <w:rStyle w:val="Superscript"/>
        </w:rPr>
        <w:t>th</w:t>
      </w:r>
      <w:r w:rsidRPr="00D13BB5">
        <w:t xml:space="preserve"> IGC in Brisbane 2012, which are ongoing and could not be measured directly.</w:t>
      </w:r>
    </w:p>
    <w:p w:rsidR="00C93401" w:rsidRPr="00064D29" w:rsidRDefault="00C93401" w:rsidP="00C93401">
      <w:pPr>
        <w:pStyle w:val="Tabletitle"/>
      </w:pPr>
      <w:bookmarkStart w:id="98" w:name="_Ref338163746"/>
      <w:r w:rsidRPr="00356CC4">
        <w:rPr>
          <w:rStyle w:val="Bold"/>
        </w:rPr>
        <w:t xml:space="preserve">Table </w:t>
      </w:r>
      <w:r w:rsidR="004E7FC8">
        <w:rPr>
          <w:rStyle w:val="Bold"/>
        </w:rPr>
        <w:fldChar w:fldCharType="begin"/>
      </w:r>
      <w:r w:rsidR="004E7FC8">
        <w:rPr>
          <w:rStyle w:val="Bold"/>
        </w:rPr>
        <w:instrText xml:space="preserve"> STYLEREF 1 \s </w:instrText>
      </w:r>
      <w:r w:rsidR="004E7FC8">
        <w:rPr>
          <w:rStyle w:val="Bold"/>
        </w:rPr>
        <w:fldChar w:fldCharType="separate"/>
      </w:r>
      <w:r w:rsidR="004E7FC8">
        <w:rPr>
          <w:rStyle w:val="Bold"/>
          <w:noProof/>
        </w:rPr>
        <w:t>2</w:t>
      </w:r>
      <w:r w:rsidR="004E7FC8">
        <w:rPr>
          <w:rStyle w:val="Bold"/>
        </w:rPr>
        <w:fldChar w:fldCharType="end"/>
      </w:r>
      <w:r w:rsidR="004E7FC8">
        <w:rPr>
          <w:rStyle w:val="Bold"/>
        </w:rPr>
        <w:t>.</w:t>
      </w:r>
      <w:r w:rsidR="004E7FC8">
        <w:rPr>
          <w:rStyle w:val="Bold"/>
        </w:rPr>
        <w:fldChar w:fldCharType="begin"/>
      </w:r>
      <w:r w:rsidR="004E7FC8">
        <w:rPr>
          <w:rStyle w:val="Bold"/>
        </w:rPr>
        <w:instrText xml:space="preserve"> SEQ Table \* ARABIC \s 1 </w:instrText>
      </w:r>
      <w:r w:rsidR="004E7FC8">
        <w:rPr>
          <w:rStyle w:val="Bold"/>
        </w:rPr>
        <w:fldChar w:fldCharType="separate"/>
      </w:r>
      <w:r w:rsidR="004E7FC8">
        <w:rPr>
          <w:rStyle w:val="Bold"/>
          <w:noProof/>
        </w:rPr>
        <w:t>1</w:t>
      </w:r>
      <w:r w:rsidR="004E7FC8">
        <w:rPr>
          <w:rStyle w:val="Bold"/>
        </w:rPr>
        <w:fldChar w:fldCharType="end"/>
      </w:r>
      <w:bookmarkEnd w:id="98"/>
      <w:r w:rsidRPr="00356CC4">
        <w:rPr>
          <w:rStyle w:val="Bold"/>
        </w:rPr>
        <w:t>:</w:t>
      </w:r>
      <w:r w:rsidRPr="003A2F94">
        <w:t xml:space="preserve"> </w:t>
      </w:r>
      <w:r w:rsidRPr="00064D29">
        <w:t xml:space="preserve">List of host country with the year they hosted </w:t>
      </w:r>
      <w:r>
        <w:t xml:space="preserve">an </w:t>
      </w:r>
      <w:r w:rsidRPr="00064D29">
        <w:t>IGC from present to 1976.</w:t>
      </w:r>
    </w:p>
    <w:tbl>
      <w:tblPr>
        <w:tblStyle w:val="TableGAHeaderRow"/>
        <w:tblW w:w="0" w:type="auto"/>
        <w:tblLook w:val="01E0" w:firstRow="1" w:lastRow="1" w:firstColumn="1" w:lastColumn="1" w:noHBand="0" w:noVBand="0"/>
        <w:tblDescription w:val="This table lists all of the IGC years from 1976 to 2012, inclusive, along with the name of the country to host that conference. In order from oldest to most recent, these are; Australia in 1976, France in 1980, USSR in 1984, USA in 1989, Japan in 1992, China in 1996, Brazil in 2000, Italy in 2004, Norway in 2008 and Australia in 2012."/>
      </w:tblPr>
      <w:tblGrid>
        <w:gridCol w:w="1700"/>
        <w:gridCol w:w="1844"/>
      </w:tblGrid>
      <w:tr w:rsidR="00C93401" w:rsidTr="007B7B4A">
        <w:trPr>
          <w:cnfStyle w:val="100000000000" w:firstRow="1" w:lastRow="0" w:firstColumn="0" w:lastColumn="0" w:oddVBand="0" w:evenVBand="0" w:oddHBand="0" w:evenHBand="0" w:firstRowFirstColumn="0" w:firstRowLastColumn="0" w:lastRowFirstColumn="0" w:lastRowLastColumn="0"/>
          <w:cantSplit w:val="0"/>
          <w:tblHeader/>
        </w:trPr>
        <w:tc>
          <w:tcPr>
            <w:cnfStyle w:val="000010000000" w:firstRow="0" w:lastRow="0" w:firstColumn="0" w:lastColumn="0" w:oddVBand="1" w:evenVBand="0" w:oddHBand="0" w:evenHBand="0" w:firstRowFirstColumn="0" w:firstRowLastColumn="0" w:lastRowFirstColumn="0" w:lastRowLastColumn="0"/>
            <w:tcW w:w="1700" w:type="dxa"/>
          </w:tcPr>
          <w:p w:rsidR="00C93401" w:rsidRPr="00AE14B1" w:rsidRDefault="00C93401" w:rsidP="007040C8">
            <w:pPr>
              <w:pStyle w:val="Tabletextcentred"/>
            </w:pPr>
            <w:r w:rsidRPr="00AE14B1">
              <w:t>IGC Year</w:t>
            </w:r>
          </w:p>
        </w:tc>
        <w:tc>
          <w:tcPr>
            <w:tcW w:w="1844" w:type="dxa"/>
          </w:tcPr>
          <w:p w:rsidR="00C93401" w:rsidRPr="00AE14B1" w:rsidRDefault="00C93401" w:rsidP="007040C8">
            <w:pPr>
              <w:pStyle w:val="Tabletextcentred"/>
              <w:cnfStyle w:val="100000000000" w:firstRow="1" w:lastRow="0" w:firstColumn="0" w:lastColumn="0" w:oddVBand="0" w:evenVBand="0" w:oddHBand="0" w:evenHBand="0" w:firstRowFirstColumn="0" w:firstRowLastColumn="0" w:lastRowFirstColumn="0" w:lastRowLastColumn="0"/>
            </w:pPr>
            <w:r w:rsidRPr="00AE14B1">
              <w:t>Host Country</w:t>
            </w:r>
          </w:p>
        </w:tc>
      </w:tr>
      <w:tr w:rsidR="00C93401" w:rsidTr="007B7B4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0" w:type="dxa"/>
          </w:tcPr>
          <w:p w:rsidR="00C93401" w:rsidRPr="00D644D5" w:rsidRDefault="00C93401" w:rsidP="00EF6B0B">
            <w:pPr>
              <w:pStyle w:val="Tabletextcentred"/>
              <w:rPr>
                <w:szCs w:val="18"/>
              </w:rPr>
            </w:pPr>
            <w:r w:rsidRPr="00D644D5">
              <w:rPr>
                <w:szCs w:val="18"/>
              </w:rPr>
              <w:t>2012</w:t>
            </w:r>
          </w:p>
        </w:tc>
        <w:tc>
          <w:tcPr>
            <w:tcW w:w="1844" w:type="dxa"/>
          </w:tcPr>
          <w:p w:rsidR="00C93401" w:rsidRPr="00D644D5" w:rsidRDefault="00C93401" w:rsidP="00EF6B0B">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Australia</w:t>
            </w:r>
          </w:p>
        </w:tc>
      </w:tr>
      <w:tr w:rsidR="00C93401" w:rsidTr="007B7B4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0" w:type="dxa"/>
          </w:tcPr>
          <w:p w:rsidR="00C93401" w:rsidRPr="00D644D5" w:rsidRDefault="00C93401" w:rsidP="00EF6B0B">
            <w:pPr>
              <w:pStyle w:val="Tabletextcentred"/>
              <w:rPr>
                <w:szCs w:val="18"/>
              </w:rPr>
            </w:pPr>
            <w:r w:rsidRPr="00D644D5">
              <w:rPr>
                <w:szCs w:val="18"/>
              </w:rPr>
              <w:t>2008</w:t>
            </w:r>
          </w:p>
        </w:tc>
        <w:tc>
          <w:tcPr>
            <w:tcW w:w="1844" w:type="dxa"/>
          </w:tcPr>
          <w:p w:rsidR="00C93401" w:rsidRPr="00D644D5" w:rsidRDefault="00C93401" w:rsidP="00EF6B0B">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Norway</w:t>
            </w:r>
          </w:p>
        </w:tc>
      </w:tr>
      <w:tr w:rsidR="00C93401" w:rsidTr="007B7B4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0" w:type="dxa"/>
          </w:tcPr>
          <w:p w:rsidR="00C93401" w:rsidRPr="00D644D5" w:rsidRDefault="00C93401" w:rsidP="00EF6B0B">
            <w:pPr>
              <w:pStyle w:val="Tabletextcentred"/>
              <w:rPr>
                <w:szCs w:val="18"/>
              </w:rPr>
            </w:pPr>
            <w:r w:rsidRPr="00D644D5">
              <w:rPr>
                <w:szCs w:val="18"/>
              </w:rPr>
              <w:t>2004</w:t>
            </w:r>
          </w:p>
        </w:tc>
        <w:tc>
          <w:tcPr>
            <w:tcW w:w="1844" w:type="dxa"/>
          </w:tcPr>
          <w:p w:rsidR="00C93401" w:rsidRPr="00D644D5" w:rsidRDefault="00C93401" w:rsidP="00EF6B0B">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Italy</w:t>
            </w:r>
          </w:p>
        </w:tc>
      </w:tr>
      <w:tr w:rsidR="00C93401" w:rsidTr="007B7B4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0" w:type="dxa"/>
          </w:tcPr>
          <w:p w:rsidR="00C93401" w:rsidRPr="00D644D5" w:rsidRDefault="00C93401" w:rsidP="00EF6B0B">
            <w:pPr>
              <w:pStyle w:val="Tabletextcentred"/>
              <w:rPr>
                <w:szCs w:val="18"/>
              </w:rPr>
            </w:pPr>
            <w:r w:rsidRPr="00D644D5">
              <w:rPr>
                <w:szCs w:val="18"/>
              </w:rPr>
              <w:t>2000</w:t>
            </w:r>
          </w:p>
        </w:tc>
        <w:tc>
          <w:tcPr>
            <w:tcW w:w="1844" w:type="dxa"/>
          </w:tcPr>
          <w:p w:rsidR="00C93401" w:rsidRPr="00D644D5" w:rsidRDefault="00C93401" w:rsidP="00EF6B0B">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Brazil</w:t>
            </w:r>
          </w:p>
        </w:tc>
      </w:tr>
      <w:tr w:rsidR="00C93401" w:rsidTr="007B7B4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0" w:type="dxa"/>
          </w:tcPr>
          <w:p w:rsidR="00C93401" w:rsidRPr="00D644D5" w:rsidRDefault="00C93401" w:rsidP="00EF6B0B">
            <w:pPr>
              <w:pStyle w:val="Tabletextcentred"/>
              <w:rPr>
                <w:szCs w:val="18"/>
              </w:rPr>
            </w:pPr>
            <w:r w:rsidRPr="00D644D5">
              <w:rPr>
                <w:szCs w:val="18"/>
              </w:rPr>
              <w:t>1996</w:t>
            </w:r>
          </w:p>
        </w:tc>
        <w:tc>
          <w:tcPr>
            <w:tcW w:w="1844" w:type="dxa"/>
          </w:tcPr>
          <w:p w:rsidR="00C93401" w:rsidRPr="00D644D5" w:rsidRDefault="00C93401" w:rsidP="00EF6B0B">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China</w:t>
            </w:r>
          </w:p>
        </w:tc>
      </w:tr>
      <w:tr w:rsidR="00C93401" w:rsidTr="007B7B4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0" w:type="dxa"/>
          </w:tcPr>
          <w:p w:rsidR="00C93401" w:rsidRPr="00D644D5" w:rsidRDefault="00C93401" w:rsidP="00EF6B0B">
            <w:pPr>
              <w:pStyle w:val="Tabletextcentred"/>
              <w:rPr>
                <w:szCs w:val="18"/>
              </w:rPr>
            </w:pPr>
            <w:r w:rsidRPr="00D644D5">
              <w:rPr>
                <w:szCs w:val="18"/>
              </w:rPr>
              <w:t>1992</w:t>
            </w:r>
          </w:p>
        </w:tc>
        <w:tc>
          <w:tcPr>
            <w:tcW w:w="1844" w:type="dxa"/>
          </w:tcPr>
          <w:p w:rsidR="00C93401" w:rsidRPr="00D644D5" w:rsidRDefault="00C93401" w:rsidP="00EF6B0B">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Japan</w:t>
            </w:r>
          </w:p>
        </w:tc>
      </w:tr>
      <w:tr w:rsidR="00C93401" w:rsidTr="007B7B4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0" w:type="dxa"/>
          </w:tcPr>
          <w:p w:rsidR="00C93401" w:rsidRPr="00D644D5" w:rsidRDefault="00C93401" w:rsidP="00EF6B0B">
            <w:pPr>
              <w:pStyle w:val="Tabletextcentred"/>
              <w:rPr>
                <w:szCs w:val="18"/>
              </w:rPr>
            </w:pPr>
            <w:r w:rsidRPr="00D644D5">
              <w:rPr>
                <w:szCs w:val="18"/>
              </w:rPr>
              <w:t>1989</w:t>
            </w:r>
          </w:p>
        </w:tc>
        <w:tc>
          <w:tcPr>
            <w:tcW w:w="1844" w:type="dxa"/>
          </w:tcPr>
          <w:p w:rsidR="00C93401" w:rsidRPr="00D644D5" w:rsidRDefault="00C93401" w:rsidP="00EF6B0B">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USA</w:t>
            </w:r>
          </w:p>
        </w:tc>
      </w:tr>
      <w:tr w:rsidR="00C93401" w:rsidTr="007B7B4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0" w:type="dxa"/>
          </w:tcPr>
          <w:p w:rsidR="00C93401" w:rsidRPr="00D644D5" w:rsidRDefault="00C93401" w:rsidP="00EF6B0B">
            <w:pPr>
              <w:pStyle w:val="Tabletextcentred"/>
              <w:rPr>
                <w:szCs w:val="18"/>
              </w:rPr>
            </w:pPr>
            <w:r w:rsidRPr="00D644D5">
              <w:rPr>
                <w:szCs w:val="18"/>
              </w:rPr>
              <w:t>1984</w:t>
            </w:r>
          </w:p>
        </w:tc>
        <w:tc>
          <w:tcPr>
            <w:tcW w:w="1844" w:type="dxa"/>
          </w:tcPr>
          <w:p w:rsidR="00C93401" w:rsidRPr="00D644D5" w:rsidRDefault="00C93401" w:rsidP="00EF6B0B">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USSR</w:t>
            </w:r>
          </w:p>
        </w:tc>
      </w:tr>
      <w:tr w:rsidR="00C93401" w:rsidTr="007B7B4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0" w:type="dxa"/>
          </w:tcPr>
          <w:p w:rsidR="00C93401" w:rsidRPr="00D644D5" w:rsidRDefault="00C93401" w:rsidP="00EF6B0B">
            <w:pPr>
              <w:pStyle w:val="Tabletextcentred"/>
              <w:rPr>
                <w:szCs w:val="18"/>
              </w:rPr>
            </w:pPr>
            <w:r w:rsidRPr="00D644D5">
              <w:rPr>
                <w:szCs w:val="18"/>
              </w:rPr>
              <w:t>1980</w:t>
            </w:r>
          </w:p>
        </w:tc>
        <w:tc>
          <w:tcPr>
            <w:tcW w:w="1844" w:type="dxa"/>
          </w:tcPr>
          <w:p w:rsidR="00C93401" w:rsidRPr="00D644D5" w:rsidRDefault="00C93401" w:rsidP="00EF6B0B">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France</w:t>
            </w:r>
          </w:p>
        </w:tc>
      </w:tr>
      <w:tr w:rsidR="00C93401" w:rsidTr="007B7B4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00" w:type="dxa"/>
          </w:tcPr>
          <w:p w:rsidR="00C93401" w:rsidRPr="00D644D5" w:rsidRDefault="00C93401" w:rsidP="00EF6B0B">
            <w:pPr>
              <w:pStyle w:val="Tabletextcentred"/>
              <w:rPr>
                <w:szCs w:val="18"/>
              </w:rPr>
            </w:pPr>
            <w:r w:rsidRPr="00D644D5">
              <w:rPr>
                <w:szCs w:val="18"/>
              </w:rPr>
              <w:t>1976</w:t>
            </w:r>
          </w:p>
        </w:tc>
        <w:tc>
          <w:tcPr>
            <w:tcW w:w="1844" w:type="dxa"/>
          </w:tcPr>
          <w:p w:rsidR="00C93401" w:rsidRPr="00D644D5" w:rsidRDefault="00C93401" w:rsidP="00EF6B0B">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Australia</w:t>
            </w:r>
          </w:p>
        </w:tc>
      </w:tr>
    </w:tbl>
    <w:p w:rsidR="00C93401" w:rsidRPr="003A2F94" w:rsidRDefault="00C93401" w:rsidP="00C93401">
      <w:pPr>
        <w:pStyle w:val="BodyText"/>
      </w:pPr>
      <w:r w:rsidRPr="003A2F94">
        <w:lastRenderedPageBreak/>
        <w:t xml:space="preserve">Therefore, much of this chapter focuses on the trends observed for the last few IGCs as a proxy for the Australian IGC in 2012. To date, the reported benefits of hosting an IGC have only been described anecdotally, with little to no attempt to thoroughly document or quantitatively measure them. Undoubtedly, the reason for this is that measuring national-scale impacts resulting from a conference is not a simple task to achieve. The present study attempts to address this challenge. </w:t>
      </w:r>
    </w:p>
    <w:p w:rsidR="00C93401" w:rsidRDefault="00C93401" w:rsidP="00C93401">
      <w:pPr>
        <w:pStyle w:val="Heading2"/>
      </w:pPr>
      <w:bookmarkStart w:id="99" w:name="_Toc336271065"/>
      <w:bookmarkStart w:id="100" w:name="_Toc353282013"/>
      <w:bookmarkStart w:id="101" w:name="_Toc355274225"/>
      <w:r>
        <w:t>Showcasing Geoscience</w:t>
      </w:r>
      <w:bookmarkEnd w:id="99"/>
      <w:bookmarkEnd w:id="100"/>
      <w:bookmarkEnd w:id="101"/>
    </w:p>
    <w:p w:rsidR="00C93401" w:rsidRPr="003A2F94" w:rsidRDefault="00C93401" w:rsidP="00C93401">
      <w:pPr>
        <w:pStyle w:val="BodyText"/>
      </w:pPr>
      <w:r w:rsidRPr="003A2F94">
        <w:t>A clear reason for countries to bid to host an IGC is the opportunity to showcase their country’s geoscience, including access to resource opportunities and promote scientific collaboration. More specifically, showcasing geoscience entails increased exposure as well as recognition of the country’s geology and scientific research efforts. Such a large a congregation of scientific minds from around the world has the capacity to enhance geoscience research and focus wide-ranging experiences to shed light on the country’s geological features. It was not possible to directly measure the benefit of hosting an IGC as a showcase for the host nation’s geoscience, as this is an intangible quality. However, many of the 34</w:t>
      </w:r>
      <w:r w:rsidRPr="000B3A04">
        <w:rPr>
          <w:rStyle w:val="Superscript"/>
        </w:rPr>
        <w:t>th</w:t>
      </w:r>
      <w:r w:rsidRPr="003A2F94">
        <w:t xml:space="preserve"> IGC delegates from GA have highlighted a perceived boost for Australia in terms of promoting our geological and technical expertise to the international community. Indirectly, it can be reasoned that as showcasing the geoscience of the host nation continues to perpetuate as a key driver in successive IGC bids, there may be a general recognition of the value of hosting an IGC as a showcase which successive nations are seeking to emulate.</w:t>
      </w:r>
    </w:p>
    <w:p w:rsidR="00C93401" w:rsidRPr="00B34F34" w:rsidRDefault="00C93401" w:rsidP="00C93401">
      <w:pPr>
        <w:pStyle w:val="Heading3"/>
      </w:pPr>
      <w:bookmarkStart w:id="102" w:name="_Toc336271066"/>
      <w:bookmarkStart w:id="103" w:name="_Toc353282014"/>
      <w:bookmarkStart w:id="104" w:name="_Toc355274226"/>
      <w:r>
        <w:t>Case Study</w:t>
      </w:r>
      <w:bookmarkEnd w:id="102"/>
      <w:r>
        <w:t>: ASTER Geoscience Map of Australia Product Release</w:t>
      </w:r>
      <w:bookmarkEnd w:id="103"/>
      <w:bookmarkEnd w:id="104"/>
    </w:p>
    <w:p w:rsidR="00C93401" w:rsidRPr="003A2F94" w:rsidRDefault="00C93401" w:rsidP="00C93401">
      <w:pPr>
        <w:pStyle w:val="BodyText"/>
      </w:pPr>
      <w:r w:rsidRPr="003A2F94">
        <w:t>A national-scale ASTER (Advanced Spaceborne Thermal Emission and Reflection Radiometer) Geoscience Map of Australia was released at the 34</w:t>
      </w:r>
      <w:r w:rsidRPr="000B3A04">
        <w:rPr>
          <w:rStyle w:val="Superscript"/>
        </w:rPr>
        <w:t>th</w:t>
      </w:r>
      <w:r w:rsidRPr="003A2F94">
        <w:t xml:space="preserve"> IGC. This involved a media release one evening; promotion of the maps by Dr Thomas Cudahy during the last Plenary Session; and numerous talks presented within sessions during the conference. The ASTER product release provides a practical example of how the 34</w:t>
      </w:r>
      <w:r w:rsidRPr="000B3A04">
        <w:rPr>
          <w:rStyle w:val="Superscript"/>
        </w:rPr>
        <w:t>th</w:t>
      </w:r>
      <w:r w:rsidRPr="003A2F94">
        <w:t xml:space="preserve"> IGC was used to showcase Australian geoscience on the international stage. The online downloads of the ASTER Geoscience Map of Australia provide an indication of the rate of uptake of the product following the release. In the relatively short period following its release on 7 August until 5 September, the ASTER product received extensive interest spanning across the globe (</w:t>
      </w:r>
      <w:r w:rsidRPr="00580C8A">
        <w:fldChar w:fldCharType="begin"/>
      </w:r>
      <w:r w:rsidRPr="00580C8A">
        <w:instrText xml:space="preserve"> REF _Ref337021650 \h  \* MERGEFORMAT </w:instrText>
      </w:r>
      <w:r w:rsidRPr="00580C8A">
        <w:fldChar w:fldCharType="separate"/>
      </w:r>
      <w:r w:rsidR="00EB5AC4" w:rsidRPr="00580C8A">
        <w:t>Figure 2.1</w:t>
      </w:r>
      <w:r w:rsidRPr="00580C8A">
        <w:fldChar w:fldCharType="end"/>
      </w:r>
      <w:r w:rsidRPr="00580C8A">
        <w:t>)</w:t>
      </w:r>
      <w:r w:rsidRPr="003A2F94">
        <w:t>. The international utilisation of the ASTER product was gauged by geocoding IP addresses which were used to access the product through the AuScope Discovery Portal (a total of 123 out of 234 IP addresses were geocoded).</w:t>
      </w:r>
    </w:p>
    <w:p w:rsidR="00C93401" w:rsidRDefault="00296658" w:rsidP="00AD0DF8">
      <w:pPr>
        <w:pStyle w:val="Figuresandimagescentred"/>
      </w:pPr>
      <w:r>
        <w:rPr>
          <w:noProof/>
        </w:rPr>
        <w:lastRenderedPageBreak/>
        <w:drawing>
          <wp:inline distT="0" distB="0" distL="0" distR="0" wp14:anchorId="2C255F55" wp14:editId="30C6FB99">
            <wp:extent cx="5410200" cy="2524125"/>
            <wp:effectExtent l="0" t="0" r="0" b="0"/>
            <wp:docPr id="8" name="Picture 8" descr="This figure illustrates the global distribution of the 123 traceable IP addresses of people accessing the ASTER Geoscience Map of Australia through the AuScope Discovery Portal. Most of the hits came from Australia, North America and Europe, but the dataset was also accessed in Brazil, Russia, China, Japan and New Zea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is figure illustrates the global distribution of the 123 traceable IP addresses of people accessing the ASTER Geoscience Map of Australia through the AuScope Discovery Portal. Most of the hits came from Australia, North America and Europe, but the dataset was also accessed in Brazil, Russia, China, Japan and New Zealand."/>
                    <pic:cNvPicPr>
                      <a:picLocks noChangeAspect="1" noChangeArrowheads="1"/>
                    </pic:cNvPicPr>
                  </pic:nvPicPr>
                  <pic:blipFill>
                    <a:blip r:embed="rId18">
                      <a:extLst>
                        <a:ext uri="{28A0092B-C50C-407E-A947-70E740481C1C}">
                          <a14:useLocalDpi xmlns:a14="http://schemas.microsoft.com/office/drawing/2010/main" val="0"/>
                        </a:ext>
                      </a:extLst>
                    </a:blip>
                    <a:srcRect t="12535" b="21959"/>
                    <a:stretch>
                      <a:fillRect/>
                    </a:stretch>
                  </pic:blipFill>
                  <pic:spPr bwMode="auto">
                    <a:xfrm>
                      <a:off x="0" y="0"/>
                      <a:ext cx="5410200" cy="2524125"/>
                    </a:xfrm>
                    <a:prstGeom prst="rect">
                      <a:avLst/>
                    </a:prstGeom>
                    <a:noFill/>
                    <a:ln>
                      <a:noFill/>
                    </a:ln>
                  </pic:spPr>
                </pic:pic>
              </a:graphicData>
            </a:graphic>
          </wp:inline>
        </w:drawing>
      </w:r>
    </w:p>
    <w:p w:rsidR="00C93401" w:rsidRPr="00064D29" w:rsidRDefault="00C93401" w:rsidP="00C93401">
      <w:pPr>
        <w:pStyle w:val="Caption"/>
      </w:pPr>
      <w:bookmarkStart w:id="105" w:name="_Ref337021650"/>
      <w:bookmarkStart w:id="106" w:name="_Toc336271030"/>
      <w:r w:rsidRPr="00356CC4">
        <w:rPr>
          <w:rStyle w:val="Bold"/>
        </w:rPr>
        <w:t xml:space="preserve">Figure </w:t>
      </w:r>
      <w:r w:rsidRPr="00B365EA">
        <w:rPr>
          <w:rStyle w:val="Strong"/>
        </w:rPr>
        <w:fldChar w:fldCharType="begin"/>
      </w:r>
      <w:r w:rsidRPr="00B365EA">
        <w:rPr>
          <w:rStyle w:val="Strong"/>
        </w:rPr>
        <w:instrText xml:space="preserve"> STYLEREF 1 \s </w:instrText>
      </w:r>
      <w:r w:rsidRPr="00B365EA">
        <w:rPr>
          <w:rStyle w:val="Strong"/>
        </w:rPr>
        <w:fldChar w:fldCharType="separate"/>
      </w:r>
      <w:r w:rsidR="00EB5AC4">
        <w:rPr>
          <w:rStyle w:val="Strong"/>
          <w:noProof/>
        </w:rPr>
        <w:t>2</w:t>
      </w:r>
      <w:r w:rsidRPr="00B365EA">
        <w:rPr>
          <w:rStyle w:val="Strong"/>
        </w:rPr>
        <w:fldChar w:fldCharType="end"/>
      </w:r>
      <w:r w:rsidRPr="00356CC4">
        <w:rPr>
          <w:rStyle w:val="Bold"/>
        </w:rPr>
        <w:t>.</w:t>
      </w:r>
      <w:r w:rsidRPr="00B365EA">
        <w:rPr>
          <w:rStyle w:val="Strong"/>
        </w:rPr>
        <w:fldChar w:fldCharType="begin"/>
      </w:r>
      <w:r w:rsidRPr="00B365EA">
        <w:rPr>
          <w:rStyle w:val="Strong"/>
        </w:rPr>
        <w:instrText xml:space="preserve"> SEQ Figure \* ARABIC \s 1 </w:instrText>
      </w:r>
      <w:r w:rsidRPr="00B365EA">
        <w:rPr>
          <w:rStyle w:val="Strong"/>
        </w:rPr>
        <w:fldChar w:fldCharType="separate"/>
      </w:r>
      <w:r w:rsidR="00EB5AC4">
        <w:rPr>
          <w:rStyle w:val="Strong"/>
          <w:noProof/>
        </w:rPr>
        <w:t>1</w:t>
      </w:r>
      <w:r w:rsidRPr="00B365EA">
        <w:rPr>
          <w:rStyle w:val="Strong"/>
        </w:rPr>
        <w:fldChar w:fldCharType="end"/>
      </w:r>
      <w:bookmarkEnd w:id="105"/>
      <w:r w:rsidRPr="00356CC4">
        <w:rPr>
          <w:rStyle w:val="Bold"/>
        </w:rPr>
        <w:t xml:space="preserve">: </w:t>
      </w:r>
      <w:r w:rsidRPr="00064D29">
        <w:t xml:space="preserve">The worldwide distribution of traceable IP addresses accessing the ASTER Geoscience Map of Australia data (ANZLIC identifier: ANZCW0703016275) through the AuScope Discovery Portal </w:t>
      </w:r>
      <w:bookmarkEnd w:id="106"/>
      <w:r w:rsidRPr="00064D29">
        <w:t>(</w:t>
      </w:r>
      <w:hyperlink r:id="rId19" w:tooltip="Link to the AuScope Discovery Portal." w:history="1">
        <w:r w:rsidR="008E0553" w:rsidRPr="00EC29B2">
          <w:rPr>
            <w:rStyle w:val="Hyperlink"/>
            <w:iCs/>
          </w:rPr>
          <w:t>http://portal.auscope.org/portal/gmap.html</w:t>
        </w:r>
      </w:hyperlink>
      <w:r w:rsidRPr="00064D29">
        <w:t>).</w:t>
      </w:r>
    </w:p>
    <w:p w:rsidR="00C93401" w:rsidRPr="00B93B48" w:rsidRDefault="00C93401" w:rsidP="00C93401">
      <w:pPr>
        <w:pStyle w:val="BodyText"/>
      </w:pPr>
      <w:r w:rsidRPr="00B93B48">
        <w:t xml:space="preserve">However, it is important to note that this data only represents a subset of the usage of the ASTER product and the overall utilisation of the product is likely much greater than this data suggests. Around half of the IP addresses could not be tracked, and given that China had the second largest delegation at the </w:t>
      </w:r>
      <w:r w:rsidRPr="003A2F94">
        <w:t>34</w:t>
      </w:r>
      <w:r w:rsidRPr="000B3A04">
        <w:rPr>
          <w:rStyle w:val="Superscript"/>
        </w:rPr>
        <w:t>th</w:t>
      </w:r>
      <w:r w:rsidRPr="00B93B48">
        <w:t xml:space="preserve"> IGC, after Australia, it seems likely that the usage in China is underestimated (possibly due to the popularity of virtual private networks, which conceal the IP address of the user). In addition, the AuScope Discovery Portal has not been the only way to access the ASTER product; they can also be accessed through Geoscience Australia’s </w:t>
      </w:r>
      <w:r w:rsidR="00583FC4">
        <w:t>3D Data Viewer</w:t>
      </w:r>
      <w:r w:rsidRPr="00B93B48">
        <w:t xml:space="preserve"> and through the Western Australian Centre of Excellence for 3D Mineral Mapping.</w:t>
      </w:r>
    </w:p>
    <w:p w:rsidR="00C93401" w:rsidRPr="00B93B48" w:rsidRDefault="00C93401" w:rsidP="00C93401">
      <w:pPr>
        <w:pStyle w:val="BodyText"/>
      </w:pPr>
      <w:r w:rsidRPr="00B93B48">
        <w:t>With the limitations of the usage data in mind, it is nevertheless impressive that there has been such widely distributed interest in the ASTER Geoscience Map of Australia in the short period following the release. This global interest cannot be unambiguously attributed to the 34</w:t>
      </w:r>
      <w:r w:rsidRPr="000B3A04">
        <w:rPr>
          <w:rStyle w:val="Superscript"/>
        </w:rPr>
        <w:t>th</w:t>
      </w:r>
      <w:r w:rsidRPr="00B93B48">
        <w:t xml:space="preserve"> IGC because it is impossible to estimate how the product would have been received were it not launched at the </w:t>
      </w:r>
      <w:r w:rsidRPr="003A2F94">
        <w:t>34</w:t>
      </w:r>
      <w:r w:rsidRPr="000B3A04">
        <w:rPr>
          <w:rStyle w:val="Superscript"/>
        </w:rPr>
        <w:t>th</w:t>
      </w:r>
      <w:r w:rsidRPr="00B93B48">
        <w:t xml:space="preserve"> IGC. Clearly, there may have been many interested parties who were aware of the potential of the product and would have been engaged regardless of the medium of its release. However, given the high profile exposure of the ASTER product at the </w:t>
      </w:r>
      <w:r w:rsidRPr="003A2F94">
        <w:t>34</w:t>
      </w:r>
      <w:r w:rsidRPr="000B3A04">
        <w:rPr>
          <w:rStyle w:val="Superscript"/>
        </w:rPr>
        <w:t>th</w:t>
      </w:r>
      <w:r w:rsidRPr="00B93B48">
        <w:t xml:space="preserve"> IGC and its rapid utilisation across the globe, it seems reasonable to conclude that the </w:t>
      </w:r>
      <w:r w:rsidRPr="003A2F94">
        <w:t>34</w:t>
      </w:r>
      <w:r w:rsidRPr="000B3A04">
        <w:rPr>
          <w:rStyle w:val="Superscript"/>
        </w:rPr>
        <w:t>th</w:t>
      </w:r>
      <w:r w:rsidRPr="00B93B48">
        <w:t xml:space="preserve"> IGC has had a beneficial impact in launching the product to a broad audience.</w:t>
      </w:r>
    </w:p>
    <w:p w:rsidR="00C93401" w:rsidRDefault="00C93401" w:rsidP="00C93401">
      <w:pPr>
        <w:pStyle w:val="Heading2"/>
      </w:pPr>
      <w:bookmarkStart w:id="107" w:name="_Toc336271067"/>
      <w:bookmarkStart w:id="108" w:name="_Toc353282015"/>
      <w:bookmarkStart w:id="109" w:name="_Toc355274227"/>
      <w:r>
        <w:t>Networking</w:t>
      </w:r>
      <w:bookmarkEnd w:id="107"/>
      <w:bookmarkEnd w:id="108"/>
      <w:bookmarkEnd w:id="109"/>
    </w:p>
    <w:p w:rsidR="00C93401" w:rsidRPr="00B93B48" w:rsidRDefault="00C93401" w:rsidP="00C93401">
      <w:pPr>
        <w:pStyle w:val="BodyText"/>
      </w:pPr>
      <w:r w:rsidRPr="00B93B48">
        <w:t>The 32</w:t>
      </w:r>
      <w:r w:rsidRPr="00207DA1">
        <w:rPr>
          <w:rStyle w:val="Superscript"/>
        </w:rPr>
        <w:t>nd</w:t>
      </w:r>
      <w:r w:rsidRPr="00B93B48">
        <w:t xml:space="preserve"> and 33</w:t>
      </w:r>
      <w:r w:rsidRPr="00207DA1">
        <w:rPr>
          <w:rStyle w:val="Superscript"/>
        </w:rPr>
        <w:t>rd</w:t>
      </w:r>
      <w:r w:rsidRPr="00B93B48">
        <w:t xml:space="preserve"> IGC Secretary Generals, Professor Abbate and Dr Solheim respectively, explained that the IGC fostered direct collaboration and networking amongst delegates, as well as reinforcing ongoing or existing activities and partnerships. For example, Professor Abbate believes the 32</w:t>
      </w:r>
      <w:r w:rsidRPr="00207DA1">
        <w:rPr>
          <w:rStyle w:val="Superscript"/>
        </w:rPr>
        <w:t>nd</w:t>
      </w:r>
      <w:r w:rsidRPr="00B93B48">
        <w:t xml:space="preserve"> IGC strengthened communication between Italian academia and government research institutions. In addition, Dr Solheim described an example of an external deal facilitated by the 33</w:t>
      </w:r>
      <w:r w:rsidRPr="00207DA1">
        <w:rPr>
          <w:rStyle w:val="Superscript"/>
        </w:rPr>
        <w:t>rd</w:t>
      </w:r>
      <w:r w:rsidRPr="00B93B48">
        <w:t xml:space="preserve"> IGC. Specifically, the 33</w:t>
      </w:r>
      <w:r w:rsidRPr="00207DA1">
        <w:rPr>
          <w:rStyle w:val="Superscript"/>
        </w:rPr>
        <w:t>rd</w:t>
      </w:r>
      <w:r w:rsidRPr="00B93B48">
        <w:t xml:space="preserve"> IGC provided the venue and was a catalyst for signing a Memorandum of Understanding (MOU) for a </w:t>
      </w:r>
      <w:r w:rsidR="0096088F">
        <w:t>four</w:t>
      </w:r>
      <w:r w:rsidR="0096088F" w:rsidRPr="00B93B48">
        <w:t xml:space="preserve"> </w:t>
      </w:r>
      <w:r w:rsidRPr="00B93B48">
        <w:t xml:space="preserve">year cooperative research programme between China and the Norwegian Geotechnical Institute (NGI). However, Dr Solheim suggests this outcome would have occurred </w:t>
      </w:r>
      <w:r w:rsidRPr="00B93B48">
        <w:lastRenderedPageBreak/>
        <w:t>regardless of the 33</w:t>
      </w:r>
      <w:r w:rsidRPr="00207DA1">
        <w:rPr>
          <w:rStyle w:val="Superscript"/>
        </w:rPr>
        <w:t>rd</w:t>
      </w:r>
      <w:r w:rsidRPr="00B93B48">
        <w:t xml:space="preserve"> IGC, as the Norwegian Minister of Foreign Affairs had funding to form partnerships with </w:t>
      </w:r>
      <w:r w:rsidR="0096088F">
        <w:t>five to six</w:t>
      </w:r>
      <w:r w:rsidRPr="00B93B48">
        <w:t xml:space="preserve"> developing countries, and that the 33</w:t>
      </w:r>
      <w:r w:rsidRPr="00207DA1">
        <w:rPr>
          <w:rStyle w:val="Superscript"/>
        </w:rPr>
        <w:t>rd</w:t>
      </w:r>
      <w:r w:rsidRPr="00B93B48">
        <w:t xml:space="preserve"> IGC merely expedited the decision.</w:t>
      </w:r>
    </w:p>
    <w:p w:rsidR="00C93401" w:rsidRPr="00B93B48" w:rsidRDefault="00C93401" w:rsidP="00C93401">
      <w:pPr>
        <w:pStyle w:val="BodyText"/>
      </w:pPr>
      <w:r w:rsidRPr="00B93B48">
        <w:t xml:space="preserve">With the exception of partnerships formed during an IGC, it is very difficult to track agreements or collaborative work and attribute them to an IGC, as there are often lead times of many months. Nonetheless, a case study has been undertaken to determine whether hosting an IGC has a measurable impact on collaboration between research scientists at the national scale that might result from networking at an IGC, using information gathered from past IGCs. </w:t>
      </w:r>
    </w:p>
    <w:p w:rsidR="00C93401" w:rsidRDefault="00C93401" w:rsidP="00C93401">
      <w:pPr>
        <w:pStyle w:val="Heading3"/>
      </w:pPr>
      <w:bookmarkStart w:id="110" w:name="_Toc336271068"/>
      <w:bookmarkStart w:id="111" w:name="_Toc353282016"/>
      <w:bookmarkStart w:id="112" w:name="_Toc355274228"/>
      <w:r>
        <w:t>Case Study: International Collaboration</w:t>
      </w:r>
      <w:bookmarkEnd w:id="110"/>
      <w:bookmarkEnd w:id="111"/>
      <w:bookmarkEnd w:id="112"/>
      <w:r>
        <w:t xml:space="preserve"> </w:t>
      </w:r>
    </w:p>
    <w:p w:rsidR="00C93401" w:rsidRPr="00B93B48" w:rsidRDefault="00C93401" w:rsidP="00C93401">
      <w:pPr>
        <w:pStyle w:val="BodyText"/>
      </w:pPr>
      <w:r w:rsidRPr="00B93B48">
        <w:t>Anecdotally, one of the main benefits espoused by delegates of previous IGCs (amongst other conferences) is the opportunity to build international professional networks and collaborative opportunities. However, little is known about whether such personal impacts are also reflected on the national scale. That is, does hosting an IGC have a measureable impact on international collaboration within the geosciences for the host country?</w:t>
      </w:r>
    </w:p>
    <w:p w:rsidR="00C93401" w:rsidRPr="00B93B48" w:rsidRDefault="00C93401" w:rsidP="00C93401">
      <w:pPr>
        <w:pStyle w:val="BodyText"/>
      </w:pPr>
      <w:r w:rsidRPr="00B93B48">
        <w:t>Traditionally, international collaboration has been measured bibliometrically; comparing ratios of papers with authors listed from only one country to those papers with authors from two or more countries. Katz and Martin (1997) conducted a review on research into collaboration between scientists and concluded that co-authorship can never be a truly accurate reflection of collaboration. Their analysis, however, was somewhat tangential to the real problem, as it would obviously be imprudent for any study to accept co-authorship as a perfect measure of a rather abstract concept. Rather, the question that needs to be addressed is whether co-authorship captures the trends in collaboration. For example, if a particular policy decision is made, such as choosing to host an IGC, can its implications be indicated by relative change in the levels of co-authorship. In this respect co-authorship may provide a reasonable measure to address whether hosting an IGC has a measurable impact on international collaboration in the geosciences for the host nation.</w:t>
      </w:r>
    </w:p>
    <w:p w:rsidR="00C93401" w:rsidRDefault="00C93401" w:rsidP="00C93401">
      <w:pPr>
        <w:pStyle w:val="BodyText"/>
      </w:pPr>
      <w:r w:rsidRPr="00B93B48">
        <w:t>A major challenge in trying to measure an impact in international collaboration is establishing an appropriate baseline. For this purpose the production of geoscientific publications, as available under the GeoRef or GEOBASE databases (American Geosciences Institute, 2012; Elsevier, 2012), were examined for each of the previous IGC host nations back through to the 1976 Australian IGC, which was the last IGC for which sufficient records exist within the databases. For each conference international collaboration was compared for the three-year period prior to the conference and the three-year period after the conference (</w:t>
      </w:r>
      <w:r w:rsidRPr="00B93B48">
        <w:fldChar w:fldCharType="begin"/>
      </w:r>
      <w:r w:rsidRPr="00B93B48">
        <w:instrText xml:space="preserve"> REF _Ref338163997 \h  \* MERGEFORMAT </w:instrText>
      </w:r>
      <w:r w:rsidRPr="00B93B48">
        <w:fldChar w:fldCharType="separate"/>
      </w:r>
      <w:r w:rsidR="00580C8A" w:rsidRPr="00580C8A">
        <w:t>Table 2.2</w:t>
      </w:r>
      <w:r w:rsidRPr="00B93B48">
        <w:fldChar w:fldCharType="end"/>
      </w:r>
      <w:r w:rsidRPr="00B93B48">
        <w:t>).</w:t>
      </w:r>
    </w:p>
    <w:p w:rsidR="00580C8A" w:rsidRPr="00B93B48" w:rsidRDefault="00580C8A" w:rsidP="00580C8A">
      <w:pPr>
        <w:pStyle w:val="BodyText"/>
      </w:pPr>
      <w:r w:rsidRPr="00B93B48">
        <w:t>The results of</w:t>
      </w:r>
      <w:r>
        <w:t xml:space="preserve"> </w:t>
      </w:r>
      <w:r w:rsidRPr="00B93B48">
        <w:fldChar w:fldCharType="begin"/>
      </w:r>
      <w:r w:rsidRPr="00B93B48">
        <w:instrText xml:space="preserve"> REF _Ref338163997 \h  \* MERGEFORMAT </w:instrText>
      </w:r>
      <w:r w:rsidRPr="00B93B48">
        <w:fldChar w:fldCharType="separate"/>
      </w:r>
      <w:r w:rsidRPr="00580C8A">
        <w:t>Table 2.2</w:t>
      </w:r>
      <w:r w:rsidRPr="00B93B48">
        <w:fldChar w:fldCharType="end"/>
      </w:r>
      <w:r w:rsidRPr="00B93B48">
        <w:t xml:space="preserve"> are highly varied between IGCs which is probably because many other factors are also affecting international author contributions e.g. broad scale political, economic and social factors. The three-year baseline period was chosen because it produced a sufficiently large number of publications to allow meaningful statistical calculations, while being shorter than the period between successive IGCs. However, the choice of this baseline period may not be ideal to highlight influences of an IGC, if those influences do not match the baseline period sufficiently well. Using this metric the results suggest that hosting an IGC does not provide a consistently measureable benefit of increased international collaboration for the host country.</w:t>
      </w:r>
    </w:p>
    <w:p w:rsidR="00C93401" w:rsidRPr="006E4DFF" w:rsidRDefault="00C93401" w:rsidP="00C93401">
      <w:pPr>
        <w:pStyle w:val="Tabletitle"/>
      </w:pPr>
      <w:bookmarkStart w:id="113" w:name="_Ref338163997"/>
      <w:r w:rsidRPr="00356CC4">
        <w:rPr>
          <w:rStyle w:val="Bold"/>
        </w:rPr>
        <w:lastRenderedPageBreak/>
        <w:t xml:space="preserve">Table </w:t>
      </w:r>
      <w:r w:rsidR="004E7FC8">
        <w:rPr>
          <w:rStyle w:val="Bold"/>
        </w:rPr>
        <w:fldChar w:fldCharType="begin"/>
      </w:r>
      <w:r w:rsidR="004E7FC8">
        <w:rPr>
          <w:rStyle w:val="Bold"/>
        </w:rPr>
        <w:instrText xml:space="preserve"> STYLEREF 1 \s </w:instrText>
      </w:r>
      <w:r w:rsidR="004E7FC8">
        <w:rPr>
          <w:rStyle w:val="Bold"/>
        </w:rPr>
        <w:fldChar w:fldCharType="separate"/>
      </w:r>
      <w:r w:rsidR="004E7FC8">
        <w:rPr>
          <w:rStyle w:val="Bold"/>
          <w:noProof/>
        </w:rPr>
        <w:t>2</w:t>
      </w:r>
      <w:r w:rsidR="004E7FC8">
        <w:rPr>
          <w:rStyle w:val="Bold"/>
        </w:rPr>
        <w:fldChar w:fldCharType="end"/>
      </w:r>
      <w:r w:rsidR="004E7FC8">
        <w:rPr>
          <w:rStyle w:val="Bold"/>
        </w:rPr>
        <w:t>.</w:t>
      </w:r>
      <w:r w:rsidR="004E7FC8">
        <w:rPr>
          <w:rStyle w:val="Bold"/>
        </w:rPr>
        <w:fldChar w:fldCharType="begin"/>
      </w:r>
      <w:r w:rsidR="004E7FC8">
        <w:rPr>
          <w:rStyle w:val="Bold"/>
        </w:rPr>
        <w:instrText xml:space="preserve"> SEQ Table \* ARABIC \s 1 </w:instrText>
      </w:r>
      <w:r w:rsidR="004E7FC8">
        <w:rPr>
          <w:rStyle w:val="Bold"/>
        </w:rPr>
        <w:fldChar w:fldCharType="separate"/>
      </w:r>
      <w:r w:rsidR="004E7FC8">
        <w:rPr>
          <w:rStyle w:val="Bold"/>
          <w:noProof/>
        </w:rPr>
        <w:t>2</w:t>
      </w:r>
      <w:r w:rsidR="004E7FC8">
        <w:rPr>
          <w:rStyle w:val="Bold"/>
        </w:rPr>
        <w:fldChar w:fldCharType="end"/>
      </w:r>
      <w:bookmarkEnd w:id="113"/>
      <w:r w:rsidRPr="00356CC4">
        <w:rPr>
          <w:rStyle w:val="Bold"/>
        </w:rPr>
        <w:t>:</w:t>
      </w:r>
      <w:r w:rsidRPr="003A2F94">
        <w:t xml:space="preserve"> </w:t>
      </w:r>
      <w:r w:rsidRPr="006E4DFF">
        <w:t xml:space="preserve">Change in international author contributions* to publications** originating from </w:t>
      </w:r>
      <w:r>
        <w:t xml:space="preserve">an </w:t>
      </w:r>
      <w:r w:rsidRPr="006E4DFF">
        <w:t>IGC host nation, as a fraction of total geoscience publications as referenced under the GeoRef and GEOBASE publication databases (accessed 8 June, 2012)</w:t>
      </w:r>
      <w:r w:rsidR="00B9345D">
        <w:t xml:space="preserve"> </w:t>
      </w:r>
      <w:r w:rsidR="00B9345D" w:rsidRPr="00B93B48">
        <w:t>(American Geosciences Institute, 2012; Elsevier, 2012)</w:t>
      </w:r>
      <w:r w:rsidRPr="006E4DFF">
        <w:t>.</w:t>
      </w:r>
    </w:p>
    <w:tbl>
      <w:tblPr>
        <w:tblStyle w:val="TableGAHeaderRow"/>
        <w:tblW w:w="8506" w:type="dxa"/>
        <w:tblLook w:val="01E0" w:firstRow="1" w:lastRow="1" w:firstColumn="1" w:lastColumn="1" w:noHBand="0" w:noVBand="0"/>
        <w:tblDescription w:val="This table compares the proportion of international collaboration in geoscience publications (relative to other academic areas) in an IGC host nation for the three year period prior to the conference, and the three year period including and following the conference. The comparison of these time periods for the various countries is inconclusive, with some countries displaying an increase in collaboration while others had decreases. This result suggests that hosting an IGC does not have a measureable impact on rates of international collaboration."/>
      </w:tblPr>
      <w:tblGrid>
        <w:gridCol w:w="661"/>
        <w:gridCol w:w="994"/>
        <w:gridCol w:w="2031"/>
        <w:gridCol w:w="3261"/>
        <w:gridCol w:w="1559"/>
      </w:tblGrid>
      <w:tr w:rsidR="00C93401" w:rsidTr="007B7B4A">
        <w:trPr>
          <w:cnfStyle w:val="100000000000" w:firstRow="1" w:lastRow="0" w:firstColumn="0" w:lastColumn="0" w:oddVBand="0" w:evenVBand="0" w:oddHBand="0" w:evenHBand="0" w:firstRowFirstColumn="0" w:firstRowLastColumn="0" w:lastRowFirstColumn="0" w:lastRowLastColumn="0"/>
          <w:cantSplit w:val="0"/>
          <w:trHeight w:val="255"/>
          <w:tblHeader/>
        </w:trPr>
        <w:tc>
          <w:tcPr>
            <w:cnfStyle w:val="000010000000" w:firstRow="0" w:lastRow="0" w:firstColumn="0" w:lastColumn="0" w:oddVBand="1" w:evenVBand="0" w:oddHBand="0" w:evenHBand="0" w:firstRowFirstColumn="0" w:firstRowLastColumn="0" w:lastRowFirstColumn="0" w:lastRowLastColumn="0"/>
            <w:tcW w:w="661" w:type="dxa"/>
          </w:tcPr>
          <w:p w:rsidR="00C93401" w:rsidRDefault="00C93401" w:rsidP="007040C8">
            <w:pPr>
              <w:pStyle w:val="Tabletextcentred"/>
            </w:pPr>
            <w:r>
              <w:t>Year</w:t>
            </w:r>
          </w:p>
        </w:tc>
        <w:tc>
          <w:tcPr>
            <w:tcW w:w="994" w:type="dxa"/>
          </w:tcPr>
          <w:p w:rsidR="00C93401" w:rsidRDefault="00C93401" w:rsidP="007040C8">
            <w:pPr>
              <w:pStyle w:val="Tabletextcentred"/>
              <w:cnfStyle w:val="100000000000" w:firstRow="1" w:lastRow="0" w:firstColumn="0" w:lastColumn="0" w:oddVBand="0" w:evenVBand="0" w:oddHBand="0" w:evenHBand="0" w:firstRowFirstColumn="0" w:firstRowLastColumn="0" w:lastRowFirstColumn="0" w:lastRowLastColumn="0"/>
            </w:pPr>
            <w:r>
              <w:t>Host</w:t>
            </w:r>
          </w:p>
        </w:tc>
        <w:tc>
          <w:tcPr>
            <w:cnfStyle w:val="000010000000" w:firstRow="0" w:lastRow="0" w:firstColumn="0" w:lastColumn="0" w:oddVBand="1" w:evenVBand="0" w:oddHBand="0" w:evenHBand="0" w:firstRowFirstColumn="0" w:firstRowLastColumn="0" w:lastRowFirstColumn="0" w:lastRowLastColumn="0"/>
            <w:tcW w:w="2031" w:type="dxa"/>
            <w:noWrap/>
          </w:tcPr>
          <w:p w:rsidR="00C93401" w:rsidRDefault="00C93401" w:rsidP="007040C8">
            <w:pPr>
              <w:pStyle w:val="Tabletextcentred"/>
            </w:pPr>
            <w:r>
              <w:t xml:space="preserve">3 yr period </w:t>
            </w:r>
            <w:r>
              <w:br/>
              <w:t>pre-IGC</w:t>
            </w:r>
          </w:p>
        </w:tc>
        <w:tc>
          <w:tcPr>
            <w:tcW w:w="3261" w:type="dxa"/>
            <w:noWrap/>
          </w:tcPr>
          <w:p w:rsidR="00C93401" w:rsidRDefault="00C93401" w:rsidP="007040C8">
            <w:pPr>
              <w:pStyle w:val="Tabletextcentred"/>
              <w:cnfStyle w:val="100000000000" w:firstRow="1" w:lastRow="0" w:firstColumn="0" w:lastColumn="0" w:oddVBand="0" w:evenVBand="0" w:oddHBand="0" w:evenHBand="0" w:firstRowFirstColumn="0" w:firstRowLastColumn="0" w:lastRowFirstColumn="0" w:lastRowLastColumn="0"/>
            </w:pPr>
            <w:r>
              <w:t>3 yr period post-IGC (inclusive)</w:t>
            </w:r>
          </w:p>
        </w:tc>
        <w:tc>
          <w:tcPr>
            <w:cnfStyle w:val="000010000000" w:firstRow="0" w:lastRow="0" w:firstColumn="0" w:lastColumn="0" w:oddVBand="1" w:evenVBand="0" w:oddHBand="0" w:evenHBand="0" w:firstRowFirstColumn="0" w:firstRowLastColumn="0" w:lastRowFirstColumn="0" w:lastRowLastColumn="0"/>
            <w:tcW w:w="1559" w:type="dxa"/>
            <w:noWrap/>
          </w:tcPr>
          <w:p w:rsidR="00C93401" w:rsidRDefault="00C93401" w:rsidP="007040C8">
            <w:pPr>
              <w:pStyle w:val="Tabletextcentred"/>
            </w:pPr>
            <w:r>
              <w:t>Delta (%)</w:t>
            </w:r>
          </w:p>
        </w:tc>
      </w:tr>
      <w:tr w:rsidR="00C93401" w:rsidTr="007B7B4A">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61" w:type="dxa"/>
            <w:noWrap/>
          </w:tcPr>
          <w:p w:rsidR="00C93401" w:rsidRPr="00D644D5" w:rsidRDefault="00C93401" w:rsidP="007040C8">
            <w:pPr>
              <w:pStyle w:val="Tabletextcentred"/>
              <w:rPr>
                <w:szCs w:val="18"/>
              </w:rPr>
            </w:pPr>
            <w:r w:rsidRPr="00D644D5">
              <w:rPr>
                <w:szCs w:val="18"/>
              </w:rPr>
              <w:t>2008</w:t>
            </w:r>
          </w:p>
        </w:tc>
        <w:tc>
          <w:tcPr>
            <w:tcW w:w="994" w:type="dxa"/>
            <w:noWrap/>
          </w:tcPr>
          <w:p w:rsidR="00C93401" w:rsidRPr="00D644D5" w:rsidRDefault="00C93401"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Norway</w:t>
            </w:r>
          </w:p>
        </w:tc>
        <w:tc>
          <w:tcPr>
            <w:cnfStyle w:val="000010000000" w:firstRow="0" w:lastRow="0" w:firstColumn="0" w:lastColumn="0" w:oddVBand="1" w:evenVBand="0" w:oddHBand="0" w:evenHBand="0" w:firstRowFirstColumn="0" w:firstRowLastColumn="0" w:lastRowFirstColumn="0" w:lastRowLastColumn="0"/>
            <w:tcW w:w="2031" w:type="dxa"/>
            <w:noWrap/>
          </w:tcPr>
          <w:p w:rsidR="00C93401" w:rsidRPr="00D644D5" w:rsidRDefault="00C93401" w:rsidP="007040C8">
            <w:pPr>
              <w:pStyle w:val="Tabletextcentred"/>
              <w:rPr>
                <w:szCs w:val="18"/>
              </w:rPr>
            </w:pPr>
            <w:r w:rsidRPr="00D644D5">
              <w:rPr>
                <w:szCs w:val="18"/>
              </w:rPr>
              <w:t>1.18</w:t>
            </w:r>
          </w:p>
        </w:tc>
        <w:tc>
          <w:tcPr>
            <w:tcW w:w="3261" w:type="dxa"/>
            <w:noWrap/>
          </w:tcPr>
          <w:p w:rsidR="00C93401" w:rsidRPr="00D644D5" w:rsidRDefault="00C93401"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1.01</w:t>
            </w:r>
          </w:p>
        </w:tc>
        <w:tc>
          <w:tcPr>
            <w:cnfStyle w:val="000010000000" w:firstRow="0" w:lastRow="0" w:firstColumn="0" w:lastColumn="0" w:oddVBand="1" w:evenVBand="0" w:oddHBand="0" w:evenHBand="0" w:firstRowFirstColumn="0" w:firstRowLastColumn="0" w:lastRowFirstColumn="0" w:lastRowLastColumn="0"/>
            <w:tcW w:w="1559" w:type="dxa"/>
            <w:noWrap/>
          </w:tcPr>
          <w:p w:rsidR="00C93401" w:rsidRPr="00D644D5" w:rsidRDefault="00C93401" w:rsidP="007040C8">
            <w:pPr>
              <w:pStyle w:val="Tabletextcentred"/>
              <w:rPr>
                <w:szCs w:val="18"/>
              </w:rPr>
            </w:pPr>
            <w:r w:rsidRPr="00D644D5">
              <w:rPr>
                <w:szCs w:val="18"/>
              </w:rPr>
              <w:t>-14.47</w:t>
            </w:r>
          </w:p>
        </w:tc>
      </w:tr>
      <w:tr w:rsidR="00C93401" w:rsidRPr="009E5D94" w:rsidTr="007B7B4A">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61" w:type="dxa"/>
            <w:noWrap/>
          </w:tcPr>
          <w:p w:rsidR="00C93401" w:rsidRPr="00D644D5" w:rsidRDefault="00C93401" w:rsidP="007040C8">
            <w:pPr>
              <w:pStyle w:val="Tabletextcentred"/>
              <w:rPr>
                <w:szCs w:val="18"/>
              </w:rPr>
            </w:pPr>
            <w:r w:rsidRPr="00D644D5">
              <w:rPr>
                <w:szCs w:val="18"/>
              </w:rPr>
              <w:t>2004</w:t>
            </w:r>
          </w:p>
        </w:tc>
        <w:tc>
          <w:tcPr>
            <w:tcW w:w="994" w:type="dxa"/>
            <w:noWrap/>
          </w:tcPr>
          <w:p w:rsidR="00C93401" w:rsidRPr="00D644D5" w:rsidRDefault="00C93401"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Italy</w:t>
            </w:r>
          </w:p>
        </w:tc>
        <w:tc>
          <w:tcPr>
            <w:cnfStyle w:val="000010000000" w:firstRow="0" w:lastRow="0" w:firstColumn="0" w:lastColumn="0" w:oddVBand="1" w:evenVBand="0" w:oddHBand="0" w:evenHBand="0" w:firstRowFirstColumn="0" w:firstRowLastColumn="0" w:lastRowFirstColumn="0" w:lastRowLastColumn="0"/>
            <w:tcW w:w="2031" w:type="dxa"/>
            <w:noWrap/>
          </w:tcPr>
          <w:p w:rsidR="00C93401" w:rsidRPr="00D644D5" w:rsidRDefault="00C93401" w:rsidP="007040C8">
            <w:pPr>
              <w:pStyle w:val="Tabletextcentred"/>
              <w:rPr>
                <w:szCs w:val="18"/>
              </w:rPr>
            </w:pPr>
            <w:r w:rsidRPr="00D644D5">
              <w:rPr>
                <w:szCs w:val="18"/>
              </w:rPr>
              <w:t>0.71</w:t>
            </w:r>
          </w:p>
        </w:tc>
        <w:tc>
          <w:tcPr>
            <w:tcW w:w="3261" w:type="dxa"/>
            <w:noWrap/>
          </w:tcPr>
          <w:p w:rsidR="00C93401" w:rsidRPr="00D644D5" w:rsidRDefault="00C93401"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0.79</w:t>
            </w:r>
          </w:p>
        </w:tc>
        <w:tc>
          <w:tcPr>
            <w:cnfStyle w:val="000010000000" w:firstRow="0" w:lastRow="0" w:firstColumn="0" w:lastColumn="0" w:oddVBand="1" w:evenVBand="0" w:oddHBand="0" w:evenHBand="0" w:firstRowFirstColumn="0" w:firstRowLastColumn="0" w:lastRowFirstColumn="0" w:lastRowLastColumn="0"/>
            <w:tcW w:w="1559" w:type="dxa"/>
            <w:noWrap/>
          </w:tcPr>
          <w:p w:rsidR="00C93401" w:rsidRPr="00D644D5" w:rsidRDefault="00C93401" w:rsidP="007040C8">
            <w:pPr>
              <w:pStyle w:val="Tabletextcentred"/>
              <w:rPr>
                <w:szCs w:val="18"/>
              </w:rPr>
            </w:pPr>
            <w:r w:rsidRPr="00D644D5">
              <w:rPr>
                <w:szCs w:val="18"/>
              </w:rPr>
              <w:t>12.36</w:t>
            </w:r>
          </w:p>
        </w:tc>
      </w:tr>
      <w:tr w:rsidR="00C93401" w:rsidTr="007B7B4A">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61" w:type="dxa"/>
            <w:noWrap/>
          </w:tcPr>
          <w:p w:rsidR="00C93401" w:rsidRPr="00D644D5" w:rsidRDefault="00C93401" w:rsidP="007040C8">
            <w:pPr>
              <w:pStyle w:val="Tabletextcentred"/>
              <w:rPr>
                <w:szCs w:val="18"/>
              </w:rPr>
            </w:pPr>
            <w:r w:rsidRPr="00D644D5">
              <w:rPr>
                <w:szCs w:val="18"/>
              </w:rPr>
              <w:t>2000</w:t>
            </w:r>
          </w:p>
        </w:tc>
        <w:tc>
          <w:tcPr>
            <w:tcW w:w="994" w:type="dxa"/>
            <w:noWrap/>
          </w:tcPr>
          <w:p w:rsidR="00C93401" w:rsidRPr="00D644D5" w:rsidRDefault="00C93401"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Brazil</w:t>
            </w:r>
          </w:p>
        </w:tc>
        <w:tc>
          <w:tcPr>
            <w:cnfStyle w:val="000010000000" w:firstRow="0" w:lastRow="0" w:firstColumn="0" w:lastColumn="0" w:oddVBand="1" w:evenVBand="0" w:oddHBand="0" w:evenHBand="0" w:firstRowFirstColumn="0" w:firstRowLastColumn="0" w:lastRowFirstColumn="0" w:lastRowLastColumn="0"/>
            <w:tcW w:w="2031" w:type="dxa"/>
            <w:noWrap/>
          </w:tcPr>
          <w:p w:rsidR="00C93401" w:rsidRPr="00D644D5" w:rsidRDefault="00C93401" w:rsidP="007040C8">
            <w:pPr>
              <w:pStyle w:val="Tabletextcentred"/>
              <w:rPr>
                <w:szCs w:val="18"/>
              </w:rPr>
            </w:pPr>
            <w:r w:rsidRPr="00D644D5">
              <w:rPr>
                <w:szCs w:val="18"/>
              </w:rPr>
              <w:t>0.53</w:t>
            </w:r>
          </w:p>
        </w:tc>
        <w:tc>
          <w:tcPr>
            <w:tcW w:w="3261" w:type="dxa"/>
            <w:noWrap/>
          </w:tcPr>
          <w:p w:rsidR="00C93401" w:rsidRPr="00D644D5" w:rsidRDefault="00C93401"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0.52</w:t>
            </w:r>
          </w:p>
        </w:tc>
        <w:tc>
          <w:tcPr>
            <w:cnfStyle w:val="000010000000" w:firstRow="0" w:lastRow="0" w:firstColumn="0" w:lastColumn="0" w:oddVBand="1" w:evenVBand="0" w:oddHBand="0" w:evenHBand="0" w:firstRowFirstColumn="0" w:firstRowLastColumn="0" w:lastRowFirstColumn="0" w:lastRowLastColumn="0"/>
            <w:tcW w:w="1559" w:type="dxa"/>
            <w:noWrap/>
          </w:tcPr>
          <w:p w:rsidR="00C93401" w:rsidRPr="00D644D5" w:rsidRDefault="00C93401" w:rsidP="007040C8">
            <w:pPr>
              <w:pStyle w:val="Tabletextcentred"/>
              <w:rPr>
                <w:szCs w:val="18"/>
              </w:rPr>
            </w:pPr>
            <w:r w:rsidRPr="00D644D5">
              <w:rPr>
                <w:szCs w:val="18"/>
              </w:rPr>
              <w:t>-3.26</w:t>
            </w:r>
          </w:p>
        </w:tc>
      </w:tr>
      <w:tr w:rsidR="00C93401" w:rsidTr="007B7B4A">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61" w:type="dxa"/>
            <w:noWrap/>
          </w:tcPr>
          <w:p w:rsidR="00C93401" w:rsidRPr="00D644D5" w:rsidRDefault="00C93401" w:rsidP="007040C8">
            <w:pPr>
              <w:pStyle w:val="Tabletextcentred"/>
              <w:rPr>
                <w:szCs w:val="18"/>
              </w:rPr>
            </w:pPr>
            <w:r w:rsidRPr="00D644D5">
              <w:rPr>
                <w:szCs w:val="18"/>
              </w:rPr>
              <w:t>1996</w:t>
            </w:r>
          </w:p>
        </w:tc>
        <w:tc>
          <w:tcPr>
            <w:tcW w:w="994" w:type="dxa"/>
            <w:noWrap/>
          </w:tcPr>
          <w:p w:rsidR="00C93401" w:rsidRPr="00D644D5" w:rsidRDefault="00C93401"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China</w:t>
            </w:r>
          </w:p>
        </w:tc>
        <w:tc>
          <w:tcPr>
            <w:cnfStyle w:val="000010000000" w:firstRow="0" w:lastRow="0" w:firstColumn="0" w:lastColumn="0" w:oddVBand="1" w:evenVBand="0" w:oddHBand="0" w:evenHBand="0" w:firstRowFirstColumn="0" w:firstRowLastColumn="0" w:lastRowFirstColumn="0" w:lastRowLastColumn="0"/>
            <w:tcW w:w="2031" w:type="dxa"/>
            <w:noWrap/>
          </w:tcPr>
          <w:p w:rsidR="00C93401" w:rsidRPr="00D644D5" w:rsidRDefault="00C93401" w:rsidP="007040C8">
            <w:pPr>
              <w:pStyle w:val="Tabletextcentred"/>
              <w:rPr>
                <w:szCs w:val="18"/>
              </w:rPr>
            </w:pPr>
            <w:r w:rsidRPr="00D644D5">
              <w:rPr>
                <w:szCs w:val="18"/>
              </w:rPr>
              <w:t>0.18</w:t>
            </w:r>
          </w:p>
        </w:tc>
        <w:tc>
          <w:tcPr>
            <w:tcW w:w="3261" w:type="dxa"/>
            <w:noWrap/>
          </w:tcPr>
          <w:p w:rsidR="00C93401" w:rsidRPr="00D644D5" w:rsidRDefault="00C93401"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0.14</w:t>
            </w:r>
          </w:p>
        </w:tc>
        <w:tc>
          <w:tcPr>
            <w:cnfStyle w:val="000010000000" w:firstRow="0" w:lastRow="0" w:firstColumn="0" w:lastColumn="0" w:oddVBand="1" w:evenVBand="0" w:oddHBand="0" w:evenHBand="0" w:firstRowFirstColumn="0" w:firstRowLastColumn="0" w:lastRowFirstColumn="0" w:lastRowLastColumn="0"/>
            <w:tcW w:w="1559" w:type="dxa"/>
            <w:noWrap/>
          </w:tcPr>
          <w:p w:rsidR="00C93401" w:rsidRPr="00D644D5" w:rsidRDefault="00C93401" w:rsidP="007040C8">
            <w:pPr>
              <w:pStyle w:val="Tabletextcentred"/>
              <w:rPr>
                <w:szCs w:val="18"/>
              </w:rPr>
            </w:pPr>
            <w:r w:rsidRPr="00D644D5">
              <w:rPr>
                <w:szCs w:val="18"/>
              </w:rPr>
              <w:t>-25.20</w:t>
            </w:r>
          </w:p>
        </w:tc>
      </w:tr>
      <w:tr w:rsidR="00C93401" w:rsidTr="007B7B4A">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61" w:type="dxa"/>
            <w:noWrap/>
          </w:tcPr>
          <w:p w:rsidR="00C93401" w:rsidRPr="00D644D5" w:rsidRDefault="00C93401" w:rsidP="007040C8">
            <w:pPr>
              <w:pStyle w:val="Tabletextcentred"/>
              <w:rPr>
                <w:szCs w:val="18"/>
              </w:rPr>
            </w:pPr>
            <w:r w:rsidRPr="00D644D5">
              <w:rPr>
                <w:szCs w:val="18"/>
              </w:rPr>
              <w:t>1992</w:t>
            </w:r>
          </w:p>
        </w:tc>
        <w:tc>
          <w:tcPr>
            <w:tcW w:w="994" w:type="dxa"/>
            <w:noWrap/>
          </w:tcPr>
          <w:p w:rsidR="00C93401" w:rsidRPr="00D644D5" w:rsidRDefault="00C93401"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Japan</w:t>
            </w:r>
          </w:p>
        </w:tc>
        <w:tc>
          <w:tcPr>
            <w:cnfStyle w:val="000010000000" w:firstRow="0" w:lastRow="0" w:firstColumn="0" w:lastColumn="0" w:oddVBand="1" w:evenVBand="0" w:oddHBand="0" w:evenHBand="0" w:firstRowFirstColumn="0" w:firstRowLastColumn="0" w:lastRowFirstColumn="0" w:lastRowLastColumn="0"/>
            <w:tcW w:w="2031" w:type="dxa"/>
            <w:noWrap/>
          </w:tcPr>
          <w:p w:rsidR="00C93401" w:rsidRPr="00D644D5" w:rsidRDefault="00C93401" w:rsidP="007040C8">
            <w:pPr>
              <w:pStyle w:val="Tabletextcentred"/>
              <w:rPr>
                <w:szCs w:val="18"/>
              </w:rPr>
            </w:pPr>
            <w:r w:rsidRPr="00D644D5">
              <w:rPr>
                <w:szCs w:val="18"/>
              </w:rPr>
              <w:t>0.91</w:t>
            </w:r>
          </w:p>
        </w:tc>
        <w:tc>
          <w:tcPr>
            <w:tcW w:w="3261" w:type="dxa"/>
            <w:noWrap/>
          </w:tcPr>
          <w:p w:rsidR="00C93401" w:rsidRPr="00D644D5" w:rsidRDefault="00C93401"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0.95</w:t>
            </w:r>
          </w:p>
        </w:tc>
        <w:tc>
          <w:tcPr>
            <w:cnfStyle w:val="000010000000" w:firstRow="0" w:lastRow="0" w:firstColumn="0" w:lastColumn="0" w:oddVBand="1" w:evenVBand="0" w:oddHBand="0" w:evenHBand="0" w:firstRowFirstColumn="0" w:firstRowLastColumn="0" w:lastRowFirstColumn="0" w:lastRowLastColumn="0"/>
            <w:tcW w:w="1559" w:type="dxa"/>
            <w:noWrap/>
          </w:tcPr>
          <w:p w:rsidR="00C93401" w:rsidRPr="00D644D5" w:rsidRDefault="00C93401" w:rsidP="007040C8">
            <w:pPr>
              <w:pStyle w:val="Tabletextcentred"/>
              <w:rPr>
                <w:szCs w:val="18"/>
              </w:rPr>
            </w:pPr>
            <w:r w:rsidRPr="00D644D5">
              <w:rPr>
                <w:szCs w:val="18"/>
              </w:rPr>
              <w:t>3.69</w:t>
            </w:r>
          </w:p>
        </w:tc>
      </w:tr>
      <w:tr w:rsidR="00C93401" w:rsidTr="007B7B4A">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61" w:type="dxa"/>
            <w:noWrap/>
          </w:tcPr>
          <w:p w:rsidR="00C93401" w:rsidRPr="00D644D5" w:rsidRDefault="00C93401" w:rsidP="007040C8">
            <w:pPr>
              <w:pStyle w:val="Tabletextcentred"/>
              <w:rPr>
                <w:szCs w:val="18"/>
              </w:rPr>
            </w:pPr>
            <w:r w:rsidRPr="00D644D5">
              <w:rPr>
                <w:szCs w:val="18"/>
              </w:rPr>
              <w:t>1989</w:t>
            </w:r>
          </w:p>
        </w:tc>
        <w:tc>
          <w:tcPr>
            <w:tcW w:w="994" w:type="dxa"/>
            <w:noWrap/>
          </w:tcPr>
          <w:p w:rsidR="00C93401" w:rsidRPr="00D644D5" w:rsidRDefault="00C93401"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USA</w:t>
            </w:r>
          </w:p>
        </w:tc>
        <w:tc>
          <w:tcPr>
            <w:cnfStyle w:val="000010000000" w:firstRow="0" w:lastRow="0" w:firstColumn="0" w:lastColumn="0" w:oddVBand="1" w:evenVBand="0" w:oddHBand="0" w:evenHBand="0" w:firstRowFirstColumn="0" w:firstRowLastColumn="0" w:lastRowFirstColumn="0" w:lastRowLastColumn="0"/>
            <w:tcW w:w="2031" w:type="dxa"/>
            <w:noWrap/>
          </w:tcPr>
          <w:p w:rsidR="00C93401" w:rsidRPr="00D644D5" w:rsidRDefault="00C93401" w:rsidP="007040C8">
            <w:pPr>
              <w:pStyle w:val="Tabletextcentred"/>
              <w:rPr>
                <w:szCs w:val="18"/>
              </w:rPr>
            </w:pPr>
            <w:r w:rsidRPr="00D644D5">
              <w:rPr>
                <w:szCs w:val="18"/>
              </w:rPr>
              <w:t>0.19</w:t>
            </w:r>
          </w:p>
        </w:tc>
        <w:tc>
          <w:tcPr>
            <w:tcW w:w="3261" w:type="dxa"/>
            <w:noWrap/>
          </w:tcPr>
          <w:p w:rsidR="00C93401" w:rsidRPr="00D644D5" w:rsidRDefault="00C93401"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0.26</w:t>
            </w:r>
          </w:p>
        </w:tc>
        <w:tc>
          <w:tcPr>
            <w:cnfStyle w:val="000010000000" w:firstRow="0" w:lastRow="0" w:firstColumn="0" w:lastColumn="0" w:oddVBand="1" w:evenVBand="0" w:oddHBand="0" w:evenHBand="0" w:firstRowFirstColumn="0" w:firstRowLastColumn="0" w:lastRowFirstColumn="0" w:lastRowLastColumn="0"/>
            <w:tcW w:w="1559" w:type="dxa"/>
            <w:noWrap/>
          </w:tcPr>
          <w:p w:rsidR="00C93401" w:rsidRPr="00D644D5" w:rsidRDefault="00C93401" w:rsidP="007040C8">
            <w:pPr>
              <w:pStyle w:val="Tabletextcentred"/>
              <w:rPr>
                <w:szCs w:val="18"/>
              </w:rPr>
            </w:pPr>
            <w:r w:rsidRPr="00D644D5">
              <w:rPr>
                <w:szCs w:val="18"/>
              </w:rPr>
              <w:t>36.76</w:t>
            </w:r>
          </w:p>
        </w:tc>
      </w:tr>
      <w:tr w:rsidR="00C93401" w:rsidTr="007B7B4A">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61" w:type="dxa"/>
            <w:noWrap/>
          </w:tcPr>
          <w:p w:rsidR="00C93401" w:rsidRPr="00D644D5" w:rsidRDefault="00C93401" w:rsidP="007040C8">
            <w:pPr>
              <w:pStyle w:val="Tabletextcentred"/>
              <w:rPr>
                <w:szCs w:val="18"/>
              </w:rPr>
            </w:pPr>
            <w:r w:rsidRPr="00D644D5">
              <w:rPr>
                <w:szCs w:val="18"/>
              </w:rPr>
              <w:t>1984</w:t>
            </w:r>
          </w:p>
        </w:tc>
        <w:tc>
          <w:tcPr>
            <w:tcW w:w="994" w:type="dxa"/>
            <w:noWrap/>
          </w:tcPr>
          <w:p w:rsidR="00C93401" w:rsidRPr="00D644D5" w:rsidRDefault="00C93401"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USSR</w:t>
            </w:r>
          </w:p>
        </w:tc>
        <w:tc>
          <w:tcPr>
            <w:cnfStyle w:val="000010000000" w:firstRow="0" w:lastRow="0" w:firstColumn="0" w:lastColumn="0" w:oddVBand="1" w:evenVBand="0" w:oddHBand="0" w:evenHBand="0" w:firstRowFirstColumn="0" w:firstRowLastColumn="0" w:lastRowFirstColumn="0" w:lastRowLastColumn="0"/>
            <w:tcW w:w="2031" w:type="dxa"/>
            <w:noWrap/>
          </w:tcPr>
          <w:p w:rsidR="00C93401" w:rsidRPr="00D644D5" w:rsidRDefault="00C93401" w:rsidP="007040C8">
            <w:pPr>
              <w:pStyle w:val="Tabletextcentred"/>
              <w:rPr>
                <w:szCs w:val="18"/>
              </w:rPr>
            </w:pPr>
            <w:r w:rsidRPr="00D644D5">
              <w:rPr>
                <w:szCs w:val="18"/>
              </w:rPr>
              <w:t>0.28</w:t>
            </w:r>
          </w:p>
        </w:tc>
        <w:tc>
          <w:tcPr>
            <w:tcW w:w="3261" w:type="dxa"/>
            <w:noWrap/>
          </w:tcPr>
          <w:p w:rsidR="00C93401" w:rsidRPr="00D644D5" w:rsidRDefault="00C93401"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0.08</w:t>
            </w:r>
          </w:p>
        </w:tc>
        <w:tc>
          <w:tcPr>
            <w:cnfStyle w:val="000010000000" w:firstRow="0" w:lastRow="0" w:firstColumn="0" w:lastColumn="0" w:oddVBand="1" w:evenVBand="0" w:oddHBand="0" w:evenHBand="0" w:firstRowFirstColumn="0" w:firstRowLastColumn="0" w:lastRowFirstColumn="0" w:lastRowLastColumn="0"/>
            <w:tcW w:w="1559" w:type="dxa"/>
            <w:noWrap/>
          </w:tcPr>
          <w:p w:rsidR="00C93401" w:rsidRPr="00D644D5" w:rsidRDefault="00C93401" w:rsidP="007040C8">
            <w:pPr>
              <w:pStyle w:val="Tabletextcentred"/>
              <w:rPr>
                <w:szCs w:val="18"/>
              </w:rPr>
            </w:pPr>
            <w:r w:rsidRPr="00D644D5">
              <w:rPr>
                <w:szCs w:val="18"/>
              </w:rPr>
              <w:t>-72.31</w:t>
            </w:r>
          </w:p>
        </w:tc>
      </w:tr>
      <w:tr w:rsidR="00C93401" w:rsidTr="007B7B4A">
        <w:trPr>
          <w:cnfStyle w:val="000000010000" w:firstRow="0" w:lastRow="0" w:firstColumn="0" w:lastColumn="0" w:oddVBand="0" w:evenVBand="0" w:oddHBand="0" w:evenHBand="1"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61" w:type="dxa"/>
            <w:noWrap/>
          </w:tcPr>
          <w:p w:rsidR="00C93401" w:rsidRPr="00D644D5" w:rsidRDefault="00C93401" w:rsidP="007040C8">
            <w:pPr>
              <w:pStyle w:val="Tabletextcentred"/>
              <w:rPr>
                <w:szCs w:val="18"/>
              </w:rPr>
            </w:pPr>
            <w:r w:rsidRPr="00D644D5">
              <w:rPr>
                <w:szCs w:val="18"/>
              </w:rPr>
              <w:t>1980</w:t>
            </w:r>
          </w:p>
        </w:tc>
        <w:tc>
          <w:tcPr>
            <w:tcW w:w="994" w:type="dxa"/>
            <w:noWrap/>
          </w:tcPr>
          <w:p w:rsidR="00C93401" w:rsidRPr="00D644D5" w:rsidRDefault="00C93401"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France</w:t>
            </w:r>
          </w:p>
        </w:tc>
        <w:tc>
          <w:tcPr>
            <w:cnfStyle w:val="000010000000" w:firstRow="0" w:lastRow="0" w:firstColumn="0" w:lastColumn="0" w:oddVBand="1" w:evenVBand="0" w:oddHBand="0" w:evenHBand="0" w:firstRowFirstColumn="0" w:firstRowLastColumn="0" w:lastRowFirstColumn="0" w:lastRowLastColumn="0"/>
            <w:tcW w:w="2031" w:type="dxa"/>
            <w:noWrap/>
          </w:tcPr>
          <w:p w:rsidR="00C93401" w:rsidRPr="00D644D5" w:rsidRDefault="00C93401" w:rsidP="007040C8">
            <w:pPr>
              <w:pStyle w:val="Tabletextcentred"/>
              <w:rPr>
                <w:szCs w:val="18"/>
              </w:rPr>
            </w:pPr>
            <w:r w:rsidRPr="00D644D5">
              <w:rPr>
                <w:szCs w:val="18"/>
              </w:rPr>
              <w:t>0.48</w:t>
            </w:r>
          </w:p>
        </w:tc>
        <w:tc>
          <w:tcPr>
            <w:tcW w:w="3261" w:type="dxa"/>
            <w:noWrap/>
          </w:tcPr>
          <w:p w:rsidR="00C93401" w:rsidRPr="00D644D5" w:rsidRDefault="00C93401"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0.27</w:t>
            </w:r>
          </w:p>
        </w:tc>
        <w:tc>
          <w:tcPr>
            <w:cnfStyle w:val="000010000000" w:firstRow="0" w:lastRow="0" w:firstColumn="0" w:lastColumn="0" w:oddVBand="1" w:evenVBand="0" w:oddHBand="0" w:evenHBand="0" w:firstRowFirstColumn="0" w:firstRowLastColumn="0" w:lastRowFirstColumn="0" w:lastRowLastColumn="0"/>
            <w:tcW w:w="1559" w:type="dxa"/>
            <w:noWrap/>
          </w:tcPr>
          <w:p w:rsidR="00C93401" w:rsidRPr="00D644D5" w:rsidRDefault="00C93401" w:rsidP="007040C8">
            <w:pPr>
              <w:pStyle w:val="Tabletextcentred"/>
              <w:rPr>
                <w:szCs w:val="18"/>
              </w:rPr>
            </w:pPr>
            <w:r w:rsidRPr="00D644D5">
              <w:rPr>
                <w:szCs w:val="18"/>
              </w:rPr>
              <w:t>-43.50</w:t>
            </w:r>
          </w:p>
        </w:tc>
      </w:tr>
      <w:tr w:rsidR="00C93401" w:rsidTr="007B7B4A">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661" w:type="dxa"/>
            <w:noWrap/>
          </w:tcPr>
          <w:p w:rsidR="00C93401" w:rsidRPr="00D644D5" w:rsidRDefault="00C93401" w:rsidP="007040C8">
            <w:pPr>
              <w:pStyle w:val="Tabletextcentred"/>
              <w:rPr>
                <w:szCs w:val="18"/>
              </w:rPr>
            </w:pPr>
            <w:r w:rsidRPr="00D644D5">
              <w:rPr>
                <w:szCs w:val="18"/>
              </w:rPr>
              <w:t>1976</w:t>
            </w:r>
          </w:p>
        </w:tc>
        <w:tc>
          <w:tcPr>
            <w:tcW w:w="994" w:type="dxa"/>
            <w:noWrap/>
          </w:tcPr>
          <w:p w:rsidR="00C93401" w:rsidRPr="00D644D5" w:rsidRDefault="00C93401"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Australia</w:t>
            </w:r>
          </w:p>
        </w:tc>
        <w:tc>
          <w:tcPr>
            <w:cnfStyle w:val="000010000000" w:firstRow="0" w:lastRow="0" w:firstColumn="0" w:lastColumn="0" w:oddVBand="1" w:evenVBand="0" w:oddHBand="0" w:evenHBand="0" w:firstRowFirstColumn="0" w:firstRowLastColumn="0" w:lastRowFirstColumn="0" w:lastRowLastColumn="0"/>
            <w:tcW w:w="2031" w:type="dxa"/>
            <w:noWrap/>
          </w:tcPr>
          <w:p w:rsidR="00C93401" w:rsidRPr="00D644D5" w:rsidRDefault="00C93401" w:rsidP="007040C8">
            <w:pPr>
              <w:pStyle w:val="Tabletextcentred"/>
              <w:rPr>
                <w:szCs w:val="18"/>
              </w:rPr>
            </w:pPr>
            <w:r w:rsidRPr="00D644D5">
              <w:rPr>
                <w:szCs w:val="18"/>
              </w:rPr>
              <w:t>1.25</w:t>
            </w:r>
          </w:p>
        </w:tc>
        <w:tc>
          <w:tcPr>
            <w:tcW w:w="3261" w:type="dxa"/>
            <w:noWrap/>
          </w:tcPr>
          <w:p w:rsidR="00C93401" w:rsidRPr="00D644D5" w:rsidRDefault="00C93401"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0.10</w:t>
            </w:r>
          </w:p>
        </w:tc>
        <w:tc>
          <w:tcPr>
            <w:cnfStyle w:val="000010000000" w:firstRow="0" w:lastRow="0" w:firstColumn="0" w:lastColumn="0" w:oddVBand="1" w:evenVBand="0" w:oddHBand="0" w:evenHBand="0" w:firstRowFirstColumn="0" w:firstRowLastColumn="0" w:lastRowFirstColumn="0" w:lastRowLastColumn="0"/>
            <w:tcW w:w="1559" w:type="dxa"/>
            <w:noWrap/>
          </w:tcPr>
          <w:p w:rsidR="00C93401" w:rsidRPr="00D644D5" w:rsidRDefault="00C93401" w:rsidP="007040C8">
            <w:pPr>
              <w:pStyle w:val="Tabletextcentred"/>
              <w:rPr>
                <w:szCs w:val="18"/>
              </w:rPr>
            </w:pPr>
            <w:r w:rsidRPr="00D644D5">
              <w:rPr>
                <w:szCs w:val="18"/>
              </w:rPr>
              <w:t>-92.12</w:t>
            </w:r>
          </w:p>
        </w:tc>
      </w:tr>
    </w:tbl>
    <w:p w:rsidR="00C93401" w:rsidRPr="00B365EA" w:rsidRDefault="00C93401" w:rsidP="00C93401">
      <w:pPr>
        <w:pStyle w:val="Caption"/>
      </w:pPr>
      <w:r w:rsidRPr="00B365EA">
        <w:t>* The top 59 count</w:t>
      </w:r>
      <w:r w:rsidR="00580C8A">
        <w:t>ries were included i</w:t>
      </w:r>
      <w:r w:rsidR="00007801">
        <w:t xml:space="preserve">n the count. </w:t>
      </w:r>
      <w:r w:rsidRPr="00B365EA">
        <w:t>** Publications defined by journal articles available in GeoRef and GEOBASE databases.</w:t>
      </w:r>
    </w:p>
    <w:p w:rsidR="00C93401" w:rsidRPr="00B93B48" w:rsidRDefault="00C93401" w:rsidP="00C93401">
      <w:pPr>
        <w:pStyle w:val="BodyText"/>
      </w:pPr>
      <w:r w:rsidRPr="00B93B48">
        <w:t>To further test this hypothesis and decrease the dependence on the baseline period, an alternate approach was taken for the four most recent IGCs; in Norway, Italy, Brazil and China. Using Scopus (2012) database dating back to 1996, data was collected for international collaboration at a country-specific scale, for both all academic disciplines and for earth sciences specifically. International collaboration in the earth sciences, for a specific country in a specific year, was normalised by the average international collaboration across all disciplines. This provided a temporal record of relative changes in the amount of international collaboration in the earth sciences that were unrelated to country-wide trends (</w:t>
      </w:r>
      <w:r w:rsidRPr="00B93B48">
        <w:fldChar w:fldCharType="begin"/>
      </w:r>
      <w:r w:rsidRPr="00B93B48">
        <w:instrText xml:space="preserve"> REF _Ref337029534 \h  \* MERGEFORMAT </w:instrText>
      </w:r>
      <w:r w:rsidRPr="00B93B48">
        <w:fldChar w:fldCharType="separate"/>
      </w:r>
      <w:r w:rsidR="00EB5AC4" w:rsidRPr="00EB5AC4">
        <w:t>Figure 2.2</w:t>
      </w:r>
      <w:r w:rsidRPr="00B93B48">
        <w:fldChar w:fldCharType="end"/>
      </w:r>
      <w:r w:rsidRPr="00B93B48">
        <w:t>).</w:t>
      </w:r>
    </w:p>
    <w:p w:rsidR="00C93401" w:rsidRPr="00B93B48" w:rsidRDefault="00C93401" w:rsidP="00C93401">
      <w:pPr>
        <w:pStyle w:val="BodyText"/>
      </w:pPr>
      <w:r w:rsidRPr="00B93B48">
        <w:t>The results</w:t>
      </w:r>
      <w:r w:rsidR="00F6325F">
        <w:t>,</w:t>
      </w:r>
      <w:r w:rsidRPr="00B93B48">
        <w:t xml:space="preserve"> summarised in </w:t>
      </w:r>
      <w:r w:rsidRPr="00B93B48">
        <w:fldChar w:fldCharType="begin"/>
      </w:r>
      <w:r w:rsidRPr="00B93B48">
        <w:instrText xml:space="preserve"> REF _Ref337029534 \h  \* MERGEFORMAT </w:instrText>
      </w:r>
      <w:r w:rsidRPr="00B93B48">
        <w:fldChar w:fldCharType="separate"/>
      </w:r>
      <w:r w:rsidR="00EB5AC4" w:rsidRPr="00EB5AC4">
        <w:t>Figure 2.2</w:t>
      </w:r>
      <w:r w:rsidRPr="00B93B48">
        <w:fldChar w:fldCharType="end"/>
      </w:r>
      <w:r w:rsidR="00F6325F">
        <w:t>,</w:t>
      </w:r>
      <w:r w:rsidRPr="00B93B48">
        <w:t xml:space="preserve"> show</w:t>
      </w:r>
      <w:r w:rsidR="00F6325F">
        <w:t xml:space="preserve"> that there was</w:t>
      </w:r>
      <w:r w:rsidRPr="00B93B48">
        <w:t xml:space="preserve"> no measureable impact </w:t>
      </w:r>
      <w:r w:rsidR="00F6325F">
        <w:t>i</w:t>
      </w:r>
      <w:r w:rsidRPr="00B93B48">
        <w:t>n international collaboration for the European nations of Norway or Italy, in or around the years they hosted an IGC (2008 and 2004 respectively). China and Brazil, on the other hand, exhibit increases in publication around the years they hosted an IGC (1996 and 2000 respectively), though these anomalies were short-lived and quickly returned to the long-term average trend. This suggests that an IGC provides no measureable impact in international collaboration for western countries, where the ease and openness of communication may already be established. In developing countries, however, hosting an IGC may have a more significant impact (albeit short-lived) in exposing the scientists from that nation to others from around the world. Based on this trend it can be supposed that</w:t>
      </w:r>
      <w:r w:rsidR="00F6325F">
        <w:t xml:space="preserve"> geosciences in </w:t>
      </w:r>
      <w:r w:rsidRPr="00B93B48">
        <w:t>Australia will not experience much change in international collaboration as a result of the 34</w:t>
      </w:r>
      <w:r w:rsidRPr="000B3A04">
        <w:rPr>
          <w:rStyle w:val="Superscript"/>
        </w:rPr>
        <w:t>th</w:t>
      </w:r>
      <w:r w:rsidRPr="00B93B48">
        <w:t xml:space="preserve"> IGC. However, it is worth stressing that attempting to attribute cause and affect relationships purely based on temporal coincidence is not a rigorous technique and is susceptible to interference from confounding variables. Thus these inferences should be treated with caution.</w:t>
      </w:r>
    </w:p>
    <w:p w:rsidR="00C93401" w:rsidRPr="00797398" w:rsidRDefault="00296658" w:rsidP="00AD0DF8">
      <w:pPr>
        <w:pStyle w:val="Figuresandimagescentred"/>
      </w:pPr>
      <w:r>
        <w:rPr>
          <w:noProof/>
        </w:rPr>
        <w:lastRenderedPageBreak/>
        <w:drawing>
          <wp:inline distT="0" distB="0" distL="0" distR="0" wp14:anchorId="5CAEED81" wp14:editId="3DDA4E4C">
            <wp:extent cx="5381625" cy="3390900"/>
            <wp:effectExtent l="0" t="0" r="0" b="0"/>
            <wp:docPr id="9" name="Picture 9" descr="This figure is a time-series showing international collaboration for the previous four IGC host nations. The horizontal axis is labelled “Year”, and goes from 1996 to 2010 in 2 year increments. The vertical axis is labelled “%”, and goes from 90% to 190% in 20% increments. It represents the proportion of international collaboration in geoscience publications each year for each country, normalised by the average international collaboration in that country over all disciplines in that year. This is based on data sourced from the Scopus (2012) database.&#10;There are four lines on the graph, labelled “China”, “Brazil”, “Norway”, “Italy”.&#10;&#10;In the graph, each country shows a roughly cyclic distribution, with yearly peaks and troughs, changing to an increasing trend from 2008 onwards. China and Brazil both have peaks in their host years (1996 and 2000 respectively), which drop off on the subsequent year. The data are summarised in the following table:&#10;&#10;Year International collaboration index (%) by country&#10; Norway Italy Brazil China&#10;1996 123.7 147.2 142.2 168.3&#10;1997 126.9 151.3 154.8 118.4&#10;1998 132.3 147.9 154.7 110.3&#10;1999 138.7 147.9 146.0 116.0&#10;2000 136.1 153.5 161.7 126.2&#10;2001 140.7 150.1 153.6 107.3&#10;2002 138.8 138.8 181.7 108.7&#10;2003 124.6 144.4 152.2 123.9&#10;2004 123.2 144.3 148.5 129.0&#10;2005 134.3 136.5 143.8 109.1&#10;2006 128.3 141.9 154.7 117.8&#10;2007 129.5 146.2 138.4 121.0&#10;2008 123.8 139.8 151.4 129.4&#10;2009 129.8 142.6 159.6 130.9&#10;2010 131.6 153.1 171.7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is figure is a time-series showing international collaboration for the previous four IGC host nations. The horizontal axis is labelled “Year”, and goes from 1996 to 2010 in 2 year increments. The vertical axis is labelled “%”, and goes from 90% to 190% in 20% increments. It represents the proportion of international collaboration in geoscience publications each year for each country, normalised by the average international collaboration in that country over all disciplines in that year. This is based on data sourced from the Scopus (2012) database.&#10;There are four lines on the graph, labelled “China”, “Brazil”, “Norway”, “Italy”.&#10;&#10;In the graph, each country shows a roughly cyclic distribution, with yearly peaks and troughs, changing to an increasing trend from 2008 onwards. China and Brazil both have peaks in their host years (1996 and 2000 respectively), which drop off on the subsequent year. The data are summarised in the following table:&#10;&#10;Year International collaboration index (%) by country&#10; Norway Italy Brazil China&#10;1996 123.7 147.2 142.2 168.3&#10;1997 126.9 151.3 154.8 118.4&#10;1998 132.3 147.9 154.7 110.3&#10;1999 138.7 147.9 146.0 116.0&#10;2000 136.1 153.5 161.7 126.2&#10;2001 140.7 150.1 153.6 107.3&#10;2002 138.8 138.8 181.7 108.7&#10;2003 124.6 144.4 152.2 123.9&#10;2004 123.2 144.3 148.5 129.0&#10;2005 134.3 136.5 143.8 109.1&#10;2006 128.3 141.9 154.7 117.8&#10;2007 129.5 146.2 138.4 121.0&#10;2008 123.8 139.8 151.4 129.4&#10;2009 129.8 142.6 159.6 130.9&#10;2010 131.6 153.1 171.7 140.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81625" cy="3390900"/>
                    </a:xfrm>
                    <a:prstGeom prst="rect">
                      <a:avLst/>
                    </a:prstGeom>
                    <a:noFill/>
                    <a:ln>
                      <a:noFill/>
                    </a:ln>
                  </pic:spPr>
                </pic:pic>
              </a:graphicData>
            </a:graphic>
          </wp:inline>
        </w:drawing>
      </w:r>
    </w:p>
    <w:p w:rsidR="00C93401" w:rsidRPr="006E4DFF" w:rsidRDefault="00C93401" w:rsidP="00C93401">
      <w:pPr>
        <w:pStyle w:val="Caption"/>
      </w:pPr>
      <w:bookmarkStart w:id="114" w:name="_Ref337029534"/>
      <w:bookmarkStart w:id="115" w:name="_Toc336271031"/>
      <w:r w:rsidRPr="00356CC4">
        <w:rPr>
          <w:rStyle w:val="Bold"/>
        </w:rPr>
        <w:t xml:space="preserve">Figure </w:t>
      </w:r>
      <w:r w:rsidRPr="00B365EA">
        <w:rPr>
          <w:rStyle w:val="Strong"/>
        </w:rPr>
        <w:fldChar w:fldCharType="begin"/>
      </w:r>
      <w:r w:rsidRPr="00B365EA">
        <w:rPr>
          <w:rStyle w:val="Strong"/>
        </w:rPr>
        <w:instrText xml:space="preserve"> STYLEREF 1 \s </w:instrText>
      </w:r>
      <w:r w:rsidRPr="00B365EA">
        <w:rPr>
          <w:rStyle w:val="Strong"/>
        </w:rPr>
        <w:fldChar w:fldCharType="separate"/>
      </w:r>
      <w:r w:rsidR="00EB5AC4">
        <w:rPr>
          <w:rStyle w:val="Strong"/>
          <w:noProof/>
        </w:rPr>
        <w:t>2</w:t>
      </w:r>
      <w:r w:rsidRPr="00B365EA">
        <w:rPr>
          <w:rStyle w:val="Strong"/>
        </w:rPr>
        <w:fldChar w:fldCharType="end"/>
      </w:r>
      <w:r w:rsidRPr="00356CC4">
        <w:rPr>
          <w:rStyle w:val="Bold"/>
        </w:rPr>
        <w:t>.</w:t>
      </w:r>
      <w:r w:rsidRPr="00B365EA">
        <w:rPr>
          <w:rStyle w:val="Strong"/>
        </w:rPr>
        <w:fldChar w:fldCharType="begin"/>
      </w:r>
      <w:r w:rsidRPr="00B365EA">
        <w:rPr>
          <w:rStyle w:val="Strong"/>
        </w:rPr>
        <w:instrText xml:space="preserve"> SEQ Figure \* ARABIC \s 1 </w:instrText>
      </w:r>
      <w:r w:rsidRPr="00B365EA">
        <w:rPr>
          <w:rStyle w:val="Strong"/>
        </w:rPr>
        <w:fldChar w:fldCharType="separate"/>
      </w:r>
      <w:r w:rsidR="00EB5AC4">
        <w:rPr>
          <w:rStyle w:val="Strong"/>
          <w:noProof/>
        </w:rPr>
        <w:t>2</w:t>
      </w:r>
      <w:r w:rsidRPr="00B365EA">
        <w:rPr>
          <w:rStyle w:val="Strong"/>
        </w:rPr>
        <w:fldChar w:fldCharType="end"/>
      </w:r>
      <w:bookmarkEnd w:id="114"/>
      <w:r w:rsidRPr="00356CC4">
        <w:rPr>
          <w:rStyle w:val="Bold"/>
        </w:rPr>
        <w:t xml:space="preserve">: </w:t>
      </w:r>
      <w:r w:rsidRPr="006E4DFF">
        <w:t xml:space="preserve">International collaboration in geoscience publications relative to all disciplines for the last four IGC host nations, </w:t>
      </w:r>
      <w:r w:rsidR="0096088F">
        <w:t xml:space="preserve">from </w:t>
      </w:r>
      <w:r w:rsidRPr="006E4DFF">
        <w:t>1996</w:t>
      </w:r>
      <w:r w:rsidR="0096088F">
        <w:t xml:space="preserve"> to </w:t>
      </w:r>
      <w:r w:rsidRPr="006E4DFF">
        <w:t xml:space="preserve">2010, as per data </w:t>
      </w:r>
      <w:r>
        <w:t>from Scopus (</w:t>
      </w:r>
      <w:r w:rsidRPr="006E4DFF">
        <w:t>2012).</w:t>
      </w:r>
      <w:bookmarkEnd w:id="115"/>
      <w:r w:rsidRPr="006E4DFF">
        <w:t xml:space="preserve"> Red circles denote IGC years for the respective host countries.</w:t>
      </w:r>
    </w:p>
    <w:p w:rsidR="00C93401" w:rsidRPr="00B93B48" w:rsidRDefault="00C93401" w:rsidP="00C93401">
      <w:pPr>
        <w:pStyle w:val="BodyText"/>
      </w:pPr>
      <w:r w:rsidRPr="00B93B48">
        <w:t xml:space="preserve">It is important to note that even if the overall rate of international collaboration remains constant, the composition of those collaborations may not. For example, the recent </w:t>
      </w:r>
      <w:r w:rsidRPr="00B93B48">
        <w:rPr>
          <w:rStyle w:val="Bodytextitalic"/>
        </w:rPr>
        <w:t>Health of Australian Science</w:t>
      </w:r>
      <w:r w:rsidRPr="00B93B48">
        <w:t xml:space="preserve"> report (Office of the Chief Scientist, 2012) identified a regional shift in Australia’s international collaborations from traditional partners, in North America and Europe, towards collaborations with partners in Asia. It is likely that the 34</w:t>
      </w:r>
      <w:r w:rsidRPr="000B3A04">
        <w:rPr>
          <w:rStyle w:val="Superscript"/>
        </w:rPr>
        <w:t>th</w:t>
      </w:r>
      <w:r w:rsidRPr="00B93B48">
        <w:t xml:space="preserve"> IGC would both reflect this growing trend and help to foster it. Such a theory is supported by the large contingencies of delegates from countries such as China and India. The interactions that were encouraged by the 34</w:t>
      </w:r>
      <w:r w:rsidRPr="000B3A04">
        <w:rPr>
          <w:rStyle w:val="Superscript"/>
        </w:rPr>
        <w:t>th</w:t>
      </w:r>
      <w:r w:rsidRPr="00B93B48">
        <w:t xml:space="preserve"> IGC may not have a measureable impact on the academic output of Australia, but rather may reflect this more subtle strategic repositioning of Australia’s research community. This hypothesis could not be tested in the current study, but may be more appropriately considered retrospectively into the future.</w:t>
      </w:r>
    </w:p>
    <w:p w:rsidR="00C93401" w:rsidRDefault="00C93401" w:rsidP="00C93401">
      <w:pPr>
        <w:pStyle w:val="Heading2"/>
      </w:pPr>
      <w:bookmarkStart w:id="116" w:name="_Toc336271069"/>
      <w:bookmarkStart w:id="117" w:name="_Toc353282017"/>
      <w:bookmarkStart w:id="118" w:name="_Toc355274229"/>
      <w:r>
        <w:t>Research Publications</w:t>
      </w:r>
      <w:bookmarkEnd w:id="116"/>
      <w:bookmarkEnd w:id="117"/>
      <w:bookmarkEnd w:id="118"/>
    </w:p>
    <w:p w:rsidR="00C93401" w:rsidRPr="00B93B48" w:rsidRDefault="00C93401" w:rsidP="00C93401">
      <w:pPr>
        <w:pStyle w:val="BodyText"/>
      </w:pPr>
      <w:r w:rsidRPr="00B93B48">
        <w:t>The IGC represents a major gathering of experts in the geoscience community. As such, one would expect an IGC to provide a focal point for scientific research and stimulate the minds of attendees with exciting and previously unconsidered possibilities. This leads to the hypothesis that an IGC will cause an increase in scientific productivity for the host country. Even though an IGC attracts delegates from all parts of the globe it is reasonable to expect that the benefit of increased scientific production would be strongest within an IGC host country. This is because the host country always supplies a large number of delegates and the logistical effort surrounding the organisation and preparation of sessions, fieldtrips and workshops provides a certain momentum to the local geoscience community.</w:t>
      </w:r>
    </w:p>
    <w:p w:rsidR="00C93401" w:rsidRDefault="00C93401" w:rsidP="00C93401">
      <w:pPr>
        <w:pStyle w:val="Heading3"/>
      </w:pPr>
      <w:bookmarkStart w:id="119" w:name="_Toc336271070"/>
      <w:bookmarkStart w:id="120" w:name="_Toc353282018"/>
      <w:bookmarkStart w:id="121" w:name="_Toc355274230"/>
      <w:r>
        <w:lastRenderedPageBreak/>
        <w:t xml:space="preserve">Case Study: IGC Host Nation </w:t>
      </w:r>
      <w:bookmarkEnd w:id="119"/>
      <w:r>
        <w:t>Publication Rate</w:t>
      </w:r>
      <w:bookmarkEnd w:id="120"/>
      <w:bookmarkEnd w:id="121"/>
    </w:p>
    <w:p w:rsidR="00C93401" w:rsidRPr="00B93B48" w:rsidRDefault="00C93401" w:rsidP="00C93401">
      <w:pPr>
        <w:pStyle w:val="BodyText"/>
      </w:pPr>
      <w:r w:rsidRPr="00B93B48">
        <w:t>Scientific productivity has many facets and is difficult to quantify. Therefore, scientific journal publications were used as a simple measure to test the hypothesis that hosting an IGC would lead to increased scientific productivity within the host nation. Anecdotally, Professor Abbate did not observe any change in the number of geoscience publications being produced as a result of the 32</w:t>
      </w:r>
      <w:r w:rsidRPr="00207DA1">
        <w:rPr>
          <w:rStyle w:val="Superscript"/>
        </w:rPr>
        <w:t>nd</w:t>
      </w:r>
      <w:r w:rsidRPr="00B93B48">
        <w:t xml:space="preserve"> IGC. Dr Solheim observed an increase in geoscience paper output in the years surrounding the 33</w:t>
      </w:r>
      <w:r w:rsidRPr="00207DA1">
        <w:rPr>
          <w:rStyle w:val="Superscript"/>
        </w:rPr>
        <w:t>rd</w:t>
      </w:r>
      <w:r w:rsidRPr="00B93B48">
        <w:t xml:space="preserve"> IGC within Norway. However, Dr Solheim credited the nation-wide increase in research production to concerted efforts in preparation for a national evaluation of all Norwegian geoscience institutes conducted in 2011, rather than hosting the 33</w:t>
      </w:r>
      <w:r w:rsidRPr="00207DA1">
        <w:rPr>
          <w:rStyle w:val="Superscript"/>
        </w:rPr>
        <w:t>rd</w:t>
      </w:r>
      <w:r w:rsidRPr="00B93B48">
        <w:t xml:space="preserve"> IGC. This process may have caused Norwegian universities and research institutions to increase their research publication efforts in order to improve their standing prior to this evaluation, rather than being directly related to the 33</w:t>
      </w:r>
      <w:r w:rsidRPr="00207DA1">
        <w:rPr>
          <w:rStyle w:val="Superscript"/>
        </w:rPr>
        <w:t>rd</w:t>
      </w:r>
      <w:r w:rsidRPr="00B93B48">
        <w:t xml:space="preserve"> IGC. It provides another example of why the statistics gathered should be treated with caution, as it is difficult to account for externalities or broader context which can affect the statistics. </w:t>
      </w:r>
    </w:p>
    <w:p w:rsidR="00C93401" w:rsidRPr="00B93B48" w:rsidRDefault="00C93401" w:rsidP="00C93401">
      <w:pPr>
        <w:pStyle w:val="BodyText"/>
      </w:pPr>
      <w:r w:rsidRPr="00B93B48">
        <w:t>Using scientific journal publication statistics, the research production in the geoscience field was assessed quantitatively for the last six host countries of the IGC (</w:t>
      </w:r>
      <w:r w:rsidRPr="00B93B48">
        <w:fldChar w:fldCharType="begin"/>
      </w:r>
      <w:r w:rsidRPr="00B93B48">
        <w:instrText xml:space="preserve"> REF _Ref337040460 \h  \* MERGEFORMAT </w:instrText>
      </w:r>
      <w:r w:rsidRPr="00B93B48">
        <w:fldChar w:fldCharType="separate"/>
      </w:r>
      <w:r w:rsidR="00EB5AC4" w:rsidRPr="00EB5AC4">
        <w:t>Figure 2.3</w:t>
      </w:r>
      <w:r w:rsidRPr="00B93B48">
        <w:fldChar w:fldCharType="end"/>
      </w:r>
      <w:r w:rsidRPr="00B93B48">
        <w:t>). The statistics were based on records present in the major geoscientific databases GeoRef and GEOBASE (American Geosciences Institute, 2012; Elsevier, 2012) that matched the general keyword ‘earth’ (either in the title or abstract of the article). Searching the databases required at least one keyword and ‘earth’ was broad enough to produce large volumes of results spanning a range of geoscience topics. The articles were categorised by the country of publication, which means that the efforts of local authors publishing in international journals was not captured. The articles associated with an IGC host nation were compared to the total number of articles published worldwide for yearly periods. This approach allowed a quantitative assessment of the relative combined standing of scientists and publishers based in IGC host nations e.g. hosting an IGC may attract more international scientists to publish in journals based in that country.</w:t>
      </w:r>
    </w:p>
    <w:p w:rsidR="00C93401" w:rsidRPr="00B93B48" w:rsidRDefault="00C93401" w:rsidP="00C93401">
      <w:pPr>
        <w:pStyle w:val="BodyText"/>
      </w:pPr>
      <w:r w:rsidRPr="00B93B48">
        <w:t>Although the data was inherently noisy, a consistent peak in publication rate was observed during IGC years for each of the host countries with the exception of the USA (</w:t>
      </w:r>
      <w:r w:rsidRPr="00B93B48">
        <w:fldChar w:fldCharType="begin"/>
      </w:r>
      <w:r w:rsidRPr="00B93B48">
        <w:instrText xml:space="preserve"> REF _Ref337040460 \h  \* MERGEFORMAT </w:instrText>
      </w:r>
      <w:r w:rsidRPr="00B93B48">
        <w:fldChar w:fldCharType="separate"/>
      </w:r>
      <w:r w:rsidR="00EB5AC4" w:rsidRPr="00EB5AC4">
        <w:t>Figure 2.3</w:t>
      </w:r>
      <w:r w:rsidRPr="00B93B48">
        <w:fldChar w:fldCharType="end"/>
      </w:r>
      <w:r w:rsidRPr="00B93B48">
        <w:t>). However, the periods of increased publications were brief, with host countries reverting to publication rates consistent with their respective long-term trends. Based on these results there does appear to be a measurable impact on the rate of research publication that could be attributed to hosting an IGC. However, the short duration of the publication spike suggests the momentum of scientific productivity derived from hosting an IGC is relatively short lived.</w:t>
      </w:r>
    </w:p>
    <w:p w:rsidR="00C93401" w:rsidRPr="00B93B48" w:rsidRDefault="00C93401" w:rsidP="00C93401">
      <w:pPr>
        <w:pStyle w:val="BodyText"/>
      </w:pPr>
      <w:r w:rsidRPr="00B93B48">
        <w:t>Most of the host countries show a long-term increasing trend indicating rising prominence in the geoscience research domain, with the exception of the USA, whose research strength appears well established and ingrained. This is not unexpected, as countries making concerted efforts to advance their geosciences would be more likely to prevail in the competitive IGC host nation selection process. This is consistent with the observed trend of long-term increasing contributions to world geoscience literature by IGC host nations.</w:t>
      </w:r>
    </w:p>
    <w:p w:rsidR="00C93401" w:rsidRPr="00B93B48" w:rsidRDefault="00C93401" w:rsidP="00C93401">
      <w:pPr>
        <w:pStyle w:val="BodyText"/>
      </w:pPr>
      <w:r w:rsidRPr="00B93B48">
        <w:t>The impact of the 34</w:t>
      </w:r>
      <w:r w:rsidRPr="000B3A04">
        <w:rPr>
          <w:rStyle w:val="Superscript"/>
        </w:rPr>
        <w:t>th</w:t>
      </w:r>
      <w:r w:rsidRPr="00B93B48">
        <w:t xml:space="preserve"> IGC on publication rates within Australia could not be investigated within time frame of this study. However, some insight may be provided by considering the major factors influencing research publications in Australia: 1) the Excellence in Research Australia program which ranks university departments based on the number and quality of publications by its researchers and 2) issues regarding the release of industry research as publications due to Intellectual Property restrictions (Webb, 2012). In effect, research grants are the main drivers for geoscience publications </w:t>
      </w:r>
      <w:r w:rsidRPr="00B93B48">
        <w:lastRenderedPageBreak/>
        <w:t>within Australia, and it is unlikely that the 34</w:t>
      </w:r>
      <w:r w:rsidRPr="000B3A04">
        <w:rPr>
          <w:rStyle w:val="Superscript"/>
        </w:rPr>
        <w:t>th</w:t>
      </w:r>
      <w:r w:rsidRPr="00B93B48">
        <w:t xml:space="preserve"> IGC will be a major factor affecting geoscience publication numbers beyond 2012.</w:t>
      </w:r>
    </w:p>
    <w:p w:rsidR="00C93401" w:rsidRDefault="00296658" w:rsidP="00AD0DF8">
      <w:pPr>
        <w:pStyle w:val="Figuresandimagescentred"/>
      </w:pPr>
      <w:r>
        <w:rPr>
          <w:noProof/>
        </w:rPr>
        <w:drawing>
          <wp:inline distT="0" distB="0" distL="0" distR="0" wp14:anchorId="7AFA8AAE" wp14:editId="78A72394">
            <wp:extent cx="5381625" cy="3514725"/>
            <wp:effectExtent l="0" t="0" r="0" b="0"/>
            <wp:docPr id="10" name="Picture 10" descr="This figure is a time-series of geoscience publication output for the previous six IGC host nations. The horizontal axis is labelled “Year” and goes from 1982 to 2012 in 4 year increments, starting with 1984. The vertical axis is labelled “%”, and goes from 0.1% to 100% with a logarithmic scale. It represents the proportion of geoscience publications (defined as journal articles containing the key word ‘earth’ in title or abstract) a country produced each year relative to the number of geoscience publications produced globally. This is based on data sourced from the combined GeoRef and GEOBASE databases (American Geosciences Institute, 2012; Elsevier, 2012). There are six lines labelled “Japan”, “USA”, “China”, “Brazil”, “Norway”, “Italy”.&#10;&#10;In the graph, each country, with the exception of USA, has a peak in the year they hosted the IGC. These peaks are of similar magnitude to the yearly variation and revert quickly to long-term trends. The data are summarised in the following table:&#10;&#10;Year Geoscience publication output (%) by country&#10; Norway Italy Brazil China Japan USA&#10;2012 2.37 5.37 1.28 14.90 6.29 37.07&#10;2011 2.09 4.75 1.37 13.23 7.42 38.47&#10;2010 1.75 4.39 1.09 10.71 7.64 36.52&#10;2009 1.47 3.94 0.77 8.21 7.44 34.39&#10;2008 1.98 4.32 1.23 7.75 9.76 37.18&#10;2007 1.49 4.93 0.82 8.60 9.57 38.75&#10;2006 1.30 4.39 0.94 8.93 9.90 38.51&#10;2005 1.36 3.35 0.96 8.33 9.91 39.09&#10;2004 1.41 4.24 0.82 7.97 9.78 37.88&#10;2003 1.47 4.21 0.84 8.07 9.24 39.32&#10;2002 1.08 2.93 0.97 6.80 9.16 38.77&#10;2001 1.41 2.87 0.84 8.73 9.24 34.52&#10;2000 1.05 3.07 1.11 8.36 7.80 34.38&#10;1999 1.48 3.78 0.74 7.80 7.39 35.49&#10;1998 1.55 4.17 0.70 6.32 7.83 31.58&#10;1997 0.64 3.05 0.76 7.88 8.30 32.29&#10;1996 1.39 2.32 0.48 8.87 8.10 32.56&#10;1995 1.07 4.28 0.83 6.92 9.13 37.35&#10;1994 0.78 3.18 0.77 5.28 6.61 38.78&#10;1993 0.65 2.48 0.43 6.61 6.98 40.29&#10;1992 0.72 1.94 0.53 6.16 9.59 29.81&#10;1991 0.62 3.37 0.56 6.26 7.45 35.76&#10;1990 0.61 1.70 0.56 6.13 6.37 33.44&#10;1989 0.39 2.42 0.50 5.46 5.44 40.05&#10;1988 0.57 1.38 0.39 4.92 5.18 39.74&#10;1987 0.79 1.37 0.29 3.93 6.18 40.45&#10;1986 0.44 1.21 0.45 3.95 6.64 35.17&#10;1985 0.48 0.94 0.34 3.97 5.95 38.84&#10;1984 0.46 1.62 0.46 2.11 5.53 36.94&#10;1983 0.29 1.85 0.32 1.68 5.89 44.43&#10;1982 0.36 1.31 0.21 1.43 4.70 38.81&#10;1981 0.67 1.67 0.53 0.82 4.43 36.91&#10;1980 0.05 0.25 0.07 0.10 1.09 38.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figure is a time-series of geoscience publication output for the previous six IGC host nations. The horizontal axis is labelled “Year” and goes from 1982 to 2012 in 4 year increments, starting with 1984. The vertical axis is labelled “%”, and goes from 0.1% to 100% with a logarithmic scale. It represents the proportion of geoscience publications (defined as journal articles containing the key word ‘earth’ in title or abstract) a country produced each year relative to the number of geoscience publications produced globally. This is based on data sourced from the combined GeoRef and GEOBASE databases (American Geosciences Institute, 2012; Elsevier, 2012). There are six lines labelled “Japan”, “USA”, “China”, “Brazil”, “Norway”, “Italy”.&#10;&#10;In the graph, each country, with the exception of USA, has a peak in the year they hosted the IGC. These peaks are of similar magnitude to the yearly variation and revert quickly to long-term trends. The data are summarised in the following table:&#10;&#10;Year Geoscience publication output (%) by country&#10; Norway Italy Brazil China Japan USA&#10;2012 2.37 5.37 1.28 14.90 6.29 37.07&#10;2011 2.09 4.75 1.37 13.23 7.42 38.47&#10;2010 1.75 4.39 1.09 10.71 7.64 36.52&#10;2009 1.47 3.94 0.77 8.21 7.44 34.39&#10;2008 1.98 4.32 1.23 7.75 9.76 37.18&#10;2007 1.49 4.93 0.82 8.60 9.57 38.75&#10;2006 1.30 4.39 0.94 8.93 9.90 38.51&#10;2005 1.36 3.35 0.96 8.33 9.91 39.09&#10;2004 1.41 4.24 0.82 7.97 9.78 37.88&#10;2003 1.47 4.21 0.84 8.07 9.24 39.32&#10;2002 1.08 2.93 0.97 6.80 9.16 38.77&#10;2001 1.41 2.87 0.84 8.73 9.24 34.52&#10;2000 1.05 3.07 1.11 8.36 7.80 34.38&#10;1999 1.48 3.78 0.74 7.80 7.39 35.49&#10;1998 1.55 4.17 0.70 6.32 7.83 31.58&#10;1997 0.64 3.05 0.76 7.88 8.30 32.29&#10;1996 1.39 2.32 0.48 8.87 8.10 32.56&#10;1995 1.07 4.28 0.83 6.92 9.13 37.35&#10;1994 0.78 3.18 0.77 5.28 6.61 38.78&#10;1993 0.65 2.48 0.43 6.61 6.98 40.29&#10;1992 0.72 1.94 0.53 6.16 9.59 29.81&#10;1991 0.62 3.37 0.56 6.26 7.45 35.76&#10;1990 0.61 1.70 0.56 6.13 6.37 33.44&#10;1989 0.39 2.42 0.50 5.46 5.44 40.05&#10;1988 0.57 1.38 0.39 4.92 5.18 39.74&#10;1987 0.79 1.37 0.29 3.93 6.18 40.45&#10;1986 0.44 1.21 0.45 3.95 6.64 35.17&#10;1985 0.48 0.94 0.34 3.97 5.95 38.84&#10;1984 0.46 1.62 0.46 2.11 5.53 36.94&#10;1983 0.29 1.85 0.32 1.68 5.89 44.43&#10;1982 0.36 1.31 0.21 1.43 4.70 38.81&#10;1981 0.67 1.67 0.53 0.82 4.43 36.91&#10;1980 0.05 0.25 0.07 0.10 1.09 38.21&#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81625" cy="3514725"/>
                    </a:xfrm>
                    <a:prstGeom prst="rect">
                      <a:avLst/>
                    </a:prstGeom>
                    <a:noFill/>
                    <a:ln>
                      <a:noFill/>
                    </a:ln>
                  </pic:spPr>
                </pic:pic>
              </a:graphicData>
            </a:graphic>
          </wp:inline>
        </w:drawing>
      </w:r>
    </w:p>
    <w:p w:rsidR="00C93401" w:rsidRPr="003A2F94" w:rsidRDefault="00C93401" w:rsidP="00C93401">
      <w:pPr>
        <w:pStyle w:val="Caption"/>
      </w:pPr>
      <w:bookmarkStart w:id="122" w:name="_Ref337040460"/>
      <w:bookmarkStart w:id="123" w:name="_Toc336271032"/>
      <w:r w:rsidRPr="00356CC4">
        <w:rPr>
          <w:rStyle w:val="Bold"/>
        </w:rPr>
        <w:t xml:space="preserve">Figure </w:t>
      </w:r>
      <w:r w:rsidRPr="00B365EA">
        <w:rPr>
          <w:rStyle w:val="Strong"/>
        </w:rPr>
        <w:fldChar w:fldCharType="begin"/>
      </w:r>
      <w:r w:rsidRPr="00B365EA">
        <w:rPr>
          <w:rStyle w:val="Strong"/>
        </w:rPr>
        <w:instrText xml:space="preserve"> STYLEREF 1 \s </w:instrText>
      </w:r>
      <w:r w:rsidRPr="00B365EA">
        <w:rPr>
          <w:rStyle w:val="Strong"/>
        </w:rPr>
        <w:fldChar w:fldCharType="separate"/>
      </w:r>
      <w:r w:rsidR="00EB5AC4">
        <w:rPr>
          <w:rStyle w:val="Strong"/>
          <w:noProof/>
        </w:rPr>
        <w:t>2</w:t>
      </w:r>
      <w:r w:rsidRPr="00B365EA">
        <w:rPr>
          <w:rStyle w:val="Strong"/>
        </w:rPr>
        <w:fldChar w:fldCharType="end"/>
      </w:r>
      <w:r w:rsidRPr="00356CC4">
        <w:rPr>
          <w:rStyle w:val="Bold"/>
        </w:rPr>
        <w:t>.</w:t>
      </w:r>
      <w:r w:rsidRPr="00B365EA">
        <w:rPr>
          <w:rStyle w:val="Strong"/>
        </w:rPr>
        <w:fldChar w:fldCharType="begin"/>
      </w:r>
      <w:r w:rsidRPr="00B365EA">
        <w:rPr>
          <w:rStyle w:val="Strong"/>
        </w:rPr>
        <w:instrText xml:space="preserve"> SEQ Figure \* ARABIC \s 1 </w:instrText>
      </w:r>
      <w:r w:rsidRPr="00B365EA">
        <w:rPr>
          <w:rStyle w:val="Strong"/>
        </w:rPr>
        <w:fldChar w:fldCharType="separate"/>
      </w:r>
      <w:r w:rsidR="00EB5AC4">
        <w:rPr>
          <w:rStyle w:val="Strong"/>
          <w:noProof/>
        </w:rPr>
        <w:t>3</w:t>
      </w:r>
      <w:r w:rsidRPr="00B365EA">
        <w:rPr>
          <w:rStyle w:val="Strong"/>
        </w:rPr>
        <w:fldChar w:fldCharType="end"/>
      </w:r>
      <w:bookmarkEnd w:id="122"/>
      <w:r w:rsidRPr="00356CC4">
        <w:rPr>
          <w:rStyle w:val="Bold"/>
        </w:rPr>
        <w:t>:</w:t>
      </w:r>
      <w:r w:rsidRPr="003A2F94">
        <w:t xml:space="preserve"> </w:t>
      </w:r>
      <w:r w:rsidRPr="00D63299">
        <w:t>The number of journal articles (excluding conference papers) containing the general keyword ‘earth’ in the title or abstract</w:t>
      </w:r>
      <w:r>
        <w:t>,</w:t>
      </w:r>
      <w:r w:rsidRPr="00D63299">
        <w:t xml:space="preserve"> shown for IGC host countries as a percentage of the worldwide total number of journal articles meeting those criteria. IGC years for each country are highlighted by a red circle. These results are based on data from the combined GeoRef &amp; GEOBASE databases </w:t>
      </w:r>
      <w:bookmarkEnd w:id="123"/>
      <w:r>
        <w:t>(American Geosciences Institute, 2012; Elsevier, 2012).</w:t>
      </w:r>
    </w:p>
    <w:p w:rsidR="00C93401" w:rsidRDefault="00C93401" w:rsidP="00C93401">
      <w:pPr>
        <w:pStyle w:val="Heading2"/>
      </w:pPr>
      <w:bookmarkStart w:id="124" w:name="_Toc336271071"/>
      <w:bookmarkStart w:id="125" w:name="_Toc353282019"/>
      <w:bookmarkStart w:id="126" w:name="_Toc355274231"/>
      <w:r>
        <w:t xml:space="preserve">Impact on Student </w:t>
      </w:r>
      <w:bookmarkEnd w:id="124"/>
      <w:r>
        <w:t>Dynamics</w:t>
      </w:r>
      <w:bookmarkEnd w:id="125"/>
      <w:bookmarkEnd w:id="126"/>
    </w:p>
    <w:p w:rsidR="00C93401" w:rsidRPr="00B93B48" w:rsidRDefault="00C93401" w:rsidP="00C93401">
      <w:pPr>
        <w:pStyle w:val="BodyText"/>
      </w:pPr>
      <w:r w:rsidRPr="00B93B48">
        <w:t>An investigation on the effect of hosting an IGC on university dynamics was conducted. Both Professor Abbate and Dr Solheim indicated that the IGC was not a factor affecting geoscience student enrolments, nor the commencement of post-graduate studies. Professor Abbate did not observe a change in student numbers at his university. However, Prof. Abbate did see a shift in the desired research focus of students following the 32</w:t>
      </w:r>
      <w:r w:rsidRPr="00207DA1">
        <w:rPr>
          <w:rStyle w:val="Superscript"/>
        </w:rPr>
        <w:t>nd</w:t>
      </w:r>
      <w:r w:rsidRPr="00B93B48">
        <w:t xml:space="preserve"> IGC, which was well attended by graduate students, from fundamental basic geology to areas of applied geology and geological engineering. He also observed that primary motivators for student attendance at the 32</w:t>
      </w:r>
      <w:r w:rsidRPr="00207DA1">
        <w:rPr>
          <w:rStyle w:val="Superscript"/>
        </w:rPr>
        <w:t>nd</w:t>
      </w:r>
      <w:r w:rsidRPr="00B93B48">
        <w:t xml:space="preserve"> IGC were for personal development and the opportunity to access books and papers via the publishing companies present at GeoExpo 2004.</w:t>
      </w:r>
    </w:p>
    <w:p w:rsidR="00C93401" w:rsidRPr="00B93B48" w:rsidRDefault="00C93401" w:rsidP="00C93401">
      <w:pPr>
        <w:pStyle w:val="BodyText"/>
      </w:pPr>
      <w:r w:rsidRPr="00B93B48">
        <w:t>The 33</w:t>
      </w:r>
      <w:r w:rsidRPr="00207DA1">
        <w:rPr>
          <w:rStyle w:val="Superscript"/>
        </w:rPr>
        <w:t>rd</w:t>
      </w:r>
      <w:r w:rsidRPr="00B93B48">
        <w:t xml:space="preserve"> IGC promoted student participation in two ways:</w:t>
      </w:r>
    </w:p>
    <w:p w:rsidR="00C93401" w:rsidRPr="00B93B48" w:rsidRDefault="00C93401" w:rsidP="00C93401">
      <w:pPr>
        <w:pStyle w:val="Bulletlevel1"/>
      </w:pPr>
      <w:r w:rsidRPr="00B93B48">
        <w:t>Allowing 100 students from Nordic universities to help organise and participate in the 33</w:t>
      </w:r>
      <w:r w:rsidRPr="00207DA1">
        <w:rPr>
          <w:rStyle w:val="Superscript"/>
        </w:rPr>
        <w:t>rd</w:t>
      </w:r>
      <w:r w:rsidRPr="00B93B48">
        <w:t xml:space="preserve"> IGC as staff</w:t>
      </w:r>
      <w:r w:rsidR="00A40F13">
        <w:t>;</w:t>
      </w:r>
      <w:r w:rsidRPr="00B93B48">
        <w:t xml:space="preserve"> and</w:t>
      </w:r>
      <w:r w:rsidR="00A40F13">
        <w:t>,</w:t>
      </w:r>
    </w:p>
    <w:p w:rsidR="00C93401" w:rsidRPr="00B93B48" w:rsidRDefault="00C93401" w:rsidP="00C93401">
      <w:pPr>
        <w:pStyle w:val="Bulletlevel1"/>
      </w:pPr>
      <w:r w:rsidRPr="00B93B48">
        <w:t>Sponsoring NordForsk which allowed 30 PhD students from within the Nordic countries to attend (IUGS, 2008).</w:t>
      </w:r>
    </w:p>
    <w:p w:rsidR="00C93401" w:rsidRPr="00B93B48" w:rsidRDefault="00C93401" w:rsidP="00C93401">
      <w:pPr>
        <w:pStyle w:val="BodyText"/>
      </w:pPr>
      <w:r w:rsidRPr="00B93B48">
        <w:lastRenderedPageBreak/>
        <w:t>However, Dr Solheim indicated that there hadn’t been a noticeable change in local geoscience student enrolments in the subsequent years, as enrolments are predominantly controlled by the job market in Norway. On this note, Dr Solheim identified that several students attending the 33</w:t>
      </w:r>
      <w:r w:rsidRPr="00207DA1">
        <w:rPr>
          <w:rStyle w:val="Superscript"/>
        </w:rPr>
        <w:t>rd</w:t>
      </w:r>
      <w:r w:rsidRPr="00B93B48">
        <w:t xml:space="preserve"> IGC were directly recruited by companies that were present.</w:t>
      </w:r>
    </w:p>
    <w:p w:rsidR="00C93401" w:rsidRPr="00B93B48" w:rsidRDefault="00C93401" w:rsidP="00C93401">
      <w:pPr>
        <w:pStyle w:val="BodyText"/>
      </w:pPr>
      <w:r w:rsidRPr="00B93B48">
        <w:t>The 34</w:t>
      </w:r>
      <w:r w:rsidRPr="000B3A04">
        <w:rPr>
          <w:rStyle w:val="Superscript"/>
        </w:rPr>
        <w:t>th</w:t>
      </w:r>
      <w:r w:rsidRPr="00B93B48">
        <w:t xml:space="preserve"> IGC is likely to follow a similar trend as the 32</w:t>
      </w:r>
      <w:r w:rsidRPr="00207DA1">
        <w:rPr>
          <w:rStyle w:val="Superscript"/>
        </w:rPr>
        <w:t>nd</w:t>
      </w:r>
      <w:r w:rsidRPr="00B93B48">
        <w:t xml:space="preserve"> and 33</w:t>
      </w:r>
      <w:r w:rsidRPr="00207DA1">
        <w:rPr>
          <w:rStyle w:val="Superscript"/>
        </w:rPr>
        <w:t>rd</w:t>
      </w:r>
      <w:r w:rsidRPr="00B93B48">
        <w:t xml:space="preserve"> IGCs and should not have a major influence on geoscience student numbers. Research has found that tertiary geoscience student levels in Australia are strongly linked with the rises and falls of industry demand and associated commodity prices and the number of geoscience departments present in Australian universities, which is strongly funding limited by university business models (Webb, 2012). None of these factors are likely to have been significantly influenced by the 34</w:t>
      </w:r>
      <w:r w:rsidRPr="00207DA1">
        <w:rPr>
          <w:rStyle w:val="Superscript"/>
        </w:rPr>
        <w:t>th</w:t>
      </w:r>
      <w:r w:rsidRPr="00B93B48">
        <w:t xml:space="preserve"> IGC.</w:t>
      </w:r>
    </w:p>
    <w:p w:rsidR="00C93401" w:rsidRDefault="00C93401" w:rsidP="00C93401">
      <w:pPr>
        <w:pStyle w:val="Heading2"/>
      </w:pPr>
      <w:bookmarkStart w:id="127" w:name="_Toc336271072"/>
      <w:bookmarkStart w:id="128" w:name="_Toc353282020"/>
      <w:bookmarkStart w:id="129" w:name="_Toc355274232"/>
      <w:r>
        <w:t>Tourism</w:t>
      </w:r>
      <w:bookmarkEnd w:id="127"/>
      <w:bookmarkEnd w:id="128"/>
      <w:bookmarkEnd w:id="129"/>
    </w:p>
    <w:p w:rsidR="00C93401" w:rsidRPr="00B93B48" w:rsidRDefault="00C93401" w:rsidP="00C93401">
      <w:pPr>
        <w:pStyle w:val="BodyText"/>
      </w:pPr>
      <w:r w:rsidRPr="00B93B48">
        <w:t>The most overt, national-scale impact of hosting an IGC is the large capital injection into the local economy. Meals, accommodation and registration are some of the significant expenses encountered on a daily basis by each delegate at the congress. Furthermore, IGC field trips distribute delegates across the region. Provision of these services is not only beneficial for the companies directly involved, but flows on to stimulate the community at large. Professor Abbate and Dr Solheim confirmed that both Florence and Oslo did experience a boost in tourism related to the IGC. However, tourism is not always considered when choosing the host cities for an IGC. For example, Professor Abbate pointed out that tourism was a deciding factor in Florence being selected as the host city, but was not considered when the initial bid proposal to host the 32</w:t>
      </w:r>
      <w:r w:rsidRPr="00207DA1">
        <w:rPr>
          <w:rStyle w:val="Superscript"/>
        </w:rPr>
        <w:t>nd</w:t>
      </w:r>
      <w:r w:rsidRPr="00B93B48">
        <w:t xml:space="preserve"> IGC was developed. The tourism appeal of Florence was critical and the major deciding factor against a competing bid by Austria to host the 32</w:t>
      </w:r>
      <w:r w:rsidRPr="00207DA1">
        <w:rPr>
          <w:rStyle w:val="Superscript"/>
        </w:rPr>
        <w:t>nd</w:t>
      </w:r>
      <w:r w:rsidRPr="00B93B48">
        <w:t xml:space="preserve"> IGC in Vienna. By contrast, Dr Solheim indicated that tourism was not considered at all by his nations’ bid to host an IGC. </w:t>
      </w:r>
    </w:p>
    <w:p w:rsidR="00C93401" w:rsidRDefault="00C93401" w:rsidP="00C93401">
      <w:pPr>
        <w:pStyle w:val="Heading3"/>
      </w:pPr>
      <w:bookmarkStart w:id="130" w:name="_Toc336271073"/>
      <w:bookmarkStart w:id="131" w:name="_Toc353282021"/>
      <w:bookmarkStart w:id="132" w:name="_Toc355274233"/>
      <w:r>
        <w:t>Case S</w:t>
      </w:r>
      <w:r w:rsidRPr="002A6D2B">
        <w:t xml:space="preserve">tudy: Canada </w:t>
      </w:r>
      <w:r>
        <w:t>Justification to H</w:t>
      </w:r>
      <w:r w:rsidRPr="002A6D2B">
        <w:t>ost 2020 IG</w:t>
      </w:r>
      <w:bookmarkEnd w:id="130"/>
      <w:r w:rsidRPr="002A6D2B">
        <w:t>C</w:t>
      </w:r>
      <w:bookmarkEnd w:id="131"/>
      <w:bookmarkEnd w:id="132"/>
    </w:p>
    <w:p w:rsidR="00C93401" w:rsidRPr="00B93B48" w:rsidRDefault="00C93401" w:rsidP="00C93401">
      <w:pPr>
        <w:pStyle w:val="BodyText"/>
      </w:pPr>
      <w:r w:rsidRPr="00B93B48">
        <w:t>The potential economic benefits of hosting an IGC are illustrated by the Canadian bid to host the 36</w:t>
      </w:r>
      <w:r w:rsidRPr="00CF07C2">
        <w:rPr>
          <w:rStyle w:val="Superscript"/>
        </w:rPr>
        <w:t>th</w:t>
      </w:r>
      <w:r w:rsidRPr="00B93B48">
        <w:t xml:space="preserve"> IGC in Vancouver. The major justification for the bid was built on commercial decisions. The 36</w:t>
      </w:r>
      <w:r w:rsidRPr="00CF07C2">
        <w:rPr>
          <w:rStyle w:val="Superscript"/>
        </w:rPr>
        <w:t>th</w:t>
      </w:r>
      <w:r w:rsidRPr="00B93B48">
        <w:t xml:space="preserve"> IGC 2020 Feasibility Committee concluded that hosting the IGC would be “financially viable and even profitable” and that; “With the full support of the entire earth science community in Canada, this congress has the potential to generate millions of dollars for the participating learned societies and local economy” CFES (2010).</w:t>
      </w:r>
    </w:p>
    <w:p w:rsidR="00C93401" w:rsidRPr="00B93B48" w:rsidRDefault="00C93401" w:rsidP="00C93401">
      <w:pPr>
        <w:pStyle w:val="BodyText"/>
      </w:pPr>
      <w:r w:rsidRPr="00B93B48">
        <w:t>The Canadian National Research Council’s Conference Services Office (NRC-CSO) fully endorsed the bid for the 2020 IGC because its modelling had indicated that Canada stood to gain a ‘significant economic boost’. With 30 years experience, the NRC-CSO estimated that such international conferences generate a $400/person/day (CAD) return for the local economy. With potential to attract some 10,000 delegates, the Canadian 36</w:t>
      </w:r>
      <w:r w:rsidRPr="00CF07C2">
        <w:rPr>
          <w:rStyle w:val="Superscript"/>
        </w:rPr>
        <w:t>th</w:t>
      </w:r>
      <w:r w:rsidRPr="00B93B48">
        <w:t xml:space="preserve"> IGC bid envisaged a possible return of some $40 million dollars (CAD) (CFES, 2010).</w:t>
      </w:r>
    </w:p>
    <w:p w:rsidR="00C93401" w:rsidRDefault="00C93401" w:rsidP="00C93401">
      <w:pPr>
        <w:pStyle w:val="Heading3"/>
      </w:pPr>
      <w:bookmarkStart w:id="133" w:name="_Toc336271074"/>
      <w:bookmarkStart w:id="134" w:name="_Toc353282022"/>
      <w:bookmarkStart w:id="135" w:name="_Toc355274234"/>
      <w:r>
        <w:t>Case Study: Tourism in Norway</w:t>
      </w:r>
      <w:bookmarkEnd w:id="133"/>
      <w:r>
        <w:t xml:space="preserve"> Around the 33</w:t>
      </w:r>
      <w:r w:rsidRPr="00207DA1">
        <w:rPr>
          <w:rStyle w:val="Superscript"/>
        </w:rPr>
        <w:t>rd</w:t>
      </w:r>
      <w:r>
        <w:t xml:space="preserve"> IGC</w:t>
      </w:r>
      <w:bookmarkEnd w:id="134"/>
      <w:bookmarkEnd w:id="135"/>
    </w:p>
    <w:p w:rsidR="00EB5AC4" w:rsidRPr="00356CC4" w:rsidRDefault="00C93401" w:rsidP="00EB5AC4">
      <w:pPr>
        <w:pStyle w:val="BodyText"/>
        <w:rPr>
          <w:rStyle w:val="Bold"/>
        </w:rPr>
      </w:pPr>
      <w:r w:rsidRPr="00B93B48">
        <w:t>The Norwegian boost in tourism resulting from hosting the 33</w:t>
      </w:r>
      <w:r w:rsidRPr="00207DA1">
        <w:rPr>
          <w:rStyle w:val="Superscript"/>
        </w:rPr>
        <w:t>rd</w:t>
      </w:r>
      <w:r w:rsidRPr="00B93B48">
        <w:t xml:space="preserve"> IGC is highlighted by The World Economic Forum assessments of Travel Tourism and Competitiveness performance (Table 2.3). </w:t>
      </w:r>
      <w:r w:rsidRPr="00B93B48">
        <w:lastRenderedPageBreak/>
        <w:t>These assessments ranked Norway anomalously high for 2008, the year of the 33</w:t>
      </w:r>
      <w:r w:rsidRPr="00207DA1">
        <w:rPr>
          <w:rStyle w:val="Superscript"/>
        </w:rPr>
        <w:t>rd</w:t>
      </w:r>
      <w:r w:rsidRPr="00B93B48">
        <w:t xml:space="preserve"> IGC. Clearly, there are factors other than hosting an IGC which might have affected these rankings, the global financial crisis being an obvious example. However, it is interesting to note that the major anomaly that led to such a high overall ranking in 2008 was the “human cultural and natural resources” index. This index “captures the human and cultural elements of each country’s resource endowments” (Blanke &amp; Chiesa, 2008), and of the different indices seems the most likely to be impacted by hosting the 33rd IGC. In fact, a contributor to the index value is “international fairs and exhibitions” which would certainly have been affected by Norway hosting the 33</w:t>
      </w:r>
      <w:r w:rsidRPr="00207DA1">
        <w:rPr>
          <w:rStyle w:val="Superscript"/>
        </w:rPr>
        <w:t>rd</w:t>
      </w:r>
      <w:r w:rsidRPr="00B93B48">
        <w:t xml:space="preserve"> IGC.</w:t>
      </w:r>
    </w:p>
    <w:p w:rsidR="00C93401" w:rsidRPr="00B365EA" w:rsidRDefault="00C93401" w:rsidP="00D945E8">
      <w:pPr>
        <w:pStyle w:val="Tabletitle"/>
      </w:pPr>
      <w:r w:rsidRPr="00356CC4">
        <w:rPr>
          <w:rStyle w:val="Bold"/>
        </w:rPr>
        <w:t xml:space="preserve">Table </w:t>
      </w:r>
      <w:r w:rsidR="004E7FC8">
        <w:rPr>
          <w:rStyle w:val="Bold"/>
        </w:rPr>
        <w:fldChar w:fldCharType="begin"/>
      </w:r>
      <w:r w:rsidR="004E7FC8">
        <w:rPr>
          <w:rStyle w:val="Bold"/>
        </w:rPr>
        <w:instrText xml:space="preserve"> STYLEREF 1 \s </w:instrText>
      </w:r>
      <w:r w:rsidR="004E7FC8">
        <w:rPr>
          <w:rStyle w:val="Bold"/>
        </w:rPr>
        <w:fldChar w:fldCharType="separate"/>
      </w:r>
      <w:r w:rsidR="004E7FC8">
        <w:rPr>
          <w:rStyle w:val="Bold"/>
          <w:noProof/>
        </w:rPr>
        <w:t>2</w:t>
      </w:r>
      <w:r w:rsidR="004E7FC8">
        <w:rPr>
          <w:rStyle w:val="Bold"/>
        </w:rPr>
        <w:fldChar w:fldCharType="end"/>
      </w:r>
      <w:r w:rsidR="004E7FC8">
        <w:rPr>
          <w:rStyle w:val="Bold"/>
        </w:rPr>
        <w:t>.</w:t>
      </w:r>
      <w:r w:rsidR="004E7FC8">
        <w:rPr>
          <w:rStyle w:val="Bold"/>
        </w:rPr>
        <w:fldChar w:fldCharType="begin"/>
      </w:r>
      <w:r w:rsidR="004E7FC8">
        <w:rPr>
          <w:rStyle w:val="Bold"/>
        </w:rPr>
        <w:instrText xml:space="preserve"> SEQ Table \* ARABIC \s 1 </w:instrText>
      </w:r>
      <w:r w:rsidR="004E7FC8">
        <w:rPr>
          <w:rStyle w:val="Bold"/>
        </w:rPr>
        <w:fldChar w:fldCharType="separate"/>
      </w:r>
      <w:r w:rsidR="004E7FC8">
        <w:rPr>
          <w:rStyle w:val="Bold"/>
          <w:noProof/>
        </w:rPr>
        <w:t>3</w:t>
      </w:r>
      <w:r w:rsidR="004E7FC8">
        <w:rPr>
          <w:rStyle w:val="Bold"/>
        </w:rPr>
        <w:fldChar w:fldCharType="end"/>
      </w:r>
      <w:r w:rsidRPr="00356CC4">
        <w:rPr>
          <w:rStyle w:val="Bold"/>
        </w:rPr>
        <w:t xml:space="preserve">: </w:t>
      </w:r>
      <w:r w:rsidRPr="00B365EA">
        <w:t>Compilation of World Economic Forum assessments of the Travel Tourism and Competitiveness performance of Norway. The data was sourced from Blanke &amp; Chiesa (2007, 2008, 2009 &amp; 2011). The 33</w:t>
      </w:r>
      <w:r w:rsidRPr="00207DA1">
        <w:rPr>
          <w:rStyle w:val="Superscript"/>
        </w:rPr>
        <w:t>rd</w:t>
      </w:r>
      <w:r w:rsidRPr="00B365EA">
        <w:t xml:space="preserve"> IGC </w:t>
      </w:r>
      <w:r w:rsidR="001605B7">
        <w:t>was held in 2008</w:t>
      </w:r>
      <w:r w:rsidRPr="00B365EA">
        <w:t>.</w:t>
      </w:r>
    </w:p>
    <w:tbl>
      <w:tblPr>
        <w:tblStyle w:val="TableGAHeaderRowColumn"/>
        <w:tblW w:w="5000" w:type="pct"/>
        <w:tblLook w:val="01E0" w:firstRow="1" w:lastRow="1" w:firstColumn="1" w:lastColumn="1" w:noHBand="0" w:noVBand="0"/>
        <w:tblDescription w:val="This table reflects data from the 2007 - 2011 World Economic Forum assessments of the Travel, Tourism and Competitiveness of Norway; the host of the 33rd IGC in 2008. The overall rank of Norway drops from 23rd, in 2007, to 17th, in 2008. In the following years this ranking gradually drops back down to 20th. This overall result appears to be largely the result of a sharp improvement in its &quot;Human, cultural and natural resources&quot; index, from 40th to 20th, and a smaller improvement in its &quot;Business, environment and infrastructure&quot; index, from 21st to 19th. Throughout the reported period Norway maintains a consistent 8th to 9th ranking in the &quot;Regulatory framework&quot; index."/>
      </w:tblPr>
      <w:tblGrid>
        <w:gridCol w:w="1006"/>
        <w:gridCol w:w="13"/>
        <w:gridCol w:w="898"/>
        <w:gridCol w:w="915"/>
        <w:gridCol w:w="909"/>
        <w:gridCol w:w="1062"/>
        <w:gridCol w:w="909"/>
        <w:gridCol w:w="1370"/>
        <w:gridCol w:w="909"/>
        <w:gridCol w:w="1194"/>
      </w:tblGrid>
      <w:tr w:rsidR="007040C8" w:rsidRPr="00C836EE" w:rsidTr="009C356C">
        <w:trPr>
          <w:cnfStyle w:val="100000000000" w:firstRow="1" w:lastRow="0" w:firstColumn="0" w:lastColumn="0" w:oddVBand="0" w:evenVBand="0" w:oddHBand="0" w:evenHBand="0" w:firstRowFirstColumn="0" w:firstRowLastColumn="0" w:lastRowFirstColumn="0" w:lastRowLastColumn="0"/>
          <w:cantSplit w:val="0"/>
          <w:trHeight w:val="255"/>
          <w:tblHeader/>
        </w:trPr>
        <w:tc>
          <w:tcPr>
            <w:cnfStyle w:val="001000000100" w:firstRow="0" w:lastRow="0" w:firstColumn="1" w:lastColumn="0" w:oddVBand="0" w:evenVBand="0" w:oddHBand="0" w:evenHBand="0" w:firstRowFirstColumn="1" w:firstRowLastColumn="0" w:lastRowFirstColumn="0" w:lastRowLastColumn="0"/>
            <w:tcW w:w="554" w:type="pct"/>
            <w:gridSpan w:val="2"/>
            <w:noWrap/>
          </w:tcPr>
          <w:p w:rsidR="007040C8" w:rsidRPr="00C836EE" w:rsidRDefault="007040C8" w:rsidP="007040C8">
            <w:pPr>
              <w:pStyle w:val="Tabletextcentred"/>
            </w:pPr>
          </w:p>
        </w:tc>
        <w:tc>
          <w:tcPr>
            <w:cnfStyle w:val="000010000000" w:firstRow="0" w:lastRow="0" w:firstColumn="0" w:lastColumn="0" w:oddVBand="1" w:evenVBand="0" w:oddHBand="0" w:evenHBand="0" w:firstRowFirstColumn="0" w:firstRowLastColumn="0" w:lastRowFirstColumn="0" w:lastRowLastColumn="0"/>
            <w:tcW w:w="987" w:type="pct"/>
            <w:gridSpan w:val="2"/>
          </w:tcPr>
          <w:p w:rsidR="007040C8" w:rsidRPr="00C836EE" w:rsidRDefault="007040C8" w:rsidP="007040C8">
            <w:pPr>
              <w:pStyle w:val="Tabletextcentred"/>
            </w:pPr>
            <w:r w:rsidRPr="00C836EE">
              <w:t>Overall</w:t>
            </w:r>
          </w:p>
        </w:tc>
        <w:tc>
          <w:tcPr>
            <w:tcW w:w="1073" w:type="pct"/>
            <w:gridSpan w:val="2"/>
            <w:noWrap/>
          </w:tcPr>
          <w:p w:rsidR="007040C8" w:rsidRPr="00C836EE" w:rsidRDefault="007040C8" w:rsidP="007040C8">
            <w:pPr>
              <w:pStyle w:val="Tabletextcentred"/>
              <w:cnfStyle w:val="100000000000" w:firstRow="1" w:lastRow="0" w:firstColumn="0" w:lastColumn="0" w:oddVBand="0" w:evenVBand="0" w:oddHBand="0" w:evenHBand="0" w:firstRowFirstColumn="0" w:firstRowLastColumn="0" w:lastRowFirstColumn="0" w:lastRowLastColumn="0"/>
            </w:pPr>
            <w:r w:rsidRPr="00C836EE">
              <w:t>Regulatory</w:t>
            </w:r>
            <w:r>
              <w:br/>
            </w:r>
            <w:r w:rsidRPr="00C836EE">
              <w:t>framework</w:t>
            </w:r>
          </w:p>
        </w:tc>
        <w:tc>
          <w:tcPr>
            <w:cnfStyle w:val="000010000000" w:firstRow="0" w:lastRow="0" w:firstColumn="0" w:lastColumn="0" w:oddVBand="1" w:evenVBand="0" w:oddHBand="0" w:evenHBand="0" w:firstRowFirstColumn="0" w:firstRowLastColumn="0" w:lastRowFirstColumn="0" w:lastRowLastColumn="0"/>
            <w:tcW w:w="1241" w:type="pct"/>
            <w:gridSpan w:val="2"/>
            <w:noWrap/>
          </w:tcPr>
          <w:p w:rsidR="007040C8" w:rsidRPr="00C836EE" w:rsidRDefault="007040C8" w:rsidP="007E4CAF">
            <w:pPr>
              <w:pStyle w:val="Tabletextcentred"/>
            </w:pPr>
            <w:r>
              <w:t>B</w:t>
            </w:r>
            <w:r w:rsidRPr="00C836EE">
              <w:t>usiness</w:t>
            </w:r>
            <w:r w:rsidR="007E4CAF">
              <w:t xml:space="preserve"> </w:t>
            </w:r>
            <w:r w:rsidRPr="00C836EE">
              <w:t>environment</w:t>
            </w:r>
            <w:r w:rsidR="007E4CAF">
              <w:t xml:space="preserve"> </w:t>
            </w:r>
            <w:r w:rsidR="007E4CAF">
              <w:br/>
            </w:r>
            <w:r w:rsidRPr="00C836EE">
              <w:t>and</w:t>
            </w:r>
            <w:r w:rsidR="007E4CAF">
              <w:t xml:space="preserve"> </w:t>
            </w:r>
            <w:r w:rsidRPr="00C836EE">
              <w:t>infrastructure</w:t>
            </w:r>
          </w:p>
        </w:tc>
        <w:tc>
          <w:tcPr>
            <w:tcW w:w="1146" w:type="pct"/>
            <w:gridSpan w:val="2"/>
            <w:noWrap/>
          </w:tcPr>
          <w:p w:rsidR="007040C8" w:rsidRPr="00C836EE" w:rsidRDefault="007040C8" w:rsidP="007E4CAF">
            <w:pPr>
              <w:pStyle w:val="Tabletextcentred"/>
              <w:cnfStyle w:val="100000000000" w:firstRow="1" w:lastRow="0" w:firstColumn="0" w:lastColumn="0" w:oddVBand="0" w:evenVBand="0" w:oddHBand="0" w:evenHBand="0" w:firstRowFirstColumn="0" w:firstRowLastColumn="0" w:lastRowFirstColumn="0" w:lastRowLastColumn="0"/>
            </w:pPr>
            <w:r>
              <w:t>H</w:t>
            </w:r>
            <w:r w:rsidRPr="00C836EE">
              <w:t>uman</w:t>
            </w:r>
            <w:r w:rsidR="007E4CAF">
              <w:t xml:space="preserve"> </w:t>
            </w:r>
            <w:r w:rsidRPr="00C836EE">
              <w:t>cultural and</w:t>
            </w:r>
            <w:r>
              <w:br/>
            </w:r>
            <w:r w:rsidRPr="00C836EE">
              <w:t>natural</w:t>
            </w:r>
            <w:r w:rsidR="007E4CAF">
              <w:t xml:space="preserve"> </w:t>
            </w:r>
            <w:r w:rsidRPr="00C836EE">
              <w:t>resources</w:t>
            </w:r>
          </w:p>
        </w:tc>
      </w:tr>
      <w:tr w:rsidR="007040C8" w:rsidRPr="00C836EE" w:rsidTr="00D52F9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47" w:type="pct"/>
            <w:noWrap/>
          </w:tcPr>
          <w:p w:rsidR="007040C8" w:rsidRPr="00C836EE" w:rsidRDefault="007040C8" w:rsidP="007040C8">
            <w:pPr>
              <w:pStyle w:val="Tabletextcentred"/>
            </w:pPr>
            <w:r w:rsidRPr="00C836EE">
              <w:t>year</w:t>
            </w:r>
          </w:p>
        </w:tc>
        <w:tc>
          <w:tcPr>
            <w:cnfStyle w:val="000010000000" w:firstRow="0" w:lastRow="0" w:firstColumn="0" w:lastColumn="0" w:oddVBand="1" w:evenVBand="0" w:oddHBand="0" w:evenHBand="0" w:firstRowFirstColumn="0" w:firstRowLastColumn="0" w:lastRowFirstColumn="0" w:lastRowLastColumn="0"/>
            <w:tcW w:w="496" w:type="pct"/>
            <w:gridSpan w:val="2"/>
            <w:noWrap/>
          </w:tcPr>
          <w:p w:rsidR="007040C8" w:rsidRPr="002D3D57" w:rsidRDefault="007040C8" w:rsidP="002D3D57">
            <w:pPr>
              <w:pStyle w:val="Tabletextcentred"/>
              <w:rPr>
                <w:rStyle w:val="Bold"/>
                <w:b w:val="0"/>
              </w:rPr>
            </w:pPr>
            <w:r w:rsidRPr="002D3D57">
              <w:t>rank</w:t>
            </w:r>
          </w:p>
        </w:tc>
        <w:tc>
          <w:tcPr>
            <w:tcW w:w="498" w:type="pct"/>
            <w:noWrap/>
          </w:tcPr>
          <w:p w:rsidR="007040C8" w:rsidRPr="002D3D57" w:rsidRDefault="007040C8" w:rsidP="002D3D57">
            <w:pPr>
              <w:pStyle w:val="Tabletextcentred"/>
              <w:cnfStyle w:val="000000100000" w:firstRow="0" w:lastRow="0" w:firstColumn="0" w:lastColumn="0" w:oddVBand="0" w:evenVBand="0" w:oddHBand="1" w:evenHBand="0" w:firstRowFirstColumn="0" w:firstRowLastColumn="0" w:lastRowFirstColumn="0" w:lastRowLastColumn="0"/>
              <w:rPr>
                <w:rStyle w:val="Bold"/>
                <w:b w:val="0"/>
              </w:rPr>
            </w:pPr>
            <w:r w:rsidRPr="002D3D57">
              <w:t>index</w:t>
            </w:r>
            <w:r w:rsidRPr="002D3D57">
              <w:br/>
              <w:t>value</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2D3D57" w:rsidRDefault="007040C8" w:rsidP="002D3D57">
            <w:pPr>
              <w:pStyle w:val="Tabletextcentred"/>
              <w:rPr>
                <w:rStyle w:val="Bold"/>
                <w:b w:val="0"/>
              </w:rPr>
            </w:pPr>
            <w:r w:rsidRPr="002D3D57">
              <w:t>rank</w:t>
            </w:r>
          </w:p>
        </w:tc>
        <w:tc>
          <w:tcPr>
            <w:tcW w:w="578" w:type="pct"/>
            <w:noWrap/>
          </w:tcPr>
          <w:p w:rsidR="007040C8" w:rsidRPr="002D3D57" w:rsidRDefault="007040C8" w:rsidP="002D3D57">
            <w:pPr>
              <w:pStyle w:val="Tabletextcentred"/>
              <w:cnfStyle w:val="000000100000" w:firstRow="0" w:lastRow="0" w:firstColumn="0" w:lastColumn="0" w:oddVBand="0" w:evenVBand="0" w:oddHBand="1" w:evenHBand="0" w:firstRowFirstColumn="0" w:firstRowLastColumn="0" w:lastRowFirstColumn="0" w:lastRowLastColumn="0"/>
              <w:rPr>
                <w:rStyle w:val="Bold"/>
                <w:b w:val="0"/>
              </w:rPr>
            </w:pPr>
            <w:r w:rsidRPr="002D3D57">
              <w:t>index</w:t>
            </w:r>
            <w:r w:rsidRPr="002D3D57">
              <w:br/>
              <w:t>value</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2D3D57" w:rsidRDefault="007040C8" w:rsidP="002D3D57">
            <w:pPr>
              <w:pStyle w:val="Tabletextcentred"/>
              <w:rPr>
                <w:rStyle w:val="Bold"/>
                <w:b w:val="0"/>
              </w:rPr>
            </w:pPr>
            <w:r w:rsidRPr="002D3D57">
              <w:t>rank</w:t>
            </w:r>
          </w:p>
        </w:tc>
        <w:tc>
          <w:tcPr>
            <w:tcW w:w="746" w:type="pct"/>
            <w:noWrap/>
          </w:tcPr>
          <w:p w:rsidR="007040C8" w:rsidRPr="002D3D57" w:rsidRDefault="007040C8" w:rsidP="002D3D57">
            <w:pPr>
              <w:pStyle w:val="Tabletextcentred"/>
              <w:cnfStyle w:val="000000100000" w:firstRow="0" w:lastRow="0" w:firstColumn="0" w:lastColumn="0" w:oddVBand="0" w:evenVBand="0" w:oddHBand="1" w:evenHBand="0" w:firstRowFirstColumn="0" w:firstRowLastColumn="0" w:lastRowFirstColumn="0" w:lastRowLastColumn="0"/>
              <w:rPr>
                <w:rStyle w:val="Bold"/>
                <w:b w:val="0"/>
              </w:rPr>
            </w:pPr>
            <w:r w:rsidRPr="002D3D57">
              <w:t>index</w:t>
            </w:r>
            <w:r w:rsidRPr="002D3D57">
              <w:br/>
              <w:t>value</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2D3D57" w:rsidRDefault="007040C8" w:rsidP="002D3D57">
            <w:pPr>
              <w:pStyle w:val="Tabletextcentred"/>
              <w:rPr>
                <w:rStyle w:val="Bold"/>
                <w:b w:val="0"/>
              </w:rPr>
            </w:pPr>
            <w:r w:rsidRPr="002D3D57">
              <w:t>rank</w:t>
            </w:r>
          </w:p>
        </w:tc>
        <w:tc>
          <w:tcPr>
            <w:tcW w:w="651" w:type="pct"/>
            <w:noWrap/>
          </w:tcPr>
          <w:p w:rsidR="007040C8" w:rsidRPr="002D3D57" w:rsidRDefault="007040C8" w:rsidP="002D3D57">
            <w:pPr>
              <w:pStyle w:val="Tabletextcentred"/>
              <w:cnfStyle w:val="000000100000" w:firstRow="0" w:lastRow="0" w:firstColumn="0" w:lastColumn="0" w:oddVBand="0" w:evenVBand="0" w:oddHBand="1" w:evenHBand="0" w:firstRowFirstColumn="0" w:firstRowLastColumn="0" w:lastRowFirstColumn="0" w:lastRowLastColumn="0"/>
              <w:rPr>
                <w:rStyle w:val="Bold"/>
                <w:b w:val="0"/>
              </w:rPr>
            </w:pPr>
            <w:r w:rsidRPr="002D3D57">
              <w:t>index</w:t>
            </w:r>
            <w:r w:rsidRPr="002D3D57">
              <w:br/>
              <w:t>value</w:t>
            </w:r>
          </w:p>
        </w:tc>
      </w:tr>
      <w:tr w:rsidR="007040C8" w:rsidTr="00D52F9C">
        <w:trPr>
          <w:cnfStyle w:val="000000010000" w:firstRow="0" w:lastRow="0" w:firstColumn="0" w:lastColumn="0" w:oddVBand="0" w:evenVBand="0" w:oddHBand="0" w:evenHBand="1" w:firstRowFirstColumn="0" w:firstRowLastColumn="0" w:lastRowFirstColumn="0" w:lastRowLastColumn="0"/>
          <w:cantSplit w:val="0"/>
          <w:trHeight w:val="255"/>
        </w:trPr>
        <w:tc>
          <w:tcPr>
            <w:cnfStyle w:val="001000000000" w:firstRow="0" w:lastRow="0" w:firstColumn="1" w:lastColumn="0" w:oddVBand="0" w:evenVBand="0" w:oddHBand="0" w:evenHBand="0" w:firstRowFirstColumn="0" w:firstRowLastColumn="0" w:lastRowFirstColumn="0" w:lastRowLastColumn="0"/>
            <w:tcW w:w="547" w:type="pct"/>
            <w:noWrap/>
          </w:tcPr>
          <w:p w:rsidR="007040C8" w:rsidRPr="00D644D5" w:rsidRDefault="007040C8" w:rsidP="007040C8">
            <w:pPr>
              <w:pStyle w:val="Tabletextcentred"/>
              <w:rPr>
                <w:szCs w:val="18"/>
              </w:rPr>
            </w:pPr>
            <w:r w:rsidRPr="00D644D5">
              <w:rPr>
                <w:szCs w:val="18"/>
              </w:rPr>
              <w:t>2007</w:t>
            </w:r>
          </w:p>
        </w:tc>
        <w:tc>
          <w:tcPr>
            <w:cnfStyle w:val="000010000000" w:firstRow="0" w:lastRow="0" w:firstColumn="0" w:lastColumn="0" w:oddVBand="1" w:evenVBand="0" w:oddHBand="0" w:evenHBand="0" w:firstRowFirstColumn="0" w:firstRowLastColumn="0" w:lastRowFirstColumn="0" w:lastRowLastColumn="0"/>
            <w:tcW w:w="496" w:type="pct"/>
            <w:gridSpan w:val="2"/>
            <w:noWrap/>
          </w:tcPr>
          <w:p w:rsidR="007040C8" w:rsidRPr="00D644D5" w:rsidRDefault="007040C8" w:rsidP="007040C8">
            <w:pPr>
              <w:pStyle w:val="Tabletextcentred"/>
              <w:rPr>
                <w:szCs w:val="18"/>
              </w:rPr>
            </w:pPr>
            <w:r w:rsidRPr="00D644D5">
              <w:rPr>
                <w:szCs w:val="18"/>
              </w:rPr>
              <w:t>23</w:t>
            </w:r>
          </w:p>
        </w:tc>
        <w:tc>
          <w:tcPr>
            <w:tcW w:w="498" w:type="pct"/>
            <w:noWrap/>
          </w:tcPr>
          <w:p w:rsidR="007040C8" w:rsidRPr="00D644D5" w:rsidRDefault="007040C8"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5.04</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9</w:t>
            </w:r>
          </w:p>
        </w:tc>
        <w:tc>
          <w:tcPr>
            <w:tcW w:w="578" w:type="pct"/>
            <w:noWrap/>
          </w:tcPr>
          <w:p w:rsidR="007040C8" w:rsidRPr="00D644D5" w:rsidRDefault="007040C8"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5.45</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21</w:t>
            </w:r>
          </w:p>
        </w:tc>
        <w:tc>
          <w:tcPr>
            <w:tcW w:w="746" w:type="pct"/>
            <w:noWrap/>
          </w:tcPr>
          <w:p w:rsidR="007040C8" w:rsidRPr="00D644D5" w:rsidRDefault="007040C8"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4.56</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40</w:t>
            </w:r>
          </w:p>
        </w:tc>
        <w:tc>
          <w:tcPr>
            <w:tcW w:w="651" w:type="pct"/>
            <w:noWrap/>
          </w:tcPr>
          <w:p w:rsidR="007040C8" w:rsidRPr="00D644D5" w:rsidRDefault="007040C8"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5.12</w:t>
            </w:r>
          </w:p>
        </w:tc>
      </w:tr>
      <w:tr w:rsidR="007040C8" w:rsidRPr="004400D3" w:rsidTr="00D52F9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47" w:type="pct"/>
            <w:noWrap/>
          </w:tcPr>
          <w:p w:rsidR="007040C8" w:rsidRPr="00D644D5" w:rsidRDefault="007040C8" w:rsidP="007040C8">
            <w:pPr>
              <w:pStyle w:val="Tabletextcentred"/>
              <w:rPr>
                <w:szCs w:val="18"/>
              </w:rPr>
            </w:pPr>
            <w:r w:rsidRPr="00D644D5">
              <w:rPr>
                <w:szCs w:val="18"/>
              </w:rPr>
              <w:t>2008</w:t>
            </w:r>
          </w:p>
        </w:tc>
        <w:tc>
          <w:tcPr>
            <w:cnfStyle w:val="000010000000" w:firstRow="0" w:lastRow="0" w:firstColumn="0" w:lastColumn="0" w:oddVBand="1" w:evenVBand="0" w:oddHBand="0" w:evenHBand="0" w:firstRowFirstColumn="0" w:firstRowLastColumn="0" w:lastRowFirstColumn="0" w:lastRowLastColumn="0"/>
            <w:tcW w:w="496" w:type="pct"/>
            <w:gridSpan w:val="2"/>
            <w:noWrap/>
          </w:tcPr>
          <w:p w:rsidR="007040C8" w:rsidRPr="00D644D5" w:rsidRDefault="007040C8" w:rsidP="007040C8">
            <w:pPr>
              <w:pStyle w:val="Tabletextcentred"/>
              <w:rPr>
                <w:szCs w:val="18"/>
              </w:rPr>
            </w:pPr>
            <w:r w:rsidRPr="00D644D5">
              <w:rPr>
                <w:szCs w:val="18"/>
              </w:rPr>
              <w:t>17</w:t>
            </w:r>
          </w:p>
        </w:tc>
        <w:tc>
          <w:tcPr>
            <w:tcW w:w="498" w:type="pct"/>
            <w:noWrap/>
          </w:tcPr>
          <w:p w:rsidR="007040C8" w:rsidRPr="00D644D5" w:rsidRDefault="007040C8"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5.05</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8</w:t>
            </w:r>
          </w:p>
        </w:tc>
        <w:tc>
          <w:tcPr>
            <w:tcW w:w="578" w:type="pct"/>
            <w:noWrap/>
          </w:tcPr>
          <w:p w:rsidR="007040C8" w:rsidRPr="00D644D5" w:rsidRDefault="007040C8"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5.66</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19</w:t>
            </w:r>
          </w:p>
        </w:tc>
        <w:tc>
          <w:tcPr>
            <w:tcW w:w="746" w:type="pct"/>
            <w:noWrap/>
          </w:tcPr>
          <w:p w:rsidR="007040C8" w:rsidRPr="00D644D5" w:rsidRDefault="007040C8"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4.9</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20</w:t>
            </w:r>
          </w:p>
        </w:tc>
        <w:tc>
          <w:tcPr>
            <w:tcW w:w="651" w:type="pct"/>
            <w:noWrap/>
          </w:tcPr>
          <w:p w:rsidR="007040C8" w:rsidRPr="00D644D5" w:rsidRDefault="007040C8"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4.6</w:t>
            </w:r>
          </w:p>
        </w:tc>
      </w:tr>
      <w:tr w:rsidR="007040C8" w:rsidTr="00D52F9C">
        <w:trPr>
          <w:cnfStyle w:val="000000010000" w:firstRow="0" w:lastRow="0" w:firstColumn="0" w:lastColumn="0" w:oddVBand="0" w:evenVBand="0" w:oddHBand="0" w:evenHBand="1" w:firstRowFirstColumn="0" w:firstRowLastColumn="0" w:lastRowFirstColumn="0" w:lastRowLastColumn="0"/>
          <w:cantSplit w:val="0"/>
          <w:trHeight w:val="255"/>
        </w:trPr>
        <w:tc>
          <w:tcPr>
            <w:cnfStyle w:val="001000000000" w:firstRow="0" w:lastRow="0" w:firstColumn="1" w:lastColumn="0" w:oddVBand="0" w:evenVBand="0" w:oddHBand="0" w:evenHBand="0" w:firstRowFirstColumn="0" w:firstRowLastColumn="0" w:lastRowFirstColumn="0" w:lastRowLastColumn="0"/>
            <w:tcW w:w="547" w:type="pct"/>
            <w:noWrap/>
          </w:tcPr>
          <w:p w:rsidR="007040C8" w:rsidRPr="00D644D5" w:rsidRDefault="007040C8" w:rsidP="007040C8">
            <w:pPr>
              <w:pStyle w:val="Tabletextcentred"/>
              <w:rPr>
                <w:szCs w:val="18"/>
              </w:rPr>
            </w:pPr>
            <w:r w:rsidRPr="00D644D5">
              <w:rPr>
                <w:szCs w:val="18"/>
              </w:rPr>
              <w:t>2009</w:t>
            </w:r>
          </w:p>
        </w:tc>
        <w:tc>
          <w:tcPr>
            <w:cnfStyle w:val="000010000000" w:firstRow="0" w:lastRow="0" w:firstColumn="0" w:lastColumn="0" w:oddVBand="1" w:evenVBand="0" w:oddHBand="0" w:evenHBand="0" w:firstRowFirstColumn="0" w:firstRowLastColumn="0" w:lastRowFirstColumn="0" w:lastRowLastColumn="0"/>
            <w:tcW w:w="496" w:type="pct"/>
            <w:gridSpan w:val="2"/>
            <w:noWrap/>
          </w:tcPr>
          <w:p w:rsidR="007040C8" w:rsidRPr="00D644D5" w:rsidRDefault="007040C8" w:rsidP="007040C8">
            <w:pPr>
              <w:pStyle w:val="Tabletextcentred"/>
              <w:rPr>
                <w:szCs w:val="18"/>
              </w:rPr>
            </w:pPr>
            <w:r w:rsidRPr="00D644D5">
              <w:rPr>
                <w:szCs w:val="18"/>
              </w:rPr>
              <w:t>19</w:t>
            </w:r>
          </w:p>
        </w:tc>
        <w:tc>
          <w:tcPr>
            <w:tcW w:w="498" w:type="pct"/>
            <w:noWrap/>
          </w:tcPr>
          <w:p w:rsidR="007040C8" w:rsidRPr="00D644D5" w:rsidRDefault="007040C8"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4.97</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9</w:t>
            </w:r>
          </w:p>
        </w:tc>
        <w:tc>
          <w:tcPr>
            <w:tcW w:w="578" w:type="pct"/>
            <w:noWrap/>
          </w:tcPr>
          <w:p w:rsidR="007040C8" w:rsidRPr="00D644D5" w:rsidRDefault="007040C8"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5.64</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19</w:t>
            </w:r>
          </w:p>
        </w:tc>
        <w:tc>
          <w:tcPr>
            <w:tcW w:w="746" w:type="pct"/>
            <w:noWrap/>
          </w:tcPr>
          <w:p w:rsidR="007040C8" w:rsidRPr="00D644D5" w:rsidRDefault="007040C8"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4.84</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36</w:t>
            </w:r>
          </w:p>
        </w:tc>
        <w:tc>
          <w:tcPr>
            <w:tcW w:w="651" w:type="pct"/>
            <w:noWrap/>
          </w:tcPr>
          <w:p w:rsidR="007040C8" w:rsidRPr="00D644D5" w:rsidRDefault="007040C8" w:rsidP="007040C8">
            <w:pPr>
              <w:pStyle w:val="Tabletextcentred"/>
              <w:cnfStyle w:val="000000010000" w:firstRow="0" w:lastRow="0" w:firstColumn="0" w:lastColumn="0" w:oddVBand="0" w:evenVBand="0" w:oddHBand="0" w:evenHBand="1" w:firstRowFirstColumn="0" w:firstRowLastColumn="0" w:lastRowFirstColumn="0" w:lastRowLastColumn="0"/>
              <w:rPr>
                <w:szCs w:val="18"/>
              </w:rPr>
            </w:pPr>
            <w:r w:rsidRPr="00D644D5">
              <w:rPr>
                <w:szCs w:val="18"/>
              </w:rPr>
              <w:t>4.42</w:t>
            </w:r>
          </w:p>
        </w:tc>
      </w:tr>
      <w:tr w:rsidR="007040C8" w:rsidTr="00D52F9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47" w:type="pct"/>
            <w:noWrap/>
          </w:tcPr>
          <w:p w:rsidR="007040C8" w:rsidRPr="00D644D5" w:rsidRDefault="007040C8" w:rsidP="007040C8">
            <w:pPr>
              <w:pStyle w:val="Tabletextcentred"/>
              <w:rPr>
                <w:szCs w:val="18"/>
              </w:rPr>
            </w:pPr>
            <w:r w:rsidRPr="00D644D5">
              <w:rPr>
                <w:szCs w:val="18"/>
              </w:rPr>
              <w:t>2011</w:t>
            </w:r>
          </w:p>
        </w:tc>
        <w:tc>
          <w:tcPr>
            <w:cnfStyle w:val="000010000000" w:firstRow="0" w:lastRow="0" w:firstColumn="0" w:lastColumn="0" w:oddVBand="1" w:evenVBand="0" w:oddHBand="0" w:evenHBand="0" w:firstRowFirstColumn="0" w:firstRowLastColumn="0" w:lastRowFirstColumn="0" w:lastRowLastColumn="0"/>
            <w:tcW w:w="496" w:type="pct"/>
            <w:gridSpan w:val="2"/>
            <w:noWrap/>
          </w:tcPr>
          <w:p w:rsidR="007040C8" w:rsidRPr="00D644D5" w:rsidRDefault="007040C8" w:rsidP="007040C8">
            <w:pPr>
              <w:pStyle w:val="Tabletextcentred"/>
              <w:rPr>
                <w:szCs w:val="18"/>
              </w:rPr>
            </w:pPr>
            <w:r w:rsidRPr="00D644D5">
              <w:rPr>
                <w:szCs w:val="18"/>
              </w:rPr>
              <w:t>20</w:t>
            </w:r>
          </w:p>
        </w:tc>
        <w:tc>
          <w:tcPr>
            <w:tcW w:w="498" w:type="pct"/>
            <w:noWrap/>
          </w:tcPr>
          <w:p w:rsidR="007040C8" w:rsidRPr="00D644D5" w:rsidRDefault="007040C8"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2.98</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8</w:t>
            </w:r>
          </w:p>
        </w:tc>
        <w:tc>
          <w:tcPr>
            <w:tcW w:w="578" w:type="pct"/>
            <w:noWrap/>
          </w:tcPr>
          <w:p w:rsidR="007040C8" w:rsidRPr="00D644D5" w:rsidRDefault="007040C8"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5.71</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26</w:t>
            </w:r>
          </w:p>
        </w:tc>
        <w:tc>
          <w:tcPr>
            <w:tcW w:w="746" w:type="pct"/>
            <w:noWrap/>
          </w:tcPr>
          <w:p w:rsidR="007040C8" w:rsidRPr="00D644D5" w:rsidRDefault="007040C8"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4.79</w:t>
            </w:r>
          </w:p>
        </w:tc>
        <w:tc>
          <w:tcPr>
            <w:cnfStyle w:val="000010000000" w:firstRow="0" w:lastRow="0" w:firstColumn="0" w:lastColumn="0" w:oddVBand="1" w:evenVBand="0" w:oddHBand="0" w:evenHBand="0" w:firstRowFirstColumn="0" w:firstRowLastColumn="0" w:lastRowFirstColumn="0" w:lastRowLastColumn="0"/>
            <w:tcW w:w="495" w:type="pct"/>
            <w:noWrap/>
          </w:tcPr>
          <w:p w:rsidR="007040C8" w:rsidRPr="00D644D5" w:rsidRDefault="007040C8" w:rsidP="007040C8">
            <w:pPr>
              <w:pStyle w:val="Tabletextcentred"/>
              <w:rPr>
                <w:szCs w:val="18"/>
              </w:rPr>
            </w:pPr>
            <w:r w:rsidRPr="00D644D5">
              <w:rPr>
                <w:szCs w:val="18"/>
              </w:rPr>
              <w:t>32</w:t>
            </w:r>
          </w:p>
        </w:tc>
        <w:tc>
          <w:tcPr>
            <w:tcW w:w="651" w:type="pct"/>
            <w:noWrap/>
          </w:tcPr>
          <w:p w:rsidR="007040C8" w:rsidRPr="00D644D5" w:rsidRDefault="007040C8" w:rsidP="007040C8">
            <w:pPr>
              <w:pStyle w:val="Tabletextcentred"/>
              <w:cnfStyle w:val="000000100000" w:firstRow="0" w:lastRow="0" w:firstColumn="0" w:lastColumn="0" w:oddVBand="0" w:evenVBand="0" w:oddHBand="1" w:evenHBand="0" w:firstRowFirstColumn="0" w:firstRowLastColumn="0" w:lastRowFirstColumn="0" w:lastRowLastColumn="0"/>
              <w:rPr>
                <w:szCs w:val="18"/>
              </w:rPr>
            </w:pPr>
            <w:r w:rsidRPr="00D644D5">
              <w:rPr>
                <w:szCs w:val="18"/>
              </w:rPr>
              <w:t>4.45</w:t>
            </w:r>
          </w:p>
        </w:tc>
      </w:tr>
    </w:tbl>
    <w:p w:rsidR="00C93401" w:rsidRPr="00296658" w:rsidRDefault="00C93401" w:rsidP="00296658">
      <w:pPr>
        <w:pStyle w:val="Heading3"/>
      </w:pPr>
      <w:bookmarkStart w:id="136" w:name="_Toc336271075"/>
      <w:bookmarkStart w:id="137" w:name="_Toc353282023"/>
      <w:bookmarkStart w:id="138" w:name="_Toc355274235"/>
      <w:r w:rsidRPr="00296658">
        <w:t>Case Study: Tourism for Australia</w:t>
      </w:r>
      <w:bookmarkEnd w:id="136"/>
      <w:r w:rsidRPr="00296658">
        <w:t xml:space="preserve"> around the 34</w:t>
      </w:r>
      <w:r w:rsidRPr="00356CC4">
        <w:rPr>
          <w:rStyle w:val="Superscript"/>
        </w:rPr>
        <w:t>th</w:t>
      </w:r>
      <w:r w:rsidRPr="00296658">
        <w:t xml:space="preserve"> IGC</w:t>
      </w:r>
      <w:bookmarkEnd w:id="137"/>
      <w:bookmarkEnd w:id="138"/>
    </w:p>
    <w:p w:rsidR="00C93401" w:rsidRPr="00B93B48" w:rsidRDefault="00C93401" w:rsidP="00C93401">
      <w:pPr>
        <w:pStyle w:val="BodyText"/>
      </w:pPr>
      <w:r w:rsidRPr="00B93B48">
        <w:t>The major consequence of increased tourism is an increased cash-flow into the region. Carillion Conference Management (CCM) estimated a daily expenditure of approximately $600/person/day (AUD) for the conference, resulting in an injection of more than $18 million dollars (AUD) into Brisbane (Rowland, 2012a). However, this figure doesn’t include the economic return from the 450 delegates attending 36 conference field trips (Marx, 2012b). Nor does the figure include any potential long-term tourism expenditure due to increased exposure to locations such as Brisbane, the Great Barrier Reef, the Whitsundays, and the Glass House Mountains. GA’s delegates indicated many international visitors were impressed with Brisbane and Queensland’s clean air, nice people and a positive atmosphere. As a result, there is a strong likelihood that the actual economic return of hosting the 34</w:t>
      </w:r>
      <w:r w:rsidRPr="000B3A04">
        <w:rPr>
          <w:rStyle w:val="Superscript"/>
        </w:rPr>
        <w:t>th</w:t>
      </w:r>
      <w:r w:rsidRPr="00B93B48">
        <w:t xml:space="preserve"> IGC in Australia is significantly higher than the $18 million dollars (AUD) quoted. However, the impacts of this boost in tourism and expenditure are likely to be restricted to the Brisbane region, and may not represent a homogeneous, nationwide benefit for Australia.</w:t>
      </w:r>
    </w:p>
    <w:p w:rsidR="00C93401" w:rsidRDefault="00C93401" w:rsidP="00C93401">
      <w:pPr>
        <w:pStyle w:val="Heading2"/>
      </w:pPr>
      <w:bookmarkStart w:id="139" w:name="_Toc336271076"/>
      <w:bookmarkStart w:id="140" w:name="_Toc353282024"/>
      <w:bookmarkStart w:id="141" w:name="_Toc355274236"/>
      <w:r>
        <w:t>Public Awareness</w:t>
      </w:r>
      <w:bookmarkEnd w:id="139"/>
      <w:r>
        <w:t xml:space="preserve"> of Geoscience</w:t>
      </w:r>
      <w:bookmarkEnd w:id="140"/>
      <w:bookmarkEnd w:id="141"/>
    </w:p>
    <w:p w:rsidR="00C93401" w:rsidRPr="00B93B48" w:rsidRDefault="00C93401" w:rsidP="00C93401">
      <w:pPr>
        <w:pStyle w:val="BodyText"/>
      </w:pPr>
      <w:r w:rsidRPr="00B93B48">
        <w:t>It is reasonable to assume that hosting a scientific event of the magnitude of the IGC will lead to greater public awareness of the major themes being addressed at the conference. However, the evidence suggests that this is not the case. Professor Abbate explained that although the 32</w:t>
      </w:r>
      <w:r w:rsidRPr="00207DA1">
        <w:rPr>
          <w:rStyle w:val="Superscript"/>
        </w:rPr>
        <w:t>nd</w:t>
      </w:r>
      <w:r w:rsidRPr="00B93B48">
        <w:t xml:space="preserve"> IGC had significant media coverage, the Italian public were far more concerned with coverage and information on earthquakes, which are an ever-present hazard in Italy, than the key issues discussed at the conference.</w:t>
      </w:r>
    </w:p>
    <w:p w:rsidR="00C93401" w:rsidRPr="00B93B48" w:rsidRDefault="00C93401" w:rsidP="00C93401">
      <w:pPr>
        <w:pStyle w:val="BodyText"/>
      </w:pPr>
      <w:r w:rsidRPr="00B93B48">
        <w:lastRenderedPageBreak/>
        <w:t>On the other hand, Dr Solheim revealed that the geosciences in Norway are held in far greater esteem by the public than in Italy or Australia. This is purportedly because the public recognise and acknowledge the successful and beneficial exploitation of Norway’s resources, and the work geologists do to mitigate and provide advice for natural hazard problems. This positive public perception of the geosciences in Norway, coupled with the extensive media coverage for the 33</w:t>
      </w:r>
      <w:r w:rsidRPr="00207DA1">
        <w:rPr>
          <w:rStyle w:val="Superscript"/>
        </w:rPr>
        <w:t>rd</w:t>
      </w:r>
      <w:r w:rsidRPr="00B93B48">
        <w:t xml:space="preserve"> IGC (which arose out of necessity due to sponsorship agreements) meant that key issues were covered more fully and passed on to the public through a range of media including radio, TV, newspaper and the internet (IUGS, 2008). Therefore, it appears that the transfer of geoscience information to the public through hosting an IGC may be highly variable. The relatively successful example of the 33</w:t>
      </w:r>
      <w:r w:rsidRPr="00207DA1">
        <w:rPr>
          <w:rStyle w:val="Superscript"/>
        </w:rPr>
        <w:t>rd</w:t>
      </w:r>
      <w:r w:rsidRPr="00B93B48">
        <w:t xml:space="preserve"> IGC merits further investigation.</w:t>
      </w:r>
    </w:p>
    <w:p w:rsidR="00C93401" w:rsidRDefault="00C93401" w:rsidP="00C93401">
      <w:pPr>
        <w:pStyle w:val="Heading3"/>
      </w:pPr>
      <w:bookmarkStart w:id="142" w:name="_Toc336271077"/>
      <w:bookmarkStart w:id="143" w:name="_Toc353282025"/>
      <w:bookmarkStart w:id="144" w:name="_Toc355274237"/>
      <w:r>
        <w:t>33</w:t>
      </w:r>
      <w:r w:rsidRPr="00207DA1">
        <w:rPr>
          <w:rStyle w:val="Superscript"/>
        </w:rPr>
        <w:t>rd</w:t>
      </w:r>
      <w:r>
        <w:t xml:space="preserve"> IGC Public Outreach </w:t>
      </w:r>
      <w:bookmarkEnd w:id="142"/>
      <w:r>
        <w:t>Investigation</w:t>
      </w:r>
      <w:bookmarkEnd w:id="143"/>
      <w:bookmarkEnd w:id="144"/>
    </w:p>
    <w:p w:rsidR="00C93401" w:rsidRPr="00B93B48" w:rsidRDefault="00C93401" w:rsidP="00C93401">
      <w:pPr>
        <w:pStyle w:val="BodyText"/>
      </w:pPr>
      <w:r w:rsidRPr="00B93B48">
        <w:t>The effectiveness of engaging the public on geoscience issues during the 33</w:t>
      </w:r>
      <w:r w:rsidRPr="00207DA1">
        <w:rPr>
          <w:rStyle w:val="Superscript"/>
        </w:rPr>
        <w:t>rd</w:t>
      </w:r>
      <w:r w:rsidRPr="00B93B48">
        <w:t xml:space="preserve"> IGC was analysed using Google Insights data. The data tracks the relative number of Google searches for a term temporally and geographically and was used to gauge broad scale trends around public interest in geoscience topics. It was hypothesised that hosting an IGC would stimulate increased, wide-scale interest in geoscience topics, which would be reflected in increased Google search rates for relevant keywords coincident with an IGC.</w:t>
      </w:r>
    </w:p>
    <w:p w:rsidR="00C93401" w:rsidRPr="00B93B48" w:rsidRDefault="00C93401" w:rsidP="00C93401">
      <w:pPr>
        <w:pStyle w:val="BodyText"/>
      </w:pPr>
      <w:r w:rsidRPr="00B93B48">
        <w:t xml:space="preserve">It is important to recognise that Google Insights provides a relative search volume index which is normalised to correct for the increased usage of the internet and Google searches over time. Put simply, the data tracks the number of searches for a particular term, relative to the total number of Google searches over time. In this example, the results have been filtered by location so the data represents the relative interest in Norway. In some cases it was necessary to use search terms in Norwegian to record sufficient traffic to construct the plots. This indicates that the demographic that the data probes includes a significant population of Norwegian locals. </w:t>
      </w:r>
    </w:p>
    <w:p w:rsidR="00C93401" w:rsidRPr="00B93B48" w:rsidRDefault="00B9345D" w:rsidP="00C93401">
      <w:pPr>
        <w:pStyle w:val="BodyText"/>
      </w:pPr>
      <w:r w:rsidRPr="00B9345D">
        <w:fldChar w:fldCharType="begin"/>
      </w:r>
      <w:r w:rsidRPr="00B9345D">
        <w:instrText xml:space="preserve"> REF _Ref349029334 \h  \* MERGEFORMAT </w:instrText>
      </w:r>
      <w:r w:rsidRPr="00B9345D">
        <w:fldChar w:fldCharType="separate"/>
      </w:r>
      <w:r w:rsidR="00EB5AC4" w:rsidRPr="00EB5AC4">
        <w:t>Figure 2.4</w:t>
      </w:r>
      <w:r w:rsidRPr="00B9345D">
        <w:fldChar w:fldCharType="end"/>
      </w:r>
      <w:r>
        <w:t xml:space="preserve"> </w:t>
      </w:r>
      <w:r w:rsidR="00C93401" w:rsidRPr="00B93B48">
        <w:t>gives the results of these searches and shows some evidence that hosting the 33</w:t>
      </w:r>
      <w:r w:rsidR="00C93401" w:rsidRPr="00207DA1">
        <w:rPr>
          <w:rStyle w:val="Superscript"/>
        </w:rPr>
        <w:t>rd</w:t>
      </w:r>
      <w:r w:rsidR="00C93401" w:rsidRPr="00B93B48">
        <w:t xml:space="preserve"> IGC led to an increased broad scale engagement with earth science topics. The use of the search term ‘geologi’ was approximately constant over the entire period of interest and provides a baseline for comparison with search terms specifically related to 33</w:t>
      </w:r>
      <w:r w:rsidR="00C93401" w:rsidRPr="00207DA1">
        <w:rPr>
          <w:rStyle w:val="Superscript"/>
        </w:rPr>
        <w:t>rd</w:t>
      </w:r>
      <w:r w:rsidR="00C93401" w:rsidRPr="00B93B48">
        <w:t xml:space="preserve"> IGC symposia. Interest in ‘geoscience’ peaked sharply in the month of the conference (August), though the interest was not sustained beyond this period. Norwegian interest in groundwater and permafrost follow similar trajectories, increasing in the months preceding the 33</w:t>
      </w:r>
      <w:r w:rsidR="00C93401" w:rsidRPr="00207DA1">
        <w:rPr>
          <w:rStyle w:val="Superscript"/>
        </w:rPr>
        <w:t>rd</w:t>
      </w:r>
      <w:r w:rsidR="00C93401" w:rsidRPr="00B93B48">
        <w:t xml:space="preserve"> IGC and remaining strong (with a slight tail off) to the present. This trend is likely because sub-permafrost groundwater is</w:t>
      </w:r>
      <w:r w:rsidR="00C93401">
        <w:t xml:space="preserve"> a topic of interest in Norway.</w:t>
      </w:r>
    </w:p>
    <w:p w:rsidR="00C93401" w:rsidRPr="00B93B48" w:rsidRDefault="00823BA5" w:rsidP="00AD0DF8">
      <w:pPr>
        <w:pStyle w:val="Figuresandimagescentred"/>
      </w:pPr>
      <w:r>
        <w:rPr>
          <w:noProof/>
        </w:rPr>
        <w:lastRenderedPageBreak/>
        <w:drawing>
          <wp:inline distT="0" distB="0" distL="0" distR="0" wp14:anchorId="3F0CD409" wp14:editId="6A2F2D11">
            <wp:extent cx="5382768" cy="7245096"/>
            <wp:effectExtent l="0" t="0" r="8890" b="0"/>
            <wp:docPr id="44" name="Picture 44" descr="This figure contains five time-series showing Norwegian public interest in several topics of import at the 33rd IGC. The time-series are titled “a. Geoscience”, “b. Grunvann (Norwegian for Groundwater)”, “c. Permafrost (same spelling English and Norwegian)”, “d. Baerekraft (Norwegian for Sustainability)” and “e. Geologi (Norwegian for Geology)”.&#10;&#10;The horizontal axis in each time-series is labelled “Year”. For figure a; the horizontal axis goes from mid-2007 to 2012 in one-year increments. For figure’s b to e; the horizontal axis goes from 2004 to mid-2012.&#10;The vertical axis is the same for figure’s a to e. It is labelled “Search volume index”, going from 0 to 100 in 20 unit increments. It represents the number of times the keyword has been searched in Norway each month relative to the maximum over the period of interest. This is based on data sourced from Google Insights.&#10;&#10;The approximate timing of the 33rd IGC has been highlighted on each figure.&#10;&#10;In figure a, Geoscience, the time-series remains at 0 until mid-2011, where it increases to a plateau of 40, The maximum (100) occurs as a sharp peak in the month of the 33rd IGC in 2008. &#10;&#10;In figure b, Grunvann, the time-series remains at 0 until early-2008, where it increases to 40 and slowly drops to 20 by mid-2012. The maximum occurs as a sharp peak in late-2006, with another peak of 60 in late-2007.&#10;&#10;In figure c, Permafrost, the time-series remains at 0 until late-2008, where it increases to above 50 until mid-2010, where it drops to between 20 and 40 until mid-2012. The maximum occurs as a sharp peak in late-2008, with another strong peak during mid-2009.&#10;&#10;In figure d, Baerekraft, the time-series remains at 0 for most of the months. Several isolated periods of interest exist. The first is the maximum, occurring as a sharp peak in late-2008. From mid-2009 to 2010 is a broad peak is of roughly 80. From mid-2010 to 2011 a broad peak of roughly 60. From mid-2011 to mid-2012 a broad peak of roughly 60.&#10;&#10;In figure e, Geologi, the time-series remains at 0 until mid-2005, where it increases to sharp maximum peak before dropping down to between20 and 40 until mid-201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806-2_4b_27Fe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82768" cy="7245096"/>
                    </a:xfrm>
                    <a:prstGeom prst="rect">
                      <a:avLst/>
                    </a:prstGeom>
                  </pic:spPr>
                </pic:pic>
              </a:graphicData>
            </a:graphic>
          </wp:inline>
        </w:drawing>
      </w:r>
    </w:p>
    <w:p w:rsidR="00C93401" w:rsidRPr="00D63299" w:rsidRDefault="00C93401" w:rsidP="00C93401">
      <w:pPr>
        <w:pStyle w:val="Caption"/>
      </w:pPr>
      <w:bookmarkStart w:id="145" w:name="_Ref349029334"/>
      <w:bookmarkStart w:id="146" w:name="_Ref349029329"/>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2</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4</w:t>
      </w:r>
      <w:r w:rsidRPr="00D27C1C">
        <w:rPr>
          <w:rStyle w:val="Strong"/>
        </w:rPr>
        <w:fldChar w:fldCharType="end"/>
      </w:r>
      <w:bookmarkEnd w:id="145"/>
      <w:r w:rsidRPr="00356CC4">
        <w:rPr>
          <w:rStyle w:val="Bold"/>
        </w:rPr>
        <w:t xml:space="preserve">: </w:t>
      </w:r>
      <w:r>
        <w:t>Google I</w:t>
      </w:r>
      <w:r w:rsidRPr="00D63299">
        <w:t>nsights data for search queries originating in Norway on topics related to Symposia of the 33</w:t>
      </w:r>
      <w:r w:rsidRPr="00207DA1">
        <w:rPr>
          <w:rStyle w:val="Superscript"/>
        </w:rPr>
        <w:t>rd</w:t>
      </w:r>
      <w:r w:rsidRPr="00D63299">
        <w:t xml:space="preserve"> IGC held in Oslo in August 2008. The plots are annotated with the corresponding search terms. Note the change in horizontal scales.</w:t>
      </w:r>
      <w:bookmarkEnd w:id="146"/>
    </w:p>
    <w:p w:rsidR="00007801" w:rsidRDefault="00007801">
      <w:pPr>
        <w:spacing w:before="0" w:after="0" w:line="240" w:lineRule="auto"/>
        <w:rPr>
          <w:rFonts w:cs="Arial"/>
        </w:rPr>
      </w:pPr>
      <w:r>
        <w:br w:type="page"/>
      </w:r>
    </w:p>
    <w:p w:rsidR="00C93401" w:rsidRPr="00B93B48" w:rsidRDefault="00B9345D" w:rsidP="00C93401">
      <w:pPr>
        <w:pStyle w:val="BodyText"/>
      </w:pPr>
      <w:r w:rsidRPr="00B9345D">
        <w:lastRenderedPageBreak/>
        <w:fldChar w:fldCharType="begin"/>
      </w:r>
      <w:r w:rsidRPr="00B9345D">
        <w:instrText xml:space="preserve"> REF _Ref349029334 \h </w:instrText>
      </w:r>
      <w:r>
        <w:instrText xml:space="preserve"> \* MERGEFORMAT </w:instrText>
      </w:r>
      <w:r w:rsidRPr="00B9345D">
        <w:fldChar w:fldCharType="separate"/>
      </w:r>
      <w:r w:rsidR="00EB5AC4" w:rsidRPr="00EB5AC4">
        <w:t>Figure 2.4</w:t>
      </w:r>
      <w:r w:rsidRPr="00B9345D">
        <w:fldChar w:fldCharType="end"/>
      </w:r>
      <w:r w:rsidRPr="00B9345D">
        <w:t>d</w:t>
      </w:r>
      <w:r>
        <w:t xml:space="preserve"> </w:t>
      </w:r>
      <w:r w:rsidR="00C93401" w:rsidRPr="00B93B48">
        <w:t>also shows that there was very strong interest in sustainability (‘bærekraft’) around the month of the 33</w:t>
      </w:r>
      <w:r w:rsidR="00C93401" w:rsidRPr="00207DA1">
        <w:rPr>
          <w:rStyle w:val="Superscript"/>
        </w:rPr>
        <w:t>rd</w:t>
      </w:r>
      <w:r w:rsidR="00C93401" w:rsidRPr="00B93B48">
        <w:t xml:space="preserve"> IGC, which then dropped off, before picking up again in 2009. This second peak in sustainability may have been related to the United Nations Framework Convention on Climate Change (UNFCCC) held in Copenhagen in December 2009. If this was the cause, then the 33</w:t>
      </w:r>
      <w:r w:rsidR="00C93401" w:rsidRPr="00207DA1">
        <w:rPr>
          <w:rStyle w:val="Superscript"/>
        </w:rPr>
        <w:t>rd</w:t>
      </w:r>
      <w:r w:rsidR="00C93401" w:rsidRPr="00B93B48">
        <w:t xml:space="preserve"> IGC appeared to produce an increase in public engagement of similar magnitude to the UNFCCC, though the interest generated from that conference was more sustained and was indicative of a greater total influence.</w:t>
      </w:r>
    </w:p>
    <w:p w:rsidR="00C93401" w:rsidRPr="00B93B48" w:rsidRDefault="00C93401" w:rsidP="00C93401">
      <w:pPr>
        <w:pStyle w:val="BodyText"/>
      </w:pPr>
      <w:r w:rsidRPr="00B93B48">
        <w:t>When these same Google Insights search terms were repeated on a global scale to get an idea of international public exposure to issues presented at the 33</w:t>
      </w:r>
      <w:r w:rsidRPr="00207DA1">
        <w:rPr>
          <w:rStyle w:val="Superscript"/>
        </w:rPr>
        <w:t>rd</w:t>
      </w:r>
      <w:r w:rsidRPr="00B93B48">
        <w:t xml:space="preserve"> IGC, only a static baseline was observed. This is a limitation of Google Insights, because the relative number of times these terms were searched globally is very small relative to the total number of Google searches for that period.</w:t>
      </w:r>
    </w:p>
    <w:p w:rsidR="00C93401" w:rsidRDefault="00C93401" w:rsidP="00C93401">
      <w:pPr>
        <w:pStyle w:val="Heading3"/>
      </w:pPr>
      <w:bookmarkStart w:id="147" w:name="_Toc336271079"/>
      <w:bookmarkStart w:id="148" w:name="_Toc353282026"/>
      <w:bookmarkStart w:id="149" w:name="_Toc355274238"/>
      <w:r>
        <w:t>Public Awareness for Australia</w:t>
      </w:r>
      <w:bookmarkEnd w:id="147"/>
      <w:bookmarkEnd w:id="148"/>
      <w:bookmarkEnd w:id="149"/>
    </w:p>
    <w:p w:rsidR="00C93401" w:rsidRPr="00B93B48" w:rsidRDefault="00C93401" w:rsidP="00C93401">
      <w:pPr>
        <w:pStyle w:val="BodyText"/>
      </w:pPr>
      <w:r w:rsidRPr="00B93B48">
        <w:t>“</w:t>
      </w:r>
      <w:r w:rsidRPr="00F97A37">
        <w:rPr>
          <w:rStyle w:val="Bodytextitalic"/>
        </w:rPr>
        <w:t>Iain Stewart believes that the secret to sparking public interest in geology is to tell compelling stories with a human element that will captivate an audience.</w:t>
      </w:r>
      <w:r w:rsidRPr="00B93B48">
        <w:t>”</w:t>
      </w:r>
    </w:p>
    <w:p w:rsidR="00C93401" w:rsidRPr="00356CC4" w:rsidRDefault="00C93401" w:rsidP="00C93401">
      <w:pPr>
        <w:pStyle w:val="BodyText"/>
        <w:rPr>
          <w:rStyle w:val="Bold"/>
        </w:rPr>
      </w:pPr>
      <w:r w:rsidRPr="00356CC4">
        <w:rPr>
          <w:rStyle w:val="Bold"/>
        </w:rPr>
        <w:t>The Courier-Mail, Anthony Marx (4 August, 2012)</w:t>
      </w:r>
    </w:p>
    <w:p w:rsidR="00C93401" w:rsidRPr="003A2F94" w:rsidRDefault="00C93401" w:rsidP="00C93401">
      <w:pPr>
        <w:pStyle w:val="BodyText"/>
      </w:pPr>
      <w:r w:rsidRPr="003A2F94">
        <w:t>The 34</w:t>
      </w:r>
      <w:r w:rsidRPr="000B3A04">
        <w:rPr>
          <w:rStyle w:val="Superscript"/>
        </w:rPr>
        <w:t>th</w:t>
      </w:r>
      <w:r w:rsidRPr="003A2F94">
        <w:t xml:space="preserve"> IGC attracted extensive media coverage, both domestically and internationally. This was a boon for the advertisement of the conference itself; however the media failed to engage in the type of dialogue encouraged by Iain Stewart (Marx, 2012a) and was therefore limited in its ability to increase the broader public interest in geology and the geosciences.</w:t>
      </w:r>
    </w:p>
    <w:p w:rsidR="00C93401" w:rsidRPr="003A2F94" w:rsidRDefault="00C93401" w:rsidP="00C93401">
      <w:pPr>
        <w:pStyle w:val="BodyText"/>
      </w:pPr>
      <w:r w:rsidRPr="003A2F94">
        <w:t>Analysis of the nature and structure of media articles, particularly those in the main-stream media, highlight that the key narratives revolved around; the prestige of hosting the event, the 34</w:t>
      </w:r>
      <w:r w:rsidRPr="000B3A04">
        <w:rPr>
          <w:rStyle w:val="Superscript"/>
        </w:rPr>
        <w:t>th</w:t>
      </w:r>
      <w:r w:rsidRPr="003A2F94">
        <w:t xml:space="preserve"> IGC as a prelude to hosting the G20 summit, the financial boost to the local economy, and the resource needs of China. In this respect, most people’s exposure to the 34</w:t>
      </w:r>
      <w:r w:rsidRPr="000B3A04">
        <w:rPr>
          <w:rStyle w:val="Superscript"/>
        </w:rPr>
        <w:t>th</w:t>
      </w:r>
      <w:r w:rsidRPr="003A2F94">
        <w:t xml:space="preserve"> IGC revolved around the economics and image of the congress rather than the science being discussed.</w:t>
      </w:r>
    </w:p>
    <w:p w:rsidR="00C93401" w:rsidRPr="003A2F94" w:rsidRDefault="00C93401" w:rsidP="00C93401">
      <w:pPr>
        <w:pStyle w:val="BodyText"/>
      </w:pPr>
      <w:r w:rsidRPr="003A2F94">
        <w:t>If Iain Stewart’s comments are correct, then the nature of the 34</w:t>
      </w:r>
      <w:r w:rsidRPr="000B3A04">
        <w:rPr>
          <w:rStyle w:val="Superscript"/>
        </w:rPr>
        <w:t>th</w:t>
      </w:r>
      <w:r w:rsidRPr="003A2F94">
        <w:t xml:space="preserve"> IGC media coverage will mean that there has been only a very limit impact on public interest in the geosciences in Australia. This is reflected in data from Google Insights when localised to reflect Australian society. The long-term trends, from 2004 to present, for terms such as ‘geoscience’ show no measureable increase in public interest as a result of Australia hosting the 34</w:t>
      </w:r>
      <w:r w:rsidRPr="000B3A04">
        <w:rPr>
          <w:rStyle w:val="Superscript"/>
        </w:rPr>
        <w:t>th</w:t>
      </w:r>
      <w:r w:rsidRPr="003A2F94">
        <w:t xml:space="preserve"> IGC (</w:t>
      </w:r>
      <w:r w:rsidRPr="00580C8A">
        <w:fldChar w:fldCharType="begin"/>
      </w:r>
      <w:r w:rsidRPr="00580C8A">
        <w:instrText xml:space="preserve"> REF _Ref337127224 \h  \* MERGEFORMAT </w:instrText>
      </w:r>
      <w:r w:rsidRPr="00580C8A">
        <w:fldChar w:fldCharType="separate"/>
      </w:r>
      <w:r w:rsidR="00EB5AC4" w:rsidRPr="00580C8A">
        <w:t>Figure 2.5</w:t>
      </w:r>
      <w:r w:rsidRPr="00580C8A">
        <w:fldChar w:fldCharType="end"/>
      </w:r>
      <w:r w:rsidRPr="003A2F94">
        <w:t xml:space="preserve">). While initial analysis </w:t>
      </w:r>
      <w:r w:rsidRPr="00580C8A">
        <w:t xml:space="preserve">of </w:t>
      </w:r>
      <w:r w:rsidRPr="00580C8A">
        <w:fldChar w:fldCharType="begin"/>
      </w:r>
      <w:r w:rsidRPr="00580C8A">
        <w:instrText xml:space="preserve"> REF _Ref337127224 \h  \* MERGEFORMAT </w:instrText>
      </w:r>
      <w:r w:rsidRPr="00580C8A">
        <w:fldChar w:fldCharType="separate"/>
      </w:r>
      <w:r w:rsidR="00EB5AC4" w:rsidRPr="00580C8A">
        <w:t>Figure 2.5</w:t>
      </w:r>
      <w:r w:rsidRPr="00580C8A">
        <w:fldChar w:fldCharType="end"/>
      </w:r>
      <w:r w:rsidRPr="00580C8A">
        <w:t>a</w:t>
      </w:r>
      <w:r w:rsidRPr="003A2F94">
        <w:t xml:space="preserve"> shows a significant spike in interest around the 34</w:t>
      </w:r>
      <w:r w:rsidRPr="000B3A04">
        <w:rPr>
          <w:rStyle w:val="Superscript"/>
        </w:rPr>
        <w:t>th</w:t>
      </w:r>
      <w:r w:rsidRPr="003A2F94">
        <w:t xml:space="preserve"> IGC (point</w:t>
      </w:r>
      <w:r w:rsidR="00580C8A">
        <w:t> </w:t>
      </w:r>
      <w:r w:rsidRPr="003A2F94">
        <w:t>#1), closer inspection reveals that this is actually the coincident with the 19 June 2012 Gippsland earthquake (Geoscience Australia, 2012). This is further supported by analysis of peak-interest points #2 and #3, which are coincident with the 6 March 2009 Melbourne earthquake (Geoscience Australia, 2009) and the 2 April 2007 Solomon Islands tsunami (Geoscience Australia, 2011). These compelling events, with direct human impacts, are much more effective at generating public interest.</w:t>
      </w:r>
    </w:p>
    <w:p w:rsidR="00C93401" w:rsidRDefault="00823BA5" w:rsidP="00AD0DF8">
      <w:pPr>
        <w:pStyle w:val="Figuresandimagescentred"/>
      </w:pPr>
      <w:r>
        <w:rPr>
          <w:noProof/>
        </w:rPr>
        <w:lastRenderedPageBreak/>
        <w:drawing>
          <wp:inline distT="0" distB="0" distL="0" distR="0" wp14:anchorId="2EE0D02D" wp14:editId="019F1083">
            <wp:extent cx="5382768" cy="2962656"/>
            <wp:effectExtent l="0" t="0" r="8890" b="9525"/>
            <wp:docPr id="43" name="Picture 43" descr="This figure contains two time-series showing Australian public interest in a. “geoscience” and b. “earth science”. The horizontal axis in each time-series is labelled “Year”, going from 2004 to mid-2012 in one-year increments. The vertical axis in each time-series is labelled “Search volume index”, going from 0 to 100 in 20 unit increments. It represents the number of times the keyword has been searched in Australia each month relative to the maximum over the period of interest. This is based on data sourced from Google Insights.&#10;&#10;Figure a, “geoscience”, has three peaks above a baseline ranging from 20 to 40. These occur respectively as a small peak in mid-2007 labelled #3, sharp maximum peak in early-2009 labelled #2, and sharp peak near 90 in mid-2012 labelled #1.&#10;&#10;In figure b, “earth science”, interest has much higher variability between months, with a baseline of roughly 60 for 2004 and 2005, dropping to a baseline of roughly 40 from 2006 to 2012. The maximum occurs as a broad peak during mid-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806-2_5b_27Feb.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82768" cy="2962656"/>
                    </a:xfrm>
                    <a:prstGeom prst="rect">
                      <a:avLst/>
                    </a:prstGeom>
                  </pic:spPr>
                </pic:pic>
              </a:graphicData>
            </a:graphic>
          </wp:inline>
        </w:drawing>
      </w:r>
    </w:p>
    <w:p w:rsidR="00C93401" w:rsidRDefault="00C93401" w:rsidP="00C93401">
      <w:pPr>
        <w:pStyle w:val="Caption"/>
      </w:pPr>
      <w:bookmarkStart w:id="150" w:name="_Ref337127224"/>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2</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5</w:t>
      </w:r>
      <w:r w:rsidRPr="00D27C1C">
        <w:rPr>
          <w:rStyle w:val="Strong"/>
        </w:rPr>
        <w:fldChar w:fldCharType="end"/>
      </w:r>
      <w:bookmarkEnd w:id="150"/>
      <w:r w:rsidRPr="00356CC4">
        <w:rPr>
          <w:rStyle w:val="Bold"/>
        </w:rPr>
        <w:t>:</w:t>
      </w:r>
      <w:r w:rsidRPr="003A2F94">
        <w:t xml:space="preserve"> </w:t>
      </w:r>
      <w:r w:rsidRPr="00D63299">
        <w:t xml:space="preserve">Google Insights data </w:t>
      </w:r>
      <w:r w:rsidR="00D64715">
        <w:t xml:space="preserve">for search queries originating in Australia, </w:t>
      </w:r>
      <w:r w:rsidRPr="00D63299">
        <w:t>showing the relative interest</w:t>
      </w:r>
      <w:r>
        <w:t xml:space="preserve"> in search terms through time. a</w:t>
      </w:r>
      <w:r w:rsidRPr="00D63299">
        <w:t xml:space="preserve">) Shows searches related to ‘geoscience’. The points </w:t>
      </w:r>
      <w:r>
        <w:t>#</w:t>
      </w:r>
      <w:r w:rsidRPr="00D63299">
        <w:t xml:space="preserve">1, </w:t>
      </w:r>
      <w:r>
        <w:t>#</w:t>
      </w:r>
      <w:r w:rsidRPr="00D63299">
        <w:t xml:space="preserve">2 and </w:t>
      </w:r>
      <w:r>
        <w:t>#</w:t>
      </w:r>
      <w:r w:rsidRPr="00D63299">
        <w:t xml:space="preserve">3 highlight </w:t>
      </w:r>
      <w:r>
        <w:t>peak-interest periods corresponding to local seismic activity. b</w:t>
      </w:r>
      <w:r w:rsidRPr="00D63299">
        <w:t>) Shows searches related to ‘earth science’.</w:t>
      </w:r>
    </w:p>
    <w:p w:rsidR="00C93401" w:rsidRDefault="00C93401" w:rsidP="00C93401">
      <w:pPr>
        <w:pStyle w:val="Heading2"/>
      </w:pPr>
      <w:bookmarkStart w:id="151" w:name="_Toc336271080"/>
      <w:bookmarkStart w:id="152" w:name="_Toc353282027"/>
      <w:bookmarkStart w:id="153" w:name="_Toc355274239"/>
      <w:r>
        <w:t xml:space="preserve">Sponsorship and GeoExpo </w:t>
      </w:r>
      <w:bookmarkEnd w:id="151"/>
      <w:r>
        <w:t>Exhibitor Demographics</w:t>
      </w:r>
      <w:bookmarkEnd w:id="152"/>
      <w:bookmarkEnd w:id="153"/>
    </w:p>
    <w:p w:rsidR="00C93401" w:rsidRPr="00B93B48" w:rsidRDefault="00C93401" w:rsidP="00C93401">
      <w:pPr>
        <w:pStyle w:val="BodyText"/>
      </w:pPr>
      <w:r w:rsidRPr="00B93B48">
        <w:t xml:space="preserve">GeoExpo utilises a trade-show style with exhibitor booths; it has formed a central hub of the past three Congresses. </w:t>
      </w:r>
      <w:r w:rsidRPr="00B93B48">
        <w:fldChar w:fldCharType="begin"/>
      </w:r>
      <w:r w:rsidRPr="00B93B48">
        <w:instrText xml:space="preserve"> REF _Ref337127442 \h  \* MERGEFORMAT </w:instrText>
      </w:r>
      <w:r w:rsidRPr="00B93B48">
        <w:fldChar w:fldCharType="separate"/>
      </w:r>
      <w:r w:rsidR="00EB5AC4" w:rsidRPr="00EB5AC4">
        <w:t>Figure 2.6</w:t>
      </w:r>
      <w:r w:rsidRPr="00B93B48">
        <w:fldChar w:fldCharType="end"/>
      </w:r>
      <w:r w:rsidRPr="00B93B48">
        <w:t xml:space="preserve"> shows and analysis of both the number and categories of exhibitors over the past three IGCs. Firstly, it is notable that there is a marked increase in popularity of the GeoExpo for the 34</w:t>
      </w:r>
      <w:r w:rsidRPr="000B3A04">
        <w:rPr>
          <w:rStyle w:val="Superscript"/>
        </w:rPr>
        <w:t>th</w:t>
      </w:r>
      <w:r w:rsidRPr="00B93B48">
        <w:t xml:space="preserve"> IGC, with booth entries increasing from ~90 for the 32</w:t>
      </w:r>
      <w:r w:rsidRPr="00207DA1">
        <w:rPr>
          <w:rStyle w:val="Superscript"/>
        </w:rPr>
        <w:t>nd</w:t>
      </w:r>
      <w:r w:rsidRPr="00B93B48">
        <w:t xml:space="preserve"> and 33</w:t>
      </w:r>
      <w:r w:rsidRPr="00207DA1">
        <w:rPr>
          <w:rStyle w:val="Superscript"/>
        </w:rPr>
        <w:t>rd</w:t>
      </w:r>
      <w:r w:rsidRPr="00B93B48">
        <w:t xml:space="preserve"> IGCs to 140 for the 34</w:t>
      </w:r>
      <w:r w:rsidRPr="000B3A04">
        <w:rPr>
          <w:rStyle w:val="Superscript"/>
        </w:rPr>
        <w:t>th</w:t>
      </w:r>
      <w:r w:rsidRPr="00B93B48">
        <w:t xml:space="preserve"> IGC. Considering this was the largest GeoExpo in IGC history, it was apparent that many organisations considered their presence at the 34</w:t>
      </w:r>
      <w:r w:rsidRPr="000B3A04">
        <w:rPr>
          <w:rStyle w:val="Superscript"/>
        </w:rPr>
        <w:t>th</w:t>
      </w:r>
      <w:r w:rsidRPr="00B93B48">
        <w:t xml:space="preserve"> IGC important and valuable. Categorising the booths under the fields of industry, research and government highlights the shift in stakeholder priorities and economic climate between the last three IGCs. The 32</w:t>
      </w:r>
      <w:r w:rsidRPr="00207DA1">
        <w:rPr>
          <w:rStyle w:val="Superscript"/>
        </w:rPr>
        <w:t>nd</w:t>
      </w:r>
      <w:r w:rsidRPr="00B93B48">
        <w:t xml:space="preserve"> IGC was principally sponsored by Italian Government institutions within the European Union (IUGS, 2004) and is reflected by the large proportion of government booths (50%). For the 33</w:t>
      </w:r>
      <w:r w:rsidRPr="00207DA1">
        <w:rPr>
          <w:rStyle w:val="Superscript"/>
        </w:rPr>
        <w:t>rd</w:t>
      </w:r>
      <w:r w:rsidRPr="00B93B48">
        <w:t xml:space="preserve"> IGC, over 50% of sponsor contributions came from industry as well as significant support from Norwegian Government and Norwegian research bodies (IUGS, 2008). This was demonstrated in the even split between the research, government and industry booths at the 2008 GeoExpo. The 34</w:t>
      </w:r>
      <w:r w:rsidRPr="000B3A04">
        <w:rPr>
          <w:rStyle w:val="Superscript"/>
        </w:rPr>
        <w:t>th</w:t>
      </w:r>
      <w:r w:rsidRPr="00B93B48">
        <w:t xml:space="preserve"> IGC was primarily sponsored by industry which was exemplified by the proportion of industry booths in the GeoExpo (52%). The high industry presence largely reflected the economic situation in Australia, particularly the ‘mining boom’ of the time. Anecdotally, a boost in industry support for the 34</w:t>
      </w:r>
      <w:r w:rsidRPr="000B3A04">
        <w:rPr>
          <w:rStyle w:val="Superscript"/>
        </w:rPr>
        <w:t>th</w:t>
      </w:r>
      <w:r w:rsidRPr="00B93B48">
        <w:t xml:space="preserve"> IGC has been attributed to a large advertisement that was placed in the luggage collection area at Perth airport, Western Australia, which is used frequently by fly-in-fly-out workers. After the advertisement was placed there was a large spike in exhibitor applications for the GeoExpo.</w:t>
      </w:r>
    </w:p>
    <w:p w:rsidR="00C93401" w:rsidRPr="00B93B48" w:rsidRDefault="00C93401" w:rsidP="00C93401">
      <w:pPr>
        <w:pStyle w:val="BodyText"/>
      </w:pPr>
      <w:r w:rsidRPr="00B93B48">
        <w:t>A survey was conducted on</w:t>
      </w:r>
      <w:r w:rsidR="00602511">
        <w:t xml:space="preserve"> </w:t>
      </w:r>
      <w:r w:rsidRPr="00B93B48">
        <w:t>10 booths at the 34</w:t>
      </w:r>
      <w:r w:rsidRPr="000B3A04">
        <w:rPr>
          <w:rStyle w:val="Superscript"/>
        </w:rPr>
        <w:t>th</w:t>
      </w:r>
      <w:r w:rsidRPr="00B93B48">
        <w:t xml:space="preserve"> IGC to investigate; the exhibitor’s motivations for supporting and attending the 34</w:t>
      </w:r>
      <w:r w:rsidRPr="000B3A04">
        <w:rPr>
          <w:rStyle w:val="Superscript"/>
        </w:rPr>
        <w:t>th</w:t>
      </w:r>
      <w:r w:rsidRPr="00B93B48">
        <w:t xml:space="preserve"> IGC, and what impacts they envisaged for their organisation as a result of their involvement. The responses followed a recurring theme, though it should be noted that the staff manning the booths often had limited ability to comment on the true motivations of the organisation which may not have been accurately reflected by the survey.</w:t>
      </w:r>
    </w:p>
    <w:p w:rsidR="00C93401" w:rsidRPr="00BA3951" w:rsidRDefault="00296658" w:rsidP="00AD0DF8">
      <w:pPr>
        <w:pStyle w:val="Figuresandimagescentred"/>
      </w:pPr>
      <w:r>
        <w:rPr>
          <w:noProof/>
        </w:rPr>
        <w:lastRenderedPageBreak/>
        <w:drawing>
          <wp:inline distT="0" distB="0" distL="0" distR="0" wp14:anchorId="4E4933FA" wp14:editId="695BD51C">
            <wp:extent cx="5400675" cy="2362200"/>
            <wp:effectExtent l="0" t="0" r="0" b="0"/>
            <wp:docPr id="13" name="Picture 13" descr="This figure contains three pie charts showing the breakdown of booths into research, government and industry at the last three GeoExpos; a) 2004, b) 2008, and c) 2012.&#10;&#10;In figure a, 2004, government organisations make up half of the booths, with 2/3s of the remaining booths held by research groups and the rest by industry.&#10;&#10;In figure b, 2008, there is a roughly even split between government, research and industry.&#10;&#10;In figure c, 2012, industry make up just over half of the booths, with research slightly exceeding government for the remaining booths.&#10;&#10;The data are summarised in the following table: &#10;&#10;GeoExpo Number of booths Booth Category by Percentage (%)&#10;  Government  Research  Industry &#10;2004 92 50 32 18&#10;2008 89 36 33 31&#10;2012 140 22 26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is figure contains three pie charts showing the breakdown of booths into research, government and industry at the last three GeoExpos; a) 2004, b) 2008, and c) 2012.&#10;&#10;In figure a, 2004, government organisations make up half of the booths, with 2/3s of the remaining booths held by research groups and the rest by industry.&#10;&#10;In figure b, 2008, there is a roughly even split between government, research and industry.&#10;&#10;In figure c, 2012, industry make up just over half of the booths, with research slightly exceeding government for the remaining booths.&#10;&#10;The data are summarised in the following table: &#10;&#10;GeoExpo Number of booths Booth Category by Percentage (%)&#10;  Government  Research  Industry &#10;2004 92 50 32 18&#10;2008 89 36 33 31&#10;2012 140 22 26 5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675" cy="2362200"/>
                    </a:xfrm>
                    <a:prstGeom prst="rect">
                      <a:avLst/>
                    </a:prstGeom>
                    <a:noFill/>
                    <a:ln>
                      <a:noFill/>
                    </a:ln>
                  </pic:spPr>
                </pic:pic>
              </a:graphicData>
            </a:graphic>
          </wp:inline>
        </w:drawing>
      </w:r>
    </w:p>
    <w:p w:rsidR="00C93401" w:rsidRPr="00D63299" w:rsidRDefault="00C93401" w:rsidP="00C93401">
      <w:pPr>
        <w:pStyle w:val="Caption"/>
      </w:pPr>
      <w:bookmarkStart w:id="154" w:name="_Ref337127442"/>
      <w:bookmarkStart w:id="155" w:name="_Toc336271035"/>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2</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6</w:t>
      </w:r>
      <w:r w:rsidRPr="00D27C1C">
        <w:rPr>
          <w:rStyle w:val="Strong"/>
        </w:rPr>
        <w:fldChar w:fldCharType="end"/>
      </w:r>
      <w:bookmarkEnd w:id="154"/>
      <w:r w:rsidRPr="00356CC4">
        <w:rPr>
          <w:rStyle w:val="Bold"/>
        </w:rPr>
        <w:t>:</w:t>
      </w:r>
      <w:r w:rsidRPr="003A2F94">
        <w:t xml:space="preserve"> </w:t>
      </w:r>
      <w:r w:rsidRPr="00D63299">
        <w:t xml:space="preserve">The break-down of booths at the GeoExpos for the </w:t>
      </w:r>
      <w:r>
        <w:t xml:space="preserve">a) </w:t>
      </w:r>
      <w:r w:rsidRPr="00D63299">
        <w:t>32</w:t>
      </w:r>
      <w:r w:rsidRPr="00207DA1">
        <w:rPr>
          <w:rStyle w:val="Superscript"/>
        </w:rPr>
        <w:t>nd</w:t>
      </w:r>
      <w:r w:rsidRPr="00D63299">
        <w:t xml:space="preserve">, </w:t>
      </w:r>
      <w:r>
        <w:t xml:space="preserve">b) </w:t>
      </w:r>
      <w:r w:rsidRPr="00D63299">
        <w:t>33</w:t>
      </w:r>
      <w:r w:rsidRPr="00207DA1">
        <w:rPr>
          <w:rStyle w:val="Superscript"/>
        </w:rPr>
        <w:t>rd</w:t>
      </w:r>
      <w:r w:rsidRPr="00D63299">
        <w:t xml:space="preserve"> and </w:t>
      </w:r>
      <w:r>
        <w:t xml:space="preserve">c) </w:t>
      </w:r>
      <w:r w:rsidRPr="00D63299">
        <w:t>34</w:t>
      </w:r>
      <w:r w:rsidRPr="000B3A04">
        <w:rPr>
          <w:rStyle w:val="Superscript"/>
        </w:rPr>
        <w:t>th</w:t>
      </w:r>
      <w:r w:rsidRPr="00D63299">
        <w:t xml:space="preserve"> IGCs.</w:t>
      </w:r>
      <w:bookmarkEnd w:id="155"/>
    </w:p>
    <w:p w:rsidR="00C93401" w:rsidRPr="00B93B48" w:rsidRDefault="00C93401" w:rsidP="00C93401">
      <w:pPr>
        <w:pStyle w:val="BodyText"/>
      </w:pPr>
      <w:r w:rsidRPr="00B93B48">
        <w:t>The primary motivation for exhibitors (common across industry, government and research) was that they saw the IGC as the premiere international geoscience event. Consequently, the 34</w:t>
      </w:r>
      <w:r w:rsidRPr="000B3A04">
        <w:rPr>
          <w:rStyle w:val="Superscript"/>
        </w:rPr>
        <w:t>th</w:t>
      </w:r>
      <w:r w:rsidRPr="00B93B48">
        <w:t xml:space="preserve"> IGC was used as a forum to promote brands and products, promote technological and research excellence, and to advertise in general. Another common response was that the exhibitors were interested in engaging with potential young employees at the conference. Several exhibitors expressed minor objectives of networking, making new contacts and meeting with clients to broker deals. In general, the larger industry booths, who also generally were major sponsors of the 34</w:t>
      </w:r>
      <w:r w:rsidRPr="000B3A04">
        <w:rPr>
          <w:rStyle w:val="Superscript"/>
        </w:rPr>
        <w:t>th</w:t>
      </w:r>
      <w:r w:rsidRPr="00B93B48">
        <w:t xml:space="preserve"> IGC, saw the conference as an opportunity to recruit fresh young minds for graduate programs or experienced professionals for consultant roles.</w:t>
      </w:r>
    </w:p>
    <w:p w:rsidR="00C93401" w:rsidRDefault="00C93401" w:rsidP="00C93401">
      <w:pPr>
        <w:pStyle w:val="Heading2"/>
      </w:pPr>
      <w:bookmarkStart w:id="156" w:name="_Toc336271081"/>
      <w:bookmarkStart w:id="157" w:name="_Toc353282028"/>
      <w:bookmarkStart w:id="158" w:name="_Toc355274240"/>
      <w:r>
        <w:t>Conclusions</w:t>
      </w:r>
      <w:bookmarkEnd w:id="156"/>
      <w:bookmarkEnd w:id="157"/>
      <w:bookmarkEnd w:id="158"/>
    </w:p>
    <w:p w:rsidR="00C93401" w:rsidRPr="00B93B48" w:rsidRDefault="00C93401" w:rsidP="00C93401">
      <w:pPr>
        <w:pStyle w:val="BodyText"/>
      </w:pPr>
      <w:r w:rsidRPr="00B93B48">
        <w:t>The focus of this chapter was to investigate national scale impacts that occur as a result of hosting an IGC, allowing direct or indirect inference of the expected impacts in Australia following the 34</w:t>
      </w:r>
      <w:r w:rsidRPr="000B3A04">
        <w:rPr>
          <w:rStyle w:val="Superscript"/>
        </w:rPr>
        <w:t>th</w:t>
      </w:r>
      <w:r w:rsidRPr="00B93B48">
        <w:t xml:space="preserve"> IGC held in Brisbane from 5</w:t>
      </w:r>
      <w:r w:rsidR="0096088F">
        <w:t xml:space="preserve"> to </w:t>
      </w:r>
      <w:r w:rsidRPr="00B93B48">
        <w:t>10 August 2012. A clear benefit related to hosting the 34</w:t>
      </w:r>
      <w:r w:rsidRPr="000B3A04">
        <w:rPr>
          <w:rStyle w:val="Superscript"/>
        </w:rPr>
        <w:t>th</w:t>
      </w:r>
      <w:r w:rsidRPr="00B93B48">
        <w:t xml:space="preserve"> IGC was increased tourism revenue, which appeared to be consistent across the last three IGCs. In other areas, including student dynamics and public awareness, beneficial impacts were identified in specific cases but were not consistent between IGCs. However, consideration of broad-scale political, economic and social factors may help to explain the disparity in impacts observed by different IGCs and support the hypothesis that impacts in Australia that have yet to be realised.</w:t>
      </w:r>
    </w:p>
    <w:p w:rsidR="00C93401" w:rsidRPr="00B93B48" w:rsidRDefault="00C93401" w:rsidP="00C93401">
      <w:pPr>
        <w:pStyle w:val="BodyText"/>
      </w:pPr>
      <w:r w:rsidRPr="00B93B48">
        <w:t>The positive impact of increased academic production by IGC host nations was visible at the national scale and consistent between IGCs, but relatively short-lived. In addition, despite evidence that networking and collaboration opportunities are important to delegates at the personal scale, no change to international collaboration was visible at the national scale. These observations hint that while some of the national scale impacts of hosting an IGC may only be visible for a short time, they may persist at the personal scale where they might still be crucially important. The 34</w:t>
      </w:r>
      <w:r w:rsidRPr="000B3A04">
        <w:rPr>
          <w:rStyle w:val="Superscript"/>
        </w:rPr>
        <w:t>th</w:t>
      </w:r>
      <w:r w:rsidRPr="00B93B48">
        <w:t xml:space="preserve"> IGC also was an effective forum for individual organisations or projects to promote their work to the wider geoscience community based on the case study of the ASTER Geoscience Map of Australia product launch and the GeoExpo exhibitor feedback.</w:t>
      </w:r>
    </w:p>
    <w:p w:rsidR="00C93401" w:rsidRDefault="00C93401" w:rsidP="00C93401">
      <w:pPr>
        <w:pStyle w:val="BodyText"/>
      </w:pPr>
      <w:r w:rsidRPr="00B93B48">
        <w:lastRenderedPageBreak/>
        <w:t>Hosting an IGC allows the host country to showcase the geology of its region to an international audience and to focus the conference themes on the issues that they consider most important. This process allows each IGC to be unique and may result in d</w:t>
      </w:r>
      <w:r>
        <w:t>iffering outcomes for each IGC.</w:t>
      </w:r>
    </w:p>
    <w:p w:rsidR="00C93401" w:rsidRDefault="00C93401" w:rsidP="00C93401">
      <w:pPr>
        <w:pStyle w:val="Heading2"/>
      </w:pPr>
      <w:bookmarkStart w:id="159" w:name="_Toc336271082"/>
      <w:bookmarkStart w:id="160" w:name="_Toc353282029"/>
      <w:bookmarkStart w:id="161" w:name="_Toc355274241"/>
      <w:r>
        <w:t>Recommendations</w:t>
      </w:r>
      <w:bookmarkEnd w:id="159"/>
      <w:bookmarkEnd w:id="160"/>
      <w:bookmarkEnd w:id="161"/>
    </w:p>
    <w:p w:rsidR="00C93401" w:rsidRPr="00B93B48" w:rsidRDefault="00C93401" w:rsidP="00C93401">
      <w:pPr>
        <w:pStyle w:val="BodyText"/>
      </w:pPr>
      <w:r w:rsidRPr="00B93B48">
        <w:t>With respect to the above, the following recommendations are made.</w:t>
      </w:r>
    </w:p>
    <w:p w:rsidR="00C93401" w:rsidRPr="00356CC4" w:rsidRDefault="00C93401" w:rsidP="00C93401">
      <w:pPr>
        <w:pStyle w:val="BodyText"/>
        <w:rPr>
          <w:rStyle w:val="Bold"/>
        </w:rPr>
      </w:pPr>
      <w:r w:rsidRPr="00356CC4">
        <w:rPr>
          <w:rStyle w:val="Bold"/>
        </w:rPr>
        <w:t>1) Tourism benefits should be noted</w:t>
      </w:r>
    </w:p>
    <w:p w:rsidR="00C93401" w:rsidRPr="00B93B48" w:rsidRDefault="00C93401" w:rsidP="00C93401">
      <w:pPr>
        <w:pStyle w:val="BodyText"/>
      </w:pPr>
      <w:r w:rsidRPr="00B93B48">
        <w:t>Tourism impacts should be considered during an IGC bidding, proposal and organising stages since it showed a consistent positive impact for IGC host nations.</w:t>
      </w:r>
    </w:p>
    <w:p w:rsidR="00C93401" w:rsidRPr="00356CC4" w:rsidRDefault="00C93401" w:rsidP="00C93401">
      <w:pPr>
        <w:pStyle w:val="BodyText"/>
        <w:rPr>
          <w:rStyle w:val="Bold"/>
        </w:rPr>
      </w:pPr>
      <w:r w:rsidRPr="00356CC4">
        <w:rPr>
          <w:rStyle w:val="Bold"/>
        </w:rPr>
        <w:t>2) Media is important for public awareness of the geosciences</w:t>
      </w:r>
    </w:p>
    <w:p w:rsidR="00C93401" w:rsidRPr="00B93B48" w:rsidRDefault="00C93401" w:rsidP="00C93401">
      <w:pPr>
        <w:pStyle w:val="BodyText"/>
      </w:pPr>
      <w:r w:rsidRPr="00B93B48">
        <w:t>Conferences such as the IGC could better influence public interest in the geosciences by focusing on how to control the media narrative around the event. Main-stream media tend to report on the socio-economic impacts of such events, but this type of dialogue fails to capture public interest in the underlying sciences.</w:t>
      </w:r>
    </w:p>
    <w:p w:rsidR="00C93401" w:rsidRPr="00356CC4" w:rsidRDefault="00C93401" w:rsidP="00C93401">
      <w:pPr>
        <w:pStyle w:val="BodyText"/>
        <w:rPr>
          <w:rStyle w:val="Bold"/>
        </w:rPr>
      </w:pPr>
      <w:r w:rsidRPr="00356CC4">
        <w:rPr>
          <w:rStyle w:val="Bold"/>
        </w:rPr>
        <w:t>3) Further assessment of national impacts</w:t>
      </w:r>
    </w:p>
    <w:p w:rsidR="00C93401" w:rsidRPr="00B93B48" w:rsidRDefault="00C93401" w:rsidP="00C93401">
      <w:pPr>
        <w:pStyle w:val="BodyText"/>
      </w:pPr>
      <w:r w:rsidRPr="00B93B48">
        <w:t>A more rigorous assessment could be performed if initiated earlier in the lifecycle of the conference. For example, a socioeconomic impact assessment, which generally requires extensive surveying of delegates, can take into account both economic and non-economic factors which play a part in the conference’s success and effectiveness (Severt et al., 2007).</w:t>
      </w:r>
    </w:p>
    <w:p w:rsidR="00C93401" w:rsidRPr="00356CC4" w:rsidRDefault="00C93401" w:rsidP="00C93401">
      <w:pPr>
        <w:pStyle w:val="BodyText"/>
        <w:rPr>
          <w:rStyle w:val="Bold"/>
        </w:rPr>
      </w:pPr>
      <w:r w:rsidRPr="00356CC4">
        <w:rPr>
          <w:rStyle w:val="Bold"/>
        </w:rPr>
        <w:t>4) Need to consider scales of impact</w:t>
      </w:r>
    </w:p>
    <w:p w:rsidR="00C93401" w:rsidRPr="00B93B48" w:rsidRDefault="00C93401" w:rsidP="00C93401">
      <w:pPr>
        <w:pStyle w:val="BodyText"/>
      </w:pPr>
      <w:r w:rsidRPr="00B93B48">
        <w:t>National-scale metrics, by themselves, are insufficient to assess the total impact of hosting an IGC, as factors which contribute to personal development may be very important at the micro-scale but may not up-scale to the national level.</w:t>
      </w:r>
    </w:p>
    <w:p w:rsidR="00C93401" w:rsidRPr="003A2F94" w:rsidRDefault="00C93401" w:rsidP="00C93401">
      <w:pPr>
        <w:pStyle w:val="Heading1"/>
      </w:pPr>
      <w:bookmarkStart w:id="162" w:name="_Toc353282030"/>
      <w:bookmarkStart w:id="163" w:name="_Toc355274242"/>
      <w:r w:rsidRPr="003A2F94">
        <w:lastRenderedPageBreak/>
        <w:t>Impacts</w:t>
      </w:r>
      <w:bookmarkEnd w:id="88"/>
      <w:r w:rsidRPr="003A2F94">
        <w:t xml:space="preserve"> for Geoscience Australia</w:t>
      </w:r>
      <w:bookmarkEnd w:id="162"/>
      <w:bookmarkEnd w:id="163"/>
    </w:p>
    <w:p w:rsidR="00C93401" w:rsidRDefault="00C93401" w:rsidP="00C93401">
      <w:pPr>
        <w:pStyle w:val="Heading2"/>
      </w:pPr>
      <w:bookmarkStart w:id="164" w:name="_Toc353282031"/>
      <w:bookmarkStart w:id="165" w:name="_Toc355274243"/>
      <w:r>
        <w:t>Introduction</w:t>
      </w:r>
      <w:bookmarkEnd w:id="164"/>
      <w:bookmarkEnd w:id="165"/>
    </w:p>
    <w:p w:rsidR="00C93401" w:rsidRPr="00B93B48" w:rsidRDefault="00C93401" w:rsidP="00C93401">
      <w:pPr>
        <w:pStyle w:val="BodyText"/>
      </w:pPr>
      <w:r w:rsidRPr="00B93B48">
        <w:t>The impacts of the 34</w:t>
      </w:r>
      <w:r w:rsidRPr="000B3A04">
        <w:rPr>
          <w:rStyle w:val="Superscript"/>
        </w:rPr>
        <w:t>th</w:t>
      </w:r>
      <w:r w:rsidRPr="00B93B48">
        <w:t xml:space="preserve"> IGC were analysed at both the organisational level and personal level through investigating GA’s role in promoting, organising and running the 34</w:t>
      </w:r>
      <w:r w:rsidRPr="000B3A04">
        <w:rPr>
          <w:rStyle w:val="Superscript"/>
        </w:rPr>
        <w:t>th</w:t>
      </w:r>
      <w:r w:rsidRPr="00B93B48">
        <w:t xml:space="preserve"> IGC in Brisbane. Geoscience Australia’s mission is to meet the geoscience needs of the nation and to use geoscientific information and knowledge for the economic, social and environmental benefit of Australia. As the leading provider of geological and geoscientific information for Australia, GA has undertaken an active role in the organisation and promotion of the 34</w:t>
      </w:r>
      <w:r w:rsidRPr="000B3A04">
        <w:rPr>
          <w:rStyle w:val="Superscript"/>
        </w:rPr>
        <w:t>th</w:t>
      </w:r>
      <w:r w:rsidRPr="00B93B48">
        <w:t xml:space="preserve"> IGC. As a government agency it is important for GA to assess and understand not only the true cost of the congress to the organisation, but also the benefits. Assessing the impact of GA’s involvement in the 34</w:t>
      </w:r>
      <w:r w:rsidRPr="000B3A04">
        <w:rPr>
          <w:rStyle w:val="Superscript"/>
        </w:rPr>
        <w:t>th</w:t>
      </w:r>
      <w:r w:rsidRPr="00B93B48">
        <w:t xml:space="preserve"> IGC is a broad question. The focus of this chapter is to gauge the investment involved in GA taking such an active role in the 34</w:t>
      </w:r>
      <w:r w:rsidRPr="000B3A04">
        <w:rPr>
          <w:rStyle w:val="Superscript"/>
        </w:rPr>
        <w:t>th</w:t>
      </w:r>
      <w:r w:rsidRPr="00B93B48">
        <w:t xml:space="preserve"> IGC, by discussing the impacts of the 34</w:t>
      </w:r>
      <w:r w:rsidRPr="000B3A04">
        <w:rPr>
          <w:rStyle w:val="Superscript"/>
        </w:rPr>
        <w:t>th</w:t>
      </w:r>
      <w:r w:rsidRPr="00B93B48">
        <w:t xml:space="preserve"> IGC for GA employees and the organisation as a whole (</w:t>
      </w:r>
      <w:r w:rsidR="004E7FC8" w:rsidRPr="004E7FC8">
        <w:fldChar w:fldCharType="begin"/>
      </w:r>
      <w:r w:rsidR="004E7FC8" w:rsidRPr="004E7FC8">
        <w:instrText xml:space="preserve"> REF _Ref353380293 \h </w:instrText>
      </w:r>
      <w:r w:rsidR="004E7FC8">
        <w:instrText xml:space="preserve"> \* MERGEFORMAT </w:instrText>
      </w:r>
      <w:r w:rsidR="004E7FC8" w:rsidRPr="004E7FC8">
        <w:fldChar w:fldCharType="separate"/>
      </w:r>
      <w:r w:rsidR="004E7FC8" w:rsidRPr="004E7FC8">
        <w:t>Table 3.1</w:t>
      </w:r>
      <w:r w:rsidR="004E7FC8" w:rsidRPr="004E7FC8">
        <w:fldChar w:fldCharType="end"/>
      </w:r>
      <w:r w:rsidRPr="00B93B48">
        <w:t>). The impacts were assessed in relation to GA’s vision outlined in the 2011-2014 Strategic Plan (Commonwealth of Australia, 2011) as follows:</w:t>
      </w:r>
    </w:p>
    <w:p w:rsidR="00C93401" w:rsidRPr="00B93B48" w:rsidRDefault="00C93401" w:rsidP="00C93401">
      <w:pPr>
        <w:pStyle w:val="Bulletlevel1"/>
      </w:pPr>
      <w:r w:rsidRPr="00B93B48">
        <w:t>Does participation in the 34</w:t>
      </w:r>
      <w:r w:rsidRPr="000B3A04">
        <w:rPr>
          <w:rStyle w:val="Superscript"/>
        </w:rPr>
        <w:t>th</w:t>
      </w:r>
      <w:r w:rsidRPr="00B93B48">
        <w:t xml:space="preserve"> IGC build GA’s capacity as the primary provider of technical geoscientific advice to the Australian Government?</w:t>
      </w:r>
      <w:r w:rsidR="00602511">
        <w:t>;</w:t>
      </w:r>
      <w:r w:rsidRPr="00B93B48">
        <w:t xml:space="preserve"> and</w:t>
      </w:r>
      <w:r w:rsidR="00602511">
        <w:t>,</w:t>
      </w:r>
    </w:p>
    <w:p w:rsidR="00C93401" w:rsidRPr="00B93B48" w:rsidRDefault="00C93401" w:rsidP="00C93401">
      <w:pPr>
        <w:pStyle w:val="Bulletlevel1"/>
      </w:pPr>
      <w:r w:rsidRPr="00B93B48">
        <w:t>Does GA’s involvement in the 34</w:t>
      </w:r>
      <w:r w:rsidRPr="000B3A04">
        <w:rPr>
          <w:rStyle w:val="Superscript"/>
        </w:rPr>
        <w:t>th</w:t>
      </w:r>
      <w:r w:rsidRPr="00B93B48">
        <w:t xml:space="preserve"> IGC galvanise access to precompetitive data and requests for legacy data?</w:t>
      </w:r>
    </w:p>
    <w:p w:rsidR="00C93401" w:rsidRPr="00B93B48" w:rsidRDefault="00C93401" w:rsidP="00C93401">
      <w:pPr>
        <w:pStyle w:val="BodyText"/>
      </w:pPr>
      <w:r w:rsidRPr="00B93B48">
        <w:t>The Australian Government is committed to the use of cost-benefit analysis, as it encourages better decision-making and provides accountability for public expenditure. Indeed, the Australian Public Service (APS) Code of Conduct states that all employees must use government resources in a proper manner. The Department of Finance review of GA in 2011 specifically addressed the need for a strategic review to examine GA activities and to assess the contribution and benefits of its outcomes (Commonwealth of Australia, DFD, 2011). However, while many of the costs associated with GA’s involvement in the 34</w:t>
      </w:r>
      <w:r w:rsidRPr="000B3A04">
        <w:rPr>
          <w:rStyle w:val="Superscript"/>
        </w:rPr>
        <w:t>th</w:t>
      </w:r>
      <w:r w:rsidRPr="00B93B48">
        <w:t xml:space="preserve"> IGC are measureable, a large number of the benefits of this involvement are difficult to measure. For example, GA employees that attended the 34</w:t>
      </w:r>
      <w:r w:rsidRPr="000B3A04">
        <w:rPr>
          <w:rStyle w:val="Superscript"/>
        </w:rPr>
        <w:t>th</w:t>
      </w:r>
      <w:r w:rsidRPr="00B93B48">
        <w:t xml:space="preserve"> IGC had a number of opportunities to engage with their scientific peers. Professional development and networking amongst peers promotes an increase in job satisfaction, a better working environment, and potentially increased retainment of employees and knowledge within the organisation. Despite the difficulty of assessing these intangible benefits, they are critically important in forming an overall evaluation of the impacts.</w:t>
      </w:r>
    </w:p>
    <w:p w:rsidR="00C93401" w:rsidRDefault="00C93401" w:rsidP="00C93401">
      <w:pPr>
        <w:pStyle w:val="Heading2"/>
      </w:pPr>
      <w:bookmarkStart w:id="166" w:name="_Toc353282032"/>
      <w:bookmarkStart w:id="167" w:name="_Toc355274244"/>
      <w:r>
        <w:t>Literature Review and Key Discussions</w:t>
      </w:r>
      <w:bookmarkEnd w:id="166"/>
      <w:bookmarkEnd w:id="167"/>
    </w:p>
    <w:p w:rsidR="00C93401" w:rsidRPr="00B93B48" w:rsidRDefault="00C93401" w:rsidP="00C93401">
      <w:pPr>
        <w:pStyle w:val="BodyText"/>
      </w:pPr>
      <w:r w:rsidRPr="00B93B48">
        <w:t>In order to determine whether GA had pre-existing processes for evaluating conferences, an initial examination of documentation available within GA was completed and several meetings were held with individuals, mainly within Human Resources. Throughout the study difficulties ascertaining procedures for several activities were found, these included:</w:t>
      </w:r>
    </w:p>
    <w:p w:rsidR="00C93401" w:rsidRPr="00B93B48" w:rsidRDefault="00C93401" w:rsidP="00C93401">
      <w:pPr>
        <w:pStyle w:val="Bulletlevel1"/>
      </w:pPr>
      <w:r w:rsidRPr="00B93B48">
        <w:t>Analysis of Learning &amp; Development (L&amp;D) documentation;</w:t>
      </w:r>
    </w:p>
    <w:p w:rsidR="00C93401" w:rsidRPr="00B93B48" w:rsidRDefault="00C93401" w:rsidP="00C93401">
      <w:pPr>
        <w:pStyle w:val="Bulletlevel1"/>
      </w:pPr>
      <w:r w:rsidRPr="00B93B48">
        <w:lastRenderedPageBreak/>
        <w:t>Dissemination of conference related content;</w:t>
      </w:r>
    </w:p>
    <w:p w:rsidR="00C93401" w:rsidRPr="00B93B48" w:rsidRDefault="00C93401" w:rsidP="00C93401">
      <w:pPr>
        <w:pStyle w:val="Bulletlevel1"/>
      </w:pPr>
      <w:r w:rsidRPr="00B93B48">
        <w:t>Dissemination of information related to conference related visitors;</w:t>
      </w:r>
    </w:p>
    <w:p w:rsidR="00C93401" w:rsidRPr="00B93B48" w:rsidRDefault="00C93401" w:rsidP="00C93401">
      <w:pPr>
        <w:pStyle w:val="Bulletlevel1"/>
      </w:pPr>
      <w:r w:rsidRPr="00B93B48">
        <w:t>Documentation of the initial project proposal, including the identification of key performance indicators;</w:t>
      </w:r>
    </w:p>
    <w:p w:rsidR="00C93401" w:rsidRPr="00B93B48" w:rsidRDefault="00C93401" w:rsidP="00C93401">
      <w:pPr>
        <w:pStyle w:val="Bulletlevel1"/>
      </w:pPr>
      <w:r w:rsidRPr="00B93B48">
        <w:t>A formal recording of domestic and international conferences;</w:t>
      </w:r>
    </w:p>
    <w:p w:rsidR="00C93401" w:rsidRPr="00B93B48" w:rsidRDefault="00C93401" w:rsidP="00C93401">
      <w:pPr>
        <w:pStyle w:val="Bulletlevel1"/>
      </w:pPr>
      <w:r w:rsidRPr="00B93B48">
        <w:t>A formal process for analysis of external L&amp;D activities</w:t>
      </w:r>
      <w:r w:rsidR="00602511">
        <w:t>;</w:t>
      </w:r>
      <w:r w:rsidRPr="00B93B48">
        <w:t xml:space="preserve"> and</w:t>
      </w:r>
      <w:r w:rsidR="00602511">
        <w:t>,</w:t>
      </w:r>
    </w:p>
    <w:p w:rsidR="00C93401" w:rsidRPr="00B93B48" w:rsidRDefault="00C93401" w:rsidP="00C93401">
      <w:pPr>
        <w:pStyle w:val="Bulletlevel1"/>
      </w:pPr>
      <w:r w:rsidRPr="00B93B48">
        <w:t>Guidelines or a formal process for administering a survey within GA.</w:t>
      </w:r>
    </w:p>
    <w:p w:rsidR="00C93401" w:rsidRPr="00071382" w:rsidRDefault="00C93401" w:rsidP="004E7FC8">
      <w:pPr>
        <w:pStyle w:val="BodyText"/>
      </w:pPr>
      <w:r w:rsidRPr="00B93B48">
        <w:t>However, it should be noted that some of these points are currently under review.</w:t>
      </w:r>
    </w:p>
    <w:p w:rsidR="004E7FC8" w:rsidRDefault="004E7FC8" w:rsidP="004E7FC8">
      <w:pPr>
        <w:pStyle w:val="Tabletitle"/>
      </w:pPr>
      <w:bookmarkStart w:id="168" w:name="_Ref353380293"/>
      <w:r w:rsidRPr="004E7FC8">
        <w:rPr>
          <w:rStyle w:val="Bold"/>
        </w:rPr>
        <w:t xml:space="preserve">Table </w:t>
      </w:r>
      <w:r w:rsidRPr="004E7FC8">
        <w:rPr>
          <w:rStyle w:val="Bold"/>
        </w:rPr>
        <w:fldChar w:fldCharType="begin"/>
      </w:r>
      <w:r w:rsidRPr="004E7FC8">
        <w:rPr>
          <w:rStyle w:val="Bold"/>
        </w:rPr>
        <w:instrText xml:space="preserve"> STYLEREF 1 \s </w:instrText>
      </w:r>
      <w:r w:rsidRPr="004E7FC8">
        <w:rPr>
          <w:rStyle w:val="Bold"/>
        </w:rPr>
        <w:fldChar w:fldCharType="separate"/>
      </w:r>
      <w:r w:rsidRPr="004E7FC8">
        <w:rPr>
          <w:rStyle w:val="Bold"/>
        </w:rPr>
        <w:t>3</w:t>
      </w:r>
      <w:r w:rsidRPr="004E7FC8">
        <w:rPr>
          <w:rStyle w:val="Bold"/>
        </w:rPr>
        <w:fldChar w:fldCharType="end"/>
      </w:r>
      <w:r w:rsidRPr="004E7FC8">
        <w:rPr>
          <w:rStyle w:val="Bold"/>
        </w:rPr>
        <w:t>.</w:t>
      </w:r>
      <w:r w:rsidRPr="004E7FC8">
        <w:rPr>
          <w:rStyle w:val="Bold"/>
        </w:rPr>
        <w:fldChar w:fldCharType="begin"/>
      </w:r>
      <w:r w:rsidRPr="004E7FC8">
        <w:rPr>
          <w:rStyle w:val="Bold"/>
        </w:rPr>
        <w:instrText xml:space="preserve"> SEQ Table \* ARABIC \s 1 </w:instrText>
      </w:r>
      <w:r w:rsidRPr="004E7FC8">
        <w:rPr>
          <w:rStyle w:val="Bold"/>
        </w:rPr>
        <w:fldChar w:fldCharType="separate"/>
      </w:r>
      <w:r w:rsidRPr="004E7FC8">
        <w:rPr>
          <w:rStyle w:val="Bold"/>
        </w:rPr>
        <w:t>1</w:t>
      </w:r>
      <w:r w:rsidRPr="004E7FC8">
        <w:rPr>
          <w:rStyle w:val="Bold"/>
        </w:rPr>
        <w:fldChar w:fldCharType="end"/>
      </w:r>
      <w:bookmarkEnd w:id="168"/>
      <w:r w:rsidRPr="004E7FC8">
        <w:rPr>
          <w:rStyle w:val="Bold"/>
        </w:rPr>
        <w:t>:</w:t>
      </w:r>
      <w:r w:rsidRPr="00356CC4">
        <w:rPr>
          <w:rStyle w:val="Bold"/>
        </w:rPr>
        <w:t xml:space="preserve"> </w:t>
      </w:r>
      <w:r w:rsidRPr="00071382">
        <w:t>Key q</w:t>
      </w:r>
      <w:r>
        <w:t>uestions to be addressed in this chapter and the methods and activities undertaken to address the questions.</w:t>
      </w:r>
    </w:p>
    <w:tbl>
      <w:tblPr>
        <w:tblStyle w:val="TableGAHeaderRow"/>
        <w:tblW w:w="0" w:type="auto"/>
        <w:tblLook w:val="01E0" w:firstRow="1" w:lastRow="1" w:firstColumn="1" w:lastColumn="1" w:noHBand="0" w:noVBand="0"/>
        <w:tblDescription w:val="This table highlights the two key questions to be investigated in this section, outlining the specific topic areas that are to be assessed, and the activities that will be performed to assess them. The first key question is, &quot;Does participation in the 34th IGC build GA's capacity as the primary provider of technical geoscientific advice to the Australian Government?&quot; In answering this question and assessment will be made of individual's uptake of knowledge (through survey questions, an examination of procedures, and interviews), the retention of knowledge in GA (through survey questions), and the building and maintenance of networks (through survey questions). The second key question is, &quot;Does GA involvement in the 34th IGC galvanise access and request for products and data?&quot; This will be answered through the specific assessment of the ASTER product release, as a case study (through the use of survey questions and download statistics).&#10;&#10;Further details of the activities listed in this table can be found in sections 3.3 through to 3.7."/>
      </w:tblPr>
      <w:tblGrid>
        <w:gridCol w:w="1616"/>
        <w:gridCol w:w="2256"/>
        <w:gridCol w:w="1567"/>
        <w:gridCol w:w="3083"/>
      </w:tblGrid>
      <w:tr w:rsidR="00C93401" w:rsidRPr="00A56269" w:rsidTr="009C356C">
        <w:trPr>
          <w:cnfStyle w:val="100000000000" w:firstRow="1" w:lastRow="0" w:firstColumn="0" w:lastColumn="0" w:oddVBand="0" w:evenVBand="0" w:oddHBand="0" w:evenHBand="0" w:firstRowFirstColumn="0" w:firstRowLastColumn="0" w:lastRowFirstColumn="0" w:lastRowLastColumn="0"/>
          <w:cantSplit w:val="0"/>
          <w:tblHeader/>
        </w:trPr>
        <w:tc>
          <w:tcPr>
            <w:cnfStyle w:val="000010000000" w:firstRow="0" w:lastRow="0" w:firstColumn="0" w:lastColumn="0" w:oddVBand="1" w:evenVBand="0" w:oddHBand="0" w:evenHBand="0" w:firstRowFirstColumn="0" w:firstRowLastColumn="0" w:lastRowFirstColumn="0" w:lastRowLastColumn="0"/>
            <w:tcW w:w="1616" w:type="dxa"/>
          </w:tcPr>
          <w:p w:rsidR="00C93401" w:rsidRPr="00A56269" w:rsidRDefault="00C93401" w:rsidP="009C49B6">
            <w:pPr>
              <w:pStyle w:val="Tabletextleft"/>
            </w:pPr>
            <w:r w:rsidRPr="00A56269">
              <w:t>Question</w:t>
            </w:r>
          </w:p>
        </w:tc>
        <w:tc>
          <w:tcPr>
            <w:tcW w:w="2256" w:type="dxa"/>
          </w:tcPr>
          <w:p w:rsidR="00C93401" w:rsidRPr="00A56269" w:rsidRDefault="00C93401" w:rsidP="009C49B6">
            <w:pPr>
              <w:pStyle w:val="Tabletextleft"/>
              <w:cnfStyle w:val="100000000000" w:firstRow="1" w:lastRow="0" w:firstColumn="0" w:lastColumn="0" w:oddVBand="0" w:evenVBand="0" w:oddHBand="0" w:evenHBand="0" w:firstRowFirstColumn="0" w:firstRowLastColumn="0" w:lastRowFirstColumn="0" w:lastRowLastColumn="0"/>
            </w:pPr>
            <w:r w:rsidRPr="00A56269">
              <w:t>Assessment</w:t>
            </w:r>
          </w:p>
        </w:tc>
        <w:tc>
          <w:tcPr>
            <w:cnfStyle w:val="000010000000" w:firstRow="0" w:lastRow="0" w:firstColumn="0" w:lastColumn="0" w:oddVBand="1" w:evenVBand="0" w:oddHBand="0" w:evenHBand="0" w:firstRowFirstColumn="0" w:firstRowLastColumn="0" w:lastRowFirstColumn="0" w:lastRowLastColumn="0"/>
            <w:tcW w:w="1567" w:type="dxa"/>
          </w:tcPr>
          <w:p w:rsidR="00C93401" w:rsidRPr="00A56269" w:rsidRDefault="00C93401" w:rsidP="009C49B6">
            <w:pPr>
              <w:pStyle w:val="Tabletextleft"/>
            </w:pPr>
            <w:r w:rsidRPr="00A56269">
              <w:t>Activities</w:t>
            </w:r>
          </w:p>
        </w:tc>
        <w:tc>
          <w:tcPr>
            <w:tcW w:w="3083" w:type="dxa"/>
          </w:tcPr>
          <w:p w:rsidR="00C93401" w:rsidRPr="00A56269" w:rsidRDefault="00C93401" w:rsidP="009C49B6">
            <w:pPr>
              <w:pStyle w:val="Tabletextleft"/>
              <w:cnfStyle w:val="100000000000" w:firstRow="1" w:lastRow="0" w:firstColumn="0" w:lastColumn="0" w:oddVBand="0" w:evenVBand="0" w:oddHBand="0" w:evenHBand="0" w:firstRowFirstColumn="0" w:firstRowLastColumn="0" w:lastRowFirstColumn="0" w:lastRowLastColumn="0"/>
            </w:pPr>
            <w:r w:rsidRPr="00A56269">
              <w:t>Details</w:t>
            </w:r>
          </w:p>
        </w:tc>
      </w:tr>
      <w:tr w:rsidR="00C93401" w:rsidRPr="00A56269" w:rsidTr="00D666A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16" w:type="dxa"/>
            <w:vMerge w:val="restart"/>
          </w:tcPr>
          <w:p w:rsidR="00C93401" w:rsidRPr="00A56269" w:rsidRDefault="00C93401" w:rsidP="009C49B6">
            <w:pPr>
              <w:pStyle w:val="Tabletextleft"/>
            </w:pPr>
            <w:r w:rsidRPr="00A56269">
              <w:t>Does participation in the 34</w:t>
            </w:r>
            <w:r w:rsidRPr="002D3D57">
              <w:rPr>
                <w:rStyle w:val="Superscript"/>
              </w:rPr>
              <w:t>th</w:t>
            </w:r>
            <w:r w:rsidRPr="00A56269">
              <w:t xml:space="preserve"> IGC build GA’s capacity as the primary provider of technical geoscientific advice to the Australian Government?</w:t>
            </w:r>
          </w:p>
        </w:tc>
        <w:tc>
          <w:tcPr>
            <w:tcW w:w="2256" w:type="dxa"/>
            <w:vMerge w:val="restart"/>
          </w:tcPr>
          <w:p w:rsidR="00C93401" w:rsidRPr="00A56269" w:rsidRDefault="00C93401" w:rsidP="009C49B6">
            <w:pPr>
              <w:pStyle w:val="Tabletextleft"/>
              <w:cnfStyle w:val="000000100000" w:firstRow="0" w:lastRow="0" w:firstColumn="0" w:lastColumn="0" w:oddVBand="0" w:evenVBand="0" w:oddHBand="1" w:evenHBand="0" w:firstRowFirstColumn="0" w:firstRowLastColumn="0" w:lastRowFirstColumn="0" w:lastRowLastColumn="0"/>
            </w:pPr>
            <w:r w:rsidRPr="00A56269">
              <w:t>Individual employee’s uptake of knowledge</w:t>
            </w:r>
          </w:p>
        </w:tc>
        <w:tc>
          <w:tcPr>
            <w:cnfStyle w:val="000010000000" w:firstRow="0" w:lastRow="0" w:firstColumn="0" w:lastColumn="0" w:oddVBand="1" w:evenVBand="0" w:oddHBand="0" w:evenHBand="0" w:firstRowFirstColumn="0" w:firstRowLastColumn="0" w:lastRowFirstColumn="0" w:lastRowLastColumn="0"/>
            <w:tcW w:w="1567" w:type="dxa"/>
          </w:tcPr>
          <w:p w:rsidR="00C93401" w:rsidRPr="00A56269" w:rsidRDefault="00C93401" w:rsidP="009C49B6">
            <w:pPr>
              <w:pStyle w:val="Tabletextleft"/>
            </w:pPr>
            <w:r w:rsidRPr="00A56269">
              <w:t>Survey Questions</w:t>
            </w:r>
          </w:p>
        </w:tc>
        <w:tc>
          <w:tcPr>
            <w:tcW w:w="3083" w:type="dxa"/>
          </w:tcPr>
          <w:p w:rsidR="00C93401" w:rsidRPr="00A56269" w:rsidRDefault="00C93401" w:rsidP="009C49B6">
            <w:pPr>
              <w:pStyle w:val="Tabletextleft"/>
              <w:cnfStyle w:val="000000100000" w:firstRow="0" w:lastRow="0" w:firstColumn="0" w:lastColumn="0" w:oddVBand="0" w:evenVBand="0" w:oddHBand="1" w:evenHBand="0" w:firstRowFirstColumn="0" w:firstRowLastColumn="0" w:lastRowFirstColumn="0" w:lastRowLastColumn="0"/>
            </w:pPr>
            <w:r w:rsidRPr="00A56269">
              <w:t>Include questions on which activities at the 34</w:t>
            </w:r>
            <w:r w:rsidRPr="002D3D57">
              <w:rPr>
                <w:rStyle w:val="Superscript"/>
              </w:rPr>
              <w:t>th</w:t>
            </w:r>
            <w:r w:rsidRPr="00A56269">
              <w:t xml:space="preserve"> IGC participants were involved in (workshop, presentation, talks, etc.).</w:t>
            </w:r>
          </w:p>
        </w:tc>
      </w:tr>
      <w:tr w:rsidR="00C93401" w:rsidRPr="00A56269" w:rsidTr="00D666A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16" w:type="dxa"/>
            <w:vMerge/>
          </w:tcPr>
          <w:p w:rsidR="00C93401" w:rsidRPr="00A56269" w:rsidRDefault="00C93401" w:rsidP="009C49B6">
            <w:pPr>
              <w:pStyle w:val="Tabletextleft"/>
            </w:pPr>
          </w:p>
        </w:tc>
        <w:tc>
          <w:tcPr>
            <w:tcW w:w="2256" w:type="dxa"/>
            <w:vMerge/>
          </w:tcPr>
          <w:p w:rsidR="00C93401" w:rsidRPr="00A56269" w:rsidRDefault="00C93401" w:rsidP="009C49B6">
            <w:pPr>
              <w:pStyle w:val="Tabletextleft"/>
              <w:cnfStyle w:val="000000010000" w:firstRow="0" w:lastRow="0" w:firstColumn="0" w:lastColumn="0" w:oddVBand="0" w:evenVBand="0" w:oddHBand="0" w:evenHBand="1"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7" w:type="dxa"/>
          </w:tcPr>
          <w:p w:rsidR="00C93401" w:rsidRPr="00A56269" w:rsidRDefault="00C93401" w:rsidP="009C49B6">
            <w:pPr>
              <w:pStyle w:val="Tabletextleft"/>
            </w:pPr>
            <w:r w:rsidRPr="00A56269">
              <w:t>Examination of Procedures</w:t>
            </w:r>
          </w:p>
        </w:tc>
        <w:tc>
          <w:tcPr>
            <w:tcW w:w="3083" w:type="dxa"/>
          </w:tcPr>
          <w:p w:rsidR="00C93401" w:rsidRPr="00A56269" w:rsidRDefault="00C93401" w:rsidP="009C49B6">
            <w:pPr>
              <w:pStyle w:val="Tabletextleft"/>
              <w:cnfStyle w:val="000000010000" w:firstRow="0" w:lastRow="0" w:firstColumn="0" w:lastColumn="0" w:oddVBand="0" w:evenVBand="0" w:oddHBand="0" w:evenHBand="1" w:firstRowFirstColumn="0" w:firstRowLastColumn="0" w:lastRowFirstColumn="0" w:lastRowLastColumn="0"/>
            </w:pPr>
            <w:r w:rsidRPr="00A56269">
              <w:t>Establish and evaluate what avenues exist within GA to disseminate information post-conference.</w:t>
            </w:r>
          </w:p>
          <w:p w:rsidR="00C93401" w:rsidRPr="00A56269" w:rsidRDefault="00C93401" w:rsidP="009C49B6">
            <w:pPr>
              <w:pStyle w:val="Tabletextleft"/>
              <w:cnfStyle w:val="000000010000" w:firstRow="0" w:lastRow="0" w:firstColumn="0" w:lastColumn="0" w:oddVBand="0" w:evenVBand="0" w:oddHBand="0" w:evenHBand="1" w:firstRowFirstColumn="0" w:firstRowLastColumn="0" w:lastRowFirstColumn="0" w:lastRowLastColumn="0"/>
            </w:pPr>
            <w:r w:rsidRPr="00A56269">
              <w:t>Evaluate the current practice and documentation within GA.</w:t>
            </w:r>
          </w:p>
        </w:tc>
      </w:tr>
      <w:tr w:rsidR="00C93401" w:rsidRPr="00A56269" w:rsidTr="00D666A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16" w:type="dxa"/>
            <w:vMerge/>
          </w:tcPr>
          <w:p w:rsidR="00C93401" w:rsidRPr="00A56269" w:rsidRDefault="00C93401" w:rsidP="009C49B6">
            <w:pPr>
              <w:pStyle w:val="Tabletextleft"/>
            </w:pPr>
          </w:p>
        </w:tc>
        <w:tc>
          <w:tcPr>
            <w:tcW w:w="2256" w:type="dxa"/>
            <w:vMerge/>
          </w:tcPr>
          <w:p w:rsidR="00C93401" w:rsidRPr="00A56269" w:rsidRDefault="00C93401" w:rsidP="009C49B6">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7" w:type="dxa"/>
          </w:tcPr>
          <w:p w:rsidR="00C93401" w:rsidRPr="00A56269" w:rsidRDefault="00C93401" w:rsidP="009C49B6">
            <w:pPr>
              <w:pStyle w:val="Tabletextleft"/>
            </w:pPr>
            <w:r w:rsidRPr="00A56269">
              <w:t>Interviews with HR</w:t>
            </w:r>
          </w:p>
        </w:tc>
        <w:tc>
          <w:tcPr>
            <w:tcW w:w="3083" w:type="dxa"/>
          </w:tcPr>
          <w:p w:rsidR="00C93401" w:rsidRPr="00A56269" w:rsidRDefault="00C93401" w:rsidP="009C49B6">
            <w:pPr>
              <w:pStyle w:val="Tabletextleft"/>
              <w:cnfStyle w:val="000000100000" w:firstRow="0" w:lastRow="0" w:firstColumn="0" w:lastColumn="0" w:oddVBand="0" w:evenVBand="0" w:oddHBand="1" w:evenHBand="0" w:firstRowFirstColumn="0" w:firstRowLastColumn="0" w:lastRowFirstColumn="0" w:lastRowLastColumn="0"/>
            </w:pPr>
            <w:r w:rsidRPr="00A56269">
              <w:t>Establish how Human Resources (HR) assess the L&amp;D value of conferences such as the 34</w:t>
            </w:r>
            <w:r w:rsidRPr="002D3D57">
              <w:rPr>
                <w:rStyle w:val="Superscript"/>
              </w:rPr>
              <w:t>th</w:t>
            </w:r>
            <w:r w:rsidRPr="00A56269">
              <w:t xml:space="preserve"> IGC.</w:t>
            </w:r>
          </w:p>
        </w:tc>
      </w:tr>
      <w:tr w:rsidR="00C93401" w:rsidRPr="00A56269" w:rsidTr="00D666AA">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16" w:type="dxa"/>
            <w:vMerge/>
          </w:tcPr>
          <w:p w:rsidR="00C93401" w:rsidRPr="00A56269" w:rsidRDefault="00C93401" w:rsidP="009C49B6">
            <w:pPr>
              <w:pStyle w:val="Tabletextleft"/>
            </w:pPr>
          </w:p>
        </w:tc>
        <w:tc>
          <w:tcPr>
            <w:tcW w:w="2256" w:type="dxa"/>
          </w:tcPr>
          <w:p w:rsidR="00C93401" w:rsidRPr="00A56269" w:rsidRDefault="00C93401" w:rsidP="009C49B6">
            <w:pPr>
              <w:pStyle w:val="Tabletextleft"/>
              <w:cnfStyle w:val="000000010000" w:firstRow="0" w:lastRow="0" w:firstColumn="0" w:lastColumn="0" w:oddVBand="0" w:evenVBand="0" w:oddHBand="0" w:evenHBand="1" w:firstRowFirstColumn="0" w:firstRowLastColumn="0" w:lastRowFirstColumn="0" w:lastRowLastColumn="0"/>
            </w:pPr>
            <w:r w:rsidRPr="00A56269">
              <w:t>Retention of knowledge within GA</w:t>
            </w:r>
          </w:p>
        </w:tc>
        <w:tc>
          <w:tcPr>
            <w:cnfStyle w:val="000010000000" w:firstRow="0" w:lastRow="0" w:firstColumn="0" w:lastColumn="0" w:oddVBand="1" w:evenVBand="0" w:oddHBand="0" w:evenHBand="0" w:firstRowFirstColumn="0" w:firstRowLastColumn="0" w:lastRowFirstColumn="0" w:lastRowLastColumn="0"/>
            <w:tcW w:w="1567" w:type="dxa"/>
          </w:tcPr>
          <w:p w:rsidR="00C93401" w:rsidRPr="00A56269" w:rsidRDefault="00C93401" w:rsidP="009C49B6">
            <w:pPr>
              <w:pStyle w:val="Tabletextleft"/>
            </w:pPr>
            <w:r w:rsidRPr="00A56269">
              <w:t>Survey Questions</w:t>
            </w:r>
          </w:p>
        </w:tc>
        <w:tc>
          <w:tcPr>
            <w:tcW w:w="3083" w:type="dxa"/>
          </w:tcPr>
          <w:p w:rsidR="00C93401" w:rsidRPr="00A56269" w:rsidRDefault="00C93401" w:rsidP="009C49B6">
            <w:pPr>
              <w:pStyle w:val="Tabletextleft"/>
              <w:cnfStyle w:val="000000010000" w:firstRow="0" w:lastRow="0" w:firstColumn="0" w:lastColumn="0" w:oddVBand="0" w:evenVBand="0" w:oddHBand="0" w:evenHBand="1" w:firstRowFirstColumn="0" w:firstRowLastColumn="0" w:lastRowFirstColumn="0" w:lastRowLastColumn="0"/>
            </w:pPr>
            <w:r w:rsidRPr="00A56269">
              <w:t>Examine whether participation in the 34</w:t>
            </w:r>
            <w:r w:rsidRPr="002D3D57">
              <w:rPr>
                <w:rStyle w:val="Superscript"/>
              </w:rPr>
              <w:t>th</w:t>
            </w:r>
            <w:r w:rsidRPr="00A56269">
              <w:t xml:space="preserve"> IGC increased job satisfaction.</w:t>
            </w:r>
          </w:p>
        </w:tc>
      </w:tr>
      <w:tr w:rsidR="00C93401" w:rsidRPr="00A56269" w:rsidTr="00D666A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16" w:type="dxa"/>
            <w:vMerge/>
          </w:tcPr>
          <w:p w:rsidR="00C93401" w:rsidRPr="00A56269" w:rsidRDefault="00C93401" w:rsidP="009C49B6">
            <w:pPr>
              <w:pStyle w:val="Tabletextleft"/>
            </w:pPr>
          </w:p>
        </w:tc>
        <w:tc>
          <w:tcPr>
            <w:tcW w:w="2256" w:type="dxa"/>
          </w:tcPr>
          <w:p w:rsidR="00C93401" w:rsidRPr="00A56269" w:rsidRDefault="00C93401" w:rsidP="009C49B6">
            <w:pPr>
              <w:pStyle w:val="Tabletextleft"/>
              <w:cnfStyle w:val="000000100000" w:firstRow="0" w:lastRow="0" w:firstColumn="0" w:lastColumn="0" w:oddVBand="0" w:evenVBand="0" w:oddHBand="1" w:evenHBand="0" w:firstRowFirstColumn="0" w:firstRowLastColumn="0" w:lastRowFirstColumn="0" w:lastRowLastColumn="0"/>
            </w:pPr>
            <w:r w:rsidRPr="00A56269">
              <w:t>Network/relationship building and maintenance</w:t>
            </w:r>
          </w:p>
        </w:tc>
        <w:tc>
          <w:tcPr>
            <w:cnfStyle w:val="000010000000" w:firstRow="0" w:lastRow="0" w:firstColumn="0" w:lastColumn="0" w:oddVBand="1" w:evenVBand="0" w:oddHBand="0" w:evenHBand="0" w:firstRowFirstColumn="0" w:firstRowLastColumn="0" w:lastRowFirstColumn="0" w:lastRowLastColumn="0"/>
            <w:tcW w:w="1567" w:type="dxa"/>
          </w:tcPr>
          <w:p w:rsidR="00C93401" w:rsidRPr="00A56269" w:rsidRDefault="00C93401" w:rsidP="009C49B6">
            <w:pPr>
              <w:pStyle w:val="Tabletextleft"/>
            </w:pPr>
            <w:r w:rsidRPr="00A56269">
              <w:t>Survey Questions</w:t>
            </w:r>
          </w:p>
        </w:tc>
        <w:tc>
          <w:tcPr>
            <w:tcW w:w="3083" w:type="dxa"/>
          </w:tcPr>
          <w:p w:rsidR="00C93401" w:rsidRPr="00A56269" w:rsidRDefault="00C93401" w:rsidP="009C49B6">
            <w:pPr>
              <w:pStyle w:val="Tabletextleft"/>
              <w:cnfStyle w:val="000000100000" w:firstRow="0" w:lastRow="0" w:firstColumn="0" w:lastColumn="0" w:oddVBand="0" w:evenVBand="0" w:oddHBand="1" w:evenHBand="0" w:firstRowFirstColumn="0" w:firstRowLastColumn="0" w:lastRowFirstColumn="0" w:lastRowLastColumn="0"/>
            </w:pPr>
            <w:r w:rsidRPr="00A56269">
              <w:t>Examine whether participants were involved in activities that built or maintained networks.</w:t>
            </w:r>
          </w:p>
          <w:p w:rsidR="00C93401" w:rsidRPr="00A56269" w:rsidRDefault="00C93401" w:rsidP="009C49B6">
            <w:pPr>
              <w:pStyle w:val="Tabletextleft"/>
              <w:cnfStyle w:val="000000100000" w:firstRow="0" w:lastRow="0" w:firstColumn="0" w:lastColumn="0" w:oddVBand="0" w:evenVBand="0" w:oddHBand="1" w:evenHBand="0" w:firstRowFirstColumn="0" w:firstRowLastColumn="0" w:lastRowFirstColumn="0" w:lastRowLastColumn="0"/>
            </w:pPr>
            <w:r w:rsidRPr="00A56269">
              <w:t>Ask how stakeholders perceive the credibility of GA.</w:t>
            </w:r>
          </w:p>
        </w:tc>
      </w:tr>
      <w:tr w:rsidR="00C93401" w:rsidRPr="00A56269" w:rsidTr="00D666AA">
        <w:trPr>
          <w:cnfStyle w:val="000000010000" w:firstRow="0" w:lastRow="0" w:firstColumn="0" w:lastColumn="0" w:oddVBand="0" w:evenVBand="0" w:oddHBand="0" w:evenHBand="1" w:firstRowFirstColumn="0" w:firstRowLastColumn="0" w:lastRowFirstColumn="0" w:lastRowLastColumn="0"/>
          <w:trHeight w:val="1015"/>
        </w:trPr>
        <w:tc>
          <w:tcPr>
            <w:cnfStyle w:val="000010000000" w:firstRow="0" w:lastRow="0" w:firstColumn="0" w:lastColumn="0" w:oddVBand="1" w:evenVBand="0" w:oddHBand="0" w:evenHBand="0" w:firstRowFirstColumn="0" w:firstRowLastColumn="0" w:lastRowFirstColumn="0" w:lastRowLastColumn="0"/>
            <w:tcW w:w="1616" w:type="dxa"/>
            <w:vMerge w:val="restart"/>
          </w:tcPr>
          <w:p w:rsidR="00C93401" w:rsidRPr="00A56269" w:rsidRDefault="00C93401" w:rsidP="009C49B6">
            <w:pPr>
              <w:pStyle w:val="Tabletextleft"/>
            </w:pPr>
            <w:r w:rsidRPr="00A56269">
              <w:t>Does GA involvement in the 34</w:t>
            </w:r>
            <w:r w:rsidRPr="002D3D57">
              <w:rPr>
                <w:rStyle w:val="Superscript"/>
              </w:rPr>
              <w:t>th</w:t>
            </w:r>
            <w:r w:rsidRPr="00A56269">
              <w:t xml:space="preserve"> IGC galvanise access and requests for precompetitive, products and legacy data?</w:t>
            </w:r>
          </w:p>
        </w:tc>
        <w:tc>
          <w:tcPr>
            <w:tcW w:w="2256" w:type="dxa"/>
            <w:vMerge w:val="restart"/>
          </w:tcPr>
          <w:p w:rsidR="00C93401" w:rsidRPr="00A56269" w:rsidRDefault="00C93401" w:rsidP="009C49B6">
            <w:pPr>
              <w:pStyle w:val="Tabletextleft"/>
              <w:cnfStyle w:val="000000010000" w:firstRow="0" w:lastRow="0" w:firstColumn="0" w:lastColumn="0" w:oddVBand="0" w:evenVBand="0" w:oddHBand="0" w:evenHBand="1" w:firstRowFirstColumn="0" w:firstRowLastColumn="0" w:lastRowFirstColumn="0" w:lastRowLastColumn="0"/>
            </w:pPr>
            <w:r w:rsidRPr="00A56269">
              <w:t>Case Study</w:t>
            </w:r>
          </w:p>
          <w:p w:rsidR="00C93401" w:rsidRPr="00A56269" w:rsidRDefault="00C93401" w:rsidP="009C49B6">
            <w:pPr>
              <w:pStyle w:val="Tabletextleft"/>
              <w:cnfStyle w:val="000000010000" w:firstRow="0" w:lastRow="0" w:firstColumn="0" w:lastColumn="0" w:oddVBand="0" w:evenVBand="0" w:oddHBand="0" w:evenHBand="1" w:firstRowFirstColumn="0" w:firstRowLastColumn="0" w:lastRowFirstColumn="0" w:lastRowLastColumn="0"/>
            </w:pPr>
            <w:r w:rsidRPr="00A56269">
              <w:t>e.g. ASTER Geoscience Map of Australia release</w:t>
            </w:r>
          </w:p>
        </w:tc>
        <w:tc>
          <w:tcPr>
            <w:cnfStyle w:val="000010000000" w:firstRow="0" w:lastRow="0" w:firstColumn="0" w:lastColumn="0" w:oddVBand="1" w:evenVBand="0" w:oddHBand="0" w:evenHBand="0" w:firstRowFirstColumn="0" w:firstRowLastColumn="0" w:lastRowFirstColumn="0" w:lastRowLastColumn="0"/>
            <w:tcW w:w="1567" w:type="dxa"/>
          </w:tcPr>
          <w:p w:rsidR="00C93401" w:rsidRPr="00A56269" w:rsidRDefault="00C93401" w:rsidP="009C49B6">
            <w:pPr>
              <w:pStyle w:val="Tabletextleft"/>
            </w:pPr>
            <w:r w:rsidRPr="00A56269">
              <w:t>Survey Questions</w:t>
            </w:r>
          </w:p>
        </w:tc>
        <w:tc>
          <w:tcPr>
            <w:tcW w:w="3083" w:type="dxa"/>
          </w:tcPr>
          <w:p w:rsidR="00C93401" w:rsidRPr="00A56269" w:rsidRDefault="00C93401" w:rsidP="009C49B6">
            <w:pPr>
              <w:pStyle w:val="Tabletextleft"/>
              <w:cnfStyle w:val="000000010000" w:firstRow="0" w:lastRow="0" w:firstColumn="0" w:lastColumn="0" w:oddVBand="0" w:evenVBand="0" w:oddHBand="0" w:evenHBand="1" w:firstRowFirstColumn="0" w:firstRowLastColumn="0" w:lastRowFirstColumn="0" w:lastRowLastColumn="0"/>
            </w:pPr>
            <w:r w:rsidRPr="00A56269">
              <w:t>Ask GA delegates whether they were involved with a project delivered at the 34</w:t>
            </w:r>
            <w:r w:rsidRPr="002D3D57">
              <w:rPr>
                <w:rStyle w:val="Superscript"/>
              </w:rPr>
              <w:t>th</w:t>
            </w:r>
            <w:r w:rsidRPr="00A56269">
              <w:t xml:space="preserve"> IGC.</w:t>
            </w:r>
          </w:p>
        </w:tc>
      </w:tr>
      <w:tr w:rsidR="00C93401" w:rsidRPr="00A56269" w:rsidTr="00D666AA">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616" w:type="dxa"/>
            <w:vMerge/>
          </w:tcPr>
          <w:p w:rsidR="00C93401" w:rsidRPr="00A56269" w:rsidRDefault="00C93401" w:rsidP="009C49B6">
            <w:pPr>
              <w:pStyle w:val="Tabletextleft"/>
            </w:pPr>
          </w:p>
        </w:tc>
        <w:tc>
          <w:tcPr>
            <w:tcW w:w="2256" w:type="dxa"/>
            <w:vMerge/>
          </w:tcPr>
          <w:p w:rsidR="00C93401" w:rsidRPr="00A56269" w:rsidRDefault="00C93401" w:rsidP="009C49B6">
            <w:pPr>
              <w:pStyle w:val="Tabletextleft"/>
              <w:cnfStyle w:val="000000100000" w:firstRow="0" w:lastRow="0" w:firstColumn="0" w:lastColumn="0" w:oddVBand="0" w:evenVBand="0" w:oddHBand="1"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567" w:type="dxa"/>
          </w:tcPr>
          <w:p w:rsidR="00C93401" w:rsidRPr="00A56269" w:rsidRDefault="00C93401" w:rsidP="009C49B6">
            <w:pPr>
              <w:pStyle w:val="Tabletextleft"/>
            </w:pPr>
            <w:r w:rsidRPr="00A56269">
              <w:t>Download Statistics</w:t>
            </w:r>
          </w:p>
        </w:tc>
        <w:tc>
          <w:tcPr>
            <w:tcW w:w="3083" w:type="dxa"/>
          </w:tcPr>
          <w:p w:rsidR="00C93401" w:rsidRPr="00A56269" w:rsidRDefault="00C93401" w:rsidP="009C49B6">
            <w:pPr>
              <w:pStyle w:val="Tabletextleft"/>
              <w:cnfStyle w:val="000000100000" w:firstRow="0" w:lastRow="0" w:firstColumn="0" w:lastColumn="0" w:oddVBand="0" w:evenVBand="0" w:oddHBand="1" w:evenHBand="0" w:firstRowFirstColumn="0" w:firstRowLastColumn="0" w:lastRowFirstColumn="0" w:lastRowLastColumn="0"/>
            </w:pPr>
            <w:r w:rsidRPr="00A56269">
              <w:t>Measure the activity on websites for the relevant dataset.</w:t>
            </w:r>
          </w:p>
        </w:tc>
      </w:tr>
    </w:tbl>
    <w:p w:rsidR="00C93401" w:rsidRPr="00296658" w:rsidRDefault="00C93401" w:rsidP="00296658">
      <w:pPr>
        <w:pStyle w:val="Heading2"/>
      </w:pPr>
      <w:bookmarkStart w:id="169" w:name="_Toc353282033"/>
      <w:bookmarkStart w:id="170" w:name="_Toc355274245"/>
      <w:r w:rsidRPr="00296658">
        <w:t>Interviews</w:t>
      </w:r>
      <w:bookmarkEnd w:id="169"/>
      <w:bookmarkEnd w:id="170"/>
    </w:p>
    <w:p w:rsidR="00C93401" w:rsidRPr="003F3886" w:rsidRDefault="00C93401" w:rsidP="00C93401">
      <w:pPr>
        <w:pStyle w:val="BodyText"/>
      </w:pPr>
      <w:r w:rsidRPr="003F3886">
        <w:t>Anecdotal evidence of positive outcomes from the previous IGC held in Australia (25</w:t>
      </w:r>
      <w:r w:rsidRPr="00CF07C2">
        <w:rPr>
          <w:rStyle w:val="Superscript"/>
        </w:rPr>
        <w:t>th</w:t>
      </w:r>
      <w:r w:rsidRPr="003F3886">
        <w:t xml:space="preserve"> IGC, Sydney 1976) prompted the identification of individuals within the GA suitable for case study interviews. Interviews were targeted at current GA employees that were either within Bureau of Mineral Resources (BMR, a predecessor to GA) at the time of the 25</w:t>
      </w:r>
      <w:r w:rsidRPr="00CF07C2">
        <w:rPr>
          <w:rStyle w:val="Superscript"/>
        </w:rPr>
        <w:t>th</w:t>
      </w:r>
      <w:r w:rsidRPr="003F3886">
        <w:t xml:space="preserve"> IGC, or had attended the 25</w:t>
      </w:r>
      <w:r w:rsidRPr="00CF07C2">
        <w:rPr>
          <w:rStyle w:val="Superscript"/>
        </w:rPr>
        <w:t>th</w:t>
      </w:r>
      <w:r w:rsidRPr="003F3886">
        <w:t xml:space="preserve"> IGC prior </w:t>
      </w:r>
      <w:r w:rsidRPr="003F3886">
        <w:lastRenderedPageBreak/>
        <w:t>to commencing employment at GA. In total, four GA staff members were interviewed about their experience of the 25</w:t>
      </w:r>
      <w:r w:rsidRPr="00CF07C2">
        <w:rPr>
          <w:rStyle w:val="Superscript"/>
        </w:rPr>
        <w:t>th</w:t>
      </w:r>
      <w:r w:rsidRPr="003F3886">
        <w:t xml:space="preserve"> IGC:</w:t>
      </w:r>
    </w:p>
    <w:p w:rsidR="00C93401" w:rsidRPr="003F3886" w:rsidRDefault="00C93401" w:rsidP="00C93401">
      <w:pPr>
        <w:pStyle w:val="Bulletlevel1"/>
      </w:pPr>
      <w:r w:rsidRPr="003F3886">
        <w:t>Dr Clinton Foster (PhD student in 1976);</w:t>
      </w:r>
    </w:p>
    <w:p w:rsidR="00C93401" w:rsidRPr="003F3886" w:rsidRDefault="00C93401" w:rsidP="00C93401">
      <w:pPr>
        <w:pStyle w:val="Bulletlevel1"/>
      </w:pPr>
      <w:r w:rsidRPr="003F3886">
        <w:t>Dr Alistair Stewart (BMR employee for 15 years in 1976);</w:t>
      </w:r>
    </w:p>
    <w:p w:rsidR="00C93401" w:rsidRPr="003F3886" w:rsidRDefault="00C93401" w:rsidP="00C93401">
      <w:pPr>
        <w:pStyle w:val="Bulletlevel1"/>
      </w:pPr>
      <w:r w:rsidRPr="003F3886">
        <w:t>Dr Marita Bradshaw (Honours student in 1976)</w:t>
      </w:r>
      <w:r w:rsidR="00602511">
        <w:t>;</w:t>
      </w:r>
      <w:r w:rsidRPr="003F3886">
        <w:t xml:space="preserve"> and</w:t>
      </w:r>
      <w:r w:rsidR="00602511">
        <w:t>,</w:t>
      </w:r>
    </w:p>
    <w:p w:rsidR="00C93401" w:rsidRPr="003F3886" w:rsidRDefault="00C93401" w:rsidP="00C93401">
      <w:pPr>
        <w:pStyle w:val="Bulletlevel1"/>
      </w:pPr>
      <w:r w:rsidRPr="003F3886">
        <w:t>Dr John Kennard (BMR employee for 1 year in 1976).</w:t>
      </w:r>
    </w:p>
    <w:p w:rsidR="00C93401" w:rsidRPr="003F3886" w:rsidRDefault="00C93401" w:rsidP="00C93401">
      <w:pPr>
        <w:pStyle w:val="BodyText"/>
      </w:pPr>
      <w:r w:rsidRPr="003F3886">
        <w:t>These GA employees were asked:</w:t>
      </w:r>
    </w:p>
    <w:p w:rsidR="00C93401" w:rsidRPr="003F3886" w:rsidRDefault="00C93401" w:rsidP="00C93401">
      <w:pPr>
        <w:pStyle w:val="Bulletlevel1"/>
      </w:pPr>
      <w:r w:rsidRPr="003F3886">
        <w:t>Did your attendance at the 25</w:t>
      </w:r>
      <w:r w:rsidRPr="00CF07C2">
        <w:rPr>
          <w:rStyle w:val="Superscript"/>
        </w:rPr>
        <w:t>th</w:t>
      </w:r>
      <w:r w:rsidRPr="003F3886">
        <w:t xml:space="preserve"> IGC impact your time at GA?;</w:t>
      </w:r>
    </w:p>
    <w:p w:rsidR="00C93401" w:rsidRPr="003F3886" w:rsidRDefault="00C93401" w:rsidP="00C93401">
      <w:pPr>
        <w:pStyle w:val="Bulletlevel1"/>
      </w:pPr>
      <w:r w:rsidRPr="003F3886">
        <w:t>Did your attendance at the 25</w:t>
      </w:r>
      <w:r w:rsidRPr="00CF07C2">
        <w:rPr>
          <w:rStyle w:val="Superscript"/>
        </w:rPr>
        <w:t>th</w:t>
      </w:r>
      <w:r w:rsidRPr="003F3886">
        <w:t xml:space="preserve"> IGC influence your career?;</w:t>
      </w:r>
    </w:p>
    <w:p w:rsidR="00C93401" w:rsidRPr="003F3886" w:rsidRDefault="00C93401" w:rsidP="00C93401">
      <w:pPr>
        <w:pStyle w:val="Bulletlevel1"/>
      </w:pPr>
      <w:r w:rsidRPr="003F3886">
        <w:t>To describe their experience at the 25</w:t>
      </w:r>
      <w:r w:rsidRPr="00CF07C2">
        <w:rPr>
          <w:rStyle w:val="Superscript"/>
        </w:rPr>
        <w:t>th</w:t>
      </w:r>
      <w:r w:rsidRPr="003F3886">
        <w:t xml:space="preserve"> IGC;</w:t>
      </w:r>
    </w:p>
    <w:p w:rsidR="00C93401" w:rsidRPr="003F3886" w:rsidRDefault="00C93401" w:rsidP="00C93401">
      <w:pPr>
        <w:pStyle w:val="Bulletlevel1"/>
      </w:pPr>
      <w:r w:rsidRPr="003F3886">
        <w:t>What stage of their career they were at during the 25</w:t>
      </w:r>
      <w:r w:rsidRPr="00CF07C2">
        <w:rPr>
          <w:rStyle w:val="Superscript"/>
        </w:rPr>
        <w:t>th</w:t>
      </w:r>
      <w:r w:rsidRPr="003F3886">
        <w:t xml:space="preserve"> IGC?</w:t>
      </w:r>
      <w:r w:rsidR="00602511">
        <w:t>;</w:t>
      </w:r>
      <w:r w:rsidRPr="003F3886">
        <w:t xml:space="preserve"> and</w:t>
      </w:r>
      <w:r w:rsidR="00602511">
        <w:t>,</w:t>
      </w:r>
    </w:p>
    <w:p w:rsidR="00C93401" w:rsidRPr="003F3886" w:rsidRDefault="00C93401" w:rsidP="00C93401">
      <w:pPr>
        <w:pStyle w:val="Bulletlevel1"/>
      </w:pPr>
      <w:r w:rsidRPr="003F3886">
        <w:t>Were there any major products to come out of or developed for the 25</w:t>
      </w:r>
      <w:r w:rsidRPr="00CF07C2">
        <w:rPr>
          <w:rStyle w:val="Superscript"/>
        </w:rPr>
        <w:t>th</w:t>
      </w:r>
      <w:r w:rsidRPr="003F3886">
        <w:t xml:space="preserve"> IGC?</w:t>
      </w:r>
    </w:p>
    <w:p w:rsidR="00C93401" w:rsidRPr="003F3886" w:rsidRDefault="00C93401" w:rsidP="00C93401">
      <w:pPr>
        <w:pStyle w:val="BodyText"/>
      </w:pPr>
      <w:r w:rsidRPr="003F3886">
        <w:t>These questions were deliberately broad to allow a range of responses and to encourage the interviewees to reflect on any long-term benefits of participation in the 25</w:t>
      </w:r>
      <w:r w:rsidRPr="00CF07C2">
        <w:rPr>
          <w:rStyle w:val="Superscript"/>
        </w:rPr>
        <w:t>th</w:t>
      </w:r>
      <w:r w:rsidRPr="003F3886">
        <w:t xml:space="preserve"> IGC to their professional development.</w:t>
      </w:r>
    </w:p>
    <w:p w:rsidR="00C93401" w:rsidRPr="003F3886" w:rsidRDefault="00C93401" w:rsidP="00C93401">
      <w:pPr>
        <w:pStyle w:val="BodyText"/>
      </w:pPr>
      <w:r w:rsidRPr="003F3886">
        <w:t>The main themes to emerge from these discussions were that the 25</w:t>
      </w:r>
      <w:r w:rsidRPr="00CF07C2">
        <w:rPr>
          <w:rStyle w:val="Superscript"/>
        </w:rPr>
        <w:t>th</w:t>
      </w:r>
      <w:r w:rsidRPr="003F3886">
        <w:t xml:space="preserve"> IGC provided participants with exposure to a great breadth of international geoscience research and an opportunity to show off Australia and its fantastic geology. The breadth of the science and international nature of the congress left an impression on those who had just completed their studies. At the time of the 25</w:t>
      </w:r>
      <w:r w:rsidRPr="00CF07C2">
        <w:rPr>
          <w:rStyle w:val="Superscript"/>
        </w:rPr>
        <w:t>th</w:t>
      </w:r>
      <w:r w:rsidRPr="003F3886">
        <w:t xml:space="preserve"> IGC, it was much rarer for geoscientists working at BMR and geology students to get the chance to attend an international conference and therefore, for them to be aware of current international research trends. This was important as information was not as readily available in 1976. It was also noted that BMR had the major role in designing and organising many of the IGC field trips e.g. Amadeus Basin</w:t>
      </w:r>
      <w:r>
        <w:t xml:space="preserve"> (Wells, 1976).</w:t>
      </w:r>
    </w:p>
    <w:p w:rsidR="00C93401" w:rsidRDefault="00C93401" w:rsidP="00C93401">
      <w:pPr>
        <w:pStyle w:val="Heading2"/>
      </w:pPr>
      <w:bookmarkStart w:id="171" w:name="_Toc353282034"/>
      <w:bookmarkStart w:id="172" w:name="_Toc355274246"/>
      <w:r>
        <w:rPr>
          <w:szCs w:val="21"/>
        </w:rPr>
        <w:t xml:space="preserve">GA </w:t>
      </w:r>
      <w:r w:rsidRPr="008D2CA0">
        <w:rPr>
          <w:szCs w:val="21"/>
        </w:rPr>
        <w:t>34</w:t>
      </w:r>
      <w:r w:rsidRPr="00CF07C2">
        <w:rPr>
          <w:rStyle w:val="Superscript"/>
        </w:rPr>
        <w:t>th</w:t>
      </w:r>
      <w:r>
        <w:t xml:space="preserve"> IGC Participation Survey</w:t>
      </w:r>
      <w:bookmarkEnd w:id="171"/>
      <w:bookmarkEnd w:id="172"/>
    </w:p>
    <w:p w:rsidR="00C93401" w:rsidRPr="003F3886" w:rsidRDefault="00C93401" w:rsidP="00C93401">
      <w:pPr>
        <w:pStyle w:val="BodyText"/>
      </w:pPr>
      <w:r w:rsidRPr="003F3886">
        <w:t xml:space="preserve">Surveys are a useful tool for collecting data in a non-threatening environment (Voice Project, 2012a). They provide a snapshot of participant’s attitudes and perceptions, and are also an important mechanism for allowing staff to feel engaged, by providing a pathway for feedback. Therefore, a survey on experiences surrounding the </w:t>
      </w:r>
      <w:r w:rsidRPr="003F3886">
        <w:rPr>
          <w:szCs w:val="21"/>
        </w:rPr>
        <w:t>34</w:t>
      </w:r>
      <w:r w:rsidRPr="00CF07C2">
        <w:rPr>
          <w:rStyle w:val="Superscript"/>
        </w:rPr>
        <w:t>th</w:t>
      </w:r>
      <w:r w:rsidRPr="003F3886">
        <w:t xml:space="preserve"> IGC was administered to 120 GA staff who attended the congress, capturing a cross-section of GA employees across all APS levels and with varying levels of experience. </w:t>
      </w:r>
    </w:p>
    <w:p w:rsidR="00C93401" w:rsidRPr="003F3886" w:rsidRDefault="00C93401" w:rsidP="00C93401">
      <w:pPr>
        <w:pStyle w:val="BodyText"/>
      </w:pPr>
      <w:r w:rsidRPr="003F3886">
        <w:t>The survey was delivered in two parts; one pre-congress and one post-congress (Appendix One and Appendix Two). This enabled the capture of the mood and attitude of the organisation immediately pre- and post-</w:t>
      </w:r>
      <w:r w:rsidRPr="003F3886">
        <w:rPr>
          <w:szCs w:val="21"/>
        </w:rPr>
        <w:t>34</w:t>
      </w:r>
      <w:r w:rsidRPr="00CF07C2">
        <w:rPr>
          <w:rStyle w:val="Superscript"/>
        </w:rPr>
        <w:t>th</w:t>
      </w:r>
      <w:r w:rsidRPr="003F3886">
        <w:t xml:space="preserve"> IGC, as well as differences between expectations and the realities of conference attendance. The two-part survey had the additional benefit of providing an opportunity to identify key issues prior to the </w:t>
      </w:r>
      <w:r w:rsidRPr="003F3886">
        <w:rPr>
          <w:szCs w:val="21"/>
        </w:rPr>
        <w:t>34</w:t>
      </w:r>
      <w:r w:rsidRPr="00CF07C2">
        <w:rPr>
          <w:rStyle w:val="Superscript"/>
        </w:rPr>
        <w:t>th</w:t>
      </w:r>
      <w:r w:rsidRPr="003F3886">
        <w:t xml:space="preserve"> IGC and use these to guide the questions in the post-</w:t>
      </w:r>
      <w:r w:rsidRPr="003F3886">
        <w:rPr>
          <w:szCs w:val="21"/>
        </w:rPr>
        <w:t>34</w:t>
      </w:r>
      <w:r w:rsidRPr="00CF07C2">
        <w:rPr>
          <w:rStyle w:val="Superscript"/>
        </w:rPr>
        <w:t>th</w:t>
      </w:r>
      <w:r w:rsidRPr="003F3886">
        <w:t xml:space="preserve"> IGC survey. The survey was also designed to assess whether short-term expectations were met. Medium to long-term benefits were identified but could not be assessed within the time frame of the project and require follow-up assessment by the organisation.</w:t>
      </w:r>
    </w:p>
    <w:p w:rsidR="00C93401" w:rsidRPr="00EF4865" w:rsidRDefault="00C93401" w:rsidP="00C93401">
      <w:pPr>
        <w:pStyle w:val="Heading3"/>
      </w:pPr>
      <w:bookmarkStart w:id="173" w:name="_Toc353282035"/>
      <w:bookmarkStart w:id="174" w:name="_Toc355274247"/>
      <w:r>
        <w:lastRenderedPageBreak/>
        <w:t>Survey F</w:t>
      </w:r>
      <w:r w:rsidRPr="00EF4865">
        <w:t>ormat</w:t>
      </w:r>
      <w:bookmarkEnd w:id="173"/>
      <w:bookmarkEnd w:id="174"/>
    </w:p>
    <w:p w:rsidR="00C93401" w:rsidRPr="003F3886" w:rsidRDefault="00C93401" w:rsidP="00C93401">
      <w:pPr>
        <w:pStyle w:val="BodyText"/>
      </w:pPr>
      <w:r w:rsidRPr="003F3886">
        <w:t>In order to maximise the response rate, several criteria guided the design of the survey. These included:</w:t>
      </w:r>
    </w:p>
    <w:p w:rsidR="00C93401" w:rsidRPr="003F3886" w:rsidRDefault="00C93401" w:rsidP="00C93401">
      <w:pPr>
        <w:pStyle w:val="Bulletlevel1"/>
      </w:pPr>
      <w:r w:rsidRPr="003F3886">
        <w:t>The total survey should be short and take less than ten minutes to complete;</w:t>
      </w:r>
    </w:p>
    <w:p w:rsidR="00C93401" w:rsidRPr="003F3886" w:rsidRDefault="00C93401" w:rsidP="00C93401">
      <w:pPr>
        <w:pStyle w:val="Bulletlevel1"/>
      </w:pPr>
      <w:r w:rsidRPr="003F3886">
        <w:t>Clear questions that avoided ambiguity;</w:t>
      </w:r>
    </w:p>
    <w:p w:rsidR="00C93401" w:rsidRPr="003F3886" w:rsidRDefault="00C93401" w:rsidP="00C93401">
      <w:pPr>
        <w:pStyle w:val="Bulletlevel1"/>
      </w:pPr>
      <w:r w:rsidRPr="003F3886">
        <w:t>Clear layout and design</w:t>
      </w:r>
      <w:r w:rsidR="00602511">
        <w:t>;</w:t>
      </w:r>
      <w:r w:rsidRPr="003F3886">
        <w:t xml:space="preserve"> and</w:t>
      </w:r>
      <w:r w:rsidR="00602511">
        <w:t>,</w:t>
      </w:r>
    </w:p>
    <w:p w:rsidR="00C93401" w:rsidRPr="003F3886" w:rsidRDefault="00C93401" w:rsidP="00C93401">
      <w:pPr>
        <w:pStyle w:val="Bulletlevel1"/>
      </w:pPr>
      <w:r w:rsidRPr="003F3886">
        <w:t>A mix of multiple choice and free-text questions.</w:t>
      </w:r>
    </w:p>
    <w:p w:rsidR="00C93401" w:rsidRPr="003F3886" w:rsidRDefault="00C93401" w:rsidP="00C93401">
      <w:pPr>
        <w:pStyle w:val="BodyText"/>
      </w:pPr>
      <w:r w:rsidRPr="003F3886">
        <w:t>The use of different types of questions was considered important to appeal to different types of respondents. Those that want short and sharp questions and those that want to verbalise exactly what they wish to get across. In addition, the first survey used more questions with free-text responses, allowing broad information gathering that was used to focus the second survey, which contained more multiple-choice questions to expedite the survey analysis. The mix of multiple choice and free-text response questions were carefully designed and reviewed.</w:t>
      </w:r>
    </w:p>
    <w:p w:rsidR="00C93401" w:rsidRPr="003F3886" w:rsidRDefault="00C93401" w:rsidP="00C93401">
      <w:pPr>
        <w:pStyle w:val="BodyText"/>
      </w:pPr>
      <w:r w:rsidRPr="003F3886">
        <w:t xml:space="preserve">The survey was hosted on the Survey Monkey website (SurveyMonkey, 1999-2012). GA delegates were sent an email containing a </w:t>
      </w:r>
      <w:r w:rsidRPr="003F3886">
        <w:rPr>
          <w:szCs w:val="21"/>
        </w:rPr>
        <w:t>link to the online survey, a short explanation of the purpose and an invitation to participate. Results</w:t>
      </w:r>
      <w:r w:rsidRPr="003F3886">
        <w:t xml:space="preserve"> were then downloaded from Survey Monkey as a spreadsheet that could be loaded in to Microsoft Excel. GA employee u-numbers were used to match up responses between surveys and then were replaced by a set of randomly generated numbers prior to analysis of the results. This step was taken to preserve the anonymity of the respondents.</w:t>
      </w:r>
    </w:p>
    <w:p w:rsidR="00C93401" w:rsidRPr="00C9499E" w:rsidRDefault="00C93401" w:rsidP="00C93401">
      <w:pPr>
        <w:pStyle w:val="Heading3"/>
      </w:pPr>
      <w:bookmarkStart w:id="175" w:name="_Toc353282036"/>
      <w:bookmarkStart w:id="176" w:name="_Toc355274248"/>
      <w:r>
        <w:t>Analysis of Respondents</w:t>
      </w:r>
      <w:bookmarkEnd w:id="175"/>
      <w:bookmarkEnd w:id="176"/>
    </w:p>
    <w:p w:rsidR="00C93401" w:rsidRDefault="00C93401" w:rsidP="00C93401">
      <w:pPr>
        <w:pStyle w:val="BodyText"/>
      </w:pPr>
      <w:r>
        <w:t>The survey questions fell into one of three question types: analytical results, short answer and free-text response. A total of 59 (49%) of the 120 GA delegates responded to the pre-</w:t>
      </w:r>
      <w:r w:rsidRPr="008D2CA0">
        <w:rPr>
          <w:szCs w:val="21"/>
        </w:rPr>
        <w:t>34</w:t>
      </w:r>
      <w:r w:rsidRPr="00CF07C2">
        <w:rPr>
          <w:rStyle w:val="Superscript"/>
        </w:rPr>
        <w:t>th</w:t>
      </w:r>
      <w:r>
        <w:t xml:space="preserve"> IGC survey, while 65 (54%) responded to the post-</w:t>
      </w:r>
      <w:r w:rsidRPr="008D2CA0">
        <w:rPr>
          <w:szCs w:val="21"/>
        </w:rPr>
        <w:t>34</w:t>
      </w:r>
      <w:r w:rsidRPr="00CF07C2">
        <w:rPr>
          <w:rStyle w:val="Superscript"/>
        </w:rPr>
        <w:t>th</w:t>
      </w:r>
      <w:r>
        <w:t xml:space="preserve"> IGC survey. Forty four people (37%) responded to both surveys. These responses were assumed to be representative of the entire GA delegate population with a level of uncertainty defined by the stated confidence intervals. The reported finding for a particular survey question was associated with a confidence interval calculated based on the sample size, population and percentage of answers to give a confidence level of 95%. For example, there is at least a 95% chance that the reported findings, interpreted with respect to their confidence intervals, would remain consistent had 100% of GA IGC delegates responded to the surveys. Where not otherwise stated, a worst-case confidence interval of ±12% should be inferred to provide 95% confidence that the survey responses reflect robust trends within the GA delegate population.</w:t>
      </w:r>
    </w:p>
    <w:p w:rsidR="00C93401" w:rsidRDefault="00C93401" w:rsidP="00C93401">
      <w:pPr>
        <w:pStyle w:val="BodyText"/>
      </w:pPr>
      <w:r>
        <w:t>The responses were distributed across all APS levels (</w:t>
      </w:r>
      <w:r>
        <w:fldChar w:fldCharType="begin"/>
      </w:r>
      <w:r>
        <w:instrText xml:space="preserve"> REF _Ref211749790 \h  \* MERGEFORMAT </w:instrText>
      </w:r>
      <w:r>
        <w:fldChar w:fldCharType="separate"/>
      </w:r>
      <w:r w:rsidR="00EB5AC4" w:rsidRPr="00EB5AC4">
        <w:t>Figure 3.1</w:t>
      </w:r>
      <w:r>
        <w:fldChar w:fldCharType="end"/>
      </w:r>
      <w:r>
        <w:t xml:space="preserve">) indicating the data was representative of all APS levels. </w:t>
      </w:r>
      <w:r w:rsidRPr="00B96673">
        <w:t xml:space="preserve">However, </w:t>
      </w:r>
      <w:r>
        <w:t>as</w:t>
      </w:r>
      <w:r w:rsidRPr="00B96673">
        <w:t xml:space="preserve"> the number of staff who participated</w:t>
      </w:r>
      <w:r>
        <w:t xml:space="preserve"> at</w:t>
      </w:r>
      <w:r w:rsidRPr="00B96673">
        <w:t xml:space="preserve"> the </w:t>
      </w:r>
      <w:r>
        <w:t>34</w:t>
      </w:r>
      <w:r w:rsidRPr="00CF07C2">
        <w:rPr>
          <w:rStyle w:val="Superscript"/>
        </w:rPr>
        <w:t>th</w:t>
      </w:r>
      <w:r w:rsidRPr="00B96673">
        <w:t xml:space="preserve"> IGC at </w:t>
      </w:r>
      <w:r>
        <w:t>specific</w:t>
      </w:r>
      <w:r w:rsidRPr="00B96673">
        <w:t xml:space="preserve"> APS levels </w:t>
      </w:r>
      <w:r>
        <w:t>was</w:t>
      </w:r>
      <w:r w:rsidRPr="00B96673">
        <w:t xml:space="preserve"> unknown</w:t>
      </w:r>
      <w:r>
        <w:t>,</w:t>
      </w:r>
      <w:r w:rsidRPr="00B96673">
        <w:t xml:space="preserve"> the </w:t>
      </w:r>
      <w:r>
        <w:t>percentage of staff that responded at each level</w:t>
      </w:r>
      <w:r w:rsidRPr="00B96673">
        <w:t xml:space="preserve"> could</w:t>
      </w:r>
      <w:r>
        <w:t xml:space="preserve"> </w:t>
      </w:r>
      <w:r w:rsidRPr="00B96673">
        <w:t>not be provided.</w:t>
      </w:r>
    </w:p>
    <w:p w:rsidR="00C93401" w:rsidRPr="005002A4" w:rsidRDefault="00296658" w:rsidP="00AD0DF8">
      <w:pPr>
        <w:pStyle w:val="Figuresandimagescentred"/>
      </w:pPr>
      <w:r>
        <w:rPr>
          <w:noProof/>
        </w:rPr>
        <w:lastRenderedPageBreak/>
        <w:drawing>
          <wp:inline distT="0" distB="0" distL="0" distR="0" wp14:anchorId="21A08DCA" wp14:editId="276C4F28">
            <wp:extent cx="5324475" cy="2343150"/>
            <wp:effectExtent l="0" t="0" r="0" b="0"/>
            <wp:docPr id="14" name="Picture 14" descr="This figure contains two bar graphs, which show the distribution of survey respondents for a) the Pre-34th IGC survey, and b) the Post-34th IGC survey. The horizontal axis is labelled “APS level” and splits GA employees into 5 groups; “APS 1-4”, “APS 5-6”, “EL1”, “EL 2.1-2.6” and “EL2.7 or above”. The vertical axis is labelled “Percentage of responses” and goes from 0% to 40% in 10% intervals.&#10;&#10;In both surveys EL2.1-2.6 were the highest responding group.&#10;The data are summarised in the following tables:&#10;&#10;a) Pre-34th IGC survey&#10;APS level Percentage of responses (%)&#10;1-4 15.3&#10;5-6 15.3&#10;EL1 24.5&#10;EL2.1-2.6 33.9&#10;&gt;=EL2.7 10.2&#10;&#10;b)Post-34th IGC survey&#10;APS level Percentage of responses (%)&#10;1-4 16.9&#10;5-6 9.2&#10;EL1 24.6&#10;EL2.1-2.6 35.4&#10;&gt;=EL2.7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is figure contains two bar graphs, which show the distribution of survey respondents for a) the Pre-34th IGC survey, and b) the Post-34th IGC survey. The horizontal axis is labelled “APS level” and splits GA employees into 5 groups; “APS 1-4”, “APS 5-6”, “EL1”, “EL 2.1-2.6” and “EL2.7 or above”. The vertical axis is labelled “Percentage of responses” and goes from 0% to 40% in 10% intervals.&#10;&#10;In both surveys EL2.1-2.6 were the highest responding group.&#10;The data are summarised in the following tables:&#10;&#10;a) Pre-34th IGC survey&#10;APS level Percentage of responses (%)&#10;1-4 15.3&#10;5-6 15.3&#10;EL1 24.5&#10;EL2.1-2.6 33.9&#10;&gt;=EL2.7 10.2&#10;&#10;b)Post-34th IGC survey&#10;APS level Percentage of responses (%)&#10;1-4 16.9&#10;5-6 9.2&#10;EL1 24.6&#10;EL2.1-2.6 35.4&#10;&gt;=EL2.7 1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4475" cy="2343150"/>
                    </a:xfrm>
                    <a:prstGeom prst="rect">
                      <a:avLst/>
                    </a:prstGeom>
                    <a:noFill/>
                    <a:ln>
                      <a:noFill/>
                    </a:ln>
                  </pic:spPr>
                </pic:pic>
              </a:graphicData>
            </a:graphic>
          </wp:inline>
        </w:drawing>
      </w:r>
    </w:p>
    <w:p w:rsidR="00C93401" w:rsidRPr="00071382" w:rsidRDefault="00C93401" w:rsidP="00C93401">
      <w:pPr>
        <w:pStyle w:val="Caption"/>
      </w:pPr>
      <w:bookmarkStart w:id="177" w:name="_Ref211749790"/>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3</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1</w:t>
      </w:r>
      <w:r w:rsidRPr="00D27C1C">
        <w:rPr>
          <w:rStyle w:val="Strong"/>
        </w:rPr>
        <w:fldChar w:fldCharType="end"/>
      </w:r>
      <w:bookmarkEnd w:id="177"/>
      <w:r w:rsidRPr="00356CC4">
        <w:rPr>
          <w:rStyle w:val="Bold"/>
        </w:rPr>
        <w:t>:</w:t>
      </w:r>
      <w:r w:rsidRPr="003A2F94">
        <w:t xml:space="preserve"> </w:t>
      </w:r>
      <w:r w:rsidRPr="00071382">
        <w:t xml:space="preserve">Distribution of response percentage across all APS levels at GA </w:t>
      </w:r>
      <w:r>
        <w:t>for, a)</w:t>
      </w:r>
      <w:r w:rsidRPr="00071382">
        <w:t xml:space="preserve"> the Pre-</w:t>
      </w:r>
      <w:r w:rsidRPr="008D2CA0">
        <w:rPr>
          <w:szCs w:val="21"/>
        </w:rPr>
        <w:t>34</w:t>
      </w:r>
      <w:r w:rsidRPr="00CF07C2">
        <w:rPr>
          <w:rStyle w:val="Superscript"/>
        </w:rPr>
        <w:t>th</w:t>
      </w:r>
      <w:r w:rsidRPr="00071382">
        <w:t xml:space="preserve"> IGC survey and</w:t>
      </w:r>
      <w:r>
        <w:t>, b)</w:t>
      </w:r>
      <w:r w:rsidR="00583FC4">
        <w:t xml:space="preserve"> the</w:t>
      </w:r>
      <w:r w:rsidRPr="00071382">
        <w:t xml:space="preserve"> Post-</w:t>
      </w:r>
      <w:r w:rsidRPr="008D2CA0">
        <w:rPr>
          <w:szCs w:val="21"/>
        </w:rPr>
        <w:t>34</w:t>
      </w:r>
      <w:r w:rsidRPr="00CF07C2">
        <w:rPr>
          <w:rStyle w:val="Superscript"/>
        </w:rPr>
        <w:t>th</w:t>
      </w:r>
      <w:r w:rsidRPr="00071382">
        <w:t xml:space="preserve"> IGC survey.</w:t>
      </w:r>
    </w:p>
    <w:p w:rsidR="00C93401" w:rsidRDefault="00C93401" w:rsidP="00C93401">
      <w:pPr>
        <w:pStyle w:val="Heading2"/>
      </w:pPr>
      <w:bookmarkStart w:id="178" w:name="_Toc353282037"/>
      <w:bookmarkStart w:id="179" w:name="_Toc355274249"/>
      <w:r>
        <w:t>Agency Wide Impact for Geoscience Australia</w:t>
      </w:r>
      <w:bookmarkEnd w:id="178"/>
      <w:bookmarkEnd w:id="179"/>
    </w:p>
    <w:p w:rsidR="00C93401" w:rsidRPr="003F3886" w:rsidRDefault="00C93401" w:rsidP="00C93401">
      <w:pPr>
        <w:pStyle w:val="BodyText"/>
      </w:pPr>
      <w:r w:rsidRPr="003F3886">
        <w:t xml:space="preserve">There are a number of ways the GA benefited from being involved in the organisation of the </w:t>
      </w:r>
      <w:r w:rsidRPr="003F3886">
        <w:rPr>
          <w:szCs w:val="21"/>
        </w:rPr>
        <w:t>34</w:t>
      </w:r>
      <w:r w:rsidRPr="00CF07C2">
        <w:rPr>
          <w:rStyle w:val="Superscript"/>
        </w:rPr>
        <w:t>th</w:t>
      </w:r>
      <w:r w:rsidRPr="003F3886">
        <w:t xml:space="preserve"> IGC. Firstly, GA contributed significantly to the organisation of the scientific program (Appendix Three). Therefore, GA had the opportunity to influence the content, so that the scientific research on display was best able to meet GA’s need to keep up to date with applicable science for Australia’s most important geoscience challenges. Secondly, building and strengthening partnerships through networking is an important aspect of business. Prior to the conference GA delegates noted they would have contact with a wide range of stakeholders which included:</w:t>
      </w:r>
    </w:p>
    <w:p w:rsidR="00C93401" w:rsidRPr="003F3886" w:rsidRDefault="00C93401" w:rsidP="00C93401">
      <w:pPr>
        <w:pStyle w:val="Bulletlevel1"/>
      </w:pPr>
      <w:r w:rsidRPr="003F3886">
        <w:t>Government agencies e.g. CSIRO, GNS Science, ministers, state and local government;</w:t>
      </w:r>
    </w:p>
    <w:p w:rsidR="00C93401" w:rsidRPr="003F3886" w:rsidRDefault="00C93401" w:rsidP="00C93401">
      <w:pPr>
        <w:pStyle w:val="Bulletlevel1"/>
      </w:pPr>
      <w:r w:rsidRPr="003F3886">
        <w:t>Industry e.g. consultants, petroleum and mining;</w:t>
      </w:r>
    </w:p>
    <w:p w:rsidR="00C93401" w:rsidRPr="003F3886" w:rsidRDefault="00C93401" w:rsidP="00C93401">
      <w:pPr>
        <w:pStyle w:val="Bulletlevel1"/>
      </w:pPr>
      <w:r w:rsidRPr="003F3886">
        <w:t>Academic institutes e.g. University of Queensland;</w:t>
      </w:r>
    </w:p>
    <w:p w:rsidR="00C93401" w:rsidRPr="003F3886" w:rsidRDefault="00C93401" w:rsidP="00C93401">
      <w:pPr>
        <w:pStyle w:val="Bulletlevel1"/>
      </w:pPr>
      <w:r w:rsidRPr="003F3886">
        <w:t>Societies e.g. Geological Society of London, Australian Society of Exploration Geophysics, Academy of Science</w:t>
      </w:r>
      <w:r w:rsidR="00602511">
        <w:t>;</w:t>
      </w:r>
      <w:r w:rsidRPr="003F3886">
        <w:t xml:space="preserve"> and</w:t>
      </w:r>
      <w:r w:rsidR="00602511">
        <w:t>,</w:t>
      </w:r>
    </w:p>
    <w:p w:rsidR="00C93401" w:rsidRPr="003F3886" w:rsidRDefault="00C93401" w:rsidP="00C93401">
      <w:pPr>
        <w:pStyle w:val="Bulletlevel1"/>
      </w:pPr>
      <w:r w:rsidRPr="003F3886">
        <w:t>International organisations e.g. United States Geological Survey, National Aeronautics and Space Administration, and the Japanese Space System.</w:t>
      </w:r>
    </w:p>
    <w:p w:rsidR="00C93401" w:rsidRPr="003F3886" w:rsidRDefault="00C93401" w:rsidP="00C93401">
      <w:pPr>
        <w:pStyle w:val="BodyText"/>
      </w:pPr>
      <w:r w:rsidRPr="003F3886">
        <w:t xml:space="preserve">This suggests that the </w:t>
      </w:r>
      <w:r w:rsidRPr="003F3886">
        <w:rPr>
          <w:szCs w:val="21"/>
        </w:rPr>
        <w:t>34</w:t>
      </w:r>
      <w:r w:rsidRPr="00CF07C2">
        <w:rPr>
          <w:rStyle w:val="Superscript"/>
        </w:rPr>
        <w:t>th</w:t>
      </w:r>
      <w:r w:rsidRPr="003F3886">
        <w:t xml:space="preserve"> IGC provided a venue for GA employees to strengthen their relationships with stakeholders and collaborate where necessary. However, 47% of GA IGC delegates, with a confidence interval of ±9%, indicated that they were not intending to have contact with any of GA’s stakeholders during the </w:t>
      </w:r>
      <w:r w:rsidRPr="003F3886">
        <w:rPr>
          <w:szCs w:val="21"/>
        </w:rPr>
        <w:t>34</w:t>
      </w:r>
      <w:r w:rsidRPr="00CF07C2">
        <w:rPr>
          <w:rStyle w:val="Superscript"/>
        </w:rPr>
        <w:t>th</w:t>
      </w:r>
      <w:r w:rsidRPr="003F3886">
        <w:t xml:space="preserve"> IGC. It should be noted that survey respondents may not have known what activities they would be participating in, or were not aware of events which stakeholders would be at before attending the conference. </w:t>
      </w:r>
    </w:p>
    <w:p w:rsidR="00C93401" w:rsidRPr="003F3886" w:rsidRDefault="00C93401" w:rsidP="00C93401">
      <w:pPr>
        <w:pStyle w:val="BodyText"/>
      </w:pPr>
      <w:r w:rsidRPr="003F3886">
        <w:t xml:space="preserve">A number of GA products were finalised and launched at the </w:t>
      </w:r>
      <w:r w:rsidRPr="003F3886">
        <w:rPr>
          <w:szCs w:val="21"/>
        </w:rPr>
        <w:t>34</w:t>
      </w:r>
      <w:r w:rsidRPr="00CF07C2">
        <w:rPr>
          <w:rStyle w:val="Superscript"/>
        </w:rPr>
        <w:t>th</w:t>
      </w:r>
      <w:r w:rsidRPr="003F3886">
        <w:t xml:space="preserve"> IGC, however, there was no formal summary available to staff or stakeholders. These included:</w:t>
      </w:r>
    </w:p>
    <w:p w:rsidR="00C93401" w:rsidRPr="003F3886" w:rsidRDefault="00C93401" w:rsidP="00C93401">
      <w:pPr>
        <w:pStyle w:val="Bulletlevel1"/>
      </w:pPr>
      <w:r w:rsidRPr="003F3886">
        <w:t xml:space="preserve">The </w:t>
      </w:r>
      <w:r w:rsidRPr="003F3886">
        <w:rPr>
          <w:szCs w:val="21"/>
        </w:rPr>
        <w:t>34</w:t>
      </w:r>
      <w:r w:rsidRPr="00CF07C2">
        <w:rPr>
          <w:rStyle w:val="Superscript"/>
        </w:rPr>
        <w:t>th</w:t>
      </w:r>
      <w:r w:rsidRPr="003F3886">
        <w:t xml:space="preserve"> IGC book; </w:t>
      </w:r>
      <w:r w:rsidRPr="003F3886">
        <w:rPr>
          <w:rStyle w:val="Bodytextitalic"/>
        </w:rPr>
        <w:t>Shaping A Nation: A Geology of Australia</w:t>
      </w:r>
      <w:r w:rsidRPr="003F3886">
        <w:t>;</w:t>
      </w:r>
    </w:p>
    <w:p w:rsidR="00C93401" w:rsidRPr="003F3886" w:rsidRDefault="00C93401" w:rsidP="00C93401">
      <w:pPr>
        <w:pStyle w:val="Bulletlevel1"/>
      </w:pPr>
      <w:r w:rsidRPr="003F3886">
        <w:rPr>
          <w:rStyle w:val="Bodytextitalic"/>
        </w:rPr>
        <w:t>Uluru and Kata Tjuta: a geological guide</w:t>
      </w:r>
      <w:r w:rsidRPr="003F3886">
        <w:t>;</w:t>
      </w:r>
    </w:p>
    <w:p w:rsidR="00C93401" w:rsidRPr="003F3886" w:rsidRDefault="00C93401" w:rsidP="00C93401">
      <w:pPr>
        <w:pStyle w:val="Bulletlevel1"/>
      </w:pPr>
      <w:r w:rsidRPr="003F3886">
        <w:t>ASTER Geoscience Map of Australia;</w:t>
      </w:r>
    </w:p>
    <w:p w:rsidR="00C93401" w:rsidRPr="003F3886" w:rsidRDefault="00C93401" w:rsidP="00C93401">
      <w:pPr>
        <w:pStyle w:val="Bulletlevel1"/>
      </w:pPr>
      <w:r w:rsidRPr="003F3886">
        <w:lastRenderedPageBreak/>
        <w:t>Western Australia, South Australia and Northern Territory Palaeovalleys Map</w:t>
      </w:r>
      <w:r w:rsidR="00602511">
        <w:t>;</w:t>
      </w:r>
      <w:r w:rsidRPr="003F3886">
        <w:t xml:space="preserve"> and</w:t>
      </w:r>
      <w:r w:rsidR="00602511">
        <w:t>,</w:t>
      </w:r>
    </w:p>
    <w:p w:rsidR="00C93401" w:rsidRPr="003F3886" w:rsidRDefault="00C93401" w:rsidP="00C93401">
      <w:pPr>
        <w:pStyle w:val="Bulletlevel1"/>
      </w:pPr>
      <w:r w:rsidRPr="003F3886">
        <w:t>Hazard modelling tools.</w:t>
      </w:r>
    </w:p>
    <w:p w:rsidR="00C93401" w:rsidRPr="003F3886" w:rsidRDefault="00C93401" w:rsidP="00C93401">
      <w:pPr>
        <w:pStyle w:val="BodyText"/>
        <w:rPr>
          <w:szCs w:val="21"/>
        </w:rPr>
      </w:pPr>
      <w:r w:rsidRPr="003F3886">
        <w:rPr>
          <w:szCs w:val="21"/>
        </w:rPr>
        <w:t>Many of these products represent major work undertaken by GA and were well received by the 34</w:t>
      </w:r>
      <w:r w:rsidRPr="00CF07C2">
        <w:rPr>
          <w:rStyle w:val="Superscript"/>
        </w:rPr>
        <w:t>th</w:t>
      </w:r>
      <w:r w:rsidRPr="003F3886">
        <w:rPr>
          <w:szCs w:val="21"/>
        </w:rPr>
        <w:t xml:space="preserve"> IGC delegation (</w:t>
      </w:r>
      <w:r w:rsidRPr="003F3886">
        <w:rPr>
          <w:szCs w:val="21"/>
        </w:rPr>
        <w:fldChar w:fldCharType="begin"/>
      </w:r>
      <w:r w:rsidRPr="003F3886">
        <w:rPr>
          <w:szCs w:val="21"/>
        </w:rPr>
        <w:instrText xml:space="preserve"> REF _Ref338166691 \h  \* MERGEFORMAT </w:instrText>
      </w:r>
      <w:r w:rsidRPr="003F3886">
        <w:rPr>
          <w:szCs w:val="21"/>
        </w:rPr>
      </w:r>
      <w:r w:rsidRPr="003F3886">
        <w:rPr>
          <w:szCs w:val="21"/>
        </w:rPr>
        <w:fldChar w:fldCharType="separate"/>
      </w:r>
      <w:r w:rsidR="00EB5AC4" w:rsidRPr="00EB5AC4">
        <w:t>Figure 3.2</w:t>
      </w:r>
      <w:r w:rsidRPr="003F3886">
        <w:rPr>
          <w:szCs w:val="21"/>
        </w:rPr>
        <w:fldChar w:fldCharType="end"/>
      </w:r>
      <w:r w:rsidRPr="003F3886">
        <w:rPr>
          <w:szCs w:val="21"/>
        </w:rPr>
        <w:t>). For example,</w:t>
      </w:r>
      <w:r w:rsidRPr="003F3886">
        <w:t xml:space="preserve"> the feedback on the workshops developed by GA in relation to increasing regional natural disaster mitigation capacity was highly positive, with many workshop participants making the effort to thank the workshop organisers in a post-</w:t>
      </w:r>
      <w:r w:rsidRPr="003F3886">
        <w:rPr>
          <w:szCs w:val="21"/>
        </w:rPr>
        <w:t>34</w:t>
      </w:r>
      <w:r w:rsidRPr="00CF07C2">
        <w:rPr>
          <w:rStyle w:val="Superscript"/>
        </w:rPr>
        <w:t>th</w:t>
      </w:r>
      <w:r w:rsidRPr="003F3886">
        <w:t xml:space="preserve"> IGC email. </w:t>
      </w:r>
      <w:r w:rsidRPr="003F3886">
        <w:rPr>
          <w:szCs w:val="21"/>
        </w:rPr>
        <w:t>Further detail is given on the 34</w:t>
      </w:r>
      <w:r w:rsidRPr="00CF07C2">
        <w:rPr>
          <w:rStyle w:val="Superscript"/>
        </w:rPr>
        <w:t>th</w:t>
      </w:r>
      <w:r w:rsidRPr="003F3886">
        <w:rPr>
          <w:szCs w:val="21"/>
        </w:rPr>
        <w:t xml:space="preserve"> IGC book in Section </w:t>
      </w:r>
      <w:r w:rsidRPr="003F3886">
        <w:rPr>
          <w:szCs w:val="21"/>
        </w:rPr>
        <w:fldChar w:fldCharType="begin"/>
      </w:r>
      <w:r w:rsidRPr="003F3886">
        <w:rPr>
          <w:szCs w:val="21"/>
        </w:rPr>
        <w:instrText xml:space="preserve"> REF _Ref338861751 \r </w:instrText>
      </w:r>
      <w:r>
        <w:rPr>
          <w:szCs w:val="21"/>
        </w:rPr>
        <w:instrText xml:space="preserve"> \* MERGEFORMAT </w:instrText>
      </w:r>
      <w:r w:rsidRPr="003F3886">
        <w:rPr>
          <w:szCs w:val="21"/>
        </w:rPr>
        <w:fldChar w:fldCharType="separate"/>
      </w:r>
      <w:r w:rsidR="00EB5AC4">
        <w:rPr>
          <w:szCs w:val="21"/>
        </w:rPr>
        <w:t>3.5.1</w:t>
      </w:r>
      <w:r w:rsidRPr="003F3886">
        <w:rPr>
          <w:szCs w:val="21"/>
        </w:rPr>
        <w:fldChar w:fldCharType="end"/>
      </w:r>
      <w:r w:rsidRPr="003F3886">
        <w:rPr>
          <w:szCs w:val="21"/>
        </w:rPr>
        <w:t>, as GA dedicated a lot of resources to its production and it was well received.</w:t>
      </w:r>
    </w:p>
    <w:p w:rsidR="00C93401" w:rsidRPr="00B91F08" w:rsidRDefault="00823BA5" w:rsidP="00AD0DF8">
      <w:pPr>
        <w:pStyle w:val="Figuresandimagescentred"/>
      </w:pPr>
      <w:r>
        <w:rPr>
          <w:noProof/>
        </w:rPr>
        <w:drawing>
          <wp:inline distT="0" distB="0" distL="0" distR="0" wp14:anchorId="24905D96" wp14:editId="5162F982">
            <wp:extent cx="5404104" cy="3675888"/>
            <wp:effectExtent l="0" t="0" r="6350" b="1270"/>
            <wp:docPr id="42" name="Picture 42" descr="This figure is a graded bar graph, showing the tone of feedback from IGC delegates regarding GA’s involvement and products based on the 44 respondents of the Post-34th IGC survey. The horizontal axis is split into 7 categories; “GA involvement in the IGC”, “GA booth feedback from GA staff”, “GA booth perceived by IGC delegates”, “GA 3D Data Viewer and Kinetic Data Explorer”, “IGC book: Shaping a Nation: A Geology of Australia”, “Uluru and Kata Tjuta: A geological guide”, and “Other products launched at the IGC”. The vertical axis is labelled “Percentage of responses” and goes from 0% to 100% in 20% intervals. Each bar is split along the vertical axis based on the tone of feedback; “Strongly positive”, “Positive”, “Neutral”, “Negative”, “Strongly negative”, and “No feedback”.&#10;&#10;Across all the categories the feedback was mostly “Positive” and “Strongly positive”. No “Negative” or “Strongly negative” feedback was received. The data are summarised in the following table:&#10;&#10;&#10; GA’s involvement in the IGC GA booth feedback from GA staff GA booth perceived by IGC delegates GA 3D Data Viewer &amp; Kinetic Data Explorer IGC book: Shaping a Nation: A Geology of Australia Uluru and Kata Tjuta: A geological guide Other products launched at the IGC&#10;Strongly Positive 36.4&#10; 29.5 31.8 34.1 59.1 20.5 13.6&#10;Positive 43.2 63.6 38.6 29.5 25 34.1 29.5&#10;Neutral 20.5 6.8 2.3 4.5 4.5 11.4 9.1&#10;Negative 0 0 0 0 0 0 0&#10;Strongly Negative 0 0 0 0 0 0 0&#10;No Feedback 0 0 27.3 31.8 11.4 34.1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806-3_2_27Feb.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4104" cy="3675888"/>
                    </a:xfrm>
                    <a:prstGeom prst="rect">
                      <a:avLst/>
                    </a:prstGeom>
                  </pic:spPr>
                </pic:pic>
              </a:graphicData>
            </a:graphic>
          </wp:inline>
        </w:drawing>
      </w:r>
    </w:p>
    <w:p w:rsidR="00C93401" w:rsidRDefault="00C93401" w:rsidP="00C93401">
      <w:pPr>
        <w:pStyle w:val="Caption"/>
      </w:pPr>
      <w:bookmarkStart w:id="180" w:name="_Ref338166691"/>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3</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2</w:t>
      </w:r>
      <w:r w:rsidRPr="00D27C1C">
        <w:rPr>
          <w:rStyle w:val="Strong"/>
        </w:rPr>
        <w:fldChar w:fldCharType="end"/>
      </w:r>
      <w:bookmarkEnd w:id="180"/>
      <w:r w:rsidRPr="00356CC4">
        <w:rPr>
          <w:rStyle w:val="Bold"/>
        </w:rPr>
        <w:t>:</w:t>
      </w:r>
      <w:r w:rsidRPr="003A2F94">
        <w:t xml:space="preserve"> </w:t>
      </w:r>
      <w:r w:rsidRPr="002F74CD">
        <w:t xml:space="preserve">Different types of feedback received by </w:t>
      </w:r>
      <w:r>
        <w:t xml:space="preserve">the </w:t>
      </w:r>
      <w:r w:rsidRPr="002F74CD">
        <w:t xml:space="preserve">44 surveyed GA staff members from other </w:t>
      </w:r>
      <w:r w:rsidRPr="008D2CA0">
        <w:rPr>
          <w:szCs w:val="21"/>
        </w:rPr>
        <w:t>34</w:t>
      </w:r>
      <w:r w:rsidRPr="00CF07C2">
        <w:rPr>
          <w:rStyle w:val="Superscript"/>
        </w:rPr>
        <w:t>th</w:t>
      </w:r>
      <w:r w:rsidRPr="002F74CD">
        <w:t xml:space="preserve"> IGC delegates (or from other GA staff where mentioned) on GA’s products and involvement in the</w:t>
      </w:r>
      <w:r w:rsidR="00583FC4">
        <w:t xml:space="preserve"> </w:t>
      </w:r>
      <w:r w:rsidRPr="008D2CA0">
        <w:rPr>
          <w:szCs w:val="21"/>
        </w:rPr>
        <w:t>34</w:t>
      </w:r>
      <w:r w:rsidRPr="00CF07C2">
        <w:rPr>
          <w:rStyle w:val="Superscript"/>
        </w:rPr>
        <w:t>th</w:t>
      </w:r>
      <w:r w:rsidRPr="002F74CD">
        <w:t xml:space="preserve"> IGC.</w:t>
      </w:r>
    </w:p>
    <w:p w:rsidR="00C93401" w:rsidRPr="003F3886" w:rsidRDefault="00C93401" w:rsidP="00C93401">
      <w:pPr>
        <w:pStyle w:val="BodyText"/>
        <w:rPr>
          <w:szCs w:val="21"/>
        </w:rPr>
      </w:pPr>
      <w:r w:rsidRPr="003F3886">
        <w:t>Finally, the GA booth within GeoExpo allowed GA to show its capability and products to an international audience (</w:t>
      </w:r>
      <w:r w:rsidRPr="003F3886">
        <w:fldChar w:fldCharType="begin"/>
      </w:r>
      <w:r w:rsidRPr="003F3886">
        <w:instrText xml:space="preserve"> REF _Ref338166691 \h  \* MERGEFORMAT </w:instrText>
      </w:r>
      <w:r w:rsidRPr="003F3886">
        <w:fldChar w:fldCharType="separate"/>
      </w:r>
      <w:r w:rsidR="00EB5AC4" w:rsidRPr="00EB5AC4">
        <w:t>Figure 3.2</w:t>
      </w:r>
      <w:r w:rsidRPr="003F3886">
        <w:fldChar w:fldCharType="end"/>
      </w:r>
      <w:r w:rsidRPr="003F3886">
        <w:t xml:space="preserve">). GA’s high-quality open-access software and the usefulness of freely available data products such as that showcased by </w:t>
      </w:r>
      <w:r w:rsidR="00583FC4">
        <w:t>GA’s 3D Data Viewer</w:t>
      </w:r>
      <w:r w:rsidRPr="003F3886">
        <w:t xml:space="preserve"> were praised at the GA booth and very popular. It should be noted that the booth and products received no negative feedback, although this may reflect patron’s unwillingness to give criticism directly to GA employees manning the booth, suggesting that in this case surveying GA’s employees was not an effective way to gauge this information. Considering hundreds of people visited the GA booth everyday the amount of information disseminated from the booth was significant. </w:t>
      </w:r>
    </w:p>
    <w:p w:rsidR="00C93401" w:rsidRDefault="00C93401" w:rsidP="00BF4509">
      <w:pPr>
        <w:pStyle w:val="Heading3"/>
      </w:pPr>
      <w:bookmarkStart w:id="181" w:name="_Ref338861751"/>
      <w:bookmarkStart w:id="182" w:name="_Toc353282038"/>
      <w:bookmarkStart w:id="183" w:name="_Toc355274250"/>
      <w:r>
        <w:lastRenderedPageBreak/>
        <w:t>Shaping a Nation: A Geology of Australia</w:t>
      </w:r>
      <w:bookmarkEnd w:id="181"/>
      <w:bookmarkEnd w:id="182"/>
      <w:bookmarkEnd w:id="183"/>
    </w:p>
    <w:p w:rsidR="00C93401" w:rsidRPr="003F3886" w:rsidRDefault="00C93401" w:rsidP="00C93401">
      <w:pPr>
        <w:pStyle w:val="BodyText"/>
      </w:pPr>
      <w:r w:rsidRPr="003F3886">
        <w:t>One of the traditions of the IGC is for the host nation to publish a book on the geology of the region. Being the national geoscience agency for Australia, GA was chosen to produce the book for the 34</w:t>
      </w:r>
      <w:r w:rsidRPr="00CF07C2">
        <w:rPr>
          <w:rStyle w:val="Superscript"/>
        </w:rPr>
        <w:t>th</w:t>
      </w:r>
      <w:r w:rsidRPr="003F3886">
        <w:t xml:space="preserve"> IGC. The result was </w:t>
      </w:r>
      <w:r w:rsidRPr="003F3886">
        <w:rPr>
          <w:rStyle w:val="Bodytextitalic"/>
        </w:rPr>
        <w:t>Shaping a Nation: A Geology of Australia</w:t>
      </w:r>
      <w:r w:rsidRPr="003F3886">
        <w:t xml:space="preserve"> (</w:t>
      </w:r>
      <w:r w:rsidRPr="003F3886">
        <w:fldChar w:fldCharType="begin"/>
      </w:r>
      <w:r w:rsidRPr="003F3886">
        <w:instrText xml:space="preserve"> REF _Ref338166765 \h  \* MERGEFORMAT </w:instrText>
      </w:r>
      <w:r w:rsidRPr="003F3886">
        <w:fldChar w:fldCharType="separate"/>
      </w:r>
      <w:r w:rsidR="00EB5AC4" w:rsidRPr="00EB5AC4">
        <w:t>Figure 3.3</w:t>
      </w:r>
      <w:r w:rsidRPr="003F3886">
        <w:fldChar w:fldCharType="end"/>
      </w:r>
      <w:r w:rsidRPr="003F3886">
        <w:t>).</w:t>
      </w:r>
    </w:p>
    <w:p w:rsidR="00C93401" w:rsidRPr="003F3886" w:rsidRDefault="00C93401" w:rsidP="00C93401">
      <w:pPr>
        <w:pStyle w:val="BodyText"/>
      </w:pPr>
      <w:r w:rsidRPr="003F3886">
        <w:t xml:space="preserve">Unlike a traditional geology textbook with a chronological framework, the </w:t>
      </w:r>
      <w:r w:rsidRPr="003F3886">
        <w:rPr>
          <w:szCs w:val="21"/>
        </w:rPr>
        <w:t>34</w:t>
      </w:r>
      <w:r w:rsidRPr="00CF07C2">
        <w:rPr>
          <w:rStyle w:val="Superscript"/>
        </w:rPr>
        <w:t>th</w:t>
      </w:r>
      <w:r w:rsidRPr="003F3886">
        <w:t xml:space="preserve"> IGC book explored how geology has shaped Australia and the Australian people, and was written in a narrative style with a coffee-table, glossy format. Its intended audience was tertiary qualified geoscientists, so it underwent a rigorous review process. However, it was hoped that its production qualities and story-based approach would make it available to a broader audience (Richard Blewett, pers. comm., 2012).</w:t>
      </w:r>
    </w:p>
    <w:p w:rsidR="00C93401" w:rsidRDefault="00296658" w:rsidP="00AD0DF8">
      <w:pPr>
        <w:pStyle w:val="Figuresandimagescentred"/>
      </w:pPr>
      <w:r>
        <w:rPr>
          <w:noProof/>
        </w:rPr>
        <w:drawing>
          <wp:inline distT="0" distB="0" distL="0" distR="0" wp14:anchorId="5C551E41" wp14:editId="48768492">
            <wp:extent cx="3162300" cy="2733675"/>
            <wp:effectExtent l="0" t="0" r="0" b="9525"/>
            <wp:docPr id="16" name="Picture 16" descr="Image of cover of the Geoscience Australia publication Shaping a Nation: A Geology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62300" cy="2733675"/>
                    </a:xfrm>
                    <a:prstGeom prst="rect">
                      <a:avLst/>
                    </a:prstGeom>
                    <a:noFill/>
                    <a:ln>
                      <a:noFill/>
                    </a:ln>
                    <a:effectLst/>
                  </pic:spPr>
                </pic:pic>
              </a:graphicData>
            </a:graphic>
          </wp:inline>
        </w:drawing>
      </w:r>
    </w:p>
    <w:p w:rsidR="00C93401" w:rsidRPr="003A2F94" w:rsidRDefault="00C93401" w:rsidP="00C93401">
      <w:pPr>
        <w:pStyle w:val="Caption"/>
      </w:pPr>
      <w:bookmarkStart w:id="184" w:name="_Ref338166765"/>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3</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3</w:t>
      </w:r>
      <w:r w:rsidRPr="00D27C1C">
        <w:rPr>
          <w:rStyle w:val="Strong"/>
        </w:rPr>
        <w:fldChar w:fldCharType="end"/>
      </w:r>
      <w:bookmarkEnd w:id="184"/>
      <w:r w:rsidRPr="00356CC4">
        <w:rPr>
          <w:rStyle w:val="Bold"/>
        </w:rPr>
        <w:t>:</w:t>
      </w:r>
      <w:r w:rsidRPr="003A2F94">
        <w:t xml:space="preserve"> </w:t>
      </w:r>
      <w:r w:rsidRPr="002F74CD">
        <w:t xml:space="preserve">The cover of the </w:t>
      </w:r>
      <w:r w:rsidRPr="008D2CA0">
        <w:rPr>
          <w:szCs w:val="21"/>
        </w:rPr>
        <w:t>34</w:t>
      </w:r>
      <w:r w:rsidRPr="00CF07C2">
        <w:rPr>
          <w:rStyle w:val="Superscript"/>
        </w:rPr>
        <w:t>th</w:t>
      </w:r>
      <w:r w:rsidRPr="002F74CD">
        <w:t xml:space="preserve"> IGC book, Shaping a Nation:</w:t>
      </w:r>
      <w:r>
        <w:t xml:space="preserve"> A</w:t>
      </w:r>
      <w:r w:rsidRPr="002F74CD">
        <w:t xml:space="preserve"> Geology of Australia.</w:t>
      </w:r>
    </w:p>
    <w:p w:rsidR="00C93401" w:rsidRPr="003F3886" w:rsidRDefault="00C93401" w:rsidP="00C93401">
      <w:pPr>
        <w:pStyle w:val="BodyText"/>
      </w:pPr>
      <w:r w:rsidRPr="003F3886">
        <w:t xml:space="preserve">The </w:t>
      </w:r>
      <w:r w:rsidRPr="003F3886">
        <w:rPr>
          <w:szCs w:val="21"/>
        </w:rPr>
        <w:t>34</w:t>
      </w:r>
      <w:r w:rsidRPr="00CF07C2">
        <w:rPr>
          <w:rStyle w:val="Superscript"/>
        </w:rPr>
        <w:t>th</w:t>
      </w:r>
      <w:r w:rsidRPr="003F3886">
        <w:t xml:space="preserve"> IGC book had a six person editorial board, 54 authors, multiple reviewers as well as production and indexing staff. It took five years to make, from concept to final product, with Richard Blewett—Chief Editor and GA employee—working fulltime on the book for three years and part time for two. The book was co-published by GA and the Australian National University (ANU) E Press. Approximately 40 of the authors were GA employees and most of the production work was completed internally by GA. The book thus represented a considerable investment by GA into the </w:t>
      </w:r>
      <w:r w:rsidRPr="003F3886">
        <w:rPr>
          <w:szCs w:val="21"/>
        </w:rPr>
        <w:t>34</w:t>
      </w:r>
      <w:r w:rsidRPr="00CF07C2">
        <w:rPr>
          <w:rStyle w:val="Superscript"/>
        </w:rPr>
        <w:t>th</w:t>
      </w:r>
      <w:r w:rsidRPr="003F3886">
        <w:t xml:space="preserve"> IGC.</w:t>
      </w:r>
    </w:p>
    <w:p w:rsidR="00C93401" w:rsidRPr="003F3886" w:rsidRDefault="00C93401" w:rsidP="00C93401">
      <w:pPr>
        <w:pStyle w:val="BodyText"/>
      </w:pPr>
      <w:r w:rsidRPr="003F3886">
        <w:t xml:space="preserve">The book was launched at the opening ceremony of the </w:t>
      </w:r>
      <w:r w:rsidRPr="003F3886">
        <w:rPr>
          <w:szCs w:val="21"/>
        </w:rPr>
        <w:t>34</w:t>
      </w:r>
      <w:r w:rsidRPr="00CF07C2">
        <w:rPr>
          <w:rStyle w:val="Superscript"/>
        </w:rPr>
        <w:t>th</w:t>
      </w:r>
      <w:r w:rsidRPr="003F3886">
        <w:t xml:space="preserve"> IGC by the Governor of Queensland</w:t>
      </w:r>
      <w:r w:rsidR="004D2787">
        <w:t>,</w:t>
      </w:r>
      <w:r w:rsidRPr="003F3886">
        <w:t xml:space="preserve"> Penelope Wensley AC, and it was also sold at the GA booth throughout the congress. Online order forms were made available through GA’s website (Commonwealth of Australia, 2012b). </w:t>
      </w:r>
      <w:r w:rsidRPr="003F3886">
        <w:fldChar w:fldCharType="begin"/>
      </w:r>
      <w:r w:rsidRPr="003F3886">
        <w:instrText xml:space="preserve"> REF _Ref337046549 \h  \* MERGEFORMAT </w:instrText>
      </w:r>
      <w:r w:rsidRPr="003F3886">
        <w:fldChar w:fldCharType="separate"/>
      </w:r>
      <w:r w:rsidR="00EB5AC4" w:rsidRPr="00EB5AC4">
        <w:t>Figure 3.4</w:t>
      </w:r>
      <w:r w:rsidRPr="003F3886">
        <w:fldChar w:fldCharType="end"/>
      </w:r>
      <w:r w:rsidRPr="003F3886">
        <w:t xml:space="preserve"> shows the web-traffic for this uniform resource </w:t>
      </w:r>
      <w:r w:rsidR="00470C43">
        <w:t>locator</w:t>
      </w:r>
      <w:r w:rsidR="00470C43" w:rsidRPr="003F3886">
        <w:t xml:space="preserve"> </w:t>
      </w:r>
      <w:r w:rsidRPr="003F3886">
        <w:t>(URL) from 26 July to 4 October 2012 from Sawmill Analytics. Sawmill Analytics is an external web company that GA contracts to monitor the traffic on its web-servers. By the end of this 70 day period there were a total of 1,901 visitors to the webpage, with a large spike of 286 unique visitors on 16 August 2012.</w:t>
      </w:r>
    </w:p>
    <w:p w:rsidR="00C93401" w:rsidRPr="003F3886" w:rsidRDefault="00C93401" w:rsidP="00C93401">
      <w:pPr>
        <w:pStyle w:val="BodyText"/>
      </w:pPr>
      <w:r w:rsidRPr="003F3886">
        <w:t xml:space="preserve">Sales of the </w:t>
      </w:r>
      <w:r w:rsidRPr="003F3886">
        <w:rPr>
          <w:szCs w:val="21"/>
        </w:rPr>
        <w:t>34</w:t>
      </w:r>
      <w:r w:rsidRPr="00CF07C2">
        <w:rPr>
          <w:rStyle w:val="Superscript"/>
        </w:rPr>
        <w:t>th</w:t>
      </w:r>
      <w:r w:rsidRPr="003F3886">
        <w:t xml:space="preserve"> IGC book from its release until 6 September 2012 are summarised in </w:t>
      </w:r>
      <w:r w:rsidRPr="003F3886">
        <w:fldChar w:fldCharType="begin"/>
      </w:r>
      <w:r w:rsidRPr="003F3886">
        <w:instrText xml:space="preserve"> REF _Ref338166898 \h  \* MERGEFORMAT </w:instrText>
      </w:r>
      <w:r w:rsidRPr="003F3886">
        <w:fldChar w:fldCharType="separate"/>
      </w:r>
      <w:r w:rsidR="00EB5AC4" w:rsidRPr="00EB5AC4">
        <w:t>Figure 3.5</w:t>
      </w:r>
      <w:r w:rsidRPr="003F3886">
        <w:fldChar w:fldCharType="end"/>
      </w:r>
      <w:r w:rsidRPr="003F3886">
        <w:t xml:space="preserve">. Out of the total 527 sales, sales during the </w:t>
      </w:r>
      <w:r w:rsidRPr="003F3886">
        <w:rPr>
          <w:szCs w:val="21"/>
        </w:rPr>
        <w:t>34</w:t>
      </w:r>
      <w:r w:rsidRPr="00CF07C2">
        <w:rPr>
          <w:rStyle w:val="Superscript"/>
        </w:rPr>
        <w:t>th</w:t>
      </w:r>
      <w:r w:rsidRPr="003F3886">
        <w:t xml:space="preserve"> IGC were the largest with 222 books sold (42%). In addition to hardcopy sales the book was also made available online as a PDF, free of charge, through </w:t>
      </w:r>
      <w:r w:rsidRPr="003F3886">
        <w:lastRenderedPageBreak/>
        <w:t xml:space="preserve">the ANU E Press website (Australian National University, 2012). Web statistics detailing downloads from this website were unavailable for this report. Anecdotal evidence from an interview with Richard Blewett indicated that GA had been contacted by ANU E Press for permission to convert the PDF into an electronic book format (Richard Blewett, pers. comm., 2012). From this fact it is fair to assume that the free electronic copy of the </w:t>
      </w:r>
      <w:r w:rsidRPr="003F3886">
        <w:rPr>
          <w:szCs w:val="21"/>
        </w:rPr>
        <w:t>34</w:t>
      </w:r>
      <w:r w:rsidRPr="00CF07C2">
        <w:rPr>
          <w:rStyle w:val="Superscript"/>
        </w:rPr>
        <w:t>th</w:t>
      </w:r>
      <w:r w:rsidRPr="003F3886">
        <w:t xml:space="preserve"> IGC book has received considerable interest.</w:t>
      </w:r>
    </w:p>
    <w:p w:rsidR="00C93401" w:rsidRDefault="00296658" w:rsidP="00AD0DF8">
      <w:pPr>
        <w:pStyle w:val="Figuresandimagescentred"/>
      </w:pPr>
      <w:r>
        <w:rPr>
          <w:noProof/>
        </w:rPr>
        <w:drawing>
          <wp:inline distT="0" distB="0" distL="0" distR="0" wp14:anchorId="05C8B088" wp14:editId="7F28FC90">
            <wp:extent cx="5362575" cy="3019425"/>
            <wp:effectExtent l="0" t="0" r="0" b="0"/>
            <wp:docPr id="17" name="Picture 17" descr="This figure is a time-series of web traffic for GA’s webpage advertising ‘Shaping a Nation: A Geology of Australia’. The horizontal axis is labelled “Date” and goes from 26 July 2012 to 4 October 2012 in 10 day increments. The left vertical axis is labelled “Daily viewers/visitors”, and goes from 0 to 400 in increments of 100. The right vertical axis is labelled “Cumulative visitors” and goes from 0 to 2000 in increments of 500. There are three lines on the graph: “Page views” and “Visitors” against the left axis, “Cumulative visitors” against the right axis.&#10;&#10;In the graph, “Page views” and “Visitors” show similar trends, with a baseline of roughly 20 people per day, spiking to over 300 on 16 August 2012 but returning quickly to baseline levels. “Cumulative visitors” steadily increases, with a sharp increase on 16 August 2012, ending up at roughly 1900 total visi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is figure is a time-series of web traffic for GA’s webpage advertising ‘Shaping a Nation: A Geology of Australia’. The horizontal axis is labelled “Date” and goes from 26 July 2012 to 4 October 2012 in 10 day increments. The left vertical axis is labelled “Daily viewers/visitors”, and goes from 0 to 400 in increments of 100. The right vertical axis is labelled “Cumulative visitors” and goes from 0 to 2000 in increments of 500. There are three lines on the graph: “Page views” and “Visitors” against the left axis, “Cumulative visitors” against the right axis.&#10;&#10;In the graph, “Page views” and “Visitors” show similar trends, with a baseline of roughly 20 people per day, spiking to over 300 on 16 August 2012 but returning quickly to baseline levels. “Cumulative visitors” steadily increases, with a sharp increase on 16 August 2012, ending up at roughly 1900 total visitor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62575" cy="3019425"/>
                    </a:xfrm>
                    <a:prstGeom prst="rect">
                      <a:avLst/>
                    </a:prstGeom>
                    <a:noFill/>
                    <a:ln>
                      <a:noFill/>
                    </a:ln>
                  </pic:spPr>
                </pic:pic>
              </a:graphicData>
            </a:graphic>
          </wp:inline>
        </w:drawing>
      </w:r>
    </w:p>
    <w:p w:rsidR="00C93401" w:rsidRPr="002F74CD" w:rsidRDefault="00C93401" w:rsidP="00C93401">
      <w:pPr>
        <w:pStyle w:val="Caption"/>
      </w:pPr>
      <w:bookmarkStart w:id="185" w:name="_Ref337046549"/>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3</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4</w:t>
      </w:r>
      <w:r w:rsidRPr="00D27C1C">
        <w:rPr>
          <w:rStyle w:val="Strong"/>
        </w:rPr>
        <w:fldChar w:fldCharType="end"/>
      </w:r>
      <w:bookmarkEnd w:id="185"/>
      <w:r w:rsidRPr="00356CC4">
        <w:rPr>
          <w:rStyle w:val="Bold"/>
        </w:rPr>
        <w:t xml:space="preserve">: </w:t>
      </w:r>
      <w:r w:rsidRPr="002F74CD">
        <w:t xml:space="preserve">Web traffic on GA’s webpage </w:t>
      </w:r>
      <w:r>
        <w:t xml:space="preserve">advertising </w:t>
      </w:r>
      <w:r w:rsidRPr="00D27C1C">
        <w:rPr>
          <w:rStyle w:val="Bodytextitalic"/>
        </w:rPr>
        <w:t>‘Shaping a Nation: A Geology of Australia’</w:t>
      </w:r>
      <w:r>
        <w:t xml:space="preserve"> (Commonwealth of Australia, 2012b)</w:t>
      </w:r>
      <w:r w:rsidRPr="002F74CD">
        <w:t xml:space="preserve"> </w:t>
      </w:r>
      <w:r>
        <w:t>bet</w:t>
      </w:r>
      <w:r w:rsidRPr="002F74CD">
        <w:t>ween 26 July 2012 and 4 October 2012</w:t>
      </w:r>
      <w:r>
        <w:t>.</w:t>
      </w:r>
      <w:r w:rsidRPr="002F74CD">
        <w:t xml:space="preserve"> The left y-axis is a count of the daily views and daily unique visitors while the right y-axis is a cumulative tally of dail</w:t>
      </w:r>
      <w:r>
        <w:t xml:space="preserve">y visitors (Flowerfire, </w:t>
      </w:r>
      <w:r w:rsidRPr="002F74CD">
        <w:t>2012).</w:t>
      </w:r>
    </w:p>
    <w:p w:rsidR="00C93401" w:rsidRDefault="00296658" w:rsidP="00AD0DF8">
      <w:pPr>
        <w:pStyle w:val="Figuresandimagescentred"/>
      </w:pPr>
      <w:r>
        <w:rPr>
          <w:noProof/>
        </w:rPr>
        <w:drawing>
          <wp:inline distT="0" distB="0" distL="0" distR="0" wp14:anchorId="626E1220" wp14:editId="33BA5288">
            <wp:extent cx="5391150" cy="2133600"/>
            <wp:effectExtent l="0" t="0" r="0" b="0"/>
            <wp:docPr id="18" name="Picture 18" descr="This figure contains three pie charts showing the breakdown sales for the IGC book.&#10;&#10;In figure a, titled “All sales”, “Sales at the IGC venue” make up 2/5 of all sales, with “Warehouse sales” and “GA sales centre” sales equally splitting the remaining sales.&#10;&#10;In figure b, titled “Warehouse sales”, “Individual” purchases make up the greatest portion of sales at 3/5 of warehouse sales, followed by “Other” and “Education” groups.&#10;&#10;In figure c, titled “Sales at the Geoscience Australia sales centre” 4/5 of purchases came from GA “Staff”, with the rest from the “Public”. &#10;&#10;The data are summarised in the following table:&#10;&#10;a) All sales&#10;Category Percentage of Sales (%)&#10;GA sales centre 30&#10;Warehouse sales 28&#10;Sales at IGC venue 42&#10;&#10;b) Warehouse sales&#10;Category Percentage of Sales (%)&#10;Individual 62&#10;Education 16&#10;Other 22&#10;&#10;c) Sales at GA sales centre&#10;Category Percentage of Sales (%)&#10;Staff 80&#10;Publ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is figure contains three pie charts showing the breakdown sales for the IGC book.&#10;&#10;In figure a, titled “All sales”, “Sales at the IGC venue” make up 2/5 of all sales, with “Warehouse sales” and “GA sales centre” sales equally splitting the remaining sales.&#10;&#10;In figure b, titled “Warehouse sales”, “Individual” purchases make up the greatest portion of sales at 3/5 of warehouse sales, followed by “Other” and “Education” groups.&#10;&#10;In figure c, titled “Sales at the Geoscience Australia sales centre” 4/5 of purchases came from GA “Staff”, with the rest from the “Public”. &#10;&#10;The data are summarised in the following table:&#10;&#10;a) All sales&#10;Category Percentage of Sales (%)&#10;GA sales centre 30&#10;Warehouse sales 28&#10;Sales at IGC venue 42&#10;&#10;b) Warehouse sales&#10;Category Percentage of Sales (%)&#10;Individual 62&#10;Education 16&#10;Other 22&#10;&#10;c) Sales at GA sales centre&#10;Category Percentage of Sales (%)&#10;Staff 80&#10;Public 2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1150" cy="2133600"/>
                    </a:xfrm>
                    <a:prstGeom prst="rect">
                      <a:avLst/>
                    </a:prstGeom>
                    <a:noFill/>
                    <a:ln>
                      <a:noFill/>
                    </a:ln>
                  </pic:spPr>
                </pic:pic>
              </a:graphicData>
            </a:graphic>
          </wp:inline>
        </w:drawing>
      </w:r>
    </w:p>
    <w:p w:rsidR="00C93401" w:rsidRDefault="00C93401" w:rsidP="00C93401">
      <w:pPr>
        <w:pStyle w:val="Caption"/>
      </w:pPr>
      <w:bookmarkStart w:id="186" w:name="_Ref338166898"/>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3</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5</w:t>
      </w:r>
      <w:r w:rsidRPr="00D27C1C">
        <w:rPr>
          <w:rStyle w:val="Strong"/>
        </w:rPr>
        <w:fldChar w:fldCharType="end"/>
      </w:r>
      <w:bookmarkEnd w:id="186"/>
      <w:r w:rsidRPr="00356CC4">
        <w:rPr>
          <w:rStyle w:val="Bold"/>
        </w:rPr>
        <w:t>:</w:t>
      </w:r>
      <w:r w:rsidRPr="002F74CD">
        <w:t xml:space="preserve"> Sales of </w:t>
      </w:r>
      <w:r w:rsidRPr="00D27C1C">
        <w:rPr>
          <w:rStyle w:val="Bodytextitalic"/>
        </w:rPr>
        <w:t>'Shaping a Nation: A Geology of Australia'</w:t>
      </w:r>
      <w:r w:rsidRPr="002F74CD">
        <w:t xml:space="preserve"> from its release until 6 September 2012. </w:t>
      </w:r>
      <w:r>
        <w:t>a) All sales by category. b</w:t>
      </w:r>
      <w:r w:rsidRPr="002F74CD">
        <w:t xml:space="preserve">) </w:t>
      </w:r>
      <w:r>
        <w:t>W</w:t>
      </w:r>
      <w:r w:rsidRPr="002F74CD">
        <w:t xml:space="preserve">arehouse sales by category. </w:t>
      </w:r>
      <w:r>
        <w:t>c</w:t>
      </w:r>
      <w:r w:rsidRPr="002F74CD">
        <w:t xml:space="preserve">) </w:t>
      </w:r>
      <w:r>
        <w:t>S</w:t>
      </w:r>
      <w:r w:rsidRPr="002F74CD">
        <w:t>ales at the GA sales centre by category.</w:t>
      </w:r>
    </w:p>
    <w:p w:rsidR="00C93401" w:rsidRDefault="00C93401" w:rsidP="00C93401">
      <w:pPr>
        <w:pStyle w:val="Heading2"/>
      </w:pPr>
      <w:bookmarkStart w:id="187" w:name="_Toc353282039"/>
      <w:bookmarkStart w:id="188" w:name="_Toc355274251"/>
      <w:r>
        <w:lastRenderedPageBreak/>
        <w:t xml:space="preserve">Impacts of the </w:t>
      </w:r>
      <w:r w:rsidRPr="008D2CA0">
        <w:rPr>
          <w:szCs w:val="21"/>
        </w:rPr>
        <w:t>34</w:t>
      </w:r>
      <w:r w:rsidRPr="00CF07C2">
        <w:rPr>
          <w:rStyle w:val="Superscript"/>
        </w:rPr>
        <w:t>th</w:t>
      </w:r>
      <w:r>
        <w:t xml:space="preserve"> IGC for Geoscience Australia Employees</w:t>
      </w:r>
      <w:bookmarkEnd w:id="187"/>
      <w:bookmarkEnd w:id="188"/>
    </w:p>
    <w:p w:rsidR="00C93401" w:rsidRDefault="00C93401" w:rsidP="00C93401">
      <w:pPr>
        <w:pStyle w:val="Heading3"/>
      </w:pPr>
      <w:bookmarkStart w:id="189" w:name="_Toc353282040"/>
      <w:bookmarkStart w:id="190" w:name="_Toc355274252"/>
      <w:r>
        <w:t xml:space="preserve">Employees that Attended the </w:t>
      </w:r>
      <w:r w:rsidRPr="008D2CA0">
        <w:rPr>
          <w:szCs w:val="21"/>
        </w:rPr>
        <w:t>34</w:t>
      </w:r>
      <w:r w:rsidRPr="00CF07C2">
        <w:rPr>
          <w:rStyle w:val="Superscript"/>
        </w:rPr>
        <w:t>th</w:t>
      </w:r>
      <w:r>
        <w:t xml:space="preserve"> IGC</w:t>
      </w:r>
      <w:bookmarkEnd w:id="189"/>
      <w:bookmarkEnd w:id="190"/>
    </w:p>
    <w:p w:rsidR="00C93401" w:rsidRDefault="00C93401" w:rsidP="00C93401">
      <w:pPr>
        <w:pStyle w:val="BodyText"/>
        <w:rPr>
          <w:szCs w:val="21"/>
        </w:rPr>
      </w:pPr>
      <w:r>
        <w:t xml:space="preserve">The 120 GA employees that attended the </w:t>
      </w:r>
      <w:r w:rsidRPr="008D2CA0">
        <w:rPr>
          <w:szCs w:val="21"/>
        </w:rPr>
        <w:t>34</w:t>
      </w:r>
      <w:r w:rsidRPr="00CF07C2">
        <w:rPr>
          <w:rStyle w:val="Superscript"/>
        </w:rPr>
        <w:t>th</w:t>
      </w:r>
      <w:r>
        <w:t xml:space="preserve"> IGC were involved in a range of conference activities. In the pre-</w:t>
      </w:r>
      <w:r w:rsidRPr="008D2CA0">
        <w:rPr>
          <w:szCs w:val="21"/>
        </w:rPr>
        <w:t>34</w:t>
      </w:r>
      <w:r w:rsidRPr="00CF07C2">
        <w:rPr>
          <w:rStyle w:val="Superscript"/>
        </w:rPr>
        <w:t>th</w:t>
      </w:r>
      <w:r>
        <w:t xml:space="preserve"> IGC survey (Appendix One) each employee was asked to rank the importance of these activities to their attendance at the </w:t>
      </w:r>
      <w:r w:rsidRPr="008D2CA0">
        <w:rPr>
          <w:szCs w:val="21"/>
        </w:rPr>
        <w:t>34</w:t>
      </w:r>
      <w:r w:rsidRPr="00CF07C2">
        <w:rPr>
          <w:rStyle w:val="Superscript"/>
        </w:rPr>
        <w:t>th</w:t>
      </w:r>
      <w:r>
        <w:t xml:space="preserve"> IGC on a scale from one to ten (</w:t>
      </w:r>
      <w:r w:rsidR="006A3A0D" w:rsidRPr="006A3A0D">
        <w:fldChar w:fldCharType="begin"/>
      </w:r>
      <w:r w:rsidR="006A3A0D" w:rsidRPr="006A3A0D">
        <w:instrText xml:space="preserve"> REF _Ref352056953 \h </w:instrText>
      </w:r>
      <w:r w:rsidR="006A3A0D">
        <w:instrText xml:space="preserve"> \* MERGEFORMAT </w:instrText>
      </w:r>
      <w:r w:rsidR="006A3A0D" w:rsidRPr="006A3A0D">
        <w:fldChar w:fldCharType="separate"/>
      </w:r>
      <w:r w:rsidR="006A3A0D" w:rsidRPr="006A3A0D">
        <w:t>Figure 3.6</w:t>
      </w:r>
      <w:r w:rsidR="006A3A0D" w:rsidRPr="006A3A0D">
        <w:fldChar w:fldCharType="end"/>
      </w:r>
      <w:r>
        <w:t xml:space="preserve">), with activities that they were not involved in ranked zero or not applicable. </w:t>
      </w:r>
    </w:p>
    <w:p w:rsidR="00C93401" w:rsidRDefault="00296658" w:rsidP="00AD0DF8">
      <w:pPr>
        <w:pStyle w:val="Figuresandimagescentred"/>
        <w:rPr>
          <w:szCs w:val="21"/>
        </w:rPr>
      </w:pPr>
      <w:r>
        <w:rPr>
          <w:noProof/>
        </w:rPr>
        <w:drawing>
          <wp:inline distT="0" distB="0" distL="0" distR="0" wp14:anchorId="3C83450B" wp14:editId="12FC80F4">
            <wp:extent cx="5153025" cy="6143625"/>
            <wp:effectExtent l="0" t="0" r="0" b="0"/>
            <wp:docPr id="19" name="Picture 19" descr="This figure contains two bar graphs based on data from the Pre-34th IGC survey, where respondents were required to rank the importance of a range of conference activities for attendance at the 34th IGC.&#10;For both figures, along the horizontal axis the list of categories are: “Listening to talks/attending poster sessions”, “Networking amongst peers”, “Career opportunities”, “Participating in a workshop”, “Participating in a fieldtrip”, “Attending a related meeting”, “Promoting Geoscience Australia”, “Presenting a poster”, “ Presenting a talk”, “Chairing a session”, “Facilitating a fieldtrip”, and “Facilitating a workshop”.&#10;&#10;In figure a, the vertical axis is labelled “Frequency of responses” and goes from 0 to 60 with increments of 10. The highest numbers of responses (~60) were received for “Listening to talks/attending poster sessions”, “Networking amongst peers” and “Promoting Geoscience Australia”. The lowest numbers of responses (&lt;10) were for “Participating in a fieldtrip” and “Facilitating a fieldtrip”.&#10;&#10;In figure b., which is a graded bar graph, the vertical axis is labelled “Percentage of responses” and goes from 0% to 100% in 10% increments. Each bar is split along the vertical axis based on the tone of feedback; “Strongly positive”, “Positive”, “Neutral”, “Negative”, “Strongly negative”, and “No feedback”. A 10-point colour-scale is used to split each category along the vertical scale based on the “Ranked importance of conference activities”, from least important to most important. Facilitating a workshop” and Presenting a talk were identified as most important by over 50% of respondents, , while “Facilitating a fieldtrip”, “Participating in a field trip” and “Career opportunities” were thought of as less important.&#10;&#10;For more information on this figure please contact feedback@g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figure contains two bar graphs based on data from the Pre-34th IGC survey, where respondents were required to rank the importance of a range of conference activities for attendance at the 34th IGC.&#10;For both figures, along the horizontal axis the list of categories are: “Listening to talks/attending poster sessions”, “Networking amongst peers”, “Career opportunities”, “Participating in a workshop”, “Participating in a fieldtrip”, “Attending a related meeting”, “Promoting Geoscience Australia”, “Presenting a poster”, “ Presenting a talk”, “Chairing a session”, “Facilitating a fieldtrip”, and “Facilitating a workshop”.&#10;&#10;In figure a, the vertical axis is labelled “Frequency of responses” and goes from 0 to 60 with increments of 10. The highest numbers of responses (~60) were received for “Listening to talks/attending poster sessions”, “Networking amongst peers” and “Promoting Geoscience Australia”. The lowest numbers of responses (&lt;10) were for “Participating in a fieldtrip” and “Facilitating a fieldtrip”.&#10;&#10;In figure b., which is a graded bar graph, the vertical axis is labelled “Percentage of responses” and goes from 0% to 100% in 10% increments. Each bar is split along the vertical axis based on the tone of feedback; “Strongly positive”, “Positive”, “Neutral”, “Negative”, “Strongly negative”, and “No feedback”. A 10-point colour-scale is used to split each category along the vertical scale based on the “Ranked importance of conference activities”, from least important to most important. Facilitating a workshop” and Presenting a talk were identified as most important by over 50% of respondents, , while “Facilitating a fieldtrip”, “Participating in a field trip” and “Career opportunities” were thought of as less important.&#10;&#10;For more information on this figure please contact feedback@ga.gov.au."/>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53025" cy="6143625"/>
                    </a:xfrm>
                    <a:prstGeom prst="rect">
                      <a:avLst/>
                    </a:prstGeom>
                    <a:noFill/>
                    <a:ln>
                      <a:noFill/>
                    </a:ln>
                  </pic:spPr>
                </pic:pic>
              </a:graphicData>
            </a:graphic>
          </wp:inline>
        </w:drawing>
      </w:r>
    </w:p>
    <w:p w:rsidR="00C93401" w:rsidRDefault="00C93401" w:rsidP="00C93401">
      <w:pPr>
        <w:pStyle w:val="Caption"/>
      </w:pPr>
      <w:bookmarkStart w:id="191" w:name="_Ref352056953"/>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3</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6</w:t>
      </w:r>
      <w:r w:rsidRPr="00D27C1C">
        <w:rPr>
          <w:rStyle w:val="Strong"/>
        </w:rPr>
        <w:fldChar w:fldCharType="end"/>
      </w:r>
      <w:bookmarkEnd w:id="191"/>
      <w:r w:rsidRPr="00356CC4">
        <w:rPr>
          <w:rStyle w:val="Bold"/>
        </w:rPr>
        <w:t>:</w:t>
      </w:r>
      <w:r w:rsidRPr="003A2F94">
        <w:t xml:space="preserve"> </w:t>
      </w:r>
      <w:r>
        <w:t>a</w:t>
      </w:r>
      <w:r w:rsidRPr="004C6D9A">
        <w:t>) Frequency of</w:t>
      </w:r>
      <w:r>
        <w:t xml:space="preserve"> pre-</w:t>
      </w:r>
      <w:r w:rsidRPr="008D2CA0">
        <w:rPr>
          <w:szCs w:val="21"/>
        </w:rPr>
        <w:t>34</w:t>
      </w:r>
      <w:r w:rsidRPr="00CF07C2">
        <w:rPr>
          <w:rStyle w:val="Superscript"/>
        </w:rPr>
        <w:t>th</w:t>
      </w:r>
      <w:r>
        <w:t xml:space="preserve"> IGC survey</w:t>
      </w:r>
      <w:r w:rsidRPr="004C6D9A">
        <w:t xml:space="preserve"> responses for conference activities considered applicable to attendance at the </w:t>
      </w:r>
      <w:r w:rsidRPr="008D2CA0">
        <w:rPr>
          <w:szCs w:val="21"/>
        </w:rPr>
        <w:t>34</w:t>
      </w:r>
      <w:r w:rsidRPr="00CF07C2">
        <w:rPr>
          <w:rStyle w:val="Superscript"/>
        </w:rPr>
        <w:t>th</w:t>
      </w:r>
      <w:r w:rsidRPr="004C6D9A">
        <w:t xml:space="preserve"> IGC. </w:t>
      </w:r>
      <w:r>
        <w:t>b) T</w:t>
      </w:r>
      <w:r w:rsidRPr="004C6D9A">
        <w:t>he ranked importance of the conference activities by the respondents from the pre-</w:t>
      </w:r>
      <w:r w:rsidRPr="008D2CA0">
        <w:rPr>
          <w:szCs w:val="21"/>
        </w:rPr>
        <w:t>34</w:t>
      </w:r>
      <w:r w:rsidRPr="00CF07C2">
        <w:rPr>
          <w:rStyle w:val="Superscript"/>
        </w:rPr>
        <w:t>th</w:t>
      </w:r>
      <w:r w:rsidRPr="004C6D9A">
        <w:t xml:space="preserve"> IGC survey</w:t>
      </w:r>
      <w:r>
        <w:t>.</w:t>
      </w:r>
    </w:p>
    <w:p w:rsidR="00C93401" w:rsidRPr="007A2CBD" w:rsidRDefault="00C93401" w:rsidP="00C93401">
      <w:pPr>
        <w:pStyle w:val="BodyText"/>
      </w:pPr>
      <w:r>
        <w:lastRenderedPageBreak/>
        <w:t xml:space="preserve">The most common activities that respondents considered applicable to their attendance at the </w:t>
      </w:r>
      <w:r w:rsidRPr="008D2CA0">
        <w:t>34</w:t>
      </w:r>
      <w:r w:rsidRPr="00CF07C2">
        <w:rPr>
          <w:rStyle w:val="Superscript"/>
        </w:rPr>
        <w:t>th</w:t>
      </w:r>
      <w:r>
        <w:t xml:space="preserve"> IGC were; listening to talks or attending poster sessions, networking amongst peers, and promoting GA. </w:t>
      </w:r>
      <w:r w:rsidRPr="00890CD8">
        <w:t xml:space="preserve">These activities largely fit into the standard routine of conference attendance and </w:t>
      </w:r>
      <w:r>
        <w:t>were</w:t>
      </w:r>
      <w:r w:rsidRPr="00890CD8">
        <w:t xml:space="preserve"> </w:t>
      </w:r>
      <w:r>
        <w:t>applicable to all delegates, and consequently ranked high in importance in the pre-</w:t>
      </w:r>
      <w:r w:rsidRPr="008D2CA0">
        <w:t>34</w:t>
      </w:r>
      <w:r w:rsidRPr="00CF07C2">
        <w:rPr>
          <w:rStyle w:val="Superscript"/>
        </w:rPr>
        <w:t>th</w:t>
      </w:r>
      <w:r>
        <w:t xml:space="preserve"> IGC survey</w:t>
      </w:r>
      <w:r w:rsidRPr="00890CD8">
        <w:t xml:space="preserve">. It is encouraging to note that promoting the agency was considered important by </w:t>
      </w:r>
      <w:r>
        <w:t>many</w:t>
      </w:r>
      <w:r w:rsidRPr="00890CD8">
        <w:t xml:space="preserve"> delegates. In addition, the responses indicate that GA delegates were more interested in promoting the agency than pursuing career opportunities. This could point towards a high level of job satisfaction, a lack of awareness of career opportunities at the </w:t>
      </w:r>
      <w:r w:rsidRPr="008D2CA0">
        <w:t>34</w:t>
      </w:r>
      <w:r w:rsidRPr="00CF07C2">
        <w:rPr>
          <w:rStyle w:val="Superscript"/>
        </w:rPr>
        <w:t>th</w:t>
      </w:r>
      <w:r w:rsidRPr="00890CD8">
        <w:t xml:space="preserve"> IGC, or a simple reflection that GA employees were unwilling to communicate this</w:t>
      </w:r>
      <w:r>
        <w:t xml:space="preserve"> motivation to their employers.</w:t>
      </w:r>
    </w:p>
    <w:p w:rsidR="00C93401" w:rsidRDefault="00C93401" w:rsidP="00C93401">
      <w:pPr>
        <w:pStyle w:val="BodyText"/>
      </w:pPr>
      <w:r w:rsidRPr="00890CD8">
        <w:t>Other activities, such as presenting a talk and facilitating a workshop were not applicable to all delegates</w:t>
      </w:r>
      <w:r>
        <w:t>, thus o</w:t>
      </w:r>
      <w:r w:rsidRPr="00890CD8">
        <w:t xml:space="preserve">nly a select few </w:t>
      </w:r>
      <w:r>
        <w:t>contributed to these fields of the survey. However,</w:t>
      </w:r>
      <w:r w:rsidRPr="00890CD8">
        <w:t xml:space="preserve"> </w:t>
      </w:r>
      <w:r>
        <w:t>those</w:t>
      </w:r>
      <w:r w:rsidRPr="00890CD8">
        <w:t xml:space="preserve"> that did</w:t>
      </w:r>
      <w:r>
        <w:t xml:space="preserve"> undertake the activities</w:t>
      </w:r>
      <w:r w:rsidRPr="00890CD8">
        <w:t xml:space="preserve"> ranked them as v</w:t>
      </w:r>
      <w:r>
        <w:t>ery important, ranking</w:t>
      </w:r>
      <w:r w:rsidRPr="00890CD8">
        <w:t xml:space="preserve"> these activities higher than more passive activities such as listening to talks</w:t>
      </w:r>
      <w:r>
        <w:t>.</w:t>
      </w:r>
    </w:p>
    <w:p w:rsidR="00C93401" w:rsidRPr="00023FFA" w:rsidRDefault="00C93401" w:rsidP="00C93401">
      <w:pPr>
        <w:pStyle w:val="BodyText"/>
      </w:pPr>
      <w:r w:rsidRPr="00023FFA">
        <w:t>In the post-</w:t>
      </w:r>
      <w:r w:rsidRPr="008D2CA0">
        <w:t>34</w:t>
      </w:r>
      <w:r w:rsidRPr="00CF07C2">
        <w:rPr>
          <w:rStyle w:val="Superscript"/>
        </w:rPr>
        <w:t>th</w:t>
      </w:r>
      <w:r w:rsidRPr="00023FFA">
        <w:t xml:space="preserve"> IGC survey</w:t>
      </w:r>
      <w:r>
        <w:t xml:space="preserve"> (Appendix Two)</w:t>
      </w:r>
      <w:r w:rsidRPr="00023FFA">
        <w:t>, GA delegates were asked to rank the same con</w:t>
      </w:r>
      <w:r>
        <w:t>ference</w:t>
      </w:r>
      <w:r w:rsidRPr="00023FFA">
        <w:t xml:space="preserve"> activities</w:t>
      </w:r>
      <w:r>
        <w:t>,</w:t>
      </w:r>
      <w:r w:rsidRPr="00023FFA">
        <w:t xml:space="preserve"> specifically in terms of how they affected their professional development and how they affected their capacity to perform their work within the agency</w:t>
      </w:r>
      <w:r>
        <w:t xml:space="preserve">. </w:t>
      </w:r>
      <w:r w:rsidRPr="00023FFA">
        <w:t>The results of the five most highly rated con</w:t>
      </w:r>
      <w:r>
        <w:t>ference</w:t>
      </w:r>
      <w:r w:rsidRPr="00023FFA">
        <w:t xml:space="preserve"> activities are shown in </w:t>
      </w:r>
      <w:r w:rsidRPr="00023FFA">
        <w:fldChar w:fldCharType="begin"/>
      </w:r>
      <w:r w:rsidRPr="00023FFA">
        <w:instrText xml:space="preserve"> REF _Ref338231106 \h  \* MERGEFORMAT </w:instrText>
      </w:r>
      <w:r w:rsidRPr="00023FFA">
        <w:fldChar w:fldCharType="separate"/>
      </w:r>
      <w:r w:rsidR="00EB5AC4" w:rsidRPr="00EB5AC4">
        <w:t>Figure 3.7</w:t>
      </w:r>
      <w:r w:rsidRPr="00023FFA">
        <w:fldChar w:fldCharType="end"/>
      </w:r>
      <w:r>
        <w:t>.</w:t>
      </w:r>
    </w:p>
    <w:p w:rsidR="00C93401" w:rsidRPr="007063D2" w:rsidRDefault="00296658" w:rsidP="00AD0DF8">
      <w:pPr>
        <w:pStyle w:val="Figuresandimagescentred"/>
      </w:pPr>
      <w:r>
        <w:rPr>
          <w:noProof/>
        </w:rPr>
        <w:drawing>
          <wp:inline distT="0" distB="0" distL="0" distR="0" wp14:anchorId="7BEBCED4" wp14:editId="206A9214">
            <wp:extent cx="5381625" cy="3971925"/>
            <wp:effectExtent l="0" t="0" r="0" b="0"/>
            <wp:docPr id="20" name="Picture 20" descr="This figure is a graded bar graph, showing the relative importance to GA staff of the five most popular congress activities, based on staff feedback from the post-34th IGC survey. The horizontal axis is split into 5 categories; “Networking amongst peers”, “Listening to talks/attending poster sessions”, “Promoting Geoscience Australia”, “Presenting a talk”, and “Facilitating a workshop”. Each category has two bars, for the relevance that activity had for both: “Professional development” and “Working capacity”. The vertical axis is labelled “Percentage of responses” and goes from 0% to 100% in 20% intervals. Each bar is split along the vertical axis based on the perceived effect that activity had for Professional development or Working capacity; “High (6-10)”, “Med (5)”, “Low (1-4)”, and “Not applicable”.&#10;&#10;Presenting a talk and facilitating was not applicable for 40% and 80% of respondents respectively, but the other categories had much lower “not applicable” values of ~10% of participants. Of the remaining, each category had “high” rankings for both “Professional development” and “Working capacity”. The only category where a low ranking featured to any significant degree was in enhancing working capacity by “Promoting Geoscience Australia”.&#10;&#10;The data are summarised in the following tables:&#10;&#10;Professional Development&#10;Categories Ranked Importance by Percentage (%)&#10; Low (1-4) Med (5) High (6-10) NA (0)&#10;Networking amongst peers 3.1 6.2 86.2 4.6&#10;Listening to talks/attending poster sessions 1.5 4.6 84.6 9.2&#10;Promoting Geoscience Australia 9.2 12.3 72.3 6.2&#10;Presenting a talk 0 1.5 60.0 38.5&#10;Facilitating a workshop 3.1 3.1 16.9 76.9&#10;&#10;Working Capacity&#10;Categories Ranked Importance by Percentage (%)&#10; Low (1-4) Med (5) High (6-10) NA (0)&#10;Networking amongst peers 6.2 9.2 76.9 7.7&#10;Listening to talks/attending poster sessions 9.2 4.6 76.9 9.2&#10;Promoting Geoscience Australia 18.5 9.2 56.9 15.4&#10;Presenting a talk 4.6 7.7 44.6 43.1&#10;Facilitating a workshop 1.5 3.1 13.9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is figure is a graded bar graph, showing the relative importance to GA staff of the five most popular congress activities, based on staff feedback from the post-34th IGC survey. The horizontal axis is split into 5 categories; “Networking amongst peers”, “Listening to talks/attending poster sessions”, “Promoting Geoscience Australia”, “Presenting a talk”, and “Facilitating a workshop”. Each category has two bars, for the relevance that activity had for both: “Professional development” and “Working capacity”. The vertical axis is labelled “Percentage of responses” and goes from 0% to 100% in 20% intervals. Each bar is split along the vertical axis based on the perceived effect that activity had for Professional development or Working capacity; “High (6-10)”, “Med (5)”, “Low (1-4)”, and “Not applicable”.&#10;&#10;Presenting a talk and facilitating was not applicable for 40% and 80% of respondents respectively, but the other categories had much lower “not applicable” values of ~10% of participants. Of the remaining, each category had “high” rankings for both “Professional development” and “Working capacity”. The only category where a low ranking featured to any significant degree was in enhancing working capacity by “Promoting Geoscience Australia”.&#10;&#10;The data are summarised in the following tables:&#10;&#10;Professional Development&#10;Categories Ranked Importance by Percentage (%)&#10; Low (1-4) Med (5) High (6-10) NA (0)&#10;Networking amongst peers 3.1 6.2 86.2 4.6&#10;Listening to talks/attending poster sessions 1.5 4.6 84.6 9.2&#10;Promoting Geoscience Australia 9.2 12.3 72.3 6.2&#10;Presenting a talk 0 1.5 60.0 38.5&#10;Facilitating a workshop 3.1 3.1 16.9 76.9&#10;&#10;Working Capacity&#10;Categories Ranked Importance by Percentage (%)&#10; Low (1-4) Med (5) High (6-10) NA (0)&#10;Networking amongst peers 6.2 9.2 76.9 7.7&#10;Listening to talks/attending poster sessions 9.2 4.6 76.9 9.2&#10;Promoting Geoscience Australia 18.5 9.2 56.9 15.4&#10;Presenting a talk 4.6 7.7 44.6 43.1&#10;Facilitating a workshop 1.5 3.1 13.9 8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81625" cy="3971925"/>
                    </a:xfrm>
                    <a:prstGeom prst="rect">
                      <a:avLst/>
                    </a:prstGeom>
                    <a:noFill/>
                    <a:ln>
                      <a:noFill/>
                    </a:ln>
                  </pic:spPr>
                </pic:pic>
              </a:graphicData>
            </a:graphic>
          </wp:inline>
        </w:drawing>
      </w:r>
    </w:p>
    <w:p w:rsidR="00C93401" w:rsidRPr="002900AF" w:rsidRDefault="00C93401" w:rsidP="00C93401">
      <w:pPr>
        <w:pStyle w:val="Caption"/>
      </w:pPr>
      <w:bookmarkStart w:id="192" w:name="_Ref338231106"/>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3</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7</w:t>
      </w:r>
      <w:r w:rsidRPr="00D27C1C">
        <w:rPr>
          <w:rStyle w:val="Strong"/>
        </w:rPr>
        <w:fldChar w:fldCharType="end"/>
      </w:r>
      <w:bookmarkEnd w:id="192"/>
      <w:r w:rsidRPr="00356CC4">
        <w:rPr>
          <w:rStyle w:val="Bold"/>
        </w:rPr>
        <w:t xml:space="preserve">: </w:t>
      </w:r>
      <w:r w:rsidRPr="002900AF">
        <w:t>The importance of the five most popular congress activities from the post-</w:t>
      </w:r>
      <w:r w:rsidRPr="008D2CA0">
        <w:rPr>
          <w:szCs w:val="21"/>
        </w:rPr>
        <w:t>34</w:t>
      </w:r>
      <w:r w:rsidRPr="00CF07C2">
        <w:rPr>
          <w:rStyle w:val="Superscript"/>
        </w:rPr>
        <w:t>th</w:t>
      </w:r>
      <w:r w:rsidRPr="002900AF">
        <w:t xml:space="preserve"> IGC survey ranked from 0-10. The responses </w:t>
      </w:r>
      <w:r>
        <w:t>were</w:t>
      </w:r>
      <w:r w:rsidRPr="002900AF">
        <w:t xml:space="preserve"> grouped into high importance (6-10), medium importance (5) and low importance (1-</w:t>
      </w:r>
      <w:r>
        <w:t>4</w:t>
      </w:r>
      <w:r w:rsidRPr="002900AF">
        <w:t>). Activities that individuals did not participate in were considered not applicable (0). The effect of these activities on professional development is shown in dark-light green, while the effect of these activities on individual’s capacity to perform their work duties within GA is shown in orange-yellow.</w:t>
      </w:r>
    </w:p>
    <w:p w:rsidR="00C93401" w:rsidRDefault="00C93401" w:rsidP="00C93401">
      <w:pPr>
        <w:pStyle w:val="BodyText"/>
        <w:rPr>
          <w:szCs w:val="21"/>
        </w:rPr>
      </w:pPr>
      <w:r w:rsidRPr="00023FFA">
        <w:rPr>
          <w:szCs w:val="21"/>
        </w:rPr>
        <w:lastRenderedPageBreak/>
        <w:t>The general trend of activities that were considered important by GA delegates was similar to the pre-</w:t>
      </w:r>
      <w:r w:rsidRPr="008D2CA0">
        <w:rPr>
          <w:szCs w:val="21"/>
        </w:rPr>
        <w:t>34</w:t>
      </w:r>
      <w:r w:rsidRPr="00CF07C2">
        <w:rPr>
          <w:rStyle w:val="Superscript"/>
        </w:rPr>
        <w:t>th</w:t>
      </w:r>
      <w:r w:rsidRPr="00023FFA">
        <w:rPr>
          <w:szCs w:val="21"/>
        </w:rPr>
        <w:t xml:space="preserve"> IGC responses, indicating that the con</w:t>
      </w:r>
      <w:r>
        <w:rPr>
          <w:szCs w:val="21"/>
        </w:rPr>
        <w:t>gress</w:t>
      </w:r>
      <w:r w:rsidRPr="00023FFA">
        <w:rPr>
          <w:szCs w:val="21"/>
        </w:rPr>
        <w:t xml:space="preserve"> met expectations</w:t>
      </w:r>
      <w:r>
        <w:rPr>
          <w:szCs w:val="21"/>
        </w:rPr>
        <w:t xml:space="preserve"> (</w:t>
      </w:r>
      <w:r w:rsidR="006A3A0D" w:rsidRPr="006A3A0D">
        <w:fldChar w:fldCharType="begin"/>
      </w:r>
      <w:r w:rsidR="006A3A0D" w:rsidRPr="006A3A0D">
        <w:instrText xml:space="preserve"> REF _Ref352056953 \h </w:instrText>
      </w:r>
      <w:r w:rsidR="006A3A0D">
        <w:instrText xml:space="preserve"> \* MERGEFORMAT </w:instrText>
      </w:r>
      <w:r w:rsidR="006A3A0D" w:rsidRPr="006A3A0D">
        <w:fldChar w:fldCharType="separate"/>
      </w:r>
      <w:r w:rsidR="006A3A0D" w:rsidRPr="006A3A0D">
        <w:t>Figure 3.6</w:t>
      </w:r>
      <w:r w:rsidR="006A3A0D" w:rsidRPr="006A3A0D">
        <w:fldChar w:fldCharType="end"/>
      </w:r>
      <w:r>
        <w:rPr>
          <w:szCs w:val="21"/>
        </w:rPr>
        <w:t>)</w:t>
      </w:r>
      <w:r w:rsidRPr="00023FFA">
        <w:rPr>
          <w:szCs w:val="21"/>
        </w:rPr>
        <w:t>. In addition, delegates generally rated all of the activities that they were involved in, both pre- and post-</w:t>
      </w:r>
      <w:r w:rsidRPr="008D2CA0">
        <w:rPr>
          <w:szCs w:val="21"/>
        </w:rPr>
        <w:t>34</w:t>
      </w:r>
      <w:r w:rsidRPr="00CF07C2">
        <w:rPr>
          <w:rStyle w:val="Superscript"/>
        </w:rPr>
        <w:t>th</w:t>
      </w:r>
      <w:r w:rsidRPr="00023FFA">
        <w:rPr>
          <w:szCs w:val="21"/>
        </w:rPr>
        <w:t xml:space="preserve"> IGC as highly important, indicating that the opportunity to attend the </w:t>
      </w:r>
      <w:r w:rsidRPr="008D2CA0">
        <w:rPr>
          <w:szCs w:val="21"/>
        </w:rPr>
        <w:t>34</w:t>
      </w:r>
      <w:r w:rsidRPr="00CF07C2">
        <w:rPr>
          <w:rStyle w:val="Superscript"/>
        </w:rPr>
        <w:t>th</w:t>
      </w:r>
      <w:r w:rsidRPr="00023FFA">
        <w:rPr>
          <w:szCs w:val="21"/>
        </w:rPr>
        <w:t xml:space="preserve"> IGC was valued.</w:t>
      </w:r>
    </w:p>
    <w:p w:rsidR="00C93401" w:rsidRPr="00023FFA" w:rsidRDefault="00C93401" w:rsidP="00C93401">
      <w:pPr>
        <w:pStyle w:val="BodyText"/>
        <w:rPr>
          <w:szCs w:val="21"/>
        </w:rPr>
      </w:pPr>
      <w:r>
        <w:t>Further, it was noted</w:t>
      </w:r>
      <w:r w:rsidRPr="00023FFA">
        <w:t xml:space="preserve"> that rankings for professional development were consistently higher than those relating to the capacity to complete work at GA (</w:t>
      </w:r>
      <w:r w:rsidRPr="00023FFA">
        <w:fldChar w:fldCharType="begin"/>
      </w:r>
      <w:r w:rsidRPr="00023FFA">
        <w:instrText xml:space="preserve"> REF _Ref338231106 \h  \* MERGEFORMAT </w:instrText>
      </w:r>
      <w:r w:rsidRPr="00023FFA">
        <w:fldChar w:fldCharType="separate"/>
      </w:r>
      <w:r w:rsidR="00EB5AC4" w:rsidRPr="00EB5AC4">
        <w:t>Figure 3.7</w:t>
      </w:r>
      <w:r w:rsidRPr="00023FFA">
        <w:fldChar w:fldCharType="end"/>
      </w:r>
      <w:r w:rsidRPr="00023FFA">
        <w:t xml:space="preserve">). </w:t>
      </w:r>
      <w:r w:rsidRPr="00023FFA">
        <w:rPr>
          <w:szCs w:val="21"/>
        </w:rPr>
        <w:t xml:space="preserve">This may indicate that delegates attended the </w:t>
      </w:r>
      <w:r w:rsidRPr="008D2CA0">
        <w:rPr>
          <w:szCs w:val="21"/>
        </w:rPr>
        <w:t>34</w:t>
      </w:r>
      <w:r w:rsidRPr="00CF07C2">
        <w:rPr>
          <w:rStyle w:val="Superscript"/>
        </w:rPr>
        <w:t>th</w:t>
      </w:r>
      <w:r w:rsidRPr="00023FFA">
        <w:rPr>
          <w:szCs w:val="21"/>
        </w:rPr>
        <w:t xml:space="preserve"> IGC specifically to increase the breadth of their knowledge</w:t>
      </w:r>
      <w:r>
        <w:rPr>
          <w:szCs w:val="21"/>
        </w:rPr>
        <w:t>,</w:t>
      </w:r>
      <w:r w:rsidRPr="00023FFA">
        <w:rPr>
          <w:szCs w:val="21"/>
        </w:rPr>
        <w:t xml:space="preserve"> rather than simply to improve t</w:t>
      </w:r>
      <w:r>
        <w:rPr>
          <w:szCs w:val="21"/>
        </w:rPr>
        <w:t xml:space="preserve">heir standard work practices, or </w:t>
      </w:r>
      <w:r w:rsidRPr="00023FFA">
        <w:rPr>
          <w:szCs w:val="21"/>
        </w:rPr>
        <w:t>that the opportunity to attend talks at the forefront of their technical fields was not available</w:t>
      </w:r>
      <w:r>
        <w:rPr>
          <w:szCs w:val="21"/>
        </w:rPr>
        <w:t>, or alternatively some survey respondents did not fully understand the term “capacity to perform business-as-usual job requirements”</w:t>
      </w:r>
      <w:r w:rsidRPr="00023FFA">
        <w:rPr>
          <w:szCs w:val="21"/>
        </w:rPr>
        <w:t>. The vast scope of the scientific themes presented at the con</w:t>
      </w:r>
      <w:r>
        <w:rPr>
          <w:szCs w:val="21"/>
        </w:rPr>
        <w:t xml:space="preserve">gress </w:t>
      </w:r>
      <w:r w:rsidRPr="00023FFA">
        <w:rPr>
          <w:szCs w:val="21"/>
        </w:rPr>
        <w:t xml:space="preserve">is unique to the IGC. This variety provided an opportunity to be exposed </w:t>
      </w:r>
      <w:r>
        <w:rPr>
          <w:szCs w:val="21"/>
        </w:rPr>
        <w:t>to a breadth of the geosciences, which was valued by GA delegates. Some t</w:t>
      </w:r>
      <w:r w:rsidRPr="00023FFA">
        <w:rPr>
          <w:szCs w:val="21"/>
        </w:rPr>
        <w:t>ext responses from the survey respondents did indicate that for some technical area</w:t>
      </w:r>
      <w:r>
        <w:rPr>
          <w:szCs w:val="21"/>
        </w:rPr>
        <w:t>s</w:t>
      </w:r>
      <w:r w:rsidRPr="00023FFA">
        <w:rPr>
          <w:szCs w:val="21"/>
        </w:rPr>
        <w:t xml:space="preserve"> there were not </w:t>
      </w:r>
      <w:r>
        <w:rPr>
          <w:szCs w:val="21"/>
        </w:rPr>
        <w:t>many</w:t>
      </w:r>
      <w:r w:rsidRPr="00023FFA">
        <w:rPr>
          <w:szCs w:val="21"/>
        </w:rPr>
        <w:t xml:space="preserve"> ‘in-depth’ presentations at the fore-front of their field of science</w:t>
      </w:r>
      <w:r>
        <w:rPr>
          <w:szCs w:val="21"/>
        </w:rPr>
        <w:t xml:space="preserve"> but this was varied from theme to theme</w:t>
      </w:r>
      <w:r w:rsidRPr="00023FFA">
        <w:rPr>
          <w:szCs w:val="21"/>
        </w:rPr>
        <w:t>.</w:t>
      </w:r>
    </w:p>
    <w:p w:rsidR="00C93401" w:rsidRPr="00EB6B7C" w:rsidRDefault="00C93401" w:rsidP="00C93401">
      <w:pPr>
        <w:pStyle w:val="BodyText"/>
      </w:pPr>
      <w:r w:rsidRPr="00EB6B7C">
        <w:t>The survey responses allowed the motivations of staff attending the congress to be inferred by comparing which activities were considered most important. For example, listening to talks and attending poster sessions was considered applicable to all attendee</w:t>
      </w:r>
      <w:r>
        <w:t xml:space="preserve">s and rated as highly important and it is likely that </w:t>
      </w:r>
      <w:r w:rsidRPr="00EB6B7C">
        <w:t xml:space="preserve">GA employees attending the </w:t>
      </w:r>
      <w:r w:rsidRPr="008D2CA0">
        <w:rPr>
          <w:szCs w:val="21"/>
        </w:rPr>
        <w:t>34</w:t>
      </w:r>
      <w:r w:rsidRPr="00CF07C2">
        <w:rPr>
          <w:rStyle w:val="Superscript"/>
        </w:rPr>
        <w:t>th</w:t>
      </w:r>
      <w:r w:rsidRPr="00EB6B7C">
        <w:t xml:space="preserve"> IGC were motivated to take in information broadly across the geosciences, but also wanted to learn about new discoveries and best practises in their specific fields. This inference </w:t>
      </w:r>
      <w:r>
        <w:t>was</w:t>
      </w:r>
      <w:r w:rsidRPr="00EB6B7C">
        <w:t xml:space="preserve"> confirmed for GA delegates who provided specific text answers describing why congress activities were important. There was a general consensus amongst text respondents that they wanted to improve their understanding of particular fields by attending presentations that they felt would improve GA’s capability in their subject area. </w:t>
      </w:r>
    </w:p>
    <w:p w:rsidR="00C93401" w:rsidRPr="003A2F94" w:rsidRDefault="00C93401" w:rsidP="00C93401">
      <w:pPr>
        <w:pStyle w:val="BodyText"/>
      </w:pPr>
      <w:r w:rsidRPr="00EB6B7C">
        <w:t xml:space="preserve">Similarly, the </w:t>
      </w:r>
      <w:r w:rsidRPr="00EB6B7C">
        <w:rPr>
          <w:szCs w:val="21"/>
        </w:rPr>
        <w:t xml:space="preserve">fact that presenting a talk was considered highly important shows that </w:t>
      </w:r>
      <w:r>
        <w:rPr>
          <w:szCs w:val="21"/>
        </w:rPr>
        <w:t>surveyed</w:t>
      </w:r>
      <w:r w:rsidRPr="00EB6B7C">
        <w:rPr>
          <w:szCs w:val="21"/>
        </w:rPr>
        <w:t xml:space="preserve"> GA staff were strongly motivated to share information about the work </w:t>
      </w:r>
      <w:r>
        <w:rPr>
          <w:szCs w:val="21"/>
        </w:rPr>
        <w:t>GA</w:t>
      </w:r>
      <w:r w:rsidRPr="00EB6B7C">
        <w:rPr>
          <w:szCs w:val="21"/>
        </w:rPr>
        <w:t xml:space="preserve"> is involved in. The fact that these activities were highly valued, suggests that GA’s capacity to provide technical geoscientific advice to the Australian Government was e</w:t>
      </w:r>
      <w:r>
        <w:rPr>
          <w:szCs w:val="21"/>
        </w:rPr>
        <w:t>nhanced by participation in the</w:t>
      </w:r>
      <w:r w:rsidRPr="00EB6B7C">
        <w:rPr>
          <w:szCs w:val="21"/>
        </w:rPr>
        <w:t xml:space="preserve"> </w:t>
      </w:r>
      <w:r w:rsidRPr="008D2CA0">
        <w:rPr>
          <w:szCs w:val="21"/>
        </w:rPr>
        <w:t>34</w:t>
      </w:r>
      <w:r w:rsidRPr="00CF07C2">
        <w:rPr>
          <w:rStyle w:val="Superscript"/>
        </w:rPr>
        <w:t>th</w:t>
      </w:r>
      <w:r w:rsidRPr="00EB6B7C">
        <w:rPr>
          <w:szCs w:val="21"/>
        </w:rPr>
        <w:t xml:space="preserve"> IGC.</w:t>
      </w:r>
      <w:r>
        <w:rPr>
          <w:szCs w:val="21"/>
        </w:rPr>
        <w:t xml:space="preserve"> This was predominantly</w:t>
      </w:r>
      <w:r w:rsidRPr="00EB6B7C">
        <w:rPr>
          <w:szCs w:val="21"/>
        </w:rPr>
        <w:t xml:space="preserve"> </w:t>
      </w:r>
      <w:r>
        <w:rPr>
          <w:szCs w:val="21"/>
        </w:rPr>
        <w:t>through</w:t>
      </w:r>
      <w:r w:rsidRPr="00EB6B7C">
        <w:rPr>
          <w:szCs w:val="21"/>
        </w:rPr>
        <w:t xml:space="preserve"> providing opportunities for staff to increase their awareness of current trends in the broader international geoscience community</w:t>
      </w:r>
      <w:r>
        <w:rPr>
          <w:szCs w:val="21"/>
        </w:rPr>
        <w:t>,</w:t>
      </w:r>
      <w:r w:rsidRPr="00EB6B7C">
        <w:rPr>
          <w:szCs w:val="21"/>
        </w:rPr>
        <w:t xml:space="preserve"> and to receive feedback on their own work from international peers. Again, text responses from GA delegates confirmed that they were excited to receive feedback on existing</w:t>
      </w:r>
      <w:r w:rsidRPr="00EB6B7C">
        <w:t xml:space="preserve"> work and projects through presenting a talk or a poster. These responses indicate that GA delegates were strongly motivated to enhance their individual performance and advance the work of the agency through their attendance at the </w:t>
      </w:r>
      <w:r w:rsidRPr="008D2CA0">
        <w:rPr>
          <w:szCs w:val="21"/>
        </w:rPr>
        <w:t>34</w:t>
      </w:r>
      <w:r w:rsidRPr="00CF07C2">
        <w:rPr>
          <w:rStyle w:val="Superscript"/>
        </w:rPr>
        <w:t>th</w:t>
      </w:r>
      <w:r w:rsidRPr="00EB6B7C">
        <w:t xml:space="preserve"> IGC.</w:t>
      </w:r>
    </w:p>
    <w:p w:rsidR="00BB6D67" w:rsidRDefault="00C93401" w:rsidP="00C93401">
      <w:pPr>
        <w:pStyle w:val="BodyText"/>
      </w:pPr>
      <w:r>
        <w:t xml:space="preserve">Overall, respondents were pleased to have had the opportunity to attend </w:t>
      </w:r>
      <w:r w:rsidRPr="008D2CA0">
        <w:rPr>
          <w:szCs w:val="21"/>
        </w:rPr>
        <w:t>34</w:t>
      </w:r>
      <w:r w:rsidRPr="00CF07C2">
        <w:rPr>
          <w:rStyle w:val="Superscript"/>
        </w:rPr>
        <w:t>th</w:t>
      </w:r>
      <w:r>
        <w:t xml:space="preserve"> IGC and were proud of the role that GA played in organising the congress. Respondents remarked that attendance at the </w:t>
      </w:r>
      <w:r w:rsidRPr="008D2CA0">
        <w:rPr>
          <w:szCs w:val="21"/>
        </w:rPr>
        <w:t>34</w:t>
      </w:r>
      <w:r w:rsidRPr="00CF07C2">
        <w:rPr>
          <w:rStyle w:val="Superscript"/>
        </w:rPr>
        <w:t>th</w:t>
      </w:r>
      <w:r>
        <w:t xml:space="preserve"> IGC was likely a once-in-a-career opportunity. Some responses suggested that hosting the </w:t>
      </w:r>
      <w:r w:rsidRPr="008D2CA0">
        <w:rPr>
          <w:szCs w:val="21"/>
        </w:rPr>
        <w:t>34</w:t>
      </w:r>
      <w:r w:rsidRPr="00CF07C2">
        <w:rPr>
          <w:rStyle w:val="Superscript"/>
        </w:rPr>
        <w:t>th</w:t>
      </w:r>
      <w:r>
        <w:t xml:space="preserve"> IGC in Australia will have significant benefits to the Australian geoscience community in the future, while some respondents perceived that GA’s national and international reputation was greatly enhanced as a result of its attendance and support of the </w:t>
      </w:r>
      <w:r w:rsidRPr="008D2CA0">
        <w:rPr>
          <w:szCs w:val="21"/>
        </w:rPr>
        <w:t>34</w:t>
      </w:r>
      <w:r w:rsidRPr="00CF07C2">
        <w:rPr>
          <w:rStyle w:val="Superscript"/>
        </w:rPr>
        <w:t>th</w:t>
      </w:r>
      <w:r>
        <w:t xml:space="preserve"> IGC.</w:t>
      </w:r>
    </w:p>
    <w:p w:rsidR="00BB6D67" w:rsidRDefault="00BB6D67" w:rsidP="00BB6D67">
      <w:pPr>
        <w:pStyle w:val="BodyText"/>
      </w:pPr>
      <w:r>
        <w:br w:type="page"/>
      </w:r>
    </w:p>
    <w:p w:rsidR="00C93401" w:rsidRDefault="00C93401" w:rsidP="00C93401">
      <w:pPr>
        <w:pStyle w:val="Heading3"/>
      </w:pPr>
      <w:bookmarkStart w:id="193" w:name="_Toc353282041"/>
      <w:bookmarkStart w:id="194" w:name="_Toc355274253"/>
      <w:r>
        <w:lastRenderedPageBreak/>
        <w:t xml:space="preserve">Employees that were Unable to Attend the </w:t>
      </w:r>
      <w:r w:rsidRPr="008D2CA0">
        <w:rPr>
          <w:szCs w:val="21"/>
        </w:rPr>
        <w:t>34</w:t>
      </w:r>
      <w:r w:rsidRPr="00CF07C2">
        <w:rPr>
          <w:rStyle w:val="Superscript"/>
        </w:rPr>
        <w:t>th</w:t>
      </w:r>
      <w:r>
        <w:t xml:space="preserve"> IGC</w:t>
      </w:r>
      <w:bookmarkEnd w:id="193"/>
      <w:bookmarkEnd w:id="194"/>
    </w:p>
    <w:p w:rsidR="00C93401" w:rsidRPr="003F3886" w:rsidRDefault="00C93401" w:rsidP="00C93401">
      <w:pPr>
        <w:pStyle w:val="BodyText"/>
      </w:pPr>
      <w:r w:rsidRPr="003F3886">
        <w:t xml:space="preserve">GA staff that were unable to attend the </w:t>
      </w:r>
      <w:r w:rsidRPr="003F3886">
        <w:rPr>
          <w:szCs w:val="21"/>
        </w:rPr>
        <w:t>34</w:t>
      </w:r>
      <w:r w:rsidRPr="00CF07C2">
        <w:rPr>
          <w:rStyle w:val="Superscript"/>
        </w:rPr>
        <w:t>th</w:t>
      </w:r>
      <w:r w:rsidRPr="003F3886">
        <w:t xml:space="preserve"> IGC could still benefit from the </w:t>
      </w:r>
      <w:r w:rsidRPr="003F3886">
        <w:rPr>
          <w:szCs w:val="21"/>
        </w:rPr>
        <w:t>34</w:t>
      </w:r>
      <w:r w:rsidRPr="00CF07C2">
        <w:rPr>
          <w:rStyle w:val="Superscript"/>
        </w:rPr>
        <w:t>th</w:t>
      </w:r>
      <w:r w:rsidRPr="003F3886">
        <w:t xml:space="preserve"> IGC in the following ways:</w:t>
      </w:r>
    </w:p>
    <w:p w:rsidR="00C93401" w:rsidRPr="003F3886" w:rsidRDefault="00C93401" w:rsidP="00C93401">
      <w:pPr>
        <w:pStyle w:val="Bulletlevel1"/>
      </w:pPr>
      <w:r w:rsidRPr="003F3886">
        <w:t xml:space="preserve">Listening to </w:t>
      </w:r>
      <w:r w:rsidRPr="003F3886">
        <w:rPr>
          <w:szCs w:val="21"/>
        </w:rPr>
        <w:t>34</w:t>
      </w:r>
      <w:r w:rsidRPr="00CF07C2">
        <w:rPr>
          <w:rStyle w:val="Superscript"/>
        </w:rPr>
        <w:t>th</w:t>
      </w:r>
      <w:r w:rsidRPr="003F3886">
        <w:t xml:space="preserve"> IGC-related talks from GA delegates;</w:t>
      </w:r>
    </w:p>
    <w:p w:rsidR="00C93401" w:rsidRPr="003F3886" w:rsidRDefault="00C93401" w:rsidP="00C93401">
      <w:pPr>
        <w:pStyle w:val="Bulletlevel1"/>
      </w:pPr>
      <w:r w:rsidRPr="003F3886">
        <w:t xml:space="preserve">Listening to </w:t>
      </w:r>
      <w:r w:rsidRPr="003F3886">
        <w:rPr>
          <w:szCs w:val="21"/>
        </w:rPr>
        <w:t>34</w:t>
      </w:r>
      <w:r w:rsidRPr="00CF07C2">
        <w:rPr>
          <w:rStyle w:val="Superscript"/>
        </w:rPr>
        <w:t>th</w:t>
      </w:r>
      <w:r w:rsidRPr="003F3886">
        <w:t xml:space="preserve"> IGC-related talks from visiting </w:t>
      </w:r>
      <w:r w:rsidRPr="003F3886">
        <w:rPr>
          <w:szCs w:val="21"/>
        </w:rPr>
        <w:t>34</w:t>
      </w:r>
      <w:r w:rsidRPr="00CF07C2">
        <w:rPr>
          <w:rStyle w:val="Superscript"/>
        </w:rPr>
        <w:t>th</w:t>
      </w:r>
      <w:r w:rsidRPr="003F3886">
        <w:t xml:space="preserve"> IGC delegates;</w:t>
      </w:r>
    </w:p>
    <w:p w:rsidR="00C93401" w:rsidRPr="003F3886" w:rsidRDefault="00C93401" w:rsidP="00C93401">
      <w:pPr>
        <w:pStyle w:val="Bulletlevel1"/>
      </w:pPr>
      <w:r w:rsidRPr="003F3886">
        <w:t xml:space="preserve">Participating in related meetings; </w:t>
      </w:r>
    </w:p>
    <w:p w:rsidR="00C93401" w:rsidRPr="003F3886" w:rsidRDefault="00C93401" w:rsidP="00C93401">
      <w:pPr>
        <w:pStyle w:val="Bulletlevel1"/>
      </w:pPr>
      <w:r w:rsidRPr="003F3886">
        <w:t>Participating in related workshops</w:t>
      </w:r>
      <w:r w:rsidR="00602511">
        <w:t>;</w:t>
      </w:r>
      <w:r w:rsidRPr="003F3886">
        <w:t xml:space="preserve"> and</w:t>
      </w:r>
      <w:r w:rsidR="00602511">
        <w:t>,</w:t>
      </w:r>
    </w:p>
    <w:p w:rsidR="00C93401" w:rsidRPr="003F3886" w:rsidRDefault="00C93401" w:rsidP="00C93401">
      <w:pPr>
        <w:pStyle w:val="Bulletlevel1"/>
      </w:pPr>
      <w:r w:rsidRPr="003F3886">
        <w:t>General discussions with GA delegates.</w:t>
      </w:r>
    </w:p>
    <w:p w:rsidR="00C93401" w:rsidRPr="003F3886" w:rsidRDefault="00C93401" w:rsidP="00C93401">
      <w:pPr>
        <w:pStyle w:val="BodyText"/>
      </w:pPr>
      <w:r w:rsidRPr="003F3886">
        <w:t xml:space="preserve">In particular, it was noted that GA hosted approximately 20 visitors in the weeks surrounding the </w:t>
      </w:r>
      <w:r w:rsidRPr="003F3886">
        <w:rPr>
          <w:szCs w:val="21"/>
        </w:rPr>
        <w:t>34</w:t>
      </w:r>
      <w:r w:rsidRPr="00CF07C2">
        <w:rPr>
          <w:rStyle w:val="Superscript"/>
        </w:rPr>
        <w:t>th</w:t>
      </w:r>
      <w:r w:rsidRPr="003F3886">
        <w:t xml:space="preserve"> IGC (</w:t>
      </w:r>
      <w:r w:rsidRPr="003F3886">
        <w:fldChar w:fldCharType="begin"/>
      </w:r>
      <w:r w:rsidRPr="003F3886">
        <w:instrText xml:space="preserve"> REF _Ref339529470 \h  \* MERGEFORMAT </w:instrText>
      </w:r>
      <w:r w:rsidRPr="003F3886">
        <w:fldChar w:fldCharType="separate"/>
      </w:r>
      <w:r w:rsidR="004E7FC8" w:rsidRPr="004E7FC8">
        <w:t>Table 3.2</w:t>
      </w:r>
      <w:r w:rsidRPr="003F3886">
        <w:fldChar w:fldCharType="end"/>
      </w:r>
      <w:r w:rsidRPr="003F3886">
        <w:t xml:space="preserve">). During their time at GA the visitors were involved in a range of activities that facilitated further dissemination of information and initiated or extended collaboration with GA. This included the presentation talks and participation in workshops. However, it was noted that there is a lack of formal processes to register external visitors at GA. In addition there is no formal resource for GA employees to find out about who is visiting GA and what they are doing during their visit (e.g. presenting a talk). In some cases survey respondents were not aware of </w:t>
      </w:r>
      <w:r w:rsidRPr="003F3886">
        <w:rPr>
          <w:szCs w:val="21"/>
        </w:rPr>
        <w:t>34</w:t>
      </w:r>
      <w:r w:rsidRPr="00CF07C2">
        <w:rPr>
          <w:rStyle w:val="Superscript"/>
        </w:rPr>
        <w:t>th</w:t>
      </w:r>
      <w:r w:rsidRPr="003F3886">
        <w:t xml:space="preserve"> IGC-related visitors, seminars, workshops or meetings occurring at GA, even when those activities related to their group. This suggests that GA employees may not have got the maximum benefit of hosting the visitors.</w:t>
      </w:r>
    </w:p>
    <w:p w:rsidR="00C93401" w:rsidRPr="003A2F94" w:rsidRDefault="00C93401" w:rsidP="00C93401">
      <w:pPr>
        <w:pStyle w:val="Tabletitle"/>
      </w:pPr>
      <w:bookmarkStart w:id="195" w:name="_Ref211754835"/>
      <w:bookmarkStart w:id="196" w:name="_Ref339529470"/>
      <w:r w:rsidRPr="00356CC4">
        <w:rPr>
          <w:rStyle w:val="Bold"/>
        </w:rPr>
        <w:t xml:space="preserve">Table </w:t>
      </w:r>
      <w:r w:rsidR="004E7FC8">
        <w:rPr>
          <w:rStyle w:val="Bold"/>
        </w:rPr>
        <w:fldChar w:fldCharType="begin"/>
      </w:r>
      <w:r w:rsidR="004E7FC8">
        <w:rPr>
          <w:rStyle w:val="Bold"/>
        </w:rPr>
        <w:instrText xml:space="preserve"> STYLEREF 1 \s </w:instrText>
      </w:r>
      <w:r w:rsidR="004E7FC8">
        <w:rPr>
          <w:rStyle w:val="Bold"/>
        </w:rPr>
        <w:fldChar w:fldCharType="separate"/>
      </w:r>
      <w:r w:rsidR="004E7FC8">
        <w:rPr>
          <w:rStyle w:val="Bold"/>
          <w:noProof/>
        </w:rPr>
        <w:t>3</w:t>
      </w:r>
      <w:r w:rsidR="004E7FC8">
        <w:rPr>
          <w:rStyle w:val="Bold"/>
        </w:rPr>
        <w:fldChar w:fldCharType="end"/>
      </w:r>
      <w:r w:rsidR="004E7FC8">
        <w:rPr>
          <w:rStyle w:val="Bold"/>
        </w:rPr>
        <w:t>.</w:t>
      </w:r>
      <w:r w:rsidR="004E7FC8">
        <w:rPr>
          <w:rStyle w:val="Bold"/>
        </w:rPr>
        <w:fldChar w:fldCharType="begin"/>
      </w:r>
      <w:r w:rsidR="004E7FC8">
        <w:rPr>
          <w:rStyle w:val="Bold"/>
        </w:rPr>
        <w:instrText xml:space="preserve"> SEQ Table \* ARABIC \s 1 </w:instrText>
      </w:r>
      <w:r w:rsidR="004E7FC8">
        <w:rPr>
          <w:rStyle w:val="Bold"/>
        </w:rPr>
        <w:fldChar w:fldCharType="separate"/>
      </w:r>
      <w:r w:rsidR="004E7FC8">
        <w:rPr>
          <w:rStyle w:val="Bold"/>
          <w:noProof/>
        </w:rPr>
        <w:t>2</w:t>
      </w:r>
      <w:r w:rsidR="004E7FC8">
        <w:rPr>
          <w:rStyle w:val="Bold"/>
        </w:rPr>
        <w:fldChar w:fldCharType="end"/>
      </w:r>
      <w:bookmarkEnd w:id="195"/>
      <w:bookmarkEnd w:id="196"/>
      <w:r w:rsidRPr="00356CC4">
        <w:rPr>
          <w:rStyle w:val="Bold"/>
        </w:rPr>
        <w:t>:</w:t>
      </w:r>
      <w:r w:rsidRPr="000A2C15">
        <w:t xml:space="preserve"> Visitors to </w:t>
      </w:r>
      <w:r>
        <w:t>GA</w:t>
      </w:r>
      <w:r w:rsidRPr="000A2C15">
        <w:t xml:space="preserve"> associated with the </w:t>
      </w:r>
      <w:r w:rsidRPr="008D2CA0">
        <w:rPr>
          <w:szCs w:val="21"/>
        </w:rPr>
        <w:t>34</w:t>
      </w:r>
      <w:r w:rsidRPr="00CF07C2">
        <w:rPr>
          <w:rStyle w:val="Superscript"/>
        </w:rPr>
        <w:t>th</w:t>
      </w:r>
      <w:r w:rsidRPr="000A2C15">
        <w:t xml:space="preserve"> IGC. Exposure ranked as;</w:t>
      </w:r>
      <w:r w:rsidRPr="003A2F94">
        <w:t xml:space="preserve"> </w:t>
      </w:r>
      <w:r w:rsidRPr="000A2C15">
        <w:t>1)</w:t>
      </w:r>
      <w:r>
        <w:t> </w:t>
      </w:r>
      <w:r w:rsidRPr="000A2C15">
        <w:t>Visitor came to discuss specific collaborations only. 2)</w:t>
      </w:r>
      <w:r>
        <w:t> </w:t>
      </w:r>
      <w:r w:rsidRPr="000A2C15">
        <w:t>Visitor gave a talk, hosted or participated in a workshop to a limited sector of GA. 3)</w:t>
      </w:r>
      <w:r>
        <w:t> </w:t>
      </w:r>
      <w:r w:rsidRPr="000A2C15">
        <w:t xml:space="preserve">Visitor came to GA, and amongst other activities presented a talk to the wider GA audience (this was advertised on the intranet or was relevant information was communicated via the divisional email lists). </w:t>
      </w:r>
      <w:r>
        <w:t>Information gathered during p</w:t>
      </w:r>
      <w:r w:rsidRPr="000A2C15">
        <w:t xml:space="preserve">re- and </w:t>
      </w:r>
      <w:r>
        <w:t>p</w:t>
      </w:r>
      <w:r w:rsidRPr="000A2C15">
        <w:t>ost-</w:t>
      </w:r>
      <w:r w:rsidRPr="008D2CA0">
        <w:rPr>
          <w:szCs w:val="21"/>
        </w:rPr>
        <w:t>34</w:t>
      </w:r>
      <w:r w:rsidRPr="00CF07C2">
        <w:rPr>
          <w:rStyle w:val="Superscript"/>
        </w:rPr>
        <w:t>th</w:t>
      </w:r>
      <w:r w:rsidRPr="000A2C15">
        <w:t xml:space="preserve"> IGC surveys; additional information sourced from the GA </w:t>
      </w:r>
      <w:r w:rsidRPr="003A2F94">
        <w:t>Conference and Visiting Delegations Coordinator (Mary Walsh).</w:t>
      </w:r>
    </w:p>
    <w:tbl>
      <w:tblPr>
        <w:tblStyle w:val="TableGAHeaderRow"/>
        <w:tblW w:w="5000" w:type="pct"/>
        <w:tblLook w:val="0020" w:firstRow="1" w:lastRow="0" w:firstColumn="0" w:lastColumn="0" w:noHBand="0" w:noVBand="0"/>
        <w:tblDescription w:val="This table lists all of the known visitors and / or visiting groups to GA who also attended the 34th IGC, and describes the exposure that these groups had to the agency. There was a total of 15 different visiting groups, covering a range of different activities within GA. The majority of these (nine) had a high degree of exposure to the agency, presenting their expertise to the broader GA community."/>
      </w:tblPr>
      <w:tblGrid>
        <w:gridCol w:w="3190"/>
        <w:gridCol w:w="1949"/>
        <w:gridCol w:w="2699"/>
        <w:gridCol w:w="1347"/>
      </w:tblGrid>
      <w:tr w:rsidR="00C93401" w:rsidRPr="00D17D6D" w:rsidTr="00A56269">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1737" w:type="pct"/>
          </w:tcPr>
          <w:p w:rsidR="00C93401" w:rsidRPr="00D17D6D" w:rsidRDefault="00C93401" w:rsidP="007E4CAF">
            <w:pPr>
              <w:pStyle w:val="Tabletextleft"/>
            </w:pPr>
            <w:r w:rsidRPr="00D17D6D">
              <w:t xml:space="preserve">Visitor </w:t>
            </w:r>
            <w:r w:rsidR="00A56269">
              <w:t>n</w:t>
            </w:r>
            <w:r w:rsidRPr="00D17D6D">
              <w:t xml:space="preserve">ame / </w:t>
            </w:r>
            <w:r w:rsidR="00A56269">
              <w:t>g</w:t>
            </w:r>
            <w:r w:rsidRPr="00D17D6D">
              <w:t>roup</w:t>
            </w:r>
          </w:p>
        </w:tc>
        <w:tc>
          <w:tcPr>
            <w:tcW w:w="1061" w:type="pct"/>
          </w:tcPr>
          <w:p w:rsidR="00C93401" w:rsidRPr="00D17D6D" w:rsidRDefault="00A56269" w:rsidP="007E4CAF">
            <w:pPr>
              <w:pStyle w:val="Tabletextleft"/>
              <w:cnfStyle w:val="100000000000" w:firstRow="1" w:lastRow="0" w:firstColumn="0" w:lastColumn="0" w:oddVBand="0" w:evenVBand="0" w:oddHBand="0" w:evenHBand="0" w:firstRowFirstColumn="0" w:firstRowLastColumn="0" w:lastRowFirstColumn="0" w:lastRowLastColumn="0"/>
            </w:pPr>
            <w:r>
              <w:t>Section / g</w:t>
            </w:r>
            <w:r w:rsidR="00C93401" w:rsidRPr="00D17D6D">
              <w:t>roup hosting</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17D6D" w:rsidRDefault="00C93401" w:rsidP="007E4CAF">
            <w:pPr>
              <w:pStyle w:val="Tabletextleft"/>
            </w:pPr>
            <w:r w:rsidRPr="00D17D6D">
              <w:t>Description of activities</w:t>
            </w:r>
          </w:p>
        </w:tc>
        <w:tc>
          <w:tcPr>
            <w:tcW w:w="734" w:type="pct"/>
          </w:tcPr>
          <w:p w:rsidR="00C93401" w:rsidRPr="00D17D6D" w:rsidRDefault="00A56269" w:rsidP="007E4CAF">
            <w:pPr>
              <w:pStyle w:val="Tabletextleft"/>
              <w:cnfStyle w:val="100000000000" w:firstRow="1" w:lastRow="0" w:firstColumn="0" w:lastColumn="0" w:oddVBand="0" w:evenVBand="0" w:oddHBand="0" w:evenHBand="0" w:firstRowFirstColumn="0" w:firstRowLastColumn="0" w:lastRowFirstColumn="0" w:lastRowLastColumn="0"/>
            </w:pPr>
            <w:r>
              <w:t>E</w:t>
            </w:r>
            <w:r w:rsidR="00C93401" w:rsidRPr="00D17D6D">
              <w:t>xposure to GA</w:t>
            </w:r>
          </w:p>
        </w:tc>
      </w:tr>
      <w:tr w:rsidR="00C93401" w:rsidRPr="00D17D6D"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Professor Steve Gorelick (Stanford  University)</w:t>
            </w:r>
          </w:p>
          <w:p w:rsidR="00C93401" w:rsidRPr="00D644D5" w:rsidRDefault="00C93401" w:rsidP="007E4CAF">
            <w:pPr>
              <w:pStyle w:val="Tabletextleft"/>
              <w:rPr>
                <w:szCs w:val="18"/>
              </w:rPr>
            </w:pPr>
            <w:r w:rsidRPr="00D644D5">
              <w:rPr>
                <w:szCs w:val="18"/>
              </w:rPr>
              <w:t>Dr Clifford Voss (USGS)</w:t>
            </w:r>
          </w:p>
          <w:p w:rsidR="00C93401" w:rsidRPr="00D644D5" w:rsidRDefault="00C93401" w:rsidP="007E4CAF">
            <w:pPr>
              <w:pStyle w:val="Tabletextleft"/>
              <w:rPr>
                <w:szCs w:val="18"/>
              </w:rPr>
            </w:pPr>
            <w:r w:rsidRPr="00D644D5">
              <w:rPr>
                <w:szCs w:val="18"/>
              </w:rPr>
              <w:t>Dr Jared Abraham (USGS)</w:t>
            </w:r>
          </w:p>
          <w:p w:rsidR="00C93401" w:rsidRPr="00D644D5" w:rsidRDefault="00C93401" w:rsidP="007E4CAF">
            <w:pPr>
              <w:pStyle w:val="Tabletextleft"/>
              <w:rPr>
                <w:szCs w:val="18"/>
              </w:rPr>
            </w:pPr>
            <w:r w:rsidRPr="00D644D5">
              <w:rPr>
                <w:szCs w:val="18"/>
              </w:rPr>
              <w:t xml:space="preserve">Professor Craig Simmons </w:t>
            </w:r>
          </w:p>
          <w:p w:rsidR="00C93401" w:rsidRPr="00D644D5" w:rsidRDefault="00C93401" w:rsidP="007E4CAF">
            <w:pPr>
              <w:pStyle w:val="Tabletextleft"/>
              <w:rPr>
                <w:szCs w:val="18"/>
              </w:rPr>
            </w:pPr>
            <w:r w:rsidRPr="00D644D5">
              <w:rPr>
                <w:szCs w:val="18"/>
              </w:rPr>
              <w:t>Mr Richard McLoughlin (Department of Sustainability, Environment, Water, Population and Communities)</w:t>
            </w:r>
          </w:p>
        </w:tc>
        <w:tc>
          <w:tcPr>
            <w:tcW w:w="1061"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Groundwater Group</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Group presentation of talks within a Groundwater workshop</w:t>
            </w:r>
          </w:p>
        </w:tc>
        <w:tc>
          <w:tcPr>
            <w:tcW w:w="734"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2</w:t>
            </w:r>
          </w:p>
        </w:tc>
      </w:tr>
      <w:tr w:rsidR="00C93401" w:rsidRPr="00D17D6D"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Professor Steve Gorelick (Stanford University)</w:t>
            </w:r>
          </w:p>
        </w:tc>
        <w:tc>
          <w:tcPr>
            <w:tcW w:w="1061"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Groundwater Group</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GA seminar</w:t>
            </w:r>
          </w:p>
        </w:tc>
        <w:tc>
          <w:tcPr>
            <w:tcW w:w="734"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3</w:t>
            </w:r>
          </w:p>
        </w:tc>
      </w:tr>
      <w:tr w:rsidR="00C93401" w:rsidRPr="00D17D6D"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 xml:space="preserve">Alex Sharples  </w:t>
            </w:r>
          </w:p>
          <w:p w:rsidR="00C93401" w:rsidRPr="00D644D5" w:rsidRDefault="00C93401" w:rsidP="007E4CAF">
            <w:pPr>
              <w:pStyle w:val="Tabletextleft"/>
              <w:rPr>
                <w:szCs w:val="18"/>
              </w:rPr>
            </w:pPr>
            <w:r w:rsidRPr="00D644D5">
              <w:rPr>
                <w:szCs w:val="18"/>
              </w:rPr>
              <w:t xml:space="preserve">Lucy MacGregor </w:t>
            </w:r>
          </w:p>
          <w:p w:rsidR="00C93401" w:rsidRPr="00D644D5" w:rsidRDefault="00C93401" w:rsidP="007E4CAF">
            <w:pPr>
              <w:pStyle w:val="Tabletextleft"/>
              <w:rPr>
                <w:szCs w:val="18"/>
              </w:rPr>
            </w:pPr>
            <w:r w:rsidRPr="00D644D5">
              <w:rPr>
                <w:szCs w:val="18"/>
              </w:rPr>
              <w:t>Bjorn Wygrala</w:t>
            </w:r>
          </w:p>
        </w:tc>
        <w:tc>
          <w:tcPr>
            <w:tcW w:w="1061"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Basin Resources Group</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Group seminar and presentations</w:t>
            </w:r>
          </w:p>
        </w:tc>
        <w:tc>
          <w:tcPr>
            <w:tcW w:w="734"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2</w:t>
            </w:r>
          </w:p>
        </w:tc>
      </w:tr>
      <w:tr w:rsidR="00C93401" w:rsidRPr="00D17D6D"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Professor Jim Ogg (Purdue University)</w:t>
            </w:r>
          </w:p>
        </w:tc>
        <w:tc>
          <w:tcPr>
            <w:tcW w:w="1061"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Basin Resources Group</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GA seminar</w:t>
            </w:r>
          </w:p>
        </w:tc>
        <w:tc>
          <w:tcPr>
            <w:tcW w:w="734"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3</w:t>
            </w:r>
          </w:p>
        </w:tc>
      </w:tr>
      <w:tr w:rsidR="00C93401" w:rsidRPr="00D17D6D"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Dr Helje Parnaste (Tallinn University of Technology)</w:t>
            </w:r>
          </w:p>
        </w:tc>
        <w:tc>
          <w:tcPr>
            <w:tcW w:w="1061"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Basin Resources Group</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Group meetings</w:t>
            </w:r>
          </w:p>
        </w:tc>
        <w:tc>
          <w:tcPr>
            <w:tcW w:w="734"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1</w:t>
            </w:r>
          </w:p>
        </w:tc>
      </w:tr>
      <w:tr w:rsidR="00C93401" w:rsidRPr="00D17D6D"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Professor Greg Retallack (University of Oregon)</w:t>
            </w:r>
          </w:p>
        </w:tc>
        <w:tc>
          <w:tcPr>
            <w:tcW w:w="1061"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Basin Resources Group</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Group meetings</w:t>
            </w:r>
          </w:p>
        </w:tc>
        <w:tc>
          <w:tcPr>
            <w:tcW w:w="734"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1</w:t>
            </w:r>
          </w:p>
        </w:tc>
      </w:tr>
      <w:tr w:rsidR="00C93401" w:rsidRPr="00D17D6D"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lastRenderedPageBreak/>
              <w:t>Professor Gary Greene (California State University)</w:t>
            </w:r>
          </w:p>
        </w:tc>
        <w:tc>
          <w:tcPr>
            <w:tcW w:w="1061"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Coastal, Marine and Climate Change Group</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Group meetings with:</w:t>
            </w:r>
          </w:p>
          <w:p w:rsidR="00C93401" w:rsidRPr="00D644D5" w:rsidRDefault="00C93401" w:rsidP="007E4CAF">
            <w:pPr>
              <w:pStyle w:val="Tabletextleft"/>
              <w:rPr>
                <w:szCs w:val="18"/>
              </w:rPr>
            </w:pPr>
            <w:r w:rsidRPr="00D644D5">
              <w:rPr>
                <w:szCs w:val="18"/>
              </w:rPr>
              <w:t>Coastal, Marine and Climate Change Group; Basin Resources Group; Andrew Heap; Dr Clinton Foster (Chief Scientist)</w:t>
            </w:r>
          </w:p>
          <w:p w:rsidR="00C93401" w:rsidRPr="00D644D5" w:rsidRDefault="00C93401" w:rsidP="007E4CAF">
            <w:pPr>
              <w:pStyle w:val="Tabletextleft"/>
              <w:rPr>
                <w:szCs w:val="18"/>
              </w:rPr>
            </w:pPr>
            <w:r w:rsidRPr="00D644D5">
              <w:rPr>
                <w:szCs w:val="18"/>
              </w:rPr>
              <w:t>Habitat Mapping presentation and workshop open to: Coastal, Marine and Climate Change Group; Observatories and Engineering Services Group; Basin Resources Group</w:t>
            </w:r>
          </w:p>
          <w:p w:rsidR="00C93401" w:rsidRPr="00D644D5" w:rsidRDefault="00C93401" w:rsidP="007E4CAF">
            <w:pPr>
              <w:pStyle w:val="Tabletextleft"/>
              <w:rPr>
                <w:szCs w:val="18"/>
              </w:rPr>
            </w:pPr>
            <w:r w:rsidRPr="00D644D5">
              <w:rPr>
                <w:szCs w:val="18"/>
              </w:rPr>
              <w:t>GA seminar</w:t>
            </w:r>
          </w:p>
        </w:tc>
        <w:tc>
          <w:tcPr>
            <w:tcW w:w="734"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3</w:t>
            </w:r>
          </w:p>
        </w:tc>
      </w:tr>
      <w:tr w:rsidR="00C93401" w:rsidRPr="00D17D6D"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lang w:val="da-DK"/>
              </w:rPr>
            </w:pPr>
            <w:r w:rsidRPr="00D644D5">
              <w:rPr>
                <w:szCs w:val="18"/>
                <w:lang w:val="da-DK"/>
              </w:rPr>
              <w:t>Terje Thorsnes (Norges Geologiske Undersekelse (NGU))</w:t>
            </w:r>
          </w:p>
        </w:tc>
        <w:tc>
          <w:tcPr>
            <w:tcW w:w="1061"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Coastal, Marine and Climate Change Group / Andrew Heap</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Group meetings with: Coastal, Marine and Climate Change Group; Stuart Minchin (Chief of Environmental Geoscience Division); Andrew Heap</w:t>
            </w:r>
          </w:p>
          <w:p w:rsidR="00C93401" w:rsidRPr="00D644D5" w:rsidRDefault="00C93401" w:rsidP="007E4CAF">
            <w:pPr>
              <w:pStyle w:val="Tabletextleft"/>
              <w:rPr>
                <w:szCs w:val="18"/>
              </w:rPr>
            </w:pPr>
            <w:r w:rsidRPr="00D644D5">
              <w:rPr>
                <w:szCs w:val="18"/>
              </w:rPr>
              <w:t>GA seminar</w:t>
            </w:r>
          </w:p>
        </w:tc>
        <w:tc>
          <w:tcPr>
            <w:tcW w:w="734"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3</w:t>
            </w:r>
          </w:p>
        </w:tc>
      </w:tr>
      <w:tr w:rsidR="00C93401" w:rsidRPr="00D17D6D"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Ms Irina Rafliana (Indonesian Institute of Sciences (LIPI))</w:t>
            </w:r>
          </w:p>
        </w:tc>
        <w:tc>
          <w:tcPr>
            <w:tcW w:w="1061"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International Group</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GA seminar</w:t>
            </w:r>
          </w:p>
        </w:tc>
        <w:tc>
          <w:tcPr>
            <w:tcW w:w="734"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3</w:t>
            </w:r>
          </w:p>
        </w:tc>
      </w:tr>
      <w:tr w:rsidR="00C93401" w:rsidRPr="00D17D6D"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Evgenia Milshtein (A.P. Karpinsky Russian Geological Research Institute (VSGEI))</w:t>
            </w:r>
          </w:p>
        </w:tc>
        <w:tc>
          <w:tcPr>
            <w:tcW w:w="1061"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Energy Division</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GA seminar on: 3D multi-scale model of North, Central and East Asia</w:t>
            </w:r>
          </w:p>
        </w:tc>
        <w:tc>
          <w:tcPr>
            <w:tcW w:w="734"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3</w:t>
            </w:r>
          </w:p>
        </w:tc>
      </w:tr>
      <w:tr w:rsidR="00C93401" w:rsidRPr="00D17D6D"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Sergey Shokalsky (A.P. Karpinsky Russian Geological Research Institute(VSGEI))</w:t>
            </w:r>
          </w:p>
        </w:tc>
        <w:tc>
          <w:tcPr>
            <w:tcW w:w="1061"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Energy Division</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GA seminar on: Atlas of Geological Maps of Central Asia and the Adjacent Territories at 1:2.5M</w:t>
            </w:r>
          </w:p>
        </w:tc>
        <w:tc>
          <w:tcPr>
            <w:tcW w:w="734"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3</w:t>
            </w:r>
          </w:p>
        </w:tc>
      </w:tr>
      <w:tr w:rsidR="00C93401" w:rsidRPr="00D17D6D"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Dr Lee Allison (Arizona Geological Survey)</w:t>
            </w:r>
          </w:p>
        </w:tc>
        <w:tc>
          <w:tcPr>
            <w:tcW w:w="1061"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GA seminar</w:t>
            </w:r>
          </w:p>
        </w:tc>
        <w:tc>
          <w:tcPr>
            <w:tcW w:w="734"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3</w:t>
            </w:r>
          </w:p>
        </w:tc>
      </w:tr>
      <w:tr w:rsidR="00C93401" w:rsidRPr="00D17D6D"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Dr Eric Grunsky (Geological Survey of Canada)</w:t>
            </w:r>
          </w:p>
        </w:tc>
        <w:tc>
          <w:tcPr>
            <w:tcW w:w="1061"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Geochronology Section / Regional Geology and Mineral Systems Group</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Group meetings</w:t>
            </w:r>
          </w:p>
          <w:p w:rsidR="00C93401" w:rsidRPr="00D644D5" w:rsidRDefault="00C93401" w:rsidP="007E4CAF">
            <w:pPr>
              <w:pStyle w:val="Tabletextleft"/>
              <w:rPr>
                <w:szCs w:val="18"/>
              </w:rPr>
            </w:pPr>
            <w:r w:rsidRPr="00D644D5">
              <w:rPr>
                <w:szCs w:val="18"/>
              </w:rPr>
              <w:t>GA seminar</w:t>
            </w:r>
          </w:p>
        </w:tc>
        <w:tc>
          <w:tcPr>
            <w:tcW w:w="734"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3</w:t>
            </w:r>
          </w:p>
        </w:tc>
      </w:tr>
      <w:tr w:rsidR="00C93401" w:rsidRPr="00D17D6D"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Chinese Geological Survey</w:t>
            </w:r>
          </w:p>
        </w:tc>
        <w:tc>
          <w:tcPr>
            <w:tcW w:w="1061"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Chris Pigram (Chief Executive Officer)/ Corporate</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p>
        </w:tc>
        <w:tc>
          <w:tcPr>
            <w:tcW w:w="734" w:type="pct"/>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1</w:t>
            </w:r>
          </w:p>
        </w:tc>
      </w:tr>
      <w:tr w:rsidR="00C93401" w:rsidRPr="00D17D6D"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1737" w:type="pct"/>
          </w:tcPr>
          <w:p w:rsidR="00C93401" w:rsidRPr="00D644D5" w:rsidRDefault="00C93401" w:rsidP="007E4CAF">
            <w:pPr>
              <w:pStyle w:val="Tabletextleft"/>
              <w:rPr>
                <w:szCs w:val="18"/>
              </w:rPr>
            </w:pPr>
            <w:r w:rsidRPr="00D644D5">
              <w:rPr>
                <w:szCs w:val="18"/>
              </w:rPr>
              <w:t>6</w:t>
            </w:r>
            <w:r w:rsidRPr="00D644D5">
              <w:rPr>
                <w:rStyle w:val="Superscript"/>
                <w:szCs w:val="18"/>
              </w:rPr>
              <w:t>th</w:t>
            </w:r>
            <w:r w:rsidRPr="00D644D5">
              <w:rPr>
                <w:szCs w:val="18"/>
              </w:rPr>
              <w:t xml:space="preserve"> International SHRIMP Workshop group</w:t>
            </w:r>
          </w:p>
        </w:tc>
        <w:tc>
          <w:tcPr>
            <w:tcW w:w="1061"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Geochronology Section / Regional Geology and Mineral Systems Group</w:t>
            </w:r>
          </w:p>
        </w:tc>
        <w:tc>
          <w:tcPr>
            <w:cnfStyle w:val="000010000000" w:firstRow="0" w:lastRow="0" w:firstColumn="0" w:lastColumn="0" w:oddVBand="1" w:evenVBand="0" w:oddHBand="0" w:evenHBand="0" w:firstRowFirstColumn="0" w:firstRowLastColumn="0" w:lastRowFirstColumn="0" w:lastRowLastColumn="0"/>
            <w:tcW w:w="1469" w:type="pct"/>
          </w:tcPr>
          <w:p w:rsidR="00C93401" w:rsidRPr="00D644D5" w:rsidRDefault="00C93401" w:rsidP="007E4CAF">
            <w:pPr>
              <w:pStyle w:val="Tabletextleft"/>
              <w:rPr>
                <w:szCs w:val="18"/>
              </w:rPr>
            </w:pPr>
            <w:r w:rsidRPr="00D644D5">
              <w:rPr>
                <w:szCs w:val="18"/>
              </w:rPr>
              <w:t>Visits to GA lab following workshop</w:t>
            </w:r>
          </w:p>
        </w:tc>
        <w:tc>
          <w:tcPr>
            <w:tcW w:w="734"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2</w:t>
            </w:r>
          </w:p>
        </w:tc>
      </w:tr>
    </w:tbl>
    <w:p w:rsidR="00C93401" w:rsidRDefault="00C93401" w:rsidP="00C93401">
      <w:pPr>
        <w:pStyle w:val="Heading2aftertable"/>
      </w:pPr>
      <w:bookmarkStart w:id="197" w:name="_Toc353282042"/>
      <w:bookmarkStart w:id="198" w:name="_Toc355274254"/>
      <w:r>
        <w:t>Job Satisfaction</w:t>
      </w:r>
      <w:bookmarkEnd w:id="197"/>
      <w:bookmarkEnd w:id="198"/>
    </w:p>
    <w:p w:rsidR="00C93401" w:rsidRPr="003F3886" w:rsidRDefault="00C93401" w:rsidP="00C93401">
      <w:pPr>
        <w:pStyle w:val="BodyText"/>
      </w:pPr>
      <w:r w:rsidRPr="003F3886">
        <w:t xml:space="preserve">A majority of respondents (69% with a confidence interval of ±8%) considered that their attendance at the </w:t>
      </w:r>
      <w:r w:rsidRPr="003F3886">
        <w:rPr>
          <w:szCs w:val="21"/>
        </w:rPr>
        <w:t>34</w:t>
      </w:r>
      <w:r w:rsidRPr="00CF07C2">
        <w:rPr>
          <w:rStyle w:val="Superscript"/>
        </w:rPr>
        <w:t>th</w:t>
      </w:r>
      <w:r w:rsidRPr="003F3886">
        <w:t xml:space="preserve"> IGC had either a positive or strongly positive impact on their job satisfaction (</w:t>
      </w:r>
      <w:r w:rsidRPr="003F3886">
        <w:fldChar w:fldCharType="begin"/>
      </w:r>
      <w:r w:rsidRPr="003F3886">
        <w:instrText xml:space="preserve"> REF _Ref338172248 \h  \* MERGEFORMAT </w:instrText>
      </w:r>
      <w:r w:rsidRPr="003F3886">
        <w:fldChar w:fldCharType="separate"/>
      </w:r>
      <w:r w:rsidR="00EB5AC4" w:rsidRPr="00EB5AC4">
        <w:t>Figure 3.8</w:t>
      </w:r>
      <w:r w:rsidRPr="003F3886">
        <w:fldChar w:fldCharType="end"/>
      </w:r>
      <w:r w:rsidRPr="003F3886">
        <w:t xml:space="preserve">). There were many positive comments about how participation in the </w:t>
      </w:r>
      <w:r w:rsidRPr="003F3886">
        <w:rPr>
          <w:szCs w:val="21"/>
        </w:rPr>
        <w:t>34</w:t>
      </w:r>
      <w:r w:rsidRPr="00CF07C2">
        <w:rPr>
          <w:rStyle w:val="Superscript"/>
        </w:rPr>
        <w:t>th</w:t>
      </w:r>
      <w:r w:rsidRPr="003F3886">
        <w:t xml:space="preserve"> IGC gave staff the opportunity to try a new role, present work, represent GA to international peers, network and be exposed to a diversity of scientific topics.</w:t>
      </w:r>
    </w:p>
    <w:p w:rsidR="00C93401" w:rsidRPr="002130D1" w:rsidRDefault="00296658" w:rsidP="00AD0DF8">
      <w:pPr>
        <w:pStyle w:val="Figuresandimagescentred"/>
      </w:pPr>
      <w:r>
        <w:rPr>
          <w:noProof/>
        </w:rPr>
        <w:lastRenderedPageBreak/>
        <w:drawing>
          <wp:inline distT="0" distB="0" distL="0" distR="0" wp14:anchorId="5C0A98B6" wp14:editId="1D916AB1">
            <wp:extent cx="2867025" cy="3038475"/>
            <wp:effectExtent l="0" t="0" r="0" b="0"/>
            <wp:docPr id="21" name="Picture 21" descr="This figure contains a pie chart showing the breakdown for GA employees of job satisfaction as a direct result of the 34th IGC, based on staff feedback form the post-34th IGC survey. Over 2/3s of staff had a “strongly positive” or “positive” experience, with only 6.8% of staff having a “negative” or “strongly negative” experience.&#10;&#10;The data are summarised in the following table:&#10;&#10;Job Satisfaction Percentage of surveyed GA staff (%)&#10;Strongly Positive 13.6&#10;Positive 55.9&#10;No Impact 23.7&#10;Negative 5.1&#10;Strongly Negativ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is figure contains a pie chart showing the breakdown for GA employees of job satisfaction as a direct result of the 34th IGC, based on staff feedback form the post-34th IGC survey. Over 2/3s of staff had a “strongly positive” or “positive” experience, with only 6.8% of staff having a “negative” or “strongly negative” experience.&#10;&#10;The data are summarised in the following table:&#10;&#10;Job Satisfaction Percentage of surveyed GA staff (%)&#10;Strongly Positive 13.6&#10;Positive 55.9&#10;No Impact 23.7&#10;Negative 5.1&#10;Strongly Negativ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7025" cy="3038475"/>
                    </a:xfrm>
                    <a:prstGeom prst="rect">
                      <a:avLst/>
                    </a:prstGeom>
                    <a:noFill/>
                    <a:ln>
                      <a:noFill/>
                    </a:ln>
                  </pic:spPr>
                </pic:pic>
              </a:graphicData>
            </a:graphic>
          </wp:inline>
        </w:drawing>
      </w:r>
    </w:p>
    <w:p w:rsidR="00C93401" w:rsidRPr="002900AF" w:rsidRDefault="00C93401" w:rsidP="00C93401">
      <w:pPr>
        <w:pStyle w:val="Caption"/>
      </w:pPr>
      <w:bookmarkStart w:id="199" w:name="_Ref338172248"/>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3</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8</w:t>
      </w:r>
      <w:r w:rsidRPr="00D27C1C">
        <w:rPr>
          <w:rStyle w:val="Strong"/>
        </w:rPr>
        <w:fldChar w:fldCharType="end"/>
      </w:r>
      <w:bookmarkEnd w:id="199"/>
      <w:r w:rsidRPr="00356CC4">
        <w:rPr>
          <w:rStyle w:val="Bold"/>
        </w:rPr>
        <w:t>:</w:t>
      </w:r>
      <w:r w:rsidRPr="002900AF">
        <w:t xml:space="preserve"> The impact of the </w:t>
      </w:r>
      <w:r w:rsidRPr="008D2CA0">
        <w:rPr>
          <w:szCs w:val="21"/>
        </w:rPr>
        <w:t>34</w:t>
      </w:r>
      <w:r w:rsidRPr="00CF07C2">
        <w:rPr>
          <w:rStyle w:val="Superscript"/>
        </w:rPr>
        <w:t>th</w:t>
      </w:r>
      <w:r w:rsidRPr="002900AF">
        <w:t xml:space="preserve"> IGC on the job satisfaction of the GA staff surveyed. A clear majority of respondents considered their involvement in the </w:t>
      </w:r>
      <w:r w:rsidRPr="008D2CA0">
        <w:rPr>
          <w:szCs w:val="21"/>
        </w:rPr>
        <w:t>34</w:t>
      </w:r>
      <w:r w:rsidRPr="00CF07C2">
        <w:rPr>
          <w:rStyle w:val="Superscript"/>
        </w:rPr>
        <w:t>th</w:t>
      </w:r>
      <w:r w:rsidRPr="002900AF">
        <w:t xml:space="preserve"> IGC had a positive or strongly positive impact on job satisfaction.</w:t>
      </w:r>
    </w:p>
    <w:p w:rsidR="00C93401" w:rsidRPr="003F3886" w:rsidRDefault="00C93401" w:rsidP="00C93401">
      <w:pPr>
        <w:pStyle w:val="BodyText"/>
      </w:pPr>
      <w:r w:rsidRPr="003F3886">
        <w:t xml:space="preserve">The 2012 GA All-Staff-Survey concluded that one of the main reasons that GA staff leave the organisation is that they feel that they do not have enough career opportunities (Voice Project, 2012b). Therefore, the increase in job satisfaction associated with participation in the </w:t>
      </w:r>
      <w:r w:rsidRPr="003F3886">
        <w:rPr>
          <w:szCs w:val="21"/>
        </w:rPr>
        <w:t>34</w:t>
      </w:r>
      <w:r w:rsidRPr="00CF07C2">
        <w:rPr>
          <w:rStyle w:val="Superscript"/>
        </w:rPr>
        <w:t>th</w:t>
      </w:r>
      <w:r w:rsidRPr="003F3886">
        <w:t xml:space="preserve"> IGC may increase staff retention and therefore, retention of GA’s capacity to provide geoscientific advice to the Australian Government. However, 18% of GA IGC delegates (with a confidence interval of ±6%) remarked that preparation for the </w:t>
      </w:r>
      <w:r w:rsidRPr="003F3886">
        <w:rPr>
          <w:szCs w:val="21"/>
        </w:rPr>
        <w:t>34</w:t>
      </w:r>
      <w:r w:rsidRPr="00CF07C2">
        <w:rPr>
          <w:rStyle w:val="Superscript"/>
        </w:rPr>
        <w:t>th</w:t>
      </w:r>
      <w:r w:rsidRPr="003F3886">
        <w:t xml:space="preserve"> IGC was not adequately recognised in their work plans and increased their workload to the point where it was negatively impacting on their job satisfaction. While these responses represent a small minority, it is important for GA to understand the underlying drivers of these responses. While there may be no trend, if the respondents have had exposure to a common factor, for instance negative contact with an external contractor or manager, this issue could be addressed by GA.</w:t>
      </w:r>
    </w:p>
    <w:p w:rsidR="00C93401" w:rsidRPr="001B575C" w:rsidRDefault="00C93401" w:rsidP="00C93401">
      <w:pPr>
        <w:pStyle w:val="Heading2"/>
      </w:pPr>
      <w:bookmarkStart w:id="200" w:name="_Toc353282043"/>
      <w:bookmarkStart w:id="201" w:name="_Toc355274255"/>
      <w:r>
        <w:t>Conclusions</w:t>
      </w:r>
      <w:bookmarkEnd w:id="200"/>
      <w:bookmarkEnd w:id="201"/>
    </w:p>
    <w:p w:rsidR="00C93401" w:rsidRPr="00E57E08" w:rsidRDefault="00C93401" w:rsidP="00C93401">
      <w:pPr>
        <w:pStyle w:val="BodyText"/>
      </w:pPr>
      <w:r w:rsidRPr="00E57E08">
        <w:t xml:space="preserve">At an agency-wide level GA was able to influence the scientific program and collaborate with a wide range of stakeholders through its contribution to the </w:t>
      </w:r>
      <w:r w:rsidRPr="00E57E08">
        <w:rPr>
          <w:szCs w:val="21"/>
        </w:rPr>
        <w:t>34</w:t>
      </w:r>
      <w:r w:rsidRPr="00CF07C2">
        <w:rPr>
          <w:rStyle w:val="Superscript"/>
        </w:rPr>
        <w:t>th</w:t>
      </w:r>
      <w:r w:rsidRPr="00E57E08">
        <w:t xml:space="preserve"> IGC. It was also able to showcase its work, products and capabilities through a wide range of conference activities. Participation in the </w:t>
      </w:r>
      <w:r w:rsidRPr="00E57E08">
        <w:rPr>
          <w:szCs w:val="21"/>
        </w:rPr>
        <w:t>34</w:t>
      </w:r>
      <w:r w:rsidRPr="00CF07C2">
        <w:rPr>
          <w:rStyle w:val="Superscript"/>
        </w:rPr>
        <w:t>th</w:t>
      </w:r>
      <w:r w:rsidRPr="00E57E08">
        <w:t xml:space="preserve"> IGC assisted GA in meeting its vision of being the custodian for geological datasets and scientific information for Australia. </w:t>
      </w:r>
    </w:p>
    <w:p w:rsidR="00C93401" w:rsidRPr="00E57E08" w:rsidRDefault="00C93401" w:rsidP="00C93401">
      <w:pPr>
        <w:pStyle w:val="BodyText"/>
      </w:pPr>
      <w:r w:rsidRPr="00E57E08">
        <w:t xml:space="preserve">GA’s capacity as the primary provider of technical geoscientific advice to the Australian Government was enhanced by participation in the </w:t>
      </w:r>
      <w:r w:rsidRPr="00E57E08">
        <w:rPr>
          <w:szCs w:val="21"/>
        </w:rPr>
        <w:t>34</w:t>
      </w:r>
      <w:r w:rsidRPr="00CF07C2">
        <w:rPr>
          <w:rStyle w:val="Superscript"/>
        </w:rPr>
        <w:t>th</w:t>
      </w:r>
      <w:r w:rsidRPr="00E57E08">
        <w:t xml:space="preserve"> IGC. GA delegates increased their awareness of current trends in international geoscience and received feedback on their own work and GA products from the international geoscience community. These opportunities were highly valued by staff and their participation in the </w:t>
      </w:r>
      <w:r w:rsidRPr="00E57E08">
        <w:rPr>
          <w:szCs w:val="21"/>
        </w:rPr>
        <w:t>34</w:t>
      </w:r>
      <w:r w:rsidRPr="00CF07C2">
        <w:rPr>
          <w:rStyle w:val="Superscript"/>
        </w:rPr>
        <w:t>th</w:t>
      </w:r>
      <w:r w:rsidRPr="00E57E08">
        <w:t xml:space="preserve"> IGC had an overall positive impact on job satisfaction. </w:t>
      </w:r>
    </w:p>
    <w:p w:rsidR="00C93401" w:rsidRPr="00E57E08" w:rsidRDefault="00C93401" w:rsidP="00C93401">
      <w:pPr>
        <w:pStyle w:val="BodyText"/>
      </w:pPr>
      <w:r w:rsidRPr="00E57E08">
        <w:lastRenderedPageBreak/>
        <w:t xml:space="preserve">The total impact of the </w:t>
      </w:r>
      <w:r w:rsidRPr="00E57E08">
        <w:rPr>
          <w:szCs w:val="21"/>
        </w:rPr>
        <w:t>34</w:t>
      </w:r>
      <w:r w:rsidRPr="00CF07C2">
        <w:rPr>
          <w:rStyle w:val="Superscript"/>
        </w:rPr>
        <w:t>th</w:t>
      </w:r>
      <w:r w:rsidRPr="00E57E08">
        <w:t xml:space="preserve"> IGC for GA has been difficult to assess because no formal project proposal, with </w:t>
      </w:r>
      <w:r w:rsidR="004E7FC8" w:rsidRPr="00E57E08">
        <w:t>well-defined</w:t>
      </w:r>
      <w:r w:rsidRPr="00E57E08">
        <w:t xml:space="preserve"> benefits or key performance indicators, was put together at the outset of the </w:t>
      </w:r>
      <w:r w:rsidRPr="00E57E08">
        <w:rPr>
          <w:szCs w:val="21"/>
        </w:rPr>
        <w:t>34</w:t>
      </w:r>
      <w:r w:rsidRPr="00CF07C2">
        <w:rPr>
          <w:rStyle w:val="Superscript"/>
        </w:rPr>
        <w:t>th</w:t>
      </w:r>
      <w:r w:rsidRPr="00E57E08">
        <w:t xml:space="preserve"> IGC. This study represents the first such formal documentation of expected benefits and outcomes. The outcomes of this study include recommended metrics by which to measure ongoing </w:t>
      </w:r>
      <w:r w:rsidRPr="00E57E08">
        <w:rPr>
          <w:szCs w:val="21"/>
        </w:rPr>
        <w:t>34</w:t>
      </w:r>
      <w:r w:rsidRPr="00CF07C2">
        <w:rPr>
          <w:rStyle w:val="Superscript"/>
        </w:rPr>
        <w:t>th</w:t>
      </w:r>
      <w:r w:rsidRPr="00E57E08">
        <w:t xml:space="preserve"> IGC related benefits and similar metrics for future proposed endeavours. Similarly, this study identified that whilst conference attendance by GA employees and the presence of external visitors to GA may be captured in weekly notes and Agency Management Meeting’s, this information is not broadly promoted. This has meant that the benefits of the </w:t>
      </w:r>
      <w:r w:rsidRPr="00E57E08">
        <w:rPr>
          <w:szCs w:val="21"/>
        </w:rPr>
        <w:t>34</w:t>
      </w:r>
      <w:r w:rsidRPr="00CF07C2">
        <w:rPr>
          <w:rStyle w:val="Superscript"/>
        </w:rPr>
        <w:t>th</w:t>
      </w:r>
      <w:r w:rsidRPr="00E57E08">
        <w:t xml:space="preserve"> IGC were not maximised to their full potential on an agency-wide scale. This study has identified a number of ways to maximise the benefits of participation in similar events in the future, but, required additional funding to implement. These suggestions form a number of recommendations outlined below and more information can be found in Appendix Four. </w:t>
      </w:r>
    </w:p>
    <w:p w:rsidR="00C93401" w:rsidRDefault="00C93401" w:rsidP="00C93401">
      <w:pPr>
        <w:pStyle w:val="Heading2"/>
      </w:pPr>
      <w:bookmarkStart w:id="202" w:name="_Toc353282044"/>
      <w:bookmarkStart w:id="203" w:name="_Toc355274256"/>
      <w:r>
        <w:t>Recommendations</w:t>
      </w:r>
      <w:bookmarkEnd w:id="202"/>
      <w:bookmarkEnd w:id="203"/>
    </w:p>
    <w:p w:rsidR="00C93401" w:rsidRPr="00356CC4" w:rsidRDefault="00C93401" w:rsidP="00C93401">
      <w:pPr>
        <w:pStyle w:val="BodyText"/>
        <w:rPr>
          <w:rStyle w:val="Bold"/>
        </w:rPr>
      </w:pPr>
      <w:r w:rsidRPr="00356CC4">
        <w:rPr>
          <w:rStyle w:val="Bold"/>
        </w:rPr>
        <w:t>1) Investigations to further assess the impacts of the 34</w:t>
      </w:r>
      <w:r w:rsidRPr="00CF07C2">
        <w:rPr>
          <w:rStyle w:val="Superscript"/>
        </w:rPr>
        <w:t>th</w:t>
      </w:r>
      <w:r w:rsidRPr="00356CC4">
        <w:rPr>
          <w:rStyle w:val="Bold"/>
        </w:rPr>
        <w:t xml:space="preserve"> IGC for GA</w:t>
      </w:r>
    </w:p>
    <w:p w:rsidR="00C93401" w:rsidRPr="00821DB5" w:rsidRDefault="00C93401" w:rsidP="00C93401">
      <w:pPr>
        <w:pStyle w:val="BodyText"/>
      </w:pPr>
      <w:r w:rsidRPr="00821DB5">
        <w:t xml:space="preserve">The topic of whether GA received maximum benefit from its involvement and investment in the </w:t>
      </w:r>
      <w:r w:rsidRPr="008D2CA0">
        <w:rPr>
          <w:szCs w:val="21"/>
        </w:rPr>
        <w:t>34</w:t>
      </w:r>
      <w:r w:rsidRPr="00CF07C2">
        <w:rPr>
          <w:rStyle w:val="Superscript"/>
        </w:rPr>
        <w:t>th</w:t>
      </w:r>
      <w:r w:rsidRPr="00821DB5">
        <w:t xml:space="preserve"> IGC is both broad and important. Assessment of the value for GA in supporting such activities is a significant indicator of how </w:t>
      </w:r>
      <w:r>
        <w:t>it</w:t>
      </w:r>
      <w:r w:rsidRPr="00821DB5">
        <w:t xml:space="preserve"> prioritise</w:t>
      </w:r>
      <w:r>
        <w:t>s</w:t>
      </w:r>
      <w:r w:rsidRPr="00821DB5">
        <w:t xml:space="preserve"> </w:t>
      </w:r>
      <w:r>
        <w:t>Government</w:t>
      </w:r>
      <w:r w:rsidRPr="00821DB5">
        <w:t xml:space="preserve"> funds.</w:t>
      </w:r>
    </w:p>
    <w:p w:rsidR="00C93401" w:rsidRPr="00356CC4" w:rsidRDefault="00C93401" w:rsidP="00C93401">
      <w:pPr>
        <w:pStyle w:val="BodyText"/>
        <w:rPr>
          <w:rStyle w:val="Bold"/>
        </w:rPr>
      </w:pPr>
      <w:r w:rsidRPr="00356CC4">
        <w:rPr>
          <w:rStyle w:val="Bold"/>
        </w:rPr>
        <w:t xml:space="preserve">Action point 1: </w:t>
      </w:r>
      <w:r w:rsidRPr="00821DB5">
        <w:t>Further investigation into use of the newly introduced L&amp;D form pertaining to IGC. For example, how many GA staff completed the L&amp;D form, did it provide useful information for assessment.</w:t>
      </w:r>
    </w:p>
    <w:p w:rsidR="00C93401" w:rsidRDefault="00C93401" w:rsidP="00C93401">
      <w:pPr>
        <w:pStyle w:val="BodyText"/>
      </w:pPr>
      <w:r w:rsidRPr="00356CC4">
        <w:rPr>
          <w:rStyle w:val="Bold"/>
        </w:rPr>
        <w:t>Action point 2:</w:t>
      </w:r>
      <w:r>
        <w:t xml:space="preserve"> </w:t>
      </w:r>
      <w:r w:rsidRPr="00EB6B7C">
        <w:t xml:space="preserve">Evaluate the benefits of the </w:t>
      </w:r>
      <w:r w:rsidRPr="008D2CA0">
        <w:rPr>
          <w:szCs w:val="21"/>
        </w:rPr>
        <w:t>34</w:t>
      </w:r>
      <w:r w:rsidRPr="00CF07C2">
        <w:rPr>
          <w:rStyle w:val="Superscript"/>
        </w:rPr>
        <w:t>th</w:t>
      </w:r>
      <w:r w:rsidRPr="00EB6B7C">
        <w:t xml:space="preserve"> IGC to the wider GA community and examine secondary effects. The surveys in this study were only distributed to </w:t>
      </w:r>
      <w:r>
        <w:t>GA employee</w:t>
      </w:r>
      <w:r w:rsidRPr="00EB6B7C">
        <w:t xml:space="preserve">s that attended the </w:t>
      </w:r>
      <w:r w:rsidRPr="008D2CA0">
        <w:rPr>
          <w:szCs w:val="21"/>
        </w:rPr>
        <w:t>34</w:t>
      </w:r>
      <w:r w:rsidRPr="00CF07C2">
        <w:rPr>
          <w:rStyle w:val="Superscript"/>
        </w:rPr>
        <w:t>th</w:t>
      </w:r>
      <w:r w:rsidRPr="00EB6B7C">
        <w:t xml:space="preserve"> IGC. A survey including all GA staff would enable insight into the ongoing and subsidiary impacts of GA participation in the </w:t>
      </w:r>
      <w:r w:rsidRPr="008D2CA0">
        <w:rPr>
          <w:szCs w:val="21"/>
        </w:rPr>
        <w:t>34</w:t>
      </w:r>
      <w:r w:rsidRPr="00CF07C2">
        <w:rPr>
          <w:rStyle w:val="Superscript"/>
        </w:rPr>
        <w:t>th</w:t>
      </w:r>
      <w:r w:rsidRPr="00EB6B7C">
        <w:t xml:space="preserve"> IGC. A similar evaluation of the value of workshops hosted by GA in Canberra that were held in association with the </w:t>
      </w:r>
      <w:r w:rsidRPr="008D2CA0">
        <w:rPr>
          <w:szCs w:val="21"/>
        </w:rPr>
        <w:t>34</w:t>
      </w:r>
      <w:r w:rsidRPr="00CF07C2">
        <w:rPr>
          <w:rStyle w:val="Superscript"/>
        </w:rPr>
        <w:t>th</w:t>
      </w:r>
      <w:r w:rsidRPr="00EB6B7C">
        <w:t xml:space="preserve"> IGC could be implemented, as these were available to GA employees who did not attend the </w:t>
      </w:r>
      <w:r w:rsidRPr="008D2CA0">
        <w:rPr>
          <w:szCs w:val="21"/>
        </w:rPr>
        <w:t>34</w:t>
      </w:r>
      <w:r w:rsidRPr="00CF07C2">
        <w:rPr>
          <w:rStyle w:val="Superscript"/>
        </w:rPr>
        <w:t>th</w:t>
      </w:r>
      <w:r w:rsidRPr="00EB6B7C">
        <w:t xml:space="preserve"> IGC.</w:t>
      </w:r>
    </w:p>
    <w:p w:rsidR="00C93401" w:rsidRPr="00356CC4" w:rsidRDefault="00C93401" w:rsidP="00C93401">
      <w:pPr>
        <w:pStyle w:val="BodyText"/>
        <w:rPr>
          <w:rStyle w:val="Bold"/>
        </w:rPr>
      </w:pPr>
      <w:r w:rsidRPr="00356CC4">
        <w:rPr>
          <w:rStyle w:val="Bold"/>
        </w:rPr>
        <w:t xml:space="preserve">Action point 3: </w:t>
      </w:r>
      <w:r w:rsidRPr="00821DB5">
        <w:t xml:space="preserve">Investigate the longer term impacts of the </w:t>
      </w:r>
      <w:r w:rsidRPr="008D2CA0">
        <w:rPr>
          <w:szCs w:val="21"/>
        </w:rPr>
        <w:t>34</w:t>
      </w:r>
      <w:r w:rsidRPr="00CF07C2">
        <w:rPr>
          <w:rStyle w:val="Superscript"/>
        </w:rPr>
        <w:t>th</w:t>
      </w:r>
      <w:r w:rsidRPr="00821DB5">
        <w:t xml:space="preserve"> IGC. Undertake a survey for both </w:t>
      </w:r>
      <w:r w:rsidRPr="008D2CA0">
        <w:rPr>
          <w:szCs w:val="21"/>
        </w:rPr>
        <w:t>34</w:t>
      </w:r>
      <w:r w:rsidRPr="00CF07C2">
        <w:rPr>
          <w:rStyle w:val="Superscript"/>
        </w:rPr>
        <w:t>th</w:t>
      </w:r>
      <w:r w:rsidRPr="00821DB5">
        <w:t xml:space="preserve"> IGC participants and non-</w:t>
      </w:r>
      <w:r w:rsidRPr="008D2CA0">
        <w:rPr>
          <w:szCs w:val="21"/>
        </w:rPr>
        <w:t>34</w:t>
      </w:r>
      <w:r w:rsidRPr="00CF07C2">
        <w:rPr>
          <w:rStyle w:val="Superscript"/>
        </w:rPr>
        <w:t>th</w:t>
      </w:r>
      <w:r w:rsidRPr="00821DB5">
        <w:t xml:space="preserve"> IGC participants. Use the non-</w:t>
      </w:r>
      <w:r w:rsidRPr="008D2CA0">
        <w:rPr>
          <w:szCs w:val="21"/>
        </w:rPr>
        <w:t>34</w:t>
      </w:r>
      <w:r w:rsidRPr="00CF07C2">
        <w:rPr>
          <w:rStyle w:val="Superscript"/>
        </w:rPr>
        <w:t>th</w:t>
      </w:r>
      <w:r w:rsidRPr="00821DB5">
        <w:t xml:space="preserve"> IGC participants for comparison as control group. </w:t>
      </w:r>
      <w:r>
        <w:t>Groups should be targeted</w:t>
      </w:r>
      <w:r w:rsidRPr="00821DB5">
        <w:t xml:space="preserve"> with strong project association at</w:t>
      </w:r>
      <w:r>
        <w:t xml:space="preserve"> the</w:t>
      </w:r>
      <w:r w:rsidRPr="00821DB5">
        <w:t xml:space="preserve"> </w:t>
      </w:r>
      <w:r w:rsidRPr="008D2CA0">
        <w:rPr>
          <w:szCs w:val="21"/>
        </w:rPr>
        <w:t>34</w:t>
      </w:r>
      <w:r w:rsidRPr="00CF07C2">
        <w:rPr>
          <w:rStyle w:val="Superscript"/>
        </w:rPr>
        <w:t>th</w:t>
      </w:r>
      <w:r w:rsidRPr="00821DB5">
        <w:t xml:space="preserve"> IGC. Address whether the </w:t>
      </w:r>
      <w:r w:rsidRPr="008D2CA0">
        <w:rPr>
          <w:szCs w:val="21"/>
        </w:rPr>
        <w:t>34</w:t>
      </w:r>
      <w:r w:rsidRPr="00CF07C2">
        <w:rPr>
          <w:rStyle w:val="Superscript"/>
        </w:rPr>
        <w:t>th</w:t>
      </w:r>
      <w:r w:rsidRPr="00821DB5">
        <w:t xml:space="preserve"> I</w:t>
      </w:r>
      <w:r>
        <w:t>GC affected their capacity for b</w:t>
      </w:r>
      <w:r w:rsidRPr="00821DB5">
        <w:t>usiness-</w:t>
      </w:r>
      <w:r>
        <w:t>as-u</w:t>
      </w:r>
      <w:r w:rsidRPr="00821DB5">
        <w:t xml:space="preserve">sual activities and for job satisfaction. This could possibly form part of the </w:t>
      </w:r>
      <w:r>
        <w:t>Performance Development Plan p</w:t>
      </w:r>
      <w:r w:rsidRPr="00821DB5">
        <w:t xml:space="preserve">rocess. </w:t>
      </w:r>
    </w:p>
    <w:p w:rsidR="00C93401" w:rsidRPr="00356CC4" w:rsidRDefault="00C93401" w:rsidP="00C93401">
      <w:pPr>
        <w:pStyle w:val="BodyText"/>
        <w:rPr>
          <w:rStyle w:val="Bold"/>
        </w:rPr>
      </w:pPr>
      <w:r w:rsidRPr="00356CC4">
        <w:rPr>
          <w:rStyle w:val="Bold"/>
        </w:rPr>
        <w:t>2) Activities to capture maximum benefit from similar investments in the future</w:t>
      </w:r>
    </w:p>
    <w:p w:rsidR="00C93401" w:rsidRDefault="00C93401" w:rsidP="00C93401">
      <w:pPr>
        <w:pStyle w:val="BodyText"/>
      </w:pPr>
      <w:r w:rsidRPr="00821DB5">
        <w:t>When GA proposes to participate and support (financially) conferences or other external activities it is vital to ensure that it assesses and captures the maximum benefits.</w:t>
      </w:r>
    </w:p>
    <w:p w:rsidR="00C93401" w:rsidRPr="003A2F94" w:rsidRDefault="00C93401" w:rsidP="00C93401">
      <w:pPr>
        <w:pStyle w:val="BodyText"/>
      </w:pPr>
      <w:r w:rsidRPr="00356CC4">
        <w:rPr>
          <w:rStyle w:val="Bold"/>
        </w:rPr>
        <w:t xml:space="preserve">Action point 1: </w:t>
      </w:r>
      <w:r w:rsidRPr="00821DB5">
        <w:t xml:space="preserve">In cases where there has been a large financial outlay to an activity (for instance conferences where there is a formal GA involvement) it is important to be able to review whether the activity </w:t>
      </w:r>
      <w:r>
        <w:t>h</w:t>
      </w:r>
      <w:r w:rsidRPr="00821DB5">
        <w:t xml:space="preserve">as met the </w:t>
      </w:r>
      <w:r>
        <w:t xml:space="preserve">expected </w:t>
      </w:r>
      <w:r w:rsidRPr="00821DB5">
        <w:t xml:space="preserve">outcomes. In order to do this it is necessary to have a clear outline at the outset of what the anticipated outcomes are. Therefore it is recommended that the initial proposal should </w:t>
      </w:r>
      <w:r>
        <w:t>clearly identify</w:t>
      </w:r>
      <w:r w:rsidRPr="00821DB5">
        <w:t xml:space="preserve"> outcomes against which the activity can be judged.</w:t>
      </w:r>
      <w:r>
        <w:t xml:space="preserve"> This condition should be integrated into GA’s internal audit requirements to facilitate future cost-benefit analysis of the </w:t>
      </w:r>
      <w:r>
        <w:lastRenderedPageBreak/>
        <w:t>proposed activity. This will ensure GA project management is compliant with the Financial Management and Accountability Act.</w:t>
      </w:r>
    </w:p>
    <w:p w:rsidR="00C93401" w:rsidRPr="00356CC4" w:rsidRDefault="00C93401" w:rsidP="00C93401">
      <w:pPr>
        <w:pStyle w:val="BodyText"/>
        <w:rPr>
          <w:rStyle w:val="Bold"/>
        </w:rPr>
      </w:pPr>
      <w:r w:rsidRPr="00356CC4">
        <w:rPr>
          <w:rStyle w:val="Bold"/>
        </w:rPr>
        <w:t xml:space="preserve">Action point 2: </w:t>
      </w:r>
      <w:r w:rsidRPr="00821DB5">
        <w:t xml:space="preserve">GA staff </w:t>
      </w:r>
      <w:r>
        <w:t>that</w:t>
      </w:r>
      <w:r w:rsidRPr="00821DB5">
        <w:t xml:space="preserve"> are </w:t>
      </w:r>
      <w:r>
        <w:t>giving</w:t>
      </w:r>
      <w:r w:rsidRPr="00821DB5">
        <w:t xml:space="preserve"> presentations for an external conference sho</w:t>
      </w:r>
      <w:r>
        <w:t>uld be encouraged to carry out p</w:t>
      </w:r>
      <w:r w:rsidRPr="00821DB5">
        <w:t xml:space="preserve">re-conference talks </w:t>
      </w:r>
      <w:r>
        <w:t>within GA</w:t>
      </w:r>
      <w:r w:rsidRPr="00821DB5">
        <w:t xml:space="preserve">. </w:t>
      </w:r>
      <w:r>
        <w:t>In addition to providing a dry-run review process to improve the quality of GA presentations, t</w:t>
      </w:r>
      <w:r w:rsidRPr="00821DB5">
        <w:t>his would result in an increased understanding of what goes on in separate parts of GA</w:t>
      </w:r>
      <w:r>
        <w:t>,</w:t>
      </w:r>
      <w:r w:rsidRPr="00821DB5">
        <w:t xml:space="preserve"> as this was highlighted as an issue in the </w:t>
      </w:r>
      <w:r>
        <w:t>2012 GA All-Staff-Survey</w:t>
      </w:r>
      <w:r w:rsidRPr="00821DB5">
        <w:t>.</w:t>
      </w:r>
    </w:p>
    <w:p w:rsidR="00C93401" w:rsidRPr="00356CC4" w:rsidRDefault="00C93401" w:rsidP="00C93401">
      <w:pPr>
        <w:pStyle w:val="BodyText"/>
        <w:rPr>
          <w:rStyle w:val="Bold"/>
        </w:rPr>
      </w:pPr>
      <w:r w:rsidRPr="00356CC4">
        <w:rPr>
          <w:rStyle w:val="Bold"/>
        </w:rPr>
        <w:t xml:space="preserve">Action point 3: </w:t>
      </w:r>
      <w:r w:rsidRPr="00821DB5">
        <w:t>Post conference sessions should be held at GA.</w:t>
      </w:r>
      <w:r>
        <w:t xml:space="preserve"> These could be i</w:t>
      </w:r>
      <w:r w:rsidRPr="00821DB5">
        <w:t>nformal sessions whereby GA staff that attended a meeting disseminates the ‘curren</w:t>
      </w:r>
      <w:r>
        <w:t>t state’ of their subject for the benefit of</w:t>
      </w:r>
      <w:r w:rsidRPr="00821DB5">
        <w:t xml:space="preserve"> fellow GA staff that did not attend.</w:t>
      </w:r>
    </w:p>
    <w:p w:rsidR="00C93401" w:rsidRPr="00356CC4" w:rsidRDefault="00C93401" w:rsidP="00C93401">
      <w:pPr>
        <w:pStyle w:val="BodyText"/>
        <w:rPr>
          <w:rStyle w:val="Bold"/>
        </w:rPr>
      </w:pPr>
      <w:r w:rsidRPr="00356CC4">
        <w:rPr>
          <w:rStyle w:val="Bold"/>
        </w:rPr>
        <w:t xml:space="preserve">Action point 4: </w:t>
      </w:r>
      <w:r w:rsidRPr="00821DB5">
        <w:t>Creation of a form</w:t>
      </w:r>
      <w:r>
        <w:t>al procedure for pre- and post-</w:t>
      </w:r>
      <w:r w:rsidRPr="00821DB5">
        <w:t>conference dis</w:t>
      </w:r>
      <w:r>
        <w:t xml:space="preserve">semination of information. When </w:t>
      </w:r>
      <w:r w:rsidRPr="00821DB5">
        <w:t>visitors travel to GA in conjunction with Australian based activities, the dissemination of information is not consistent or clear. It is recommended to have a document or timetable to refer to, rather than multiple emails sent out ad-hoc. An example would be</w:t>
      </w:r>
      <w:r>
        <w:t xml:space="preserve"> the creation of an associated I</w:t>
      </w:r>
      <w:r w:rsidRPr="00821DB5">
        <w:t>ntranet page capturing this information.</w:t>
      </w:r>
      <w:r>
        <w:t xml:space="preserve"> This would </w:t>
      </w:r>
      <w:r w:rsidR="004E7FC8">
        <w:t>require</w:t>
      </w:r>
      <w:r>
        <w:t xml:space="preserve"> additional funding. </w:t>
      </w:r>
    </w:p>
    <w:p w:rsidR="00C93401" w:rsidRPr="00356CC4" w:rsidRDefault="00C93401" w:rsidP="00C93401">
      <w:pPr>
        <w:pStyle w:val="BodyText"/>
        <w:rPr>
          <w:rStyle w:val="Bold"/>
        </w:rPr>
      </w:pPr>
      <w:r w:rsidRPr="00356CC4">
        <w:rPr>
          <w:rStyle w:val="Bold"/>
        </w:rPr>
        <w:t xml:space="preserve">Action point 5: </w:t>
      </w:r>
      <w:r>
        <w:t>Creation of a one page list of products that will be launched at the conference for the GA staff to be able to effectively promote these products and the organisation as a whole. The list could be distributed to staff prior to the conference.</w:t>
      </w:r>
    </w:p>
    <w:p w:rsidR="00C93401" w:rsidRPr="00356CC4" w:rsidRDefault="00C93401" w:rsidP="00C93401">
      <w:pPr>
        <w:pStyle w:val="BodyText"/>
        <w:rPr>
          <w:rStyle w:val="Bold"/>
        </w:rPr>
      </w:pPr>
      <w:r w:rsidRPr="00356CC4">
        <w:rPr>
          <w:rStyle w:val="Bold"/>
        </w:rPr>
        <w:t xml:space="preserve">3) Organisational processes within GA relating to L&amp;D activities and evaluating benefits </w:t>
      </w:r>
    </w:p>
    <w:p w:rsidR="00C93401" w:rsidRDefault="00C93401" w:rsidP="00C93401">
      <w:pPr>
        <w:pStyle w:val="BodyText"/>
      </w:pPr>
      <w:r w:rsidRPr="00821DB5">
        <w:t>It is important for an organisation to assess the activities it carries out. Additionally</w:t>
      </w:r>
      <w:r>
        <w:t>,</w:t>
      </w:r>
      <w:r w:rsidRPr="00821DB5">
        <w:t xml:space="preserve"> in order to do this in an efficient and consistent manner throughout the organisation it is important to have clear and accessible procedures.</w:t>
      </w:r>
    </w:p>
    <w:p w:rsidR="00C93401" w:rsidRPr="00356CC4" w:rsidRDefault="00C93401" w:rsidP="00C93401">
      <w:pPr>
        <w:pStyle w:val="BodyText"/>
        <w:rPr>
          <w:rStyle w:val="Bold"/>
        </w:rPr>
      </w:pPr>
      <w:r w:rsidRPr="00356CC4">
        <w:rPr>
          <w:rStyle w:val="Bold"/>
        </w:rPr>
        <w:t xml:space="preserve">Action point 1: </w:t>
      </w:r>
      <w:r>
        <w:t xml:space="preserve">Compile </w:t>
      </w:r>
      <w:r w:rsidRPr="00A518D8">
        <w:t>information from Overseas Report</w:t>
      </w:r>
      <w:r>
        <w:t>s</w:t>
      </w:r>
      <w:r w:rsidRPr="00A518D8">
        <w:t xml:space="preserve"> that could </w:t>
      </w:r>
      <w:r w:rsidR="004E7FC8">
        <w:t xml:space="preserve">be </w:t>
      </w:r>
      <w:r w:rsidRPr="00A518D8">
        <w:t>used in L&amp;D assessment</w:t>
      </w:r>
      <w:r>
        <w:t>s</w:t>
      </w:r>
      <w:r w:rsidRPr="00A518D8">
        <w:t>.</w:t>
      </w:r>
    </w:p>
    <w:p w:rsidR="00C93401" w:rsidRPr="00356CC4" w:rsidRDefault="00C93401" w:rsidP="00C93401">
      <w:pPr>
        <w:pStyle w:val="BodyText"/>
        <w:rPr>
          <w:rStyle w:val="Bold"/>
        </w:rPr>
      </w:pPr>
      <w:r w:rsidRPr="00356CC4">
        <w:rPr>
          <w:rStyle w:val="Bold"/>
        </w:rPr>
        <w:t xml:space="preserve">Action point 2: </w:t>
      </w:r>
      <w:r w:rsidRPr="00821DB5">
        <w:t>The introduction of some form of reporting for domestic conferences in a similar way to in</w:t>
      </w:r>
      <w:r>
        <w:t>ternational conferences. T</w:t>
      </w:r>
      <w:r w:rsidRPr="00821DB5">
        <w:t>his could</w:t>
      </w:r>
      <w:r>
        <w:t xml:space="preserve"> also</w:t>
      </w:r>
      <w:r w:rsidRPr="00821DB5">
        <w:t xml:space="preserve"> be used to evaluate the benefits of the activity.</w:t>
      </w:r>
    </w:p>
    <w:p w:rsidR="00C93401" w:rsidRPr="00356CC4" w:rsidRDefault="00C93401" w:rsidP="00C93401">
      <w:pPr>
        <w:pStyle w:val="BodyText"/>
        <w:rPr>
          <w:rStyle w:val="Bold"/>
        </w:rPr>
      </w:pPr>
      <w:r w:rsidRPr="00356CC4">
        <w:rPr>
          <w:rStyle w:val="Bold"/>
        </w:rPr>
        <w:t xml:space="preserve">Action point 3: </w:t>
      </w:r>
      <w:r w:rsidRPr="00821DB5">
        <w:t>Use of the ‘purpose’ field in</w:t>
      </w:r>
      <w:r>
        <w:t xml:space="preserve"> the Travel</w:t>
      </w:r>
      <w:r w:rsidRPr="00821DB5">
        <w:t xml:space="preserve"> Allowance Form for L&amp;D assessment. Make completing L&amp;D reports part of the formal process to allow GA staff to attend external activities i.e. if you do not comply with L&amp;D reporting it will delay the distribution of TA funding.</w:t>
      </w:r>
    </w:p>
    <w:p w:rsidR="00C93401" w:rsidRPr="00821DB5" w:rsidRDefault="00C93401" w:rsidP="00C93401">
      <w:pPr>
        <w:pStyle w:val="BodyText"/>
      </w:pPr>
      <w:r w:rsidRPr="00356CC4">
        <w:rPr>
          <w:rStyle w:val="Bold"/>
        </w:rPr>
        <w:t>Action point 4:</w:t>
      </w:r>
      <w:r>
        <w:t xml:space="preserve"> </w:t>
      </w:r>
      <w:r w:rsidRPr="00821DB5">
        <w:t>Currently only internal L&amp;D programs are evaluated for their benefits. Externally hosted training typically has a larger cost involved. Initiate a similar process of value assessment of external L&amp;D programs as used for internal</w:t>
      </w:r>
      <w:r>
        <w:t xml:space="preserve"> ones</w:t>
      </w:r>
      <w:r w:rsidRPr="00821DB5">
        <w:t>. In addition evaluate conferences in terms of their L&amp;D contribution</w:t>
      </w:r>
      <w:r>
        <w:t>.</w:t>
      </w:r>
    </w:p>
    <w:p w:rsidR="00C93401" w:rsidRPr="00356CC4" w:rsidRDefault="00C93401" w:rsidP="00C93401">
      <w:pPr>
        <w:pStyle w:val="BodyText"/>
        <w:rPr>
          <w:rStyle w:val="Bold"/>
        </w:rPr>
      </w:pPr>
      <w:r w:rsidRPr="00356CC4">
        <w:rPr>
          <w:rStyle w:val="Bold"/>
        </w:rPr>
        <w:t xml:space="preserve">Action point 5: </w:t>
      </w:r>
      <w:r w:rsidRPr="00821DB5">
        <w:t xml:space="preserve">In order to implement the surveys for this study there was a degree of ambiguity as to the processes for completing a survey. For instance whether the capability existed within GA and what were the legal implications. It is recommended that formal guidelines </w:t>
      </w:r>
      <w:r>
        <w:t>or</w:t>
      </w:r>
      <w:r w:rsidRPr="00821DB5">
        <w:t xml:space="preserve"> Standard Op</w:t>
      </w:r>
      <w:r>
        <w:t>erating Procedures</w:t>
      </w:r>
      <w:r w:rsidRPr="00821DB5">
        <w:t xml:space="preserve"> for administering a</w:t>
      </w:r>
      <w:r>
        <w:t>n internal</w:t>
      </w:r>
      <w:r w:rsidRPr="00821DB5">
        <w:t xml:space="preserve"> survey within GA be developed and available on the intranet. Surveys are an important way to assess activities and engage project participants. Allowing groups within GA to more easily implement surveys will promote their use and make the process more efficient.</w:t>
      </w:r>
    </w:p>
    <w:p w:rsidR="00C93401" w:rsidRPr="003A2F94" w:rsidRDefault="00C93401" w:rsidP="00C93401">
      <w:pPr>
        <w:pStyle w:val="Heading1"/>
      </w:pPr>
      <w:bookmarkStart w:id="204" w:name="_Toc353282045"/>
      <w:bookmarkStart w:id="205" w:name="_Toc355274257"/>
      <w:bookmarkStart w:id="206" w:name="_Toc337721579"/>
      <w:bookmarkStart w:id="207" w:name="_Toc336954878"/>
      <w:r w:rsidRPr="003A2F94">
        <w:lastRenderedPageBreak/>
        <w:t>Social Media Analysis</w:t>
      </w:r>
      <w:bookmarkEnd w:id="204"/>
      <w:bookmarkEnd w:id="205"/>
    </w:p>
    <w:p w:rsidR="00C93401" w:rsidRDefault="00C93401" w:rsidP="00C93401">
      <w:pPr>
        <w:pStyle w:val="Heading2"/>
      </w:pPr>
      <w:bookmarkStart w:id="208" w:name="_Toc337721580"/>
      <w:bookmarkStart w:id="209" w:name="_Toc353282046"/>
      <w:bookmarkStart w:id="210" w:name="_Toc355274258"/>
      <w:r w:rsidRPr="00AA3D22">
        <w:t>Introduction</w:t>
      </w:r>
      <w:bookmarkEnd w:id="208"/>
      <w:bookmarkEnd w:id="209"/>
      <w:bookmarkEnd w:id="210"/>
    </w:p>
    <w:p w:rsidR="00C93401" w:rsidRPr="00E57E08" w:rsidRDefault="00C93401" w:rsidP="00C93401">
      <w:pPr>
        <w:pStyle w:val="BodyText"/>
      </w:pPr>
      <w:r w:rsidRPr="00E57E08">
        <w:t>The use of social media has become ubiquitous in everyday life across the globe. As a result, the 34</w:t>
      </w:r>
      <w:r w:rsidRPr="00CF07C2">
        <w:rPr>
          <w:rStyle w:val="Superscript"/>
        </w:rPr>
        <w:t>th</w:t>
      </w:r>
      <w:r w:rsidRPr="00E57E08">
        <w:t xml:space="preserve"> IGC Organising Committee decided to use social media, in the lead-up to and during the 34</w:t>
      </w:r>
      <w:r w:rsidRPr="00CF07C2">
        <w:rPr>
          <w:rStyle w:val="Superscript"/>
        </w:rPr>
        <w:t>th</w:t>
      </w:r>
      <w:r w:rsidRPr="00E57E08">
        <w:t xml:space="preserve"> IGC, as a tool for engaging with delegates and promoting the congress to a wide audience. To this end, a Social Media Plan (Rowland, 2012b) was developed. This plan was implemented by the 2012 Geoscience Australia (GA) Graduate cohort, in consultation with Rowland, who provided media relations for the 34</w:t>
      </w:r>
      <w:r w:rsidRPr="00CF07C2">
        <w:rPr>
          <w:rStyle w:val="Superscript"/>
        </w:rPr>
        <w:t>th</w:t>
      </w:r>
      <w:r w:rsidRPr="00E57E08">
        <w:t xml:space="preserve"> IGC. The 34</w:t>
      </w:r>
      <w:r w:rsidRPr="00CF07C2">
        <w:rPr>
          <w:rStyle w:val="Superscript"/>
        </w:rPr>
        <w:t>th</w:t>
      </w:r>
      <w:r w:rsidRPr="00E57E08">
        <w:t xml:space="preserve"> IGC social media campaign spanned from March to 24 August 2012.</w:t>
      </w:r>
    </w:p>
    <w:p w:rsidR="00C93401" w:rsidRPr="00E57E08" w:rsidRDefault="00C93401" w:rsidP="00C93401">
      <w:pPr>
        <w:pStyle w:val="BodyText"/>
      </w:pPr>
      <w:r w:rsidRPr="00E57E08">
        <w:t>As stated in the 34</w:t>
      </w:r>
      <w:r w:rsidRPr="00CF07C2">
        <w:rPr>
          <w:rStyle w:val="Superscript"/>
        </w:rPr>
        <w:t>th</w:t>
      </w:r>
      <w:r w:rsidRPr="00E57E08">
        <w:t xml:space="preserve"> IGC Social Media Plan, the objectives of using social media were:</w:t>
      </w:r>
    </w:p>
    <w:p w:rsidR="00C93401" w:rsidRPr="00E57E08" w:rsidRDefault="00C93401" w:rsidP="00C93401">
      <w:pPr>
        <w:pStyle w:val="Bulletlevel1"/>
      </w:pPr>
      <w:r w:rsidRPr="00E57E08">
        <w:t>To build and maintain strategic relationships relevant to the 34</w:t>
      </w:r>
      <w:r w:rsidRPr="00CF07C2">
        <w:rPr>
          <w:rStyle w:val="Superscript"/>
        </w:rPr>
        <w:t>th</w:t>
      </w:r>
      <w:r w:rsidRPr="00E57E08">
        <w:t xml:space="preserve"> IGC;</w:t>
      </w:r>
    </w:p>
    <w:p w:rsidR="00C93401" w:rsidRPr="00E57E08" w:rsidRDefault="00C93401" w:rsidP="00C93401">
      <w:pPr>
        <w:pStyle w:val="Bulletlevel1"/>
      </w:pPr>
      <w:r w:rsidRPr="00E57E08">
        <w:t>To engage stakeholders in conversations about geology and the Congress to drive awareness of the 34</w:t>
      </w:r>
      <w:r w:rsidRPr="00CF07C2">
        <w:rPr>
          <w:rStyle w:val="Superscript"/>
        </w:rPr>
        <w:t>th</w:t>
      </w:r>
      <w:r w:rsidRPr="00E57E08">
        <w:t xml:space="preserve"> IGC</w:t>
      </w:r>
      <w:r w:rsidR="00602511">
        <w:t xml:space="preserve">; </w:t>
      </w:r>
      <w:r w:rsidRPr="00E57E08">
        <w:t>and</w:t>
      </w:r>
      <w:r w:rsidR="00602511">
        <w:t>,</w:t>
      </w:r>
    </w:p>
    <w:p w:rsidR="00C93401" w:rsidRPr="00E57E08" w:rsidRDefault="00C93401" w:rsidP="00C93401">
      <w:pPr>
        <w:pStyle w:val="Bulletlevel1"/>
      </w:pPr>
      <w:r w:rsidRPr="00E57E08">
        <w:t>To provide another communication channel for delegates throughout the week of the congress.</w:t>
      </w:r>
    </w:p>
    <w:p w:rsidR="00C93401" w:rsidRPr="00E57E08" w:rsidRDefault="00C93401" w:rsidP="00C93401">
      <w:pPr>
        <w:pStyle w:val="BodyText"/>
      </w:pPr>
      <w:r w:rsidRPr="00E57E08">
        <w:t>The Social Media Plan was delivered via two platforms, Facebook and Twitter. In addition to providing a means to engage with 34</w:t>
      </w:r>
      <w:r w:rsidRPr="00CF07C2">
        <w:rPr>
          <w:rStyle w:val="Superscript"/>
        </w:rPr>
        <w:t>th</w:t>
      </w:r>
      <w:r w:rsidRPr="00E57E08">
        <w:t xml:space="preserve"> IGC delegates and the public, the process of implementing the Social Media Plan provided valuable information on the use of social media in a professional capacity. This information is directly relevant to GA, whose social media guidelines are currently under review to determine in what capacity social media can and should be used as a communication tool by the agency. In the </w:t>
      </w:r>
      <w:r w:rsidR="000E02D6" w:rsidRPr="00E57E08">
        <w:t>meantime</w:t>
      </w:r>
      <w:r w:rsidRPr="00E57E08">
        <w:t>, GA has started using Twitter, through the @EarthquakesGA account, to disseminate information to the public in the case of a significant earthquake within the Australian region, and on a single case basis at the 34</w:t>
      </w:r>
      <w:r w:rsidRPr="00CF07C2">
        <w:rPr>
          <w:rStyle w:val="Superscript"/>
        </w:rPr>
        <w:t>th</w:t>
      </w:r>
      <w:r w:rsidRPr="00E57E08">
        <w:t xml:space="preserve"> IGC, using the @GAatthe34thIGC account to promote GA at the congress. Furthermore, it is another example of the impacts of the 34</w:t>
      </w:r>
      <w:r w:rsidRPr="00CF07C2">
        <w:rPr>
          <w:rStyle w:val="Superscript"/>
        </w:rPr>
        <w:t>th</w:t>
      </w:r>
      <w:r w:rsidRPr="00E57E08">
        <w:t xml:space="preserve"> IGC at both an org</w:t>
      </w:r>
      <w:r>
        <w:t>anisational and personal level.</w:t>
      </w:r>
    </w:p>
    <w:p w:rsidR="00C93401" w:rsidRDefault="00C93401" w:rsidP="00C93401">
      <w:pPr>
        <w:pStyle w:val="Heading2"/>
      </w:pPr>
      <w:bookmarkStart w:id="211" w:name="_Toc353282047"/>
      <w:bookmarkStart w:id="212" w:name="_Toc355274259"/>
      <w:r>
        <w:t>Social Media Glossary</w:t>
      </w:r>
      <w:bookmarkEnd w:id="206"/>
      <w:bookmarkEnd w:id="211"/>
      <w:bookmarkEnd w:id="212"/>
    </w:p>
    <w:p w:rsidR="00C93401" w:rsidRPr="00E57E08" w:rsidRDefault="00C93401" w:rsidP="00C93401">
      <w:pPr>
        <w:pStyle w:val="BodyText"/>
      </w:pPr>
      <w:r w:rsidRPr="00E57E08">
        <w:t xml:space="preserve">A glossary of terms that are commonly used within social media and this report are given in </w:t>
      </w:r>
      <w:r w:rsidRPr="00E57E08">
        <w:fldChar w:fldCharType="begin"/>
      </w:r>
      <w:r w:rsidRPr="00E57E08">
        <w:instrText xml:space="preserve"> REF _Ref340843885 \h  \* MERGEFORMAT </w:instrText>
      </w:r>
      <w:r w:rsidRPr="00E57E08">
        <w:fldChar w:fldCharType="separate"/>
      </w:r>
      <w:r w:rsidR="00EB5AC4" w:rsidRPr="00EB5AC4">
        <w:t>Table 4.1</w:t>
      </w:r>
      <w:r w:rsidRPr="00E57E08">
        <w:fldChar w:fldCharType="end"/>
      </w:r>
      <w:r w:rsidRPr="00E57E08">
        <w:t>.</w:t>
      </w:r>
    </w:p>
    <w:p w:rsidR="00C93401" w:rsidRPr="00742E90" w:rsidRDefault="00C93401" w:rsidP="00C93401">
      <w:pPr>
        <w:pStyle w:val="Tabletitle"/>
      </w:pPr>
      <w:bookmarkStart w:id="213" w:name="_Ref340843885"/>
      <w:r w:rsidRPr="00356CC4">
        <w:rPr>
          <w:rStyle w:val="Bold"/>
        </w:rPr>
        <w:t xml:space="preserve">Table </w:t>
      </w:r>
      <w:r w:rsidR="004E7FC8">
        <w:rPr>
          <w:rStyle w:val="Bold"/>
        </w:rPr>
        <w:fldChar w:fldCharType="begin"/>
      </w:r>
      <w:r w:rsidR="004E7FC8">
        <w:rPr>
          <w:rStyle w:val="Bold"/>
        </w:rPr>
        <w:instrText xml:space="preserve"> STYLEREF 1 \s </w:instrText>
      </w:r>
      <w:r w:rsidR="004E7FC8">
        <w:rPr>
          <w:rStyle w:val="Bold"/>
        </w:rPr>
        <w:fldChar w:fldCharType="separate"/>
      </w:r>
      <w:r w:rsidR="004E7FC8">
        <w:rPr>
          <w:rStyle w:val="Bold"/>
          <w:noProof/>
        </w:rPr>
        <w:t>4</w:t>
      </w:r>
      <w:r w:rsidR="004E7FC8">
        <w:rPr>
          <w:rStyle w:val="Bold"/>
        </w:rPr>
        <w:fldChar w:fldCharType="end"/>
      </w:r>
      <w:r w:rsidR="004E7FC8">
        <w:rPr>
          <w:rStyle w:val="Bold"/>
        </w:rPr>
        <w:t>.</w:t>
      </w:r>
      <w:r w:rsidR="004E7FC8">
        <w:rPr>
          <w:rStyle w:val="Bold"/>
        </w:rPr>
        <w:fldChar w:fldCharType="begin"/>
      </w:r>
      <w:r w:rsidR="004E7FC8">
        <w:rPr>
          <w:rStyle w:val="Bold"/>
        </w:rPr>
        <w:instrText xml:space="preserve"> SEQ Table \* ARABIC \s 1 </w:instrText>
      </w:r>
      <w:r w:rsidR="004E7FC8">
        <w:rPr>
          <w:rStyle w:val="Bold"/>
        </w:rPr>
        <w:fldChar w:fldCharType="separate"/>
      </w:r>
      <w:r w:rsidR="004E7FC8">
        <w:rPr>
          <w:rStyle w:val="Bold"/>
          <w:noProof/>
        </w:rPr>
        <w:t>1</w:t>
      </w:r>
      <w:r w:rsidR="004E7FC8">
        <w:rPr>
          <w:rStyle w:val="Bold"/>
        </w:rPr>
        <w:fldChar w:fldCharType="end"/>
      </w:r>
      <w:bookmarkEnd w:id="213"/>
      <w:r w:rsidRPr="00356CC4">
        <w:rPr>
          <w:rStyle w:val="Bold"/>
        </w:rPr>
        <w:t xml:space="preserve">: </w:t>
      </w:r>
      <w:r w:rsidRPr="00742E90">
        <w:t>Social media glossary.</w:t>
      </w:r>
    </w:p>
    <w:tbl>
      <w:tblPr>
        <w:tblStyle w:val="TableGAHeaderRow"/>
        <w:tblW w:w="0" w:type="auto"/>
        <w:tblLook w:val="01E0" w:firstRow="1" w:lastRow="1" w:firstColumn="1" w:lastColumn="1" w:noHBand="0" w:noVBand="0"/>
        <w:tblDescription w:val="This table defines some of the common symbols and terms used in social media. These are as follows.&#10;&#10;&quot;@&quot; - Character used to mention users in Tweets. When a username is proceeded by an @ sign it becomes linked to a Twitter profile.&#10;&quot;Admin&quot; - User who creates and manages activity groups and pages. A Facebook account is required to be an administrator.&#10;&quot;Bio&quot; - A short personal description of 160 characters maximum to define who the user is on Twitter.&#10;&quot;Chat&quot; - Feature that allows users to send instant messages to online friends on Facebook.&#10;&quot;Comment&quot; - A message that users can write on a post, photograph, video or link on Facebook.&#10;&quot;Connect Tab&quot; - Allows user to view interactions, mentions, recent follows and retweets on Twitter.&#10;&quot;Direct Message&quot; - Private messages between sender and recipient on Twitter.&#10;&quot;Discover tab&quot; - Shows stories, suggestions of who to follow and activity on Twitter.&#10;&quot;Fan&quot; - A Facebook user that likes a page becomes their fan.&#10;&quot;Friend&quot; - A person which a user is connected with on Facebook. To become friends, a friend request must be sent and confirmed by both people. Friends are able to see each others information and posts/comments.&#10;&quot;Friend Request&quot; - To ask for permission to engage with another Facebook user.&#10;&quot;Follow&quot; - To follow someone on Twitter is to subscribe to their Tweets or updates on the site.&#10;&quot;Follow count&quot; - Tally of how many users follow a particular user/account on Twitter.&#10;&quot;Follower&quot; - Another Twitter user who has followed a Twitter user/account.&#10;&quot;Following&quot; - Other Twitter users that a user has chosen to follow.&#10;&quot;Hash Tag (#)&quot; - Symbol that is used to mark keywords or topics within a Tweet. All messages containing hashtags can be searched and recalled.&#10;&quot;Home&quot; - A real-time list of Tweets from those a user follows.&#10;&quot;Interactions&quot; - Interactions are any mention and retweets a Twitter account receives.&#10;&quot;Like&quot; - A button associated with a post, photograph, video, album or page that can be clicked to provide positive feedback to other users. To like a page means you will become a fan of the page.&#10;&quot;Link&quot; - A Uniform Resource Locator (URL) that directs viewers to a new webpage. A link can be shared on Facebook and Twitter.&#10;&quot;Mention&quot; - Refer to another user in a Tweet by including the @ sign followed directly by their username.&#10;&quot;Messages&quot; - A central place to exchange private messages, chats, emails and mobile texts on Facebook. &#10;&quot;News Feed&quot; - A continuous stream of updates posted by friends on Facebook.&#10;&quot;Notifications&quot; - Email, onsite or Rich Site Summary (RSS) mobile updates about activity on your Facebook page, including likes, comments and shares of posts.&#10;&quot;Pages&quot; - Allow businesses and organisations to have a profile on Facebook and connect with Facebook users. Admins can post information and News Feed updates to people who like their pages. &#10;&quot;Profile&quot; - A Twitter or Facebook page displaying information about the user including recent posts and activity.&#10;&quot;Ow.ly&quot; - A URL shortening web service, useful for Twitter.&#10;&quot;Post&quot; - A message written on a Facebook wall that can contain photographs, videos, a location, a link and tag other people.&#10;&quot;Retweet (RT)&quot; - The act of forwarding another user’s Tweet to all your followers.&#10;&quot;Rich Site Summary (RSS)&quot; - RSS is a family of web feed formats used to publish frequently updated works, such as news headlines, in a standardised format.&#10;&quot;Share&quot; - The function of distributing another user’s post on your Facebook wall.&#10;&quot;Spam&quot; - Contacting people with unwanted content or requests.&#10;&quot;Stories&quot; - Narrative created about a Facebook page, can be in the form of likes, posts, comments, shares, mentions and tags.&#10;&quot;Tag&quot; - Links including a person, place or page to something posted on Facebook. &#10;&quot;Tweet&quot; - 140-character-long messages via Twitter.&#10;&quot;Tweeter&quot; - An account holder on Twitter who authors and reads Tweets.&#10;&quot;Uniform Resource Locator (URL)&quot; - The address of an internet page. &#10;&quot;Wall&quot; - A space on a Facebook profile where the user and friends can post and share information.&#10;"/>
      </w:tblPr>
      <w:tblGrid>
        <w:gridCol w:w="1868"/>
        <w:gridCol w:w="7260"/>
      </w:tblGrid>
      <w:tr w:rsidR="00C93401" w:rsidRPr="005C4DDA" w:rsidTr="00A56269">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0" w:type="auto"/>
          </w:tcPr>
          <w:p w:rsidR="00C93401" w:rsidRPr="00E57E08" w:rsidRDefault="00C93401" w:rsidP="007E4CAF">
            <w:pPr>
              <w:pStyle w:val="Tabletextleft"/>
            </w:pPr>
            <w:r w:rsidRPr="00E57E08">
              <w:t>Term</w:t>
            </w:r>
          </w:p>
        </w:tc>
        <w:tc>
          <w:tcPr>
            <w:tcW w:w="0" w:type="auto"/>
          </w:tcPr>
          <w:p w:rsidR="00C93401" w:rsidRPr="00E57E08" w:rsidRDefault="00C93401" w:rsidP="007E4CAF">
            <w:pPr>
              <w:pStyle w:val="Tabletextleft"/>
              <w:cnfStyle w:val="100000000000" w:firstRow="1" w:lastRow="0" w:firstColumn="0" w:lastColumn="0" w:oddVBand="0" w:evenVBand="0" w:oddHBand="0" w:evenHBand="0" w:firstRowFirstColumn="0" w:firstRowLastColumn="0" w:lastRowFirstColumn="0" w:lastRowLastColumn="0"/>
            </w:pPr>
            <w:r w:rsidRPr="00E57E08">
              <w:t>Description</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Character used to mention users in Tweets. When a username is proceeded by an @ sign it becomes linked to a Twitter profile.</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Admin</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User who creates and manages activity groups and pages. A Facebook account is required to be an administrator.</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Bio</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 short personal description of 160 characters maximum to define who the user is on Twitter.</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Chat</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Feature that allows users to send instant messages to online friends on Facebook.</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lastRenderedPageBreak/>
              <w:t>Comment</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 message that users can write on a post, photograph, video or link on Facebook.</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 xml:space="preserve">Connect </w:t>
            </w:r>
            <w:r w:rsidR="00AC2B07" w:rsidRPr="00356CC4">
              <w:rPr>
                <w:rStyle w:val="Bold"/>
              </w:rPr>
              <w:t>T</w:t>
            </w:r>
            <w:r w:rsidRPr="00356CC4">
              <w:rPr>
                <w:rStyle w:val="Bold"/>
              </w:rPr>
              <w:t>ab</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Allows user to view interactions, mentions, recent follows and retweets on Twitter.</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 xml:space="preserve">Direct </w:t>
            </w:r>
            <w:r w:rsidR="00AC2B07" w:rsidRPr="00356CC4">
              <w:rPr>
                <w:rStyle w:val="Bold"/>
              </w:rPr>
              <w:t>M</w:t>
            </w:r>
            <w:r w:rsidRPr="00356CC4">
              <w:rPr>
                <w:rStyle w:val="Bold"/>
              </w:rPr>
              <w:t>essage</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Private messages between sender and recipient on Twitter.</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Discover tab</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Shows stories, suggestions of who to follow and activity on Twitter.</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Fan</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 Facebook user that likes a page becomes their fan.</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Friend</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A person which a user is connected with on Facebook. To become friends, a friend request must be sent and confirmed by both people. Friends are able to see each others information and posts/comments.</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Friend Request</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To ask for permission to engage with another Facebook user.</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Follow</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To follow someone on Twitter is to subscribe to their Tweets or updates on the site.</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Follow count</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Tally of how many users follow a particular user/account on Twitter.</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Follower</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Another Twitter user who has followed a Twitter user/account.</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Following</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Other Twitter users that a user has chosen to follow.</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AC2B07" w:rsidP="007E4CAF">
            <w:pPr>
              <w:pStyle w:val="Tabletextleft"/>
              <w:rPr>
                <w:rStyle w:val="Bold"/>
              </w:rPr>
            </w:pPr>
            <w:r w:rsidRPr="00356CC4">
              <w:rPr>
                <w:rStyle w:val="Bold"/>
              </w:rPr>
              <w:t>Hash T</w:t>
            </w:r>
            <w:r w:rsidR="00C93401" w:rsidRPr="00356CC4">
              <w:rPr>
                <w:rStyle w:val="Bold"/>
              </w:rPr>
              <w:t>ag (#)</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Symbol that is used to mark keywords or topics within a Tweet. All messages containing hashtags can be searched and recalled.</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Home</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 real-time list of Tweets from those a user follows.</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Interactions</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Interactions are any mention and retweets a Twitter account receives.</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Like</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 button associated with a post, photograph, video, album or page that can be clicked to provide positive feedback to other users. To like a page means you will become a fan of the page.</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Link</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A Uniform Resource Locator (URL) that directs viewers to a new webpage. A link can be shared on Facebook and Twitter.</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Mention</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Refer to another user in a Tweet by including the @ sign followed directly by their username.</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Messages</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A central place to exchange private messages, chats, emails and mobile texts on Facebook. </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News Feed</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 continuous stream of updates posted by friends on Facebook.</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Notifications</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Email, onsite or Rich Site Summary (RSS) mobile updates about activity on your Facebook page, including likes, comments and shares of posts.</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Pages</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 xml:space="preserve">Allow businesses and organisations to have a profile on Facebook and connect with Facebook users. Admins can post information and News Feed updates to people who like their pages. </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Profile</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A Twitter or Facebook page displaying information about the user including recent posts and activity.</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Ow.ly</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 URL shortening web service, useful for Twitter.</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Post</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A message written on a Facebook wall that can contain photographs, videos, a location, a link and tag other people.</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Retweet (RT)</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The act of forwarding another user’s Tweet to all your followers.</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Height w:val="253"/>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Rich Site Summary (RSS)</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RSS is a family of web feed formats used to publish frequently updated works, such as news headlines, in a standardised format.</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Height w:val="252"/>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Share</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The function of distributing another user’s post on your Facebook wall.</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Spam</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Contacting people with unwanted content or requests.</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lastRenderedPageBreak/>
              <w:t>Stories</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Narrative created about a Facebook page, can be in the form of likes, posts, comments, shares, mentions and tags.</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Tag</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Links including a person, place or page to something posted on Facebook. </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Tweet</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140-character-long messages via Twitter.</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Tweeter</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An account holder on Twitter who authors and reads Tweets.</w:t>
            </w:r>
          </w:p>
        </w:tc>
      </w:tr>
      <w:tr w:rsidR="00C93401" w:rsidRPr="005C4DDA" w:rsidTr="00A56269">
        <w:trPr>
          <w:cnfStyle w:val="000000100000" w:firstRow="0" w:lastRow="0" w:firstColumn="0" w:lastColumn="0" w:oddVBand="0" w:evenVBand="0" w:oddHBand="1" w:evenHBand="0" w:firstRowFirstColumn="0" w:firstRowLastColumn="0" w:lastRowFirstColumn="0" w:lastRowLastColumn="0"/>
          <w:cantSplit/>
          <w:trHeight w:val="253"/>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Uniform Resource Locator (URL)</w:t>
            </w:r>
          </w:p>
        </w:tc>
        <w:tc>
          <w:tcPr>
            <w:tcW w:w="0" w:type="auto"/>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 xml:space="preserve">The address of an internet page. </w:t>
            </w:r>
          </w:p>
        </w:tc>
      </w:tr>
      <w:tr w:rsidR="00C93401" w:rsidRPr="005C4DDA" w:rsidTr="00A56269">
        <w:trPr>
          <w:cnfStyle w:val="000000010000" w:firstRow="0" w:lastRow="0" w:firstColumn="0" w:lastColumn="0" w:oddVBand="0" w:evenVBand="0" w:oddHBand="0" w:evenHBand="1" w:firstRowFirstColumn="0" w:firstRowLastColumn="0" w:lastRowFirstColumn="0" w:lastRowLastColumn="0"/>
          <w:cantSplit/>
          <w:trHeight w:val="252"/>
        </w:trPr>
        <w:tc>
          <w:tcPr>
            <w:cnfStyle w:val="000010000000" w:firstRow="0" w:lastRow="0" w:firstColumn="0" w:lastColumn="0" w:oddVBand="1" w:evenVBand="0" w:oddHBand="0" w:evenHBand="0" w:firstRowFirstColumn="0" w:firstRowLastColumn="0" w:lastRowFirstColumn="0" w:lastRowLastColumn="0"/>
            <w:tcW w:w="0" w:type="auto"/>
          </w:tcPr>
          <w:p w:rsidR="00C93401" w:rsidRPr="00356CC4" w:rsidRDefault="00C93401" w:rsidP="007E4CAF">
            <w:pPr>
              <w:pStyle w:val="Tabletextleft"/>
              <w:rPr>
                <w:rStyle w:val="Bold"/>
              </w:rPr>
            </w:pPr>
            <w:r w:rsidRPr="00356CC4">
              <w:rPr>
                <w:rStyle w:val="Bold"/>
              </w:rPr>
              <w:t>Wall</w:t>
            </w:r>
          </w:p>
        </w:tc>
        <w:tc>
          <w:tcPr>
            <w:tcW w:w="0" w:type="auto"/>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A space on a Facebook profile where the user and friends can post and share information.</w:t>
            </w:r>
          </w:p>
        </w:tc>
      </w:tr>
    </w:tbl>
    <w:p w:rsidR="00C93401" w:rsidRDefault="00C93401" w:rsidP="00C93401">
      <w:pPr>
        <w:pStyle w:val="Heading2aftertable"/>
      </w:pPr>
      <w:bookmarkStart w:id="214" w:name="_Ref337104047"/>
      <w:bookmarkStart w:id="215" w:name="_Toc337721581"/>
      <w:bookmarkStart w:id="216" w:name="_Ref338172926"/>
      <w:bookmarkStart w:id="217" w:name="_Toc353282048"/>
      <w:bookmarkStart w:id="218" w:name="_Toc355274260"/>
      <w:r>
        <w:t>Background</w:t>
      </w:r>
      <w:bookmarkEnd w:id="214"/>
      <w:bookmarkEnd w:id="215"/>
      <w:bookmarkEnd w:id="216"/>
      <w:bookmarkEnd w:id="217"/>
      <w:bookmarkEnd w:id="218"/>
    </w:p>
    <w:p w:rsidR="00C93401" w:rsidRDefault="00C93401" w:rsidP="00C93401">
      <w:pPr>
        <w:pStyle w:val="Heading3"/>
      </w:pPr>
      <w:bookmarkStart w:id="219" w:name="_Toc337721582"/>
      <w:bookmarkStart w:id="220" w:name="_Toc353282049"/>
      <w:bookmarkStart w:id="221" w:name="_Toc355274261"/>
      <w:r>
        <w:t>What is Social Media?</w:t>
      </w:r>
      <w:bookmarkEnd w:id="219"/>
      <w:bookmarkEnd w:id="220"/>
      <w:bookmarkEnd w:id="221"/>
    </w:p>
    <w:p w:rsidR="00C93401" w:rsidRPr="00E57E08" w:rsidRDefault="00C93401" w:rsidP="00C93401">
      <w:pPr>
        <w:pStyle w:val="BodyText"/>
      </w:pPr>
      <w:r w:rsidRPr="00E57E08">
        <w:t xml:space="preserve">Social media is the use of mobile and web-based technologies to share, create, discuss and modify user-generated content on highly interactive platforms (Kietzmann et al., 2011). Social media platforms are varied and include micro-blogs such as Twitter, social networks such as Facebook, blogs, wikis, professional networks such as LinkedIn, bookmarking sites and user-generated photography or image sites such as YouTube and Flickr (CSIRO, 2009). However, the </w:t>
      </w:r>
      <w:r w:rsidRPr="00E57E08">
        <w:rPr>
          <w:szCs w:val="21"/>
        </w:rPr>
        <w:t>34</w:t>
      </w:r>
      <w:r w:rsidRPr="00CF07C2">
        <w:rPr>
          <w:rStyle w:val="Superscript"/>
        </w:rPr>
        <w:t>th</w:t>
      </w:r>
      <w:r w:rsidRPr="00E57E08">
        <w:t xml:space="preserve"> IGC Social Media Plan focused on the use of Facebook and Twitter and this chapter reflects this focus.</w:t>
      </w:r>
    </w:p>
    <w:p w:rsidR="00C93401" w:rsidRPr="00E57E08" w:rsidRDefault="00C93401" w:rsidP="00C93401">
      <w:pPr>
        <w:pStyle w:val="BodyText"/>
      </w:pPr>
    </w:p>
    <w:p w:rsidR="00C93401" w:rsidRPr="00E57E08" w:rsidRDefault="00C93401" w:rsidP="00C93401">
      <w:pPr>
        <w:pStyle w:val="BodyText"/>
      </w:pPr>
      <w:r w:rsidRPr="00E57E08">
        <w:t>Over 66% of all adult online users are connected to one or more social media platforms (MBA, 2012) with steady growth in use over the last few years, particularly in the number of Facebook users (</w:t>
      </w:r>
      <w:r w:rsidRPr="00E57E08">
        <w:fldChar w:fldCharType="begin"/>
      </w:r>
      <w:r w:rsidRPr="00E57E08">
        <w:instrText xml:space="preserve"> REF _Ref338167693 \h  \* MERGEFORMAT </w:instrText>
      </w:r>
      <w:r w:rsidRPr="00E57E08">
        <w:fldChar w:fldCharType="separate"/>
      </w:r>
      <w:r w:rsidR="00EB5AC4" w:rsidRPr="00EB5AC4">
        <w:t>Figure 4.1</w:t>
      </w:r>
      <w:r w:rsidRPr="00E57E08">
        <w:fldChar w:fldCharType="end"/>
      </w:r>
      <w:r w:rsidRPr="00E57E08">
        <w:t>). This growth is partly due to the increasing popularity of smart-phones, as these mobile internet devices have made social media sites more accessible by facilitating real time interaction (comScore, 2011). The overwhelming popularity of social media is illustrated by the fact that an estimated one in five online minutes are spent on social media sites (comScore, 2011).</w:t>
      </w:r>
    </w:p>
    <w:p w:rsidR="00C93401" w:rsidRDefault="00296658" w:rsidP="00AD0DF8">
      <w:pPr>
        <w:pStyle w:val="Figuresandimagescentred"/>
      </w:pPr>
      <w:r>
        <w:rPr>
          <w:noProof/>
        </w:rPr>
        <w:lastRenderedPageBreak/>
        <w:drawing>
          <wp:inline distT="0" distB="0" distL="0" distR="0" wp14:anchorId="44FFEF22" wp14:editId="2985C50B">
            <wp:extent cx="4943475" cy="2905125"/>
            <wp:effectExtent l="0" t="0" r="0" b="0"/>
            <wp:docPr id="22" name="Picture 22" descr="This figure, adapted from comScore (2011), is a time series illustrating the rapid growth of unique users worldwide for the social media sites Twitter and Facebook. The horizontal axis is labelled “Year” and goes from March 2007 to October 2011 in yearly increments. The vertical axis is labelled “Total unique visitors (millions)” and goes from 0 to 800 in increments of 200. There are two lines on the graph: “Facebook” and Twitter”.&#10;&#10;Twitter is seen to have grown from less than a million to more than 100 million followers during this period. Facebook is seen to have grown from less than 25 million to more than 800 million followers during this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is figure, adapted from comScore (2011), is a time series illustrating the rapid growth of unique users worldwide for the social media sites Twitter and Facebook. The horizontal axis is labelled “Year” and goes from March 2007 to October 2011 in yearly increments. The vertical axis is labelled “Total unique visitors (millions)” and goes from 0 to 800 in increments of 200. There are two lines on the graph: “Facebook” and Twitter”.&#10;&#10;Twitter is seen to have grown from less than a million to more than 100 million followers during this period. Facebook is seen to have grown from less than 25 million to more than 800 million followers during this perio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43475" cy="2905125"/>
                    </a:xfrm>
                    <a:prstGeom prst="rect">
                      <a:avLst/>
                    </a:prstGeom>
                    <a:noFill/>
                    <a:ln>
                      <a:noFill/>
                    </a:ln>
                  </pic:spPr>
                </pic:pic>
              </a:graphicData>
            </a:graphic>
          </wp:inline>
        </w:drawing>
      </w:r>
    </w:p>
    <w:p w:rsidR="00C93401" w:rsidRPr="00742E90" w:rsidRDefault="00C93401" w:rsidP="00C93401">
      <w:pPr>
        <w:pStyle w:val="Caption"/>
      </w:pPr>
      <w:bookmarkStart w:id="222" w:name="_Ref338167693"/>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1</w:t>
      </w:r>
      <w:r w:rsidRPr="00D27C1C">
        <w:rPr>
          <w:rStyle w:val="Strong"/>
        </w:rPr>
        <w:fldChar w:fldCharType="end"/>
      </w:r>
      <w:bookmarkEnd w:id="222"/>
      <w:r w:rsidRPr="00356CC4">
        <w:rPr>
          <w:rStyle w:val="Bold"/>
        </w:rPr>
        <w:t>:</w:t>
      </w:r>
      <w:r w:rsidRPr="00742E90">
        <w:t xml:space="preserve"> </w:t>
      </w:r>
      <w:r>
        <w:t>The number of unique users since 2007 for the social media sites Facebook and Twitter</w:t>
      </w:r>
      <w:r w:rsidR="00A40F13">
        <w:t xml:space="preserve"> </w:t>
      </w:r>
      <w:r>
        <w:t xml:space="preserve">(adapted from </w:t>
      </w:r>
      <w:r w:rsidRPr="00742E90">
        <w:t>comScore (2011)</w:t>
      </w:r>
      <w:r>
        <w:t>)</w:t>
      </w:r>
      <w:r w:rsidRPr="00742E90">
        <w:t>.</w:t>
      </w:r>
    </w:p>
    <w:p w:rsidR="00C93401" w:rsidRDefault="00C93401" w:rsidP="00C93401">
      <w:pPr>
        <w:pStyle w:val="Heading4"/>
      </w:pPr>
      <w:bookmarkStart w:id="223" w:name="_Toc337721583"/>
      <w:bookmarkStart w:id="224" w:name="_Toc355274262"/>
      <w:r>
        <w:t>Twitter</w:t>
      </w:r>
      <w:bookmarkEnd w:id="223"/>
      <w:bookmarkEnd w:id="224"/>
    </w:p>
    <w:p w:rsidR="00C93401" w:rsidRPr="00E57E08" w:rsidRDefault="00C93401" w:rsidP="00C93401">
      <w:pPr>
        <w:pStyle w:val="BodyText"/>
      </w:pPr>
      <w:r w:rsidRPr="00E57E08">
        <w:t>Twitter is a real-time micro-blogging service that allows people to send and receive 140-character-long messages, known as tweets. Launched in July 2006, its popularity has grown to over 500 million active users (WebMediaBrands Inc., 2012). Users can send their tweets through any internet-enabled device and these messages can be sent either publicly or privately to other users. Increasingly, Twitter is becoming a popular medium for the rapid dissemination of breaking news and current events (Cheong and Lee, 2011). As such, the use of Twitter has not been limited to interpersonal communication among friends but has also become a central means of communication during national events such as political protests and natural disasters (comScore, 2011). To illustrate this point, a magnitude 7.6 earthquake off the coast of the Philippines was brought to the attention of the United States Geological Survey by Twitter before the seismic waves produced by the earthquake were detected by its monitoring network (MacMillan, 2012).</w:t>
      </w:r>
    </w:p>
    <w:p w:rsidR="00C93401" w:rsidRPr="00E57E08" w:rsidRDefault="00C93401" w:rsidP="00C93401">
      <w:pPr>
        <w:pStyle w:val="BodyText"/>
      </w:pPr>
      <w:r w:rsidRPr="00E57E08">
        <w:t>Twitter has a number of functions for disseminating information including retweets, hashtags and the @ symbol. Retweeting (RT) is the action of sharing another user’s tweet to your followers, which helps to spread news rapidly. Hashtags (#) are a user-generated tool and are placed before words or phrases within a tweet to flag that it belongs to a particular topic. This allows people to easily search for tweets on specific topics, thereby increasing that tweet’s potential reach. Finally, the @ symbol is used to direct a tweet to a particular user account as a means of fostering conversations (</w:t>
      </w:r>
      <w:r w:rsidRPr="00E57E08">
        <w:fldChar w:fldCharType="begin"/>
      </w:r>
      <w:r w:rsidRPr="00E57E08">
        <w:instrText xml:space="preserve"> REF _Ref340843885 \h  \* MERGEFORMAT </w:instrText>
      </w:r>
      <w:r w:rsidRPr="00E57E08">
        <w:fldChar w:fldCharType="separate"/>
      </w:r>
      <w:r w:rsidR="00EB5AC4" w:rsidRPr="00EB5AC4">
        <w:t>Table 4.1</w:t>
      </w:r>
      <w:r w:rsidRPr="00E57E08">
        <w:fldChar w:fldCharType="end"/>
      </w:r>
      <w:r w:rsidRPr="00E57E08">
        <w:t>).</w:t>
      </w:r>
    </w:p>
    <w:p w:rsidR="00C93401" w:rsidRPr="00003612" w:rsidRDefault="00C93401" w:rsidP="00C93401">
      <w:pPr>
        <w:pStyle w:val="Heading4"/>
      </w:pPr>
      <w:bookmarkStart w:id="225" w:name="_Toc337721584"/>
      <w:bookmarkStart w:id="226" w:name="_Toc355274263"/>
      <w:r w:rsidRPr="00003612">
        <w:t>Facebook</w:t>
      </w:r>
      <w:bookmarkEnd w:id="225"/>
      <w:bookmarkEnd w:id="226"/>
    </w:p>
    <w:p w:rsidR="00C93401" w:rsidRPr="00E57E08" w:rsidRDefault="00C93401" w:rsidP="00C93401">
      <w:pPr>
        <w:pStyle w:val="BodyText"/>
      </w:pPr>
      <w:r w:rsidRPr="00E57E08">
        <w:t xml:space="preserve">Facebook was launched in 2004 and is currently the most popular social networking site in the world (MBA, 2012). Facebook allows users to share and interact with information including videos, photographs and links from other user accounts through a News Feed that appears on every user’s homepage. It also facilitates the organisation of events, allows people to message in private, allows users to chat online and has a video call function. </w:t>
      </w:r>
    </w:p>
    <w:p w:rsidR="00C93401" w:rsidRPr="00E57E08" w:rsidRDefault="00C93401" w:rsidP="00C93401">
      <w:pPr>
        <w:pStyle w:val="BodyText"/>
      </w:pPr>
      <w:r w:rsidRPr="00E57E08">
        <w:lastRenderedPageBreak/>
        <w:t>Organisations can use Facebook as a platform to engage with the public, through the use of Facebook pages. A Facebook page, as opposed to a Facebook profile for an individual, is a public profile created for a business, brand, organisation or celebrity. Facebook pages do not gain friends but fans, who are Facebook users that choose to like the page. Administrators (admins) of a page update its content with posts, photographs, events and videos that appear on the news feeds of the fans. Fans of the page can communicate with the organisation by posting publicly to the page (this feature can also be disabled), or sending private messages which are viewed by page admins (</w:t>
      </w:r>
      <w:r w:rsidRPr="00E57E08">
        <w:fldChar w:fldCharType="begin"/>
      </w:r>
      <w:r w:rsidRPr="00E57E08">
        <w:instrText xml:space="preserve"> REF _Ref340843885 \h  \* MERGEFORMAT </w:instrText>
      </w:r>
      <w:r w:rsidRPr="00E57E08">
        <w:fldChar w:fldCharType="separate"/>
      </w:r>
      <w:r w:rsidR="00EB5AC4" w:rsidRPr="00EB5AC4">
        <w:t>Table 4.1</w:t>
      </w:r>
      <w:r w:rsidRPr="00E57E08">
        <w:fldChar w:fldCharType="end"/>
      </w:r>
      <w:r w:rsidRPr="00E57E08">
        <w:t>).</w:t>
      </w:r>
    </w:p>
    <w:p w:rsidR="00C93401" w:rsidRDefault="00C93401" w:rsidP="00C93401">
      <w:pPr>
        <w:pStyle w:val="Heading3"/>
      </w:pPr>
      <w:bookmarkStart w:id="227" w:name="_Ref337103949"/>
      <w:bookmarkStart w:id="228" w:name="_Toc337721585"/>
      <w:bookmarkStart w:id="229" w:name="_Toc353282050"/>
      <w:bookmarkStart w:id="230" w:name="_Toc355274264"/>
      <w:r>
        <w:t>Demographics</w:t>
      </w:r>
      <w:bookmarkEnd w:id="227"/>
      <w:bookmarkEnd w:id="228"/>
      <w:bookmarkEnd w:id="229"/>
      <w:bookmarkEnd w:id="230"/>
    </w:p>
    <w:p w:rsidR="00C93401" w:rsidRPr="00E57E08" w:rsidRDefault="00C93401" w:rsidP="00C93401">
      <w:pPr>
        <w:pStyle w:val="BodyText"/>
      </w:pPr>
      <w:r w:rsidRPr="00E57E08">
        <w:t xml:space="preserve">A survey of social media use in the United States of America (MBA, 2012) provides an insight into the demographics that different social media platforms access </w:t>
      </w:r>
      <w:r w:rsidRPr="00AC2B07">
        <w:t>(</w:t>
      </w:r>
      <w:r w:rsidR="00AC2B07" w:rsidRPr="00AC2B07">
        <w:fldChar w:fldCharType="begin"/>
      </w:r>
      <w:r w:rsidR="00AC2B07" w:rsidRPr="00AC2B07">
        <w:instrText xml:space="preserve"> REF _Ref352057457 \h </w:instrText>
      </w:r>
      <w:r w:rsidR="00AC2B07">
        <w:instrText xml:space="preserve"> \* MERGEFORMAT </w:instrText>
      </w:r>
      <w:r w:rsidR="00AC2B07" w:rsidRPr="00AC2B07">
        <w:fldChar w:fldCharType="separate"/>
      </w:r>
      <w:r w:rsidR="00AC2B07" w:rsidRPr="00AC2B07">
        <w:t>Figure 4.2</w:t>
      </w:r>
      <w:r w:rsidR="00AC2B07" w:rsidRPr="00AC2B07">
        <w:fldChar w:fldCharType="end"/>
      </w:r>
      <w:r w:rsidRPr="00E57E08">
        <w:t>). For example, users spend about twice as long per visit on Facebook than Twitter. The age demographic of Twitter is substantially younger than Facebook. Users of both sites reported similar levels of education; more than 80% of users have at least some tertiary education. Both of the sites are predominantly used by females, with a slightly stronger bias for Twitter users. These observations are supported by a separate worldwide study based on Google datasets (Ignite, 2012). A similar study conducted in the United Kingdom reported broadly consistent trends (Dwivedi, 2012), though the Facebook age demographic was less skewed towards the over 45 age group (25-34 being the dominant user group). However, 95% of the Facebook user population were in the adult age group, which is relevant for organisations using social media to target working professionals.</w:t>
      </w:r>
    </w:p>
    <w:p w:rsidR="00C93401" w:rsidRPr="00477FF6" w:rsidRDefault="00C93401" w:rsidP="00C93401">
      <w:pPr>
        <w:pStyle w:val="Heading3"/>
      </w:pPr>
      <w:bookmarkStart w:id="231" w:name="_Toc337721586"/>
      <w:bookmarkStart w:id="232" w:name="_Toc353282051"/>
      <w:bookmarkStart w:id="233" w:name="_Toc355274265"/>
      <w:r>
        <w:t>Social Media and Organisations</w:t>
      </w:r>
      <w:bookmarkEnd w:id="231"/>
      <w:bookmarkEnd w:id="232"/>
      <w:bookmarkEnd w:id="233"/>
    </w:p>
    <w:p w:rsidR="00C93401" w:rsidRPr="00E57E08" w:rsidRDefault="00C93401" w:rsidP="00C93401">
      <w:pPr>
        <w:pStyle w:val="BodyText"/>
      </w:pPr>
      <w:r w:rsidRPr="00E57E08">
        <w:t>Social media provides a cost effective means of engaging with a broad audience spanning many demographics, making them attractive to businesses, government and non-profit organisations (CSIRO, 2009). An organisation can use social media platforms, such as Twitter and Facebook, for:</w:t>
      </w:r>
    </w:p>
    <w:p w:rsidR="00C93401" w:rsidRPr="00E57E08" w:rsidRDefault="00C93401" w:rsidP="00C93401">
      <w:pPr>
        <w:pStyle w:val="Bulletlevel1"/>
      </w:pPr>
      <w:r w:rsidRPr="00E57E08">
        <w:t>Raising awareness;</w:t>
      </w:r>
    </w:p>
    <w:p w:rsidR="00C93401" w:rsidRPr="00E57E08" w:rsidRDefault="00C93401" w:rsidP="00C93401">
      <w:pPr>
        <w:pStyle w:val="Bulletlevel1"/>
      </w:pPr>
      <w:r w:rsidRPr="00E57E08">
        <w:t>Proposition;</w:t>
      </w:r>
    </w:p>
    <w:p w:rsidR="00C93401" w:rsidRPr="00E57E08" w:rsidRDefault="00C93401" w:rsidP="00C93401">
      <w:pPr>
        <w:pStyle w:val="Bulletlevel1"/>
      </w:pPr>
      <w:r w:rsidRPr="00E57E08">
        <w:t>Management of issues;</w:t>
      </w:r>
    </w:p>
    <w:p w:rsidR="00C93401" w:rsidRPr="00E57E08" w:rsidRDefault="00C93401" w:rsidP="00C93401">
      <w:pPr>
        <w:pStyle w:val="Bulletlevel1"/>
      </w:pPr>
      <w:r w:rsidRPr="00E57E08">
        <w:t>Education;</w:t>
      </w:r>
    </w:p>
    <w:p w:rsidR="00C93401" w:rsidRPr="00E57E08" w:rsidRDefault="00C93401" w:rsidP="00C93401">
      <w:pPr>
        <w:pStyle w:val="Bulletlevel1"/>
      </w:pPr>
      <w:r w:rsidRPr="00E57E08">
        <w:t>Recruitment</w:t>
      </w:r>
      <w:r w:rsidR="00602511">
        <w:t>;</w:t>
      </w:r>
      <w:r w:rsidRPr="00E57E08">
        <w:t xml:space="preserve"> and</w:t>
      </w:r>
      <w:r w:rsidR="00602511">
        <w:t>,</w:t>
      </w:r>
    </w:p>
    <w:p w:rsidR="00C93401" w:rsidRPr="00E57E08" w:rsidRDefault="00C93401" w:rsidP="00C93401">
      <w:pPr>
        <w:pStyle w:val="Bulletlevel1"/>
      </w:pPr>
      <w:r w:rsidRPr="00E57E08">
        <w:t>Dissemination of information.</w:t>
      </w:r>
    </w:p>
    <w:p w:rsidR="00C93401" w:rsidRPr="00E57E08" w:rsidRDefault="00C93401" w:rsidP="00C93401">
      <w:pPr>
        <w:pStyle w:val="BodyText"/>
      </w:pPr>
      <w:r w:rsidRPr="00E57E08">
        <w:t>It is important that organisations that use social media in a professional capacity have comprehensive guidelines regarding use for employees. If managed poorly, the use of social media presents a potential risk to the organisation. For example, the social media community have come to expect timely responses, and therefore, slow responses can be negatively perceived. Some user-generated content may also be sensitive to the organisation and needs to be handled swiftly and appropriately (CSIRO, 2009). As a consequence, an organisation’s social media presence needs to be planned, updated regularly, monitored, moderated, promoted and responsive to audience comments and questions (CSIRO, 2009). However, it is important to note that the amount of attention and maintenance required is specific to the platform, or platforms, used by the organisation and micro-blogs such as Twitter can be very resource intensive and require regular attention.</w:t>
      </w:r>
    </w:p>
    <w:p w:rsidR="00C93401" w:rsidRDefault="00296658" w:rsidP="00AD0DF8">
      <w:pPr>
        <w:pStyle w:val="Figuresandimagescentred"/>
      </w:pPr>
      <w:r>
        <w:rPr>
          <w:noProof/>
        </w:rPr>
        <w:lastRenderedPageBreak/>
        <w:drawing>
          <wp:inline distT="0" distB="0" distL="0" distR="0" wp14:anchorId="0BE4FABC" wp14:editId="6A73B990">
            <wp:extent cx="5419725" cy="5524500"/>
            <wp:effectExtent l="0" t="0" r="0" b="0"/>
            <wp:docPr id="23" name="Picture 23" descr="This figure, adapted from MBA (2011), is a series of four bar charts illustrating demographic information of Facebook and Twitter usage in 2012 for the United States of America - covering age, gender, education level and time per visit.&#10;&#10;The overall trends highlighted in these graphs are; that the dominant age group for each platform is 45+, the dominant educational level is some college tuition, the dominant gender is female and Facebook users spend twice as long as Twitter users per day.&#10;&#10;The data are summarised in the following tables:&#10;&#10;Age Age distribution (%) for users each platform&#10; Facebook Twitter&#10;0-24 14 19&#10;25-34 18 23&#10;35-44 22 25&#10;45+ 46 33&#10;&#10;Education Level of education (%) for users each platform&#10; Facebook Twitter&#10;Less than High School 9 9&#10;High School 10 8&#10;Some College 57 59&#10;Bachelor's or Graduate Degree 24 24&#10;&#10;Gender Gender distribution (%) for users each platform&#10; Facebook Twitter&#10;Male 43 41&#10;Female 57 59&#10;&#10;Time spent per visit by users on each platform (min)&#10;Facebook Twitter&#10;23.30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is figure, adapted from MBA (2011), is a series of four bar charts illustrating demographic information of Facebook and Twitter usage in 2012 for the United States of America - covering age, gender, education level and time per visit.&#10;&#10;The overall trends highlighted in these graphs are; that the dominant age group for each platform is 45+, the dominant educational level is some college tuition, the dominant gender is female and Facebook users spend twice as long as Twitter users per day.&#10;&#10;The data are summarised in the following tables:&#10;&#10;Age Age distribution (%) for users each platform&#10; Facebook Twitter&#10;0-24 14 19&#10;25-34 18 23&#10;35-44 22 25&#10;45+ 46 33&#10;&#10;Education Level of education (%) for users each platform&#10; Facebook Twitter&#10;Less than High School 9 9&#10;High School 10 8&#10;Some College 57 59&#10;Bachelor's or Graduate Degree 24 24&#10;&#10;Gender Gender distribution (%) for users each platform&#10; Facebook Twitter&#10;Male 43 41&#10;Female 57 59&#10;&#10;Time spent per visit by users on each platform (min)&#10;Facebook Twitter&#10;23.30 11.8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19725" cy="5524500"/>
                    </a:xfrm>
                    <a:prstGeom prst="rect">
                      <a:avLst/>
                    </a:prstGeom>
                    <a:noFill/>
                    <a:ln>
                      <a:noFill/>
                    </a:ln>
                  </pic:spPr>
                </pic:pic>
              </a:graphicData>
            </a:graphic>
          </wp:inline>
        </w:drawing>
      </w:r>
    </w:p>
    <w:p w:rsidR="00C93401" w:rsidRPr="005443B0" w:rsidRDefault="00C93401" w:rsidP="00C93401">
      <w:pPr>
        <w:pStyle w:val="Caption"/>
      </w:pPr>
      <w:bookmarkStart w:id="234" w:name="_Ref352057457"/>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2</w:t>
      </w:r>
      <w:r w:rsidRPr="00D27C1C">
        <w:rPr>
          <w:rStyle w:val="Strong"/>
        </w:rPr>
        <w:fldChar w:fldCharType="end"/>
      </w:r>
      <w:bookmarkEnd w:id="234"/>
      <w:r w:rsidRPr="00356CC4">
        <w:rPr>
          <w:rStyle w:val="Bold"/>
        </w:rPr>
        <w:t>:</w:t>
      </w:r>
      <w:r w:rsidRPr="003A2F94">
        <w:t xml:space="preserve"> </w:t>
      </w:r>
      <w:r w:rsidRPr="005443B0">
        <w:t>Facebook and Twitter demographic information based on a survey of internet usage in the United States covering age, gender, education and time per visit (MBA, 2012).</w:t>
      </w:r>
    </w:p>
    <w:p w:rsidR="00C93401" w:rsidRPr="00477FF6" w:rsidRDefault="00C93401" w:rsidP="00C93401">
      <w:pPr>
        <w:pStyle w:val="Heading3"/>
      </w:pPr>
      <w:bookmarkStart w:id="235" w:name="_Toc337721587"/>
      <w:bookmarkStart w:id="236" w:name="_Toc353282052"/>
      <w:bookmarkStart w:id="237" w:name="_Toc355274266"/>
      <w:r>
        <w:t>Social Media and the Australian Government</w:t>
      </w:r>
      <w:bookmarkEnd w:id="235"/>
      <w:bookmarkEnd w:id="236"/>
      <w:bookmarkEnd w:id="237"/>
    </w:p>
    <w:p w:rsidR="00C93401" w:rsidRPr="00E57E08" w:rsidRDefault="00C93401" w:rsidP="00C93401">
      <w:pPr>
        <w:pStyle w:val="BodyText"/>
      </w:pPr>
      <w:r w:rsidRPr="00E57E08">
        <w:t>The Australian Government encourages the appropriate use of social media by Australian Public Service (APS) agencies in accordance with:</w:t>
      </w:r>
    </w:p>
    <w:p w:rsidR="00C93401" w:rsidRPr="00C60578" w:rsidRDefault="00C93401" w:rsidP="00C93401">
      <w:pPr>
        <w:pStyle w:val="Bulletlevel1"/>
      </w:pPr>
      <w:r w:rsidRPr="00C60578">
        <w:t>Public Service Act 1999;</w:t>
      </w:r>
    </w:p>
    <w:p w:rsidR="00C93401" w:rsidRPr="00C60578" w:rsidRDefault="00C93401" w:rsidP="00C93401">
      <w:pPr>
        <w:pStyle w:val="Bulletlevel1"/>
      </w:pPr>
      <w:r w:rsidRPr="00C60578">
        <w:t>APS Code of Conduct;</w:t>
      </w:r>
    </w:p>
    <w:p w:rsidR="00C93401" w:rsidRPr="00C60578" w:rsidRDefault="00C93401" w:rsidP="00C93401">
      <w:pPr>
        <w:pStyle w:val="Bulletlevel1"/>
      </w:pPr>
      <w:r w:rsidRPr="00C60578">
        <w:t>APS Values and Code of Conduct in Practice: a guide to official conduct for APS employees and Agency Heads</w:t>
      </w:r>
      <w:r w:rsidR="00602511">
        <w:t>;</w:t>
      </w:r>
      <w:r w:rsidRPr="00C60578">
        <w:t xml:space="preserve"> and</w:t>
      </w:r>
      <w:r w:rsidR="00602511">
        <w:t>,</w:t>
      </w:r>
    </w:p>
    <w:p w:rsidR="00C93401" w:rsidRPr="00C60578" w:rsidRDefault="00C93401" w:rsidP="00C93401">
      <w:pPr>
        <w:pStyle w:val="Bulletlevel1"/>
      </w:pPr>
      <w:r w:rsidRPr="00C60578">
        <w:t>Agency-level policy and guidelines.</w:t>
      </w:r>
    </w:p>
    <w:p w:rsidR="00C93401" w:rsidRPr="00C60578" w:rsidRDefault="00C93401" w:rsidP="00C93401">
      <w:pPr>
        <w:pStyle w:val="BodyText"/>
      </w:pPr>
      <w:r w:rsidRPr="00C60578">
        <w:t xml:space="preserve">The Government 2.0 Taskforce, which was formed to advise the government on how web technologies could be utilised to deliver better services in 2010, made a recommendation that the </w:t>
      </w:r>
      <w:r w:rsidRPr="00C60578">
        <w:lastRenderedPageBreak/>
        <w:t xml:space="preserve">Australian Government should encourage public servants to engage online. The Declaration of Open Government (Commonwealth of Australia, 2008) states that the Australian Government “is committed to open government based on a culture of engagement” and that; “Citizen collaboration in policy and service delivery design will enhance the processes of government and improve the outcomes sought. Collaboration with citizens is to be enabled and encouraged. Agencies are to reduce barriers to online engagement, undertake social networking, crowd sourcing and online collaboration projects and support online engagement by employees.” These outcomes can be achieved through the use of social media.  </w:t>
      </w:r>
    </w:p>
    <w:p w:rsidR="00C93401" w:rsidRPr="00C60578" w:rsidRDefault="00C93401" w:rsidP="00C93401">
      <w:pPr>
        <w:pStyle w:val="BodyText"/>
      </w:pPr>
      <w:r w:rsidRPr="00C60578">
        <w:t xml:space="preserve">The Australian Public Service Commission (APSC) released a circular in 2012 titled </w:t>
      </w:r>
      <w:r w:rsidRPr="00C60578">
        <w:rPr>
          <w:rStyle w:val="Bodytextitalic"/>
        </w:rPr>
        <w:t>Revisions to the Commission’s guidance on making public comment and participating online</w:t>
      </w:r>
      <w:r w:rsidRPr="00C60578">
        <w:t xml:space="preserve"> (Commonwealth of Australia, 2012a), which provided further guidelines for public service employees to make comments online in both an official and unofficial capacity. This circular reinforced that employees are able to comment online in an official capacity but remain bound by the APS Values and Code of Conduct. The Australian Government also provides information about the correct way to introduce and use social media platforms within an agency (Web Guide, 2012).</w:t>
      </w:r>
    </w:p>
    <w:p w:rsidR="00C93401" w:rsidRPr="00C60578" w:rsidRDefault="00C93401" w:rsidP="00C93401">
      <w:pPr>
        <w:pStyle w:val="BodyText"/>
      </w:pPr>
      <w:r w:rsidRPr="00C60578">
        <w:t>Many Australian Government agencies are using social media effectively including the Australian Bureau of Statistics, Australian Taxation Office and the Commonwealth Scientific and Industrial Research Organisation (CSIRO). A comprehensive list of social media pages run by Australian Government Agencies has been compiled and is available online (Australian Government, 2012). An example of a government agency using social media to great effect is CSIRO, another science agency with a diverse research program and a wide range of stakeholders. CSIRO maintains an active presence on Facebook and Twitter and could provide a relevant role model for GA’s use of these platforms. The CSIRO Facebook page currently has over 16,000 fans and they post information daily to their wall on a variety of topics including: recruitment opportunities, such as indigenous cadetships; general scientific news; photographs and information from fieldwork; national events such as biodiversity month and scientific achievements. Vibrant photographs are used to add visual impact to the information and stimulate viewer interaction. Their Twitter account, @CSIROnews, similarly reaches a wide audience with 11,300 followers and releases tweets multiple times a day (usually three times or more) on a wide range of topics relevant to the organisation. The majority of these tweets provide a brief description of the subject that is supported by links to sources of additional information or photographs.</w:t>
      </w:r>
    </w:p>
    <w:p w:rsidR="00C93401" w:rsidRDefault="00C93401" w:rsidP="00C93401">
      <w:pPr>
        <w:pStyle w:val="Heading2"/>
      </w:pPr>
      <w:bookmarkStart w:id="238" w:name="_Toc337721588"/>
      <w:bookmarkStart w:id="239" w:name="_Toc353282053"/>
      <w:bookmarkStart w:id="240" w:name="_Toc355274267"/>
      <w:r w:rsidRPr="00003612">
        <w:t>Implementation</w:t>
      </w:r>
      <w:bookmarkEnd w:id="238"/>
      <w:bookmarkEnd w:id="239"/>
      <w:bookmarkEnd w:id="240"/>
    </w:p>
    <w:p w:rsidR="00C93401" w:rsidRPr="00C60578" w:rsidRDefault="00C93401" w:rsidP="00C93401">
      <w:pPr>
        <w:pStyle w:val="BodyText"/>
      </w:pPr>
      <w:r w:rsidRPr="00C60578">
        <w:t xml:space="preserve">Rowland, a corporate communication advisory firm based in Brisbane, provided pro bono media relations and assistance for the </w:t>
      </w:r>
      <w:r w:rsidRPr="00C60578">
        <w:rPr>
          <w:szCs w:val="21"/>
        </w:rPr>
        <w:t>34</w:t>
      </w:r>
      <w:r w:rsidRPr="00CF07C2">
        <w:rPr>
          <w:rStyle w:val="Superscript"/>
        </w:rPr>
        <w:t>th</w:t>
      </w:r>
      <w:r w:rsidRPr="00C60578">
        <w:t xml:space="preserve"> IGC Organising Committee and put together the </w:t>
      </w:r>
      <w:r w:rsidRPr="00C60578">
        <w:rPr>
          <w:szCs w:val="21"/>
        </w:rPr>
        <w:t>34</w:t>
      </w:r>
      <w:r w:rsidRPr="00CF07C2">
        <w:rPr>
          <w:rStyle w:val="Superscript"/>
        </w:rPr>
        <w:t>th</w:t>
      </w:r>
      <w:r w:rsidRPr="00C60578">
        <w:t xml:space="preserve"> IGC Social Media Plan, which was presented to the 2012 GA Graduate Cohort in early April for implementation. Rowland were available for advise as needed and managed the social media accounts in the week leading up to and during the conference. Managing of the accounts ended on 24 August 2012.</w:t>
      </w:r>
    </w:p>
    <w:p w:rsidR="00C93401" w:rsidRPr="00C60578" w:rsidRDefault="00C93401" w:rsidP="00C93401">
      <w:pPr>
        <w:pStyle w:val="BodyText"/>
      </w:pPr>
      <w:r w:rsidRPr="00C60578">
        <w:t xml:space="preserve">The </w:t>
      </w:r>
      <w:r w:rsidRPr="00C60578">
        <w:rPr>
          <w:szCs w:val="21"/>
        </w:rPr>
        <w:t>34</w:t>
      </w:r>
      <w:r w:rsidRPr="00CF07C2">
        <w:rPr>
          <w:rStyle w:val="Superscript"/>
        </w:rPr>
        <w:t>th</w:t>
      </w:r>
      <w:r w:rsidRPr="00C60578">
        <w:t xml:space="preserve"> IGC Twitter and Facebook accounts were managed by two people every business day who acted in the roles of Content Manager and Content Support. These roles had the following responsibilities:</w:t>
      </w:r>
    </w:p>
    <w:p w:rsidR="00C93401" w:rsidRPr="00C60578" w:rsidRDefault="00C93401" w:rsidP="00C93401">
      <w:pPr>
        <w:pStyle w:val="BodyText"/>
        <w:rPr>
          <w:rStyle w:val="Bodytextitalic"/>
        </w:rPr>
      </w:pPr>
      <w:r w:rsidRPr="00C60578">
        <w:rPr>
          <w:rStyle w:val="Bodytextitalic"/>
        </w:rPr>
        <w:t>Content Manager</w:t>
      </w:r>
    </w:p>
    <w:p w:rsidR="00C93401" w:rsidRPr="00C60578" w:rsidRDefault="00C93401" w:rsidP="00C93401">
      <w:pPr>
        <w:pStyle w:val="Bulletlevel1"/>
      </w:pPr>
      <w:r w:rsidRPr="00C60578">
        <w:t>Manage external communication to engage with the social network;</w:t>
      </w:r>
    </w:p>
    <w:p w:rsidR="00C93401" w:rsidRPr="00C60578" w:rsidRDefault="00C93401" w:rsidP="00C93401">
      <w:pPr>
        <w:pStyle w:val="Bulletlevel1"/>
      </w:pPr>
      <w:r w:rsidRPr="00C60578">
        <w:lastRenderedPageBreak/>
        <w:t>Train Content Support;</w:t>
      </w:r>
    </w:p>
    <w:p w:rsidR="00C93401" w:rsidRPr="00C60578" w:rsidRDefault="00C93401" w:rsidP="00C93401">
      <w:pPr>
        <w:pStyle w:val="Bulletlevel1"/>
      </w:pPr>
      <w:r w:rsidRPr="00C60578">
        <w:t>Update Facebook at minimum once, at maximum three times a day and Twitter at least three times a day;</w:t>
      </w:r>
    </w:p>
    <w:p w:rsidR="00C93401" w:rsidRPr="00C60578" w:rsidRDefault="00C93401" w:rsidP="00C93401">
      <w:pPr>
        <w:pStyle w:val="Bulletlevel1"/>
      </w:pPr>
      <w:r w:rsidRPr="00C60578">
        <w:t>Respond to posts and comments within one business day;</w:t>
      </w:r>
    </w:p>
    <w:p w:rsidR="00C93401" w:rsidRPr="00C60578" w:rsidRDefault="00C93401" w:rsidP="00C93401">
      <w:pPr>
        <w:pStyle w:val="Bulletlevel1"/>
      </w:pPr>
      <w:r w:rsidRPr="00C60578">
        <w:t>Search for relevant and up-to-date content</w:t>
      </w:r>
      <w:r w:rsidR="00602511">
        <w:t>;</w:t>
      </w:r>
      <w:r w:rsidRPr="00C60578">
        <w:t xml:space="preserve"> and</w:t>
      </w:r>
      <w:r w:rsidR="00602511">
        <w:t>,</w:t>
      </w:r>
    </w:p>
    <w:p w:rsidR="00C93401" w:rsidRPr="00C60578" w:rsidRDefault="00C93401" w:rsidP="00C93401">
      <w:pPr>
        <w:pStyle w:val="Bulletlevel1"/>
      </w:pPr>
      <w:r w:rsidRPr="00C60578">
        <w:t xml:space="preserve">Identify influential stakeholders and contact them through social media channels to support the </w:t>
      </w:r>
      <w:r w:rsidRPr="00C60578">
        <w:rPr>
          <w:szCs w:val="21"/>
        </w:rPr>
        <w:t>34</w:t>
      </w:r>
      <w:r w:rsidRPr="00CF07C2">
        <w:rPr>
          <w:rStyle w:val="Superscript"/>
        </w:rPr>
        <w:t>th</w:t>
      </w:r>
      <w:r w:rsidRPr="00C60578">
        <w:t xml:space="preserve"> IGC.</w:t>
      </w:r>
    </w:p>
    <w:p w:rsidR="00C93401" w:rsidRPr="00C60578" w:rsidRDefault="00C93401" w:rsidP="00C93401">
      <w:pPr>
        <w:pStyle w:val="BodyText"/>
        <w:rPr>
          <w:rStyle w:val="Bodytextitalic"/>
        </w:rPr>
      </w:pPr>
      <w:r w:rsidRPr="00C60578">
        <w:rPr>
          <w:rStyle w:val="Bodytextitalic"/>
        </w:rPr>
        <w:t>Content Support</w:t>
      </w:r>
    </w:p>
    <w:p w:rsidR="00C93401" w:rsidRPr="00C60578" w:rsidRDefault="00C93401" w:rsidP="00C93401">
      <w:pPr>
        <w:pStyle w:val="Bulletlevel1"/>
      </w:pPr>
      <w:r w:rsidRPr="00C60578">
        <w:t>Manage monitoring and reporting on social media;</w:t>
      </w:r>
    </w:p>
    <w:p w:rsidR="00C93401" w:rsidRPr="00C60578" w:rsidRDefault="00C93401" w:rsidP="00C93401">
      <w:pPr>
        <w:pStyle w:val="Bulletlevel1"/>
      </w:pPr>
      <w:r w:rsidRPr="00C60578">
        <w:t xml:space="preserve">Use Facebook search to monitor public posts about the </w:t>
      </w:r>
      <w:r w:rsidRPr="00C60578">
        <w:rPr>
          <w:szCs w:val="21"/>
        </w:rPr>
        <w:t>34</w:t>
      </w:r>
      <w:r w:rsidRPr="00CF07C2">
        <w:rPr>
          <w:rStyle w:val="Superscript"/>
        </w:rPr>
        <w:t>th</w:t>
      </w:r>
      <w:r w:rsidRPr="00C60578">
        <w:t xml:space="preserve"> IGC;</w:t>
      </w:r>
    </w:p>
    <w:p w:rsidR="00C93401" w:rsidRPr="00C60578" w:rsidRDefault="00C93401" w:rsidP="00C93401">
      <w:pPr>
        <w:pStyle w:val="Bulletlevel1"/>
      </w:pPr>
      <w:r w:rsidRPr="00C60578">
        <w:t xml:space="preserve">Use Twitter advanced search to monitor tweets about the </w:t>
      </w:r>
      <w:r w:rsidRPr="00C60578">
        <w:rPr>
          <w:szCs w:val="21"/>
        </w:rPr>
        <w:t>34</w:t>
      </w:r>
      <w:r w:rsidRPr="00CF07C2">
        <w:rPr>
          <w:rStyle w:val="Superscript"/>
        </w:rPr>
        <w:t>th</w:t>
      </w:r>
      <w:r w:rsidRPr="00C60578">
        <w:t xml:space="preserve"> IGC;</w:t>
      </w:r>
    </w:p>
    <w:p w:rsidR="00C93401" w:rsidRPr="00C60578" w:rsidRDefault="00C93401" w:rsidP="00C93401">
      <w:pPr>
        <w:pStyle w:val="Bulletlevel1"/>
      </w:pPr>
      <w:r w:rsidRPr="00C60578">
        <w:t>Search keywords on Social Mention;</w:t>
      </w:r>
    </w:p>
    <w:p w:rsidR="00C93401" w:rsidRPr="00C60578" w:rsidRDefault="00C93401" w:rsidP="00C93401">
      <w:pPr>
        <w:pStyle w:val="Bulletlevel1"/>
      </w:pPr>
      <w:r w:rsidRPr="00C60578">
        <w:t>Complete the weekly</w:t>
      </w:r>
      <w:r w:rsidR="00D945E8">
        <w:t xml:space="preserve"> social media monitoring report</w:t>
      </w:r>
      <w:r w:rsidR="00602511">
        <w:t>;</w:t>
      </w:r>
      <w:r w:rsidRPr="00C60578">
        <w:t xml:space="preserve"> and</w:t>
      </w:r>
      <w:r w:rsidR="00602511">
        <w:t>,</w:t>
      </w:r>
    </w:p>
    <w:p w:rsidR="00C93401" w:rsidRPr="00C60578" w:rsidRDefault="00C93401" w:rsidP="00C93401">
      <w:pPr>
        <w:pStyle w:val="Bulletlevel1"/>
      </w:pPr>
      <w:r w:rsidRPr="00C60578">
        <w:t>Export the weekly statistics from Facebook Insights.</w:t>
      </w:r>
    </w:p>
    <w:p w:rsidR="00C93401" w:rsidRPr="00C60578" w:rsidRDefault="00C93401" w:rsidP="00C93401">
      <w:pPr>
        <w:pStyle w:val="BodyText"/>
      </w:pPr>
      <w:r w:rsidRPr="00C60578">
        <w:t>Both the Content Manager and the Content Support were expected to spend 30 minutes each rostered day to complete the responsibilities outlined above. However, it was found that the Content Support person spent 10 minutes a day on the tasks and the Content Manager spent 60 to 90 minutes a day, depending on the person and working style.</w:t>
      </w:r>
    </w:p>
    <w:p w:rsidR="00C93401" w:rsidRDefault="00C93401" w:rsidP="00C93401">
      <w:pPr>
        <w:pStyle w:val="Heading3"/>
      </w:pPr>
      <w:bookmarkStart w:id="241" w:name="_Ref337104128"/>
      <w:bookmarkStart w:id="242" w:name="_Ref337104256"/>
      <w:bookmarkStart w:id="243" w:name="_Toc337721589"/>
      <w:bookmarkStart w:id="244" w:name="_Toc353282054"/>
      <w:bookmarkStart w:id="245" w:name="_Toc355274268"/>
      <w:r>
        <w:t>Social Media Page Content</w:t>
      </w:r>
      <w:bookmarkEnd w:id="241"/>
      <w:bookmarkEnd w:id="242"/>
      <w:bookmarkEnd w:id="243"/>
      <w:bookmarkEnd w:id="244"/>
      <w:bookmarkEnd w:id="245"/>
    </w:p>
    <w:p w:rsidR="00C93401" w:rsidRPr="00C60578" w:rsidRDefault="00C93401" w:rsidP="00C93401">
      <w:pPr>
        <w:pStyle w:val="BodyText"/>
      </w:pPr>
      <w:r w:rsidRPr="00C60578">
        <w:t xml:space="preserve">The Content Manager was responsible for finding and posting content each day on the social media sites. An explanation of how this was achieved is given in Appendix Five. Content on the social media pages included general </w:t>
      </w:r>
      <w:r w:rsidR="004E7FC8" w:rsidRPr="00C60578">
        <w:t>housekeeping</w:t>
      </w:r>
      <w:r w:rsidRPr="00C60578">
        <w:t xml:space="preserve"> messages, such as:</w:t>
      </w:r>
    </w:p>
    <w:p w:rsidR="00C93401" w:rsidRPr="00C60578" w:rsidRDefault="00C93401" w:rsidP="00C93401">
      <w:pPr>
        <w:pStyle w:val="Bulletlevel1"/>
      </w:pPr>
      <w:r w:rsidRPr="00C60578">
        <w:t>Registration deadlines;</w:t>
      </w:r>
    </w:p>
    <w:p w:rsidR="00C93401" w:rsidRPr="00C60578" w:rsidRDefault="00C93401" w:rsidP="00C93401">
      <w:pPr>
        <w:pStyle w:val="Bulletlevel1"/>
      </w:pPr>
      <w:r w:rsidRPr="00C60578">
        <w:t>Information and biographies of the plenary speakers;</w:t>
      </w:r>
    </w:p>
    <w:p w:rsidR="00C93401" w:rsidRPr="00C60578" w:rsidRDefault="00C93401" w:rsidP="00C93401">
      <w:pPr>
        <w:pStyle w:val="Bulletlevel1"/>
      </w:pPr>
      <w:r w:rsidRPr="00C60578">
        <w:t>Abstract updates; industry related issues;</w:t>
      </w:r>
    </w:p>
    <w:p w:rsidR="00C93401" w:rsidRPr="00C60578" w:rsidRDefault="00C93401" w:rsidP="00C93401">
      <w:pPr>
        <w:pStyle w:val="Bulletlevel1"/>
      </w:pPr>
      <w:r w:rsidRPr="00C60578">
        <w:t>General scientific news</w:t>
      </w:r>
      <w:r w:rsidR="00602511">
        <w:t>;</w:t>
      </w:r>
      <w:r w:rsidRPr="00C60578">
        <w:t xml:space="preserve"> and</w:t>
      </w:r>
      <w:r w:rsidR="00602511">
        <w:t>,</w:t>
      </w:r>
    </w:p>
    <w:p w:rsidR="00C93401" w:rsidRPr="00C60578" w:rsidRDefault="00C93401" w:rsidP="00C93401">
      <w:pPr>
        <w:pStyle w:val="Bulletlevel1"/>
      </w:pPr>
      <w:r w:rsidRPr="00C60578">
        <w:rPr>
          <w:szCs w:val="21"/>
        </w:rPr>
        <w:t>34</w:t>
      </w:r>
      <w:r w:rsidRPr="00CF07C2">
        <w:rPr>
          <w:rStyle w:val="Superscript"/>
        </w:rPr>
        <w:t>th</w:t>
      </w:r>
      <w:r w:rsidRPr="00C60578">
        <w:t xml:space="preserve"> IGC field trip promotion.</w:t>
      </w:r>
    </w:p>
    <w:p w:rsidR="00C93401" w:rsidRPr="00C60578" w:rsidRDefault="00C93401" w:rsidP="00C93401">
      <w:pPr>
        <w:pStyle w:val="BodyText"/>
      </w:pPr>
      <w:r w:rsidRPr="00C60578">
        <w:t xml:space="preserve">General housekeeping and conference administration messages were provided by the </w:t>
      </w:r>
      <w:r w:rsidRPr="00C60578">
        <w:rPr>
          <w:szCs w:val="21"/>
        </w:rPr>
        <w:t>34</w:t>
      </w:r>
      <w:r w:rsidRPr="00CF07C2">
        <w:rPr>
          <w:rStyle w:val="Superscript"/>
        </w:rPr>
        <w:t>th</w:t>
      </w:r>
      <w:r w:rsidRPr="00C60578">
        <w:t xml:space="preserve"> IGC Organising Committee but were posted sparingly to avoid spamming followers with information that they could easily find themselves.</w:t>
      </w:r>
    </w:p>
    <w:p w:rsidR="00C93401" w:rsidRPr="00C60578" w:rsidRDefault="00C93401" w:rsidP="00C93401">
      <w:pPr>
        <w:pStyle w:val="BodyText"/>
      </w:pPr>
      <w:r w:rsidRPr="00C60578">
        <w:t xml:space="preserve">The main type of information posted on both sites was scientific and geological news. Google Alerts and Google Reader were used as preliminary tools for searching and finding relevant and interesting topics. This allows the user to define search terms in Google Alerts, and when terms are mentioned or used on the internet an alert is sent to Google Reader. Google Alerts currently offers six variations of alerts: news, web, blog, comprehensive, video and groups. The advantage of using such a system is that the user does not need to redefine the search terms each day, and can track key topics over an extended period of time. This allowed new stories or media coverage of the </w:t>
      </w:r>
      <w:r w:rsidRPr="00C60578">
        <w:rPr>
          <w:szCs w:val="21"/>
        </w:rPr>
        <w:t>34</w:t>
      </w:r>
      <w:r w:rsidRPr="00CF07C2">
        <w:rPr>
          <w:rStyle w:val="Superscript"/>
        </w:rPr>
        <w:t>th</w:t>
      </w:r>
      <w:r w:rsidRPr="00C60578">
        <w:t xml:space="preserve"> IGC and plenary speakers to be identified and available immediately for the Content Manager.</w:t>
      </w:r>
    </w:p>
    <w:p w:rsidR="00C93401" w:rsidRPr="00C60578" w:rsidRDefault="00C93401" w:rsidP="00C93401">
      <w:pPr>
        <w:pStyle w:val="BodyText"/>
      </w:pPr>
      <w:r w:rsidRPr="00C60578">
        <w:lastRenderedPageBreak/>
        <w:t xml:space="preserve">It was decided that two of the field trips associated with the </w:t>
      </w:r>
      <w:r w:rsidRPr="00C60578">
        <w:rPr>
          <w:szCs w:val="21"/>
        </w:rPr>
        <w:t>34</w:t>
      </w:r>
      <w:r w:rsidRPr="00CF07C2">
        <w:rPr>
          <w:rStyle w:val="Superscript"/>
        </w:rPr>
        <w:t>th</w:t>
      </w:r>
      <w:r w:rsidRPr="00C60578">
        <w:t xml:space="preserve"> IGC would be advertised each week on the social media sites to promote registration until it closed. Field trips were advertised at the beginning and end of each week by posting a photograph and description to encourage participation by followers and fans. Additionally, to promote interaction from fans on the Facebook page a photograph competition was initiated and hosted. It was titled </w:t>
      </w:r>
      <w:r w:rsidRPr="00C60578">
        <w:rPr>
          <w:rStyle w:val="Bodytextitalic"/>
        </w:rPr>
        <w:t>Post your Favourite Geoscience Photograph</w:t>
      </w:r>
      <w:r w:rsidRPr="00C60578">
        <w:t xml:space="preserve"> and participants were encouraged to post photographs of geoscience related phenomena. A weekly winner was selected and an overall winner was chosen by the president of the </w:t>
      </w:r>
      <w:r w:rsidRPr="00C60578">
        <w:rPr>
          <w:szCs w:val="21"/>
        </w:rPr>
        <w:t>34</w:t>
      </w:r>
      <w:r w:rsidRPr="00CF07C2">
        <w:rPr>
          <w:rStyle w:val="Superscript"/>
        </w:rPr>
        <w:t>th</w:t>
      </w:r>
      <w:r w:rsidRPr="00C60578">
        <w:t xml:space="preserve"> IGC, Dr Neil Williams, and awarded a copy of the </w:t>
      </w:r>
      <w:r w:rsidRPr="00C60578">
        <w:rPr>
          <w:szCs w:val="21"/>
        </w:rPr>
        <w:t>34</w:t>
      </w:r>
      <w:r w:rsidRPr="00CF07C2">
        <w:rPr>
          <w:rStyle w:val="Superscript"/>
        </w:rPr>
        <w:t>th</w:t>
      </w:r>
      <w:r w:rsidRPr="00C60578">
        <w:t xml:space="preserve"> IGC book (Section </w:t>
      </w:r>
      <w:r w:rsidRPr="00C60578">
        <w:fldChar w:fldCharType="begin"/>
      </w:r>
      <w:r w:rsidRPr="00C60578">
        <w:instrText xml:space="preserve"> REF _Ref338861751 \r \h </w:instrText>
      </w:r>
      <w:r>
        <w:instrText xml:space="preserve"> \* MERGEFORMAT </w:instrText>
      </w:r>
      <w:r w:rsidRPr="00C60578">
        <w:fldChar w:fldCharType="separate"/>
      </w:r>
      <w:r w:rsidR="00EB5AC4">
        <w:t>3.5.1</w:t>
      </w:r>
      <w:r w:rsidRPr="00C60578">
        <w:fldChar w:fldCharType="end"/>
      </w:r>
      <w:r w:rsidRPr="00C60578">
        <w:t xml:space="preserve">). A secondary competition was run where fans were encouraged to post photographs of the </w:t>
      </w:r>
      <w:r w:rsidRPr="00C60578">
        <w:rPr>
          <w:szCs w:val="21"/>
        </w:rPr>
        <w:t>34</w:t>
      </w:r>
      <w:r w:rsidRPr="00CF07C2">
        <w:rPr>
          <w:rStyle w:val="Superscript"/>
        </w:rPr>
        <w:t>th</w:t>
      </w:r>
      <w:r w:rsidRPr="00C60578">
        <w:t xml:space="preserve"> IGC tie/scarf and an overall winner was again selected by Dr Williams and presented with a copy of the </w:t>
      </w:r>
      <w:r w:rsidRPr="00C60578">
        <w:rPr>
          <w:szCs w:val="21"/>
        </w:rPr>
        <w:t>34</w:t>
      </w:r>
      <w:r w:rsidRPr="00CF07C2">
        <w:rPr>
          <w:rStyle w:val="Superscript"/>
        </w:rPr>
        <w:t>th</w:t>
      </w:r>
      <w:r w:rsidRPr="00C60578">
        <w:t xml:space="preserve"> IGC book. The second competition was not as popular, probably due to the limited availability of </w:t>
      </w:r>
      <w:r w:rsidRPr="00C60578">
        <w:rPr>
          <w:szCs w:val="21"/>
        </w:rPr>
        <w:t>34</w:t>
      </w:r>
      <w:r w:rsidRPr="00CF07C2">
        <w:rPr>
          <w:rStyle w:val="Superscript"/>
        </w:rPr>
        <w:t>th</w:t>
      </w:r>
      <w:r w:rsidRPr="00C60578">
        <w:t xml:space="preserve"> IGC ties and scarfs.</w:t>
      </w:r>
    </w:p>
    <w:p w:rsidR="00C93401" w:rsidRPr="00C60578" w:rsidRDefault="00C93401" w:rsidP="00C93401">
      <w:pPr>
        <w:pStyle w:val="BodyText"/>
      </w:pPr>
      <w:r w:rsidRPr="00C60578">
        <w:t xml:space="preserve">Although the content posted on Twitter and Facebook pages was very similar, the format of the information posted was quite different due to the varied nature of the social media platforms. The differences are described in more detail in Appendix Five. It should also be noted that during the conference, when Rowland was managing the pages, the focus the social media changed from driving awareness of geology to posting content that is known to drive traditional media exposure. </w:t>
      </w:r>
    </w:p>
    <w:p w:rsidR="00C93401" w:rsidRPr="007B4490" w:rsidRDefault="00C93401" w:rsidP="00C93401">
      <w:pPr>
        <w:pStyle w:val="Heading4"/>
      </w:pPr>
      <w:bookmarkStart w:id="246" w:name="_Ref337103181"/>
      <w:bookmarkStart w:id="247" w:name="_Toc337721591"/>
      <w:bookmarkStart w:id="248" w:name="_Toc355274269"/>
      <w:r w:rsidRPr="007B4490">
        <w:t>Hootsuite</w:t>
      </w:r>
      <w:bookmarkEnd w:id="246"/>
      <w:bookmarkEnd w:id="247"/>
      <w:bookmarkEnd w:id="248"/>
    </w:p>
    <w:p w:rsidR="00C93401" w:rsidRPr="00C60578" w:rsidRDefault="00C93401" w:rsidP="00C93401">
      <w:pPr>
        <w:pStyle w:val="BodyText"/>
      </w:pPr>
      <w:r w:rsidRPr="00C60578">
        <w:t>Hootsuite is a free online social media dashboard and management tool (</w:t>
      </w:r>
      <w:hyperlink r:id="rId35" w:tooltip="Link to the Hoot Suite website." w:history="1">
        <w:r w:rsidRPr="00C60578">
          <w:rPr>
            <w:rStyle w:val="Hyperlink"/>
          </w:rPr>
          <w:t>http://hootsuite.com/</w:t>
        </w:r>
      </w:hyperlink>
      <w:r w:rsidRPr="00C60578">
        <w:t>). It allows users to integrate and manage their social media accounts supporting, multiple social media platforms: Facebook, Twitter, LinkedIn, Google+, Foursquare, Mixi, Myspace, Ping.fm and WordPress (Hootsuite, 2012).</w:t>
      </w:r>
    </w:p>
    <w:p w:rsidR="00C93401" w:rsidRPr="00C60578" w:rsidRDefault="00C93401" w:rsidP="00C93401">
      <w:pPr>
        <w:pStyle w:val="BodyText"/>
      </w:pPr>
      <w:r w:rsidRPr="00C60578">
        <w:t xml:space="preserve">An account was started for the </w:t>
      </w:r>
      <w:r w:rsidRPr="00C60578">
        <w:rPr>
          <w:szCs w:val="21"/>
        </w:rPr>
        <w:t>34</w:t>
      </w:r>
      <w:r w:rsidRPr="00CF07C2">
        <w:rPr>
          <w:rStyle w:val="Superscript"/>
        </w:rPr>
        <w:t>th</w:t>
      </w:r>
      <w:r w:rsidRPr="00C60578">
        <w:t xml:space="preserve"> IGC to help with the content management and monitoring of the Twitter account. Hootsuite allowed the scheduling of tweets and retweets along with the capability to alter the tweets before they are retweeted (</w:t>
      </w:r>
      <w:r w:rsidRPr="00C60578">
        <w:fldChar w:fldCharType="begin"/>
      </w:r>
      <w:r w:rsidRPr="00C60578">
        <w:instrText xml:space="preserve"> REF _Ref338168105 \h  \* MERGEFORMAT </w:instrText>
      </w:r>
      <w:r w:rsidRPr="00C60578">
        <w:fldChar w:fldCharType="separate"/>
      </w:r>
      <w:r w:rsidR="00EB5AC4" w:rsidRPr="00EB5AC4">
        <w:t>Figure 4.3</w:t>
      </w:r>
      <w:r w:rsidRPr="00C60578">
        <w:fldChar w:fldCharType="end"/>
      </w:r>
      <w:r w:rsidRPr="00C60578">
        <w:t>). This meant that the official 34</w:t>
      </w:r>
      <w:r w:rsidRPr="00CF07C2">
        <w:rPr>
          <w:rStyle w:val="Superscript"/>
        </w:rPr>
        <w:t>th</w:t>
      </w:r>
      <w:r w:rsidRPr="00C60578">
        <w:t xml:space="preserve"> IGC hashtag could be added to tweets that the content manager decided to retweet. This feature is not currently offered by Twitter. The ability to schedule tweets and retweets to be staggered throughout the day was also a useful function in Hootsuite, as it allowed the 34</w:t>
      </w:r>
      <w:r w:rsidRPr="00CF07C2">
        <w:rPr>
          <w:rStyle w:val="Superscript"/>
        </w:rPr>
        <w:t>th</w:t>
      </w:r>
      <w:r w:rsidRPr="00C60578">
        <w:t xml:space="preserve"> IGC Twitter account to be updated once a day but have the appearance of being regularly updated. This saved the Content Manager time.</w:t>
      </w:r>
    </w:p>
    <w:p w:rsidR="00C93401" w:rsidRDefault="00296658" w:rsidP="00AD0DF8">
      <w:pPr>
        <w:pStyle w:val="Figuresandimagescentred"/>
      </w:pPr>
      <w:r>
        <w:rPr>
          <w:noProof/>
        </w:rPr>
        <w:lastRenderedPageBreak/>
        <w:drawing>
          <wp:inline distT="0" distB="0" distL="0" distR="0" wp14:anchorId="74A2BD26" wp14:editId="223F53F7">
            <wp:extent cx="4800600" cy="3476625"/>
            <wp:effectExtent l="19050" t="19050" r="0" b="9525"/>
            <wp:docPr id="24" name="Picture 24" descr="Hootsuite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ootsuite Screensho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00600" cy="3476625"/>
                    </a:xfrm>
                    <a:prstGeom prst="rect">
                      <a:avLst/>
                    </a:prstGeom>
                    <a:noFill/>
                    <a:ln w="6350" cmpd="sng">
                      <a:solidFill>
                        <a:srgbClr val="000000"/>
                      </a:solidFill>
                      <a:miter lim="800000"/>
                      <a:headEnd/>
                      <a:tailEnd/>
                    </a:ln>
                    <a:effectLst/>
                  </pic:spPr>
                </pic:pic>
              </a:graphicData>
            </a:graphic>
          </wp:inline>
        </w:drawing>
      </w:r>
    </w:p>
    <w:p w:rsidR="00C93401" w:rsidRPr="005443B0" w:rsidRDefault="00C93401" w:rsidP="00C93401">
      <w:pPr>
        <w:pStyle w:val="Caption"/>
      </w:pPr>
      <w:bookmarkStart w:id="249" w:name="_Ref338168105"/>
      <w:bookmarkStart w:id="250" w:name="_Ref338168344"/>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3</w:t>
      </w:r>
      <w:r w:rsidRPr="00D27C1C">
        <w:rPr>
          <w:rStyle w:val="Strong"/>
        </w:rPr>
        <w:fldChar w:fldCharType="end"/>
      </w:r>
      <w:bookmarkEnd w:id="249"/>
      <w:r w:rsidRPr="00356CC4">
        <w:rPr>
          <w:rStyle w:val="Bold"/>
        </w:rPr>
        <w:t>:</w:t>
      </w:r>
      <w:r w:rsidRPr="003A2F94">
        <w:t xml:space="preserve"> </w:t>
      </w:r>
      <w:r w:rsidRPr="005443B0">
        <w:t>Screenshot of the Hootsuite dashboard of the 34</w:t>
      </w:r>
      <w:r w:rsidRPr="00CF07C2">
        <w:rPr>
          <w:rStyle w:val="Superscript"/>
        </w:rPr>
        <w:t>th</w:t>
      </w:r>
      <w:r>
        <w:t xml:space="preserve"> IGC Hootsuite</w:t>
      </w:r>
      <w:r w:rsidRPr="005443B0">
        <w:t xml:space="preserve"> account showing the multiple live Twitter feed used to manage the 34</w:t>
      </w:r>
      <w:r w:rsidRPr="00CF07C2">
        <w:rPr>
          <w:rStyle w:val="Superscript"/>
        </w:rPr>
        <w:t>th</w:t>
      </w:r>
      <w:r>
        <w:t xml:space="preserve"> IGC</w:t>
      </w:r>
      <w:r w:rsidRPr="005443B0">
        <w:t xml:space="preserve"> Twitter account.</w:t>
      </w:r>
      <w:r>
        <w:rPr>
          <w:noProof/>
        </w:rPr>
        <w:t xml:space="preserve"> </w:t>
      </w:r>
      <w:r w:rsidRPr="005443B0">
        <w:rPr>
          <w:noProof/>
        </w:rPr>
        <w:t>The feeds visible, from left to right are: our Sent Tweets; our Mentions; ou</w:t>
      </w:r>
      <w:r>
        <w:rPr>
          <w:noProof/>
        </w:rPr>
        <w:t>r Tweets; our tweets that have been Retweete</w:t>
      </w:r>
      <w:r w:rsidR="00602511">
        <w:rPr>
          <w:noProof/>
        </w:rPr>
        <w:t>d;</w:t>
      </w:r>
      <w:r>
        <w:rPr>
          <w:noProof/>
        </w:rPr>
        <w:t xml:space="preserve"> an</w:t>
      </w:r>
      <w:r w:rsidR="00602511">
        <w:rPr>
          <w:noProof/>
        </w:rPr>
        <w:t>d,</w:t>
      </w:r>
      <w:r>
        <w:rPr>
          <w:noProof/>
        </w:rPr>
        <w:t xml:space="preserve"> t</w:t>
      </w:r>
      <w:r w:rsidRPr="005443B0">
        <w:rPr>
          <w:noProof/>
        </w:rPr>
        <w:t>weets containing ‘#34igc’ (the official 34</w:t>
      </w:r>
      <w:r w:rsidRPr="00CF07C2">
        <w:rPr>
          <w:rStyle w:val="Superscript"/>
        </w:rPr>
        <w:t>th</w:t>
      </w:r>
      <w:r>
        <w:rPr>
          <w:noProof/>
        </w:rPr>
        <w:t xml:space="preserve"> </w:t>
      </w:r>
      <w:r w:rsidRPr="005443B0">
        <w:rPr>
          <w:noProof/>
        </w:rPr>
        <w:t>IGC hashtag).</w:t>
      </w:r>
      <w:bookmarkEnd w:id="250"/>
    </w:p>
    <w:p w:rsidR="00C93401" w:rsidRDefault="00C93401" w:rsidP="00C93401">
      <w:pPr>
        <w:pStyle w:val="Heading3"/>
      </w:pPr>
      <w:bookmarkStart w:id="251" w:name="_Toc337721593"/>
      <w:bookmarkStart w:id="252" w:name="_Toc353282055"/>
      <w:bookmarkStart w:id="253" w:name="_Toc355274270"/>
      <w:r>
        <w:t>Social Media Monitoring</w:t>
      </w:r>
      <w:bookmarkEnd w:id="251"/>
      <w:bookmarkEnd w:id="252"/>
      <w:bookmarkEnd w:id="253"/>
    </w:p>
    <w:p w:rsidR="00C93401" w:rsidRDefault="00C93401" w:rsidP="00C93401">
      <w:pPr>
        <w:pStyle w:val="BodyText"/>
      </w:pPr>
      <w:r w:rsidRPr="00C60578">
        <w:t xml:space="preserve">As set out in the </w:t>
      </w:r>
      <w:r w:rsidRPr="00C60578">
        <w:rPr>
          <w:szCs w:val="21"/>
        </w:rPr>
        <w:t>34</w:t>
      </w:r>
      <w:r w:rsidRPr="00CF07C2">
        <w:rPr>
          <w:rStyle w:val="Superscript"/>
        </w:rPr>
        <w:t>th</w:t>
      </w:r>
      <w:r w:rsidRPr="00C60578">
        <w:t xml:space="preserve"> IGC Social Media Plan, the person in the Content Support role monitored the Twitter and Facebook pages each working day. Content Support reported on the pages by filling in a table once daily for the preceding 24 hours, or preceding 72 hours if monitoring on a Monday to account for the weekend (</w:t>
      </w:r>
      <w:r w:rsidRPr="00C60578">
        <w:fldChar w:fldCharType="begin"/>
      </w:r>
      <w:r w:rsidRPr="00C60578">
        <w:instrText xml:space="preserve"> REF _Ref338168187 \h  \* MERGEFORMAT </w:instrText>
      </w:r>
      <w:r w:rsidRPr="00C60578">
        <w:fldChar w:fldCharType="separate"/>
      </w:r>
      <w:r w:rsidR="00AC2B07" w:rsidRPr="00AC2B07">
        <w:t>Table 4.2</w:t>
      </w:r>
      <w:r w:rsidRPr="00C60578">
        <w:fldChar w:fldCharType="end"/>
      </w:r>
      <w:r w:rsidRPr="00C60578">
        <w:t>). The differences in the monitoring of Facebook and Twitter accounts are described in more detail in Appendix Five.</w:t>
      </w:r>
    </w:p>
    <w:p w:rsidR="00C93401" w:rsidRDefault="00C93401" w:rsidP="00C93401">
      <w:pPr>
        <w:pStyle w:val="Heading3"/>
      </w:pPr>
      <w:bookmarkStart w:id="254" w:name="_Toc337721596"/>
      <w:bookmarkStart w:id="255" w:name="_Toc353282056"/>
      <w:bookmarkStart w:id="256" w:name="_Toc355274271"/>
      <w:r>
        <w:t>Advertising</w:t>
      </w:r>
      <w:bookmarkEnd w:id="254"/>
      <w:bookmarkEnd w:id="255"/>
      <w:bookmarkEnd w:id="256"/>
    </w:p>
    <w:p w:rsidR="00AC2B07" w:rsidRPr="00C60578" w:rsidRDefault="00C93401" w:rsidP="00C93401">
      <w:pPr>
        <w:pStyle w:val="BodyText"/>
      </w:pPr>
      <w:r w:rsidRPr="00C60578">
        <w:t xml:space="preserve">It was recognised that is was critical to advertise the Twitter and Facebook pages of the </w:t>
      </w:r>
      <w:r w:rsidRPr="00C60578">
        <w:rPr>
          <w:szCs w:val="21"/>
        </w:rPr>
        <w:t>34</w:t>
      </w:r>
      <w:r w:rsidRPr="00CF07C2">
        <w:rPr>
          <w:rStyle w:val="Superscript"/>
        </w:rPr>
        <w:t>th</w:t>
      </w:r>
      <w:r w:rsidRPr="00C60578">
        <w:t xml:space="preserve"> IGC in order to raise awareness of the pages and develop a fan base. Many people were extensively consulted in order to produce and distribute the advertisements including, members of the </w:t>
      </w:r>
      <w:r w:rsidRPr="00C60578">
        <w:rPr>
          <w:szCs w:val="21"/>
        </w:rPr>
        <w:t>34</w:t>
      </w:r>
      <w:r w:rsidRPr="00CF07C2">
        <w:rPr>
          <w:rStyle w:val="Superscript"/>
        </w:rPr>
        <w:t>th</w:t>
      </w:r>
      <w:r w:rsidRPr="00C60578">
        <w:t xml:space="preserve"> IGC Organising Committee, Carillon Conference Management (CCM) and Rowland, which involved a lot of time and resources. </w:t>
      </w:r>
      <w:r w:rsidRPr="00C60578">
        <w:fldChar w:fldCharType="begin"/>
      </w:r>
      <w:r w:rsidRPr="00C60578">
        <w:instrText xml:space="preserve"> REF _Ref339529976 \h  \* MERGEFORMAT </w:instrText>
      </w:r>
      <w:r w:rsidRPr="00C60578">
        <w:fldChar w:fldCharType="separate"/>
      </w:r>
      <w:r w:rsidR="00EB5AC4" w:rsidRPr="00EB5AC4">
        <w:t>Table 4.3</w:t>
      </w:r>
      <w:r w:rsidRPr="00C60578">
        <w:fldChar w:fldCharType="end"/>
      </w:r>
      <w:r w:rsidRPr="00C60578">
        <w:t xml:space="preserve"> describes the advertising produced for the social media pages and </w:t>
      </w:r>
      <w:r w:rsidRPr="00C60578">
        <w:fldChar w:fldCharType="begin"/>
      </w:r>
      <w:r w:rsidRPr="00C60578">
        <w:instrText xml:space="preserve"> REF _Ref338168730 \h  \* MERGEFORMAT </w:instrText>
      </w:r>
      <w:r w:rsidRPr="00C60578">
        <w:fldChar w:fldCharType="separate"/>
      </w:r>
      <w:r w:rsidR="00EB5AC4" w:rsidRPr="00EB5AC4">
        <w:t>Figure 4.4</w:t>
      </w:r>
      <w:r w:rsidRPr="00C60578">
        <w:fldChar w:fldCharType="end"/>
      </w:r>
      <w:r w:rsidRPr="00C60578">
        <w:t xml:space="preserve"> is an example of one of the advertisements.</w:t>
      </w:r>
    </w:p>
    <w:p w:rsidR="00C93401" w:rsidRDefault="00C93401" w:rsidP="00C93401">
      <w:pPr>
        <w:pStyle w:val="Tabletitle"/>
      </w:pPr>
      <w:bookmarkStart w:id="257" w:name="_Ref338168187"/>
      <w:r w:rsidRPr="00356CC4">
        <w:rPr>
          <w:rStyle w:val="Bold"/>
        </w:rPr>
        <w:lastRenderedPageBreak/>
        <w:t xml:space="preserve">Table </w:t>
      </w:r>
      <w:r w:rsidR="004E7FC8">
        <w:rPr>
          <w:rStyle w:val="Bold"/>
        </w:rPr>
        <w:fldChar w:fldCharType="begin"/>
      </w:r>
      <w:r w:rsidR="004E7FC8">
        <w:rPr>
          <w:rStyle w:val="Bold"/>
        </w:rPr>
        <w:instrText xml:space="preserve"> STYLEREF 1 \s </w:instrText>
      </w:r>
      <w:r w:rsidR="004E7FC8">
        <w:rPr>
          <w:rStyle w:val="Bold"/>
        </w:rPr>
        <w:fldChar w:fldCharType="separate"/>
      </w:r>
      <w:r w:rsidR="004E7FC8">
        <w:rPr>
          <w:rStyle w:val="Bold"/>
          <w:noProof/>
        </w:rPr>
        <w:t>4</w:t>
      </w:r>
      <w:r w:rsidR="004E7FC8">
        <w:rPr>
          <w:rStyle w:val="Bold"/>
        </w:rPr>
        <w:fldChar w:fldCharType="end"/>
      </w:r>
      <w:r w:rsidR="004E7FC8">
        <w:rPr>
          <w:rStyle w:val="Bold"/>
        </w:rPr>
        <w:t>.</w:t>
      </w:r>
      <w:r w:rsidR="004E7FC8">
        <w:rPr>
          <w:rStyle w:val="Bold"/>
        </w:rPr>
        <w:fldChar w:fldCharType="begin"/>
      </w:r>
      <w:r w:rsidR="004E7FC8">
        <w:rPr>
          <w:rStyle w:val="Bold"/>
        </w:rPr>
        <w:instrText xml:space="preserve"> SEQ Table \* ARABIC \s 1 </w:instrText>
      </w:r>
      <w:r w:rsidR="004E7FC8">
        <w:rPr>
          <w:rStyle w:val="Bold"/>
        </w:rPr>
        <w:fldChar w:fldCharType="separate"/>
      </w:r>
      <w:r w:rsidR="004E7FC8">
        <w:rPr>
          <w:rStyle w:val="Bold"/>
          <w:noProof/>
        </w:rPr>
        <w:t>2</w:t>
      </w:r>
      <w:r w:rsidR="004E7FC8">
        <w:rPr>
          <w:rStyle w:val="Bold"/>
        </w:rPr>
        <w:fldChar w:fldCharType="end"/>
      </w:r>
      <w:bookmarkEnd w:id="257"/>
      <w:r w:rsidRPr="00356CC4">
        <w:rPr>
          <w:rStyle w:val="Bold"/>
        </w:rPr>
        <w:t>:</w:t>
      </w:r>
      <w:r w:rsidRPr="005443B0">
        <w:t xml:space="preserve"> The</w:t>
      </w:r>
      <w:r w:rsidRPr="008D2CA0">
        <w:rPr>
          <w:szCs w:val="21"/>
        </w:rPr>
        <w:t>34</w:t>
      </w:r>
      <w:r w:rsidRPr="00CF07C2">
        <w:rPr>
          <w:rStyle w:val="Superscript"/>
        </w:rPr>
        <w:t>th</w:t>
      </w:r>
      <w:r w:rsidRPr="005443B0">
        <w:t xml:space="preserve"> IGC</w:t>
      </w:r>
      <w:r w:rsidR="00082BA8">
        <w:t xml:space="preserve"> Social Media monitoring report. </w:t>
      </w:r>
      <w:r w:rsidR="00082BA8" w:rsidRPr="00082BA8">
        <w:t>Week Twelve (23/6/12)</w:t>
      </w:r>
    </w:p>
    <w:p w:rsidR="00082BA8" w:rsidRPr="00082BA8" w:rsidRDefault="00082BA8" w:rsidP="00082BA8">
      <w:pPr>
        <w:pStyle w:val="BodyText"/>
      </w:pPr>
      <w:r>
        <w:rPr>
          <w:noProof/>
        </w:rPr>
        <w:drawing>
          <wp:inline distT="0" distB="0" distL="0" distR="0" wp14:anchorId="74961A18" wp14:editId="3D740C45">
            <wp:extent cx="1038225" cy="1019175"/>
            <wp:effectExtent l="0" t="0" r="9525" b="9525"/>
            <wp:docPr id="4" name="Picture 1" descr="2012 International Geological Congr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38225" cy="1019175"/>
                    </a:xfrm>
                    <a:prstGeom prst="rect">
                      <a:avLst/>
                    </a:prstGeom>
                    <a:noFill/>
                    <a:ln>
                      <a:noFill/>
                    </a:ln>
                  </pic:spPr>
                </pic:pic>
              </a:graphicData>
            </a:graphic>
          </wp:inline>
        </w:drawing>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28" w:type="dxa"/>
          <w:left w:w="57" w:type="dxa"/>
          <w:bottom w:w="28" w:type="dxa"/>
          <w:right w:w="57" w:type="dxa"/>
        </w:tblCellMar>
        <w:tblLook w:val="0020" w:firstRow="1" w:lastRow="0" w:firstColumn="0" w:lastColumn="0" w:noHBand="0" w:noVBand="0"/>
        <w:tblDescription w:val="This table is a template provided as an example of the types of statistics that were collected during the social media monitoring. The template includes fields to collect daily information from Facebook (likes, posts and shares), Twitter (followers, retweets and mentions), Social Mention and also to collect information on the volume of content creation for these various profiles."/>
      </w:tblPr>
      <w:tblGrid>
        <w:gridCol w:w="3396"/>
        <w:gridCol w:w="1134"/>
        <w:gridCol w:w="1134"/>
        <w:gridCol w:w="1134"/>
        <w:gridCol w:w="1134"/>
        <w:gridCol w:w="1134"/>
      </w:tblGrid>
      <w:tr w:rsidR="00082BA8" w:rsidRPr="00157E1D" w:rsidTr="00082BA8">
        <w:trPr>
          <w:trHeight w:val="57"/>
        </w:trPr>
        <w:tc>
          <w:tcPr>
            <w:tcW w:w="0" w:type="auto"/>
            <w:shd w:val="clear" w:color="auto" w:fill="008080"/>
            <w:noWrap/>
            <w:vAlign w:val="center"/>
          </w:tcPr>
          <w:p w:rsidR="00082BA8" w:rsidRPr="00157E1D" w:rsidRDefault="00082BA8" w:rsidP="00157E1D">
            <w:pPr>
              <w:pStyle w:val="Tableheadingcentred"/>
            </w:pPr>
          </w:p>
        </w:tc>
        <w:tc>
          <w:tcPr>
            <w:tcW w:w="1134" w:type="dxa"/>
            <w:shd w:val="clear" w:color="auto" w:fill="008080"/>
            <w:noWrap/>
            <w:vAlign w:val="center"/>
          </w:tcPr>
          <w:p w:rsidR="00082BA8" w:rsidRPr="00157E1D" w:rsidRDefault="00082BA8" w:rsidP="00157E1D">
            <w:pPr>
              <w:pStyle w:val="Tableheadingcentred"/>
            </w:pPr>
            <w:r w:rsidRPr="00157E1D">
              <w:t>Monday</w:t>
            </w:r>
          </w:p>
        </w:tc>
        <w:tc>
          <w:tcPr>
            <w:tcW w:w="1134" w:type="dxa"/>
            <w:shd w:val="clear" w:color="auto" w:fill="008080"/>
            <w:noWrap/>
            <w:vAlign w:val="center"/>
          </w:tcPr>
          <w:p w:rsidR="00082BA8" w:rsidRPr="00157E1D" w:rsidRDefault="00082BA8" w:rsidP="00157E1D">
            <w:pPr>
              <w:pStyle w:val="Tableheadingcentred"/>
            </w:pPr>
            <w:r w:rsidRPr="00157E1D">
              <w:t>Tuesday</w:t>
            </w:r>
          </w:p>
        </w:tc>
        <w:tc>
          <w:tcPr>
            <w:tcW w:w="1134" w:type="dxa"/>
            <w:shd w:val="clear" w:color="auto" w:fill="008080"/>
            <w:noWrap/>
            <w:vAlign w:val="center"/>
          </w:tcPr>
          <w:p w:rsidR="00082BA8" w:rsidRPr="00157E1D" w:rsidRDefault="00082BA8" w:rsidP="00157E1D">
            <w:pPr>
              <w:pStyle w:val="Tableheadingcentred"/>
            </w:pPr>
            <w:r w:rsidRPr="00157E1D">
              <w:t>Wednesday</w:t>
            </w:r>
          </w:p>
        </w:tc>
        <w:tc>
          <w:tcPr>
            <w:tcW w:w="1134" w:type="dxa"/>
            <w:shd w:val="clear" w:color="auto" w:fill="008080"/>
            <w:noWrap/>
            <w:vAlign w:val="center"/>
          </w:tcPr>
          <w:p w:rsidR="00082BA8" w:rsidRPr="00157E1D" w:rsidRDefault="00082BA8" w:rsidP="00157E1D">
            <w:pPr>
              <w:pStyle w:val="Tableheadingcentred"/>
            </w:pPr>
            <w:r w:rsidRPr="00157E1D">
              <w:t>Thursday</w:t>
            </w:r>
          </w:p>
        </w:tc>
        <w:tc>
          <w:tcPr>
            <w:tcW w:w="1134" w:type="dxa"/>
            <w:shd w:val="clear" w:color="auto" w:fill="008080"/>
            <w:noWrap/>
            <w:vAlign w:val="center"/>
          </w:tcPr>
          <w:p w:rsidR="00082BA8" w:rsidRPr="00157E1D" w:rsidRDefault="00082BA8" w:rsidP="00157E1D">
            <w:pPr>
              <w:pStyle w:val="Tableheadingcentred"/>
            </w:pPr>
            <w:r w:rsidRPr="00157E1D">
              <w:t>Friday</w:t>
            </w:r>
          </w:p>
        </w:tc>
      </w:tr>
      <w:tr w:rsidR="00C93401" w:rsidRPr="00157E1D" w:rsidTr="00082BA8">
        <w:trPr>
          <w:trHeight w:val="57"/>
        </w:trPr>
        <w:tc>
          <w:tcPr>
            <w:tcW w:w="0" w:type="auto"/>
            <w:shd w:val="clear" w:color="auto" w:fill="33CCCC"/>
            <w:vAlign w:val="center"/>
          </w:tcPr>
          <w:p w:rsidR="00C93401" w:rsidRPr="00157E1D" w:rsidRDefault="00C93401" w:rsidP="00157E1D">
            <w:pPr>
              <w:pStyle w:val="Tableheadingleft"/>
            </w:pPr>
            <w:r w:rsidRPr="00157E1D">
              <w:t>Facebook</w:t>
            </w:r>
          </w:p>
        </w:tc>
        <w:tc>
          <w:tcPr>
            <w:tcW w:w="1134" w:type="dxa"/>
            <w:shd w:val="clear" w:color="auto" w:fill="33CCCC"/>
            <w:noWrap/>
            <w:vAlign w:val="center"/>
          </w:tcPr>
          <w:p w:rsidR="00C93401" w:rsidRPr="00157E1D" w:rsidRDefault="00C93401" w:rsidP="00157E1D">
            <w:pPr>
              <w:pStyle w:val="Tableheadingleft"/>
            </w:pPr>
            <w:r w:rsidRPr="00157E1D">
              <w:t> </w:t>
            </w:r>
          </w:p>
        </w:tc>
        <w:tc>
          <w:tcPr>
            <w:tcW w:w="1134" w:type="dxa"/>
            <w:shd w:val="clear" w:color="auto" w:fill="33CCCC"/>
            <w:noWrap/>
            <w:vAlign w:val="center"/>
          </w:tcPr>
          <w:p w:rsidR="00C93401" w:rsidRPr="00157E1D" w:rsidRDefault="00C93401" w:rsidP="00157E1D">
            <w:pPr>
              <w:pStyle w:val="Tableheadingleft"/>
            </w:pPr>
            <w:r w:rsidRPr="00157E1D">
              <w:t> </w:t>
            </w:r>
          </w:p>
        </w:tc>
        <w:tc>
          <w:tcPr>
            <w:tcW w:w="1134" w:type="dxa"/>
            <w:shd w:val="clear" w:color="auto" w:fill="33CCCC"/>
            <w:noWrap/>
            <w:vAlign w:val="center"/>
          </w:tcPr>
          <w:p w:rsidR="00C93401" w:rsidRPr="00157E1D" w:rsidRDefault="00C93401" w:rsidP="00157E1D">
            <w:pPr>
              <w:pStyle w:val="Tableheadingleft"/>
            </w:pPr>
            <w:r w:rsidRPr="00157E1D">
              <w:t> </w:t>
            </w:r>
          </w:p>
        </w:tc>
        <w:tc>
          <w:tcPr>
            <w:tcW w:w="1134" w:type="dxa"/>
            <w:shd w:val="clear" w:color="auto" w:fill="33CCCC"/>
            <w:noWrap/>
            <w:vAlign w:val="center"/>
          </w:tcPr>
          <w:p w:rsidR="00C93401" w:rsidRPr="00157E1D" w:rsidRDefault="00C93401" w:rsidP="00157E1D">
            <w:pPr>
              <w:pStyle w:val="Tableheadingleft"/>
            </w:pPr>
            <w:r w:rsidRPr="00157E1D">
              <w:t> </w:t>
            </w:r>
          </w:p>
        </w:tc>
        <w:tc>
          <w:tcPr>
            <w:tcW w:w="1134" w:type="dxa"/>
            <w:shd w:val="clear" w:color="auto" w:fill="33CCCC"/>
            <w:noWrap/>
            <w:vAlign w:val="center"/>
          </w:tcPr>
          <w:p w:rsidR="00C93401" w:rsidRPr="00157E1D" w:rsidRDefault="00C93401" w:rsidP="00157E1D">
            <w:pPr>
              <w:pStyle w:val="Tableheading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Likes of Page</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Number of wall posts by us</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Number of wall posts by fans</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Likes of Wall Posts</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Number of shares by fans</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Number of shares by us</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r w:rsidR="00C93401" w:rsidRPr="00157E1D" w:rsidTr="00082BA8">
        <w:trPr>
          <w:trHeight w:val="57"/>
        </w:trPr>
        <w:tc>
          <w:tcPr>
            <w:tcW w:w="0" w:type="auto"/>
            <w:shd w:val="clear" w:color="auto" w:fill="33CCCC"/>
            <w:vAlign w:val="center"/>
          </w:tcPr>
          <w:p w:rsidR="00C93401" w:rsidRPr="00157E1D" w:rsidRDefault="00C93401" w:rsidP="00082BA8">
            <w:pPr>
              <w:pStyle w:val="Tableheadingleft"/>
            </w:pPr>
            <w:r w:rsidRPr="00157E1D">
              <w:t>Twitter</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Number of followers</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Number of retweets</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Number of mentions (excluding retweets)</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r w:rsidR="00C93401" w:rsidRPr="00157E1D" w:rsidTr="00082BA8">
        <w:trPr>
          <w:trHeight w:val="57"/>
        </w:trPr>
        <w:tc>
          <w:tcPr>
            <w:tcW w:w="0" w:type="auto"/>
            <w:shd w:val="clear" w:color="auto" w:fill="33CCCC"/>
            <w:vAlign w:val="center"/>
          </w:tcPr>
          <w:p w:rsidR="00C93401" w:rsidRPr="00157E1D" w:rsidRDefault="00C93401" w:rsidP="00082BA8">
            <w:pPr>
              <w:pStyle w:val="Tableheadingleft"/>
            </w:pPr>
            <w:r w:rsidRPr="00157E1D">
              <w:t>Social Mention</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Number of additional articles</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r w:rsidR="00C93401" w:rsidRPr="00157E1D" w:rsidTr="00082BA8">
        <w:trPr>
          <w:trHeight w:val="57"/>
        </w:trPr>
        <w:tc>
          <w:tcPr>
            <w:tcW w:w="0" w:type="auto"/>
            <w:shd w:val="clear" w:color="auto" w:fill="33CCCC"/>
            <w:vAlign w:val="center"/>
          </w:tcPr>
          <w:p w:rsidR="00C93401" w:rsidRPr="00157E1D" w:rsidRDefault="00C93401" w:rsidP="00082BA8">
            <w:pPr>
              <w:pStyle w:val="Tableheadingleft"/>
            </w:pPr>
            <w:r w:rsidRPr="00157E1D">
              <w:t>Content Manager</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c>
          <w:tcPr>
            <w:tcW w:w="1134" w:type="dxa"/>
            <w:shd w:val="clear" w:color="auto" w:fill="33CCCC"/>
            <w:noWrap/>
            <w:vAlign w:val="center"/>
          </w:tcPr>
          <w:p w:rsidR="00C93401" w:rsidRPr="00157E1D" w:rsidRDefault="00C93401" w:rsidP="00082BA8">
            <w:pPr>
              <w:pStyle w:val="Tableheading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Number of posts</w:t>
            </w:r>
          </w:p>
        </w:tc>
        <w:tc>
          <w:tcPr>
            <w:tcW w:w="1134" w:type="dxa"/>
            <w:shd w:val="clear" w:color="auto" w:fill="auto"/>
            <w:noWrap/>
            <w:vAlign w:val="center"/>
          </w:tcPr>
          <w:p w:rsidR="00C93401" w:rsidRPr="00157E1D" w:rsidRDefault="00C93401" w:rsidP="00082BA8">
            <w:pPr>
              <w:pStyle w:val="Tabletextleft"/>
            </w:pPr>
            <w:r w:rsidRPr="00157E1D">
              <w:t xml:space="preserve"> </w:t>
            </w:r>
          </w:p>
        </w:tc>
        <w:tc>
          <w:tcPr>
            <w:tcW w:w="1134" w:type="dxa"/>
            <w:shd w:val="clear" w:color="auto" w:fill="auto"/>
            <w:noWrap/>
            <w:vAlign w:val="center"/>
          </w:tcPr>
          <w:p w:rsidR="00C93401" w:rsidRPr="00157E1D" w:rsidRDefault="00C93401" w:rsidP="00082BA8">
            <w:pPr>
              <w:pStyle w:val="Tabletextleft"/>
            </w:pPr>
            <w:r w:rsidRPr="00157E1D">
              <w:t xml:space="preserve"> </w:t>
            </w:r>
          </w:p>
        </w:tc>
        <w:tc>
          <w:tcPr>
            <w:tcW w:w="1134" w:type="dxa"/>
            <w:shd w:val="clear" w:color="auto" w:fill="auto"/>
            <w:noWrap/>
            <w:vAlign w:val="center"/>
          </w:tcPr>
          <w:p w:rsidR="00C93401" w:rsidRPr="00157E1D" w:rsidRDefault="00C93401" w:rsidP="00082BA8">
            <w:pPr>
              <w:pStyle w:val="Tabletextleft"/>
            </w:pPr>
            <w:r w:rsidRPr="00157E1D">
              <w:t xml:space="preserve"> </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r w:rsidR="00C93401" w:rsidRPr="00157E1D" w:rsidTr="00082BA8">
        <w:trPr>
          <w:trHeight w:val="57"/>
        </w:trPr>
        <w:tc>
          <w:tcPr>
            <w:tcW w:w="0" w:type="auto"/>
            <w:shd w:val="clear" w:color="auto" w:fill="auto"/>
            <w:vAlign w:val="center"/>
          </w:tcPr>
          <w:p w:rsidR="00C93401" w:rsidRPr="00157E1D" w:rsidRDefault="00C93401" w:rsidP="00082BA8">
            <w:pPr>
              <w:pStyle w:val="Tabletextleft"/>
            </w:pPr>
            <w:r w:rsidRPr="00157E1D">
              <w:t>Response time</w:t>
            </w: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p>
        </w:tc>
        <w:tc>
          <w:tcPr>
            <w:tcW w:w="1134" w:type="dxa"/>
            <w:shd w:val="clear" w:color="auto" w:fill="auto"/>
            <w:noWrap/>
            <w:vAlign w:val="center"/>
          </w:tcPr>
          <w:p w:rsidR="00C93401" w:rsidRPr="00157E1D" w:rsidRDefault="00C93401" w:rsidP="00082BA8">
            <w:pPr>
              <w:pStyle w:val="Tabletextleft"/>
            </w:pPr>
            <w:r w:rsidRPr="00157E1D">
              <w:t> </w:t>
            </w:r>
          </w:p>
        </w:tc>
      </w:tr>
    </w:tbl>
    <w:p w:rsidR="00C93401" w:rsidRPr="003A2F94" w:rsidRDefault="00C93401" w:rsidP="00C93401">
      <w:pPr>
        <w:pStyle w:val="Tabletitle"/>
      </w:pPr>
      <w:bookmarkStart w:id="258" w:name="_Ref338168651"/>
      <w:r w:rsidRPr="003A2F94">
        <w:br w:type="page"/>
      </w:r>
      <w:bookmarkStart w:id="259" w:name="_Ref339529976"/>
      <w:r w:rsidRPr="00356CC4">
        <w:rPr>
          <w:rStyle w:val="Bold"/>
        </w:rPr>
        <w:lastRenderedPageBreak/>
        <w:t xml:space="preserve">Table </w:t>
      </w:r>
      <w:r w:rsidR="004E7FC8">
        <w:rPr>
          <w:rStyle w:val="Bold"/>
        </w:rPr>
        <w:fldChar w:fldCharType="begin"/>
      </w:r>
      <w:r w:rsidR="004E7FC8">
        <w:rPr>
          <w:rStyle w:val="Bold"/>
        </w:rPr>
        <w:instrText xml:space="preserve"> STYLEREF 1 \s </w:instrText>
      </w:r>
      <w:r w:rsidR="004E7FC8">
        <w:rPr>
          <w:rStyle w:val="Bold"/>
        </w:rPr>
        <w:fldChar w:fldCharType="separate"/>
      </w:r>
      <w:r w:rsidR="004E7FC8">
        <w:rPr>
          <w:rStyle w:val="Bold"/>
          <w:noProof/>
        </w:rPr>
        <w:t>4</w:t>
      </w:r>
      <w:r w:rsidR="004E7FC8">
        <w:rPr>
          <w:rStyle w:val="Bold"/>
        </w:rPr>
        <w:fldChar w:fldCharType="end"/>
      </w:r>
      <w:r w:rsidR="004E7FC8">
        <w:rPr>
          <w:rStyle w:val="Bold"/>
        </w:rPr>
        <w:t>.</w:t>
      </w:r>
      <w:r w:rsidR="004E7FC8">
        <w:rPr>
          <w:rStyle w:val="Bold"/>
        </w:rPr>
        <w:fldChar w:fldCharType="begin"/>
      </w:r>
      <w:r w:rsidR="004E7FC8">
        <w:rPr>
          <w:rStyle w:val="Bold"/>
        </w:rPr>
        <w:instrText xml:space="preserve"> SEQ Table \* ARABIC \s 1 </w:instrText>
      </w:r>
      <w:r w:rsidR="004E7FC8">
        <w:rPr>
          <w:rStyle w:val="Bold"/>
        </w:rPr>
        <w:fldChar w:fldCharType="separate"/>
      </w:r>
      <w:r w:rsidR="004E7FC8">
        <w:rPr>
          <w:rStyle w:val="Bold"/>
          <w:noProof/>
        </w:rPr>
        <w:t>3</w:t>
      </w:r>
      <w:r w:rsidR="004E7FC8">
        <w:rPr>
          <w:rStyle w:val="Bold"/>
        </w:rPr>
        <w:fldChar w:fldCharType="end"/>
      </w:r>
      <w:bookmarkEnd w:id="258"/>
      <w:bookmarkEnd w:id="259"/>
      <w:r w:rsidRPr="00356CC4">
        <w:rPr>
          <w:rStyle w:val="Bold"/>
        </w:rPr>
        <w:t>:</w:t>
      </w:r>
      <w:r w:rsidRPr="003A2F94">
        <w:t xml:space="preserve"> </w:t>
      </w:r>
      <w:r w:rsidRPr="00B4753E">
        <w:t>Milestones in the advertisement of the</w:t>
      </w:r>
      <w:r w:rsidRPr="008D2CA0">
        <w:rPr>
          <w:szCs w:val="21"/>
        </w:rPr>
        <w:t>34</w:t>
      </w:r>
      <w:r w:rsidRPr="00CF07C2">
        <w:rPr>
          <w:rStyle w:val="Superscript"/>
        </w:rPr>
        <w:t>th</w:t>
      </w:r>
      <w:r>
        <w:t xml:space="preserve"> IGC</w:t>
      </w:r>
      <w:r w:rsidRPr="00B4753E">
        <w:t xml:space="preserve"> social media</w:t>
      </w:r>
      <w:r w:rsidRPr="00B4753E">
        <w:rPr>
          <w:noProof/>
        </w:rPr>
        <w:t xml:space="preserve"> accounts.</w:t>
      </w:r>
    </w:p>
    <w:tbl>
      <w:tblPr>
        <w:tblStyle w:val="TableGAHeaderRow"/>
        <w:tblW w:w="0" w:type="auto"/>
        <w:tblLook w:val="01E0" w:firstRow="1" w:lastRow="1" w:firstColumn="1" w:lastColumn="1" w:noHBand="0" w:noVBand="0"/>
        <w:tblDescription w:val="This table lists the key milestones in the advertisement of the 34th IGC social media accounts. These were:&#10;&#10;28 May 2012 - Email sent to registered delegates, sponsors exhibitors and other stakeholders to advertise the Facebook and Twitter pages. Links for these accounts were also placed on the conference website.&#10;16 July 2012 - An advertisement for the social media pages was included in the IGC Fifth Circular, which was emailed to registered delegates.&#10;23 July 2012 - An email survey, containing links to the social media accounts, was distributed to delegates.&#10;5-10 August 2012 - Advertisement slides were shown in the exhibition halls and program during the conference."/>
      </w:tblPr>
      <w:tblGrid>
        <w:gridCol w:w="1548"/>
        <w:gridCol w:w="6974"/>
      </w:tblGrid>
      <w:tr w:rsidR="00C93401" w:rsidTr="009C356C">
        <w:trPr>
          <w:cnfStyle w:val="100000000000" w:firstRow="1" w:lastRow="0" w:firstColumn="0" w:lastColumn="0" w:oddVBand="0" w:evenVBand="0" w:oddHBand="0" w:evenHBand="0" w:firstRowFirstColumn="0" w:firstRowLastColumn="0" w:lastRowFirstColumn="0" w:lastRowLastColumn="0"/>
          <w:cantSplit w:val="0"/>
          <w:tblHeader/>
        </w:trPr>
        <w:tc>
          <w:tcPr>
            <w:cnfStyle w:val="000010000000" w:firstRow="0" w:lastRow="0" w:firstColumn="0" w:lastColumn="0" w:oddVBand="1" w:evenVBand="0" w:oddHBand="0" w:evenHBand="0" w:firstRowFirstColumn="0" w:firstRowLastColumn="0" w:lastRowFirstColumn="0" w:lastRowLastColumn="0"/>
            <w:tcW w:w="1548" w:type="dxa"/>
          </w:tcPr>
          <w:p w:rsidR="00C93401" w:rsidRPr="005C4DDA" w:rsidRDefault="00C93401" w:rsidP="007E4CAF">
            <w:pPr>
              <w:pStyle w:val="Tabletextleft"/>
            </w:pPr>
            <w:r w:rsidRPr="005C4DDA">
              <w:t>Date</w:t>
            </w:r>
          </w:p>
        </w:tc>
        <w:tc>
          <w:tcPr>
            <w:tcW w:w="6974" w:type="dxa"/>
          </w:tcPr>
          <w:p w:rsidR="00C93401" w:rsidRPr="005C4DDA" w:rsidRDefault="00C93401" w:rsidP="007E4CAF">
            <w:pPr>
              <w:pStyle w:val="Tabletextleft"/>
              <w:cnfStyle w:val="100000000000" w:firstRow="1" w:lastRow="0" w:firstColumn="0" w:lastColumn="0" w:oddVBand="0" w:evenVBand="0" w:oddHBand="0" w:evenHBand="0" w:firstRowFirstColumn="0" w:firstRowLastColumn="0" w:lastRowFirstColumn="0" w:lastRowLastColumn="0"/>
            </w:pPr>
            <w:r w:rsidRPr="005C4DDA">
              <w:t>Method of advertising</w:t>
            </w:r>
          </w:p>
        </w:tc>
      </w:tr>
      <w:tr w:rsidR="00C93401" w:rsidTr="008116E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48" w:type="dxa"/>
          </w:tcPr>
          <w:p w:rsidR="00C93401" w:rsidRPr="00D644D5" w:rsidRDefault="00C93401" w:rsidP="007E4CAF">
            <w:pPr>
              <w:pStyle w:val="Tabletextleft"/>
              <w:rPr>
                <w:szCs w:val="18"/>
              </w:rPr>
            </w:pPr>
            <w:r w:rsidRPr="00D644D5">
              <w:rPr>
                <w:szCs w:val="18"/>
              </w:rPr>
              <w:t>28 May 2012</w:t>
            </w:r>
          </w:p>
        </w:tc>
        <w:tc>
          <w:tcPr>
            <w:tcW w:w="6974" w:type="dxa"/>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 xml:space="preserve">An email was distributed to an email list including registered delegates, sponsors, exhibitors and other stakeholders to advertise the </w:t>
            </w:r>
            <w:r w:rsidRPr="00D644D5">
              <w:rPr>
                <w:szCs w:val="21"/>
              </w:rPr>
              <w:t>34</w:t>
            </w:r>
            <w:r w:rsidRPr="00D644D5">
              <w:rPr>
                <w:rStyle w:val="Superscript"/>
                <w:szCs w:val="18"/>
              </w:rPr>
              <w:t>th</w:t>
            </w:r>
            <w:r w:rsidRPr="00D644D5">
              <w:rPr>
                <w:szCs w:val="18"/>
              </w:rPr>
              <w:t xml:space="preserve"> IGC Twitter and Facebook pages. </w:t>
            </w:r>
          </w:p>
        </w:tc>
      </w:tr>
      <w:tr w:rsidR="00C93401" w:rsidTr="008116E4">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48" w:type="dxa"/>
          </w:tcPr>
          <w:p w:rsidR="00C93401" w:rsidRPr="00D644D5" w:rsidRDefault="00C93401" w:rsidP="007E4CAF">
            <w:pPr>
              <w:pStyle w:val="Tabletextleft"/>
              <w:rPr>
                <w:szCs w:val="18"/>
              </w:rPr>
            </w:pPr>
            <w:r w:rsidRPr="00D644D5">
              <w:rPr>
                <w:szCs w:val="18"/>
              </w:rPr>
              <w:t>28 May 2012</w:t>
            </w:r>
          </w:p>
        </w:tc>
        <w:tc>
          <w:tcPr>
            <w:tcW w:w="6974" w:type="dxa"/>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Twitter and Facebook logos were placed on the </w:t>
            </w:r>
            <w:r w:rsidRPr="00D644D5">
              <w:rPr>
                <w:szCs w:val="21"/>
              </w:rPr>
              <w:t>34</w:t>
            </w:r>
            <w:r w:rsidRPr="00D644D5">
              <w:rPr>
                <w:rStyle w:val="Superscript"/>
                <w:szCs w:val="18"/>
              </w:rPr>
              <w:t>th</w:t>
            </w:r>
            <w:r w:rsidRPr="00D644D5">
              <w:rPr>
                <w:szCs w:val="18"/>
              </w:rPr>
              <w:t xml:space="preserve"> IGC website embedded with direct links to both pages. </w:t>
            </w:r>
          </w:p>
        </w:tc>
      </w:tr>
      <w:tr w:rsidR="00C93401" w:rsidTr="008116E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48" w:type="dxa"/>
          </w:tcPr>
          <w:p w:rsidR="00C93401" w:rsidRPr="00D644D5" w:rsidRDefault="00C93401" w:rsidP="007E4CAF">
            <w:pPr>
              <w:pStyle w:val="Tabletextleft"/>
              <w:rPr>
                <w:szCs w:val="18"/>
              </w:rPr>
            </w:pPr>
            <w:r w:rsidRPr="00D644D5">
              <w:rPr>
                <w:szCs w:val="18"/>
              </w:rPr>
              <w:t>16 July 2012</w:t>
            </w:r>
          </w:p>
        </w:tc>
        <w:tc>
          <w:tcPr>
            <w:tcW w:w="6974" w:type="dxa"/>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 xml:space="preserve">The Fifth Circular was distributed to delegates via email. The circular contained an advertisement for the social media pages. </w:t>
            </w:r>
          </w:p>
        </w:tc>
      </w:tr>
      <w:tr w:rsidR="00C93401" w:rsidTr="008116E4">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48" w:type="dxa"/>
          </w:tcPr>
          <w:p w:rsidR="00C93401" w:rsidRPr="00D644D5" w:rsidRDefault="00C93401" w:rsidP="007E4CAF">
            <w:pPr>
              <w:pStyle w:val="Tabletextleft"/>
              <w:rPr>
                <w:szCs w:val="18"/>
              </w:rPr>
            </w:pPr>
            <w:r w:rsidRPr="00D644D5">
              <w:rPr>
                <w:szCs w:val="18"/>
              </w:rPr>
              <w:t>23 July 2012</w:t>
            </w:r>
          </w:p>
        </w:tc>
        <w:tc>
          <w:tcPr>
            <w:tcW w:w="6974" w:type="dxa"/>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An email containing a survey was distributed to delegates that contained the Twitter and Facebook logos linked to the </w:t>
            </w:r>
            <w:r w:rsidRPr="00D644D5">
              <w:rPr>
                <w:szCs w:val="21"/>
              </w:rPr>
              <w:t>34</w:t>
            </w:r>
            <w:r w:rsidRPr="00D644D5">
              <w:rPr>
                <w:rStyle w:val="Superscript"/>
                <w:szCs w:val="18"/>
              </w:rPr>
              <w:t>th</w:t>
            </w:r>
            <w:r w:rsidRPr="00D644D5">
              <w:rPr>
                <w:szCs w:val="18"/>
              </w:rPr>
              <w:t xml:space="preserve"> IGC social media accounts. </w:t>
            </w:r>
          </w:p>
        </w:tc>
      </w:tr>
      <w:tr w:rsidR="00C93401" w:rsidTr="008116E4">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48" w:type="dxa"/>
          </w:tcPr>
          <w:p w:rsidR="00C93401" w:rsidRPr="00D644D5" w:rsidRDefault="00C93401" w:rsidP="007E4CAF">
            <w:pPr>
              <w:pStyle w:val="Tabletextleft"/>
              <w:rPr>
                <w:szCs w:val="18"/>
              </w:rPr>
            </w:pPr>
            <w:r w:rsidRPr="00D644D5">
              <w:rPr>
                <w:szCs w:val="18"/>
              </w:rPr>
              <w:t xml:space="preserve">5 to 10 August </w:t>
            </w:r>
          </w:p>
        </w:tc>
        <w:tc>
          <w:tcPr>
            <w:tcW w:w="6974" w:type="dxa"/>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Advertisement slides were shown in the exhibition halls during the conference.</w:t>
            </w:r>
          </w:p>
        </w:tc>
      </w:tr>
      <w:tr w:rsidR="00C93401" w:rsidTr="008116E4">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548" w:type="dxa"/>
          </w:tcPr>
          <w:p w:rsidR="00C93401" w:rsidRPr="00D644D5" w:rsidRDefault="00C93401" w:rsidP="007E4CAF">
            <w:pPr>
              <w:pStyle w:val="Tabletextleft"/>
              <w:rPr>
                <w:szCs w:val="18"/>
              </w:rPr>
            </w:pPr>
            <w:r w:rsidRPr="00D644D5">
              <w:rPr>
                <w:szCs w:val="18"/>
              </w:rPr>
              <w:t>5 to 10 August</w:t>
            </w:r>
          </w:p>
        </w:tc>
        <w:tc>
          <w:tcPr>
            <w:tcW w:w="6974" w:type="dxa"/>
          </w:tcPr>
          <w:p w:rsidR="00C93401" w:rsidRPr="00D644D5" w:rsidRDefault="00C93401" w:rsidP="007E4CAF">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The program was distributed to all delegates at congress, which contained an advertisement for Twitter and Facebook. </w:t>
            </w:r>
          </w:p>
        </w:tc>
      </w:tr>
    </w:tbl>
    <w:p w:rsidR="00C93401" w:rsidRDefault="00C93401" w:rsidP="00AD0DF8">
      <w:pPr>
        <w:pStyle w:val="Figuresandimagescentred"/>
      </w:pPr>
      <w:r>
        <w:br w:type="page"/>
      </w:r>
      <w:r w:rsidR="00296658">
        <w:rPr>
          <w:noProof/>
        </w:rPr>
        <w:lastRenderedPageBreak/>
        <w:drawing>
          <wp:inline distT="0" distB="0" distL="0" distR="0" wp14:anchorId="536A8978" wp14:editId="3928A4EC">
            <wp:extent cx="4324350" cy="5534025"/>
            <wp:effectExtent l="0" t="0" r="0" b="0"/>
            <wp:docPr id="26" name="Picture 26" descr="This figure contains a screen capture of the email advertisement stating that the social media accounts were live, sent to the 34th IGC mailing list. This email contained hyperlinked text and logos to the Facebook and Twitter accounts.  The text in the email was as follows:&#10;&#10;“34th IGC Now on Facebook and Twitter&#10;&#10;Dear Geoscientists of the World&#10;&#10;We are excited to announce the 34th International Geological Congress (IGC), to be held in Brisbane from 5 – 10 August 2012, is now on Facebook and Twitter.&#10;&#10;Don’t wait until August to participate in the 34th International Geological Congress. Join the conversation now on Facebook and Twitter.&#10;&#10;By liking our Facebook page or following up on Twitter, you can engage with scientists from around the world, share your favourite geoscience photographs, debate the hot topics, and stay up-to-date with the latest information before and during the Congress.&#10;&#10;You can find the Facebook page at www.facebook.com/34IGC and the Twitter account using @34thIGC. Don’t forget to include the #34igc hash-tag when tweeting about the conference!&#10;&#10;For further information on the 34th IGC visit: www.34igc.org&#10;&#10;Get on board now to prepare for your 34th IGC expe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is figure contains a screen capture of the email advertisement stating that the social media accounts were live, sent to the 34th IGC mailing list. This email contained hyperlinked text and logos to the Facebook and Twitter accounts.  The text in the email was as follows:&#10;&#10;“34th IGC Now on Facebook and Twitter&#10;&#10;Dear Geoscientists of the World&#10;&#10;We are excited to announce the 34th International Geological Congress (IGC), to be held in Brisbane from 5 – 10 August 2012, is now on Facebook and Twitter.&#10;&#10;Don’t wait until August to participate in the 34th International Geological Congress. Join the conversation now on Facebook and Twitter.&#10;&#10;By liking our Facebook page or following up on Twitter, you can engage with scientists from around the world, share your favourite geoscience photographs, debate the hot topics, and stay up-to-date with the latest information before and during the Congress.&#10;&#10;You can find the Facebook page at www.facebook.com/34IGC and the Twitter account using @34thIGC. Don’t forget to include the #34igc hash-tag when tweeting about the conference!&#10;&#10;For further information on the 34th IGC visit: www.34igc.org&#10;&#10;Get on board now to prepare for your 34th IGC experi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24350" cy="5534025"/>
                    </a:xfrm>
                    <a:prstGeom prst="rect">
                      <a:avLst/>
                    </a:prstGeom>
                    <a:noFill/>
                    <a:ln>
                      <a:noFill/>
                    </a:ln>
                  </pic:spPr>
                </pic:pic>
              </a:graphicData>
            </a:graphic>
          </wp:inline>
        </w:drawing>
      </w:r>
    </w:p>
    <w:p w:rsidR="00C93401" w:rsidRPr="00B4753E" w:rsidRDefault="00C93401" w:rsidP="00C93401">
      <w:pPr>
        <w:pStyle w:val="Caption"/>
      </w:pPr>
      <w:bookmarkStart w:id="260" w:name="_Ref338168730"/>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4</w:t>
      </w:r>
      <w:r w:rsidRPr="00D27C1C">
        <w:rPr>
          <w:rStyle w:val="Strong"/>
        </w:rPr>
        <w:fldChar w:fldCharType="end"/>
      </w:r>
      <w:bookmarkEnd w:id="260"/>
      <w:r w:rsidRPr="00356CC4">
        <w:rPr>
          <w:rStyle w:val="Bold"/>
        </w:rPr>
        <w:t>:</w:t>
      </w:r>
      <w:r w:rsidRPr="003A2F94">
        <w:t xml:space="preserve"> </w:t>
      </w:r>
      <w:r w:rsidRPr="00B4753E">
        <w:t xml:space="preserve">A copy of the email advertising the </w:t>
      </w:r>
      <w:r w:rsidRPr="008D2CA0">
        <w:rPr>
          <w:szCs w:val="21"/>
        </w:rPr>
        <w:t>34</w:t>
      </w:r>
      <w:r w:rsidRPr="00CF07C2">
        <w:rPr>
          <w:rStyle w:val="Superscript"/>
        </w:rPr>
        <w:t>th</w:t>
      </w:r>
      <w:r w:rsidRPr="00B4753E">
        <w:t xml:space="preserve"> IGC social media accounts sent to the </w:t>
      </w:r>
      <w:r w:rsidRPr="008D2CA0">
        <w:rPr>
          <w:szCs w:val="21"/>
        </w:rPr>
        <w:t>34</w:t>
      </w:r>
      <w:r w:rsidRPr="00CF07C2">
        <w:rPr>
          <w:rStyle w:val="Superscript"/>
        </w:rPr>
        <w:t>th</w:t>
      </w:r>
      <w:r w:rsidRPr="00B4753E">
        <w:t xml:space="preserve"> IGC mailing list on 28 May 2012.</w:t>
      </w:r>
    </w:p>
    <w:p w:rsidR="00C93401" w:rsidRDefault="00C93401" w:rsidP="00C93401">
      <w:pPr>
        <w:pStyle w:val="Heading3"/>
      </w:pPr>
      <w:bookmarkStart w:id="261" w:name="_Toc337721597"/>
      <w:bookmarkStart w:id="262" w:name="_Toc353282057"/>
      <w:bookmarkStart w:id="263" w:name="_Toc355274272"/>
      <w:r>
        <w:t>Social Media Analysis</w:t>
      </w:r>
      <w:bookmarkEnd w:id="261"/>
      <w:bookmarkEnd w:id="262"/>
      <w:bookmarkEnd w:id="263"/>
    </w:p>
    <w:p w:rsidR="00C93401" w:rsidRPr="00C60578" w:rsidRDefault="00C93401" w:rsidP="00C93401">
      <w:pPr>
        <w:pStyle w:val="BodyText"/>
      </w:pPr>
      <w:r w:rsidRPr="00C60578">
        <w:t>At the end of the monitoring period, 24 August 2012, the individual weekly monitoring reports were collated for further analysis. The monitoring reports provided a continuous record except for the week of 14 May 2012 and several isolated single day occurrences where no data was recorded. In addition to the data produced by manually monitoring of the sites, Hootsuite and Facebook provided some additional statistics and metrics that were used in the analysis. The convenience and comprehensiveness of the automatically collected statistics made the manual methods largely redundant for Facebook.</w:t>
      </w:r>
    </w:p>
    <w:p w:rsidR="00C93401" w:rsidRPr="00C60578" w:rsidRDefault="00C93401" w:rsidP="00C93401">
      <w:pPr>
        <w:pStyle w:val="BodyText"/>
      </w:pPr>
      <w:r w:rsidRPr="00C60578">
        <w:t>The 34</w:t>
      </w:r>
      <w:r w:rsidRPr="00CF07C2">
        <w:rPr>
          <w:rStyle w:val="Superscript"/>
        </w:rPr>
        <w:t>th</w:t>
      </w:r>
      <w:r w:rsidRPr="00C60578">
        <w:t xml:space="preserve"> IGC Hootsuite account provided statistics on all retweets and mentions, as well as copies of them. These copies were stored in a separate document in the Twitter database, and were </w:t>
      </w:r>
      <w:r w:rsidRPr="00C60578">
        <w:lastRenderedPageBreak/>
        <w:t>categorised and analysed manually based on their content. From 3 to 24 August 2012 the number of tweets using the official 34</w:t>
      </w:r>
      <w:r w:rsidRPr="00CF07C2">
        <w:rPr>
          <w:rStyle w:val="Superscript"/>
        </w:rPr>
        <w:t>th</w:t>
      </w:r>
      <w:r w:rsidRPr="00C60578">
        <w:t xml:space="preserve"> IGC hashtag was also recorded</w:t>
      </w:r>
      <w:r w:rsidR="00A40F13">
        <w:t>.</w:t>
      </w:r>
      <w:r w:rsidRPr="00C60578">
        <w:t xml:space="preserve"> Copies of each tweet included the hashtag during this period, and their associated metadata, were additionally gathered using Google Reader. They were not analysed or examined in great detail as a part of this report.</w:t>
      </w:r>
    </w:p>
    <w:p w:rsidR="00C93401" w:rsidRDefault="00C93401" w:rsidP="00C93401">
      <w:pPr>
        <w:pStyle w:val="Heading4"/>
      </w:pPr>
      <w:bookmarkStart w:id="264" w:name="_Toc337721598"/>
      <w:bookmarkStart w:id="265" w:name="_Toc355274273"/>
      <w:r w:rsidRPr="00E70142">
        <w:t>Facebook Insights</w:t>
      </w:r>
      <w:bookmarkEnd w:id="264"/>
      <w:bookmarkEnd w:id="265"/>
    </w:p>
    <w:p w:rsidR="00C93401" w:rsidRPr="00E70142" w:rsidRDefault="00C93401" w:rsidP="00C93401">
      <w:pPr>
        <w:pStyle w:val="BodyText"/>
      </w:pPr>
      <w:r>
        <w:t xml:space="preserve">Facebook Insights is a service included as a part of a Facebook fan page that allows administrators of the page to check key metrics, such as demographics and reach of the page. It is an incredibly powerful tool for real-time monitoring of the effectiveness of a Facebook page and can quickly be retrieved. The Insights platform allows administrators of a Facebook page to analyse and understand trends within demographics and user growth, as well as the creation and consumption of content. The information provided is anonymous, aggregated insights about people’s activity on the page. Using this information an administrator is able to improve their communication and create better experiences for the page users (Facebook, 2012). It also has a function that allows these metrics to </w:t>
      </w:r>
      <w:r w:rsidR="00A016D7">
        <w:t>be exported into a spreadsheet.</w:t>
      </w:r>
    </w:p>
    <w:p w:rsidR="00C93401" w:rsidRDefault="00C93401" w:rsidP="00C93401">
      <w:pPr>
        <w:pStyle w:val="Heading2"/>
      </w:pPr>
      <w:bookmarkStart w:id="266" w:name="_Toc337721599"/>
      <w:bookmarkStart w:id="267" w:name="_Toc353282058"/>
      <w:bookmarkStart w:id="268" w:name="_Toc355274274"/>
      <w:r>
        <w:t>Analysis of the Social Media P</w:t>
      </w:r>
      <w:r w:rsidRPr="006164A0">
        <w:t>ages</w:t>
      </w:r>
      <w:bookmarkEnd w:id="266"/>
      <w:bookmarkEnd w:id="267"/>
      <w:bookmarkEnd w:id="268"/>
    </w:p>
    <w:p w:rsidR="00C93401" w:rsidRPr="003A2F94" w:rsidRDefault="00C93401" w:rsidP="00C93401">
      <w:pPr>
        <w:pStyle w:val="Heading3"/>
      </w:pPr>
      <w:bookmarkStart w:id="269" w:name="_Toc337721600"/>
      <w:bookmarkStart w:id="270" w:name="_Toc353282059"/>
      <w:bookmarkStart w:id="271" w:name="_Toc355274275"/>
      <w:r>
        <w:t>Who was Engaged</w:t>
      </w:r>
      <w:bookmarkEnd w:id="269"/>
      <w:bookmarkEnd w:id="270"/>
      <w:bookmarkEnd w:id="271"/>
    </w:p>
    <w:p w:rsidR="00C93401" w:rsidRDefault="00C93401" w:rsidP="00C93401">
      <w:pPr>
        <w:pStyle w:val="BodyText"/>
      </w:pPr>
      <w:r>
        <w:t xml:space="preserve">The key metrics of the Facebook and Twitter accounts at the end </w:t>
      </w:r>
      <w:r w:rsidRPr="00E70142">
        <w:t>of the monitoring period</w:t>
      </w:r>
      <w:r>
        <w:t xml:space="preserve"> are given in </w:t>
      </w:r>
      <w:r w:rsidRPr="00F90DA9">
        <w:fldChar w:fldCharType="begin"/>
      </w:r>
      <w:r w:rsidRPr="00F90DA9">
        <w:instrText xml:space="preserve"> REF _Ref338169338 \h  \* MERGEFORMAT </w:instrText>
      </w:r>
      <w:r w:rsidRPr="00F90DA9">
        <w:fldChar w:fldCharType="separate"/>
      </w:r>
      <w:r w:rsidR="00EB5AC4" w:rsidRPr="00EB5AC4">
        <w:rPr>
          <w:iCs/>
        </w:rPr>
        <w:t>Table 4.4</w:t>
      </w:r>
      <w:r w:rsidRPr="00F90DA9">
        <w:fldChar w:fldCharType="end"/>
      </w:r>
      <w:r>
        <w:t xml:space="preserve">. The table shows that Twitter was updated twice as much the Facebook page, which reflects the micro-blogging nature of the Twitter platform. The Facebook page reached nearly 1,000 fans. As the </w:t>
      </w:r>
      <w:r w:rsidRPr="008D2CA0">
        <w:rPr>
          <w:szCs w:val="21"/>
        </w:rPr>
        <w:t>34</w:t>
      </w:r>
      <w:r w:rsidRPr="00CF07C2">
        <w:rPr>
          <w:rStyle w:val="Superscript"/>
        </w:rPr>
        <w:t>th</w:t>
      </w:r>
      <w:r>
        <w:t xml:space="preserve"> IGC was attended by 6,012 delegates, the Facebook page reached approximately 16% of delegates (if it is assumed all fans attended the conference). This means the Facebook page was a very powerful tool for reaching delegates and disseminating information as needed.</w:t>
      </w:r>
    </w:p>
    <w:p w:rsidR="00C93401" w:rsidRDefault="00C93401" w:rsidP="00C93401">
      <w:pPr>
        <w:pStyle w:val="Tabletitle"/>
      </w:pPr>
      <w:bookmarkStart w:id="272" w:name="_Ref338169338"/>
      <w:r w:rsidRPr="00356CC4">
        <w:rPr>
          <w:rStyle w:val="Bold"/>
        </w:rPr>
        <w:t xml:space="preserve">Table </w:t>
      </w:r>
      <w:r w:rsidR="004E7FC8">
        <w:rPr>
          <w:rStyle w:val="Bold"/>
        </w:rPr>
        <w:fldChar w:fldCharType="begin"/>
      </w:r>
      <w:r w:rsidR="004E7FC8">
        <w:rPr>
          <w:rStyle w:val="Bold"/>
        </w:rPr>
        <w:instrText xml:space="preserve"> STYLEREF 1 \s </w:instrText>
      </w:r>
      <w:r w:rsidR="004E7FC8">
        <w:rPr>
          <w:rStyle w:val="Bold"/>
        </w:rPr>
        <w:fldChar w:fldCharType="separate"/>
      </w:r>
      <w:r w:rsidR="004E7FC8">
        <w:rPr>
          <w:rStyle w:val="Bold"/>
          <w:noProof/>
        </w:rPr>
        <w:t>4</w:t>
      </w:r>
      <w:r w:rsidR="004E7FC8">
        <w:rPr>
          <w:rStyle w:val="Bold"/>
        </w:rPr>
        <w:fldChar w:fldCharType="end"/>
      </w:r>
      <w:r w:rsidR="004E7FC8">
        <w:rPr>
          <w:rStyle w:val="Bold"/>
        </w:rPr>
        <w:t>.</w:t>
      </w:r>
      <w:r w:rsidR="004E7FC8">
        <w:rPr>
          <w:rStyle w:val="Bold"/>
        </w:rPr>
        <w:fldChar w:fldCharType="begin"/>
      </w:r>
      <w:r w:rsidR="004E7FC8">
        <w:rPr>
          <w:rStyle w:val="Bold"/>
        </w:rPr>
        <w:instrText xml:space="preserve"> SEQ Table \* ARABIC \s 1 </w:instrText>
      </w:r>
      <w:r w:rsidR="004E7FC8">
        <w:rPr>
          <w:rStyle w:val="Bold"/>
        </w:rPr>
        <w:fldChar w:fldCharType="separate"/>
      </w:r>
      <w:r w:rsidR="004E7FC8">
        <w:rPr>
          <w:rStyle w:val="Bold"/>
          <w:noProof/>
        </w:rPr>
        <w:t>4</w:t>
      </w:r>
      <w:r w:rsidR="004E7FC8">
        <w:rPr>
          <w:rStyle w:val="Bold"/>
        </w:rPr>
        <w:fldChar w:fldCharType="end"/>
      </w:r>
      <w:bookmarkEnd w:id="272"/>
      <w:r w:rsidRPr="00356CC4">
        <w:rPr>
          <w:rStyle w:val="Bold"/>
        </w:rPr>
        <w:t>:</w:t>
      </w:r>
      <w:r w:rsidRPr="003A2F94">
        <w:t xml:space="preserve"> </w:t>
      </w:r>
      <w:r>
        <w:t xml:space="preserve">A summary of key metrics </w:t>
      </w:r>
      <w:r w:rsidR="00274084">
        <w:t>for:</w:t>
      </w:r>
      <w:r w:rsidRPr="00B4753E">
        <w:t xml:space="preserve"> </w:t>
      </w:r>
      <w:r>
        <w:t>a</w:t>
      </w:r>
      <w:r w:rsidRPr="00B4753E">
        <w:t xml:space="preserve">) </w:t>
      </w:r>
      <w:r>
        <w:t xml:space="preserve">the </w:t>
      </w:r>
      <w:r w:rsidRPr="00B4753E">
        <w:t>34</w:t>
      </w:r>
      <w:r w:rsidRPr="00CF07C2">
        <w:rPr>
          <w:rStyle w:val="Superscript"/>
        </w:rPr>
        <w:t>th</w:t>
      </w:r>
      <w:r w:rsidRPr="00B4753E">
        <w:t xml:space="preserve"> IGC Twitter account</w:t>
      </w:r>
      <w:r w:rsidR="00274084">
        <w:t>;</w:t>
      </w:r>
      <w:r w:rsidRPr="00B4753E">
        <w:t xml:space="preserve"> and</w:t>
      </w:r>
      <w:r>
        <w:t>,</w:t>
      </w:r>
      <w:r w:rsidRPr="00B4753E">
        <w:t xml:space="preserve"> </w:t>
      </w:r>
      <w:r>
        <w:t>b</w:t>
      </w:r>
      <w:r w:rsidRPr="00B4753E">
        <w:t xml:space="preserve">) </w:t>
      </w:r>
      <w:r w:rsidR="00274084">
        <w:t xml:space="preserve">the </w:t>
      </w:r>
      <w:r w:rsidRPr="00B4753E">
        <w:t>34</w:t>
      </w:r>
      <w:r w:rsidRPr="00CF07C2">
        <w:rPr>
          <w:rStyle w:val="Superscript"/>
        </w:rPr>
        <w:t>th</w:t>
      </w:r>
      <w:r w:rsidRPr="00B4753E">
        <w:t xml:space="preserve"> IGC Facebook account</w:t>
      </w:r>
      <w:r w:rsidR="00274084">
        <w:t>,</w:t>
      </w:r>
      <w:r w:rsidRPr="00B4753E">
        <w:t xml:space="preserve"> at the end of the monitoring period, 24 August 2012. </w:t>
      </w:r>
      <w:r w:rsidRPr="00CF07C2">
        <w:rPr>
          <w:rStyle w:val="Superscript"/>
        </w:rPr>
        <w:t>1</w:t>
      </w:r>
      <w:r w:rsidRPr="00B4753E">
        <w:t>Includes all post types (photographs, links, videos, status updates, shares)</w:t>
      </w:r>
      <w:r w:rsidR="00274084">
        <w:t xml:space="preserve"> made by the 34</w:t>
      </w:r>
      <w:r w:rsidR="00274084" w:rsidRPr="002D3D57">
        <w:rPr>
          <w:rStyle w:val="Superscript"/>
        </w:rPr>
        <w:t>th</w:t>
      </w:r>
      <w:r w:rsidR="00274084">
        <w:t xml:space="preserve"> IGC Facebook account</w:t>
      </w:r>
      <w:r w:rsidRPr="00B4753E">
        <w:t xml:space="preserve">; </w:t>
      </w:r>
      <w:r w:rsidRPr="00CF07C2">
        <w:rPr>
          <w:rStyle w:val="Superscript"/>
        </w:rPr>
        <w:t>2</w:t>
      </w:r>
      <w:r w:rsidRPr="00B4753E">
        <w:t>Total shares (by fans) of all posts authored by the 34</w:t>
      </w:r>
      <w:r w:rsidRPr="00CF07C2">
        <w:rPr>
          <w:rStyle w:val="Superscript"/>
        </w:rPr>
        <w:t>th</w:t>
      </w:r>
      <w:r w:rsidRPr="00B4753E">
        <w:t xml:space="preserve"> IGC; </w:t>
      </w:r>
      <w:r w:rsidRPr="00CF07C2">
        <w:rPr>
          <w:rStyle w:val="Superscript"/>
        </w:rPr>
        <w:t>3</w:t>
      </w:r>
      <w:r w:rsidRPr="00B4753E">
        <w:t>Total likes (by fans) of all posts authored by the 34</w:t>
      </w:r>
      <w:r w:rsidRPr="00CF07C2">
        <w:rPr>
          <w:rStyle w:val="Superscript"/>
        </w:rPr>
        <w:t>th</w:t>
      </w:r>
      <w:r w:rsidRPr="00B4753E">
        <w:t xml:space="preserve"> IGC, </w:t>
      </w:r>
      <w:r w:rsidR="00274084">
        <w:t xml:space="preserve">which </w:t>
      </w:r>
      <w:r w:rsidRPr="00B4753E">
        <w:t>contains multiple likes from individual fans.</w:t>
      </w:r>
    </w:p>
    <w:p w:rsidR="00192E38" w:rsidRPr="00356CC4" w:rsidRDefault="00192E38" w:rsidP="00192E38">
      <w:pPr>
        <w:pStyle w:val="BodyText"/>
        <w:rPr>
          <w:rStyle w:val="Bold"/>
        </w:rPr>
      </w:pPr>
      <w:r w:rsidRPr="00356CC4">
        <w:rPr>
          <w:rStyle w:val="Bold"/>
        </w:rPr>
        <w:t>a)</w:t>
      </w:r>
    </w:p>
    <w:tbl>
      <w:tblPr>
        <w:tblStyle w:val="TableGAHeaderRow"/>
        <w:tblW w:w="6432" w:type="dxa"/>
        <w:tblLook w:val="0020" w:firstRow="1" w:lastRow="0" w:firstColumn="0" w:lastColumn="0" w:noHBand="0" w:noVBand="0"/>
        <w:tblDescription w:val="This table is in two parts and shows some key statistics for the Twitter and Facebook accounts, respectively, as at 24 August 2012.&#10;&#10;Part a) shows that the Twitter account had 216 followers, was following 458 people, had produced 439 tweets, had been retweeted 89 times, and mentioned 133 times.&#10;&#10;Part b) shows that the Facebook account had 996 fans, had produced 226 posts, had had posts shared 584 times, and had received 5061 likes for its posted content."/>
      </w:tblPr>
      <w:tblGrid>
        <w:gridCol w:w="1456"/>
        <w:gridCol w:w="1406"/>
        <w:gridCol w:w="1026"/>
        <w:gridCol w:w="1297"/>
        <w:gridCol w:w="1247"/>
      </w:tblGrid>
      <w:tr w:rsidR="00C93401" w:rsidRPr="00E70142" w:rsidTr="009C356C">
        <w:trPr>
          <w:cnfStyle w:val="100000000000" w:firstRow="1" w:lastRow="0" w:firstColumn="0" w:lastColumn="0" w:oddVBand="0" w:evenVBand="0" w:oddHBand="0" w:evenHBand="0" w:firstRowFirstColumn="0" w:firstRowLastColumn="0" w:lastRowFirstColumn="0" w:lastRowLastColumn="0"/>
          <w:cantSplit w:val="0"/>
          <w:trHeight w:val="255"/>
          <w:tblHeader/>
        </w:trPr>
        <w:tc>
          <w:tcPr>
            <w:cnfStyle w:val="000010000000" w:firstRow="0" w:lastRow="0" w:firstColumn="0" w:lastColumn="0" w:oddVBand="1" w:evenVBand="0" w:oddHBand="0" w:evenHBand="0" w:firstRowFirstColumn="0" w:firstRowLastColumn="0" w:lastRowFirstColumn="0" w:lastRowLastColumn="0"/>
            <w:tcW w:w="1456" w:type="dxa"/>
            <w:noWrap/>
          </w:tcPr>
          <w:p w:rsidR="00C93401" w:rsidRPr="00E70142" w:rsidRDefault="00C93401" w:rsidP="007E4CAF">
            <w:pPr>
              <w:pStyle w:val="Tabletextleft"/>
            </w:pPr>
            <w:r w:rsidRPr="00E70142">
              <w:t>Followers</w:t>
            </w:r>
          </w:p>
        </w:tc>
        <w:tc>
          <w:tcPr>
            <w:tcW w:w="1406" w:type="dxa"/>
            <w:noWrap/>
          </w:tcPr>
          <w:p w:rsidR="00C93401" w:rsidRPr="00E70142" w:rsidRDefault="00C93401" w:rsidP="007E4CAF">
            <w:pPr>
              <w:pStyle w:val="Tabletextleft"/>
              <w:cnfStyle w:val="100000000000" w:firstRow="1" w:lastRow="0" w:firstColumn="0" w:lastColumn="0" w:oddVBand="0" w:evenVBand="0" w:oddHBand="0" w:evenHBand="0" w:firstRowFirstColumn="0" w:firstRowLastColumn="0" w:lastRowFirstColumn="0" w:lastRowLastColumn="0"/>
            </w:pPr>
            <w:r w:rsidRPr="00E70142">
              <w:t>Following</w:t>
            </w:r>
          </w:p>
        </w:tc>
        <w:tc>
          <w:tcPr>
            <w:cnfStyle w:val="000010000000" w:firstRow="0" w:lastRow="0" w:firstColumn="0" w:lastColumn="0" w:oddVBand="1" w:evenVBand="0" w:oddHBand="0" w:evenHBand="0" w:firstRowFirstColumn="0" w:firstRowLastColumn="0" w:lastRowFirstColumn="0" w:lastRowLastColumn="0"/>
            <w:tcW w:w="1026" w:type="dxa"/>
            <w:noWrap/>
          </w:tcPr>
          <w:p w:rsidR="00C93401" w:rsidRPr="00E70142" w:rsidRDefault="00C93401" w:rsidP="007E4CAF">
            <w:pPr>
              <w:pStyle w:val="Tabletextleft"/>
            </w:pPr>
            <w:r w:rsidRPr="00E70142">
              <w:t>Tweets</w:t>
            </w:r>
          </w:p>
        </w:tc>
        <w:tc>
          <w:tcPr>
            <w:tcW w:w="1297" w:type="dxa"/>
            <w:noWrap/>
          </w:tcPr>
          <w:p w:rsidR="00C93401" w:rsidRPr="00E70142" w:rsidRDefault="00C93401" w:rsidP="007E4CAF">
            <w:pPr>
              <w:pStyle w:val="Tabletextleft"/>
              <w:cnfStyle w:val="100000000000" w:firstRow="1" w:lastRow="0" w:firstColumn="0" w:lastColumn="0" w:oddVBand="0" w:evenVBand="0" w:oddHBand="0" w:evenHBand="0" w:firstRowFirstColumn="0" w:firstRowLastColumn="0" w:lastRowFirstColumn="0" w:lastRowLastColumn="0"/>
            </w:pPr>
            <w:r w:rsidRPr="00E70142">
              <w:t>Retweets</w:t>
            </w:r>
          </w:p>
        </w:tc>
        <w:tc>
          <w:tcPr>
            <w:cnfStyle w:val="000010000000" w:firstRow="0" w:lastRow="0" w:firstColumn="0" w:lastColumn="0" w:oddVBand="1" w:evenVBand="0" w:oddHBand="0" w:evenHBand="0" w:firstRowFirstColumn="0" w:firstRowLastColumn="0" w:lastRowFirstColumn="0" w:lastRowLastColumn="0"/>
            <w:tcW w:w="1247" w:type="dxa"/>
            <w:noWrap/>
          </w:tcPr>
          <w:p w:rsidR="00C93401" w:rsidRPr="00E70142" w:rsidRDefault="00C93401" w:rsidP="007E4CAF">
            <w:pPr>
              <w:pStyle w:val="Tabletextleft"/>
            </w:pPr>
            <w:r w:rsidRPr="00E70142">
              <w:t>Mentions</w:t>
            </w:r>
          </w:p>
        </w:tc>
      </w:tr>
      <w:tr w:rsidR="00C93401" w:rsidRPr="00E70142" w:rsidTr="00A016D7">
        <w:trPr>
          <w:cnfStyle w:val="000000100000" w:firstRow="0" w:lastRow="0" w:firstColumn="0" w:lastColumn="0" w:oddVBand="0" w:evenVBand="0" w:oddHBand="1" w:evenHBand="0" w:firstRowFirstColumn="0" w:firstRowLastColumn="0" w:lastRowFirstColumn="0" w:lastRowLastColumn="0"/>
          <w:trHeight w:val="255"/>
        </w:trPr>
        <w:tc>
          <w:tcPr>
            <w:cnfStyle w:val="000010000000" w:firstRow="0" w:lastRow="0" w:firstColumn="0" w:lastColumn="0" w:oddVBand="1" w:evenVBand="0" w:oddHBand="0" w:evenHBand="0" w:firstRowFirstColumn="0" w:firstRowLastColumn="0" w:lastRowFirstColumn="0" w:lastRowLastColumn="0"/>
            <w:tcW w:w="1456" w:type="dxa"/>
            <w:noWrap/>
          </w:tcPr>
          <w:p w:rsidR="00C93401" w:rsidRPr="00D644D5" w:rsidRDefault="00C93401" w:rsidP="007E4CAF">
            <w:pPr>
              <w:pStyle w:val="Tabletextleft"/>
              <w:rPr>
                <w:szCs w:val="18"/>
              </w:rPr>
            </w:pPr>
            <w:r w:rsidRPr="00D644D5">
              <w:rPr>
                <w:szCs w:val="18"/>
              </w:rPr>
              <w:t>216</w:t>
            </w:r>
          </w:p>
        </w:tc>
        <w:tc>
          <w:tcPr>
            <w:tcW w:w="1406" w:type="dxa"/>
            <w:noWrap/>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458</w:t>
            </w:r>
          </w:p>
        </w:tc>
        <w:tc>
          <w:tcPr>
            <w:cnfStyle w:val="000010000000" w:firstRow="0" w:lastRow="0" w:firstColumn="0" w:lastColumn="0" w:oddVBand="1" w:evenVBand="0" w:oddHBand="0" w:evenHBand="0" w:firstRowFirstColumn="0" w:firstRowLastColumn="0" w:lastRowFirstColumn="0" w:lastRowLastColumn="0"/>
            <w:tcW w:w="1026" w:type="dxa"/>
            <w:noWrap/>
          </w:tcPr>
          <w:p w:rsidR="00C93401" w:rsidRPr="00D644D5" w:rsidRDefault="00C93401" w:rsidP="007E4CAF">
            <w:pPr>
              <w:pStyle w:val="Tabletextleft"/>
              <w:rPr>
                <w:szCs w:val="18"/>
              </w:rPr>
            </w:pPr>
            <w:r w:rsidRPr="00D644D5">
              <w:rPr>
                <w:szCs w:val="18"/>
              </w:rPr>
              <w:t>439</w:t>
            </w:r>
          </w:p>
        </w:tc>
        <w:tc>
          <w:tcPr>
            <w:tcW w:w="1297" w:type="dxa"/>
            <w:noWrap/>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89</w:t>
            </w:r>
          </w:p>
        </w:tc>
        <w:tc>
          <w:tcPr>
            <w:cnfStyle w:val="000010000000" w:firstRow="0" w:lastRow="0" w:firstColumn="0" w:lastColumn="0" w:oddVBand="1" w:evenVBand="0" w:oddHBand="0" w:evenHBand="0" w:firstRowFirstColumn="0" w:firstRowLastColumn="0" w:lastRowFirstColumn="0" w:lastRowLastColumn="0"/>
            <w:tcW w:w="1247" w:type="dxa"/>
            <w:noWrap/>
          </w:tcPr>
          <w:p w:rsidR="00C93401" w:rsidRPr="00D644D5" w:rsidRDefault="00C93401" w:rsidP="007E4CAF">
            <w:pPr>
              <w:pStyle w:val="Tabletextleft"/>
              <w:rPr>
                <w:szCs w:val="18"/>
              </w:rPr>
            </w:pPr>
            <w:r w:rsidRPr="00D644D5">
              <w:rPr>
                <w:szCs w:val="18"/>
              </w:rPr>
              <w:t>133</w:t>
            </w:r>
          </w:p>
        </w:tc>
      </w:tr>
    </w:tbl>
    <w:p w:rsidR="00192E38" w:rsidRPr="00356CC4" w:rsidRDefault="00192E38" w:rsidP="00C93401">
      <w:pPr>
        <w:pStyle w:val="BodyText"/>
        <w:rPr>
          <w:rStyle w:val="Bold"/>
        </w:rPr>
      </w:pPr>
      <w:r w:rsidRPr="00356CC4">
        <w:rPr>
          <w:rStyle w:val="Bold"/>
        </w:rPr>
        <w:t>b)</w:t>
      </w:r>
    </w:p>
    <w:tbl>
      <w:tblPr>
        <w:tblStyle w:val="TableGAHeaderRow"/>
        <w:tblW w:w="5474" w:type="dxa"/>
        <w:tblLook w:val="01E0" w:firstRow="1" w:lastRow="1" w:firstColumn="1" w:lastColumn="1" w:noHBand="0" w:noVBand="0"/>
        <w:tblDescription w:val="This table is in two parts and shows some key statistics for the Twitter and Facebook accounts, respectively, as at 24 August 2012.&#10;&#10;Part a) shows that the Twitter account had 216 followers, was following 458 people, had produced 439 tweets, had been retweeted 89 times, and mentioned 133 times.&#10;&#10;Part b) shows that the Facebook account had 996 fans, had produced 226 posts, had had posts shared 584 times, and had received 5061 likes for its posted content."/>
      </w:tblPr>
      <w:tblGrid>
        <w:gridCol w:w="893"/>
        <w:gridCol w:w="1462"/>
        <w:gridCol w:w="1402"/>
        <w:gridCol w:w="1717"/>
      </w:tblGrid>
      <w:tr w:rsidR="00C93401" w:rsidRPr="005C4DDA" w:rsidTr="009C356C">
        <w:trPr>
          <w:cnfStyle w:val="100000000000" w:firstRow="1" w:lastRow="0" w:firstColumn="0" w:lastColumn="0" w:oddVBand="0" w:evenVBand="0" w:oddHBand="0" w:evenHBand="0" w:firstRowFirstColumn="0" w:firstRowLastColumn="0" w:lastRowFirstColumn="0" w:lastRowLastColumn="0"/>
          <w:cantSplit w:val="0"/>
          <w:tblHeader/>
        </w:trPr>
        <w:tc>
          <w:tcPr>
            <w:cnfStyle w:val="000010000000" w:firstRow="0" w:lastRow="0" w:firstColumn="0" w:lastColumn="0" w:oddVBand="1" w:evenVBand="0" w:oddHBand="0" w:evenHBand="0" w:firstRowFirstColumn="0" w:firstRowLastColumn="0" w:lastRowFirstColumn="0" w:lastRowLastColumn="0"/>
            <w:tcW w:w="816" w:type="pct"/>
          </w:tcPr>
          <w:p w:rsidR="00C93401" w:rsidRPr="006164A0" w:rsidRDefault="00C93401" w:rsidP="007E4CAF">
            <w:pPr>
              <w:pStyle w:val="Tabletextleft"/>
            </w:pPr>
            <w:r w:rsidRPr="006164A0">
              <w:t>Fans</w:t>
            </w:r>
          </w:p>
        </w:tc>
        <w:tc>
          <w:tcPr>
            <w:tcW w:w="1335" w:type="pct"/>
          </w:tcPr>
          <w:p w:rsidR="00C93401" w:rsidRPr="006164A0" w:rsidRDefault="00C93401" w:rsidP="007E4CAF">
            <w:pPr>
              <w:pStyle w:val="Tabletextleft"/>
              <w:cnfStyle w:val="100000000000" w:firstRow="1" w:lastRow="0" w:firstColumn="0" w:lastColumn="0" w:oddVBand="0" w:evenVBand="0" w:oddHBand="0" w:evenHBand="0" w:firstRowFirstColumn="0" w:firstRowLastColumn="0" w:lastRowFirstColumn="0" w:lastRowLastColumn="0"/>
            </w:pPr>
            <w:r w:rsidRPr="006164A0">
              <w:t>Posts</w:t>
            </w:r>
            <w:r w:rsidRPr="00CF07C2">
              <w:rPr>
                <w:rStyle w:val="Superscript"/>
              </w:rPr>
              <w:t>1</w:t>
            </w:r>
            <w:r w:rsidRPr="006164A0">
              <w:t xml:space="preserve"> by 34</w:t>
            </w:r>
            <w:r w:rsidRPr="00CF07C2">
              <w:rPr>
                <w:rStyle w:val="Superscript"/>
              </w:rPr>
              <w:t>th</w:t>
            </w:r>
            <w:r w:rsidRPr="006164A0">
              <w:t xml:space="preserve"> IGC</w:t>
            </w:r>
          </w:p>
        </w:tc>
        <w:tc>
          <w:tcPr>
            <w:cnfStyle w:val="000010000000" w:firstRow="0" w:lastRow="0" w:firstColumn="0" w:lastColumn="0" w:oddVBand="1" w:evenVBand="0" w:oddHBand="0" w:evenHBand="0" w:firstRowFirstColumn="0" w:firstRowLastColumn="0" w:lastRowFirstColumn="0" w:lastRowLastColumn="0"/>
            <w:tcW w:w="1281" w:type="pct"/>
          </w:tcPr>
          <w:p w:rsidR="00C93401" w:rsidRPr="006164A0" w:rsidRDefault="00C93401" w:rsidP="007E4CAF">
            <w:pPr>
              <w:pStyle w:val="Tabletextleft"/>
            </w:pPr>
            <w:r w:rsidRPr="006164A0">
              <w:t>Shares by fans</w:t>
            </w:r>
            <w:r w:rsidRPr="00CF07C2">
              <w:rPr>
                <w:rStyle w:val="Superscript"/>
              </w:rPr>
              <w:t>2</w:t>
            </w:r>
          </w:p>
        </w:tc>
        <w:tc>
          <w:tcPr>
            <w:tcW w:w="1568" w:type="pct"/>
          </w:tcPr>
          <w:p w:rsidR="00C93401" w:rsidRPr="006164A0" w:rsidRDefault="00C93401" w:rsidP="007E4CAF">
            <w:pPr>
              <w:pStyle w:val="Tabletextleft"/>
              <w:cnfStyle w:val="100000000000" w:firstRow="1" w:lastRow="0" w:firstColumn="0" w:lastColumn="0" w:oddVBand="0" w:evenVBand="0" w:oddHBand="0" w:evenHBand="0" w:firstRowFirstColumn="0" w:firstRowLastColumn="0" w:lastRowFirstColumn="0" w:lastRowLastColumn="0"/>
            </w:pPr>
            <w:r w:rsidRPr="006164A0">
              <w:t>Total Likes of 34</w:t>
            </w:r>
            <w:r w:rsidRPr="00CF07C2">
              <w:rPr>
                <w:rStyle w:val="Superscript"/>
              </w:rPr>
              <w:t>th</w:t>
            </w:r>
            <w:r w:rsidRPr="006164A0">
              <w:t xml:space="preserve"> IGC posts</w:t>
            </w:r>
            <w:r w:rsidRPr="00CF07C2">
              <w:rPr>
                <w:rStyle w:val="Superscript"/>
              </w:rPr>
              <w:t>3</w:t>
            </w:r>
          </w:p>
        </w:tc>
      </w:tr>
      <w:tr w:rsidR="00C93401" w:rsidTr="009C356C">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816" w:type="pct"/>
          </w:tcPr>
          <w:p w:rsidR="00C93401" w:rsidRPr="00D644D5" w:rsidRDefault="00C93401" w:rsidP="007E4CAF">
            <w:pPr>
              <w:pStyle w:val="Tabletextleft"/>
              <w:rPr>
                <w:szCs w:val="18"/>
              </w:rPr>
            </w:pPr>
            <w:r w:rsidRPr="00D644D5">
              <w:rPr>
                <w:szCs w:val="18"/>
              </w:rPr>
              <w:t>996</w:t>
            </w:r>
          </w:p>
        </w:tc>
        <w:tc>
          <w:tcPr>
            <w:tcW w:w="1335"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226</w:t>
            </w:r>
          </w:p>
        </w:tc>
        <w:tc>
          <w:tcPr>
            <w:cnfStyle w:val="000010000000" w:firstRow="0" w:lastRow="0" w:firstColumn="0" w:lastColumn="0" w:oddVBand="1" w:evenVBand="0" w:oddHBand="0" w:evenHBand="0" w:firstRowFirstColumn="0" w:firstRowLastColumn="0" w:lastRowFirstColumn="0" w:lastRowLastColumn="0"/>
            <w:tcW w:w="1281" w:type="pct"/>
          </w:tcPr>
          <w:p w:rsidR="00C93401" w:rsidRPr="00D644D5" w:rsidRDefault="00C93401" w:rsidP="007E4CAF">
            <w:pPr>
              <w:pStyle w:val="Tabletextleft"/>
              <w:rPr>
                <w:szCs w:val="18"/>
              </w:rPr>
            </w:pPr>
            <w:r w:rsidRPr="00D644D5">
              <w:rPr>
                <w:szCs w:val="18"/>
              </w:rPr>
              <w:t>584</w:t>
            </w:r>
          </w:p>
        </w:tc>
        <w:tc>
          <w:tcPr>
            <w:tcW w:w="1568" w:type="pct"/>
          </w:tcPr>
          <w:p w:rsidR="00C93401" w:rsidRPr="00D644D5" w:rsidRDefault="00C93401" w:rsidP="007E4CAF">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5061</w:t>
            </w:r>
          </w:p>
        </w:tc>
      </w:tr>
    </w:tbl>
    <w:p w:rsidR="00C93401" w:rsidRPr="00BA7A07" w:rsidRDefault="00C93401" w:rsidP="00C93401">
      <w:pPr>
        <w:pStyle w:val="BodyText"/>
      </w:pPr>
      <w:r w:rsidRPr="00BA7A07">
        <w:t xml:space="preserve">Notably the Facebook page had five times the number of fans than followers on Twitter. This could be due to a number of reasons. Firstly, there was inexperienced in using Twitter relative to Facebook as prior to this project none of the managers had a Twitter account, while nearly all had a Facebook </w:t>
      </w:r>
      <w:r w:rsidRPr="00BA7A07">
        <w:lastRenderedPageBreak/>
        <w:t xml:space="preserve">account. Secondly, Facebook has a much larger user-base than Twitter and so there is a smaller pool of users to connect with using Twitter. However, when the ratio of the number of active Facebook and Twitter users worldwide (6.7:1) is compared to the number of Facebook fans and Twitter followers of the </w:t>
      </w:r>
      <w:r w:rsidRPr="00BA7A07">
        <w:rPr>
          <w:szCs w:val="21"/>
        </w:rPr>
        <w:t>34</w:t>
      </w:r>
      <w:r w:rsidRPr="00CF07C2">
        <w:rPr>
          <w:rStyle w:val="Superscript"/>
        </w:rPr>
        <w:t>th</w:t>
      </w:r>
      <w:r w:rsidRPr="00BA7A07">
        <w:t xml:space="preserve"> IGC accounts (4.5:1) it can be seen that the </w:t>
      </w:r>
      <w:r w:rsidRPr="00BA7A07">
        <w:rPr>
          <w:szCs w:val="21"/>
        </w:rPr>
        <w:t>34</w:t>
      </w:r>
      <w:r w:rsidRPr="00CF07C2">
        <w:rPr>
          <w:rStyle w:val="Superscript"/>
        </w:rPr>
        <w:t>th</w:t>
      </w:r>
      <w:r w:rsidRPr="00BA7A07">
        <w:t xml:space="preserve"> IGC accounts were performing more equally than the global average at the time (MBA, 2012). Finally, as Twitter is a real time micro-blogging platform the amount of time allocated to manage the account could have been inadequate to do so successfully.</w:t>
      </w:r>
    </w:p>
    <w:p w:rsidR="00C93401" w:rsidRPr="00BA7A07" w:rsidRDefault="00C93401" w:rsidP="00C93401">
      <w:pPr>
        <w:pStyle w:val="BodyText"/>
      </w:pPr>
      <w:r w:rsidRPr="00BA7A07">
        <w:t>The web-service, Map my Followers (Scotia Systems, 2012) was used to map the location of the followers of the 34</w:t>
      </w:r>
      <w:r w:rsidRPr="00CF07C2">
        <w:rPr>
          <w:rStyle w:val="Superscript"/>
        </w:rPr>
        <w:t>th</w:t>
      </w:r>
      <w:r w:rsidRPr="00BA7A07">
        <w:t xml:space="preserve"> IGC Twitter account. As </w:t>
      </w:r>
      <w:r w:rsidRPr="00BA7A07">
        <w:fldChar w:fldCharType="begin"/>
      </w:r>
      <w:r w:rsidRPr="00BA7A07">
        <w:instrText xml:space="preserve"> REF _Ref338169398 \h  \* MERGEFORMAT </w:instrText>
      </w:r>
      <w:r w:rsidRPr="00BA7A07">
        <w:fldChar w:fldCharType="separate"/>
      </w:r>
      <w:r w:rsidR="00EB5AC4" w:rsidRPr="00EB5AC4">
        <w:t>Figure 4.5</w:t>
      </w:r>
      <w:r w:rsidRPr="00BA7A07">
        <w:fldChar w:fldCharType="end"/>
      </w:r>
      <w:r w:rsidRPr="00BA7A07">
        <w:t xml:space="preserve"> shows, a majority of the followers are located in three regions: Australia, the United States of America and Europe. Similarly, </w:t>
      </w:r>
      <w:r w:rsidRPr="00BA7A07">
        <w:fldChar w:fldCharType="begin"/>
      </w:r>
      <w:r w:rsidRPr="00BA7A07">
        <w:instrText xml:space="preserve"> REF _Ref338169527 \h  \* MERGEFORMAT </w:instrText>
      </w:r>
      <w:r w:rsidRPr="00BA7A07">
        <w:fldChar w:fldCharType="separate"/>
      </w:r>
      <w:r w:rsidR="00EB5AC4" w:rsidRPr="00EB5AC4">
        <w:t>Figure 4.6</w:t>
      </w:r>
      <w:r w:rsidRPr="00BA7A07">
        <w:fldChar w:fldCharType="end"/>
      </w:r>
      <w:r w:rsidRPr="00BA7A07">
        <w:t xml:space="preserve"> shows the highest count of 34</w:t>
      </w:r>
      <w:r w:rsidRPr="00CF07C2">
        <w:rPr>
          <w:rStyle w:val="Superscript"/>
        </w:rPr>
        <w:t>th</w:t>
      </w:r>
      <w:r w:rsidRPr="00BA7A07">
        <w:t xml:space="preserve"> IGC Facebook fans was located in Australia. This is expected as Australia had the highest number of delegates of any country at the </w:t>
      </w:r>
      <w:r w:rsidRPr="00BA7A07">
        <w:rPr>
          <w:szCs w:val="21"/>
        </w:rPr>
        <w:t>34</w:t>
      </w:r>
      <w:r w:rsidRPr="00CF07C2">
        <w:rPr>
          <w:rStyle w:val="Superscript"/>
        </w:rPr>
        <w:t>th</w:t>
      </w:r>
      <w:r w:rsidRPr="00BA7A07">
        <w:t xml:space="preserve"> IGC. However, it should be noted that these datasets are only representative of Facebook fans and Twitter followers who have nominated a country as part of their profile. This is not a mandatory field, so these datasets are not inclusive of all social media users.</w:t>
      </w:r>
    </w:p>
    <w:p w:rsidR="00C93401" w:rsidRDefault="00296658" w:rsidP="00AD0DF8">
      <w:pPr>
        <w:pStyle w:val="Figuresandimagescentred"/>
      </w:pPr>
      <w:r>
        <w:rPr>
          <w:noProof/>
        </w:rPr>
        <w:drawing>
          <wp:inline distT="0" distB="0" distL="0" distR="0" wp14:anchorId="674BD3E3" wp14:editId="630CA9B8">
            <wp:extent cx="4371975" cy="2219325"/>
            <wp:effectExtent l="19050" t="19050" r="9525" b="9525"/>
            <wp:docPr id="27" name="Picture 27" descr="This figure illustrates the global distribution of the 34th IGC Twitter account followers on 24 August. There are Twitter followers on all inhabited continents with large concentrations of followers in Europe, North America and Australia. Africa, Asia and South America also have followers but not nearly as 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is figure illustrates the global distribution of the 34th IGC Twitter account followers on 24 August. There are Twitter followers on all inhabited continents with large concentrations of followers in Europe, North America and Australia. Africa, Asia and South America also have followers but not nearly as many."/>
                    <pic:cNvPicPr>
                      <a:picLocks noChangeAspect="1" noChangeArrowheads="1"/>
                    </pic:cNvPicPr>
                  </pic:nvPicPr>
                  <pic:blipFill>
                    <a:blip r:embed="rId39">
                      <a:extLst>
                        <a:ext uri="{28A0092B-C50C-407E-A947-70E740481C1C}">
                          <a14:useLocalDpi xmlns:a14="http://schemas.microsoft.com/office/drawing/2010/main" val="0"/>
                        </a:ext>
                      </a:extLst>
                    </a:blip>
                    <a:srcRect l="2080" r="14558" b="3960"/>
                    <a:stretch>
                      <a:fillRect/>
                    </a:stretch>
                  </pic:blipFill>
                  <pic:spPr bwMode="auto">
                    <a:xfrm>
                      <a:off x="0" y="0"/>
                      <a:ext cx="4371975" cy="2219325"/>
                    </a:xfrm>
                    <a:prstGeom prst="rect">
                      <a:avLst/>
                    </a:prstGeom>
                    <a:noFill/>
                    <a:ln w="6350" cmpd="sng">
                      <a:solidFill>
                        <a:srgbClr val="000000"/>
                      </a:solidFill>
                      <a:miter lim="800000"/>
                      <a:headEnd/>
                      <a:tailEnd/>
                    </a:ln>
                    <a:effectLst/>
                  </pic:spPr>
                </pic:pic>
              </a:graphicData>
            </a:graphic>
          </wp:inline>
        </w:drawing>
      </w:r>
    </w:p>
    <w:p w:rsidR="00C93401" w:rsidRDefault="00C93401" w:rsidP="00C93401">
      <w:pPr>
        <w:pStyle w:val="Caption"/>
      </w:pPr>
      <w:bookmarkStart w:id="273" w:name="_Ref338169398"/>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5</w:t>
      </w:r>
      <w:r w:rsidRPr="00D27C1C">
        <w:rPr>
          <w:rStyle w:val="Strong"/>
        </w:rPr>
        <w:fldChar w:fldCharType="end"/>
      </w:r>
      <w:bookmarkEnd w:id="273"/>
      <w:r w:rsidRPr="00356CC4">
        <w:rPr>
          <w:rStyle w:val="Bold"/>
        </w:rPr>
        <w:t>:</w:t>
      </w:r>
      <w:r w:rsidRPr="003A2F94">
        <w:t xml:space="preserve"> </w:t>
      </w:r>
      <w:r>
        <w:t xml:space="preserve">Global distribution of the </w:t>
      </w:r>
      <w:r w:rsidRPr="008D2CA0">
        <w:rPr>
          <w:szCs w:val="21"/>
        </w:rPr>
        <w:t>34</w:t>
      </w:r>
      <w:r w:rsidRPr="00CF07C2">
        <w:rPr>
          <w:rStyle w:val="Superscript"/>
        </w:rPr>
        <w:t>th</w:t>
      </w:r>
      <w:r w:rsidRPr="00F90DA9">
        <w:t xml:space="preserve"> IGC Twitter account followers </w:t>
      </w:r>
      <w:r>
        <w:t xml:space="preserve">on 24 August 2012 </w:t>
      </w:r>
      <w:r w:rsidRPr="00F90DA9">
        <w:t>(</w:t>
      </w:r>
      <w:r>
        <w:t>Scotia Systems, 2012</w:t>
      </w:r>
      <w:r w:rsidRPr="00F90DA9">
        <w:t>).</w:t>
      </w:r>
    </w:p>
    <w:p w:rsidR="00C93401" w:rsidRDefault="00296658" w:rsidP="00AD0DF8">
      <w:pPr>
        <w:pStyle w:val="Figuresandimagescentred"/>
      </w:pPr>
      <w:r>
        <w:rPr>
          <w:noProof/>
        </w:rPr>
        <w:drawing>
          <wp:inline distT="0" distB="0" distL="0" distR="0" wp14:anchorId="77D7D427" wp14:editId="2DF2D3FB">
            <wp:extent cx="5219700" cy="2305050"/>
            <wp:effectExtent l="0" t="0" r="0" b="0"/>
            <wp:docPr id="28" name="Picture 28" descr="This figure illustrates the global distribution of the 34th IGC Facebook account fans on 24 August. There are Facebook fans on all inhabited continents with Australia having the largest number at 204 fans. The United States of America, India and Brazil follow with 106, 89 and 50 fans respectively. The rest of the countries of the world have lower fan densities with many countries in South America, Africa and central Asia containing no fans at 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is figure illustrates the global distribution of the 34th IGC Facebook account fans on 24 August. There are Facebook fans on all inhabited continents with Australia having the largest number at 204 fans. The United States of America, India and Brazil follow with 106, 89 and 50 fans respectively. The rest of the countries of the world have lower fan densities with many countries in South America, Africa and central Asia containing no fans at all."/>
                    <pic:cNvPicPr>
                      <a:picLocks noChangeAspect="1" noChangeArrowheads="1"/>
                    </pic:cNvPicPr>
                  </pic:nvPicPr>
                  <pic:blipFill>
                    <a:blip r:embed="rId40" cstate="print">
                      <a:extLst>
                        <a:ext uri="{28A0092B-C50C-407E-A947-70E740481C1C}">
                          <a14:useLocalDpi xmlns:a14="http://schemas.microsoft.com/office/drawing/2010/main" val="0"/>
                        </a:ext>
                      </a:extLst>
                    </a:blip>
                    <a:srcRect t="4059" b="16547"/>
                    <a:stretch>
                      <a:fillRect/>
                    </a:stretch>
                  </pic:blipFill>
                  <pic:spPr bwMode="auto">
                    <a:xfrm>
                      <a:off x="0" y="0"/>
                      <a:ext cx="5219700" cy="2305050"/>
                    </a:xfrm>
                    <a:prstGeom prst="rect">
                      <a:avLst/>
                    </a:prstGeom>
                    <a:noFill/>
                    <a:ln>
                      <a:noFill/>
                    </a:ln>
                  </pic:spPr>
                </pic:pic>
              </a:graphicData>
            </a:graphic>
          </wp:inline>
        </w:drawing>
      </w:r>
    </w:p>
    <w:p w:rsidR="00C93401" w:rsidRPr="003A2F94" w:rsidRDefault="00C93401" w:rsidP="00C93401">
      <w:pPr>
        <w:pStyle w:val="Caption"/>
      </w:pPr>
      <w:bookmarkStart w:id="274" w:name="_Ref338169527"/>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6</w:t>
      </w:r>
      <w:r w:rsidRPr="00D27C1C">
        <w:rPr>
          <w:rStyle w:val="Strong"/>
        </w:rPr>
        <w:fldChar w:fldCharType="end"/>
      </w:r>
      <w:bookmarkEnd w:id="274"/>
      <w:r w:rsidRPr="00356CC4">
        <w:rPr>
          <w:rStyle w:val="Bold"/>
        </w:rPr>
        <w:t>:</w:t>
      </w:r>
      <w:r w:rsidRPr="003A2F94">
        <w:t xml:space="preserve"> </w:t>
      </w:r>
      <w:r w:rsidRPr="00F90DA9">
        <w:t>Global distribution of the 34</w:t>
      </w:r>
      <w:r w:rsidRPr="00CF07C2">
        <w:rPr>
          <w:rStyle w:val="Superscript"/>
        </w:rPr>
        <w:t>th</w:t>
      </w:r>
      <w:r w:rsidRPr="00F90DA9">
        <w:t xml:space="preserve"> IGC Facebook page fans</w:t>
      </w:r>
      <w:r>
        <w:t xml:space="preserve"> on 24 August 2012</w:t>
      </w:r>
      <w:r w:rsidRPr="00F90DA9">
        <w:t>.</w:t>
      </w:r>
    </w:p>
    <w:p w:rsidR="00C93401" w:rsidRPr="00BA7A07" w:rsidRDefault="00C93401" w:rsidP="00C93401">
      <w:pPr>
        <w:pStyle w:val="BodyText"/>
      </w:pPr>
      <w:r w:rsidRPr="00BA7A07">
        <w:lastRenderedPageBreak/>
        <w:t xml:space="preserve">Both maps show that the social media pages were reaching a truly global audience, with fans and followers located in every continent and therefore, are an appropriate mediam to be used for disseminating information about an international conference. However, there is a distinct lack of fans from China, who had the second largest number of delegates attending the congress after Australia. This is due to the social media restriction on Facebook in China, where different social media platforms (Sina Weibo and Renren) are used instead. </w:t>
      </w:r>
    </w:p>
    <w:p w:rsidR="00C93401" w:rsidRPr="00BA7A07" w:rsidRDefault="00C93401" w:rsidP="00C93401">
      <w:pPr>
        <w:pStyle w:val="BodyText"/>
      </w:pPr>
      <w:r w:rsidRPr="00BA7A07">
        <w:t>Map my Followers also provided a cloud diagram of the most common terms that followers of the 34</w:t>
      </w:r>
      <w:r w:rsidRPr="00CF07C2">
        <w:rPr>
          <w:rStyle w:val="Superscript"/>
        </w:rPr>
        <w:t>th</w:t>
      </w:r>
      <w:r w:rsidRPr="00BA7A07">
        <w:t xml:space="preserve"> IGC Twitter account used in their biographies to describe themselves and their interests (</w:t>
      </w:r>
      <w:r w:rsidRPr="00BA7A07">
        <w:fldChar w:fldCharType="begin"/>
      </w:r>
      <w:r w:rsidRPr="00BA7A07">
        <w:instrText xml:space="preserve"> REF _Ref338169628 \h  \* MERGEFORMAT </w:instrText>
      </w:r>
      <w:r w:rsidRPr="00BA7A07">
        <w:fldChar w:fldCharType="separate"/>
      </w:r>
      <w:r w:rsidR="00EB5AC4" w:rsidRPr="00EB5AC4">
        <w:t>Figure 4.7</w:t>
      </w:r>
      <w:r w:rsidRPr="00BA7A07">
        <w:fldChar w:fldCharType="end"/>
      </w:r>
      <w:r w:rsidRPr="00BA7A07">
        <w:t xml:space="preserve">). The darker and larger the size of the word, the more prevalent it was in followers’ biographies. The three most common words used by followers to describe themselves were: science, geologist and geology. Other words of note include: mining, university, PhD, energy, student, exploration and gas. These key terms are interesting because they are either strongly related to two of the </w:t>
      </w:r>
      <w:r w:rsidRPr="00BA7A07">
        <w:rPr>
          <w:szCs w:val="21"/>
        </w:rPr>
        <w:t>34</w:t>
      </w:r>
      <w:r w:rsidRPr="00CF07C2">
        <w:rPr>
          <w:rStyle w:val="Superscript"/>
        </w:rPr>
        <w:t>th</w:t>
      </w:r>
      <w:r w:rsidRPr="00BA7A07">
        <w:t xml:space="preserve"> IGC plenary sessions, resourcing China and energy security, or have an association with research and students. Further, there is a view that hosting the </w:t>
      </w:r>
      <w:r w:rsidRPr="00BA7A07">
        <w:rPr>
          <w:szCs w:val="21"/>
        </w:rPr>
        <w:t>34</w:t>
      </w:r>
      <w:r w:rsidRPr="00CF07C2">
        <w:rPr>
          <w:rStyle w:val="Superscript"/>
        </w:rPr>
        <w:t>th</w:t>
      </w:r>
      <w:r w:rsidRPr="00BA7A07">
        <w:t xml:space="preserve"> IGC drives geoscience innovation, research and PhD uptake in the host country, and the fact that many of the Twitter account’s followers associate themselves with research and tertiary study perhaps indicates that there is a valid foundation for this view.</w:t>
      </w:r>
    </w:p>
    <w:p w:rsidR="00C93401" w:rsidRDefault="00296658" w:rsidP="00AD0DF8">
      <w:pPr>
        <w:pStyle w:val="Figuresandimagescentred"/>
      </w:pPr>
      <w:r>
        <w:rPr>
          <w:noProof/>
        </w:rPr>
        <w:drawing>
          <wp:inline distT="0" distB="0" distL="0" distR="0" wp14:anchorId="57BB08BE" wp14:editId="3D4B4295">
            <wp:extent cx="4686300" cy="1809750"/>
            <wp:effectExtent l="19050" t="19050" r="0" b="0"/>
            <wp:docPr id="29" name="Picture 29" descr="This figure illustrates the most common terms that 34th IGC Twitter account followers use to describe themselves in their Twitter profiles. The most commonly used term is “science” followed by “geology” and “geologist”. Other notable terms used include “mining”, “university”, “Australia”, “exploration” and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is figure illustrates the most common terms that 34th IGC Twitter account followers use to describe themselves in their Twitter profiles. The most commonly used term is “science” followed by “geology” and “geologist”. Other notable terms used include “mining”, “university”, “Australia”, “exploration” and “eart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6300" cy="1809750"/>
                    </a:xfrm>
                    <a:prstGeom prst="rect">
                      <a:avLst/>
                    </a:prstGeom>
                    <a:noFill/>
                    <a:ln w="6350" cmpd="sng">
                      <a:solidFill>
                        <a:srgbClr val="000000"/>
                      </a:solidFill>
                      <a:miter lim="800000"/>
                      <a:headEnd/>
                      <a:tailEnd/>
                    </a:ln>
                    <a:effectLst/>
                  </pic:spPr>
                </pic:pic>
              </a:graphicData>
            </a:graphic>
          </wp:inline>
        </w:drawing>
      </w:r>
    </w:p>
    <w:p w:rsidR="00C93401" w:rsidRDefault="00C93401" w:rsidP="00C93401">
      <w:pPr>
        <w:pStyle w:val="Caption"/>
      </w:pPr>
      <w:bookmarkStart w:id="275" w:name="_Ref338169628"/>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7</w:t>
      </w:r>
      <w:r w:rsidRPr="00D27C1C">
        <w:rPr>
          <w:rStyle w:val="Strong"/>
        </w:rPr>
        <w:fldChar w:fldCharType="end"/>
      </w:r>
      <w:bookmarkEnd w:id="275"/>
      <w:r w:rsidRPr="00356CC4">
        <w:rPr>
          <w:rStyle w:val="Bold"/>
        </w:rPr>
        <w:t>:</w:t>
      </w:r>
      <w:r w:rsidRPr="003A2F94">
        <w:t xml:space="preserve"> </w:t>
      </w:r>
      <w:r w:rsidRPr="00F90DA9">
        <w:t>Cloud diagram of commonly used terms associated with the 34</w:t>
      </w:r>
      <w:r w:rsidRPr="00CF07C2">
        <w:rPr>
          <w:rStyle w:val="Superscript"/>
        </w:rPr>
        <w:t>th</w:t>
      </w:r>
      <w:r>
        <w:t xml:space="preserve"> IGC Twitter account (Scotia Systems, 2012</w:t>
      </w:r>
      <w:r w:rsidRPr="00F90DA9">
        <w:t>).</w:t>
      </w:r>
    </w:p>
    <w:p w:rsidR="00C93401" w:rsidRPr="00E70142" w:rsidRDefault="00C93401" w:rsidP="00C93401">
      <w:pPr>
        <w:pStyle w:val="Heading3"/>
      </w:pPr>
      <w:bookmarkStart w:id="276" w:name="_Toc337721601"/>
      <w:bookmarkStart w:id="277" w:name="_Toc353282060"/>
      <w:bookmarkStart w:id="278" w:name="_Toc355274276"/>
      <w:r>
        <w:t>How Reach Changed Over Time</w:t>
      </w:r>
      <w:bookmarkEnd w:id="276"/>
      <w:bookmarkEnd w:id="277"/>
      <w:bookmarkEnd w:id="278"/>
    </w:p>
    <w:p w:rsidR="00C93401" w:rsidRPr="00BA7A07" w:rsidRDefault="00C93401" w:rsidP="00C93401">
      <w:pPr>
        <w:pStyle w:val="BodyText"/>
      </w:pPr>
      <w:r w:rsidRPr="00BA7A07">
        <w:t xml:space="preserve">The reach of a social media account is a reference to how visible and accessible that account is, and as a consequence, any information that is created and shared through it. Although implicitly related to interaction (see Section </w:t>
      </w:r>
      <w:r w:rsidRPr="00BA7A07">
        <w:fldChar w:fldCharType="begin"/>
      </w:r>
      <w:r w:rsidRPr="00BA7A07">
        <w:instrText xml:space="preserve"> REF _Ref339016863 \n \h </w:instrText>
      </w:r>
      <w:r>
        <w:instrText xml:space="preserve"> \* MERGEFORMAT </w:instrText>
      </w:r>
      <w:r w:rsidRPr="00BA7A07">
        <w:fldChar w:fldCharType="separate"/>
      </w:r>
      <w:r w:rsidR="00EB5AC4">
        <w:t>4.5.3</w:t>
      </w:r>
      <w:r w:rsidRPr="00BA7A07">
        <w:fldChar w:fldCharType="end"/>
      </w:r>
      <w:r w:rsidRPr="00BA7A07">
        <w:t>), with greater interaction driving reach, this section will focus more specifically on the changes in the number of people following the Twitter account or liking the Facebook page through time, and the processes that drove these changes.</w:t>
      </w:r>
    </w:p>
    <w:p w:rsidR="00C93401" w:rsidRPr="00BA7A07" w:rsidRDefault="00C93401" w:rsidP="00C93401">
      <w:pPr>
        <w:pStyle w:val="BodyText"/>
      </w:pPr>
      <w:r w:rsidRPr="00BA7A07">
        <w:fldChar w:fldCharType="begin"/>
      </w:r>
      <w:r w:rsidRPr="00BA7A07">
        <w:instrText xml:space="preserve"> REF _Ref338170065 \h  \* MERGEFORMAT </w:instrText>
      </w:r>
      <w:r w:rsidRPr="00BA7A07">
        <w:fldChar w:fldCharType="separate"/>
      </w:r>
      <w:r w:rsidR="00EB5AC4" w:rsidRPr="00EB5AC4">
        <w:t>Figure 4.8</w:t>
      </w:r>
      <w:r w:rsidRPr="00BA7A07">
        <w:fldChar w:fldCharType="end"/>
      </w:r>
      <w:r w:rsidRPr="00BA7A07">
        <w:t xml:space="preserve">, shows how the number of fans on Facebook and followers on Twitter changed throughout the monitoring period (note that different scales are used for Facebook and Twitter). The graph shows that the followers of the Twitter account increased steadily with the exception of the last two weeks where followers decreased slightly. Fans of the Facebook page increased throughout the entire monitoring period, even after the end of the congress. This graph shows that both sites experienced periods of steady gradual growth with occasional bursts of rapid growth. The changes in reach of both </w:t>
      </w:r>
      <w:r w:rsidRPr="00BA7A07">
        <w:lastRenderedPageBreak/>
        <w:t>sites were very similar throughout the monitoring period and are now going to be examined in greater detail.</w:t>
      </w:r>
    </w:p>
    <w:p w:rsidR="00C93401" w:rsidRPr="00BA7A07" w:rsidRDefault="00C93401" w:rsidP="00C93401">
      <w:pPr>
        <w:pStyle w:val="BodyText"/>
      </w:pPr>
      <w:r w:rsidRPr="00BA7A07">
        <w:t>Many of the rapid increases coincided with either milestones in the advertising campaign of the account (</w:t>
      </w:r>
      <w:r w:rsidRPr="00BA7A07">
        <w:fldChar w:fldCharType="begin"/>
      </w:r>
      <w:r w:rsidRPr="00BA7A07">
        <w:instrText xml:space="preserve"> REF _Ref339529976 \h  \* MERGEFORMAT </w:instrText>
      </w:r>
      <w:r w:rsidRPr="00BA7A07">
        <w:fldChar w:fldCharType="separate"/>
      </w:r>
      <w:r w:rsidR="00EB5AC4" w:rsidRPr="00EB5AC4">
        <w:t>Table 4.3</w:t>
      </w:r>
      <w:r w:rsidRPr="00BA7A07">
        <w:fldChar w:fldCharType="end"/>
      </w:r>
      <w:r w:rsidRPr="00BA7A07">
        <w:t xml:space="preserve">), increased user generated interaction, or key events in the </w:t>
      </w:r>
      <w:r w:rsidRPr="00BA7A07">
        <w:rPr>
          <w:szCs w:val="21"/>
        </w:rPr>
        <w:t>34</w:t>
      </w:r>
      <w:r w:rsidRPr="00CF07C2">
        <w:rPr>
          <w:rStyle w:val="Superscript"/>
        </w:rPr>
        <w:t>th</w:t>
      </w:r>
      <w:r w:rsidRPr="00BA7A07">
        <w:t xml:space="preserve"> IGC calendar irrespective of who was managing the accounts (</w:t>
      </w:r>
      <w:r w:rsidRPr="00BA7A07">
        <w:fldChar w:fldCharType="begin"/>
      </w:r>
      <w:r w:rsidRPr="00BA7A07">
        <w:instrText xml:space="preserve"> REF _Ref338170065 \h  \* MERGEFORMAT </w:instrText>
      </w:r>
      <w:r w:rsidRPr="00BA7A07">
        <w:fldChar w:fldCharType="separate"/>
      </w:r>
      <w:r w:rsidR="00EB5AC4" w:rsidRPr="00EB5AC4">
        <w:t>Figure 4.8</w:t>
      </w:r>
      <w:r w:rsidRPr="00BA7A07">
        <w:fldChar w:fldCharType="end"/>
      </w:r>
      <w:r w:rsidRPr="00BA7A07">
        <w:t>). These rapid increases were during the following time periods: 4</w:t>
      </w:r>
      <w:r w:rsidR="0096088F">
        <w:t xml:space="preserve"> to </w:t>
      </w:r>
      <w:r w:rsidRPr="00BA7A07">
        <w:t>7 May 2012; 28</w:t>
      </w:r>
      <w:r w:rsidR="0096088F">
        <w:t xml:space="preserve"> to </w:t>
      </w:r>
      <w:r w:rsidRPr="00BA7A07">
        <w:t>30 May; 6</w:t>
      </w:r>
      <w:r w:rsidR="0096088F">
        <w:t xml:space="preserve"> to </w:t>
      </w:r>
      <w:r w:rsidRPr="00BA7A07">
        <w:t>8 June; and</w:t>
      </w:r>
      <w:r w:rsidR="00602511">
        <w:t>,</w:t>
      </w:r>
      <w:r w:rsidRPr="00BA7A07">
        <w:t xml:space="preserve"> 5</w:t>
      </w:r>
      <w:r w:rsidR="0096088F">
        <w:t xml:space="preserve"> to</w:t>
      </w:r>
      <w:r w:rsidRPr="00BA7A07">
        <w:t xml:space="preserve">10 August 2012. The largest increase occurred around 28 May and shows the power of advertising the social media pages. Before this date the number of followers and fans was small and consequently, it was very hard to generate user interaction and content. However, around 28 May the sites were advertised to delegates of the </w:t>
      </w:r>
      <w:r w:rsidRPr="00BA7A07">
        <w:rPr>
          <w:szCs w:val="21"/>
        </w:rPr>
        <w:t>34</w:t>
      </w:r>
      <w:r w:rsidRPr="00CF07C2">
        <w:rPr>
          <w:rStyle w:val="Superscript"/>
        </w:rPr>
        <w:t>th</w:t>
      </w:r>
      <w:r w:rsidRPr="00BA7A07">
        <w:t xml:space="preserve"> IGC through an email sent to all registered delegates, those submitting abstracts, sponsors, and organisations. In addition icons hyperlinked to the social media accounts were added to the </w:t>
      </w:r>
      <w:r w:rsidRPr="00BA7A07">
        <w:rPr>
          <w:szCs w:val="21"/>
        </w:rPr>
        <w:t>34</w:t>
      </w:r>
      <w:r w:rsidRPr="00CF07C2">
        <w:rPr>
          <w:rStyle w:val="Superscript"/>
        </w:rPr>
        <w:t>th</w:t>
      </w:r>
      <w:r w:rsidRPr="00BA7A07">
        <w:t xml:space="preserve"> IGC website. These advertisements caused the number of followers to grow to 100 on Twitter and the number of fans on Facebook spike to 400. The larger number of people led to much more interaction on the social media pages and made content management easier. </w:t>
      </w:r>
      <w:r w:rsidRPr="00BA7A07">
        <w:fldChar w:fldCharType="begin"/>
      </w:r>
      <w:r w:rsidRPr="00BA7A07">
        <w:instrText xml:space="preserve"> REF _Ref338170065 \h  \* MERGEFORMAT </w:instrText>
      </w:r>
      <w:r w:rsidRPr="00BA7A07">
        <w:fldChar w:fldCharType="separate"/>
      </w:r>
      <w:r w:rsidR="00EB5AC4" w:rsidRPr="00EB5AC4">
        <w:t>Figure 4.8</w:t>
      </w:r>
      <w:r w:rsidRPr="00BA7A07">
        <w:fldChar w:fldCharType="end"/>
      </w:r>
      <w:r w:rsidRPr="00BA7A07">
        <w:t xml:space="preserve"> also shows that the pages were advertised to delegates several more times before the congress and these periods corresponded to small rapid increases in the number of followers and fans. However, it should be noted that producing these advertisements took a considerable amount of time, which should be taken into consideration when planning a social media campaign or strategy.</w:t>
      </w:r>
    </w:p>
    <w:p w:rsidR="00C93401" w:rsidRPr="005C638C" w:rsidRDefault="00296658" w:rsidP="00AD0DF8">
      <w:pPr>
        <w:pStyle w:val="Figuresandimagescentred"/>
      </w:pPr>
      <w:r>
        <w:rPr>
          <w:noProof/>
        </w:rPr>
        <w:drawing>
          <wp:inline distT="0" distB="0" distL="0" distR="0" wp14:anchorId="0B4614A4" wp14:editId="1A928822">
            <wp:extent cx="5419725" cy="3362325"/>
            <wp:effectExtent l="0" t="0" r="0" b="0"/>
            <wp:docPr id="30" name="Picture 30" descr="This figure is a time series of the number of followers of the 34th IGC Facebook and Twitter accounts. The horizontal axis is labelled “Date” and goes from 16 April 2012 to 3 September 2012 in 20 day increments.&#10;The left vertical axis is labelled “Number of Facebook followers”, and goes from 0 to 1200 in increments of 200. The right vertical axis is labelled “Number of Twitter followers” and goes from 0 to 250 in increments of 50. There are two lines on the graph: “Facebook” against the left axis, “Twitter” against the right axis.&#10;&#10;The dates of important events have also been highlighted:&#10;&#10;Event Date&#10;Graduates take over account 23 April 2012&#10;Fieldtrip promotion starts 2 May 2012&#10;IGC website linked and email 28 May 2012&#10;5th circular released with ad 16 July 2012&#10;1st round of fieldtrips 30 July 2012&#10;IGC 5-10 August 2012&#10;2nd round of fieldtrips 13 August 2012&#10;&#10;See Section 4.5.2, paragraphs 2-5 for a detailed description of thi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is figure is a time series of the number of followers of the 34th IGC Facebook and Twitter accounts. The horizontal axis is labelled “Date” and goes from 16 April 2012 to 3 September 2012 in 20 day increments.&#10;The left vertical axis is labelled “Number of Facebook followers”, and goes from 0 to 1200 in increments of 200. The right vertical axis is labelled “Number of Twitter followers” and goes from 0 to 250 in increments of 50. There are two lines on the graph: “Facebook” against the left axis, “Twitter” against the right axis.&#10;&#10;The dates of important events have also been highlighted:&#10;&#10;Event Date&#10;Graduates take over account 23 April 2012&#10;Fieldtrip promotion starts 2 May 2012&#10;IGC website linked and email 28 May 2012&#10;5th circular released with ad 16 July 2012&#10;1st round of fieldtrips 30 July 2012&#10;IGC 5-10 August 2012&#10;2nd round of fieldtrips 13 August 2012&#10;&#10;See Section 4.5.2, paragraphs 2-5 for a detailed description of this figur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19725" cy="3362325"/>
                    </a:xfrm>
                    <a:prstGeom prst="rect">
                      <a:avLst/>
                    </a:prstGeom>
                    <a:noFill/>
                    <a:ln>
                      <a:noFill/>
                    </a:ln>
                  </pic:spPr>
                </pic:pic>
              </a:graphicData>
            </a:graphic>
          </wp:inline>
        </w:drawing>
      </w:r>
    </w:p>
    <w:p w:rsidR="00C93401" w:rsidRPr="00233426" w:rsidRDefault="00C93401" w:rsidP="00C93401">
      <w:pPr>
        <w:pStyle w:val="Caption"/>
      </w:pPr>
      <w:bookmarkStart w:id="279" w:name="_Ref338170065"/>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8</w:t>
      </w:r>
      <w:r w:rsidRPr="00D27C1C">
        <w:rPr>
          <w:rStyle w:val="Strong"/>
        </w:rPr>
        <w:fldChar w:fldCharType="end"/>
      </w:r>
      <w:bookmarkEnd w:id="279"/>
      <w:r w:rsidRPr="00356CC4">
        <w:rPr>
          <w:rStyle w:val="Bold"/>
        </w:rPr>
        <w:t>:</w:t>
      </w:r>
      <w:r w:rsidRPr="003A2F94">
        <w:t xml:space="preserve"> </w:t>
      </w:r>
      <w:r w:rsidRPr="00233426">
        <w:t xml:space="preserve">The number of followers of the Facebook and Twitter accounts from 16 April </w:t>
      </w:r>
      <w:r w:rsidR="00274084">
        <w:t>to</w:t>
      </w:r>
      <w:r w:rsidR="00274084" w:rsidRPr="00233426">
        <w:t xml:space="preserve"> </w:t>
      </w:r>
      <w:r w:rsidRPr="00233426">
        <w:t xml:space="preserve">24 August 2012. </w:t>
      </w:r>
      <w:r>
        <w:t xml:space="preserve">The left-hand y-axis measures the number of Facebook followers and the right-hand y-axis measures the number of twitter followers. </w:t>
      </w:r>
      <w:r w:rsidRPr="00233426">
        <w:t xml:space="preserve">The dates of important events in the lead-up to the </w:t>
      </w:r>
      <w:r w:rsidRPr="008D2CA0">
        <w:rPr>
          <w:szCs w:val="21"/>
        </w:rPr>
        <w:t>34</w:t>
      </w:r>
      <w:r w:rsidRPr="00CF07C2">
        <w:rPr>
          <w:rStyle w:val="Superscript"/>
        </w:rPr>
        <w:t>th</w:t>
      </w:r>
      <w:r w:rsidRPr="00233426">
        <w:t xml:space="preserve"> IGC ar</w:t>
      </w:r>
      <w:r>
        <w:t xml:space="preserve">e also shown with purple bars. </w:t>
      </w:r>
    </w:p>
    <w:p w:rsidR="00C93401" w:rsidRPr="00BA7A07" w:rsidRDefault="00C93401" w:rsidP="00C93401">
      <w:pPr>
        <w:pStyle w:val="BodyText"/>
      </w:pPr>
      <w:r w:rsidRPr="00BA7A07">
        <w:t>Posting interesting information on the social media sites can also lead to an increase in fans and followers, as interactions with the post can lead to the page being advertised widely within social media. This occurred on the 26 June when a picture of a slice of cake showing stratigraphic relationships was posted on the Facebook page and generated a lot of user interaction (</w:t>
      </w:r>
      <w:r w:rsidRPr="00BA7A07">
        <w:fldChar w:fldCharType="begin"/>
      </w:r>
      <w:r w:rsidRPr="00BA7A07">
        <w:instrText xml:space="preserve"> REF _Ref338170251 \h  \* MERGEFORMAT </w:instrText>
      </w:r>
      <w:r w:rsidRPr="00BA7A07">
        <w:fldChar w:fldCharType="separate"/>
      </w:r>
      <w:r w:rsidR="00EB5AC4" w:rsidRPr="00EB5AC4">
        <w:t>Figure 4.9</w:t>
      </w:r>
      <w:r w:rsidRPr="00BA7A07">
        <w:fldChar w:fldCharType="end"/>
      </w:r>
      <w:r w:rsidRPr="00BA7A07">
        <w:t xml:space="preserve">). </w:t>
      </w:r>
    </w:p>
    <w:p w:rsidR="00C93401" w:rsidRPr="00BA7A07" w:rsidRDefault="00C93401" w:rsidP="00C93401">
      <w:pPr>
        <w:pStyle w:val="BodyText"/>
      </w:pPr>
      <w:r w:rsidRPr="00BA7A07">
        <w:lastRenderedPageBreak/>
        <w:t>The final large surge in fans and followers on both sites occurred between 5</w:t>
      </w:r>
      <w:r w:rsidR="0096088F">
        <w:t xml:space="preserve"> and </w:t>
      </w:r>
      <w:r w:rsidRPr="00BA7A07">
        <w:t>10 August, which corresponds to the date of the congress. The social media accounts were advertised in multiple ways during this period, including within the 34</w:t>
      </w:r>
      <w:r w:rsidRPr="00CF07C2">
        <w:rPr>
          <w:rStyle w:val="Superscript"/>
        </w:rPr>
        <w:t>th</w:t>
      </w:r>
      <w:r w:rsidRPr="00BA7A07">
        <w:t xml:space="preserve"> IGC timetable and on large screens in the centre of the exhibition hall. However, it is also probable that some people were not interested in becoming fans of the social media sites, particularly Twitter, until the congress commenced because they believed the pages would be a good way to receive house keeping information during the congress, such as room changes. Therefore the spike in the number of fans and followers cannot necessarily be attributed to the congress advertisements.</w:t>
      </w:r>
    </w:p>
    <w:p w:rsidR="00C93401" w:rsidRDefault="00296658" w:rsidP="00AD0DF8">
      <w:pPr>
        <w:pStyle w:val="Figuresandimagescentred"/>
      </w:pPr>
      <w:r>
        <w:rPr>
          <w:noProof/>
        </w:rPr>
        <w:drawing>
          <wp:inline distT="0" distB="0" distL="0" distR="0" wp14:anchorId="027D4ECE" wp14:editId="1C44EF22">
            <wp:extent cx="3810000" cy="2857500"/>
            <wp:effectExtent l="0" t="0" r="0" b="0"/>
            <wp:docPr id="31" name="Picture 31" descr="strategraphic 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rategraphic cak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rsidR="00C93401" w:rsidRDefault="00C93401" w:rsidP="00C93401">
      <w:pPr>
        <w:pStyle w:val="Caption"/>
      </w:pPr>
      <w:bookmarkStart w:id="280" w:name="_Ref338170251"/>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9</w:t>
      </w:r>
      <w:r w:rsidRPr="00D27C1C">
        <w:rPr>
          <w:rStyle w:val="Strong"/>
        </w:rPr>
        <w:fldChar w:fldCharType="end"/>
      </w:r>
      <w:bookmarkEnd w:id="280"/>
      <w:r w:rsidRPr="00356CC4">
        <w:rPr>
          <w:rStyle w:val="Bold"/>
        </w:rPr>
        <w:t>:</w:t>
      </w:r>
      <w:r w:rsidRPr="003A2F94">
        <w:t xml:space="preserve"> </w:t>
      </w:r>
      <w:r w:rsidRPr="00EB2B59">
        <w:t>Stratigraphic cake photograph that produced a spike in the daily number of likes and stories created about the 34</w:t>
      </w:r>
      <w:r w:rsidRPr="00CF07C2">
        <w:rPr>
          <w:rStyle w:val="Superscript"/>
        </w:rPr>
        <w:t>th</w:t>
      </w:r>
      <w:r w:rsidRPr="00EB2B59">
        <w:t xml:space="preserve"> IGC Facebook page</w:t>
      </w:r>
      <w:r>
        <w:t xml:space="preserve"> (Khol?, 2007)</w:t>
      </w:r>
      <w:r w:rsidRPr="00EB2B59">
        <w:t>.</w:t>
      </w:r>
    </w:p>
    <w:p w:rsidR="00C93401" w:rsidRPr="00BA7A07" w:rsidRDefault="00C93401" w:rsidP="00C93401">
      <w:pPr>
        <w:pStyle w:val="BodyText"/>
      </w:pPr>
      <w:r w:rsidRPr="00BA7A07">
        <w:t xml:space="preserve">There is a decline in Twitter followers that coincided with the end of the </w:t>
      </w:r>
      <w:r w:rsidRPr="00BA7A07">
        <w:rPr>
          <w:szCs w:val="21"/>
        </w:rPr>
        <w:t>34</w:t>
      </w:r>
      <w:r w:rsidRPr="00CF07C2">
        <w:rPr>
          <w:rStyle w:val="Superscript"/>
        </w:rPr>
        <w:t>th</w:t>
      </w:r>
      <w:r w:rsidRPr="00BA7A07">
        <w:t xml:space="preserve"> IGC and the end of active updating of the site, suggesting that Twitter lends itself to the present and the future, as opposed to the past. This is consistent with the micro-blogging nature of Twitter and the fact the people usually tweet about what they are doing in the present. On the other hand people seem to use Facebook pages as both a source for interesting information and to signify their approval or preference for the organisation that the page represents. Thus the number of fans continued to increase on the 34</w:t>
      </w:r>
      <w:r w:rsidRPr="00CF07C2">
        <w:rPr>
          <w:rStyle w:val="Superscript"/>
        </w:rPr>
        <w:t>th</w:t>
      </w:r>
      <w:r w:rsidRPr="00BA7A07">
        <w:t xml:space="preserve"> IGC Facebook page despite the end of the congress.</w:t>
      </w:r>
    </w:p>
    <w:p w:rsidR="00C93401" w:rsidRDefault="00C93401" w:rsidP="00C93401">
      <w:pPr>
        <w:pStyle w:val="Heading3"/>
      </w:pPr>
      <w:bookmarkStart w:id="281" w:name="_Ref337103886"/>
      <w:bookmarkStart w:id="282" w:name="_Toc337721602"/>
      <w:bookmarkStart w:id="283" w:name="_Ref338841008"/>
      <w:bookmarkStart w:id="284" w:name="_Ref339016863"/>
      <w:bookmarkStart w:id="285" w:name="_Toc353282061"/>
      <w:bookmarkStart w:id="286" w:name="_Toc355274277"/>
      <w:r>
        <w:t>How Interaction</w:t>
      </w:r>
      <w:bookmarkEnd w:id="281"/>
      <w:r>
        <w:t xml:space="preserve"> Changed Over Time</w:t>
      </w:r>
      <w:bookmarkEnd w:id="282"/>
      <w:bookmarkEnd w:id="283"/>
      <w:bookmarkEnd w:id="284"/>
      <w:bookmarkEnd w:id="285"/>
      <w:bookmarkEnd w:id="286"/>
    </w:p>
    <w:p w:rsidR="00C93401" w:rsidRPr="00BA7A07" w:rsidRDefault="00C93401" w:rsidP="00C93401">
      <w:pPr>
        <w:pStyle w:val="BodyText"/>
      </w:pPr>
      <w:r w:rsidRPr="00BA7A07">
        <w:t>Interaction, in a social media context, refers to how much active participation and engagement the content produced by an account is receiving. In the case of Twitter this refers to how many retweets and mentions an account receives, along with the number of times the official hashtags were used. In terms of Facebook this refers the number of stories created about the page, which includes how many likes, comments or shares a post receives, as well as the number of fan posts and private messages the account received.</w:t>
      </w:r>
    </w:p>
    <w:p w:rsidR="00C93401" w:rsidRPr="00BA7A07" w:rsidRDefault="00C93401" w:rsidP="00C93401">
      <w:pPr>
        <w:pStyle w:val="BodyText"/>
      </w:pPr>
      <w:r w:rsidRPr="00BA7A07">
        <w:lastRenderedPageBreak/>
        <w:t>The followers’ interaction with the 34</w:t>
      </w:r>
      <w:r w:rsidRPr="00CF07C2">
        <w:rPr>
          <w:rStyle w:val="Superscript"/>
        </w:rPr>
        <w:t>th</w:t>
      </w:r>
      <w:r w:rsidRPr="00BA7A07">
        <w:t xml:space="preserve"> IGC Twitter account was fairly low throughout most of the monitoring period, until the start of the congress when it rose sharply and peaked on 7 August with 145 interactions and falling off after 14 August to pre</w:t>
      </w:r>
      <w:r w:rsidRPr="00BA7A07">
        <w:noBreakHyphen/>
        <w:t>peak levels (</w:t>
      </w:r>
      <w:r w:rsidRPr="00BA7A07">
        <w:fldChar w:fldCharType="begin"/>
      </w:r>
      <w:r w:rsidRPr="00BA7A07">
        <w:instrText xml:space="preserve"> REF _Ref338170377 \h  \* MERGEFORMAT </w:instrText>
      </w:r>
      <w:r w:rsidRPr="00BA7A07">
        <w:fldChar w:fldCharType="separate"/>
      </w:r>
      <w:r w:rsidR="00EB5AC4" w:rsidRPr="00EB5AC4">
        <w:t>Figure 4.10</w:t>
      </w:r>
      <w:r w:rsidRPr="00BA7A07">
        <w:fldChar w:fldCharType="end"/>
      </w:r>
      <w:r w:rsidRPr="00BA7A07">
        <w:t>). The largest proportion of this increase in Twitter interaction was an increase in the use of the official hashtag (#34igc) which reached a peak of 119 on 7 August. This surge in interaction most likely reflected the fact the congress was happening in the present and people wanted to write about it. This is consistent with the well known fact that Twitter, which displays tweets in reverse chronological order, lends itself to real-time, breaking news and events (Cheong and Lee, 2011).</w:t>
      </w:r>
    </w:p>
    <w:p w:rsidR="00C93401" w:rsidRDefault="00296658" w:rsidP="00AD0DF8">
      <w:pPr>
        <w:pStyle w:val="Figuresandimagescentred"/>
      </w:pPr>
      <w:r>
        <w:rPr>
          <w:noProof/>
        </w:rPr>
        <w:drawing>
          <wp:inline distT="0" distB="0" distL="0" distR="0" wp14:anchorId="1B96AAF8" wp14:editId="7E29BEBC">
            <wp:extent cx="5400675" cy="3314700"/>
            <wp:effectExtent l="0" t="0" r="0" b="0"/>
            <wp:docPr id="32" name="Picture 32" descr="This figure is a time series of the number of Twitter followers, retweets, mentions and official hashtag usage for the 34th IGC Twitter account. The horizontal axis is labelled “Date” and goes from 16 April 2012 to 3 September 2012 in 20 day increments. The left vertical axis is labelled “Number of followers / Number of hashtags”, and goes from 0 to 250 in increments of 50. The right vertical axis is labelled “Number of retweets / mentions” and goes from 0 to 40 in increments of 5. There are two lines on the graph: “Followers” and “#34igc”, against the left axis. There are two additional point data series on the graph: “Retweets” and “Mentions”, plotted against the right axis.&#10;&#10;The dates of important events have also been highlighted:&#10;&#10;Event Date&#10;Graduates take over account 23 April 2012&#10;Fieldtrip promotion starts 2 May 2012&#10;IGC website linked and email 28 May 2012&#10;5th circular released with ad 16 July 2012&#10;1st round of fieldtrips 30 July 2012&#10;IGC 5-10 August 2012&#10;2nd round of fieldtrips 13 August 2012&#10;&#10;Hashtag, mentions and retweets remain at relatively low levels throughout the majority of this time period, ranging from 0-5 a day, except for a large spike in activity during the week of the conference, 6-10 August 2012. At the peak of this spike there were 119 daily uses of the official hashtag, 26 retweets and 36 mentions. The number of followers over the entire time period increases from 0 to a peak of 220 with two periods of rapid growth in followers. The first coincided with the email advertisement that the sites were active on 28 May 2012 with followers jumping from 31 to 62. The second coincided with 34th IGC itself, from 6-10 August 2012, with follows increasing from 183 to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is figure is a time series of the number of Twitter followers, retweets, mentions and official hashtag usage for the 34th IGC Twitter account. The horizontal axis is labelled “Date” and goes from 16 April 2012 to 3 September 2012 in 20 day increments. The left vertical axis is labelled “Number of followers / Number of hashtags”, and goes from 0 to 250 in increments of 50. The right vertical axis is labelled “Number of retweets / mentions” and goes from 0 to 40 in increments of 5. There are two lines on the graph: “Followers” and “#34igc”, against the left axis. There are two additional point data series on the graph: “Retweets” and “Mentions”, plotted against the right axis.&#10;&#10;The dates of important events have also been highlighted:&#10;&#10;Event Date&#10;Graduates take over account 23 April 2012&#10;Fieldtrip promotion starts 2 May 2012&#10;IGC website linked and email 28 May 2012&#10;5th circular released with ad 16 July 2012&#10;1st round of fieldtrips 30 July 2012&#10;IGC 5-10 August 2012&#10;2nd round of fieldtrips 13 August 2012&#10;&#10;Hashtag, mentions and retweets remain at relatively low levels throughout the majority of this time period, ranging from 0-5 a day, except for a large spike in activity during the week of the conference, 6-10 August 2012. At the peak of this spike there were 119 daily uses of the official hashtag, 26 retweets and 36 mentions. The number of followers over the entire time period increases from 0 to a peak of 220 with two periods of rapid growth in followers. The first coincided with the email advertisement that the sites were active on 28 May 2012 with followers jumping from 31 to 62. The second coincided with 34th IGC itself, from 6-10 August 2012, with follows increasing from 183 to 2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00675" cy="3314700"/>
                    </a:xfrm>
                    <a:prstGeom prst="rect">
                      <a:avLst/>
                    </a:prstGeom>
                    <a:noFill/>
                    <a:ln>
                      <a:noFill/>
                    </a:ln>
                  </pic:spPr>
                </pic:pic>
              </a:graphicData>
            </a:graphic>
          </wp:inline>
        </w:drawing>
      </w:r>
    </w:p>
    <w:p w:rsidR="00C93401" w:rsidRPr="00EC7C76" w:rsidRDefault="00C93401" w:rsidP="00C93401">
      <w:pPr>
        <w:pStyle w:val="Caption"/>
      </w:pPr>
      <w:bookmarkStart w:id="287" w:name="_Ref338170377"/>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10</w:t>
      </w:r>
      <w:r w:rsidRPr="00D27C1C">
        <w:rPr>
          <w:rStyle w:val="Strong"/>
        </w:rPr>
        <w:fldChar w:fldCharType="end"/>
      </w:r>
      <w:bookmarkEnd w:id="287"/>
      <w:r w:rsidRPr="00356CC4">
        <w:rPr>
          <w:rStyle w:val="Bold"/>
        </w:rPr>
        <w:t xml:space="preserve">: </w:t>
      </w:r>
      <w:r w:rsidRPr="00EC7C76">
        <w:t>Number of Twitter followers, retweets, mentions and official hashtag usage of the 34</w:t>
      </w:r>
      <w:r w:rsidRPr="00CF07C2">
        <w:rPr>
          <w:rStyle w:val="Superscript"/>
        </w:rPr>
        <w:t>th</w:t>
      </w:r>
      <w:r>
        <w:t xml:space="preserve"> IGC</w:t>
      </w:r>
      <w:r w:rsidRPr="00EC7C76">
        <w:t xml:space="preserve"> Twitter account through time. The time period for the followers, retweets and mentions was 16 April – 24 August 2012 and the time period for the official hashtag was 3 – 24 August 2012. The left-hand y-axis measures the number of followers and usage of the official hashtag and the right-hand y-axis measures the number of retweets and mentions of the account.</w:t>
      </w:r>
      <w:r>
        <w:t xml:space="preserve"> Important events in the lead uo to the IGC are shown with purple bars.</w:t>
      </w:r>
    </w:p>
    <w:p w:rsidR="00C93401" w:rsidRPr="00BA7A07" w:rsidRDefault="00C93401" w:rsidP="00C93401">
      <w:pPr>
        <w:pStyle w:val="BodyText"/>
      </w:pPr>
      <w:r w:rsidRPr="00BA7A07">
        <w:t>Facebook interactions are more episodic and seemingly random than those on Twitter, with the largest period of interaction occurring as a distinct spike on 26 June and a separate more sustained period of interaction from 27 July until 8 August (</w:t>
      </w:r>
      <w:r w:rsidR="009376C8">
        <w:fldChar w:fldCharType="begin"/>
      </w:r>
      <w:r w:rsidR="009376C8">
        <w:instrText xml:space="preserve"> REF _Ref338843268  \* MERGEFORMAT </w:instrText>
      </w:r>
      <w:r w:rsidR="009376C8">
        <w:fldChar w:fldCharType="separate"/>
      </w:r>
      <w:r w:rsidR="00EB5AC4" w:rsidRPr="00EB5AC4">
        <w:t>Figure 4.11</w:t>
      </w:r>
      <w:r w:rsidR="009376C8">
        <w:fldChar w:fldCharType="end"/>
      </w:r>
      <w:r w:rsidRPr="00BA7A07">
        <w:t xml:space="preserve">). The first peak can be attributed to the popular cake post and the second, the lead-up and commencement of the congress. </w:t>
      </w:r>
    </w:p>
    <w:p w:rsidR="00C93401" w:rsidRPr="00BA7A07" w:rsidRDefault="00C93401" w:rsidP="00C93401">
      <w:pPr>
        <w:pStyle w:val="BodyText"/>
      </w:pPr>
      <w:r w:rsidRPr="00BA7A07">
        <w:t>When the Facebook and Twitter interactions are compared (</w:t>
      </w:r>
      <w:r w:rsidRPr="00BA7A07">
        <w:fldChar w:fldCharType="begin"/>
      </w:r>
      <w:r w:rsidRPr="00BA7A07">
        <w:instrText xml:space="preserve"> REF _Ref337629409 \h  \* MERGEFORMAT </w:instrText>
      </w:r>
      <w:r w:rsidRPr="00BA7A07">
        <w:fldChar w:fldCharType="separate"/>
      </w:r>
      <w:r w:rsidR="00EB5AC4" w:rsidRPr="00EB5AC4">
        <w:t>Figure 4.12</w:t>
      </w:r>
      <w:r w:rsidRPr="00BA7A07">
        <w:fldChar w:fldCharType="end"/>
      </w:r>
      <w:r w:rsidRPr="00BA7A07">
        <w:t xml:space="preserve">) it is clear that the Facebook account received a surge in popularity in the week preceding the congress. In contrast, the surge in interactions on Twitter occurred during the congress itself. These different surges, as mentioned in the Section </w:t>
      </w:r>
      <w:r w:rsidRPr="00BA7A07">
        <w:fldChar w:fldCharType="begin"/>
      </w:r>
      <w:r w:rsidRPr="00BA7A07">
        <w:instrText xml:space="preserve"> REF _Ref338172926 \n \h </w:instrText>
      </w:r>
      <w:r>
        <w:instrText xml:space="preserve"> \* MERGEFORMAT </w:instrText>
      </w:r>
      <w:r w:rsidRPr="00BA7A07">
        <w:fldChar w:fldCharType="separate"/>
      </w:r>
      <w:r w:rsidR="00EB5AC4">
        <w:t>4.3</w:t>
      </w:r>
      <w:r w:rsidRPr="00BA7A07">
        <w:fldChar w:fldCharType="end"/>
      </w:r>
      <w:r w:rsidRPr="00BA7A07">
        <w:t xml:space="preserve">, probably stem from the differences in the platforms themselves, with Twitter being much more popular when events are occurring in real-time or as a medium where people communicate their current experience and thoughts. Meanwhile there was a surge in Facebook interactions before the </w:t>
      </w:r>
      <w:r w:rsidRPr="00BA7A07">
        <w:rPr>
          <w:szCs w:val="21"/>
        </w:rPr>
        <w:t>34</w:t>
      </w:r>
      <w:r w:rsidRPr="00CF07C2">
        <w:rPr>
          <w:rStyle w:val="Superscript"/>
        </w:rPr>
        <w:t>th</w:t>
      </w:r>
      <w:r w:rsidRPr="00BA7A07">
        <w:t xml:space="preserve"> IGC as people started thinking and preparing for it. The relative drop in Facebook interactions during the event may have been the result of many delegates, some of whom were presumably fans of the Facebook page, not having time to interact on Facebook. Another possible explanation was that </w:t>
      </w:r>
      <w:r w:rsidRPr="00BA7A07">
        <w:lastRenderedPageBreak/>
        <w:t xml:space="preserve">a majority of the fans of the Facebook page were not delegates but people with an interest in geology and geosciences, and that this drop in interaction was the result in the transition from posting information to drive the awareness of geology in the lead up to the conference to posting more specific conference related information during the conference. </w:t>
      </w:r>
    </w:p>
    <w:p w:rsidR="00C93401" w:rsidRPr="00550107" w:rsidRDefault="00296658" w:rsidP="00AD0DF8">
      <w:pPr>
        <w:pStyle w:val="Figuresandimagescentred"/>
      </w:pPr>
      <w:r>
        <w:rPr>
          <w:noProof/>
        </w:rPr>
        <w:drawing>
          <wp:inline distT="0" distB="0" distL="0" distR="0" wp14:anchorId="22873FEA" wp14:editId="39ABB306">
            <wp:extent cx="4981575" cy="3161730"/>
            <wp:effectExtent l="0" t="0" r="0" b="635"/>
            <wp:docPr id="33" name="Picture 33" descr="This figure is a time series of the number of stories and fans for the 34th IGC Facebook account. The horizontal axis is labelled “Date” and goes from 19 April 2012 to 23 October 2012 in 14 day increments.&#10;The vertical axis is labelled “Number of stories and fans” and goes from 0 to 1200 in increments of 200. There are two lines on the graph: “Stories” and “Fans”.&#10;&#10;The dates of important events have also been highlighted:&#10;&#10;Event Date&#10;Graduates take over account 23 April 2012&#10;Fieldtrip promotion starts 2 May 2012&#10;IGC website linked and email 28 May 2012&#10;5th circular released with ad 16 July 2012&#10;1st round of fieldtrips 30 July 2012&#10;IGC 5-10 August 2012&#10;2nd round of fieldtrips 13 August 2012&#10;&#10;Stories remain at relatively low and stable levels, ranging from 0-20 a day, throughout the majority of the monitoring period except for three large spikes in activity. The first spike, with 210 stories on 28 May 2012, coincides with the email advertisement of the account. The second spike, with 838 stories on 27 June 2012, coincides with the viral cake post described in Figure 4.9 and is the largest amount of story activity over the entire time period. The final surge with a peak of 601 occurs just prior to the 34th IGC on 20 July 2012. Fans meanwhile increase in a stepwise fashion from 0 to 994 over the entire period, with four major steps. The first step, on 25 April 2012, coincides with the graduates taking control of the account and an increase of fans from 0-31. The second step, from 28-29 May 2012, coincides with the email advertisement of the account and an increase of fans from 77 to 322. The third step, on 27 June 2012, is relatively smaller than the other steps and coincides with the viral cake post described in Figure 4.9. Fans increased from 449-490. The final step from 28 July – 8 August 2012 coincides with the week before and the week of the 34th IGC with fans increasing from 671 to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is figure is a time series of the number of stories and fans for the 34th IGC Facebook account. The horizontal axis is labelled “Date” and goes from 19 April 2012 to 23 October 2012 in 14 day increments.&#10;The vertical axis is labelled “Number of stories and fans” and goes from 0 to 1200 in increments of 200. There are two lines on the graph: “Stories” and “Fans”.&#10;&#10;The dates of important events have also been highlighted:&#10;&#10;Event Date&#10;Graduates take over account 23 April 2012&#10;Fieldtrip promotion starts 2 May 2012&#10;IGC website linked and email 28 May 2012&#10;5th circular released with ad 16 July 2012&#10;1st round of fieldtrips 30 July 2012&#10;IGC 5-10 August 2012&#10;2nd round of fieldtrips 13 August 2012&#10;&#10;Stories remain at relatively low and stable levels, ranging from 0-20 a day, throughout the majority of the monitoring period except for three large spikes in activity. The first spike, with 210 stories on 28 May 2012, coincides with the email advertisement of the account. The second spike, with 838 stories on 27 June 2012, coincides with the viral cake post described in Figure 4.9 and is the largest amount of story activity over the entire time period. The final surge with a peak of 601 occurs just prior to the 34th IGC on 20 July 2012. Fans meanwhile increase in a stepwise fashion from 0 to 994 over the entire period, with four major steps. The first step, on 25 April 2012, coincides with the graduates taking control of the account and an increase of fans from 0-31. The second step, from 28-29 May 2012, coincides with the email advertisement of the account and an increase of fans from 77 to 322. The third step, on 27 June 2012, is relatively smaller than the other steps and coincides with the viral cake post described in Figure 4.9. Fans increased from 449-490. The final step from 28 July – 8 August 2012 coincides with the week before and the week of the 34th IGC with fans increasing from 671 to 933."/>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420" r="1134"/>
                    <a:stretch/>
                  </pic:blipFill>
                  <pic:spPr bwMode="auto">
                    <a:xfrm>
                      <a:off x="0" y="0"/>
                      <a:ext cx="4982836" cy="3162530"/>
                    </a:xfrm>
                    <a:prstGeom prst="rect">
                      <a:avLst/>
                    </a:prstGeom>
                    <a:noFill/>
                    <a:ln>
                      <a:noFill/>
                    </a:ln>
                    <a:extLst>
                      <a:ext uri="{53640926-AAD7-44D8-BBD7-CCE9431645EC}">
                        <a14:shadowObscured xmlns:a14="http://schemas.microsoft.com/office/drawing/2010/main"/>
                      </a:ext>
                    </a:extLst>
                  </pic:spPr>
                </pic:pic>
              </a:graphicData>
            </a:graphic>
          </wp:inline>
        </w:drawing>
      </w:r>
    </w:p>
    <w:p w:rsidR="00C93401" w:rsidRPr="003A2F94" w:rsidRDefault="00C93401" w:rsidP="00C93401">
      <w:pPr>
        <w:pStyle w:val="Caption"/>
      </w:pPr>
      <w:bookmarkStart w:id="288" w:name="_Ref338843268"/>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11</w:t>
      </w:r>
      <w:r w:rsidRPr="00D27C1C">
        <w:rPr>
          <w:rStyle w:val="Strong"/>
        </w:rPr>
        <w:fldChar w:fldCharType="end"/>
      </w:r>
      <w:bookmarkEnd w:id="288"/>
      <w:r w:rsidRPr="00356CC4">
        <w:rPr>
          <w:rStyle w:val="Bold"/>
        </w:rPr>
        <w:t xml:space="preserve">: </w:t>
      </w:r>
      <w:r w:rsidRPr="00F4430C">
        <w:t>The daily number of stories created about the 34</w:t>
      </w:r>
      <w:r w:rsidRPr="00CF07C2">
        <w:rPr>
          <w:rStyle w:val="Superscript"/>
        </w:rPr>
        <w:t>th</w:t>
      </w:r>
      <w:r w:rsidRPr="00F4430C">
        <w:t xml:space="preserve"> IGC Facebook page by unique users. These stories include liking the page, posting to the page's wall, liking, commenting on or sharing one of the page posts, answering a question posted, RSVPing to an event, mentioning the page, photo-tagging </w:t>
      </w:r>
      <w:r>
        <w:t>the page or checking in at the event</w:t>
      </w:r>
      <w:r w:rsidRPr="00F4430C">
        <w:t>.</w:t>
      </w:r>
      <w:r>
        <w:t xml:space="preserve"> Important events in the lead up to the IGC are shown with purple bars. </w:t>
      </w:r>
    </w:p>
    <w:p w:rsidR="00C93401" w:rsidRPr="00816047" w:rsidRDefault="00296658" w:rsidP="00AD0DF8">
      <w:pPr>
        <w:pStyle w:val="Figuresandimagescentred"/>
      </w:pPr>
      <w:r>
        <w:rPr>
          <w:noProof/>
        </w:rPr>
        <w:drawing>
          <wp:inline distT="0" distB="0" distL="0" distR="0" wp14:anchorId="0AFFBDCE" wp14:editId="10214C66">
            <wp:extent cx="5229225" cy="2808410"/>
            <wp:effectExtent l="0" t="0" r="0" b="0"/>
            <wp:docPr id="34" name="Picture 34" descr="This figure is a time series of the number of interactions for the 34th IGC Facebook and Twitter accounts. The horizontal axis is labelled “Date” and goes from 16 April 2012 to 3 September 2012 in 20 day increments.&#10;The left vertical axis is labelled “Number of Facebook interactions”, and goes from 0 to 14000 in increments of 200. The right vertical axis is labelled “Number of Twitter interactions” and goes from 0 to 160 in increments of 20. There are two lines on the graph: “Facebook” against the left axis and “Twitter” against the right axis. The five days of the 34th IGC have been highlighted (6-10 August 2012).&#10;&#10;See Section 4.5.3, paragraph 4 for a detailed description of the major trends in this 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is figure is a time series of the number of interactions for the 34th IGC Facebook and Twitter accounts. The horizontal axis is labelled “Date” and goes from 16 April 2012 to 3 September 2012 in 20 day increments.&#10;The left vertical axis is labelled “Number of Facebook interactions”, and goes from 0 to 14000 in increments of 200. The right vertical axis is labelled “Number of Twitter interactions” and goes from 0 to 160 in increments of 20. There are two lines on the graph: “Facebook” against the left axis and “Twitter” against the right axis. The five days of the 34th IGC have been highlighted (6-10 August 2012).&#10;&#10;See Section 4.5.3, paragraph 4 for a detailed description of the major trends in this figur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5096" r="2139"/>
                    <a:stretch/>
                  </pic:blipFill>
                  <pic:spPr bwMode="auto">
                    <a:xfrm>
                      <a:off x="0" y="0"/>
                      <a:ext cx="5228461" cy="2808000"/>
                    </a:xfrm>
                    <a:prstGeom prst="rect">
                      <a:avLst/>
                    </a:prstGeom>
                    <a:noFill/>
                    <a:ln>
                      <a:noFill/>
                    </a:ln>
                    <a:extLst>
                      <a:ext uri="{53640926-AAD7-44D8-BBD7-CCE9431645EC}">
                        <a14:shadowObscured xmlns:a14="http://schemas.microsoft.com/office/drawing/2010/main"/>
                      </a:ext>
                    </a:extLst>
                  </pic:spPr>
                </pic:pic>
              </a:graphicData>
            </a:graphic>
          </wp:inline>
        </w:drawing>
      </w:r>
    </w:p>
    <w:p w:rsidR="00C93401" w:rsidRPr="00F4430C" w:rsidRDefault="00C93401" w:rsidP="00C93401">
      <w:pPr>
        <w:pStyle w:val="Caption"/>
      </w:pPr>
      <w:bookmarkStart w:id="289" w:name="_Ref337629409"/>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12</w:t>
      </w:r>
      <w:r w:rsidRPr="00D27C1C">
        <w:rPr>
          <w:rStyle w:val="Strong"/>
        </w:rPr>
        <w:fldChar w:fldCharType="end"/>
      </w:r>
      <w:bookmarkEnd w:id="289"/>
      <w:r w:rsidRPr="00356CC4">
        <w:rPr>
          <w:rStyle w:val="Bold"/>
        </w:rPr>
        <w:t>:</w:t>
      </w:r>
      <w:r w:rsidRPr="003A2F94">
        <w:t xml:space="preserve"> </w:t>
      </w:r>
      <w:r w:rsidRPr="00F4430C">
        <w:t>The number of interactions on the Facebook and Twitter accounts from 16 April - 24 August 2012.</w:t>
      </w:r>
      <w:r>
        <w:t xml:space="preserve"> </w:t>
      </w:r>
      <w:r w:rsidRPr="00F4430C">
        <w:t xml:space="preserve">Interactions in a Facebook context refers to the number of likes, clicks and comments on the page’s posts along with posts by fans on the page (e.g. photocomp entries). Interactions in a Twitter context refer to the number of mentions, retweets and tweets containing the official hashtag. </w:t>
      </w:r>
    </w:p>
    <w:p w:rsidR="00C93401" w:rsidRDefault="00C93401" w:rsidP="00C93401">
      <w:pPr>
        <w:pStyle w:val="Heading3"/>
      </w:pPr>
      <w:bookmarkStart w:id="290" w:name="_Toc337721603"/>
      <w:r>
        <w:br w:type="page"/>
      </w:r>
      <w:bookmarkStart w:id="291" w:name="_Ref338843780"/>
      <w:bookmarkStart w:id="292" w:name="_Toc353282062"/>
      <w:bookmarkStart w:id="293" w:name="_Toc355274278"/>
      <w:r>
        <w:lastRenderedPageBreak/>
        <w:t xml:space="preserve">Interaction by </w:t>
      </w:r>
      <w:r w:rsidRPr="0009729E">
        <w:t>Post Content</w:t>
      </w:r>
      <w:bookmarkEnd w:id="290"/>
      <w:bookmarkEnd w:id="291"/>
      <w:bookmarkEnd w:id="292"/>
      <w:bookmarkEnd w:id="293"/>
    </w:p>
    <w:p w:rsidR="00C93401" w:rsidRDefault="00C93401" w:rsidP="00C93401">
      <w:pPr>
        <w:pStyle w:val="Heading4"/>
      </w:pPr>
      <w:bookmarkStart w:id="294" w:name="_Toc337721604"/>
      <w:bookmarkStart w:id="295" w:name="_Toc355274279"/>
      <w:r>
        <w:t>Twitter</w:t>
      </w:r>
      <w:bookmarkEnd w:id="294"/>
      <w:bookmarkEnd w:id="295"/>
    </w:p>
    <w:p w:rsidR="00C93401" w:rsidRPr="00BA7A07" w:rsidRDefault="00C93401" w:rsidP="00C93401">
      <w:pPr>
        <w:pStyle w:val="BodyText"/>
      </w:pPr>
      <w:r w:rsidRPr="00BA7A07">
        <w:t>It is also important to examine and analyse the type of the content that was interacted with, as well as who was interacting with it. By learning from successes and failures of different types of posts a more effective social media posting strategy can be developed for the future.</w:t>
      </w:r>
    </w:p>
    <w:p w:rsidR="00C93401" w:rsidRPr="00BA7A07" w:rsidRDefault="00C93401" w:rsidP="00C93401">
      <w:pPr>
        <w:pStyle w:val="BodyText"/>
      </w:pPr>
      <w:r w:rsidRPr="00BA7A07">
        <w:t>Firstly, the 34</w:t>
      </w:r>
      <w:r w:rsidRPr="00CF07C2">
        <w:rPr>
          <w:rStyle w:val="Superscript"/>
        </w:rPr>
        <w:t>th</w:t>
      </w:r>
      <w:r w:rsidRPr="00BA7A07">
        <w:t xml:space="preserve"> IGC Twitter account’s retweets were analysed (</w:t>
      </w:r>
      <w:r w:rsidRPr="00BA7A07">
        <w:fldChar w:fldCharType="begin"/>
      </w:r>
      <w:r w:rsidRPr="00BA7A07">
        <w:instrText xml:space="preserve"> REF _Ref337629966 \h  \* MERGEFORMAT </w:instrText>
      </w:r>
      <w:r w:rsidRPr="00BA7A07">
        <w:fldChar w:fldCharType="separate"/>
      </w:r>
      <w:r w:rsidR="00EB5AC4" w:rsidRPr="00EB5AC4">
        <w:t>Figure 4.13</w:t>
      </w:r>
      <w:r w:rsidRPr="00BA7A07">
        <w:fldChar w:fldCharType="end"/>
      </w:r>
      <w:r w:rsidRPr="00BA7A07">
        <w:t>) and showed that tweets with links were much more likely to get retweeted by followers than unlinked tweets with 32% and 20% respectively. This is in agreement with other studies, where it has been found that users of Twitter are more likely to interact with tweets that contain technical information (Chen, 2011), particularly if it is from a trusted source (Vinter, 2012). Retweets that did not contain links were usually quotes and non-validated facts from plenary sessions at the congress</w:t>
      </w:r>
      <w:r>
        <w:t>.</w:t>
      </w:r>
    </w:p>
    <w:p w:rsidR="00C93401" w:rsidRPr="009A7330" w:rsidRDefault="00296658" w:rsidP="00AD0DF8">
      <w:pPr>
        <w:pStyle w:val="Figuresandimagescentred"/>
      </w:pPr>
      <w:r>
        <w:rPr>
          <w:noProof/>
        </w:rPr>
        <w:drawing>
          <wp:inline distT="0" distB="0" distL="0" distR="0" wp14:anchorId="687CA03F" wp14:editId="101C7DC3">
            <wp:extent cx="5276850" cy="2781300"/>
            <wp:effectExtent l="0" t="0" r="0" b="0"/>
            <wp:docPr id="35" name="Picture 35" descr="This figure contains a pie chart showing the breakdown of the retweeted tweets from the 34th IGC Twitter account by category.&#10;&#10;The data are summarised in the following table:&#10;&#10;Category Description Retweeted tweet (%)&#10;Housekeeping Tweets that related to important dates, deadlines or sessions before and during the 34th IGC. 37&#10;Linked tweets Original tweets that contained links to further information. 32&#10;Retweets Tweets that the 34th IGC account retweeted. 11&#10;Unlinked tweets Original tweets that did not contain links to further informatio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is figure contains a pie chart showing the breakdown of the retweeted tweets from the 34th IGC Twitter account by category.&#10;&#10;The data are summarised in the following table:&#10;&#10;Category Description Retweeted tweet (%)&#10;Housekeeping Tweets that related to important dates, deadlines or sessions before and during the 34th IGC. 37&#10;Linked tweets Original tweets that contained links to further information. 32&#10;Retweets Tweets that the 34th IGC account retweeted. 11&#10;Unlinked tweets Original tweets that did not contain links to further information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6850" cy="2781300"/>
                    </a:xfrm>
                    <a:prstGeom prst="rect">
                      <a:avLst/>
                    </a:prstGeom>
                    <a:noFill/>
                    <a:ln>
                      <a:noFill/>
                    </a:ln>
                  </pic:spPr>
                </pic:pic>
              </a:graphicData>
            </a:graphic>
          </wp:inline>
        </w:drawing>
      </w:r>
    </w:p>
    <w:p w:rsidR="00C93401" w:rsidRPr="00A33D9A" w:rsidRDefault="00C93401" w:rsidP="00C93401">
      <w:pPr>
        <w:pStyle w:val="Caption"/>
      </w:pPr>
      <w:bookmarkStart w:id="296" w:name="_Ref337629966"/>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13</w:t>
      </w:r>
      <w:r w:rsidRPr="00D27C1C">
        <w:rPr>
          <w:rStyle w:val="Strong"/>
        </w:rPr>
        <w:fldChar w:fldCharType="end"/>
      </w:r>
      <w:bookmarkEnd w:id="296"/>
      <w:r w:rsidRPr="00356CC4">
        <w:rPr>
          <w:rStyle w:val="Bold"/>
        </w:rPr>
        <w:t>:</w:t>
      </w:r>
      <w:r w:rsidRPr="003A2F94">
        <w:t xml:space="preserve"> </w:t>
      </w:r>
      <w:r w:rsidRPr="00A33D9A">
        <w:t>The 34</w:t>
      </w:r>
      <w:r w:rsidRPr="00CF07C2">
        <w:rPr>
          <w:rStyle w:val="Superscript"/>
        </w:rPr>
        <w:t>th</w:t>
      </w:r>
      <w:r w:rsidRPr="00A33D9A">
        <w:t xml:space="preserve"> IGC</w:t>
      </w:r>
      <w:r>
        <w:t xml:space="preserve"> Twitter</w:t>
      </w:r>
      <w:r w:rsidRPr="00A33D9A">
        <w:t xml:space="preserve"> account’s tweets that were retweeted by category. Categories are defi</w:t>
      </w:r>
      <w:r>
        <w:t xml:space="preserve">ned to the right of the chart. </w:t>
      </w:r>
      <w:r w:rsidRPr="00A33D9A">
        <w:t>The total number of retweets the Twitter account received was 89.</w:t>
      </w:r>
    </w:p>
    <w:p w:rsidR="00C93401" w:rsidRDefault="00C93401" w:rsidP="00C93401">
      <w:pPr>
        <w:pStyle w:val="BodyText"/>
      </w:pPr>
      <w:r>
        <w:t>The topics of the links within</w:t>
      </w:r>
      <w:r w:rsidRPr="00206F3A">
        <w:t xml:space="preserve"> retweeted tweets</w:t>
      </w:r>
      <w:r>
        <w:t xml:space="preserve"> were also analysed (</w:t>
      </w:r>
      <w:r>
        <w:fldChar w:fldCharType="begin"/>
      </w:r>
      <w:r>
        <w:instrText xml:space="preserve"> REF _Ref337633502 \h  \* MERGEFORMAT </w:instrText>
      </w:r>
      <w:r>
        <w:fldChar w:fldCharType="separate"/>
      </w:r>
      <w:r w:rsidR="00EB5AC4" w:rsidRPr="00EB5AC4">
        <w:t>Figure 4.14</w:t>
      </w:r>
      <w:r>
        <w:fldChar w:fldCharType="end"/>
      </w:r>
      <w:r>
        <w:t>)</w:t>
      </w:r>
      <w:r w:rsidRPr="00206F3A">
        <w:t>.</w:t>
      </w:r>
      <w:r>
        <w:t xml:space="preserve"> Topics were created if more than one link in a retweet related to any specific topic. </w:t>
      </w:r>
      <w:r w:rsidRPr="00206F3A">
        <w:t xml:space="preserve">Tweets containing links relating to the </w:t>
      </w:r>
      <w:r w:rsidRPr="008D2CA0">
        <w:rPr>
          <w:szCs w:val="21"/>
        </w:rPr>
        <w:t>34</w:t>
      </w:r>
      <w:r w:rsidRPr="00CF07C2">
        <w:rPr>
          <w:rStyle w:val="Superscript"/>
        </w:rPr>
        <w:t>th</w:t>
      </w:r>
      <w:r>
        <w:t xml:space="preserve"> IGC</w:t>
      </w:r>
      <w:r w:rsidRPr="00206F3A">
        <w:t xml:space="preserve"> in the news, or photographs </w:t>
      </w:r>
      <w:r>
        <w:t>from</w:t>
      </w:r>
      <w:r w:rsidRPr="00206F3A">
        <w:t xml:space="preserve"> the </w:t>
      </w:r>
      <w:r w:rsidRPr="008D2CA0">
        <w:rPr>
          <w:szCs w:val="21"/>
        </w:rPr>
        <w:t>34</w:t>
      </w:r>
      <w:r w:rsidRPr="00CF07C2">
        <w:rPr>
          <w:rStyle w:val="Superscript"/>
        </w:rPr>
        <w:t>th</w:t>
      </w:r>
      <w:r>
        <w:t xml:space="preserve"> IGC</w:t>
      </w:r>
      <w:r w:rsidRPr="00206F3A">
        <w:t xml:space="preserve"> were the largest proportion at 42% of</w:t>
      </w:r>
      <w:r>
        <w:t xml:space="preserve"> all retweets containing links.</w:t>
      </w:r>
    </w:p>
    <w:p w:rsidR="00C93401" w:rsidRPr="009A7330" w:rsidRDefault="00C93401" w:rsidP="00C93401">
      <w:pPr>
        <w:pStyle w:val="BodyText"/>
      </w:pPr>
      <w:r w:rsidRPr="00206F3A">
        <w:t>Except for a large spike in the number of mentions between 6</w:t>
      </w:r>
      <w:r w:rsidR="0096088F">
        <w:t xml:space="preserve"> and </w:t>
      </w:r>
      <w:r w:rsidRPr="00206F3A">
        <w:t>9 August</w:t>
      </w:r>
      <w:r>
        <w:t>,</w:t>
      </w:r>
      <w:r w:rsidRPr="00206F3A">
        <w:t xml:space="preserve"> mentions of the 34</w:t>
      </w:r>
      <w:r w:rsidRPr="00CF07C2">
        <w:rPr>
          <w:rStyle w:val="Superscript"/>
        </w:rPr>
        <w:t>th</w:t>
      </w:r>
      <w:r>
        <w:t xml:space="preserve"> IGC</w:t>
      </w:r>
      <w:r w:rsidRPr="00206F3A">
        <w:t xml:space="preserve"> Twitter account stayed fairly low and constant throughout the entire managing and monitoring period</w:t>
      </w:r>
      <w:r>
        <w:t>. Mentions were also broken into category (</w:t>
      </w:r>
      <w:r>
        <w:fldChar w:fldCharType="begin"/>
      </w:r>
      <w:r>
        <w:instrText xml:space="preserve"> REF _Ref336952836 \h  \* MERGEFORMAT </w:instrText>
      </w:r>
      <w:r>
        <w:fldChar w:fldCharType="separate"/>
      </w:r>
      <w:r w:rsidR="00EB5AC4" w:rsidRPr="00EB5AC4">
        <w:t>Figure 4.15</w:t>
      </w:r>
      <w:r>
        <w:fldChar w:fldCharType="end"/>
      </w:r>
      <w:r>
        <w:t xml:space="preserve">). </w:t>
      </w:r>
      <w:r w:rsidRPr="009A7330">
        <w:t xml:space="preserve">Examining the breakdown of the types of mentions and the topic of the retweets that contained links, </w:t>
      </w:r>
      <w:r>
        <w:t>it can be seen that the</w:t>
      </w:r>
      <w:r w:rsidRPr="009A7330">
        <w:t xml:space="preserve"> </w:t>
      </w:r>
      <w:r w:rsidRPr="008D2CA0">
        <w:rPr>
          <w:szCs w:val="21"/>
        </w:rPr>
        <w:t>34</w:t>
      </w:r>
      <w:r w:rsidRPr="00CF07C2">
        <w:rPr>
          <w:rStyle w:val="Superscript"/>
        </w:rPr>
        <w:t>th</w:t>
      </w:r>
      <w:r w:rsidRPr="009A7330">
        <w:t xml:space="preserve"> IGC in the media was a major topic of tweets. It accounted for 11% of mentions and 42% of the links in our tweets that were retweeted. This was likely a reflection of who was managing the account during the 34</w:t>
      </w:r>
      <w:r w:rsidRPr="00CF07C2">
        <w:rPr>
          <w:rStyle w:val="Superscript"/>
        </w:rPr>
        <w:t>th</w:t>
      </w:r>
      <w:r>
        <w:t xml:space="preserve"> IGC, Rowland, whose expertise and </w:t>
      </w:r>
      <w:r w:rsidRPr="009A7330">
        <w:t xml:space="preserve">background </w:t>
      </w:r>
      <w:r>
        <w:t>were</w:t>
      </w:r>
      <w:r w:rsidRPr="009A7330">
        <w:t xml:space="preserve"> in media releases and the news-cycl</w:t>
      </w:r>
      <w:r>
        <w:t>e.</w:t>
      </w:r>
    </w:p>
    <w:p w:rsidR="00C93401" w:rsidRDefault="00296658" w:rsidP="00AD0DF8">
      <w:pPr>
        <w:pStyle w:val="Figuresandimagescentred"/>
      </w:pPr>
      <w:r>
        <w:rPr>
          <w:noProof/>
        </w:rPr>
        <w:lastRenderedPageBreak/>
        <w:drawing>
          <wp:inline distT="0" distB="0" distL="0" distR="0" wp14:anchorId="30115265" wp14:editId="2392BB25">
            <wp:extent cx="5229225" cy="2743200"/>
            <wp:effectExtent l="0" t="0" r="0" b="0"/>
            <wp:docPr id="36" name="Picture 36" descr="This figure contains a pie chart showing the breakdown of the linked tweets category defined in Figure 4.13 by the subject topic of the link.&#10;&#10;The data are summarised in the following table:&#10;&#10;Category Description Retweeted tweet (%)&#10;Mining Contained links relating to either mining or minerals 11&#10;Energy Contained links related to energy or carbon 21&#10;Natural Hazards Contained links to natural hazards 7&#10;Other Earth Sciences Contained links to other earth science topics not covered above. 18&#10;IGC News / Photographs Contained links related to the 34th IGC in the media or photographs of the 34th IG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is figure contains a pie chart showing the breakdown of the linked tweets category defined in Figure 4.13 by the subject topic of the link.&#10;&#10;The data are summarised in the following table:&#10;&#10;Category Description Retweeted tweet (%)&#10;Mining Contained links relating to either mining or minerals 11&#10;Energy Contained links related to energy or carbon 21&#10;Natural Hazards Contained links to natural hazards 7&#10;Other Earth Sciences Contained links to other earth science topics not covered above. 18&#10;IGC News / Photographs Contained links related to the 34th IGC in the media or photographs of the 34th IGC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29225" cy="2743200"/>
                    </a:xfrm>
                    <a:prstGeom prst="rect">
                      <a:avLst/>
                    </a:prstGeom>
                    <a:noFill/>
                    <a:ln>
                      <a:noFill/>
                    </a:ln>
                  </pic:spPr>
                </pic:pic>
              </a:graphicData>
            </a:graphic>
          </wp:inline>
        </w:drawing>
      </w:r>
    </w:p>
    <w:p w:rsidR="00C93401" w:rsidRPr="00A33D9A" w:rsidRDefault="00C93401" w:rsidP="00C93401">
      <w:pPr>
        <w:pStyle w:val="Caption"/>
      </w:pPr>
      <w:bookmarkStart w:id="297" w:name="_Ref337633502"/>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14</w:t>
      </w:r>
      <w:r w:rsidRPr="00D27C1C">
        <w:rPr>
          <w:rStyle w:val="Strong"/>
        </w:rPr>
        <w:fldChar w:fldCharType="end"/>
      </w:r>
      <w:bookmarkEnd w:id="297"/>
      <w:r w:rsidRPr="00356CC4">
        <w:rPr>
          <w:rStyle w:val="Bold"/>
        </w:rPr>
        <w:t>:</w:t>
      </w:r>
      <w:r w:rsidRPr="003A2F94">
        <w:t xml:space="preserve"> </w:t>
      </w:r>
      <w:r>
        <w:t>The 34</w:t>
      </w:r>
      <w:r w:rsidRPr="00CF07C2">
        <w:rPr>
          <w:rStyle w:val="Superscript"/>
        </w:rPr>
        <w:t>th</w:t>
      </w:r>
      <w:r>
        <w:t xml:space="preserve"> IGC</w:t>
      </w:r>
      <w:r w:rsidRPr="00A33D9A">
        <w:t xml:space="preserve"> Twitter account</w:t>
      </w:r>
      <w:r>
        <w:t>’</w:t>
      </w:r>
      <w:r w:rsidRPr="00A33D9A">
        <w:t>s tweets that contained links and were retweeted broken down by the topic of the link. Topics are defined next to the pie chart. The total number of retweets with links was 28.</w:t>
      </w:r>
    </w:p>
    <w:p w:rsidR="00C93401" w:rsidRPr="00816047" w:rsidRDefault="00823BA5" w:rsidP="00AD0DF8">
      <w:pPr>
        <w:pStyle w:val="Figuresandimagescentred"/>
      </w:pPr>
      <w:r>
        <w:rPr>
          <w:noProof/>
        </w:rPr>
        <w:drawing>
          <wp:inline distT="0" distB="0" distL="0" distR="0" wp14:anchorId="4F2234BC" wp14:editId="6E4DF646">
            <wp:extent cx="5306568" cy="2877312"/>
            <wp:effectExtent l="0" t="0" r="8890" b="0"/>
            <wp:docPr id="41" name="Picture 41" descr="This figure contains a pie chart showing the breakdown of all mentions of the 34th IGC Twitter account by category.&#10;&#10;The data are summarised in the following table:&#10;&#10;Category Description Mentions (%)&#10;Retweets Mentions where people retweeted the 34th IGC tweets from a third party application (e.g. Hootsuite) which add a mention to the creator of the original tweet 10&#10;Ourselves Mentions from the 34th IGC Twitter account 4&#10;Media Mentions from media and news related Twitter accounts 11&#10;Thanks Mentions from accounts who were thanking the 34th IGC, usually for retweeting their tweet 5&#10;Conversations Mentions that resulted from conversations with 34th IGC followers 6&#10;Potential conversations Mentions that could have resulted from conversations but were not picked up by monitors. They usually involved questions 12&#10;Negative Mentions that were critical of the 34th IGC, either the organisation or the content discussed at the congress 2&#10;Hashtag Mentions that could have been swapped for the hashtag in the way they were used, i.e. as reference to the congress not the twitter account. Some of these mentions also included the hashtag, but not all 42&#10;Friend recommendation Recommendations to follow the 34th IGC account from the account’s followers to their own followers 3&#10;Spam Mentions that contained links to content that were irrelevant to the 34th IG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806-4_15_27Feb.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06568" cy="2877312"/>
                    </a:xfrm>
                    <a:prstGeom prst="rect">
                      <a:avLst/>
                    </a:prstGeom>
                  </pic:spPr>
                </pic:pic>
              </a:graphicData>
            </a:graphic>
          </wp:inline>
        </w:drawing>
      </w:r>
    </w:p>
    <w:p w:rsidR="00C93401" w:rsidRPr="001F61E0" w:rsidRDefault="00C93401" w:rsidP="00C93401">
      <w:pPr>
        <w:pStyle w:val="Caption"/>
        <w:rPr>
          <w:iCs/>
        </w:rPr>
      </w:pPr>
      <w:bookmarkStart w:id="298" w:name="_Ref336952836"/>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15</w:t>
      </w:r>
      <w:r w:rsidRPr="00D27C1C">
        <w:rPr>
          <w:rStyle w:val="Strong"/>
        </w:rPr>
        <w:fldChar w:fldCharType="end"/>
      </w:r>
      <w:bookmarkEnd w:id="298"/>
      <w:r w:rsidRPr="00356CC4">
        <w:rPr>
          <w:rStyle w:val="Bold"/>
        </w:rPr>
        <w:t>:</w:t>
      </w:r>
      <w:r w:rsidRPr="003A2F94">
        <w:t xml:space="preserve"> </w:t>
      </w:r>
      <w:r w:rsidRPr="00A33D9A">
        <w:t>Mentions of the 34</w:t>
      </w:r>
      <w:r w:rsidRPr="00CF07C2">
        <w:rPr>
          <w:rStyle w:val="Superscript"/>
        </w:rPr>
        <w:t>th</w:t>
      </w:r>
      <w:r>
        <w:t xml:space="preserve"> IGC</w:t>
      </w:r>
      <w:r w:rsidRPr="00A33D9A">
        <w:t xml:space="preserve"> Twitter account by category. Categories are defined next to the pie chart. The total number of mentions the Twitter account received was 133.</w:t>
      </w:r>
    </w:p>
    <w:p w:rsidR="00C93401" w:rsidRPr="00BA7A07" w:rsidRDefault="00C93401" w:rsidP="00C93401">
      <w:pPr>
        <w:pStyle w:val="BodyText"/>
      </w:pPr>
      <w:r w:rsidRPr="00BA7A07">
        <w:t xml:space="preserve">Further, when examining the surge of people talking about the </w:t>
      </w:r>
      <w:r w:rsidRPr="00BA7A07">
        <w:rPr>
          <w:szCs w:val="21"/>
        </w:rPr>
        <w:t>34</w:t>
      </w:r>
      <w:r w:rsidRPr="00CF07C2">
        <w:rPr>
          <w:rStyle w:val="Superscript"/>
        </w:rPr>
        <w:t>th</w:t>
      </w:r>
      <w:r w:rsidRPr="00BA7A07">
        <w:t xml:space="preserve"> IGC on Twitter, i.e. the increase in the use of the official hashtag, it became apparent that a majority of the users of the hashtag were not from individual delegates themselves but from the companies who were running the stalls and booths, or by people representing these companies. </w:t>
      </w:r>
      <w:r w:rsidRPr="00BA7A07">
        <w:fldChar w:fldCharType="begin"/>
      </w:r>
      <w:r w:rsidRPr="00BA7A07">
        <w:instrText xml:space="preserve"> REF _Ref336952836 \h  \* MERGEFORMAT </w:instrText>
      </w:r>
      <w:r w:rsidRPr="00BA7A07">
        <w:fldChar w:fldCharType="separate"/>
      </w:r>
      <w:r w:rsidR="00EB5AC4" w:rsidRPr="00EB5AC4">
        <w:t>Figure 4.15</w:t>
      </w:r>
      <w:r w:rsidRPr="00BA7A07">
        <w:fldChar w:fldCharType="end"/>
      </w:r>
      <w:r w:rsidRPr="00BA7A07">
        <w:t xml:space="preserve"> reveals that 12% of all mentions were potential conversations, usually in the form of inquiries. These inquires were not responded to, and a majority of these occurred during the congress. These mentions represented a potential opportunity to drive user interaction during the congre</w:t>
      </w:r>
      <w:r>
        <w:t>ss and were not fully utilised.</w:t>
      </w:r>
    </w:p>
    <w:p w:rsidR="00C93401" w:rsidRDefault="00C93401" w:rsidP="00C93401">
      <w:pPr>
        <w:pStyle w:val="Heading4"/>
      </w:pPr>
      <w:bookmarkStart w:id="299" w:name="_Toc337721605"/>
      <w:bookmarkStart w:id="300" w:name="_Toc355274280"/>
      <w:r>
        <w:lastRenderedPageBreak/>
        <w:t>Facebook</w:t>
      </w:r>
      <w:bookmarkEnd w:id="299"/>
      <w:bookmarkEnd w:id="300"/>
    </w:p>
    <w:p w:rsidR="00C93401" w:rsidRPr="00BA7A07" w:rsidRDefault="00C93401" w:rsidP="00C93401">
      <w:pPr>
        <w:pStyle w:val="BodyText"/>
      </w:pPr>
      <w:r w:rsidRPr="00BA7A07">
        <w:t>It can be seen that photos were by far the most popular medium that was interacted with by fans on the 34</w:t>
      </w:r>
      <w:r w:rsidRPr="00CF07C2">
        <w:rPr>
          <w:rStyle w:val="Superscript"/>
        </w:rPr>
        <w:t>th</w:t>
      </w:r>
      <w:r w:rsidRPr="00BA7A07">
        <w:t xml:space="preserve"> IGC Facebook page (</w:t>
      </w:r>
      <w:r w:rsidRPr="00BA7A07">
        <w:fldChar w:fldCharType="begin"/>
      </w:r>
      <w:r w:rsidRPr="00BA7A07">
        <w:instrText xml:space="preserve"> REF _Ref337717168 \h  \* MERGEFORMAT </w:instrText>
      </w:r>
      <w:r w:rsidRPr="00BA7A07">
        <w:fldChar w:fldCharType="separate"/>
      </w:r>
      <w:r w:rsidR="00EB5AC4" w:rsidRPr="00EB5AC4">
        <w:t>Figure 4.16</w:t>
      </w:r>
      <w:r w:rsidRPr="00BA7A07">
        <w:fldChar w:fldCharType="end"/>
      </w:r>
      <w:r w:rsidRPr="00BA7A07">
        <w:t>). This is because the Facebook platform is a visual form of communication. The popularity of photographs was recognised early and therefore, introduced the photo competitions to promote interaction from fans. Also of note, the second most popular medium to interact with was links, which is consistent with Twitter interactions.</w:t>
      </w:r>
    </w:p>
    <w:p w:rsidR="00C93401" w:rsidRPr="00345BD8" w:rsidRDefault="00296658" w:rsidP="00AD0DF8">
      <w:pPr>
        <w:pStyle w:val="Figuresandimagescentred"/>
      </w:pPr>
      <w:r>
        <w:rPr>
          <w:noProof/>
        </w:rPr>
        <w:drawing>
          <wp:inline distT="0" distB="0" distL="0" distR="0" wp14:anchorId="3FEDBD70" wp14:editId="1E893BA5">
            <wp:extent cx="5400675" cy="3028950"/>
            <wp:effectExtent l="0" t="0" r="0" b="0"/>
            <wp:docPr id="38" name="Picture 38" descr="This figure contains two bar graphs showing the favoured mediums for interaction with the 34th IGC Facebook account. For both figures, the horizontal axis is labelled “Medium” with the following categories: “Link”, “Photo”, “Share”, “Status” and “Video”. &#10;&#10;In figure a, the vertical axis is labelled “Number of interactions” and goes from 0 to 10000 using a logarithmic scale. In figure b, the vertical axis is labelled “Percentage of interactions by type” and goes from 0 to 100 in increments 10. Each bar is split along the vertical axis based on the type of interaction for each medium; “Comment”, “Share”, “Like”.&#10;&#10;The data are summarised in the following tables:&#10;&#10;A.&#10;Medium Number of interactions&#10;Link 328&#10;Photo 5779&#10;Share 28&#10;Status 103&#10;Video  64&#10;&#10;B.&#10;Medium Percentage of Interactions by Type&#10; Like Share Comment&#10;Link 70.1 20.1 9.8&#10;Photo 81.2 8.3 10.5&#10;Share 57.1 35.7 7.1&#10;Status 84.5 3.9 11.7&#10;Video 56.3 39.1 4.7&#10;&#10;By far the most popular type of content on Facebook were photos. The most common type of interaction for each of these post types was ‘liking’, which represented more than 50% of interactions for every type of post and more than 80% of interactions with photos and status updates. This was followed by shares and com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his figure contains two bar graphs showing the favoured mediums for interaction with the 34th IGC Facebook account. For both figures, the horizontal axis is labelled “Medium” with the following categories: “Link”, “Photo”, “Share”, “Status” and “Video”. &#10;&#10;In figure a, the vertical axis is labelled “Number of interactions” and goes from 0 to 10000 using a logarithmic scale. In figure b, the vertical axis is labelled “Percentage of interactions by type” and goes from 0 to 100 in increments 10. Each bar is split along the vertical axis based on the type of interaction for each medium; “Comment”, “Share”, “Like”.&#10;&#10;The data are summarised in the following tables:&#10;&#10;A.&#10;Medium Number of interactions&#10;Link 328&#10;Photo 5779&#10;Share 28&#10;Status 103&#10;Video  64&#10;&#10;B.&#10;Medium Percentage of Interactions by Type&#10; Like Share Comment&#10;Link 70.1 20.1 9.8&#10;Photo 81.2 8.3 10.5&#10;Share 57.1 35.7 7.1&#10;Status 84.5 3.9 11.7&#10;Video 56.3 39.1 4.7&#10;&#10;By far the most popular type of content on Facebook were photos. The most common type of interaction for each of these post types was ‘liking’, which represented more than 50% of interactions for every type of post and more than 80% of interactions with photos and status updates. This was followed by shares and comment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675" cy="3028950"/>
                    </a:xfrm>
                    <a:prstGeom prst="rect">
                      <a:avLst/>
                    </a:prstGeom>
                    <a:noFill/>
                    <a:ln>
                      <a:noFill/>
                    </a:ln>
                  </pic:spPr>
                </pic:pic>
              </a:graphicData>
            </a:graphic>
          </wp:inline>
        </w:drawing>
      </w:r>
    </w:p>
    <w:p w:rsidR="00C93401" w:rsidRPr="00813368" w:rsidRDefault="00C93401" w:rsidP="00C93401">
      <w:pPr>
        <w:pStyle w:val="Caption"/>
      </w:pPr>
      <w:bookmarkStart w:id="301" w:name="_Ref337717168"/>
      <w:r w:rsidRPr="00356CC4">
        <w:rPr>
          <w:rStyle w:val="Bold"/>
        </w:rPr>
        <w:t xml:space="preserve">Figure </w:t>
      </w:r>
      <w:r w:rsidRPr="00D27C1C">
        <w:rPr>
          <w:rStyle w:val="Strong"/>
        </w:rPr>
        <w:fldChar w:fldCharType="begin"/>
      </w:r>
      <w:r w:rsidRPr="00D27C1C">
        <w:rPr>
          <w:rStyle w:val="Strong"/>
        </w:rPr>
        <w:instrText xml:space="preserve"> STYLEREF 1 \s </w:instrText>
      </w:r>
      <w:r w:rsidRPr="00D27C1C">
        <w:rPr>
          <w:rStyle w:val="Strong"/>
        </w:rPr>
        <w:fldChar w:fldCharType="separate"/>
      </w:r>
      <w:r w:rsidR="00EB5AC4">
        <w:rPr>
          <w:rStyle w:val="Strong"/>
          <w:noProof/>
        </w:rPr>
        <w:t>4</w:t>
      </w:r>
      <w:r w:rsidRPr="00D27C1C">
        <w:rPr>
          <w:rStyle w:val="Strong"/>
        </w:rPr>
        <w:fldChar w:fldCharType="end"/>
      </w:r>
      <w:r w:rsidRPr="00356CC4">
        <w:rPr>
          <w:rStyle w:val="Bold"/>
        </w:rPr>
        <w:t>.</w:t>
      </w:r>
      <w:r w:rsidRPr="00D27C1C">
        <w:rPr>
          <w:rStyle w:val="Strong"/>
        </w:rPr>
        <w:fldChar w:fldCharType="begin"/>
      </w:r>
      <w:r w:rsidRPr="00D27C1C">
        <w:rPr>
          <w:rStyle w:val="Strong"/>
        </w:rPr>
        <w:instrText xml:space="preserve"> SEQ Figure \* ARABIC \s 1 </w:instrText>
      </w:r>
      <w:r w:rsidRPr="00D27C1C">
        <w:rPr>
          <w:rStyle w:val="Strong"/>
        </w:rPr>
        <w:fldChar w:fldCharType="separate"/>
      </w:r>
      <w:r w:rsidR="00EB5AC4">
        <w:rPr>
          <w:rStyle w:val="Strong"/>
          <w:noProof/>
        </w:rPr>
        <w:t>16</w:t>
      </w:r>
      <w:r w:rsidRPr="00D27C1C">
        <w:rPr>
          <w:rStyle w:val="Strong"/>
        </w:rPr>
        <w:fldChar w:fldCharType="end"/>
      </w:r>
      <w:bookmarkEnd w:id="301"/>
      <w:r w:rsidRPr="00356CC4">
        <w:rPr>
          <w:rStyle w:val="Bold"/>
        </w:rPr>
        <w:t>:</w:t>
      </w:r>
      <w:r w:rsidRPr="003A2F94">
        <w:t xml:space="preserve"> </w:t>
      </w:r>
      <w:r w:rsidRPr="00F60247">
        <w:t>Interactions for the 34</w:t>
      </w:r>
      <w:r w:rsidRPr="00CF07C2">
        <w:rPr>
          <w:rStyle w:val="Superscript"/>
        </w:rPr>
        <w:t>th</w:t>
      </w:r>
      <w:r>
        <w:t xml:space="preserve"> IGC</w:t>
      </w:r>
      <w:r w:rsidRPr="00F60247">
        <w:t xml:space="preserve"> Facebook page</w:t>
      </w:r>
      <w:r>
        <w:t xml:space="preserve"> broken down by medium (Link, Photo, Share, Status, Video)</w:t>
      </w:r>
      <w:r w:rsidRPr="00F60247">
        <w:t>. A)</w:t>
      </w:r>
      <w:r w:rsidRPr="003A2F94">
        <w:t xml:space="preserve"> </w:t>
      </w:r>
      <w:r w:rsidRPr="00813368">
        <w:t>The</w:t>
      </w:r>
      <w:r>
        <w:t xml:space="preserve"> total</w:t>
      </w:r>
      <w:r w:rsidRPr="00813368">
        <w:t xml:space="preserve"> number of user interactions</w:t>
      </w:r>
      <w:r>
        <w:t xml:space="preserve"> for each medium. B) The breakdown of interactions for each medium by type </w:t>
      </w:r>
      <w:r w:rsidRPr="00813368">
        <w:t>as likes, comments</w:t>
      </w:r>
      <w:r>
        <w:t xml:space="preserve"> and shares</w:t>
      </w:r>
      <w:r w:rsidRPr="00813368">
        <w:t>. Share as a content type refers to stories created on other pages that were shared through the</w:t>
      </w:r>
      <w:r>
        <w:t xml:space="preserve"> 34</w:t>
      </w:r>
      <w:r w:rsidRPr="00CF07C2">
        <w:rPr>
          <w:rStyle w:val="Superscript"/>
        </w:rPr>
        <w:t>th</w:t>
      </w:r>
      <w:r>
        <w:t xml:space="preserve"> IGC Facebook page.</w:t>
      </w:r>
    </w:p>
    <w:p w:rsidR="00C93401" w:rsidRPr="00BA7A07" w:rsidRDefault="00C93401" w:rsidP="00C93401">
      <w:pPr>
        <w:pStyle w:val="BodyText"/>
      </w:pPr>
      <w:r w:rsidRPr="00BA7A07">
        <w:t>The most popular form of interaction by fans was to like content and the least popular was to comment. This is probably because liking something shows approval but doesn’t take much time compared with commenting on something. Notably, the most common medium that was shared was stories that were already shared by us, followed by videos.</w:t>
      </w:r>
    </w:p>
    <w:p w:rsidR="00C93401" w:rsidRDefault="00C93401" w:rsidP="00C93401">
      <w:pPr>
        <w:pStyle w:val="Heading3"/>
      </w:pPr>
      <w:bookmarkStart w:id="302" w:name="_Toc337721606"/>
      <w:bookmarkStart w:id="303" w:name="_Toc353282063"/>
      <w:bookmarkStart w:id="304" w:name="_Toc355274281"/>
      <w:r w:rsidRPr="0009729E">
        <w:t>Negative Interactio</w:t>
      </w:r>
      <w:r>
        <w:t>n</w:t>
      </w:r>
      <w:bookmarkEnd w:id="302"/>
      <w:bookmarkEnd w:id="303"/>
      <w:bookmarkEnd w:id="304"/>
    </w:p>
    <w:p w:rsidR="00C93401" w:rsidRPr="00BA7A07" w:rsidRDefault="00C93401" w:rsidP="00C93401">
      <w:pPr>
        <w:pStyle w:val="BodyText"/>
      </w:pPr>
      <w:r w:rsidRPr="00BA7A07">
        <w:fldChar w:fldCharType="begin"/>
      </w:r>
      <w:r w:rsidRPr="00BA7A07">
        <w:instrText xml:space="preserve"> REF _Ref336952836 \h  \* MERGEFORMAT </w:instrText>
      </w:r>
      <w:r w:rsidRPr="00BA7A07">
        <w:fldChar w:fldCharType="separate"/>
      </w:r>
      <w:r w:rsidR="00EB5AC4" w:rsidRPr="00EB5AC4">
        <w:t>Figure 4.15</w:t>
      </w:r>
      <w:r w:rsidRPr="00BA7A07">
        <w:fldChar w:fldCharType="end"/>
      </w:r>
      <w:r w:rsidRPr="00BA7A07">
        <w:t xml:space="preserve"> illustrates that not all interactions were positive. These were divided into two categories: spam and negative content. Spam was generic interaction that usually tried to get admins of the accounts to click on links that would download malware or spyware content onto their computer, and is dealt with in more detail in the Section </w:t>
      </w:r>
      <w:r w:rsidRPr="00BA7A07">
        <w:fldChar w:fldCharType="begin"/>
      </w:r>
      <w:r w:rsidRPr="00BA7A07">
        <w:instrText xml:space="preserve"> REF _Ref337103998 \n \h </w:instrText>
      </w:r>
      <w:r>
        <w:instrText xml:space="preserve"> \* MERGEFORMAT </w:instrText>
      </w:r>
      <w:r w:rsidRPr="00BA7A07">
        <w:fldChar w:fldCharType="separate"/>
      </w:r>
      <w:r w:rsidR="00EB5AC4">
        <w:t>4.5.6</w:t>
      </w:r>
      <w:r w:rsidRPr="00BA7A07">
        <w:fldChar w:fldCharType="end"/>
      </w:r>
      <w:r w:rsidRPr="00BA7A07">
        <w:t xml:space="preserve">. Spam was generic and not directed at the </w:t>
      </w:r>
      <w:r w:rsidRPr="00BA7A07">
        <w:rPr>
          <w:szCs w:val="21"/>
        </w:rPr>
        <w:t>34</w:t>
      </w:r>
      <w:r w:rsidRPr="00CF07C2">
        <w:rPr>
          <w:rStyle w:val="Superscript"/>
        </w:rPr>
        <w:t>th</w:t>
      </w:r>
      <w:r w:rsidRPr="00BA7A07">
        <w:t xml:space="preserve"> IGC as an organisation. The other style of negative interaction involved people making negative comments on either the </w:t>
      </w:r>
      <w:r w:rsidRPr="00BA7A07">
        <w:rPr>
          <w:szCs w:val="21"/>
        </w:rPr>
        <w:t>34</w:t>
      </w:r>
      <w:r w:rsidRPr="00CF07C2">
        <w:rPr>
          <w:rStyle w:val="Superscript"/>
        </w:rPr>
        <w:t>th</w:t>
      </w:r>
      <w:r w:rsidRPr="00BA7A07">
        <w:t xml:space="preserve"> IGC as an organisation, or topics that were discussed at the </w:t>
      </w:r>
      <w:r w:rsidRPr="00BA7A07">
        <w:rPr>
          <w:szCs w:val="21"/>
        </w:rPr>
        <w:t>34</w:t>
      </w:r>
      <w:r w:rsidRPr="00CF07C2">
        <w:rPr>
          <w:rStyle w:val="Superscript"/>
        </w:rPr>
        <w:t>th</w:t>
      </w:r>
      <w:r w:rsidRPr="00BA7A07">
        <w:t xml:space="preserve"> IGC. The process of dealing with these was on a case</w:t>
      </w:r>
      <w:r w:rsidRPr="00BA7A07">
        <w:noBreakHyphen/>
        <w:t>by</w:t>
      </w:r>
      <w:r w:rsidRPr="00BA7A07">
        <w:noBreakHyphen/>
        <w:t>case basis and could be time consuming (see Appendix Five). It usually involved either ignoring the comment, posting content separately that countered the views in a non-escalating manner, or reporting particularly offensive interactions to Facebook or Twitter.</w:t>
      </w:r>
    </w:p>
    <w:p w:rsidR="00C93401" w:rsidRPr="006E7AF9" w:rsidRDefault="00C93401" w:rsidP="00C93401">
      <w:pPr>
        <w:pStyle w:val="Heading3"/>
      </w:pPr>
      <w:bookmarkStart w:id="305" w:name="_Ref337103998"/>
      <w:bookmarkStart w:id="306" w:name="_Ref337104212"/>
      <w:bookmarkStart w:id="307" w:name="_Toc337721607"/>
      <w:bookmarkStart w:id="308" w:name="_Toc353282064"/>
      <w:bookmarkStart w:id="309" w:name="_Toc355274282"/>
      <w:r>
        <w:lastRenderedPageBreak/>
        <w:t>Trouble S</w:t>
      </w:r>
      <w:r w:rsidRPr="006E7AF9">
        <w:t>hooting</w:t>
      </w:r>
      <w:bookmarkEnd w:id="305"/>
      <w:bookmarkEnd w:id="306"/>
      <w:bookmarkEnd w:id="307"/>
      <w:bookmarkEnd w:id="308"/>
      <w:bookmarkEnd w:id="309"/>
    </w:p>
    <w:p w:rsidR="00C93401" w:rsidRPr="00BA7A07" w:rsidRDefault="00C93401" w:rsidP="00C93401">
      <w:pPr>
        <w:pStyle w:val="BodyText"/>
      </w:pPr>
      <w:r w:rsidRPr="00BA7A07">
        <w:t xml:space="preserve">Through the course of managing and monitoring the social media accounts several problems were encountered when working with social media, these problems and potential solutions, are summarised in </w:t>
      </w:r>
      <w:r w:rsidRPr="00BA7A07">
        <w:fldChar w:fldCharType="begin"/>
      </w:r>
      <w:r w:rsidRPr="00BA7A07">
        <w:instrText xml:space="preserve"> REF _Ref336342766 \h  \* MERGEFORMAT </w:instrText>
      </w:r>
      <w:r w:rsidRPr="00BA7A07">
        <w:fldChar w:fldCharType="separate"/>
      </w:r>
      <w:r w:rsidR="00EB5AC4" w:rsidRPr="00EB5AC4">
        <w:t>Table 4.5</w:t>
      </w:r>
      <w:r w:rsidRPr="00BA7A07">
        <w:fldChar w:fldCharType="end"/>
      </w:r>
      <w:r w:rsidRPr="00BA7A07">
        <w:t>.</w:t>
      </w:r>
    </w:p>
    <w:p w:rsidR="00C93401" w:rsidRPr="00813368" w:rsidRDefault="00C93401" w:rsidP="00C93401">
      <w:pPr>
        <w:pStyle w:val="Tabletitle"/>
      </w:pPr>
      <w:bookmarkStart w:id="310" w:name="_Ref336342766"/>
      <w:r w:rsidRPr="00356CC4">
        <w:rPr>
          <w:rStyle w:val="Bold"/>
        </w:rPr>
        <w:t xml:space="preserve">Table </w:t>
      </w:r>
      <w:r w:rsidR="004E7FC8">
        <w:rPr>
          <w:rStyle w:val="Bold"/>
        </w:rPr>
        <w:fldChar w:fldCharType="begin"/>
      </w:r>
      <w:r w:rsidR="004E7FC8">
        <w:rPr>
          <w:rStyle w:val="Bold"/>
        </w:rPr>
        <w:instrText xml:space="preserve"> STYLEREF 1 \s </w:instrText>
      </w:r>
      <w:r w:rsidR="004E7FC8">
        <w:rPr>
          <w:rStyle w:val="Bold"/>
        </w:rPr>
        <w:fldChar w:fldCharType="separate"/>
      </w:r>
      <w:r w:rsidR="004E7FC8">
        <w:rPr>
          <w:rStyle w:val="Bold"/>
          <w:noProof/>
        </w:rPr>
        <w:t>4</w:t>
      </w:r>
      <w:r w:rsidR="004E7FC8">
        <w:rPr>
          <w:rStyle w:val="Bold"/>
        </w:rPr>
        <w:fldChar w:fldCharType="end"/>
      </w:r>
      <w:r w:rsidR="004E7FC8">
        <w:rPr>
          <w:rStyle w:val="Bold"/>
        </w:rPr>
        <w:t>.</w:t>
      </w:r>
      <w:r w:rsidR="004E7FC8">
        <w:rPr>
          <w:rStyle w:val="Bold"/>
        </w:rPr>
        <w:fldChar w:fldCharType="begin"/>
      </w:r>
      <w:r w:rsidR="004E7FC8">
        <w:rPr>
          <w:rStyle w:val="Bold"/>
        </w:rPr>
        <w:instrText xml:space="preserve"> SEQ Table \* ARABIC \s 1 </w:instrText>
      </w:r>
      <w:r w:rsidR="004E7FC8">
        <w:rPr>
          <w:rStyle w:val="Bold"/>
        </w:rPr>
        <w:fldChar w:fldCharType="separate"/>
      </w:r>
      <w:r w:rsidR="004E7FC8">
        <w:rPr>
          <w:rStyle w:val="Bold"/>
          <w:noProof/>
        </w:rPr>
        <w:t>5</w:t>
      </w:r>
      <w:r w:rsidR="004E7FC8">
        <w:rPr>
          <w:rStyle w:val="Bold"/>
        </w:rPr>
        <w:fldChar w:fldCharType="end"/>
      </w:r>
      <w:bookmarkEnd w:id="310"/>
      <w:r w:rsidRPr="00356CC4">
        <w:rPr>
          <w:rStyle w:val="Bold"/>
        </w:rPr>
        <w:t>:</w:t>
      </w:r>
      <w:r w:rsidRPr="003A2F94">
        <w:t xml:space="preserve"> </w:t>
      </w:r>
      <w:r w:rsidRPr="00813368">
        <w:t>Problems encountered during the project and their solutions.</w:t>
      </w:r>
    </w:p>
    <w:tbl>
      <w:tblPr>
        <w:tblStyle w:val="TableGAHeaderRow"/>
        <w:tblW w:w="0" w:type="auto"/>
        <w:tblLook w:val="01E0" w:firstRow="1" w:lastRow="1" w:firstColumn="1" w:lastColumn="1" w:noHBand="0" w:noVBand="0"/>
        <w:tblDescription w:val="This table lists the problems encountered while running the social media accounts, and provides a discussion of the suggested solution(s). In summary:&#10;&#10;1) Facebook account locked when multiple people logged on with the same contact details. This was fixed by assigning users personal accounts as page administrators. However, this raised concerns regarding personal / professional boundaries.&#10;&#10;2) Difficulty in Twitter in searching for interesting tweets to retweet. Google Reader was used to create RSS feeds for particular phrases of interest. The Hootsuite website was also found to be useful for this purpose.&#10;&#10;3) Tweets were no longer searchable or visible after seven days. Google Reader was used during the conference to keep a record of all tweets using the '#34igc' hashtag, but this was found to be not very workable. Licenced software could be purchased to do this, or it may be possible to write such software from scratch.&#10;&#10;4) Both Facebook and Twitter accounts received spam. All spam sent to these account was easy to recognise, as they were entirely unrelated to the conference and encouraged the reader to follow a link to an external website. All spam was ignored."/>
      </w:tblPr>
      <w:tblGrid>
        <w:gridCol w:w="2448"/>
        <w:gridCol w:w="6074"/>
      </w:tblGrid>
      <w:tr w:rsidR="00C93401" w:rsidRPr="006E7AF9" w:rsidTr="009C356C">
        <w:trPr>
          <w:cnfStyle w:val="100000000000" w:firstRow="1" w:lastRow="0" w:firstColumn="0" w:lastColumn="0" w:oddVBand="0" w:evenVBand="0" w:oddHBand="0" w:evenHBand="0" w:firstRowFirstColumn="0" w:firstRowLastColumn="0" w:lastRowFirstColumn="0" w:lastRowLastColumn="0"/>
          <w:cantSplit w:val="0"/>
          <w:tblHeader/>
        </w:trPr>
        <w:tc>
          <w:tcPr>
            <w:cnfStyle w:val="000010000000" w:firstRow="0" w:lastRow="0" w:firstColumn="0" w:lastColumn="0" w:oddVBand="1" w:evenVBand="0" w:oddHBand="0" w:evenHBand="0" w:firstRowFirstColumn="0" w:firstRowLastColumn="0" w:lastRowFirstColumn="0" w:lastRowLastColumn="0"/>
            <w:tcW w:w="2448" w:type="dxa"/>
          </w:tcPr>
          <w:p w:rsidR="00C93401" w:rsidRPr="005C4DDA" w:rsidRDefault="00C93401" w:rsidP="009C49B6">
            <w:pPr>
              <w:pStyle w:val="Tabletextleft"/>
            </w:pPr>
            <w:r w:rsidRPr="005C4DDA">
              <w:t>Problem</w:t>
            </w:r>
          </w:p>
        </w:tc>
        <w:tc>
          <w:tcPr>
            <w:tcW w:w="6074" w:type="dxa"/>
          </w:tcPr>
          <w:p w:rsidR="00C93401" w:rsidRPr="005C4DDA" w:rsidRDefault="00C93401" w:rsidP="009C49B6">
            <w:pPr>
              <w:pStyle w:val="Tabletextleft"/>
              <w:cnfStyle w:val="100000000000" w:firstRow="1" w:lastRow="0" w:firstColumn="0" w:lastColumn="0" w:oddVBand="0" w:evenVBand="0" w:oddHBand="0" w:evenHBand="0" w:firstRowFirstColumn="0" w:firstRowLastColumn="0" w:lastRowFirstColumn="0" w:lastRowLastColumn="0"/>
            </w:pPr>
            <w:r w:rsidRPr="005C4DDA">
              <w:t>Solution</w:t>
            </w:r>
          </w:p>
        </w:tc>
      </w:tr>
      <w:tr w:rsidR="00C93401" w:rsidRPr="006E7AF9" w:rsidTr="00FB36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48" w:type="dxa"/>
          </w:tcPr>
          <w:p w:rsidR="00C93401" w:rsidRPr="00D644D5" w:rsidRDefault="00C93401" w:rsidP="009C49B6">
            <w:pPr>
              <w:pStyle w:val="Tabletextleft"/>
            </w:pPr>
            <w:r w:rsidRPr="00D644D5">
              <w:t>Locked out of the Facebook page as more than one person was logged in using the same details. This was never a problem with Twitter.</w:t>
            </w:r>
          </w:p>
        </w:tc>
        <w:tc>
          <w:tcPr>
            <w:tcW w:w="6074"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pPr>
            <w:r w:rsidRPr="00D644D5">
              <w:t>Making each of the managers an administrator of the page, instead of using a single generic account. This requires each manager to have a personal account. The managers used their own personal accounts in the end but this may blur the boundaries of private versus public usage too much as a permanent solution. It should be possible for people to create a separate work Facebook account, in theory, but this would violate one of the Facebook Terms and Conditions of each person only having one Facebook account.</w:t>
            </w:r>
          </w:p>
        </w:tc>
      </w:tr>
      <w:tr w:rsidR="00C93401" w:rsidRPr="006E7AF9" w:rsidTr="00FB36FD">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48" w:type="dxa"/>
          </w:tcPr>
          <w:p w:rsidR="00C93401" w:rsidRPr="00D644D5" w:rsidRDefault="00C93401" w:rsidP="009C49B6">
            <w:pPr>
              <w:pStyle w:val="Tabletextleft"/>
            </w:pPr>
            <w:r w:rsidRPr="00D644D5">
              <w:t>Difficult to search and navigate for interesting tweets to retweet.</w:t>
            </w:r>
          </w:p>
        </w:tc>
        <w:tc>
          <w:tcPr>
            <w:tcW w:w="6074"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pPr>
            <w:r w:rsidRPr="00D644D5">
              <w:t>Google Reader was used to create RSS feeds for news articles from particular sites or containing relevant phrases (e.g. climate change, Iain Stewart). Hootsuite's capability to show multiple feeds of tweets meant that hashtags like #geology and #science could be followed simultaneously without separate searches and made it easier to retweet tweets containing these keywords too.</w:t>
            </w:r>
          </w:p>
        </w:tc>
      </w:tr>
      <w:tr w:rsidR="00C93401" w:rsidRPr="006E7AF9" w:rsidTr="00FB36FD">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2448" w:type="dxa"/>
          </w:tcPr>
          <w:p w:rsidR="00C93401" w:rsidRPr="00D644D5" w:rsidRDefault="00C93401" w:rsidP="009C49B6">
            <w:pPr>
              <w:pStyle w:val="Tabletextleft"/>
            </w:pPr>
            <w:r w:rsidRPr="00D644D5">
              <w:t>Tweets are no longer searchable or visible after seven days.</w:t>
            </w:r>
          </w:p>
        </w:tc>
        <w:tc>
          <w:tcPr>
            <w:tcW w:w="6074"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pPr>
            <w:r w:rsidRPr="00D644D5">
              <w:t>Hootsuite keeps a copy of all tweets, retweets and mentions that a Twitter account receives but it does not archive tweets that contain specific hashtags when using the free version. During the congress we used Google Reader to keep a copy of all tweets that contained #34igc. The format of this was not very workable though. It is possible to get a professional account on Hootsuite at a cost (starting at $9.90/month) and that this account does allow archiving and access to more powerful analytical tools. However, given that GA has a web development section it would also be possible to build an automatic archiving database using Twitter's Streaming and Search APIs. This was attempted during the project but was outside the area of experience of the graduate involved and never accomplished.</w:t>
            </w:r>
          </w:p>
        </w:tc>
      </w:tr>
      <w:tr w:rsidR="00C93401" w:rsidRPr="006E7AF9" w:rsidTr="00FB36FD">
        <w:trPr>
          <w:cnfStyle w:val="000000010000" w:firstRow="0" w:lastRow="0" w:firstColumn="0" w:lastColumn="0" w:oddVBand="0" w:evenVBand="0" w:oddHBand="0" w:evenHBand="1" w:firstRowFirstColumn="0" w:firstRowLastColumn="0" w:lastRowFirstColumn="0" w:lastRowLastColumn="0"/>
          <w:trHeight w:val="328"/>
        </w:trPr>
        <w:tc>
          <w:tcPr>
            <w:cnfStyle w:val="000010000000" w:firstRow="0" w:lastRow="0" w:firstColumn="0" w:lastColumn="0" w:oddVBand="1" w:evenVBand="0" w:oddHBand="0" w:evenHBand="0" w:firstRowFirstColumn="0" w:firstRowLastColumn="0" w:lastRowFirstColumn="0" w:lastRowLastColumn="0"/>
            <w:tcW w:w="2448" w:type="dxa"/>
          </w:tcPr>
          <w:p w:rsidR="00C93401" w:rsidRPr="00D644D5" w:rsidRDefault="00C93401" w:rsidP="009C49B6">
            <w:pPr>
              <w:pStyle w:val="Tabletextleft"/>
            </w:pPr>
            <w:r w:rsidRPr="00D644D5">
              <w:t>Both the Twitter account and Facebook account received spam.</w:t>
            </w:r>
          </w:p>
        </w:tc>
        <w:tc>
          <w:tcPr>
            <w:tcW w:w="6074"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pPr>
            <w:r w:rsidRPr="00D644D5">
              <w:t xml:space="preserve">These were always from accounts that had very few followers themselves and usually contained a link with a vague comment like ‘This is about you’ or a comment completely unrelated to the </w:t>
            </w:r>
            <w:r w:rsidRPr="00D644D5">
              <w:rPr>
                <w:szCs w:val="21"/>
              </w:rPr>
              <w:t>34</w:t>
            </w:r>
            <w:r w:rsidRPr="00D644D5">
              <w:rPr>
                <w:rStyle w:val="Superscript"/>
                <w:szCs w:val="18"/>
              </w:rPr>
              <w:t>th</w:t>
            </w:r>
            <w:r w:rsidRPr="00D644D5">
              <w:t xml:space="preserve"> IGC. Links from these kinds of posts were never clicked, and offenders were reported.</w:t>
            </w:r>
          </w:p>
        </w:tc>
      </w:tr>
    </w:tbl>
    <w:p w:rsidR="00C93401" w:rsidRPr="007A543A" w:rsidRDefault="00C93401" w:rsidP="00296658">
      <w:pPr>
        <w:pStyle w:val="Heading2"/>
      </w:pPr>
      <w:bookmarkStart w:id="311" w:name="_Toc353282065"/>
      <w:bookmarkStart w:id="312" w:name="_Toc355274283"/>
      <w:r>
        <w:t>Conclusions</w:t>
      </w:r>
      <w:bookmarkEnd w:id="311"/>
      <w:bookmarkEnd w:id="312"/>
    </w:p>
    <w:p w:rsidR="00C93401" w:rsidRPr="0054704D" w:rsidRDefault="00C93401" w:rsidP="00C93401">
      <w:pPr>
        <w:pStyle w:val="BodyText"/>
      </w:pPr>
      <w:r w:rsidRPr="0054704D">
        <w:t xml:space="preserve">The </w:t>
      </w:r>
      <w:r w:rsidRPr="0054704D">
        <w:rPr>
          <w:szCs w:val="21"/>
        </w:rPr>
        <w:t>34</w:t>
      </w:r>
      <w:r w:rsidRPr="00CF07C2">
        <w:rPr>
          <w:rStyle w:val="Superscript"/>
        </w:rPr>
        <w:t>th</w:t>
      </w:r>
      <w:r w:rsidRPr="0054704D">
        <w:t xml:space="preserve"> IGC social media campaign was effective in reaching a large proportion of </w:t>
      </w:r>
      <w:r w:rsidRPr="0054704D">
        <w:rPr>
          <w:szCs w:val="21"/>
        </w:rPr>
        <w:t>34</w:t>
      </w:r>
      <w:r w:rsidRPr="00CF07C2">
        <w:rPr>
          <w:rStyle w:val="Superscript"/>
        </w:rPr>
        <w:t>th</w:t>
      </w:r>
      <w:r w:rsidRPr="0054704D">
        <w:t xml:space="preserve"> IGC delegates and </w:t>
      </w:r>
      <w:r w:rsidR="00433C1A">
        <w:t>was</w:t>
      </w:r>
      <w:r w:rsidRPr="0054704D">
        <w:t xml:space="preserve"> used both to promote the </w:t>
      </w:r>
      <w:r w:rsidRPr="0054704D">
        <w:rPr>
          <w:szCs w:val="21"/>
        </w:rPr>
        <w:t>34</w:t>
      </w:r>
      <w:r w:rsidRPr="00CF07C2">
        <w:rPr>
          <w:rStyle w:val="Superscript"/>
        </w:rPr>
        <w:t>th</w:t>
      </w:r>
      <w:r w:rsidRPr="0054704D">
        <w:t xml:space="preserve"> IGC and send messages to delegates. Assuming all the followers and fans of the accounts actually attended the congress, the social media and advertising strategy managed to reach approximately one out of every twenty delegates through Twitter and one out of every five delegates through Facebook. The Facebook and Twitter platforms were effective tools for promoting an international conference</w:t>
      </w:r>
      <w:r w:rsidR="00433C1A">
        <w:t>,</w:t>
      </w:r>
      <w:r w:rsidRPr="0054704D">
        <w:t xml:space="preserve"> as they reached a global audience. However, despite being an excellent one-to-many communication tool in the lead-up to the congress, the social media platforms were not used to their full capacity during the </w:t>
      </w:r>
      <w:r w:rsidRPr="0054704D">
        <w:rPr>
          <w:szCs w:val="21"/>
        </w:rPr>
        <w:t>34</w:t>
      </w:r>
      <w:r w:rsidRPr="00CF07C2">
        <w:rPr>
          <w:rStyle w:val="Superscript"/>
        </w:rPr>
        <w:t>th</w:t>
      </w:r>
      <w:r w:rsidRPr="0054704D">
        <w:t xml:space="preserve"> IGC.</w:t>
      </w:r>
    </w:p>
    <w:p w:rsidR="00C93401" w:rsidRPr="0054704D" w:rsidRDefault="00C93401" w:rsidP="00C93401">
      <w:pPr>
        <w:pStyle w:val="BodyText"/>
      </w:pPr>
      <w:r w:rsidRPr="0054704D">
        <w:t xml:space="preserve">Once a critical number of fans or followers had been reached, in this case 400 for Facebook and 100 for Twitter, the pages started to generate their own content through user interaction. Advertising the </w:t>
      </w:r>
      <w:r w:rsidRPr="0054704D">
        <w:lastRenderedPageBreak/>
        <w:t xml:space="preserve">social media pages was crucial for building this fan base and was done through the global mailing list; hyperlinked icons on the </w:t>
      </w:r>
      <w:r w:rsidRPr="0054704D">
        <w:rPr>
          <w:szCs w:val="21"/>
        </w:rPr>
        <w:t>34</w:t>
      </w:r>
      <w:r w:rsidRPr="00CF07C2">
        <w:rPr>
          <w:rStyle w:val="Superscript"/>
        </w:rPr>
        <w:t>th</w:t>
      </w:r>
      <w:r w:rsidRPr="0054704D">
        <w:t xml:space="preserve"> IGC webpage; advertisement in the circulars</w:t>
      </w:r>
      <w:r w:rsidR="00433C1A">
        <w:t>;</w:t>
      </w:r>
      <w:r w:rsidRPr="0054704D">
        <w:t xml:space="preserve"> and</w:t>
      </w:r>
      <w:r w:rsidR="00433C1A">
        <w:t>,</w:t>
      </w:r>
      <w:r w:rsidRPr="0054704D">
        <w:t xml:space="preserve"> advertisement at the conference itself. </w:t>
      </w:r>
    </w:p>
    <w:p w:rsidR="00C93401" w:rsidRPr="0054704D" w:rsidRDefault="00C93401" w:rsidP="00C93401">
      <w:pPr>
        <w:pStyle w:val="BodyText"/>
      </w:pPr>
      <w:r w:rsidRPr="0054704D">
        <w:t xml:space="preserve">Facebook and Twitter are different platforms, resulting in different user interactions. This highlights that they require different approaches for posting content and interacting with people. Twitter had much greater interaction during the event, lending itself to real-time events and breaking news. Additionally, content posted on Twitter was more likely to be interacted with if it included links to further information. On the other hand, Facebook was more popular in the lead-up to the </w:t>
      </w:r>
      <w:r w:rsidRPr="0054704D">
        <w:rPr>
          <w:szCs w:val="21"/>
        </w:rPr>
        <w:t>34</w:t>
      </w:r>
      <w:r w:rsidRPr="00CF07C2">
        <w:rPr>
          <w:rStyle w:val="Superscript"/>
        </w:rPr>
        <w:t>th</w:t>
      </w:r>
      <w:r w:rsidRPr="0054704D">
        <w:t xml:space="preserve"> IGC. Overall, Facebook interaction was more sustained with sharp sporadic increases due to sharing interesting content and Facebook content was more popular if it was posted along with a photograph. These differences need to be considered when setting up a social media account because depending on the purpose it might be pertinent to use one platform over another.</w:t>
      </w:r>
    </w:p>
    <w:p w:rsidR="00C93401" w:rsidRDefault="00C93401" w:rsidP="00C93401">
      <w:pPr>
        <w:pStyle w:val="Heading2"/>
      </w:pPr>
      <w:bookmarkStart w:id="313" w:name="_Toc337721610"/>
      <w:bookmarkStart w:id="314" w:name="_Toc353282066"/>
      <w:bookmarkStart w:id="315" w:name="_Toc355274284"/>
      <w:r w:rsidRPr="002A0390">
        <w:t>Recommendations</w:t>
      </w:r>
      <w:bookmarkEnd w:id="313"/>
      <w:bookmarkEnd w:id="314"/>
      <w:bookmarkEnd w:id="315"/>
    </w:p>
    <w:p w:rsidR="00C93401" w:rsidRDefault="00C93401" w:rsidP="00C93401">
      <w:pPr>
        <w:pStyle w:val="BodyText"/>
      </w:pPr>
      <w:r>
        <w:t>The following recommendations should assist organisations in implementing their own social media campaign:</w:t>
      </w:r>
    </w:p>
    <w:p w:rsidR="00C93401" w:rsidRPr="00356CC4" w:rsidRDefault="00C93401" w:rsidP="00C93401">
      <w:pPr>
        <w:pStyle w:val="BodyText"/>
        <w:rPr>
          <w:rStyle w:val="Bold"/>
        </w:rPr>
      </w:pPr>
      <w:r w:rsidRPr="00356CC4">
        <w:rPr>
          <w:rStyle w:val="Bold"/>
        </w:rPr>
        <w:t>1) Advertisement of the social media accounts is essential</w:t>
      </w:r>
    </w:p>
    <w:p w:rsidR="00C93401" w:rsidRDefault="00C93401" w:rsidP="00C93401">
      <w:pPr>
        <w:pStyle w:val="BodyText"/>
      </w:pPr>
      <w:r>
        <w:t xml:space="preserve">Simply put; if people don’t know that the social media accounts exist, they are not going to interact with them. Building up a follower and fan base is a slow process that can be assisted by advertisement. Advertisements can be placed on associated websites, pamphlets, brochures, posters, print outputs, and presentations belonging to the agency. </w:t>
      </w:r>
    </w:p>
    <w:p w:rsidR="00C93401" w:rsidRPr="00356CC4" w:rsidRDefault="00C93401" w:rsidP="00C93401">
      <w:pPr>
        <w:pStyle w:val="BodyText"/>
        <w:rPr>
          <w:rStyle w:val="Bold"/>
        </w:rPr>
      </w:pPr>
      <w:r w:rsidRPr="00356CC4">
        <w:rPr>
          <w:rStyle w:val="Bold"/>
        </w:rPr>
        <w:t>2) Twitter and Facebook are different social media platforms; therefore they need to be managed differently</w:t>
      </w:r>
    </w:p>
    <w:p w:rsidR="00C93401" w:rsidRDefault="00C93401" w:rsidP="00C93401">
      <w:pPr>
        <w:pStyle w:val="BodyText"/>
      </w:pPr>
      <w:r>
        <w:t>Twitter is a highly interactive real-time platform that requires near constant management and monitoring to be affective. Facebook requires a different time management approach where the quality of the content tends to be more visual.</w:t>
      </w:r>
    </w:p>
    <w:p w:rsidR="00C93401" w:rsidRPr="00356CC4" w:rsidRDefault="00C93401" w:rsidP="00C93401">
      <w:pPr>
        <w:pStyle w:val="BodyText"/>
        <w:rPr>
          <w:rStyle w:val="Bold"/>
        </w:rPr>
      </w:pPr>
      <w:r w:rsidRPr="00356CC4">
        <w:rPr>
          <w:rStyle w:val="Bold"/>
        </w:rPr>
        <w:t>3) Implement an action plan for negative interaction</w:t>
      </w:r>
    </w:p>
    <w:p w:rsidR="00C93401" w:rsidRDefault="00C93401" w:rsidP="00C93401">
      <w:pPr>
        <w:pStyle w:val="BodyText"/>
      </w:pPr>
      <w:r>
        <w:t>It is important to respond to negative interaction quickly and succinctly without escalating the issue. Most social media failures are either due to not responding to negative interaction or taking too long to respond to negative interaction. Create a social media decision tree to assist content managers and monitors when responding to comments and posts</w:t>
      </w:r>
      <w:r w:rsidR="00433C1A">
        <w:t>.</w:t>
      </w:r>
    </w:p>
    <w:p w:rsidR="00C93401" w:rsidRPr="0018365C" w:rsidRDefault="00C93401" w:rsidP="00C93401">
      <w:pPr>
        <w:pStyle w:val="Heading1"/>
      </w:pPr>
      <w:bookmarkStart w:id="316" w:name="_Toc353282067"/>
      <w:bookmarkStart w:id="317" w:name="_Toc355274285"/>
      <w:r>
        <w:lastRenderedPageBreak/>
        <w:t>Overall Conclusions</w:t>
      </w:r>
      <w:bookmarkEnd w:id="316"/>
      <w:bookmarkEnd w:id="317"/>
    </w:p>
    <w:p w:rsidR="00C93401" w:rsidRPr="0054704D" w:rsidRDefault="00C93401" w:rsidP="00C93401">
      <w:pPr>
        <w:pStyle w:val="BodyText"/>
      </w:pPr>
      <w:r w:rsidRPr="0054704D">
        <w:t>Although many of the effects of hosting the 34</w:t>
      </w:r>
      <w:r w:rsidRPr="00CF07C2">
        <w:rPr>
          <w:rStyle w:val="Superscript"/>
        </w:rPr>
        <w:t>th</w:t>
      </w:r>
      <w:r w:rsidRPr="0054704D">
        <w:t xml:space="preserve"> IGC in Australia are intangible and often difficult to measure, the following observations emerged through the present study:</w:t>
      </w:r>
    </w:p>
    <w:p w:rsidR="00C93401" w:rsidRPr="0054704D" w:rsidRDefault="00C93401" w:rsidP="00C93401">
      <w:pPr>
        <w:pStyle w:val="Bulletlevel1"/>
      </w:pPr>
      <w:r w:rsidRPr="0054704D">
        <w:t>The national</w:t>
      </w:r>
      <w:r w:rsidR="00433C1A">
        <w:t>-</w:t>
      </w:r>
      <w:r w:rsidRPr="0054704D">
        <w:t>scale benefits expected as a result of hosting the 34</w:t>
      </w:r>
      <w:r w:rsidRPr="00CF07C2">
        <w:rPr>
          <w:rStyle w:val="Superscript"/>
        </w:rPr>
        <w:t>th</w:t>
      </w:r>
      <w:r w:rsidRPr="0054704D">
        <w:t xml:space="preserve"> IGC include: increased tourism revenue, increased awareness of Australian geoscience internationally, increased academic production through journal article publications and increased public awareness of the geosciences. </w:t>
      </w:r>
    </w:p>
    <w:p w:rsidR="00C93401" w:rsidRPr="0054704D" w:rsidRDefault="00C93401" w:rsidP="00C93401">
      <w:pPr>
        <w:pStyle w:val="Bulletlevel1"/>
      </w:pPr>
      <w:r w:rsidRPr="0054704D">
        <w:t xml:space="preserve">Hosting the </w:t>
      </w:r>
      <w:r w:rsidRPr="0054704D">
        <w:rPr>
          <w:szCs w:val="21"/>
        </w:rPr>
        <w:t>34</w:t>
      </w:r>
      <w:r w:rsidRPr="00CF07C2">
        <w:rPr>
          <w:rStyle w:val="Superscript"/>
        </w:rPr>
        <w:t>th</w:t>
      </w:r>
      <w:r w:rsidRPr="0054704D">
        <w:t xml:space="preserve"> IGC in Australia represented a significant investment in the geosciences of the nation by a number of different parties including the Australian Government and industry.</w:t>
      </w:r>
    </w:p>
    <w:p w:rsidR="00C93401" w:rsidRPr="0054704D" w:rsidRDefault="00C93401" w:rsidP="00C93401">
      <w:pPr>
        <w:pStyle w:val="Bulletlevel1"/>
      </w:pPr>
      <w:r w:rsidRPr="0054704D">
        <w:t>GA’s close relationship with the 34</w:t>
      </w:r>
      <w:r w:rsidRPr="00CF07C2">
        <w:rPr>
          <w:rStyle w:val="Superscript"/>
        </w:rPr>
        <w:t>th</w:t>
      </w:r>
      <w:r w:rsidRPr="0054704D">
        <w:t xml:space="preserve"> IGC was perceived to increase the national and international reputation of the agency, as it was able to showcase its capabilities on the unique international stage that the </w:t>
      </w:r>
      <w:r w:rsidRPr="0054704D">
        <w:rPr>
          <w:szCs w:val="21"/>
        </w:rPr>
        <w:t>34</w:t>
      </w:r>
      <w:r w:rsidRPr="00CF07C2">
        <w:rPr>
          <w:rStyle w:val="Superscript"/>
        </w:rPr>
        <w:t>th</w:t>
      </w:r>
      <w:r w:rsidRPr="0054704D">
        <w:t xml:space="preserve"> IGC provides.</w:t>
      </w:r>
    </w:p>
    <w:p w:rsidR="00C93401" w:rsidRPr="0054704D" w:rsidRDefault="00C93401" w:rsidP="00C93401">
      <w:pPr>
        <w:pStyle w:val="Bulletlevel1"/>
      </w:pPr>
      <w:r w:rsidRPr="0054704D">
        <w:t xml:space="preserve">Attendance at the congress was highly valued by GA delegates across all fields of their involvement and their attendance at the conference was considered a great personal development opportunity. Furthermore, attendance by GA delegates arguably enhanced GA’s capability to provide sound advice to the Australian Government. </w:t>
      </w:r>
    </w:p>
    <w:p w:rsidR="00C93401" w:rsidRPr="0054704D" w:rsidRDefault="00C93401" w:rsidP="00C93401">
      <w:pPr>
        <w:pStyle w:val="Bulletlevel1"/>
      </w:pPr>
      <w:r w:rsidRPr="0054704D">
        <w:t>The use of social media provided a valuable avenue to engage with globally distributed congress delegates in the lead-up to the congress.</w:t>
      </w:r>
    </w:p>
    <w:p w:rsidR="00C93401" w:rsidRPr="0054704D" w:rsidRDefault="00C93401" w:rsidP="00C93401">
      <w:pPr>
        <w:pStyle w:val="BodyText"/>
      </w:pPr>
      <w:r w:rsidRPr="0054704D">
        <w:t>In summary, it was concluded that hosting the 34</w:t>
      </w:r>
      <w:r w:rsidRPr="00356CC4">
        <w:rPr>
          <w:rStyle w:val="Superscript"/>
        </w:rPr>
        <w:t>th</w:t>
      </w:r>
      <w:r w:rsidRPr="0054704D">
        <w:t xml:space="preserve"> IGC within Australia was of great benefit to geosciences within Australia at the national scale, to GA as an organisation, and to the individuals who attended the congress as delegates. Consequently, future conferences of a similar nature should be considered potentially valuable at an agency level and should be pursued. Thorough documentation of agency involvement in such conferences would enable a more complete cost-benefit analysis to be performed; however, substantial additional resources would be required. </w:t>
      </w:r>
    </w:p>
    <w:p w:rsidR="00C93401" w:rsidRPr="003A2F94" w:rsidRDefault="00C93401" w:rsidP="00C93401">
      <w:pPr>
        <w:pStyle w:val="Heading2"/>
      </w:pPr>
      <w:bookmarkStart w:id="318" w:name="_Toc353282068"/>
      <w:bookmarkStart w:id="319" w:name="_Toc355274286"/>
      <w:r w:rsidRPr="003A2F94">
        <w:t>Acknowledgments</w:t>
      </w:r>
      <w:bookmarkEnd w:id="318"/>
      <w:bookmarkEnd w:id="319"/>
    </w:p>
    <w:p w:rsidR="00C93401" w:rsidRDefault="00C93401" w:rsidP="00C93401">
      <w:pPr>
        <w:pStyle w:val="BodyText"/>
      </w:pPr>
      <w:r>
        <w:t>The authors would like to thank the 34</w:t>
      </w:r>
      <w:r w:rsidRPr="00CF07C2">
        <w:rPr>
          <w:rStyle w:val="Superscript"/>
        </w:rPr>
        <w:t>th</w:t>
      </w:r>
      <w:r>
        <w:t xml:space="preserve"> IGC Organising Committee for providing the opportunity to attend the 34</w:t>
      </w:r>
      <w:r w:rsidRPr="00CF07C2">
        <w:rPr>
          <w:rStyle w:val="Superscript"/>
        </w:rPr>
        <w:t>th</w:t>
      </w:r>
      <w:r>
        <w:t xml:space="preserve"> IGC in Brisbane. The authors consulted a large number of people during this study. In particular they would like to thank Dr Clinton Foster, Chief Scientist at GA, for his support and guidance throughout this study, as well as Dr Ian Lambert</w:t>
      </w:r>
      <w:r w:rsidR="00433C1A">
        <w:t xml:space="preserve"> - </w:t>
      </w:r>
      <w:r>
        <w:t>Secretary General of the 34</w:t>
      </w:r>
      <w:r w:rsidRPr="00CF07C2">
        <w:rPr>
          <w:rStyle w:val="Superscript"/>
        </w:rPr>
        <w:t>th</w:t>
      </w:r>
      <w:r>
        <w:t xml:space="preserve"> IGC and Mr Paul Kay</w:t>
      </w:r>
      <w:r w:rsidR="00433C1A">
        <w:t xml:space="preserve"> -</w:t>
      </w:r>
      <w:r>
        <w:t xml:space="preserve"> Deputy Secretary General of the 34</w:t>
      </w:r>
      <w:r w:rsidRPr="00CF07C2">
        <w:rPr>
          <w:rStyle w:val="Superscript"/>
        </w:rPr>
        <w:t>th</w:t>
      </w:r>
      <w:r>
        <w:t xml:space="preserve"> IGC, for their assistance. Additionally, the authors would like to thank Michelle Cooper for her general advice and support. </w:t>
      </w:r>
    </w:p>
    <w:p w:rsidR="00C93401" w:rsidRDefault="00C93401" w:rsidP="00C93401">
      <w:pPr>
        <w:pStyle w:val="BodyText"/>
      </w:pPr>
      <w:r>
        <w:t>The Secretary Generals of the 32</w:t>
      </w:r>
      <w:r w:rsidRPr="00207DA1">
        <w:rPr>
          <w:rStyle w:val="Superscript"/>
        </w:rPr>
        <w:t>nd</w:t>
      </w:r>
      <w:r>
        <w:t xml:space="preserve"> IGC in Florence in 2004 and the 33</w:t>
      </w:r>
      <w:r w:rsidRPr="00207DA1">
        <w:rPr>
          <w:rStyle w:val="Superscript"/>
        </w:rPr>
        <w:t>rd</w:t>
      </w:r>
      <w:r>
        <w:t xml:space="preserve"> IGC in Oslo in 2008—Professor Ernesto Abbate and Dr Anders Solheim respectively—are thanked for their interviews. Similarly, the authors would like to thank Dr Richard Blewett, Dr Clinton Foster, Dr Marita Bradshaw, Dr Alistair Stewart, Dr John Kennard, Dr Ian Lambert and Dr Sue Turner for their interviews at various stages of the study which provided valuable information. The authors appreciated the assistance of Valdis Juskevics and Luke Quinlivan with the preparation of survey questions and analysis of results and Catherine Edwardson is thanked for her assistance with implementing the surveys. </w:t>
      </w:r>
    </w:p>
    <w:p w:rsidR="00C93401" w:rsidRPr="00A13289" w:rsidRDefault="00C93401" w:rsidP="00C93401">
      <w:pPr>
        <w:pStyle w:val="BodyText"/>
      </w:pPr>
      <w:r>
        <w:lastRenderedPageBreak/>
        <w:t>Finally, Lucy Delaney and Rebecca Schrauf from Rowland and Ashley Gordon and Kate Vella from Carillon Conference Management are thanked for their assistance with implementing the 34</w:t>
      </w:r>
      <w:r w:rsidRPr="00CF07C2">
        <w:rPr>
          <w:rStyle w:val="Superscript"/>
        </w:rPr>
        <w:t>th</w:t>
      </w:r>
      <w:r>
        <w:t xml:space="preserve"> IGC Social Media Strategy.</w:t>
      </w:r>
    </w:p>
    <w:p w:rsidR="00C93401" w:rsidRDefault="00C93401" w:rsidP="00356CC4">
      <w:pPr>
        <w:pStyle w:val="Head1nonumbers"/>
      </w:pPr>
      <w:bookmarkStart w:id="320" w:name="_Toc337721611"/>
      <w:bookmarkStart w:id="321" w:name="_Toc353282069"/>
      <w:bookmarkStart w:id="322" w:name="_Toc355274287"/>
      <w:r w:rsidRPr="002A0390">
        <w:lastRenderedPageBreak/>
        <w:t>References</w:t>
      </w:r>
      <w:bookmarkEnd w:id="320"/>
      <w:bookmarkEnd w:id="321"/>
      <w:bookmarkEnd w:id="322"/>
    </w:p>
    <w:p w:rsidR="00C93401" w:rsidRPr="00732472" w:rsidRDefault="00C93401" w:rsidP="00C93401">
      <w:pPr>
        <w:pStyle w:val="References"/>
        <w:rPr>
          <w:szCs w:val="21"/>
        </w:rPr>
      </w:pPr>
      <w:r>
        <w:rPr>
          <w:szCs w:val="21"/>
        </w:rPr>
        <w:t xml:space="preserve">American Geosciences Institute, 2012. GeoRef. [Online] Available at </w:t>
      </w:r>
      <w:hyperlink r:id="rId51" w:tooltip="Link to the American Geosciences Institute website." w:history="1">
        <w:r w:rsidR="008E0553" w:rsidRPr="00EC29B2">
          <w:rPr>
            <w:rStyle w:val="Hyperlink"/>
            <w:szCs w:val="21"/>
          </w:rPr>
          <w:t>http://www.agiweb.org/georef/about/index.html</w:t>
        </w:r>
      </w:hyperlink>
      <w:r>
        <w:rPr>
          <w:szCs w:val="21"/>
        </w:rPr>
        <w:t xml:space="preserve">. Retrieved September 2012 </w:t>
      </w:r>
    </w:p>
    <w:p w:rsidR="00C93401" w:rsidRDefault="00C93401" w:rsidP="00C93401">
      <w:pPr>
        <w:pStyle w:val="References"/>
        <w:rPr>
          <w:szCs w:val="21"/>
        </w:rPr>
      </w:pPr>
      <w:r w:rsidRPr="00732472">
        <w:rPr>
          <w:szCs w:val="21"/>
        </w:rPr>
        <w:t>Australian Government, 2012. Social Media. Australian Governmen</w:t>
      </w:r>
      <w:r>
        <w:rPr>
          <w:szCs w:val="21"/>
        </w:rPr>
        <w:t>t Information Management Office</w:t>
      </w:r>
      <w:r w:rsidRPr="00732472">
        <w:rPr>
          <w:szCs w:val="21"/>
        </w:rPr>
        <w:t xml:space="preserve"> [Online]</w:t>
      </w:r>
      <w:r>
        <w:rPr>
          <w:szCs w:val="21"/>
        </w:rPr>
        <w:t xml:space="preserve">. </w:t>
      </w:r>
      <w:r w:rsidRPr="00732472">
        <w:rPr>
          <w:szCs w:val="21"/>
        </w:rPr>
        <w:t xml:space="preserve">Available at </w:t>
      </w:r>
      <w:hyperlink r:id="rId52" w:tooltip="Link to the Australian Government website." w:history="1">
        <w:r w:rsidR="008E0553" w:rsidRPr="00EC29B2">
          <w:rPr>
            <w:rStyle w:val="Hyperlink"/>
            <w:szCs w:val="21"/>
          </w:rPr>
          <w:t>http://australia.gov.au/news-and-media/social-media</w:t>
        </w:r>
      </w:hyperlink>
      <w:r w:rsidRPr="00732472">
        <w:rPr>
          <w:szCs w:val="21"/>
        </w:rPr>
        <w:t xml:space="preserve"> Retrieved 16 October 2012.</w:t>
      </w:r>
    </w:p>
    <w:p w:rsidR="00C93401" w:rsidRPr="00732472" w:rsidRDefault="00C93401" w:rsidP="00C93401">
      <w:pPr>
        <w:pStyle w:val="References"/>
        <w:rPr>
          <w:szCs w:val="21"/>
        </w:rPr>
      </w:pPr>
      <w:r>
        <w:rPr>
          <w:szCs w:val="21"/>
        </w:rPr>
        <w:t xml:space="preserve">Australian National University, 2012. Shaping a Nation: A Geology of Australia [Online]. Available at </w:t>
      </w:r>
      <w:hyperlink r:id="rId53" w:tooltip="Link to the Australian National University E Press website." w:history="1">
        <w:r w:rsidR="008E0553" w:rsidRPr="00EC29B2">
          <w:rPr>
            <w:rStyle w:val="Hyperlink"/>
          </w:rPr>
          <w:t>http://epress.anu.edu.au/titles/shaping-a-nation</w:t>
        </w:r>
      </w:hyperlink>
      <w:r>
        <w:t xml:space="preserve">. Retrieved 10 September 2012. </w:t>
      </w:r>
    </w:p>
    <w:p w:rsidR="00C93401" w:rsidRPr="00732472" w:rsidRDefault="00C93401" w:rsidP="00C93401">
      <w:pPr>
        <w:pStyle w:val="References"/>
        <w:rPr>
          <w:szCs w:val="21"/>
        </w:rPr>
      </w:pPr>
      <w:r w:rsidRPr="00732472">
        <w:rPr>
          <w:szCs w:val="21"/>
        </w:rPr>
        <w:t>Blanke, J., Chiesa, T., 2007. The Travel &amp; Tourism Competitiveness Report 2007 – Furthering the Process of Economic Development. World Economic Forum. Geneva, Switzerland.</w:t>
      </w:r>
    </w:p>
    <w:p w:rsidR="00C93401" w:rsidRPr="00732472" w:rsidRDefault="00C93401" w:rsidP="00C93401">
      <w:pPr>
        <w:pStyle w:val="References"/>
        <w:rPr>
          <w:szCs w:val="21"/>
        </w:rPr>
      </w:pPr>
      <w:r w:rsidRPr="00732472">
        <w:rPr>
          <w:szCs w:val="21"/>
        </w:rPr>
        <w:t>Blanke, J., Chiesa, T., 2008. The Travel &amp; Tourism Competitiveness Report 2008 – Balancing Economic Development and Environmental Sustainability. World Economic Forum. Geneva, Switzerland.</w:t>
      </w:r>
    </w:p>
    <w:p w:rsidR="00C93401" w:rsidRPr="00732472" w:rsidRDefault="00C93401" w:rsidP="00C93401">
      <w:pPr>
        <w:pStyle w:val="References"/>
        <w:rPr>
          <w:szCs w:val="21"/>
        </w:rPr>
      </w:pPr>
      <w:r w:rsidRPr="00732472">
        <w:rPr>
          <w:szCs w:val="21"/>
        </w:rPr>
        <w:t>Blanke, J., Chiesa, T., 2009. The Travel &amp; Tourism Competitiveness Report 2009 – Managing in a Time of Turbulence. World Economic Forum. Geneva, Switzerland.</w:t>
      </w:r>
    </w:p>
    <w:p w:rsidR="00C93401" w:rsidRPr="00732472" w:rsidRDefault="00C93401" w:rsidP="00C93401">
      <w:pPr>
        <w:pStyle w:val="References"/>
        <w:rPr>
          <w:szCs w:val="21"/>
        </w:rPr>
      </w:pPr>
      <w:r w:rsidRPr="00732472">
        <w:rPr>
          <w:szCs w:val="21"/>
        </w:rPr>
        <w:t>Blanke, J., Chiesa, T., 2011. The Travel &amp; Tourism Competitiveness Report 2011 – Beyond the Downturn. World Economic Forum. Geneva, Switzerland.</w:t>
      </w:r>
    </w:p>
    <w:p w:rsidR="00C93401" w:rsidRPr="00732472" w:rsidRDefault="00C93401" w:rsidP="00C93401">
      <w:pPr>
        <w:pStyle w:val="References"/>
        <w:rPr>
          <w:szCs w:val="21"/>
        </w:rPr>
      </w:pPr>
      <w:r w:rsidRPr="00732472">
        <w:rPr>
          <w:szCs w:val="21"/>
        </w:rPr>
        <w:t xml:space="preserve">CFES (Canadian Federation of Earth Sciences), 2010. </w:t>
      </w:r>
      <w:r w:rsidRPr="00AD05FB">
        <w:rPr>
          <w:szCs w:val="21"/>
        </w:rPr>
        <w:t>Final Report of the IGC 2020 Feasibility Committee</w:t>
      </w:r>
      <w:r>
        <w:rPr>
          <w:szCs w:val="21"/>
        </w:rPr>
        <w:t xml:space="preserve"> </w:t>
      </w:r>
      <w:r w:rsidRPr="00732472">
        <w:rPr>
          <w:szCs w:val="21"/>
        </w:rPr>
        <w:t>[Online]</w:t>
      </w:r>
      <w:r>
        <w:rPr>
          <w:szCs w:val="21"/>
        </w:rPr>
        <w:t>.</w:t>
      </w:r>
      <w:r w:rsidRPr="00732472">
        <w:rPr>
          <w:szCs w:val="21"/>
        </w:rPr>
        <w:t xml:space="preserve"> </w:t>
      </w:r>
      <w:r>
        <w:rPr>
          <w:szCs w:val="21"/>
        </w:rPr>
        <w:t>Available at</w:t>
      </w:r>
      <w:r w:rsidRPr="00732472">
        <w:rPr>
          <w:szCs w:val="21"/>
        </w:rPr>
        <w:t xml:space="preserve"> </w:t>
      </w:r>
      <w:hyperlink r:id="rId54" w:tooltip="Link to the Canadian Federation of Earth Sciences website." w:history="1">
        <w:r w:rsidR="008E0553" w:rsidRPr="00EC29B2">
          <w:rPr>
            <w:rStyle w:val="Hyperlink"/>
            <w:szCs w:val="21"/>
          </w:rPr>
          <w:t>http://geoscience.ca/index.php?page=may-2010---calgary</w:t>
        </w:r>
      </w:hyperlink>
      <w:r>
        <w:rPr>
          <w:szCs w:val="21"/>
        </w:rPr>
        <w:t xml:space="preserve">. Retrieved 23 August 2012. </w:t>
      </w:r>
    </w:p>
    <w:p w:rsidR="00C93401" w:rsidRPr="00732472" w:rsidRDefault="00C93401" w:rsidP="00C93401">
      <w:pPr>
        <w:pStyle w:val="References"/>
      </w:pPr>
      <w:r w:rsidRPr="00732472">
        <w:t>Chen, E. 2011</w:t>
      </w:r>
      <w:r>
        <w:t>.</w:t>
      </w:r>
      <w:r w:rsidRPr="00732472">
        <w:t xml:space="preserve"> Tweets vs. Likes: What gets shared on Twitter vs. Facebook?</w:t>
      </w:r>
      <w:r>
        <w:t xml:space="preserve"> </w:t>
      </w:r>
      <w:r w:rsidRPr="00732472">
        <w:t>[Online]</w:t>
      </w:r>
      <w:r>
        <w:t>.</w:t>
      </w:r>
      <w:r w:rsidRPr="00732472">
        <w:t xml:space="preserve"> Available at </w:t>
      </w:r>
      <w:hyperlink r:id="rId55" w:tooltip="Link to Edwin Chen's blog." w:history="1">
        <w:r w:rsidR="008E0553" w:rsidRPr="00EC29B2">
          <w:rPr>
            <w:rStyle w:val="Hyperlink"/>
          </w:rPr>
          <w:t>http://blog.echen.me/2011/07/28/tweets-vs-likes-what-gets-shared-on-twitter-vs-facebook/</w:t>
        </w:r>
      </w:hyperlink>
      <w:r w:rsidRPr="00732472">
        <w:t>. Retrieved 20 September 2012.</w:t>
      </w:r>
    </w:p>
    <w:p w:rsidR="00C93401" w:rsidRDefault="00C93401" w:rsidP="00C93401">
      <w:pPr>
        <w:pStyle w:val="References"/>
        <w:rPr>
          <w:szCs w:val="21"/>
        </w:rPr>
      </w:pPr>
      <w:r w:rsidRPr="00732472">
        <w:rPr>
          <w:szCs w:val="21"/>
        </w:rPr>
        <w:t xml:space="preserve">Cheong, M. and </w:t>
      </w:r>
      <w:r>
        <w:rPr>
          <w:szCs w:val="21"/>
        </w:rPr>
        <w:t>Lee, V.C.S. 2011.</w:t>
      </w:r>
      <w:r w:rsidRPr="00732472">
        <w:rPr>
          <w:szCs w:val="21"/>
        </w:rPr>
        <w:t xml:space="preserve"> A microblogging-based approach to terrorism informatics: Exploration and chronicling civilian sentiment and response to terrorism events via Twitte</w:t>
      </w:r>
      <w:r>
        <w:rPr>
          <w:szCs w:val="21"/>
        </w:rPr>
        <w:t xml:space="preserve">r. Information System Frontiers, vol 13, pp </w:t>
      </w:r>
      <w:r w:rsidRPr="00732472">
        <w:rPr>
          <w:szCs w:val="21"/>
        </w:rPr>
        <w:t>45-59.</w:t>
      </w:r>
    </w:p>
    <w:p w:rsidR="00C93401" w:rsidRDefault="00C93401" w:rsidP="00C93401">
      <w:pPr>
        <w:pStyle w:val="References"/>
        <w:rPr>
          <w:szCs w:val="21"/>
        </w:rPr>
      </w:pPr>
      <w:r>
        <w:rPr>
          <w:szCs w:val="21"/>
        </w:rPr>
        <w:t xml:space="preserve">Commonwealth of Australia, 2008. Declaration of Open Government [Online]. Available at </w:t>
      </w:r>
      <w:hyperlink r:id="rId56" w:tooltip="Link to the Australian Government Department of Finance and Deregulation website." w:history="1">
        <w:r w:rsidR="008E0553" w:rsidRPr="00EC29B2">
          <w:rPr>
            <w:rStyle w:val="Hyperlink"/>
            <w:szCs w:val="21"/>
          </w:rPr>
          <w:t>http://www.finance.gov.au/e-government/strategy-and-governance/gov2/declaration-of-open-government.html</w:t>
        </w:r>
      </w:hyperlink>
      <w:r w:rsidRPr="0054704D">
        <w:rPr>
          <w:szCs w:val="21"/>
        </w:rPr>
        <w:t>. Retrieved 13 September 2012</w:t>
      </w:r>
      <w:r>
        <w:rPr>
          <w:szCs w:val="21"/>
        </w:rPr>
        <w:t>.</w:t>
      </w:r>
    </w:p>
    <w:p w:rsidR="00C93401" w:rsidRPr="006349EF" w:rsidRDefault="00C93401" w:rsidP="00C93401">
      <w:pPr>
        <w:pStyle w:val="References"/>
        <w:rPr>
          <w:szCs w:val="21"/>
        </w:rPr>
      </w:pPr>
      <w:r>
        <w:rPr>
          <w:szCs w:val="21"/>
        </w:rPr>
        <w:t xml:space="preserve">Commonwealth of Australia. 2011. Geoscience Australia Strategic Plan 2011-2014 [Online]. Available at </w:t>
      </w:r>
      <w:hyperlink r:id="rId57" w:tooltip="Link to Geoscience Australia's Strategic Plan 2011-2014." w:history="1">
        <w:r w:rsidR="008E0553" w:rsidRPr="00EC29B2">
          <w:rPr>
            <w:rStyle w:val="Hyperlink"/>
            <w:szCs w:val="21"/>
          </w:rPr>
          <w:t>http://www.ga.gov.au/webtemp/image_cache/GA20365.pdf</w:t>
        </w:r>
      </w:hyperlink>
      <w:r>
        <w:rPr>
          <w:szCs w:val="21"/>
        </w:rPr>
        <w:t>. Retrieved 13 September 2012.</w:t>
      </w:r>
    </w:p>
    <w:p w:rsidR="00C93401" w:rsidRDefault="00C93401" w:rsidP="00C93401">
      <w:pPr>
        <w:pStyle w:val="References"/>
        <w:rPr>
          <w:szCs w:val="21"/>
        </w:rPr>
      </w:pPr>
      <w:r>
        <w:rPr>
          <w:szCs w:val="21"/>
        </w:rPr>
        <w:t xml:space="preserve">Commonwealth of Australia, 2012a. Circular 2012/1: Revisions to the commission’s guidance on making public comment and participating online [Online]. Available at </w:t>
      </w:r>
      <w:hyperlink r:id="rId58" w:tooltip="Link to the Australian Public Service Commission website." w:history="1">
        <w:r w:rsidR="008E0553" w:rsidRPr="00EC29B2">
          <w:rPr>
            <w:rStyle w:val="Hyperlink"/>
            <w:szCs w:val="21"/>
          </w:rPr>
          <w:t>http://www.apsc.gov.au/publications-and-media/current-circulars-and-advices/2012/circular-20121</w:t>
        </w:r>
      </w:hyperlink>
      <w:r>
        <w:rPr>
          <w:szCs w:val="21"/>
        </w:rPr>
        <w:t xml:space="preserve">. Retrieved 13 September 2012. </w:t>
      </w:r>
    </w:p>
    <w:p w:rsidR="00C93401" w:rsidRPr="00623FB7" w:rsidRDefault="00C93401" w:rsidP="00C93401">
      <w:pPr>
        <w:pStyle w:val="References"/>
        <w:rPr>
          <w:szCs w:val="21"/>
        </w:rPr>
      </w:pPr>
      <w:r>
        <w:rPr>
          <w:szCs w:val="21"/>
        </w:rPr>
        <w:t xml:space="preserve">Commonwealth of Australia, 2012b. Shaping a Nation: A Geology of Australia [Online]. </w:t>
      </w:r>
      <w:r w:rsidR="009C49B6">
        <w:rPr>
          <w:szCs w:val="21"/>
        </w:rPr>
        <w:t>Available</w:t>
      </w:r>
      <w:r>
        <w:rPr>
          <w:szCs w:val="21"/>
        </w:rPr>
        <w:t xml:space="preserve"> at </w:t>
      </w:r>
      <w:hyperlink r:id="rId59" w:tooltip="Link to the Geoscience Australia sebsite." w:history="1">
        <w:r w:rsidR="008E0553" w:rsidRPr="00EC29B2">
          <w:rPr>
            <w:rStyle w:val="Hyperlink"/>
          </w:rPr>
          <w:t>http://www.ga.gov.au/products-services/publications/shaping-a-nation.html</w:t>
        </w:r>
      </w:hyperlink>
      <w:r>
        <w:t xml:space="preserve">. Retrieved 10 September 2012. </w:t>
      </w:r>
    </w:p>
    <w:p w:rsidR="00C93401" w:rsidRDefault="00C93401" w:rsidP="00C93401">
      <w:pPr>
        <w:pStyle w:val="References"/>
        <w:rPr>
          <w:szCs w:val="21"/>
        </w:rPr>
      </w:pPr>
      <w:r>
        <w:rPr>
          <w:szCs w:val="21"/>
        </w:rPr>
        <w:t xml:space="preserve">Commonwealth of Australia, Department of Finance and Deregulation, 2011. Strategic Review of Geoscience Australia. </w:t>
      </w:r>
    </w:p>
    <w:p w:rsidR="00C93401" w:rsidRPr="00732472" w:rsidRDefault="00C93401" w:rsidP="00C93401">
      <w:pPr>
        <w:pStyle w:val="References"/>
        <w:rPr>
          <w:szCs w:val="21"/>
        </w:rPr>
      </w:pPr>
      <w:r>
        <w:rPr>
          <w:szCs w:val="21"/>
        </w:rPr>
        <w:t>C</w:t>
      </w:r>
      <w:r w:rsidRPr="00732472">
        <w:rPr>
          <w:szCs w:val="21"/>
        </w:rPr>
        <w:t>omScore, 2011</w:t>
      </w:r>
      <w:r>
        <w:rPr>
          <w:szCs w:val="21"/>
        </w:rPr>
        <w:t>.</w:t>
      </w:r>
      <w:r w:rsidRPr="00732472">
        <w:rPr>
          <w:szCs w:val="21"/>
        </w:rPr>
        <w:t xml:space="preserve"> Top 10 need-to-knows about social networking and where it’s headed</w:t>
      </w:r>
      <w:r>
        <w:rPr>
          <w:szCs w:val="21"/>
        </w:rPr>
        <w:t xml:space="preserve"> </w:t>
      </w:r>
      <w:r w:rsidRPr="00732472">
        <w:rPr>
          <w:szCs w:val="21"/>
        </w:rPr>
        <w:t>[Online]</w:t>
      </w:r>
      <w:r>
        <w:rPr>
          <w:szCs w:val="21"/>
        </w:rPr>
        <w:t>.</w:t>
      </w:r>
      <w:r w:rsidRPr="00732472">
        <w:rPr>
          <w:szCs w:val="21"/>
        </w:rPr>
        <w:t xml:space="preserve"> Available at </w:t>
      </w:r>
      <w:hyperlink r:id="rId60" w:tooltip="Link to the ComScore website." w:history="1">
        <w:r w:rsidR="008E0553" w:rsidRPr="00EC29B2">
          <w:rPr>
            <w:rStyle w:val="Hyperlink"/>
            <w:szCs w:val="21"/>
          </w:rPr>
          <w:t>http://www.comscore.com</w:t>
        </w:r>
      </w:hyperlink>
      <w:r w:rsidRPr="00732472">
        <w:rPr>
          <w:szCs w:val="21"/>
        </w:rPr>
        <w:t>. Retrieved 20 September 2012</w:t>
      </w:r>
    </w:p>
    <w:p w:rsidR="00C93401" w:rsidRPr="00732472" w:rsidRDefault="00C93401" w:rsidP="00C93401">
      <w:pPr>
        <w:pStyle w:val="References"/>
        <w:rPr>
          <w:szCs w:val="21"/>
        </w:rPr>
      </w:pPr>
      <w:r w:rsidRPr="00732472">
        <w:rPr>
          <w:szCs w:val="21"/>
        </w:rPr>
        <w:t>CSIRO, 200</w:t>
      </w:r>
      <w:r>
        <w:rPr>
          <w:szCs w:val="21"/>
        </w:rPr>
        <w:t>9.</w:t>
      </w:r>
      <w:r w:rsidRPr="00732472">
        <w:rPr>
          <w:szCs w:val="21"/>
        </w:rPr>
        <w:t xml:space="preserve"> Using Social Media in Your Campaigns, unpublished.</w:t>
      </w:r>
    </w:p>
    <w:p w:rsidR="00C93401" w:rsidRDefault="00C93401" w:rsidP="00C93401">
      <w:pPr>
        <w:pStyle w:val="References"/>
        <w:rPr>
          <w:szCs w:val="21"/>
        </w:rPr>
      </w:pPr>
      <w:r w:rsidRPr="00732472">
        <w:rPr>
          <w:szCs w:val="21"/>
        </w:rPr>
        <w:t>Dwivedi, C., 2012</w:t>
      </w:r>
      <w:r>
        <w:rPr>
          <w:szCs w:val="21"/>
        </w:rPr>
        <w:t>.</w:t>
      </w:r>
      <w:r w:rsidRPr="00732472">
        <w:rPr>
          <w:szCs w:val="21"/>
        </w:rPr>
        <w:t xml:space="preserve"> The State of Social Media In The UK, </w:t>
      </w:r>
      <w:r>
        <w:rPr>
          <w:szCs w:val="21"/>
        </w:rPr>
        <w:t>Mind Jumpers Social Media Group</w:t>
      </w:r>
      <w:r w:rsidRPr="00732472">
        <w:rPr>
          <w:szCs w:val="21"/>
        </w:rPr>
        <w:t xml:space="preserve"> [Online]</w:t>
      </w:r>
      <w:r>
        <w:rPr>
          <w:szCs w:val="21"/>
        </w:rPr>
        <w:t xml:space="preserve">. </w:t>
      </w:r>
      <w:r w:rsidRPr="00732472">
        <w:rPr>
          <w:szCs w:val="21"/>
        </w:rPr>
        <w:t xml:space="preserve">Available at </w:t>
      </w:r>
      <w:hyperlink r:id="rId61" w:tooltip="Link to the Mind Jumpers website." w:history="1">
        <w:r w:rsidR="008E0553" w:rsidRPr="00EC29B2">
          <w:rPr>
            <w:rStyle w:val="Hyperlink"/>
            <w:szCs w:val="21"/>
          </w:rPr>
          <w:t>http://www.mindjumpers.com/blog/2012/01/socialmedia-uk-statistics/</w:t>
        </w:r>
      </w:hyperlink>
      <w:r w:rsidRPr="00732472">
        <w:rPr>
          <w:szCs w:val="21"/>
        </w:rPr>
        <w:t>. Retrieved 2 October 2012</w:t>
      </w:r>
      <w:r>
        <w:rPr>
          <w:szCs w:val="21"/>
        </w:rPr>
        <w:t>.</w:t>
      </w:r>
    </w:p>
    <w:p w:rsidR="00C93401" w:rsidRPr="00C35716" w:rsidRDefault="00C93401" w:rsidP="00C93401">
      <w:pPr>
        <w:pStyle w:val="References"/>
        <w:rPr>
          <w:szCs w:val="21"/>
        </w:rPr>
      </w:pPr>
      <w:r>
        <w:rPr>
          <w:szCs w:val="21"/>
        </w:rPr>
        <w:lastRenderedPageBreak/>
        <w:t xml:space="preserve">Elsevier. 2012. GEOBASE. [Online] Available at </w:t>
      </w:r>
      <w:hyperlink r:id="rId62" w:tooltip="Link to the GEOBASE website." w:history="1">
        <w:r w:rsidR="008E0553" w:rsidRPr="00EC29B2">
          <w:rPr>
            <w:rStyle w:val="Hyperlink"/>
            <w:szCs w:val="21"/>
          </w:rPr>
          <w:t>http://ei.org/geobase</w:t>
        </w:r>
      </w:hyperlink>
      <w:r>
        <w:rPr>
          <w:szCs w:val="21"/>
        </w:rPr>
        <w:t xml:space="preserve"> Retrieved September 2012.</w:t>
      </w:r>
    </w:p>
    <w:p w:rsidR="00C93401" w:rsidRDefault="00C93401" w:rsidP="00C93401">
      <w:pPr>
        <w:pStyle w:val="References"/>
        <w:rPr>
          <w:szCs w:val="21"/>
        </w:rPr>
      </w:pPr>
      <w:r>
        <w:rPr>
          <w:szCs w:val="21"/>
        </w:rPr>
        <w:t>Facebook, 2012.</w:t>
      </w:r>
      <w:r w:rsidRPr="00732472">
        <w:rPr>
          <w:szCs w:val="21"/>
        </w:rPr>
        <w:t xml:space="preserve"> Facebook Developers, Insights</w:t>
      </w:r>
      <w:r>
        <w:rPr>
          <w:szCs w:val="21"/>
        </w:rPr>
        <w:t xml:space="preserve"> </w:t>
      </w:r>
      <w:r w:rsidRPr="00732472">
        <w:rPr>
          <w:szCs w:val="21"/>
        </w:rPr>
        <w:t xml:space="preserve">[Online]. Available at </w:t>
      </w:r>
      <w:hyperlink r:id="rId63" w:tooltip="Link to the Facebook Developers website." w:history="1">
        <w:r w:rsidR="008E0553" w:rsidRPr="00EC29B2">
          <w:rPr>
            <w:rStyle w:val="Hyperlink"/>
            <w:szCs w:val="21"/>
          </w:rPr>
          <w:t>https://developers.facebook.com/docs/insights/</w:t>
        </w:r>
      </w:hyperlink>
      <w:r w:rsidRPr="00732472">
        <w:rPr>
          <w:szCs w:val="21"/>
        </w:rPr>
        <w:t>. Retrieved 26 September 2012</w:t>
      </w:r>
      <w:r>
        <w:rPr>
          <w:szCs w:val="21"/>
        </w:rPr>
        <w:t>.</w:t>
      </w:r>
    </w:p>
    <w:p w:rsidR="00C93401" w:rsidRPr="00107A3F" w:rsidRDefault="00C93401" w:rsidP="00C93401">
      <w:pPr>
        <w:pStyle w:val="References"/>
        <w:rPr>
          <w:szCs w:val="21"/>
        </w:rPr>
      </w:pPr>
      <w:r>
        <w:rPr>
          <w:szCs w:val="21"/>
        </w:rPr>
        <w:t xml:space="preserve">Flowerfire. 2012. Sawmill: The only analytical solution you’ll need. [Online] Available at </w:t>
      </w:r>
      <w:hyperlink r:id="rId64" w:tooltip="Link to the Sawmill website." w:history="1">
        <w:r w:rsidR="008E0553" w:rsidRPr="00EC29B2">
          <w:rPr>
            <w:rStyle w:val="Hyperlink"/>
            <w:szCs w:val="21"/>
          </w:rPr>
          <w:t>http://www.sawmill.net/</w:t>
        </w:r>
      </w:hyperlink>
      <w:r w:rsidR="008E0553">
        <w:rPr>
          <w:szCs w:val="21"/>
        </w:rPr>
        <w:t xml:space="preserve"> </w:t>
      </w:r>
      <w:r>
        <w:rPr>
          <w:szCs w:val="21"/>
        </w:rPr>
        <w:t>Retrieved September 2012.</w:t>
      </w:r>
    </w:p>
    <w:p w:rsidR="00C93401" w:rsidRPr="00732472" w:rsidRDefault="00C93401" w:rsidP="00C93401">
      <w:pPr>
        <w:pStyle w:val="References"/>
        <w:rPr>
          <w:szCs w:val="21"/>
        </w:rPr>
      </w:pPr>
      <w:r w:rsidRPr="00732472">
        <w:rPr>
          <w:szCs w:val="21"/>
        </w:rPr>
        <w:t>Geoscience Australia</w:t>
      </w:r>
      <w:r>
        <w:rPr>
          <w:szCs w:val="21"/>
        </w:rPr>
        <w:t>, 2009.</w:t>
      </w:r>
      <w:r w:rsidRPr="00732472">
        <w:rPr>
          <w:szCs w:val="21"/>
        </w:rPr>
        <w:t xml:space="preserve"> </w:t>
      </w:r>
      <w:r w:rsidRPr="00DC5F4F">
        <w:rPr>
          <w:szCs w:val="21"/>
        </w:rPr>
        <w:t>Largest earthquake near Melbourne in 36 years</w:t>
      </w:r>
      <w:r w:rsidRPr="00732472">
        <w:rPr>
          <w:szCs w:val="21"/>
        </w:rPr>
        <w:t>, media release, [Online]</w:t>
      </w:r>
      <w:r>
        <w:rPr>
          <w:szCs w:val="21"/>
        </w:rPr>
        <w:t>.</w:t>
      </w:r>
      <w:r w:rsidRPr="00732472">
        <w:rPr>
          <w:szCs w:val="21"/>
        </w:rPr>
        <w:t xml:space="preserve"> </w:t>
      </w:r>
      <w:r>
        <w:rPr>
          <w:szCs w:val="21"/>
        </w:rPr>
        <w:t>A</w:t>
      </w:r>
      <w:r w:rsidRPr="00732472">
        <w:rPr>
          <w:szCs w:val="21"/>
        </w:rPr>
        <w:t>vailable</w:t>
      </w:r>
      <w:r>
        <w:rPr>
          <w:szCs w:val="21"/>
        </w:rPr>
        <w:t xml:space="preserve"> at</w:t>
      </w:r>
      <w:r w:rsidRPr="00732472">
        <w:rPr>
          <w:szCs w:val="21"/>
        </w:rPr>
        <w:t xml:space="preserve"> </w:t>
      </w:r>
      <w:hyperlink r:id="rId65" w:tooltip="Link to Geoscience Australian media release, 19-Sep-2012." w:history="1">
        <w:r w:rsidR="008E0553" w:rsidRPr="00EC29B2">
          <w:rPr>
            <w:rStyle w:val="Hyperlink"/>
            <w:szCs w:val="21"/>
          </w:rPr>
          <w:t>http://www.ga.gov.au/webtemp/image_cache/GA13696.pdf</w:t>
        </w:r>
      </w:hyperlink>
      <w:r>
        <w:rPr>
          <w:szCs w:val="21"/>
        </w:rPr>
        <w:t xml:space="preserve">. Retrieved 19 September 2012. </w:t>
      </w:r>
      <w:r w:rsidRPr="00732472">
        <w:rPr>
          <w:szCs w:val="21"/>
        </w:rPr>
        <w:t xml:space="preserve"> </w:t>
      </w:r>
    </w:p>
    <w:p w:rsidR="00C93401" w:rsidRPr="00732472" w:rsidRDefault="00C93401" w:rsidP="00C93401">
      <w:pPr>
        <w:pStyle w:val="References"/>
        <w:rPr>
          <w:szCs w:val="21"/>
        </w:rPr>
      </w:pPr>
      <w:r w:rsidRPr="00732472">
        <w:rPr>
          <w:szCs w:val="21"/>
        </w:rPr>
        <w:t>Geoscience Australia</w:t>
      </w:r>
      <w:r>
        <w:rPr>
          <w:szCs w:val="21"/>
        </w:rPr>
        <w:t>, 2011.</w:t>
      </w:r>
      <w:r w:rsidRPr="00732472">
        <w:rPr>
          <w:szCs w:val="21"/>
        </w:rPr>
        <w:t xml:space="preserve"> </w:t>
      </w:r>
      <w:r w:rsidRPr="00DC5F4F">
        <w:rPr>
          <w:szCs w:val="21"/>
        </w:rPr>
        <w:t>Solomon Islands 2007 Tsunami</w:t>
      </w:r>
      <w:r w:rsidRPr="00732472">
        <w:rPr>
          <w:szCs w:val="21"/>
        </w:rPr>
        <w:t>, [Online]</w:t>
      </w:r>
      <w:r>
        <w:rPr>
          <w:szCs w:val="21"/>
        </w:rPr>
        <w:t>.</w:t>
      </w:r>
      <w:r w:rsidRPr="00732472">
        <w:rPr>
          <w:szCs w:val="21"/>
        </w:rPr>
        <w:t xml:space="preserve"> </w:t>
      </w:r>
      <w:r>
        <w:rPr>
          <w:szCs w:val="21"/>
        </w:rPr>
        <w:t>A</w:t>
      </w:r>
      <w:r w:rsidRPr="00732472">
        <w:rPr>
          <w:szCs w:val="21"/>
        </w:rPr>
        <w:t xml:space="preserve">vailable: </w:t>
      </w:r>
      <w:hyperlink r:id="rId66" w:tooltip="Link to the Geoscience Australia website." w:history="1">
        <w:r w:rsidR="008E0553" w:rsidRPr="00EC29B2">
          <w:rPr>
            <w:rStyle w:val="Hyperlink"/>
            <w:szCs w:val="21"/>
          </w:rPr>
          <w:t>http://www.ga.gov.au/earth-observation/basics/gallery/international-locations/solomon-islands-2007-tsunami.html</w:t>
        </w:r>
      </w:hyperlink>
      <w:r>
        <w:rPr>
          <w:szCs w:val="21"/>
        </w:rPr>
        <w:t>.</w:t>
      </w:r>
      <w:r w:rsidRPr="00732472">
        <w:rPr>
          <w:szCs w:val="21"/>
        </w:rPr>
        <w:t xml:space="preserve"> </w:t>
      </w:r>
      <w:r>
        <w:rPr>
          <w:szCs w:val="21"/>
        </w:rPr>
        <w:t>Retrieved 19 September 2012.</w:t>
      </w:r>
    </w:p>
    <w:p w:rsidR="00C93401" w:rsidRDefault="00C93401" w:rsidP="00C93401">
      <w:pPr>
        <w:pStyle w:val="References"/>
        <w:rPr>
          <w:szCs w:val="21"/>
        </w:rPr>
      </w:pPr>
      <w:r w:rsidRPr="00732472">
        <w:rPr>
          <w:szCs w:val="21"/>
        </w:rPr>
        <w:t>Geoscience Australia, 2012</w:t>
      </w:r>
      <w:r>
        <w:rPr>
          <w:szCs w:val="21"/>
        </w:rPr>
        <w:t>.</w:t>
      </w:r>
      <w:r w:rsidRPr="00732472">
        <w:rPr>
          <w:szCs w:val="21"/>
        </w:rPr>
        <w:t xml:space="preserve"> </w:t>
      </w:r>
      <w:r w:rsidRPr="00DC5F4F">
        <w:rPr>
          <w:szCs w:val="21"/>
        </w:rPr>
        <w:t>Scientists investigate Victorian earthquake</w:t>
      </w:r>
      <w:r w:rsidRPr="00732472">
        <w:rPr>
          <w:szCs w:val="21"/>
        </w:rPr>
        <w:t>, [Online]</w:t>
      </w:r>
      <w:r>
        <w:rPr>
          <w:szCs w:val="21"/>
        </w:rPr>
        <w:t>.</w:t>
      </w:r>
      <w:r w:rsidRPr="00732472">
        <w:rPr>
          <w:szCs w:val="21"/>
        </w:rPr>
        <w:t xml:space="preserve"> </w:t>
      </w:r>
      <w:r>
        <w:rPr>
          <w:szCs w:val="21"/>
        </w:rPr>
        <w:t>Available at</w:t>
      </w:r>
      <w:r w:rsidRPr="00732472">
        <w:rPr>
          <w:szCs w:val="21"/>
        </w:rPr>
        <w:t xml:space="preserve"> </w:t>
      </w:r>
      <w:hyperlink r:id="rId67" w:tooltip="Link to the Geoscience Australia website." w:history="1">
        <w:r w:rsidR="008E0553" w:rsidRPr="00EC29B2">
          <w:rPr>
            <w:rStyle w:val="Hyperlink"/>
            <w:szCs w:val="21"/>
          </w:rPr>
          <w:t>http://www.ga.gov.au/about-us/news-media/news-2012/scientists-investigate-victorian-earthquake.html</w:t>
        </w:r>
      </w:hyperlink>
      <w:r w:rsidRPr="0054704D">
        <w:rPr>
          <w:szCs w:val="21"/>
        </w:rPr>
        <w:t>. Retrieved 19 September 2012</w:t>
      </w:r>
      <w:r>
        <w:rPr>
          <w:szCs w:val="21"/>
        </w:rPr>
        <w:t>.</w:t>
      </w:r>
    </w:p>
    <w:p w:rsidR="00C93401" w:rsidRPr="0054704D" w:rsidRDefault="00C93401" w:rsidP="00C93401">
      <w:pPr>
        <w:pStyle w:val="References"/>
        <w:rPr>
          <w:szCs w:val="21"/>
        </w:rPr>
      </w:pPr>
      <w:r w:rsidRPr="0054704D">
        <w:rPr>
          <w:szCs w:val="21"/>
        </w:rPr>
        <w:t xml:space="preserve">Hootsuite, 2012. What is HootSuite? [Online]. Available at </w:t>
      </w:r>
      <w:hyperlink r:id="rId68" w:tooltip="Link to the Hoot Suite website." w:history="1">
        <w:r w:rsidR="008E0553" w:rsidRPr="00EC29B2">
          <w:rPr>
            <w:rStyle w:val="Hyperlink"/>
            <w:szCs w:val="21"/>
          </w:rPr>
          <w:t>http://help.hootsuite.com/entries/22000446-what-is-hootsuite</w:t>
        </w:r>
      </w:hyperlink>
      <w:r w:rsidRPr="0054704D">
        <w:rPr>
          <w:szCs w:val="21"/>
        </w:rPr>
        <w:t>. Retrieved 20 September 2012.</w:t>
      </w:r>
    </w:p>
    <w:p w:rsidR="00C93401" w:rsidRDefault="00C93401" w:rsidP="00C93401">
      <w:pPr>
        <w:pStyle w:val="References"/>
        <w:rPr>
          <w:szCs w:val="21"/>
        </w:rPr>
      </w:pPr>
      <w:r w:rsidRPr="00732472">
        <w:rPr>
          <w:szCs w:val="21"/>
        </w:rPr>
        <w:t>Ignite, 201</w:t>
      </w:r>
      <w:r>
        <w:rPr>
          <w:szCs w:val="21"/>
        </w:rPr>
        <w:t>2.</w:t>
      </w:r>
      <w:r w:rsidRPr="00732472">
        <w:rPr>
          <w:szCs w:val="21"/>
        </w:rPr>
        <w:t xml:space="preserve"> 2012 Social Network Analysis Report – Demographic – Geographic and Search Data </w:t>
      </w:r>
      <w:r>
        <w:rPr>
          <w:szCs w:val="21"/>
        </w:rPr>
        <w:t xml:space="preserve">Revealed </w:t>
      </w:r>
      <w:r w:rsidRPr="00732472">
        <w:rPr>
          <w:szCs w:val="21"/>
        </w:rPr>
        <w:t>[Online]</w:t>
      </w:r>
      <w:r>
        <w:rPr>
          <w:szCs w:val="21"/>
        </w:rPr>
        <w:t>.</w:t>
      </w:r>
      <w:r w:rsidRPr="00732472">
        <w:rPr>
          <w:szCs w:val="21"/>
        </w:rPr>
        <w:t xml:space="preserve"> Available at </w:t>
      </w:r>
      <w:hyperlink r:id="rId69" w:tooltip="Link to the Ignite Social Media website." w:history="1">
        <w:r w:rsidR="008E0553" w:rsidRPr="00EC29B2">
          <w:rPr>
            <w:rStyle w:val="Hyperlink"/>
            <w:szCs w:val="21"/>
          </w:rPr>
          <w:t>http://www.ignitesocialmedia.com/social-media-stats/2012-social-network-analysis-report/</w:t>
        </w:r>
      </w:hyperlink>
      <w:r w:rsidRPr="00732472">
        <w:rPr>
          <w:szCs w:val="21"/>
        </w:rPr>
        <w:t>. Retrieved 2 October 2012</w:t>
      </w:r>
      <w:r>
        <w:rPr>
          <w:szCs w:val="21"/>
        </w:rPr>
        <w:t>.</w:t>
      </w:r>
    </w:p>
    <w:p w:rsidR="00C93401" w:rsidRPr="00107A3F" w:rsidRDefault="00C93401" w:rsidP="00C93401">
      <w:pPr>
        <w:pStyle w:val="References"/>
        <w:rPr>
          <w:szCs w:val="21"/>
        </w:rPr>
      </w:pPr>
      <w:r>
        <w:rPr>
          <w:szCs w:val="21"/>
        </w:rPr>
        <w:t xml:space="preserve">International Union of Geological Sciences (IUGS), 2004. </w:t>
      </w:r>
      <w:r w:rsidRPr="00A01F2F">
        <w:t>32</w:t>
      </w:r>
      <w:r w:rsidRPr="00207DA1">
        <w:rPr>
          <w:rStyle w:val="Superscript"/>
        </w:rPr>
        <w:t>nd</w:t>
      </w:r>
      <w:r w:rsidRPr="00A01F2F">
        <w:t xml:space="preserve"> IGC Informs</w:t>
      </w:r>
      <w:r>
        <w:rPr>
          <w:szCs w:val="21"/>
        </w:rPr>
        <w:t>, The 32</w:t>
      </w:r>
      <w:r w:rsidRPr="00207DA1">
        <w:rPr>
          <w:rStyle w:val="Superscript"/>
        </w:rPr>
        <w:t>nd</w:t>
      </w:r>
      <w:r>
        <w:rPr>
          <w:szCs w:val="21"/>
        </w:rPr>
        <w:t xml:space="preserve"> IGC Daily Free Press, 20 August 2004. [Online] Available at </w:t>
      </w:r>
      <w:hyperlink r:id="rId70" w:tooltip="Link to 32nd IGC Daily Free Press, 20-Aug-2004." w:history="1">
        <w:r w:rsidR="008E0553" w:rsidRPr="00EC29B2">
          <w:rPr>
            <w:rStyle w:val="Hyperlink"/>
            <w:szCs w:val="21"/>
          </w:rPr>
          <w:t>http://iugs.org/32igc/stampa/32%20igc%20informs1.pdf</w:t>
        </w:r>
      </w:hyperlink>
      <w:r w:rsidR="008E0553">
        <w:rPr>
          <w:szCs w:val="21"/>
        </w:rPr>
        <w:t xml:space="preserve"> </w:t>
      </w:r>
      <w:r>
        <w:rPr>
          <w:szCs w:val="21"/>
        </w:rPr>
        <w:t>Retrieved August 2012.</w:t>
      </w:r>
    </w:p>
    <w:p w:rsidR="00C93401" w:rsidRPr="00732472" w:rsidRDefault="00C93401" w:rsidP="00C93401">
      <w:pPr>
        <w:pStyle w:val="References"/>
        <w:rPr>
          <w:szCs w:val="21"/>
        </w:rPr>
      </w:pPr>
      <w:r w:rsidRPr="00732472">
        <w:rPr>
          <w:szCs w:val="21"/>
        </w:rPr>
        <w:t xml:space="preserve">International Union of </w:t>
      </w:r>
      <w:r>
        <w:rPr>
          <w:szCs w:val="21"/>
        </w:rPr>
        <w:t>Geological Sciences (IUGS) 2008.</w:t>
      </w:r>
      <w:r w:rsidRPr="00732472">
        <w:rPr>
          <w:szCs w:val="21"/>
        </w:rPr>
        <w:t xml:space="preserve"> </w:t>
      </w:r>
      <w:r w:rsidRPr="00A01F2F">
        <w:t>General Proceedings: 33</w:t>
      </w:r>
      <w:r w:rsidRPr="00207DA1">
        <w:rPr>
          <w:rStyle w:val="Superscript"/>
        </w:rPr>
        <w:t>rd</w:t>
      </w:r>
      <w:r w:rsidRPr="00A01F2F">
        <w:t xml:space="preserve"> International Geological Congress Oslo August 6-14 2008</w:t>
      </w:r>
      <w:r w:rsidRPr="00732472">
        <w:rPr>
          <w:szCs w:val="21"/>
        </w:rPr>
        <w:t>, 286pp. [Online]</w:t>
      </w:r>
      <w:r>
        <w:rPr>
          <w:szCs w:val="21"/>
        </w:rPr>
        <w:t>.</w:t>
      </w:r>
      <w:r w:rsidRPr="00732472">
        <w:rPr>
          <w:szCs w:val="21"/>
        </w:rPr>
        <w:t xml:space="preserve"> </w:t>
      </w:r>
      <w:r>
        <w:rPr>
          <w:szCs w:val="21"/>
        </w:rPr>
        <w:t>Available at</w:t>
      </w:r>
      <w:r w:rsidRPr="00732472">
        <w:rPr>
          <w:szCs w:val="21"/>
        </w:rPr>
        <w:t xml:space="preserve"> </w:t>
      </w:r>
      <w:hyperlink r:id="rId71" w:tooltip="Link to 33rd IGC General Proceedings." w:history="1">
        <w:r w:rsidR="008E0553" w:rsidRPr="00EC29B2">
          <w:rPr>
            <w:rStyle w:val="Hyperlink"/>
            <w:szCs w:val="21"/>
          </w:rPr>
          <w:t>http://iugs.org/33igc/downloads/33IGC_GenPro.pdf</w:t>
        </w:r>
      </w:hyperlink>
      <w:r>
        <w:rPr>
          <w:szCs w:val="21"/>
        </w:rPr>
        <w:t>.</w:t>
      </w:r>
      <w:r w:rsidRPr="00732472">
        <w:rPr>
          <w:szCs w:val="21"/>
        </w:rPr>
        <w:t xml:space="preserve"> </w:t>
      </w:r>
      <w:r>
        <w:rPr>
          <w:szCs w:val="21"/>
        </w:rPr>
        <w:t>Retrieved</w:t>
      </w:r>
      <w:r w:rsidRPr="00732472">
        <w:rPr>
          <w:szCs w:val="21"/>
        </w:rPr>
        <w:t xml:space="preserve"> 26</w:t>
      </w:r>
      <w:r w:rsidRPr="00F97A37">
        <w:rPr>
          <w:rStyle w:val="Superscript"/>
        </w:rPr>
        <w:t xml:space="preserve"> </w:t>
      </w:r>
      <w:r>
        <w:rPr>
          <w:szCs w:val="21"/>
        </w:rPr>
        <w:t>August 2012.</w:t>
      </w:r>
    </w:p>
    <w:p w:rsidR="00C93401" w:rsidRPr="003A2F94" w:rsidRDefault="00C93401" w:rsidP="00C93401">
      <w:pPr>
        <w:pStyle w:val="References"/>
      </w:pPr>
      <w:r>
        <w:rPr>
          <w:szCs w:val="21"/>
        </w:rPr>
        <w:t xml:space="preserve">Khol?, 2007. “Geology” Cake. Photograph [Online]. Available at </w:t>
      </w:r>
      <w:hyperlink r:id="rId72" w:tooltip="Link to the Flickr website." w:history="1">
        <w:r w:rsidR="008E0553" w:rsidRPr="00EC29B2">
          <w:rPr>
            <w:rStyle w:val="Hyperlink"/>
          </w:rPr>
          <w:t>http://www.flickr.com/photos/18589403@N02/1897186916/in/photostream</w:t>
        </w:r>
      </w:hyperlink>
      <w:r>
        <w:t>. Retrieved 26 June 2012.</w:t>
      </w:r>
    </w:p>
    <w:p w:rsidR="00C93401" w:rsidRPr="00732472" w:rsidRDefault="00C93401" w:rsidP="00C93401">
      <w:pPr>
        <w:pStyle w:val="References"/>
        <w:rPr>
          <w:szCs w:val="21"/>
        </w:rPr>
      </w:pPr>
      <w:r w:rsidRPr="00732472">
        <w:rPr>
          <w:szCs w:val="21"/>
        </w:rPr>
        <w:t xml:space="preserve">Kietzmann, J.H., Hermkens, K., McCarthy. </w:t>
      </w:r>
      <w:r>
        <w:rPr>
          <w:szCs w:val="21"/>
        </w:rPr>
        <w:t>I.P., and Silvestre, B.S., 2011.</w:t>
      </w:r>
      <w:r w:rsidRPr="00732472">
        <w:rPr>
          <w:szCs w:val="21"/>
        </w:rPr>
        <w:t xml:space="preserve"> Social media? Get serious! Understanding the functional building blocks of social media. </w:t>
      </w:r>
      <w:r w:rsidRPr="00A01F2F">
        <w:t>Business Horizons</w:t>
      </w:r>
      <w:r w:rsidRPr="00732472">
        <w:rPr>
          <w:szCs w:val="21"/>
        </w:rPr>
        <w:t xml:space="preserve">, </w:t>
      </w:r>
      <w:r>
        <w:rPr>
          <w:szCs w:val="21"/>
        </w:rPr>
        <w:t>Vol. 54, pp 241-251</w:t>
      </w:r>
      <w:r w:rsidRPr="00732472">
        <w:rPr>
          <w:szCs w:val="21"/>
        </w:rPr>
        <w:t xml:space="preserve">. </w:t>
      </w:r>
    </w:p>
    <w:p w:rsidR="00C93401" w:rsidRPr="00107A3F" w:rsidRDefault="00C93401" w:rsidP="00C93401">
      <w:pPr>
        <w:pStyle w:val="References"/>
        <w:rPr>
          <w:szCs w:val="21"/>
        </w:rPr>
      </w:pPr>
      <w:r>
        <w:rPr>
          <w:szCs w:val="21"/>
        </w:rPr>
        <w:t xml:space="preserve">MacMillan, D. 2012. </w:t>
      </w:r>
      <w:r w:rsidRPr="00A01F2F">
        <w:t>Twitter Alerts U.S. Geological Survey to Philippines Earthquake.</w:t>
      </w:r>
      <w:r>
        <w:rPr>
          <w:szCs w:val="21"/>
        </w:rPr>
        <w:t xml:space="preserve"> Bloomberg, 01 September 2012. [Online] Available at </w:t>
      </w:r>
      <w:hyperlink r:id="rId73" w:tooltip="Link to the Bloomberg website." w:history="1">
        <w:r w:rsidR="008E0553" w:rsidRPr="00EC29B2">
          <w:rPr>
            <w:rStyle w:val="Hyperlink"/>
            <w:szCs w:val="21"/>
          </w:rPr>
          <w:t>http://www.bloomberg.com/news/2012-08-31/twitter-beats-u-s-geological-survey-to-philippines-quake-news.html</w:t>
        </w:r>
      </w:hyperlink>
      <w:r w:rsidR="008E0553">
        <w:rPr>
          <w:szCs w:val="21"/>
        </w:rPr>
        <w:t xml:space="preserve"> </w:t>
      </w:r>
      <w:r>
        <w:rPr>
          <w:szCs w:val="21"/>
        </w:rPr>
        <w:t>Retrieved September 2012</w:t>
      </w:r>
    </w:p>
    <w:p w:rsidR="00C93401" w:rsidRDefault="00C93401" w:rsidP="00C93401">
      <w:pPr>
        <w:pStyle w:val="References"/>
        <w:rPr>
          <w:szCs w:val="21"/>
        </w:rPr>
      </w:pPr>
      <w:r>
        <w:rPr>
          <w:szCs w:val="21"/>
        </w:rPr>
        <w:t>Marx, A, 2012a.</w:t>
      </w:r>
      <w:r w:rsidRPr="00732472">
        <w:rPr>
          <w:szCs w:val="21"/>
        </w:rPr>
        <w:t xml:space="preserve"> TV geologist Iain Stewart aims to rock viewers’ world, The Courier-Mail, 4 August, Brisbane.</w:t>
      </w:r>
    </w:p>
    <w:p w:rsidR="00C93401" w:rsidRPr="00DC5F4F" w:rsidRDefault="00C93401" w:rsidP="00C93401">
      <w:pPr>
        <w:pStyle w:val="References"/>
        <w:rPr>
          <w:szCs w:val="21"/>
        </w:rPr>
      </w:pPr>
      <w:r>
        <w:rPr>
          <w:szCs w:val="21"/>
        </w:rPr>
        <w:t>Marx, A.</w:t>
      </w:r>
      <w:r w:rsidRPr="00732472">
        <w:rPr>
          <w:szCs w:val="21"/>
        </w:rPr>
        <w:t>, 2012</w:t>
      </w:r>
      <w:r>
        <w:rPr>
          <w:szCs w:val="21"/>
        </w:rPr>
        <w:t>b</w:t>
      </w:r>
      <w:r w:rsidRPr="00732472">
        <w:rPr>
          <w:szCs w:val="21"/>
        </w:rPr>
        <w:t xml:space="preserve">. </w:t>
      </w:r>
      <w:r w:rsidRPr="00DC5F4F">
        <w:rPr>
          <w:szCs w:val="21"/>
        </w:rPr>
        <w:t>Geology conference has Brisbane rocking as 5700 geo-scientists converge on 34</w:t>
      </w:r>
      <w:r w:rsidRPr="00CF07C2">
        <w:rPr>
          <w:rStyle w:val="Superscript"/>
        </w:rPr>
        <w:t>th</w:t>
      </w:r>
      <w:r w:rsidRPr="00DC5F4F">
        <w:rPr>
          <w:szCs w:val="21"/>
        </w:rPr>
        <w:t xml:space="preserve"> International Geological Congress</w:t>
      </w:r>
      <w:r w:rsidRPr="00732472">
        <w:rPr>
          <w:szCs w:val="21"/>
        </w:rPr>
        <w:t>, August 4</w:t>
      </w:r>
      <w:r>
        <w:rPr>
          <w:szCs w:val="21"/>
        </w:rPr>
        <w:t xml:space="preserve"> </w:t>
      </w:r>
      <w:r w:rsidRPr="00732472">
        <w:rPr>
          <w:szCs w:val="21"/>
        </w:rPr>
        <w:t>[Online]</w:t>
      </w:r>
      <w:r>
        <w:rPr>
          <w:szCs w:val="21"/>
        </w:rPr>
        <w:t>.</w:t>
      </w:r>
      <w:r w:rsidRPr="00732472">
        <w:rPr>
          <w:szCs w:val="21"/>
        </w:rPr>
        <w:t xml:space="preserve"> </w:t>
      </w:r>
      <w:r>
        <w:rPr>
          <w:szCs w:val="21"/>
        </w:rPr>
        <w:t>The Courier-Mail. Available at</w:t>
      </w:r>
      <w:r w:rsidRPr="00732472">
        <w:rPr>
          <w:szCs w:val="21"/>
        </w:rPr>
        <w:t xml:space="preserve"> </w:t>
      </w:r>
      <w:hyperlink r:id="rId74" w:tooltip="Link to the Courier-Mail website." w:history="1">
        <w:r w:rsidR="008E0553" w:rsidRPr="00EC29B2">
          <w:rPr>
            <w:rStyle w:val="Hyperlink"/>
            <w:szCs w:val="21"/>
          </w:rPr>
          <w:t>http://www.couriermail.com.au/news/queensland/geology-conference-has-brisbane-rocking-as-5700-geo-scientists-converge-on-34th-international-geological-congress/story-e6freoof-1226442574399</w:t>
        </w:r>
      </w:hyperlink>
      <w:r w:rsidR="00D87627">
        <w:rPr>
          <w:szCs w:val="21"/>
        </w:rPr>
        <w:t>. Retrieved 20 August 2012.</w:t>
      </w:r>
    </w:p>
    <w:p w:rsidR="00C93401" w:rsidRPr="00732472" w:rsidRDefault="00C93401" w:rsidP="00C93401">
      <w:pPr>
        <w:pStyle w:val="References"/>
        <w:rPr>
          <w:szCs w:val="21"/>
        </w:rPr>
      </w:pPr>
      <w:r w:rsidRPr="00732472">
        <w:rPr>
          <w:szCs w:val="21"/>
        </w:rPr>
        <w:t>MBA, 2012</w:t>
      </w:r>
      <w:r>
        <w:rPr>
          <w:szCs w:val="21"/>
        </w:rPr>
        <w:t>.</w:t>
      </w:r>
      <w:r w:rsidRPr="00732472">
        <w:rPr>
          <w:szCs w:val="21"/>
        </w:rPr>
        <w:t xml:space="preserve"> A case stud</w:t>
      </w:r>
      <w:r>
        <w:rPr>
          <w:szCs w:val="21"/>
        </w:rPr>
        <w:t xml:space="preserve">y in social medial demographics </w:t>
      </w:r>
      <w:r w:rsidRPr="00732472">
        <w:rPr>
          <w:szCs w:val="21"/>
        </w:rPr>
        <w:t>[Online]</w:t>
      </w:r>
      <w:r>
        <w:rPr>
          <w:szCs w:val="21"/>
        </w:rPr>
        <w:t>.</w:t>
      </w:r>
      <w:r w:rsidRPr="00732472">
        <w:rPr>
          <w:szCs w:val="21"/>
        </w:rPr>
        <w:t xml:space="preserve"> Available at </w:t>
      </w:r>
      <w:hyperlink r:id="rId75" w:tooltip="Link to the OnlineMBA website." w:history="1">
        <w:r w:rsidR="008E0553" w:rsidRPr="00EC29B2">
          <w:rPr>
            <w:rStyle w:val="Hyperlink"/>
            <w:szCs w:val="21"/>
          </w:rPr>
          <w:t>http://www.onlinemba.com/blog/social-media-demographics/</w:t>
        </w:r>
      </w:hyperlink>
      <w:r w:rsidRPr="00732472">
        <w:rPr>
          <w:szCs w:val="21"/>
        </w:rPr>
        <w:t>. Retrieved 24 September 2012</w:t>
      </w:r>
      <w:r>
        <w:rPr>
          <w:szCs w:val="21"/>
        </w:rPr>
        <w:t>.</w:t>
      </w:r>
    </w:p>
    <w:p w:rsidR="00C93401" w:rsidRPr="00732472" w:rsidRDefault="00C93401" w:rsidP="00C93401">
      <w:pPr>
        <w:pStyle w:val="References"/>
        <w:rPr>
          <w:szCs w:val="21"/>
        </w:rPr>
      </w:pPr>
      <w:r w:rsidRPr="00732472">
        <w:rPr>
          <w:szCs w:val="21"/>
        </w:rPr>
        <w:t>NCES - Nationa</w:t>
      </w:r>
      <w:r>
        <w:rPr>
          <w:szCs w:val="21"/>
        </w:rPr>
        <w:t xml:space="preserve">l Committee for Earth Sciences, </w:t>
      </w:r>
      <w:r w:rsidRPr="00732472">
        <w:rPr>
          <w:szCs w:val="21"/>
        </w:rPr>
        <w:t>2003</w:t>
      </w:r>
      <w:r>
        <w:rPr>
          <w:szCs w:val="21"/>
        </w:rPr>
        <w:t>.</w:t>
      </w:r>
      <w:r w:rsidRPr="00732472">
        <w:rPr>
          <w:szCs w:val="21"/>
        </w:rPr>
        <w:t xml:space="preserve"> National strategic plan for the geosciences. Australian Academy</w:t>
      </w:r>
      <w:r>
        <w:rPr>
          <w:szCs w:val="21"/>
        </w:rPr>
        <w:t xml:space="preserve"> of Science </w:t>
      </w:r>
      <w:r w:rsidRPr="00732472">
        <w:rPr>
          <w:szCs w:val="21"/>
        </w:rPr>
        <w:t>[Online]</w:t>
      </w:r>
      <w:r>
        <w:rPr>
          <w:szCs w:val="21"/>
        </w:rPr>
        <w:t>.</w:t>
      </w:r>
      <w:r w:rsidRPr="00732472">
        <w:rPr>
          <w:szCs w:val="21"/>
        </w:rPr>
        <w:t xml:space="preserve"> Available at </w:t>
      </w:r>
      <w:hyperlink r:id="rId76" w:tooltip="Link to the Australian Academy of Science, National Committee for Earth Sciences, National strategic plan for the geosciences." w:history="1">
        <w:r w:rsidR="008E0553" w:rsidRPr="00EC29B2">
          <w:rPr>
            <w:rStyle w:val="Hyperlink"/>
            <w:szCs w:val="21"/>
          </w:rPr>
          <w:t>http://science.org.au/natcoms/nc-es/documents/nc-es-strategic.pdf</w:t>
        </w:r>
      </w:hyperlink>
      <w:r w:rsidR="008E0553">
        <w:rPr>
          <w:szCs w:val="21"/>
        </w:rPr>
        <w:t>.</w:t>
      </w:r>
      <w:r w:rsidRPr="00732472">
        <w:rPr>
          <w:szCs w:val="21"/>
        </w:rPr>
        <w:t xml:space="preserve"> Retrieved 15 October 2012</w:t>
      </w:r>
      <w:r>
        <w:rPr>
          <w:szCs w:val="21"/>
        </w:rPr>
        <w:t>.</w:t>
      </w:r>
    </w:p>
    <w:p w:rsidR="00C93401" w:rsidRPr="00732472" w:rsidRDefault="00C93401" w:rsidP="00C93401">
      <w:pPr>
        <w:pStyle w:val="References"/>
        <w:rPr>
          <w:szCs w:val="21"/>
        </w:rPr>
      </w:pPr>
      <w:r>
        <w:t>Office of the Chief Scientist, 2012. Health of Australian Science. Australian Government, Canberra.</w:t>
      </w:r>
    </w:p>
    <w:p w:rsidR="00C93401" w:rsidRDefault="00C93401" w:rsidP="00C93401">
      <w:pPr>
        <w:pStyle w:val="References"/>
        <w:rPr>
          <w:szCs w:val="21"/>
        </w:rPr>
      </w:pPr>
      <w:r w:rsidRPr="00732472">
        <w:rPr>
          <w:szCs w:val="21"/>
        </w:rPr>
        <w:t>Rowland, 2012</w:t>
      </w:r>
      <w:r>
        <w:rPr>
          <w:szCs w:val="21"/>
        </w:rPr>
        <w:t>a</w:t>
      </w:r>
      <w:r w:rsidRPr="00732472">
        <w:rPr>
          <w:szCs w:val="21"/>
        </w:rPr>
        <w:t xml:space="preserve">. </w:t>
      </w:r>
      <w:r w:rsidRPr="00753EAE">
        <w:rPr>
          <w:szCs w:val="21"/>
        </w:rPr>
        <w:t>Geology Olympics a boom for Brisbane</w:t>
      </w:r>
      <w:r>
        <w:rPr>
          <w:szCs w:val="21"/>
        </w:rPr>
        <w:t xml:space="preserve">. </w:t>
      </w:r>
      <w:r w:rsidRPr="00732472">
        <w:rPr>
          <w:szCs w:val="21"/>
        </w:rPr>
        <w:t xml:space="preserve">Media Release </w:t>
      </w:r>
      <w:r>
        <w:rPr>
          <w:szCs w:val="21"/>
        </w:rPr>
        <w:t>[</w:t>
      </w:r>
      <w:r w:rsidRPr="00732472">
        <w:rPr>
          <w:szCs w:val="21"/>
        </w:rPr>
        <w:t>Online]</w:t>
      </w:r>
      <w:r>
        <w:rPr>
          <w:szCs w:val="21"/>
        </w:rPr>
        <w:t>.</w:t>
      </w:r>
      <w:r w:rsidRPr="00732472">
        <w:rPr>
          <w:szCs w:val="21"/>
        </w:rPr>
        <w:t xml:space="preserve"> </w:t>
      </w:r>
      <w:r>
        <w:rPr>
          <w:szCs w:val="21"/>
        </w:rPr>
        <w:t>A</w:t>
      </w:r>
      <w:r w:rsidRPr="00732472">
        <w:rPr>
          <w:szCs w:val="21"/>
        </w:rPr>
        <w:t>vailable</w:t>
      </w:r>
      <w:r>
        <w:rPr>
          <w:szCs w:val="21"/>
        </w:rPr>
        <w:t xml:space="preserve"> at</w:t>
      </w:r>
      <w:r w:rsidRPr="00732472">
        <w:rPr>
          <w:szCs w:val="21"/>
        </w:rPr>
        <w:t xml:space="preserve"> </w:t>
      </w:r>
      <w:hyperlink r:id="rId77" w:tooltip="Link to the 34th IGC website." w:history="1">
        <w:r w:rsidR="008E0553" w:rsidRPr="00EC29B2">
          <w:rPr>
            <w:rStyle w:val="Hyperlink"/>
            <w:szCs w:val="21"/>
          </w:rPr>
          <w:t>http://www.34igc.org/media.php</w:t>
        </w:r>
      </w:hyperlink>
      <w:r>
        <w:rPr>
          <w:szCs w:val="21"/>
        </w:rPr>
        <w:t>.</w:t>
      </w:r>
      <w:r w:rsidR="00D64715">
        <w:rPr>
          <w:szCs w:val="21"/>
        </w:rPr>
        <w:t xml:space="preserve"> </w:t>
      </w:r>
      <w:r w:rsidR="00BC0E70">
        <w:rPr>
          <w:szCs w:val="21"/>
        </w:rPr>
        <w:t>Retrieved 23 August 2012.</w:t>
      </w:r>
    </w:p>
    <w:p w:rsidR="00C93401" w:rsidRPr="00732472" w:rsidRDefault="00C93401" w:rsidP="00C93401">
      <w:pPr>
        <w:pStyle w:val="References"/>
        <w:rPr>
          <w:szCs w:val="21"/>
        </w:rPr>
      </w:pPr>
      <w:r>
        <w:rPr>
          <w:szCs w:val="21"/>
        </w:rPr>
        <w:t xml:space="preserve">Rowland, 2012b. International Geological Congress: Social Media Plan. Unpublished. </w:t>
      </w:r>
    </w:p>
    <w:p w:rsidR="00C93401" w:rsidRDefault="00C93401" w:rsidP="00C93401">
      <w:pPr>
        <w:pStyle w:val="References"/>
        <w:rPr>
          <w:szCs w:val="21"/>
        </w:rPr>
      </w:pPr>
      <w:r>
        <w:rPr>
          <w:szCs w:val="21"/>
        </w:rPr>
        <w:lastRenderedPageBreak/>
        <w:t>Scopus®, 2012.</w:t>
      </w:r>
      <w:r w:rsidRPr="00732472">
        <w:rPr>
          <w:szCs w:val="21"/>
        </w:rPr>
        <w:t xml:space="preserve"> Science Analysis</w:t>
      </w:r>
      <w:r w:rsidRPr="00A01F2F">
        <w:t xml:space="preserve">, </w:t>
      </w:r>
      <w:r w:rsidRPr="002D2DB8">
        <w:rPr>
          <w:iCs/>
          <w:szCs w:val="21"/>
        </w:rPr>
        <w:t>SCImago Journal &amp; Country Rank</w:t>
      </w:r>
      <w:r w:rsidRPr="00732472">
        <w:rPr>
          <w:szCs w:val="21"/>
        </w:rPr>
        <w:t>, [Online]</w:t>
      </w:r>
      <w:r>
        <w:rPr>
          <w:szCs w:val="21"/>
        </w:rPr>
        <w:t>.</w:t>
      </w:r>
      <w:r w:rsidRPr="00732472">
        <w:rPr>
          <w:szCs w:val="21"/>
        </w:rPr>
        <w:t xml:space="preserve"> </w:t>
      </w:r>
      <w:r>
        <w:rPr>
          <w:szCs w:val="21"/>
        </w:rPr>
        <w:t>A</w:t>
      </w:r>
      <w:r w:rsidRPr="00732472">
        <w:rPr>
          <w:szCs w:val="21"/>
        </w:rPr>
        <w:t>vailable</w:t>
      </w:r>
      <w:r>
        <w:rPr>
          <w:szCs w:val="21"/>
        </w:rPr>
        <w:t xml:space="preserve"> at</w:t>
      </w:r>
      <w:r w:rsidRPr="00732472">
        <w:rPr>
          <w:szCs w:val="21"/>
        </w:rPr>
        <w:t xml:space="preserve"> </w:t>
      </w:r>
      <w:hyperlink r:id="rId78" w:tooltip="Link to the SCImago Journal &amp; Country Rank website." w:history="1">
        <w:r w:rsidR="008E0553" w:rsidRPr="00EC29B2">
          <w:rPr>
            <w:rStyle w:val="Hyperlink"/>
            <w:szCs w:val="21"/>
          </w:rPr>
          <w:t>http://www.scimagojr.com/index.php</w:t>
        </w:r>
      </w:hyperlink>
      <w:r w:rsidRPr="0054704D">
        <w:rPr>
          <w:szCs w:val="21"/>
        </w:rPr>
        <w:t>. Retrieved 21 September 2012</w:t>
      </w:r>
      <w:r w:rsidRPr="00732472">
        <w:rPr>
          <w:szCs w:val="21"/>
        </w:rPr>
        <w:t>.</w:t>
      </w:r>
    </w:p>
    <w:p w:rsidR="00C93401" w:rsidRPr="00475F8E" w:rsidRDefault="00C93401" w:rsidP="00C93401">
      <w:pPr>
        <w:pStyle w:val="References"/>
        <w:rPr>
          <w:szCs w:val="21"/>
        </w:rPr>
      </w:pPr>
      <w:r>
        <w:rPr>
          <w:szCs w:val="21"/>
        </w:rPr>
        <w:t xml:space="preserve">Scotia Systems. 2012. MapMyFollwers [Online]. Available at </w:t>
      </w:r>
      <w:hyperlink r:id="rId79" w:tooltip="Link to the Map My Followers website." w:history="1">
        <w:r w:rsidR="008E0553" w:rsidRPr="00EC29B2">
          <w:rPr>
            <w:rStyle w:val="Hyperlink"/>
            <w:szCs w:val="21"/>
          </w:rPr>
          <w:t>http://www.mapmyfollowers.com/</w:t>
        </w:r>
      </w:hyperlink>
      <w:r w:rsidR="008E0553">
        <w:rPr>
          <w:szCs w:val="21"/>
        </w:rPr>
        <w:t xml:space="preserve"> </w:t>
      </w:r>
      <w:r>
        <w:rPr>
          <w:szCs w:val="21"/>
        </w:rPr>
        <w:t>Retrieved August 2012.</w:t>
      </w:r>
    </w:p>
    <w:p w:rsidR="00C93401" w:rsidRPr="00732472" w:rsidRDefault="00C93401" w:rsidP="00C93401">
      <w:pPr>
        <w:pStyle w:val="References"/>
        <w:rPr>
          <w:rFonts w:eastAsia="MS Mincho"/>
          <w:bCs/>
          <w:szCs w:val="21"/>
          <w:lang w:eastAsia="ja-JP"/>
        </w:rPr>
      </w:pPr>
      <w:r w:rsidRPr="00732472">
        <w:rPr>
          <w:rFonts w:eastAsia="MS Mincho"/>
          <w:bCs/>
          <w:szCs w:val="21"/>
          <w:lang w:eastAsia="ja-JP"/>
        </w:rPr>
        <w:t>Severt, D., Wang, Y., Chen, P-J. and Breiter, D., 2007. Examining the Motivation, Perceived Performance, and Behavioural Intentions of Convention Attendees: Evidence from a Regional Conference</w:t>
      </w:r>
      <w:r w:rsidRPr="002D2DB8">
        <w:rPr>
          <w:rFonts w:eastAsia="MS Mincho"/>
          <w:bCs/>
          <w:szCs w:val="21"/>
          <w:lang w:eastAsia="ja-JP"/>
        </w:rPr>
        <w:t xml:space="preserve">. </w:t>
      </w:r>
      <w:r w:rsidRPr="00A01F2F">
        <w:rPr>
          <w:rFonts w:eastAsia="MS Mincho"/>
        </w:rPr>
        <w:t>Tourist Management</w:t>
      </w:r>
      <w:r>
        <w:rPr>
          <w:rFonts w:eastAsia="MS Mincho"/>
          <w:bCs/>
          <w:szCs w:val="21"/>
          <w:lang w:eastAsia="ja-JP"/>
        </w:rPr>
        <w:t>, V</w:t>
      </w:r>
      <w:r w:rsidRPr="00732472">
        <w:rPr>
          <w:rFonts w:eastAsia="MS Mincho"/>
          <w:bCs/>
          <w:szCs w:val="21"/>
          <w:lang w:eastAsia="ja-JP"/>
        </w:rPr>
        <w:t>ol. 28, pp</w:t>
      </w:r>
      <w:r>
        <w:rPr>
          <w:rFonts w:eastAsia="MS Mincho"/>
          <w:bCs/>
          <w:szCs w:val="21"/>
          <w:lang w:eastAsia="ja-JP"/>
        </w:rPr>
        <w:t xml:space="preserve">. </w:t>
      </w:r>
      <w:r w:rsidRPr="00732472">
        <w:rPr>
          <w:rFonts w:eastAsia="MS Mincho"/>
          <w:bCs/>
          <w:szCs w:val="21"/>
          <w:lang w:eastAsia="ja-JP"/>
        </w:rPr>
        <w:t>399-408.</w:t>
      </w:r>
    </w:p>
    <w:p w:rsidR="00C93401" w:rsidRDefault="00C93401" w:rsidP="00C93401">
      <w:pPr>
        <w:pStyle w:val="References"/>
        <w:rPr>
          <w:szCs w:val="21"/>
        </w:rPr>
      </w:pPr>
      <w:r>
        <w:rPr>
          <w:szCs w:val="21"/>
        </w:rPr>
        <w:t xml:space="preserve">SurveyMonkey, 1999-2012. </w:t>
      </w:r>
      <w:r w:rsidRPr="00732472">
        <w:rPr>
          <w:szCs w:val="21"/>
        </w:rPr>
        <w:t>[Online]</w:t>
      </w:r>
      <w:r>
        <w:rPr>
          <w:szCs w:val="21"/>
        </w:rPr>
        <w:t xml:space="preserve">. Available at </w:t>
      </w:r>
      <w:hyperlink r:id="rId80" w:tooltip="Link to the Survey Monkey website." w:history="1">
        <w:r w:rsidR="008E0553" w:rsidRPr="00EC29B2">
          <w:rPr>
            <w:rStyle w:val="Hyperlink"/>
            <w:szCs w:val="21"/>
          </w:rPr>
          <w:t>http://www.surveymonkey.com/</w:t>
        </w:r>
      </w:hyperlink>
      <w:r>
        <w:rPr>
          <w:szCs w:val="21"/>
        </w:rPr>
        <w:t xml:space="preserve">. Retrieved July to October 2012. </w:t>
      </w:r>
    </w:p>
    <w:p w:rsidR="00C93401" w:rsidRPr="00260F94" w:rsidRDefault="00C93401" w:rsidP="00C93401">
      <w:pPr>
        <w:pStyle w:val="References"/>
        <w:rPr>
          <w:szCs w:val="21"/>
        </w:rPr>
      </w:pPr>
      <w:r>
        <w:rPr>
          <w:szCs w:val="21"/>
        </w:rPr>
        <w:t xml:space="preserve">Sylvan Katz, J and B.R. Martin. 1997. What is Research Collaboration, Science Policy and Research Evaluation Group, ESRC Centre for Science, Technology, Energy and Environment Policy, University of Sussex, UK. Published in </w:t>
      </w:r>
      <w:r w:rsidRPr="00A01F2F">
        <w:t>Research Policy</w:t>
      </w:r>
      <w:r>
        <w:rPr>
          <w:szCs w:val="21"/>
        </w:rPr>
        <w:t xml:space="preserve"> (26), pp1-18. </w:t>
      </w:r>
    </w:p>
    <w:p w:rsidR="00C93401" w:rsidRPr="0054704D" w:rsidRDefault="00C93401" w:rsidP="00C93401">
      <w:pPr>
        <w:pStyle w:val="References"/>
        <w:rPr>
          <w:szCs w:val="21"/>
        </w:rPr>
      </w:pPr>
      <w:r w:rsidRPr="0054704D">
        <w:rPr>
          <w:szCs w:val="21"/>
        </w:rPr>
        <w:t xml:space="preserve">Vinter, H. 2012. How do Twitter users like their news? Plain, simple and from trustworthy news orgs [Online]. Available at </w:t>
      </w:r>
      <w:hyperlink r:id="rId81" w:tooltip="Link to the World Association of Newspapers and New Publishers website." w:history="1">
        <w:r w:rsidR="008E0553" w:rsidRPr="00EC29B2">
          <w:rPr>
            <w:rStyle w:val="Hyperlink"/>
            <w:szCs w:val="21"/>
          </w:rPr>
          <w:t>http://www.editorsweblog.org/2012/06/13/how-do-twitter-users-like-their-news-plain-simple-and-from-trustworthy-news-orgs</w:t>
        </w:r>
      </w:hyperlink>
      <w:r w:rsidRPr="0054704D">
        <w:rPr>
          <w:szCs w:val="21"/>
        </w:rPr>
        <w:t>. Retrieved 20 September 2012.</w:t>
      </w:r>
    </w:p>
    <w:p w:rsidR="00C93401" w:rsidRPr="0054704D" w:rsidRDefault="00C93401" w:rsidP="00C93401">
      <w:pPr>
        <w:pStyle w:val="References"/>
        <w:rPr>
          <w:szCs w:val="21"/>
        </w:rPr>
      </w:pPr>
      <w:r w:rsidRPr="0054704D">
        <w:rPr>
          <w:szCs w:val="21"/>
        </w:rPr>
        <w:t xml:space="preserve">Voice Project, 2012a. [Online]. Available at </w:t>
      </w:r>
      <w:hyperlink r:id="rId82" w:tooltip="Link to the Voice Project website." w:history="1">
        <w:r w:rsidR="008E0553" w:rsidRPr="00EC29B2">
          <w:rPr>
            <w:rStyle w:val="Hyperlink"/>
            <w:szCs w:val="21"/>
          </w:rPr>
          <w:t>www.voiceproject.com.au</w:t>
        </w:r>
      </w:hyperlink>
      <w:r w:rsidR="008E0553">
        <w:rPr>
          <w:szCs w:val="21"/>
        </w:rPr>
        <w:t xml:space="preserve"> </w:t>
      </w:r>
      <w:r w:rsidRPr="0054704D">
        <w:rPr>
          <w:szCs w:val="21"/>
        </w:rPr>
        <w:t>Retrieved 10 October 2012.</w:t>
      </w:r>
    </w:p>
    <w:p w:rsidR="00C93401" w:rsidRPr="00732472" w:rsidRDefault="00C93401" w:rsidP="00C93401">
      <w:pPr>
        <w:pStyle w:val="References"/>
        <w:rPr>
          <w:szCs w:val="21"/>
        </w:rPr>
      </w:pPr>
      <w:r>
        <w:rPr>
          <w:szCs w:val="21"/>
        </w:rPr>
        <w:t xml:space="preserve">Voice Project, 2012b. Geoscience Australia staff opinion survey: March-April 2012 high level results. Voice Project, Melbourne. </w:t>
      </w:r>
    </w:p>
    <w:p w:rsidR="00C93401" w:rsidRPr="00732472" w:rsidRDefault="00C93401" w:rsidP="00C93401">
      <w:pPr>
        <w:pStyle w:val="References"/>
        <w:rPr>
          <w:szCs w:val="21"/>
        </w:rPr>
      </w:pPr>
      <w:r>
        <w:rPr>
          <w:szCs w:val="21"/>
        </w:rPr>
        <w:t>WebMediaBrands Inc., 2012.</w:t>
      </w:r>
      <w:r w:rsidRPr="00732472">
        <w:rPr>
          <w:szCs w:val="21"/>
        </w:rPr>
        <w:t xml:space="preserve"> Twitter to surpass 500 million registered users on Wednesday</w:t>
      </w:r>
      <w:r>
        <w:rPr>
          <w:szCs w:val="21"/>
        </w:rPr>
        <w:t xml:space="preserve"> </w:t>
      </w:r>
      <w:r w:rsidRPr="00732472">
        <w:rPr>
          <w:szCs w:val="21"/>
        </w:rPr>
        <w:t>[Online]</w:t>
      </w:r>
      <w:r>
        <w:rPr>
          <w:szCs w:val="21"/>
        </w:rPr>
        <w:t xml:space="preserve">. </w:t>
      </w:r>
      <w:r w:rsidRPr="00732472">
        <w:rPr>
          <w:szCs w:val="21"/>
        </w:rPr>
        <w:t xml:space="preserve">Available at </w:t>
      </w:r>
      <w:hyperlink r:id="rId83" w:tooltip="Link to the Mediabistro, All Twitter website." w:history="1">
        <w:r w:rsidR="008E0553" w:rsidRPr="00EC29B2">
          <w:rPr>
            <w:rStyle w:val="Hyperlink"/>
            <w:szCs w:val="21"/>
          </w:rPr>
          <w:t>http://www.mediabistro.com/alltwitter/500-million-registered-users_b18842</w:t>
        </w:r>
      </w:hyperlink>
      <w:r w:rsidRPr="0054704D">
        <w:rPr>
          <w:szCs w:val="21"/>
        </w:rPr>
        <w:t xml:space="preserve">. </w:t>
      </w:r>
      <w:r w:rsidRPr="00732472">
        <w:rPr>
          <w:szCs w:val="21"/>
        </w:rPr>
        <w:t>Retrieved 24 September 2012</w:t>
      </w:r>
      <w:r>
        <w:rPr>
          <w:szCs w:val="21"/>
        </w:rPr>
        <w:t>.</w:t>
      </w:r>
    </w:p>
    <w:p w:rsidR="00C93401" w:rsidRPr="00732472" w:rsidRDefault="00C93401" w:rsidP="00C93401">
      <w:pPr>
        <w:pStyle w:val="References"/>
        <w:rPr>
          <w:szCs w:val="21"/>
        </w:rPr>
      </w:pPr>
      <w:r>
        <w:rPr>
          <w:szCs w:val="21"/>
        </w:rPr>
        <w:t>Webb, G., 2012.</w:t>
      </w:r>
      <w:r w:rsidRPr="00732472">
        <w:rPr>
          <w:szCs w:val="21"/>
        </w:rPr>
        <w:t xml:space="preserve"> ‘Australian Universities and the Petroleum Industry’. Paper presented at the </w:t>
      </w:r>
      <w:r w:rsidRPr="002D2DB8">
        <w:rPr>
          <w:szCs w:val="21"/>
        </w:rPr>
        <w:t>4</w:t>
      </w:r>
      <w:r w:rsidRPr="00CF07C2">
        <w:rPr>
          <w:rStyle w:val="Superscript"/>
        </w:rPr>
        <w:t>th</w:t>
      </w:r>
      <w:r w:rsidRPr="002D2DB8">
        <w:rPr>
          <w:szCs w:val="21"/>
        </w:rPr>
        <w:t xml:space="preserve"> Eastern Australasian Basins Symposium</w:t>
      </w:r>
      <w:r w:rsidRPr="00732472">
        <w:rPr>
          <w:szCs w:val="21"/>
        </w:rPr>
        <w:t>, EABSIV, Brisbane Qld.</w:t>
      </w:r>
      <w:bookmarkStart w:id="323" w:name="_Toc337721612"/>
      <w:bookmarkEnd w:id="323"/>
    </w:p>
    <w:p w:rsidR="00C93401" w:rsidRPr="00732472" w:rsidRDefault="00C93401" w:rsidP="00C93401">
      <w:pPr>
        <w:pStyle w:val="References"/>
        <w:rPr>
          <w:szCs w:val="21"/>
        </w:rPr>
      </w:pPr>
      <w:r w:rsidRPr="00732472">
        <w:rPr>
          <w:szCs w:val="21"/>
        </w:rPr>
        <w:t>Web Guide, 2012. Social Media – How to, Australian Government</w:t>
      </w:r>
      <w:r>
        <w:rPr>
          <w:szCs w:val="21"/>
        </w:rPr>
        <w:t xml:space="preserve"> </w:t>
      </w:r>
      <w:r w:rsidRPr="00732472">
        <w:rPr>
          <w:szCs w:val="21"/>
        </w:rPr>
        <w:t xml:space="preserve">[Online]. Available at </w:t>
      </w:r>
      <w:hyperlink r:id="rId84" w:anchor="introducing" w:tooltip="Link to the Australian Government social media web guide." w:history="1">
        <w:r w:rsidR="008E0553" w:rsidRPr="00EC29B2">
          <w:rPr>
            <w:rStyle w:val="Hyperlink"/>
            <w:szCs w:val="21"/>
          </w:rPr>
          <w:t>http://webguide.gov.au/web-2-0/online-consultation/social-media/social-media-how-to/#introducing</w:t>
        </w:r>
      </w:hyperlink>
      <w:r>
        <w:rPr>
          <w:szCs w:val="21"/>
        </w:rPr>
        <w:t>.</w:t>
      </w:r>
      <w:r w:rsidRPr="00732472">
        <w:rPr>
          <w:szCs w:val="21"/>
        </w:rPr>
        <w:t xml:space="preserve"> Retrieved 16 October 2012</w:t>
      </w:r>
      <w:r>
        <w:rPr>
          <w:szCs w:val="21"/>
        </w:rPr>
        <w:t>.</w:t>
      </w:r>
    </w:p>
    <w:p w:rsidR="00C93401" w:rsidRDefault="00C93401" w:rsidP="00C93401">
      <w:pPr>
        <w:pStyle w:val="References"/>
      </w:pPr>
      <w:r w:rsidRPr="00EB6B7C">
        <w:t>Wells, A.T., 1976. Geology of the late Proterozoic-Palaeozoic Amadeus Basin: excursion guide no. 48A. Pub. Canberra 1976.</w:t>
      </w:r>
      <w:r>
        <w:t xml:space="preserve"> </w:t>
      </w:r>
    </w:p>
    <w:p w:rsidR="00C93401" w:rsidRPr="00FD06D9" w:rsidRDefault="00C93401" w:rsidP="00356CC4">
      <w:pPr>
        <w:pStyle w:val="Head1nonumbers"/>
      </w:pPr>
      <w:bookmarkStart w:id="324" w:name="_Toc337721613"/>
      <w:bookmarkStart w:id="325" w:name="_Ref338246616"/>
      <w:bookmarkStart w:id="326" w:name="_Toc353282070"/>
      <w:bookmarkStart w:id="327" w:name="_Toc355274288"/>
      <w:r>
        <w:lastRenderedPageBreak/>
        <w:t xml:space="preserve">Appendix </w:t>
      </w:r>
      <w:bookmarkEnd w:id="324"/>
      <w:r>
        <w:t>One: Pre-</w:t>
      </w:r>
      <w:r w:rsidRPr="008D2CA0">
        <w:rPr>
          <w:szCs w:val="21"/>
        </w:rPr>
        <w:t>34</w:t>
      </w:r>
      <w:r w:rsidRPr="00CF07C2">
        <w:rPr>
          <w:rStyle w:val="Superscript"/>
        </w:rPr>
        <w:t>th</w:t>
      </w:r>
      <w:r>
        <w:t xml:space="preserve"> IGC Survey Questions</w:t>
      </w:r>
      <w:bookmarkEnd w:id="325"/>
      <w:bookmarkEnd w:id="326"/>
      <w:bookmarkEnd w:id="327"/>
    </w:p>
    <w:p w:rsidR="00C93401" w:rsidRPr="001A7F7E" w:rsidRDefault="00C93401" w:rsidP="00C93401">
      <w:r>
        <w:t>SURVEY QUESTIONS:</w:t>
      </w:r>
    </w:p>
    <w:p w:rsidR="00C93401" w:rsidRPr="001A7F7E" w:rsidRDefault="00C93401" w:rsidP="00C93401">
      <w:r>
        <w:t>GA U-number (for survey matching purposes only)</w:t>
      </w:r>
    </w:p>
    <w:p w:rsidR="00C93401" w:rsidRPr="0051632A" w:rsidRDefault="00C93401" w:rsidP="00C93401">
      <w:pPr>
        <w:pStyle w:val="Numbered"/>
      </w:pPr>
      <w:r w:rsidRPr="001A7F7E">
        <w:t>Which APS level are you in GA?</w:t>
      </w:r>
    </w:p>
    <w:p w:rsidR="00C93401" w:rsidRPr="00121A73" w:rsidRDefault="00C93401" w:rsidP="00C93401">
      <w:pPr>
        <w:pStyle w:val="Numbered-Unnumberedindent"/>
      </w:pPr>
      <w:r w:rsidRPr="00121A73">
        <w:t>APS 1-4</w:t>
      </w:r>
    </w:p>
    <w:p w:rsidR="00C93401" w:rsidRPr="00121A73" w:rsidRDefault="00C93401" w:rsidP="00C93401">
      <w:pPr>
        <w:pStyle w:val="Numbered-Unnumberedindent"/>
      </w:pPr>
      <w:r w:rsidRPr="00121A73">
        <w:t>APS 5-6</w:t>
      </w:r>
    </w:p>
    <w:p w:rsidR="00C93401" w:rsidRPr="00121A73" w:rsidRDefault="00C93401" w:rsidP="00C93401">
      <w:pPr>
        <w:pStyle w:val="Numbered-Unnumberedindent"/>
      </w:pPr>
      <w:r w:rsidRPr="00121A73">
        <w:t>EL1</w:t>
      </w:r>
    </w:p>
    <w:p w:rsidR="00C93401" w:rsidRPr="00121A73" w:rsidRDefault="00C93401" w:rsidP="00C93401">
      <w:pPr>
        <w:pStyle w:val="Numbered-Unnumberedindent"/>
      </w:pPr>
      <w:r w:rsidRPr="00121A73">
        <w:t>EL2.1-2.6</w:t>
      </w:r>
    </w:p>
    <w:p w:rsidR="00C93401" w:rsidRPr="00121A73" w:rsidRDefault="00C93401" w:rsidP="00C93401">
      <w:pPr>
        <w:pStyle w:val="Numbered-Unnumberedindent"/>
      </w:pPr>
      <w:r w:rsidRPr="00121A73">
        <w:t>EL2.7</w:t>
      </w:r>
    </w:p>
    <w:p w:rsidR="00C93401" w:rsidRPr="001A7F7E" w:rsidRDefault="00C93401" w:rsidP="00C93401">
      <w:pPr>
        <w:pStyle w:val="Numbered"/>
      </w:pPr>
      <w:r w:rsidRPr="001A7F7E">
        <w:t>Please rank the importance of the following conference activities for your attendance at IGC?</w:t>
      </w:r>
    </w:p>
    <w:p w:rsidR="00C93401" w:rsidRPr="001A7F7E" w:rsidRDefault="00C93401" w:rsidP="00C93401">
      <w:pPr>
        <w:pStyle w:val="Numbered-Unnumberedindent"/>
      </w:pPr>
      <w:r w:rsidRPr="001A7F7E">
        <w:t>Facilitating a workshop</w:t>
      </w:r>
    </w:p>
    <w:p w:rsidR="00C93401" w:rsidRPr="001A7F7E" w:rsidRDefault="00C93401" w:rsidP="00C93401">
      <w:pPr>
        <w:pStyle w:val="Numbered-Unnumberedindent"/>
      </w:pPr>
      <w:r w:rsidRPr="001A7F7E">
        <w:t>Participating in a workshop</w:t>
      </w:r>
    </w:p>
    <w:p w:rsidR="00C93401" w:rsidRPr="001A7F7E" w:rsidRDefault="00C93401" w:rsidP="00C93401">
      <w:pPr>
        <w:pStyle w:val="Numbered-Unnumberedindent"/>
      </w:pPr>
      <w:r w:rsidRPr="001A7F7E">
        <w:t>Facilitating a field trip</w:t>
      </w:r>
    </w:p>
    <w:p w:rsidR="00C93401" w:rsidRPr="001A7F7E" w:rsidRDefault="00C93401" w:rsidP="00C93401">
      <w:pPr>
        <w:pStyle w:val="Numbered-Unnumberedindent"/>
      </w:pPr>
      <w:r w:rsidRPr="001A7F7E">
        <w:t>Participating in a field trip</w:t>
      </w:r>
    </w:p>
    <w:p w:rsidR="00C93401" w:rsidRPr="001A7F7E" w:rsidRDefault="00C93401" w:rsidP="00C93401">
      <w:pPr>
        <w:pStyle w:val="Numbered-Unnumberedindent"/>
      </w:pPr>
      <w:r w:rsidRPr="001A7F7E">
        <w:t>Chairing a session</w:t>
      </w:r>
    </w:p>
    <w:p w:rsidR="00C93401" w:rsidRPr="001A7F7E" w:rsidRDefault="00C93401" w:rsidP="00C93401">
      <w:pPr>
        <w:pStyle w:val="Numbered-Unnumberedindent"/>
      </w:pPr>
      <w:r w:rsidRPr="001A7F7E">
        <w:t>Presenting a talk</w:t>
      </w:r>
    </w:p>
    <w:p w:rsidR="00C93401" w:rsidRPr="001A7F7E" w:rsidRDefault="00C93401" w:rsidP="00C93401">
      <w:pPr>
        <w:pStyle w:val="Numbered-Unnumberedindent"/>
      </w:pPr>
      <w:r w:rsidRPr="001A7F7E">
        <w:t>Presenting a poster</w:t>
      </w:r>
    </w:p>
    <w:p w:rsidR="00C93401" w:rsidRPr="001A7F7E" w:rsidRDefault="00C93401" w:rsidP="00C93401">
      <w:pPr>
        <w:pStyle w:val="Numbered-Unnumberedindent"/>
      </w:pPr>
      <w:r w:rsidRPr="001A7F7E">
        <w:t>Attendance at other talks / poster sessions</w:t>
      </w:r>
    </w:p>
    <w:p w:rsidR="00C93401" w:rsidRDefault="00C93401" w:rsidP="00C93401">
      <w:pPr>
        <w:pStyle w:val="Numbered-Unnumberedindent"/>
      </w:pPr>
      <w:r w:rsidRPr="001A7F7E">
        <w:t>Attendance at a related</w:t>
      </w:r>
      <w:r>
        <w:t xml:space="preserve"> meeting</w:t>
      </w:r>
    </w:p>
    <w:p w:rsidR="00C93401" w:rsidRDefault="00C93401" w:rsidP="00C93401">
      <w:pPr>
        <w:pStyle w:val="Numbered-Unnumberedindent"/>
      </w:pPr>
      <w:r>
        <w:t>Networking amongst peers</w:t>
      </w:r>
    </w:p>
    <w:p w:rsidR="00C93401" w:rsidRDefault="00C93401" w:rsidP="00C93401">
      <w:pPr>
        <w:pStyle w:val="Numbered-Unnumberedindent"/>
      </w:pPr>
      <w:r>
        <w:t>Promotion of Geoscience Australia</w:t>
      </w:r>
    </w:p>
    <w:p w:rsidR="00C93401" w:rsidRDefault="00C93401" w:rsidP="00C93401">
      <w:pPr>
        <w:pStyle w:val="Numbered-Unnumberedindent"/>
      </w:pPr>
      <w:r>
        <w:t>Career opportunities</w:t>
      </w:r>
    </w:p>
    <w:p w:rsidR="00C93401" w:rsidRDefault="00C93401" w:rsidP="00C93401">
      <w:pPr>
        <w:pStyle w:val="Numbered-Unnumberedindent"/>
      </w:pPr>
      <w:r>
        <w:t>Other ______________________</w:t>
      </w:r>
    </w:p>
    <w:p w:rsidR="00C93401" w:rsidRDefault="00C93401" w:rsidP="00C93401">
      <w:pPr>
        <w:pStyle w:val="Numbered"/>
      </w:pPr>
      <w:r>
        <w:t>Has your involvement in the IGC affected your job satisfaction?</w:t>
      </w:r>
    </w:p>
    <w:p w:rsidR="00C93401" w:rsidRDefault="00C93401" w:rsidP="00C93401">
      <w:pPr>
        <w:pStyle w:val="Numbered-Unnumberedindent"/>
      </w:pPr>
      <w:r>
        <w:t>(strongly positive</w:t>
      </w:r>
      <w:r w:rsidRPr="001A7F7E">
        <w:t xml:space="preserve">, </w:t>
      </w:r>
      <w:r>
        <w:t>positive, no impact, negative, strongly negative)</w:t>
      </w:r>
    </w:p>
    <w:p w:rsidR="00C93401" w:rsidRPr="001A7F7E" w:rsidRDefault="00C93401" w:rsidP="00C93401">
      <w:pPr>
        <w:pStyle w:val="Numbered"/>
      </w:pPr>
      <w:r>
        <w:t>Do you have any comments relating to how your involvement in the IGC has affected your job satisfaction? Include any specific examples of IGC components that have either increased or decreased your job satisfaction.</w:t>
      </w:r>
    </w:p>
    <w:p w:rsidR="00C93401" w:rsidRDefault="00C93401" w:rsidP="00C93401">
      <w:pPr>
        <w:pStyle w:val="Numbered"/>
      </w:pPr>
      <w:r>
        <w:t>What other projects have you been involved with that will be delivered at IGC? Examples might include the release of datasets or products such as the IGC book (Shaping a Nation: A Geology of Australia) or field trip documentation.</w:t>
      </w:r>
    </w:p>
    <w:p w:rsidR="00C93401" w:rsidRDefault="00C93401" w:rsidP="00C93401">
      <w:pPr>
        <w:pStyle w:val="Numbered"/>
      </w:pPr>
      <w:r>
        <w:t>How much time have you invested towards the IGC (e.g. How many hours per week for how many weeks)?</w:t>
      </w:r>
    </w:p>
    <w:p w:rsidR="00C93401" w:rsidRDefault="00C93401" w:rsidP="00C93401">
      <w:pPr>
        <w:pStyle w:val="Numbered"/>
      </w:pPr>
      <w:r>
        <w:t>What do you expect to get out of IGC?</w:t>
      </w:r>
    </w:p>
    <w:p w:rsidR="00C93401" w:rsidRDefault="00C93401" w:rsidP="00C93401">
      <w:pPr>
        <w:pStyle w:val="Numbered"/>
      </w:pPr>
      <w:r>
        <w:lastRenderedPageBreak/>
        <w:t>Have you or will you have liaisons with one or more of GA’s stakeholders at the IGC? If so, please provide details.</w:t>
      </w:r>
    </w:p>
    <w:p w:rsidR="00C93401" w:rsidRDefault="00C93401" w:rsidP="00C93401">
      <w:pPr>
        <w:pStyle w:val="Numbered"/>
      </w:pPr>
      <w:r>
        <w:t>Is your section hosting non-GA participants of the IGC before and/or after the congress? Will the visitor(s) be giving a talk and/or be involved in a workshop at GA?</w:t>
      </w:r>
      <w:r w:rsidRPr="00691035">
        <w:t xml:space="preserve"> </w:t>
      </w:r>
      <w:r>
        <w:t>Please give details.</w:t>
      </w:r>
    </w:p>
    <w:p w:rsidR="00C93401" w:rsidRDefault="00C93401" w:rsidP="00C93401">
      <w:pPr>
        <w:pStyle w:val="Numbered"/>
      </w:pPr>
      <w:r>
        <w:t>Do you have any other comments related to GA’s participation in the IGC?</w:t>
      </w:r>
    </w:p>
    <w:p w:rsidR="00C93401" w:rsidRDefault="00C93401" w:rsidP="00356CC4">
      <w:pPr>
        <w:pStyle w:val="Head1nonumbers"/>
      </w:pPr>
      <w:bookmarkStart w:id="328" w:name="_Ref338246623"/>
      <w:bookmarkStart w:id="329" w:name="_Toc353282071"/>
      <w:bookmarkStart w:id="330" w:name="_Toc355274289"/>
      <w:r w:rsidRPr="003C2335">
        <w:lastRenderedPageBreak/>
        <w:t xml:space="preserve">Appendix Two: </w:t>
      </w:r>
      <w:r>
        <w:t>Post-</w:t>
      </w:r>
      <w:r w:rsidRPr="008D2CA0">
        <w:rPr>
          <w:szCs w:val="21"/>
        </w:rPr>
        <w:t>34</w:t>
      </w:r>
      <w:r w:rsidRPr="00CF07C2">
        <w:rPr>
          <w:rStyle w:val="Superscript"/>
        </w:rPr>
        <w:t>th</w:t>
      </w:r>
      <w:r>
        <w:t xml:space="preserve"> IGC Survey Questions</w:t>
      </w:r>
      <w:bookmarkEnd w:id="328"/>
      <w:bookmarkEnd w:id="329"/>
      <w:bookmarkEnd w:id="330"/>
    </w:p>
    <w:p w:rsidR="00C93401" w:rsidRPr="001A7F7E" w:rsidRDefault="00C93401" w:rsidP="00C93401">
      <w:r>
        <w:t>SURVEY TWO QUESTIONS:</w:t>
      </w:r>
    </w:p>
    <w:p w:rsidR="00C93401" w:rsidRPr="001A7F7E" w:rsidRDefault="00C93401" w:rsidP="00C93401">
      <w:r>
        <w:t>GA U-number (for survey linking purposes only)</w:t>
      </w:r>
    </w:p>
    <w:p w:rsidR="00C93401" w:rsidRPr="001A7F7E" w:rsidRDefault="00C93401" w:rsidP="00F92A67">
      <w:pPr>
        <w:pStyle w:val="Numbered"/>
        <w:numPr>
          <w:ilvl w:val="0"/>
          <w:numId w:val="7"/>
        </w:numPr>
      </w:pPr>
      <w:r w:rsidRPr="001A7F7E">
        <w:t>Which APS level are you in GA?</w:t>
      </w:r>
    </w:p>
    <w:p w:rsidR="00C93401" w:rsidRPr="00121A73" w:rsidRDefault="00C93401" w:rsidP="00C93401">
      <w:pPr>
        <w:pStyle w:val="Numbered-Unnumberedindent"/>
        <w:rPr>
          <w:lang w:val="es-ES"/>
        </w:rPr>
      </w:pPr>
      <w:r w:rsidRPr="00121A73">
        <w:rPr>
          <w:lang w:val="es-ES"/>
        </w:rPr>
        <w:t>APS 1-4</w:t>
      </w:r>
    </w:p>
    <w:p w:rsidR="00C93401" w:rsidRPr="00121A73" w:rsidRDefault="00C93401" w:rsidP="00C93401">
      <w:pPr>
        <w:pStyle w:val="Numbered-Unnumberedindent"/>
        <w:rPr>
          <w:lang w:val="es-ES"/>
        </w:rPr>
      </w:pPr>
      <w:r w:rsidRPr="00121A73">
        <w:rPr>
          <w:lang w:val="es-ES"/>
        </w:rPr>
        <w:t>APS 5-6</w:t>
      </w:r>
    </w:p>
    <w:p w:rsidR="00C93401" w:rsidRPr="00121A73" w:rsidRDefault="00C93401" w:rsidP="00C93401">
      <w:pPr>
        <w:pStyle w:val="Numbered-Unnumberedindent"/>
        <w:rPr>
          <w:lang w:val="es-ES"/>
        </w:rPr>
      </w:pPr>
      <w:r w:rsidRPr="00121A73">
        <w:rPr>
          <w:lang w:val="es-ES"/>
        </w:rPr>
        <w:t>EL1</w:t>
      </w:r>
    </w:p>
    <w:p w:rsidR="00C93401" w:rsidRPr="00121A73" w:rsidRDefault="00C93401" w:rsidP="00C93401">
      <w:pPr>
        <w:pStyle w:val="Numbered-Unnumberedindent"/>
        <w:rPr>
          <w:lang w:val="es-ES"/>
        </w:rPr>
      </w:pPr>
      <w:r w:rsidRPr="00121A73">
        <w:rPr>
          <w:lang w:val="es-ES"/>
        </w:rPr>
        <w:t>EL2.1-2.6</w:t>
      </w:r>
    </w:p>
    <w:p w:rsidR="00C93401" w:rsidRPr="00121A73" w:rsidRDefault="00C93401" w:rsidP="00C93401">
      <w:pPr>
        <w:pStyle w:val="Numbered-Unnumberedindent"/>
        <w:rPr>
          <w:lang w:val="es-ES"/>
        </w:rPr>
      </w:pPr>
      <w:r w:rsidRPr="00121A73">
        <w:rPr>
          <w:lang w:val="es-ES"/>
        </w:rPr>
        <w:t>EL2.7 or above</w:t>
      </w:r>
    </w:p>
    <w:p w:rsidR="00C93401" w:rsidRDefault="00C93401" w:rsidP="00C93401">
      <w:pPr>
        <w:pStyle w:val="Numbered"/>
      </w:pPr>
      <w:r>
        <w:t>Ho</w:t>
      </w:r>
      <w:r w:rsidRPr="0051632A">
        <w:t>w</w:t>
      </w:r>
      <w:r>
        <w:t xml:space="preserve"> long have you worked at GA? (Please pick one of the following options)</w:t>
      </w:r>
    </w:p>
    <w:p w:rsidR="00C93401" w:rsidRDefault="00C93401" w:rsidP="00C93401">
      <w:pPr>
        <w:pStyle w:val="Numbered-Unnumberedindent"/>
      </w:pPr>
      <w:r>
        <w:t>less than 1 year</w:t>
      </w:r>
    </w:p>
    <w:p w:rsidR="00C93401" w:rsidRDefault="00C93401" w:rsidP="00C93401">
      <w:pPr>
        <w:pStyle w:val="Numbered-Unnumberedindent"/>
      </w:pPr>
      <w:r>
        <w:t>1 to 5 years</w:t>
      </w:r>
    </w:p>
    <w:p w:rsidR="00C93401" w:rsidRDefault="00C93401" w:rsidP="00C93401">
      <w:pPr>
        <w:pStyle w:val="Numbered-Unnumberedindent"/>
      </w:pPr>
      <w:r>
        <w:t>5 to 10 years</w:t>
      </w:r>
    </w:p>
    <w:p w:rsidR="00C93401" w:rsidRDefault="00C93401" w:rsidP="00C93401">
      <w:pPr>
        <w:pStyle w:val="Numbered-Unnumberedindent"/>
      </w:pPr>
      <w:r>
        <w:t>10 to less than 15 years</w:t>
      </w:r>
    </w:p>
    <w:p w:rsidR="00C93401" w:rsidRDefault="00C93401" w:rsidP="00C93401">
      <w:pPr>
        <w:pStyle w:val="Numbered-Unnumberedindent"/>
      </w:pPr>
      <w:r>
        <w:t>15 to less than 20 years</w:t>
      </w:r>
    </w:p>
    <w:p w:rsidR="00C93401" w:rsidRDefault="00C93401" w:rsidP="00C93401">
      <w:pPr>
        <w:pStyle w:val="Numbered-Unnumberedindent"/>
      </w:pPr>
      <w:r>
        <w:t>20 years or more</w:t>
      </w:r>
    </w:p>
    <w:p w:rsidR="00C93401" w:rsidRDefault="00C93401" w:rsidP="00C93401">
      <w:pPr>
        <w:pStyle w:val="Numbered"/>
      </w:pPr>
      <w:r>
        <w:t xml:space="preserve">Reflecting on your time at the IGC. </w:t>
      </w:r>
      <w:r w:rsidRPr="001A7F7E">
        <w:t xml:space="preserve">Please rank the importance of the following conference activities </w:t>
      </w:r>
      <w:r>
        <w:t>in terms of how they affected your job satisfaction</w:t>
      </w:r>
      <w:r w:rsidRPr="001A7F7E">
        <w:t>?</w:t>
      </w:r>
    </w:p>
    <w:p w:rsidR="00C93401" w:rsidRPr="00F97A37" w:rsidRDefault="00C93401" w:rsidP="00C93401">
      <w:pPr>
        <w:pStyle w:val="Numbered-Unnumberedindent"/>
        <w:rPr>
          <w:rStyle w:val="Bodytextitalic"/>
        </w:rPr>
      </w:pPr>
      <w:r w:rsidRPr="00F97A37">
        <w:rPr>
          <w:rStyle w:val="Bodytextitalic"/>
        </w:rPr>
        <w:t>Ranking buttons from Strongly Positive, Positive, No Impact, Negative, Strongly Negative (KEEP SAME FORMAT AS SURVEY 1)</w:t>
      </w:r>
    </w:p>
    <w:p w:rsidR="00C93401" w:rsidRPr="001A7F7E" w:rsidRDefault="00C93401" w:rsidP="00C93401">
      <w:pPr>
        <w:pStyle w:val="Numbered-Unnumberedindent"/>
      </w:pPr>
      <w:r w:rsidRPr="001A7F7E">
        <w:t>Facilitating a workshop</w:t>
      </w:r>
    </w:p>
    <w:p w:rsidR="00C93401" w:rsidRPr="001A7F7E" w:rsidRDefault="00C93401" w:rsidP="00C93401">
      <w:pPr>
        <w:pStyle w:val="Numbered-Unnumberedindent"/>
      </w:pPr>
      <w:r w:rsidRPr="001A7F7E">
        <w:t>Participating in a workshop</w:t>
      </w:r>
    </w:p>
    <w:p w:rsidR="00C93401" w:rsidRPr="001A7F7E" w:rsidRDefault="00C93401" w:rsidP="00C93401">
      <w:pPr>
        <w:pStyle w:val="Numbered-Unnumberedindent"/>
      </w:pPr>
      <w:r w:rsidRPr="001A7F7E">
        <w:t>Facilitating a field trip</w:t>
      </w:r>
    </w:p>
    <w:p w:rsidR="00C93401" w:rsidRPr="001A7F7E" w:rsidRDefault="00C93401" w:rsidP="00C93401">
      <w:pPr>
        <w:pStyle w:val="Numbered-Unnumberedindent"/>
      </w:pPr>
      <w:r w:rsidRPr="001A7F7E">
        <w:t>Participating in a field trip</w:t>
      </w:r>
    </w:p>
    <w:p w:rsidR="00C93401" w:rsidRPr="001A7F7E" w:rsidRDefault="00C93401" w:rsidP="00C93401">
      <w:pPr>
        <w:pStyle w:val="Numbered-Unnumberedindent"/>
      </w:pPr>
      <w:r w:rsidRPr="001A7F7E">
        <w:t>Chairing a session</w:t>
      </w:r>
    </w:p>
    <w:p w:rsidR="00C93401" w:rsidRPr="001A7F7E" w:rsidRDefault="00C93401" w:rsidP="00C93401">
      <w:pPr>
        <w:pStyle w:val="Numbered-Unnumberedindent"/>
      </w:pPr>
      <w:r w:rsidRPr="001A7F7E">
        <w:t>Presenting a talk</w:t>
      </w:r>
    </w:p>
    <w:p w:rsidR="00C93401" w:rsidRPr="001A7F7E" w:rsidRDefault="00C93401" w:rsidP="00C93401">
      <w:pPr>
        <w:pStyle w:val="Numbered-Unnumberedindent"/>
      </w:pPr>
      <w:r w:rsidRPr="001A7F7E">
        <w:t>Presenting a poster</w:t>
      </w:r>
    </w:p>
    <w:p w:rsidR="00C93401" w:rsidRPr="001A7F7E" w:rsidRDefault="00C93401" w:rsidP="00C93401">
      <w:pPr>
        <w:pStyle w:val="Numbered-Unnumberedindent"/>
      </w:pPr>
      <w:r w:rsidRPr="001A7F7E">
        <w:t>Attendance at other talks / poster sessions</w:t>
      </w:r>
    </w:p>
    <w:p w:rsidR="00C93401" w:rsidRDefault="00C93401" w:rsidP="00C93401">
      <w:pPr>
        <w:pStyle w:val="Numbered-Unnumberedindent"/>
      </w:pPr>
      <w:r w:rsidRPr="001A7F7E">
        <w:t>Attendance at a related</w:t>
      </w:r>
      <w:r>
        <w:t xml:space="preserve"> meeting</w:t>
      </w:r>
    </w:p>
    <w:p w:rsidR="00C93401" w:rsidRDefault="00C93401" w:rsidP="00C93401">
      <w:pPr>
        <w:pStyle w:val="Numbered-Unnumberedindent"/>
      </w:pPr>
      <w:r>
        <w:t>Networking amongst peers</w:t>
      </w:r>
    </w:p>
    <w:p w:rsidR="00C93401" w:rsidRDefault="00C93401" w:rsidP="00C93401">
      <w:pPr>
        <w:pStyle w:val="Numbered-Unnumberedindent"/>
      </w:pPr>
      <w:r>
        <w:t>Promotion of Geoscience Australia</w:t>
      </w:r>
    </w:p>
    <w:p w:rsidR="00C93401" w:rsidRDefault="00C93401" w:rsidP="00C93401">
      <w:pPr>
        <w:pStyle w:val="Numbered-Unnumberedindent"/>
      </w:pPr>
      <w:r>
        <w:t>Career opportunities</w:t>
      </w:r>
    </w:p>
    <w:p w:rsidR="00C93401" w:rsidRDefault="00C93401" w:rsidP="00C93401">
      <w:pPr>
        <w:pStyle w:val="Numbered-Unnumberedindent"/>
      </w:pPr>
      <w:r>
        <w:t>Other ______________________</w:t>
      </w:r>
    </w:p>
    <w:p w:rsidR="00C93401" w:rsidRDefault="00C93401" w:rsidP="00C93401">
      <w:pPr>
        <w:pStyle w:val="Numbered"/>
      </w:pPr>
      <w:r>
        <w:lastRenderedPageBreak/>
        <w:t xml:space="preserve">Reflecting on your time at the IGC. </w:t>
      </w:r>
      <w:r w:rsidRPr="001A7F7E">
        <w:t xml:space="preserve">Please rank the importance of the following conference activities </w:t>
      </w:r>
      <w:r>
        <w:t>in terms of how they affected your capacity to perform your ‘Business-As-Usual’ job requirements</w:t>
      </w:r>
      <w:r w:rsidRPr="001A7F7E">
        <w:t>?</w:t>
      </w:r>
    </w:p>
    <w:p w:rsidR="00C93401" w:rsidRPr="00F97A37" w:rsidRDefault="00C93401" w:rsidP="00C93401">
      <w:pPr>
        <w:pStyle w:val="Numbered-Unnumberedindent"/>
        <w:rPr>
          <w:rStyle w:val="Bodytextitalic"/>
        </w:rPr>
      </w:pPr>
      <w:r w:rsidRPr="00F97A37">
        <w:rPr>
          <w:rStyle w:val="Bodytextitalic"/>
        </w:rPr>
        <w:t>Ranking buttons from Strongly Positive, Positive, No Impact, Negative, Strongly Negative (KEEP SAME FORMAT AS SURVEY 1)</w:t>
      </w:r>
    </w:p>
    <w:p w:rsidR="00C93401" w:rsidRPr="001A7F7E" w:rsidRDefault="00C93401" w:rsidP="00C93401">
      <w:pPr>
        <w:pStyle w:val="Numbered-Unnumberedindent"/>
      </w:pPr>
      <w:r w:rsidRPr="001A7F7E">
        <w:t>Facilitating a workshop</w:t>
      </w:r>
    </w:p>
    <w:p w:rsidR="00C93401" w:rsidRPr="001A7F7E" w:rsidRDefault="00C93401" w:rsidP="00C93401">
      <w:pPr>
        <w:pStyle w:val="Numbered-Unnumberedindent"/>
      </w:pPr>
      <w:r w:rsidRPr="001A7F7E">
        <w:t>Participating in a workshop</w:t>
      </w:r>
    </w:p>
    <w:p w:rsidR="00C93401" w:rsidRPr="001A7F7E" w:rsidRDefault="00C93401" w:rsidP="00C93401">
      <w:pPr>
        <w:pStyle w:val="Numbered-Unnumberedindent"/>
      </w:pPr>
      <w:r w:rsidRPr="001A7F7E">
        <w:t>Facilitating a field trip</w:t>
      </w:r>
    </w:p>
    <w:p w:rsidR="00C93401" w:rsidRPr="001A7F7E" w:rsidRDefault="00C93401" w:rsidP="00C93401">
      <w:pPr>
        <w:pStyle w:val="Numbered-Unnumberedindent"/>
      </w:pPr>
      <w:r w:rsidRPr="001A7F7E">
        <w:t>Participating in a field trip</w:t>
      </w:r>
    </w:p>
    <w:p w:rsidR="00C93401" w:rsidRPr="001A7F7E" w:rsidRDefault="00C93401" w:rsidP="00C93401">
      <w:pPr>
        <w:pStyle w:val="Numbered-Unnumberedindent"/>
      </w:pPr>
      <w:r w:rsidRPr="001A7F7E">
        <w:t>Chairing a session</w:t>
      </w:r>
    </w:p>
    <w:p w:rsidR="00C93401" w:rsidRPr="001A7F7E" w:rsidRDefault="00C93401" w:rsidP="00C93401">
      <w:pPr>
        <w:pStyle w:val="Numbered-Unnumberedindent"/>
      </w:pPr>
      <w:r w:rsidRPr="001A7F7E">
        <w:t>Presenting a talk</w:t>
      </w:r>
    </w:p>
    <w:p w:rsidR="00C93401" w:rsidRPr="001A7F7E" w:rsidRDefault="00C93401" w:rsidP="00C93401">
      <w:pPr>
        <w:pStyle w:val="Numbered-Unnumberedindent"/>
      </w:pPr>
      <w:r w:rsidRPr="001A7F7E">
        <w:t>Presenting a poster</w:t>
      </w:r>
    </w:p>
    <w:p w:rsidR="00C93401" w:rsidRPr="001A7F7E" w:rsidRDefault="00C93401" w:rsidP="00C93401">
      <w:pPr>
        <w:pStyle w:val="Numbered-Unnumberedindent"/>
      </w:pPr>
      <w:r w:rsidRPr="001A7F7E">
        <w:t>Attendance at other talks / poster sessions</w:t>
      </w:r>
    </w:p>
    <w:p w:rsidR="00C93401" w:rsidRDefault="00C93401" w:rsidP="00C93401">
      <w:pPr>
        <w:pStyle w:val="Numbered-Unnumberedindent"/>
      </w:pPr>
      <w:r w:rsidRPr="001A7F7E">
        <w:t>Attendance at a related</w:t>
      </w:r>
      <w:r>
        <w:t xml:space="preserve"> meeting</w:t>
      </w:r>
    </w:p>
    <w:p w:rsidR="00C93401" w:rsidRDefault="00C93401" w:rsidP="00C93401">
      <w:pPr>
        <w:pStyle w:val="Numbered-Unnumberedindent"/>
      </w:pPr>
      <w:r>
        <w:t>Networking amongst peers</w:t>
      </w:r>
    </w:p>
    <w:p w:rsidR="00C93401" w:rsidRDefault="00C93401" w:rsidP="00C93401">
      <w:pPr>
        <w:pStyle w:val="Numbered-Unnumberedindent"/>
      </w:pPr>
      <w:r>
        <w:t>Promotion of Geoscience Australia</w:t>
      </w:r>
    </w:p>
    <w:p w:rsidR="00C93401" w:rsidRDefault="00C93401" w:rsidP="00C93401">
      <w:pPr>
        <w:pStyle w:val="Numbered-Unnumberedindent"/>
      </w:pPr>
      <w:r>
        <w:t>Career opportunities</w:t>
      </w:r>
    </w:p>
    <w:p w:rsidR="00C93401" w:rsidRDefault="00C93401" w:rsidP="00C93401">
      <w:pPr>
        <w:pStyle w:val="Numbered-Unnumberedindent"/>
      </w:pPr>
      <w:r>
        <w:t>Other ______________________</w:t>
      </w:r>
    </w:p>
    <w:p w:rsidR="00C93401" w:rsidRDefault="00C93401" w:rsidP="00C93401">
      <w:pPr>
        <w:pStyle w:val="Numbered"/>
      </w:pPr>
      <w:r>
        <w:t>Please choose the most appropriate answer</w:t>
      </w:r>
      <w:r w:rsidRPr="0053473C">
        <w:t xml:space="preserve"> </w:t>
      </w:r>
      <w:r>
        <w:t>to the time you invested towards the IGC (in terms of preparation beforehand).</w:t>
      </w:r>
    </w:p>
    <w:p w:rsidR="00C93401" w:rsidRDefault="00C93401" w:rsidP="00C93401">
      <w:pPr>
        <w:pStyle w:val="Numbered-Unnumberedindent"/>
      </w:pPr>
      <w:r>
        <w:t>Invested time was appropriately recognised in section work plan</w:t>
      </w:r>
    </w:p>
    <w:p w:rsidR="00C93401" w:rsidRDefault="00C93401" w:rsidP="00C93401">
      <w:pPr>
        <w:pStyle w:val="Numbered-Unnumberedindent"/>
      </w:pPr>
      <w:r>
        <w:t>Invested time was appropriately recognised in my PDP</w:t>
      </w:r>
    </w:p>
    <w:p w:rsidR="00C93401" w:rsidRDefault="00C93401" w:rsidP="00C93401">
      <w:pPr>
        <w:pStyle w:val="Numbered-Unnumberedindent"/>
      </w:pPr>
      <w:r>
        <w:t>Invested time was appropriately recognised in both my section work plan and my personal PDP</w:t>
      </w:r>
    </w:p>
    <w:p w:rsidR="00C93401" w:rsidRDefault="00C93401" w:rsidP="00C93401">
      <w:pPr>
        <w:pStyle w:val="Numbered-Unnumberedindent"/>
      </w:pPr>
      <w:r>
        <w:t>Invested time was recognised in either section work plan or PDP but was underestimated</w:t>
      </w:r>
    </w:p>
    <w:p w:rsidR="00C93401" w:rsidRDefault="00C93401" w:rsidP="00C93401">
      <w:pPr>
        <w:pStyle w:val="Numbered-Unnumberedindent"/>
      </w:pPr>
      <w:r>
        <w:t>Invested time was not recognised in either the section work plan or PDP and the time invested was in addition to Business-As-Usual duties.</w:t>
      </w:r>
    </w:p>
    <w:p w:rsidR="00C93401" w:rsidRDefault="00C93401" w:rsidP="00C93401">
      <w:pPr>
        <w:pStyle w:val="Numbered"/>
      </w:pPr>
      <w:r>
        <w:t>Given that attendance at the IGC is a form of Learning and Development (L&amp;D), if you had the opportunity to re-direct the funding for your attendance at the IGC (for instance registration costs for the conference, workshops, fieldtrips where applicable), do you feel that there exists a similar/alternate L&amp;D avenue that would have had a greater impact on your job satisfaction or capacity for ‘Business-As-Usual’?</w:t>
      </w:r>
    </w:p>
    <w:p w:rsidR="00C93401" w:rsidRDefault="00C93401" w:rsidP="00C93401">
      <w:pPr>
        <w:pStyle w:val="Numbered"/>
      </w:pPr>
      <w:r>
        <w:t>Do you consider that you had the right balance of attendance at presentations, workshops and field trips? If not, in hindsight how would you alter your priorities?</w:t>
      </w:r>
    </w:p>
    <w:p w:rsidR="00C93401" w:rsidRDefault="00C93401" w:rsidP="00C93401">
      <w:pPr>
        <w:pStyle w:val="Numbered-Unnumberedindent"/>
      </w:pPr>
      <w:r>
        <w:t>(Yes/no)</w:t>
      </w:r>
      <w:r w:rsidDel="00E048C6">
        <w:t xml:space="preserve"> </w:t>
      </w:r>
      <w:r>
        <w:t>(free text box)</w:t>
      </w:r>
    </w:p>
    <w:p w:rsidR="00C93401" w:rsidRDefault="00C93401" w:rsidP="00C93401">
      <w:pPr>
        <w:pStyle w:val="Numbered"/>
      </w:pPr>
      <w:r>
        <w:t>Did your section/group host any workshops or seminars at GA, either before or after the IGC that were associated with the IGC?</w:t>
      </w:r>
    </w:p>
    <w:p w:rsidR="00C93401" w:rsidRDefault="00C93401" w:rsidP="00C93401">
      <w:pPr>
        <w:pStyle w:val="Numbered-Unnumberedindent"/>
      </w:pPr>
      <w:r>
        <w:t xml:space="preserve"> (yes/no option plus an obligatory free text box, Please expand on your answer)</w:t>
      </w:r>
    </w:p>
    <w:p w:rsidR="00C93401" w:rsidRDefault="00C93401" w:rsidP="00C93401">
      <w:pPr>
        <w:pStyle w:val="Numbered"/>
      </w:pPr>
      <w:r>
        <w:t>Please rate the feedback you receive from IGC delegates</w:t>
      </w:r>
      <w:r w:rsidRPr="00E048C6">
        <w:t xml:space="preserve"> </w:t>
      </w:r>
      <w:r>
        <w:t>on GA’s involvement in the IGC.</w:t>
      </w:r>
    </w:p>
    <w:p w:rsidR="00C93401" w:rsidRDefault="00C93401" w:rsidP="00C93401">
      <w:pPr>
        <w:pStyle w:val="Numbered-Unnumberedindent"/>
      </w:pPr>
      <w:r>
        <w:t>Strongly negative, negative, neutral, positive, strongly positive</w:t>
      </w:r>
    </w:p>
    <w:p w:rsidR="00C93401" w:rsidRDefault="00C93401" w:rsidP="00C93401">
      <w:pPr>
        <w:pStyle w:val="Numbered-Unnumberedindent"/>
      </w:pPr>
      <w:r>
        <w:lastRenderedPageBreak/>
        <w:t>Please describe</w:t>
      </w:r>
    </w:p>
    <w:p w:rsidR="00C93401" w:rsidRDefault="00C93401" w:rsidP="00C93401">
      <w:pPr>
        <w:pStyle w:val="Numbered"/>
      </w:pPr>
      <w:r>
        <w:t>Please rate the GA booth at the exhibition hall</w:t>
      </w:r>
      <w:r w:rsidRPr="001344EE">
        <w:t xml:space="preserve"> (e.g. WOrld-wind display, IGC book, Uluru field guide, Aster datasets, etc.).</w:t>
      </w:r>
    </w:p>
    <w:p w:rsidR="00C93401" w:rsidRDefault="00C93401" w:rsidP="00C93401">
      <w:pPr>
        <w:pStyle w:val="Numbered-Unnumberedindent"/>
      </w:pPr>
      <w:r>
        <w:t>Strongly positive, positive, neutral, negative, strongly negative</w:t>
      </w:r>
    </w:p>
    <w:p w:rsidR="00C93401" w:rsidRDefault="00C93401" w:rsidP="00C93401">
      <w:pPr>
        <w:pStyle w:val="Numbered-Unnumberedindent"/>
      </w:pPr>
      <w:r>
        <w:t>Please describe</w:t>
      </w:r>
    </w:p>
    <w:p w:rsidR="00C93401" w:rsidRPr="00583A62" w:rsidRDefault="00C93401" w:rsidP="00C93401">
      <w:pPr>
        <w:pStyle w:val="Numbered"/>
      </w:pPr>
      <w:r w:rsidRPr="00583A62">
        <w:t>Do you have any other comments related to GA’s participation in the IGC?</w:t>
      </w:r>
    </w:p>
    <w:p w:rsidR="00C93401" w:rsidRPr="00583A62" w:rsidRDefault="00C93401" w:rsidP="00C93401">
      <w:pPr>
        <w:pStyle w:val="Numbered"/>
      </w:pPr>
      <w:r w:rsidRPr="00583A62">
        <w:t>What are the impacts, for Australia, of hosting the IGC? Please describe</w:t>
      </w:r>
      <w:r>
        <w:t>.</w:t>
      </w:r>
    </w:p>
    <w:p w:rsidR="00C93401" w:rsidRDefault="00C93401" w:rsidP="00C93401">
      <w:pPr>
        <w:pStyle w:val="Numbered-Unnumberedindent"/>
      </w:pPr>
      <w:r w:rsidRPr="00583A62">
        <w:t>(free text box)</w:t>
      </w:r>
    </w:p>
    <w:p w:rsidR="00C93401" w:rsidRPr="0051632A" w:rsidRDefault="00C93401" w:rsidP="00356CC4">
      <w:pPr>
        <w:pStyle w:val="Head1nonumbers"/>
      </w:pPr>
      <w:bookmarkStart w:id="331" w:name="_Toc353282072"/>
      <w:bookmarkStart w:id="332" w:name="_Toc355274290"/>
      <w:r w:rsidRPr="0051632A">
        <w:lastRenderedPageBreak/>
        <w:t xml:space="preserve">Appendix Three: Geoscience Australia’s involvement in the scientific program of the </w:t>
      </w:r>
      <w:r w:rsidRPr="0051632A">
        <w:rPr>
          <w:szCs w:val="21"/>
        </w:rPr>
        <w:t>34</w:t>
      </w:r>
      <w:r w:rsidRPr="00CF07C2">
        <w:rPr>
          <w:rStyle w:val="Superscript"/>
        </w:rPr>
        <w:t>th</w:t>
      </w:r>
      <w:r w:rsidRPr="0051632A">
        <w:t xml:space="preserve"> IGC</w:t>
      </w:r>
      <w:bookmarkEnd w:id="331"/>
      <w:bookmarkEnd w:id="332"/>
    </w:p>
    <w:p w:rsidR="00C93401" w:rsidRPr="003A2F94" w:rsidRDefault="00C93401" w:rsidP="00C93401">
      <w:pPr>
        <w:pStyle w:val="BodyText"/>
      </w:pPr>
      <w:r w:rsidRPr="003A2F94">
        <w:t xml:space="preserve">GA staff members coordinated themes, chaired sessions, or delivered keynote presentations for 19 out of 37 Symposia Themes at the </w:t>
      </w:r>
      <w:r w:rsidRPr="008D2CA0">
        <w:rPr>
          <w:szCs w:val="21"/>
        </w:rPr>
        <w:t>34</w:t>
      </w:r>
      <w:r w:rsidRPr="00CF07C2">
        <w:rPr>
          <w:rStyle w:val="Superscript"/>
        </w:rPr>
        <w:t>th</w:t>
      </w:r>
      <w:r w:rsidRPr="003A2F94">
        <w:t xml:space="preserve"> IGC (~50%) and the details are given below. </w:t>
      </w:r>
    </w:p>
    <w:tbl>
      <w:tblPr>
        <w:tblStyle w:val="TableGAHeaderRow"/>
        <w:tblW w:w="9249" w:type="dxa"/>
        <w:tblLayout w:type="fixed"/>
        <w:tblLook w:val="01E0" w:firstRow="1" w:lastRow="1" w:firstColumn="1" w:lastColumn="1" w:noHBand="0" w:noVBand="0"/>
        <w:tblDescription w:val="This table provides the details of the 19 symposia sessions that involved GA staff at the 34th IGC. Due to the nature of this table, no further description has been provided. Please email Geoscience Australia at feedback@ga.gov.au for an alternate description."/>
      </w:tblPr>
      <w:tblGrid>
        <w:gridCol w:w="1843"/>
        <w:gridCol w:w="3793"/>
        <w:gridCol w:w="1985"/>
        <w:gridCol w:w="1628"/>
      </w:tblGrid>
      <w:tr w:rsidR="00C93401" w:rsidRPr="00B46D7B" w:rsidTr="009C49B6">
        <w:trPr>
          <w:cnfStyle w:val="100000000000" w:firstRow="1" w:lastRow="0" w:firstColumn="0" w:lastColumn="0" w:oddVBand="0" w:evenVBand="0" w:oddHBand="0" w:evenHBand="0" w:firstRowFirstColumn="0" w:firstRowLastColumn="0" w:lastRowFirstColumn="0" w:lastRowLastColumn="0"/>
          <w:trHeight w:val="57"/>
          <w:tblHeader/>
        </w:trPr>
        <w:tc>
          <w:tcPr>
            <w:cnfStyle w:val="000010000000" w:firstRow="0" w:lastRow="0" w:firstColumn="0" w:lastColumn="0" w:oddVBand="1" w:evenVBand="0" w:oddHBand="0" w:evenHBand="0" w:firstRowFirstColumn="0" w:firstRowLastColumn="0" w:lastRowFirstColumn="0" w:lastRowLastColumn="0"/>
            <w:tcW w:w="1843" w:type="dxa"/>
          </w:tcPr>
          <w:p w:rsidR="00C93401" w:rsidRPr="0074397A" w:rsidRDefault="00C93401" w:rsidP="009C49B6">
            <w:pPr>
              <w:pStyle w:val="Tabletextleft"/>
            </w:pPr>
            <w:r>
              <w:t>Themes</w:t>
            </w:r>
          </w:p>
        </w:tc>
        <w:tc>
          <w:tcPr>
            <w:tcW w:w="3793" w:type="dxa"/>
          </w:tcPr>
          <w:p w:rsidR="00C93401" w:rsidRPr="0074397A" w:rsidRDefault="00C93401" w:rsidP="009C49B6">
            <w:pPr>
              <w:pStyle w:val="Tabletextleft"/>
              <w:cnfStyle w:val="100000000000" w:firstRow="1" w:lastRow="0" w:firstColumn="0" w:lastColumn="0" w:oddVBand="0" w:evenVBand="0" w:oddHBand="0" w:evenHBand="0" w:firstRowFirstColumn="0" w:firstRowLastColumn="0" w:lastRowFirstColumn="0" w:lastRowLastColumn="0"/>
            </w:pPr>
            <w:r w:rsidRPr="0074397A">
              <w:t>Sessions</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74397A" w:rsidRDefault="00C93401" w:rsidP="009C49B6">
            <w:pPr>
              <w:pStyle w:val="Tabletextleft"/>
            </w:pPr>
            <w:r w:rsidRPr="0074397A">
              <w:t>Role(s)</w:t>
            </w:r>
          </w:p>
        </w:tc>
        <w:tc>
          <w:tcPr>
            <w:tcW w:w="1628" w:type="dxa"/>
          </w:tcPr>
          <w:p w:rsidR="00C93401" w:rsidRPr="0074397A" w:rsidRDefault="00C93401" w:rsidP="009C49B6">
            <w:pPr>
              <w:pStyle w:val="Tabletextleft"/>
              <w:cnfStyle w:val="100000000000" w:firstRow="1" w:lastRow="0" w:firstColumn="0" w:lastColumn="0" w:oddVBand="0" w:evenVBand="0" w:oddHBand="0" w:evenHBand="0" w:firstRowFirstColumn="0" w:firstRowLastColumn="0" w:lastRowFirstColumn="0" w:lastRowLastColumn="0"/>
            </w:pPr>
            <w:r w:rsidRPr="0074397A">
              <w:t>Staff Member(s)</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Theme 4: Environmental Geoscience</w:t>
            </w: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4.2 Global geochemical mapping: understanding chemical Earth (The 2</w:t>
            </w:r>
            <w:r w:rsidRPr="00D644D5">
              <w:rPr>
                <w:rStyle w:val="Superscript"/>
                <w:szCs w:val="18"/>
              </w:rPr>
              <w:t>nd</w:t>
            </w:r>
            <w:r w:rsidRPr="00D644D5">
              <w:rPr>
                <w:szCs w:val="18"/>
              </w:rPr>
              <w:t xml:space="preserve"> Arthur Darnley Symposium)</w:t>
            </w:r>
          </w:p>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4.3 Advances in the evaluation and interpretation of geochemical data at the continental scale</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Patrice De Caritat</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Theme 5: Geoscience Information</w:t>
            </w: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Theme Convenor</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Lesley Wyborn </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Theme 6: Energy in a Carbon Constrained World</w:t>
            </w: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6.2 Geothermal resources</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Anthony Budd</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val="restart"/>
          </w:tcPr>
          <w:p w:rsidR="00C93401" w:rsidRPr="00D644D5" w:rsidRDefault="00C93401" w:rsidP="009C49B6">
            <w:pPr>
              <w:pStyle w:val="Tabletextleft"/>
            </w:pPr>
            <w:r w:rsidRPr="00D644D5">
              <w:t>Theme 7: Mineral Resources and Mining</w:t>
            </w:r>
          </w:p>
        </w:tc>
        <w:tc>
          <w:tcPr>
            <w:tcW w:w="3793" w:type="dxa"/>
          </w:tcPr>
          <w:p w:rsidR="00C93401" w:rsidRPr="00AB6EA8"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7.1 New age metals: the geology and genesis of ores required for a changing economy and a carbon constrained world [Society for Geology Applied to Mineral Deposits (SGA)]</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AB6EA8" w:rsidRDefault="00C93401" w:rsidP="009C49B6">
            <w:pPr>
              <w:pStyle w:val="Tabletextleft"/>
              <w:rPr>
                <w:szCs w:val="18"/>
              </w:rPr>
            </w:pPr>
            <w:r w:rsidRPr="00D644D5">
              <w:rPr>
                <w:szCs w:val="18"/>
              </w:rPr>
              <w:t>Session Coordinator</w:t>
            </w:r>
          </w:p>
        </w:tc>
        <w:tc>
          <w:tcPr>
            <w:tcW w:w="1628" w:type="dxa"/>
          </w:tcPr>
          <w:p w:rsidR="00C93401" w:rsidRPr="00AB6EA8"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David Huston</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tcPr>
          <w:p w:rsidR="00C93401" w:rsidRPr="00D644D5" w:rsidRDefault="00C93401" w:rsidP="009C49B6">
            <w:pPr>
              <w:pStyle w:val="Tabletextleft"/>
            </w:pP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7.7 Qualitative and quantitative methods of assessing undiscovered mineral resources</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Subhash Jaireth</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val="restart"/>
          </w:tcPr>
          <w:p w:rsidR="00C93401" w:rsidRPr="00D644D5" w:rsidRDefault="00C93401" w:rsidP="009C49B6">
            <w:pPr>
              <w:pStyle w:val="Tabletextleft"/>
            </w:pPr>
            <w:r w:rsidRPr="00D644D5">
              <w:t>Theme 8: Mineral Exploration Geoscience</w:t>
            </w: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8.1 Footprints of mineralised systems: new concepts and data for exploration</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Roger Skirrow </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tcPr>
          <w:p w:rsidR="00C93401" w:rsidRPr="00D644D5" w:rsidRDefault="00C93401" w:rsidP="009C49B6">
            <w:pPr>
              <w:pStyle w:val="Tabletextleft"/>
            </w:pP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8.5 Exploration and discovery: diagnosis and prognosis ­- are we in need of cure? [Society for Geology Applied to Mineral Deposits (SGA)]</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 xml:space="preserve">David Huston </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tcPr>
          <w:p w:rsidR="00C93401" w:rsidRPr="00D644D5" w:rsidRDefault="00C93401" w:rsidP="009C49B6">
            <w:pPr>
              <w:pStyle w:val="Tabletextleft"/>
            </w:pPr>
          </w:p>
        </w:tc>
        <w:tc>
          <w:tcPr>
            <w:tcW w:w="3793" w:type="dxa"/>
            <w:vMerge w:val="restar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8.3 Probing the Earth from near-surface to the mantle - techniques, modelling software and case histories to aid mineral exploration</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Richard Lane</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tcPr>
          <w:p w:rsidR="00C93401" w:rsidRPr="00D644D5" w:rsidRDefault="00C93401" w:rsidP="009C49B6">
            <w:pPr>
              <w:pStyle w:val="Tabletextleft"/>
            </w:pPr>
          </w:p>
        </w:tc>
        <w:tc>
          <w:tcPr>
            <w:tcW w:w="3793" w:type="dxa"/>
            <w:vMerge/>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Ned Stolz</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Theme 10: Coal - A Myriad of Resources</w:t>
            </w: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10.2 Coal - a record of change</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Robert Langford</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val="restart"/>
          </w:tcPr>
          <w:p w:rsidR="00C93401" w:rsidRPr="00D644D5" w:rsidRDefault="00C93401" w:rsidP="009C49B6">
            <w:pPr>
              <w:pStyle w:val="Tabletextleft"/>
            </w:pPr>
            <w:r w:rsidRPr="00D644D5">
              <w:t>Theme 11: Petroleum Systems and Exploration</w:t>
            </w: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11.1 Petroleum prospectivity of divergent and transform passive margin basins of North and South Atlantic, Arctic, India and Australasia</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AB6EA8" w:rsidRDefault="00C93401" w:rsidP="009C49B6">
            <w:pPr>
              <w:pStyle w:val="Tabletextleft"/>
              <w:rPr>
                <w:szCs w:val="18"/>
              </w:rPr>
            </w:pPr>
            <w:r w:rsidRPr="00D644D5">
              <w:rPr>
                <w:szCs w:val="18"/>
              </w:rPr>
              <w:t>Theme Convenor</w:t>
            </w:r>
          </w:p>
        </w:tc>
        <w:tc>
          <w:tcPr>
            <w:tcW w:w="1628" w:type="dxa"/>
          </w:tcPr>
          <w:p w:rsidR="00C93401" w:rsidRPr="007E600D"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 xml:space="preserve">Marita Bradshaw </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tcPr>
          <w:p w:rsidR="00C93401" w:rsidRPr="00D644D5" w:rsidRDefault="00C93401" w:rsidP="009C49B6">
            <w:pPr>
              <w:pStyle w:val="Tabletextleft"/>
            </w:pP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11.5 Petroleum exploration in frontier basins</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Coordinators</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Marita Bradshaw and Irina Borissova</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tcPr>
          <w:p w:rsidR="00C93401" w:rsidRPr="00D644D5" w:rsidRDefault="00C93401" w:rsidP="009C49B6">
            <w:pPr>
              <w:pStyle w:val="Tabletextleft"/>
            </w:pP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11.6 Putting the geo into geophysics - adding clout through better datasets and joint interpretation</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Ron Hackney</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lastRenderedPageBreak/>
              <w:t>Theme 14: Basin Formation and Continental Margin Processes</w:t>
            </w: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14.4 Passive to hyper-extended continental rift margins in the geological record: their recognition, diagnostic elements and comparison with present-day analogues</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Theme Convenor and Session Coordinator</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George Gibson </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Theme 18: The Proterozoic Earth</w:t>
            </w: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18.1 Building the Australian continent</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Richard Blewett</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Theme 22: Metamorphic Rocks and Processes</w:t>
            </w: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22.2 Rates of metamorphic processes</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Geoff Fraser</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Theme 23: Evolutions of the Biosphere</w:t>
            </w: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23.1 Martin Glaessner Symposium: The Ediacaran and the Cambrian Explosion</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Theme Convenor and Session Coordinator</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 xml:space="preserve">John Laurie </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Theme 25: Marine Geoscience and Oceanography</w:t>
            </w: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25.5 Geoscience applications for ocean management and also for supporting jurisdictional claims under the United Nations Law of the Sea</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7E600D" w:rsidRDefault="00C93401" w:rsidP="009C49B6">
            <w:pPr>
              <w:pStyle w:val="Tabletextleft"/>
              <w:rPr>
                <w:szCs w:val="18"/>
              </w:rPr>
            </w:pPr>
            <w:r w:rsidRPr="00D644D5">
              <w:rPr>
                <w:szCs w:val="18"/>
              </w:rPr>
              <w:t>Session Coordinators</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Andrew Heap and Mark Alcock</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Theme 26: Antarctic and Arctic Geoscience</w:t>
            </w: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26.4 Rodinia to Gondwana: evolution of the southern supercontinent</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 xml:space="preserve">Chris Carson </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val="restart"/>
          </w:tcPr>
          <w:p w:rsidR="00C93401" w:rsidRPr="00D644D5" w:rsidRDefault="00C93401" w:rsidP="009C49B6">
            <w:pPr>
              <w:pStyle w:val="Tabletextleft"/>
            </w:pPr>
            <w:r w:rsidRPr="00D644D5">
              <w:t>Theme 28: Groundwater/</w:t>
            </w:r>
            <w:r w:rsidR="009C49B6">
              <w:t xml:space="preserve"> </w:t>
            </w:r>
            <w:r w:rsidRPr="00D644D5">
              <w:t>Hydrogeology</w:t>
            </w: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28.3 Geoscientific mapping, characterisation and conceptualisation of hydrogeological systems</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Theme Convenor and Session Coordinator</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Ken Lawrie </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tcPr>
          <w:p w:rsidR="00C93401" w:rsidRPr="00D644D5" w:rsidRDefault="00C93401" w:rsidP="009C49B6">
            <w:pPr>
              <w:pStyle w:val="Tabletextleft"/>
            </w:pP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28.4 Groundwater for energy and mining</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Coordinators</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Ken Lawrie and Jon Clarke</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tcPr>
          <w:p w:rsidR="00C93401" w:rsidRPr="00D644D5" w:rsidRDefault="00C93401" w:rsidP="009C49B6">
            <w:pPr>
              <w:pStyle w:val="Tabletextleft"/>
            </w:pP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28.5 Hazards and risks to groundwater systems</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Coordinators</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Ken Lawrie and Steven Lewis</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val="restart"/>
          </w:tcPr>
          <w:p w:rsidR="00C93401" w:rsidRPr="00D644D5" w:rsidRDefault="00C93401" w:rsidP="009C49B6">
            <w:pPr>
              <w:pStyle w:val="Tabletextleft"/>
            </w:pPr>
            <w:r w:rsidRPr="00D644D5">
              <w:t>Theme 30: Geohazards</w:t>
            </w:r>
          </w:p>
        </w:tc>
        <w:tc>
          <w:tcPr>
            <w:tcW w:w="3793" w:type="dxa"/>
          </w:tcPr>
          <w:p w:rsidR="00C93401" w:rsidRPr="00AB6EA8"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30.2 Natural hazards and climate change</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AB6EA8" w:rsidRDefault="00C93401" w:rsidP="009C49B6">
            <w:pPr>
              <w:pStyle w:val="Tabletextleft"/>
              <w:rPr>
                <w:szCs w:val="18"/>
              </w:rPr>
            </w:pPr>
            <w:r w:rsidRPr="00D644D5">
              <w:rPr>
                <w:szCs w:val="18"/>
              </w:rPr>
              <w:t>Session Coordinators</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Bob Cechet and Martyn Hazelwood</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tcPr>
          <w:p w:rsidR="00C93401" w:rsidRPr="00D644D5" w:rsidRDefault="00C93401" w:rsidP="009C49B6">
            <w:pPr>
              <w:pStyle w:val="Tabletextleft"/>
            </w:pP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30.5 Geohazard risk analysis: the state of the art</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Jane Sexton </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Theme 32: Geoscience Information from Proximal and Remote Sensing Technologies</w:t>
            </w: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Theme Convenor</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Adam Lewis</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Theme 34: Major Geoscience Initiative, Geosurveys and Maps</w:t>
            </w: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Theme Convenor</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Dr Ian Lambert</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val="restart"/>
          </w:tcPr>
          <w:p w:rsidR="00C93401" w:rsidRPr="00D644D5" w:rsidRDefault="00C93401" w:rsidP="009C49B6">
            <w:pPr>
              <w:pStyle w:val="Tabletextleft"/>
            </w:pPr>
            <w:r w:rsidRPr="00D644D5">
              <w:t>Theme 36: Regional, Thematic and Specialist Symposia</w:t>
            </w:r>
          </w:p>
        </w:tc>
        <w:tc>
          <w:tcPr>
            <w:tcW w:w="3793" w:type="dxa"/>
            <w:vMerge w:val="restar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36.7 Geoscience research and concepts from Asia and environs</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AB6EA8" w:rsidRDefault="00C93401" w:rsidP="009C49B6">
            <w:pPr>
              <w:pStyle w:val="Tabletextleft"/>
              <w:rPr>
                <w:szCs w:val="18"/>
              </w:rPr>
            </w:pPr>
            <w:r w:rsidRPr="00D644D5">
              <w:rPr>
                <w:szCs w:val="18"/>
              </w:rPr>
              <w:t>Theme Convenor and Session Coordinator</w:t>
            </w:r>
          </w:p>
        </w:tc>
        <w:tc>
          <w:tcPr>
            <w:tcW w:w="1628" w:type="dxa"/>
          </w:tcPr>
          <w:p w:rsidR="00C93401" w:rsidRPr="00AB6EA8"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Dr Ian Lambert</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tcPr>
          <w:p w:rsidR="00C93401" w:rsidRPr="00D644D5" w:rsidRDefault="00C93401" w:rsidP="009C49B6">
            <w:pPr>
              <w:pStyle w:val="Tabletextleft"/>
            </w:pPr>
          </w:p>
        </w:tc>
        <w:tc>
          <w:tcPr>
            <w:tcW w:w="3793" w:type="dxa"/>
            <w:vMerge/>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Paul Kay</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vMerge/>
          </w:tcPr>
          <w:p w:rsidR="00C93401" w:rsidRPr="00D644D5" w:rsidRDefault="00C93401" w:rsidP="009C49B6">
            <w:pPr>
              <w:pStyle w:val="Tabletextleft"/>
            </w:pP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36.4 Geoscience challenges in the 21</w:t>
            </w:r>
            <w:r w:rsidRPr="00D644D5">
              <w:rPr>
                <w:rStyle w:val="Superscript"/>
                <w:szCs w:val="18"/>
              </w:rPr>
              <w:t>st</w:t>
            </w:r>
            <w:r w:rsidRPr="00D644D5">
              <w:rPr>
                <w:szCs w:val="18"/>
              </w:rPr>
              <w:t xml:space="preserve"> century: an early-career perspective</w:t>
            </w:r>
            <w:r w:rsidR="00D64715">
              <w:rPr>
                <w:szCs w:val="18"/>
              </w:rPr>
              <w:t xml:space="preserve"> </w:t>
            </w:r>
            <w:r w:rsidRPr="00D644D5">
              <w:rPr>
                <w:szCs w:val="18"/>
              </w:rPr>
              <w:t>[YES Network]</w:t>
            </w: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r w:rsidRPr="00D644D5">
              <w:rPr>
                <w:szCs w:val="18"/>
              </w:rPr>
              <w:t>Session Coordinator</w:t>
            </w: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Michelle Cooper</w:t>
            </w:r>
          </w:p>
        </w:tc>
      </w:tr>
      <w:tr w:rsidR="00C93401" w:rsidRPr="00B46D7B" w:rsidTr="009C49B6">
        <w:trPr>
          <w:cnfStyle w:val="000000010000" w:firstRow="0" w:lastRow="0" w:firstColumn="0" w:lastColumn="0" w:oddVBand="0" w:evenVBand="0" w:oddHBand="0" w:evenHBand="1"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lastRenderedPageBreak/>
              <w:t>F.2: International GeoSurveys Forum – Applying geoscience to address the world’s major challenges</w:t>
            </w:r>
          </w:p>
        </w:tc>
        <w:tc>
          <w:tcPr>
            <w:tcW w:w="3793"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p>
        </w:tc>
        <w:tc>
          <w:tcPr>
            <w:tcW w:w="1628" w:type="dxa"/>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Dr Chris Pigram (CEO Geoscience Australia)</w:t>
            </w:r>
          </w:p>
        </w:tc>
      </w:tr>
      <w:tr w:rsidR="00C93401" w:rsidRPr="00B46D7B" w:rsidTr="009C49B6">
        <w:trPr>
          <w:cnfStyle w:val="000000100000" w:firstRow="0" w:lastRow="0" w:firstColumn="0" w:lastColumn="0" w:oddVBand="0" w:evenVBand="0" w:oddHBand="1" w:evenHBand="0" w:firstRowFirstColumn="0" w:firstRowLastColumn="0" w:lastRowFirstColumn="0" w:lastRowLastColumn="0"/>
          <w:cantSplit/>
          <w:trHeight w:val="57"/>
        </w:trPr>
        <w:tc>
          <w:tcPr>
            <w:cnfStyle w:val="000010000000" w:firstRow="0" w:lastRow="0" w:firstColumn="0" w:lastColumn="0" w:oddVBand="1" w:evenVBand="0" w:oddHBand="0" w:evenHBand="0" w:firstRowFirstColumn="0" w:firstRowLastColumn="0" w:lastRowFirstColumn="0" w:lastRowLastColumn="0"/>
            <w:tcW w:w="1843" w:type="dxa"/>
          </w:tcPr>
          <w:p w:rsidR="00C93401" w:rsidRPr="00D644D5" w:rsidRDefault="00C93401" w:rsidP="009C49B6">
            <w:pPr>
              <w:pStyle w:val="Tabletextleft"/>
            </w:pPr>
            <w:r w:rsidRPr="00D644D5">
              <w:t>F.3: Global Geoscience Initiative (GGI) – Developing a Geoscience Roadmap as part of the Belmont Forum</w:t>
            </w:r>
          </w:p>
        </w:tc>
        <w:tc>
          <w:tcPr>
            <w:tcW w:w="3793"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p>
        </w:tc>
        <w:tc>
          <w:tcPr>
            <w:cnfStyle w:val="000010000000" w:firstRow="0" w:lastRow="0" w:firstColumn="0" w:lastColumn="0" w:oddVBand="1" w:evenVBand="0" w:oddHBand="0" w:evenHBand="0" w:firstRowFirstColumn="0" w:firstRowLastColumn="0" w:lastRowFirstColumn="0" w:lastRowLastColumn="0"/>
            <w:tcW w:w="1985" w:type="dxa"/>
          </w:tcPr>
          <w:p w:rsidR="00C93401" w:rsidRPr="00D644D5" w:rsidRDefault="00C93401" w:rsidP="009C49B6">
            <w:pPr>
              <w:pStyle w:val="Tabletextleft"/>
              <w:rPr>
                <w:szCs w:val="18"/>
              </w:rPr>
            </w:pPr>
          </w:p>
        </w:tc>
        <w:tc>
          <w:tcPr>
            <w:tcW w:w="1628" w:type="dxa"/>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Dr Chris Pigram (CEO Geoscience Australia)</w:t>
            </w:r>
          </w:p>
        </w:tc>
      </w:tr>
    </w:tbl>
    <w:p w:rsidR="00C93401" w:rsidRPr="0017044E" w:rsidRDefault="00C93401" w:rsidP="00356CC4">
      <w:pPr>
        <w:pStyle w:val="Head1nonumbers"/>
      </w:pPr>
      <w:bookmarkStart w:id="333" w:name="_Toc353282073"/>
      <w:bookmarkStart w:id="334" w:name="_Toc355274291"/>
      <w:r w:rsidRPr="0017044E">
        <w:lastRenderedPageBreak/>
        <w:t>Appendix Four: Breakdown of Recommendations from Chapter 3</w:t>
      </w:r>
      <w:bookmarkEnd w:id="333"/>
      <w:bookmarkEnd w:id="334"/>
    </w:p>
    <w:tbl>
      <w:tblPr>
        <w:tblStyle w:val="TableGAHeaderRow"/>
        <w:tblW w:w="5000" w:type="pct"/>
        <w:tblLook w:val="01E0" w:firstRow="1" w:lastRow="1" w:firstColumn="1" w:lastColumn="1" w:noHBand="0" w:noVBand="0"/>
        <w:tblDescription w:val="This table provides a breakdown of the recommendations from Chapter 3 (Internal Impacts), into categories, specific recommendations, questions and comments, relative costs, and timescales. Due to the nature of this table no further description has been provided. Please email Geoscience Australia at feedback@ga.gov.au for an alternative description."/>
      </w:tblPr>
      <w:tblGrid>
        <w:gridCol w:w="1361"/>
        <w:gridCol w:w="2094"/>
        <w:gridCol w:w="2629"/>
        <w:gridCol w:w="1332"/>
        <w:gridCol w:w="1769"/>
      </w:tblGrid>
      <w:tr w:rsidR="00C93401" w:rsidRPr="00B46D7B" w:rsidTr="00A56269">
        <w:trPr>
          <w:cnfStyle w:val="100000000000" w:firstRow="1" w:lastRow="0" w:firstColumn="0" w:lastColumn="0" w:oddVBand="0" w:evenVBand="0" w:oddHBand="0" w:evenHBand="0" w:firstRowFirstColumn="0" w:firstRowLastColumn="0" w:lastRowFirstColumn="0" w:lastRowLastColumn="0"/>
          <w:tblHeader/>
        </w:trPr>
        <w:tc>
          <w:tcPr>
            <w:cnfStyle w:val="000010000000" w:firstRow="0" w:lastRow="0" w:firstColumn="0" w:lastColumn="0" w:oddVBand="1" w:evenVBand="0" w:oddHBand="0" w:evenHBand="0" w:firstRowFirstColumn="0" w:firstRowLastColumn="0" w:lastRowFirstColumn="0" w:lastRowLastColumn="0"/>
            <w:tcW w:w="741" w:type="pct"/>
          </w:tcPr>
          <w:p w:rsidR="00C93401" w:rsidRPr="00BF1093" w:rsidRDefault="00C93401" w:rsidP="009C49B6">
            <w:pPr>
              <w:pStyle w:val="Tabletextleft"/>
            </w:pPr>
            <w:r w:rsidRPr="00BF1093">
              <w:t>Category</w:t>
            </w:r>
          </w:p>
        </w:tc>
        <w:tc>
          <w:tcPr>
            <w:tcW w:w="1140" w:type="pct"/>
          </w:tcPr>
          <w:p w:rsidR="00C93401" w:rsidRPr="00BF1093" w:rsidRDefault="00C93401" w:rsidP="009C49B6">
            <w:pPr>
              <w:pStyle w:val="Tabletextleft"/>
              <w:cnfStyle w:val="100000000000" w:firstRow="1" w:lastRow="0" w:firstColumn="0" w:lastColumn="0" w:oddVBand="0" w:evenVBand="0" w:oddHBand="0" w:evenHBand="0" w:firstRowFirstColumn="0" w:firstRowLastColumn="0" w:lastRowFirstColumn="0" w:lastRowLastColumn="0"/>
            </w:pPr>
            <w:r w:rsidRPr="00BF1093">
              <w:t>Recommendation</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BF1093" w:rsidRDefault="00C93401" w:rsidP="009C49B6">
            <w:pPr>
              <w:pStyle w:val="Tabletextleft"/>
            </w:pPr>
            <w:r w:rsidRPr="00BF1093">
              <w:t>Questions / Comments</w:t>
            </w:r>
          </w:p>
        </w:tc>
        <w:tc>
          <w:tcPr>
            <w:tcW w:w="725" w:type="pct"/>
          </w:tcPr>
          <w:p w:rsidR="00C93401" w:rsidRPr="00BF1093" w:rsidRDefault="00C93401" w:rsidP="009C49B6">
            <w:pPr>
              <w:pStyle w:val="Tabletextleft"/>
              <w:cnfStyle w:val="100000000000" w:firstRow="1" w:lastRow="0" w:firstColumn="0" w:lastColumn="0" w:oddVBand="0" w:evenVBand="0" w:oddHBand="0" w:evenHBand="0" w:firstRowFirstColumn="0" w:firstRowLastColumn="0" w:lastRowFirstColumn="0" w:lastRowLastColumn="0"/>
            </w:pPr>
            <w:r w:rsidRPr="00BF1093">
              <w:t xml:space="preserve">Potential Cost </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BF1093" w:rsidRDefault="00C93401" w:rsidP="009C49B6">
            <w:pPr>
              <w:pStyle w:val="Tabletextleft"/>
            </w:pPr>
            <w:r w:rsidRPr="00BF1093">
              <w:t xml:space="preserve">Possible Timescale </w:t>
            </w:r>
          </w:p>
        </w:tc>
      </w:tr>
      <w:tr w:rsidR="00C93401" w:rsidRPr="00B46D7B"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val="restart"/>
          </w:tcPr>
          <w:p w:rsidR="00C93401" w:rsidRPr="00D644D5" w:rsidRDefault="00C93401" w:rsidP="009C49B6">
            <w:pPr>
              <w:pStyle w:val="Tabletextleft"/>
            </w:pPr>
            <w:r w:rsidRPr="00D644D5">
              <w:t>Further Investigation</w:t>
            </w:r>
          </w:p>
        </w:tc>
        <w:tc>
          <w:tcPr>
            <w:tcW w:w="1140"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Examination of the new online L&amp;D form</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How many GA employees completed the L&amp;D form?</w:t>
            </w:r>
          </w:p>
          <w:p w:rsidR="00C93401" w:rsidRPr="00D644D5" w:rsidRDefault="00C93401" w:rsidP="009C49B6">
            <w:pPr>
              <w:pStyle w:val="Tabletextleft"/>
              <w:rPr>
                <w:szCs w:val="18"/>
              </w:rPr>
            </w:pPr>
            <w:r w:rsidRPr="00D644D5">
              <w:rPr>
                <w:szCs w:val="18"/>
              </w:rPr>
              <w:t>Is there additional information for analysis?</w:t>
            </w:r>
          </w:p>
        </w:tc>
        <w:tc>
          <w:tcPr>
            <w:tcW w:w="725"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Low</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Short</w:t>
            </w:r>
          </w:p>
        </w:tc>
      </w:tr>
      <w:tr w:rsidR="00C93401" w:rsidRPr="00B46D7B"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tcPr>
          <w:p w:rsidR="00C93401" w:rsidRPr="00D644D5" w:rsidRDefault="00C93401" w:rsidP="009C49B6">
            <w:pPr>
              <w:pStyle w:val="Tabletextleft"/>
            </w:pPr>
          </w:p>
        </w:tc>
        <w:tc>
          <w:tcPr>
            <w:tcW w:w="1140"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Survey of non-</w:t>
            </w:r>
            <w:r w:rsidRPr="00D644D5">
              <w:rPr>
                <w:szCs w:val="21"/>
              </w:rPr>
              <w:t>34</w:t>
            </w:r>
            <w:r w:rsidRPr="00D644D5">
              <w:rPr>
                <w:rStyle w:val="Superscript"/>
                <w:szCs w:val="18"/>
              </w:rPr>
              <w:t>th</w:t>
            </w:r>
            <w:r w:rsidRPr="00D644D5">
              <w:rPr>
                <w:szCs w:val="18"/>
              </w:rPr>
              <w:t xml:space="preserve"> IGC participants</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 xml:space="preserve">How many hours in preparation for GA’s </w:t>
            </w:r>
            <w:r w:rsidRPr="00D644D5">
              <w:rPr>
                <w:szCs w:val="21"/>
              </w:rPr>
              <w:t>34</w:t>
            </w:r>
            <w:r w:rsidRPr="00D644D5">
              <w:rPr>
                <w:rStyle w:val="Superscript"/>
                <w:szCs w:val="18"/>
              </w:rPr>
              <w:t>th</w:t>
            </w:r>
            <w:r w:rsidRPr="00D644D5">
              <w:rPr>
                <w:szCs w:val="18"/>
              </w:rPr>
              <w:t xml:space="preserve"> IGC activities?</w:t>
            </w:r>
          </w:p>
          <w:p w:rsidR="00C93401" w:rsidRPr="00D644D5" w:rsidRDefault="00C93401" w:rsidP="009C49B6">
            <w:pPr>
              <w:pStyle w:val="Tabletextleft"/>
              <w:rPr>
                <w:szCs w:val="18"/>
              </w:rPr>
            </w:pPr>
            <w:r w:rsidRPr="00D644D5">
              <w:rPr>
                <w:szCs w:val="18"/>
              </w:rPr>
              <w:t xml:space="preserve">What exposure to </w:t>
            </w:r>
            <w:r w:rsidRPr="00D644D5">
              <w:rPr>
                <w:szCs w:val="21"/>
              </w:rPr>
              <w:t>34</w:t>
            </w:r>
            <w:r w:rsidRPr="00D644D5">
              <w:rPr>
                <w:rStyle w:val="Superscript"/>
                <w:szCs w:val="18"/>
              </w:rPr>
              <w:t>th</w:t>
            </w:r>
            <w:r w:rsidRPr="00D644D5">
              <w:rPr>
                <w:szCs w:val="18"/>
              </w:rPr>
              <w:t xml:space="preserve"> IGC related information dissemination?</w:t>
            </w:r>
          </w:p>
        </w:tc>
        <w:tc>
          <w:tcPr>
            <w:tcW w:w="725"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Low/Medium</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Short</w:t>
            </w:r>
          </w:p>
        </w:tc>
      </w:tr>
      <w:tr w:rsidR="00C93401" w:rsidRPr="00B46D7B"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tcPr>
          <w:p w:rsidR="00C93401" w:rsidRPr="00D644D5" w:rsidRDefault="00C93401" w:rsidP="009C49B6">
            <w:pPr>
              <w:pStyle w:val="Tabletextleft"/>
            </w:pPr>
          </w:p>
        </w:tc>
        <w:tc>
          <w:tcPr>
            <w:tcW w:w="1140"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Survey of GA employees that attended workshops</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How did workshop attendance increase skill-set and capacity for BAU activities?</w:t>
            </w:r>
          </w:p>
        </w:tc>
        <w:tc>
          <w:tcPr>
            <w:tcW w:w="725"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Low</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Short</w:t>
            </w:r>
          </w:p>
        </w:tc>
      </w:tr>
      <w:tr w:rsidR="00C93401" w:rsidRPr="00B46D7B"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tcPr>
          <w:p w:rsidR="00C93401" w:rsidRPr="00D644D5" w:rsidRDefault="00C93401" w:rsidP="009C49B6">
            <w:pPr>
              <w:pStyle w:val="Tabletextleft"/>
            </w:pPr>
          </w:p>
        </w:tc>
        <w:tc>
          <w:tcPr>
            <w:tcW w:w="1140"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Future survey using control group – examine a section with a strong </w:t>
            </w:r>
            <w:r w:rsidRPr="00D644D5">
              <w:rPr>
                <w:szCs w:val="21"/>
              </w:rPr>
              <w:t>34</w:t>
            </w:r>
            <w:r w:rsidRPr="00D644D5">
              <w:rPr>
                <w:rStyle w:val="Superscript"/>
                <w:szCs w:val="18"/>
              </w:rPr>
              <w:t>th</w:t>
            </w:r>
            <w:r w:rsidRPr="00D644D5">
              <w:rPr>
                <w:szCs w:val="18"/>
              </w:rPr>
              <w:t xml:space="preserve"> IGC focus</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 xml:space="preserve">How do </w:t>
            </w:r>
            <w:r w:rsidRPr="00D644D5">
              <w:rPr>
                <w:szCs w:val="21"/>
              </w:rPr>
              <w:t>34</w:t>
            </w:r>
            <w:r w:rsidRPr="00D644D5">
              <w:rPr>
                <w:rStyle w:val="Superscript"/>
                <w:szCs w:val="18"/>
              </w:rPr>
              <w:t>th</w:t>
            </w:r>
            <w:r w:rsidRPr="00D644D5">
              <w:rPr>
                <w:szCs w:val="18"/>
              </w:rPr>
              <w:t xml:space="preserve"> IGC participants compare with non-</w:t>
            </w:r>
            <w:r w:rsidRPr="00D644D5">
              <w:rPr>
                <w:szCs w:val="21"/>
              </w:rPr>
              <w:t>34</w:t>
            </w:r>
            <w:r w:rsidRPr="00D644D5">
              <w:rPr>
                <w:rStyle w:val="Superscript"/>
                <w:szCs w:val="18"/>
              </w:rPr>
              <w:t>th</w:t>
            </w:r>
            <w:r w:rsidRPr="00D644D5">
              <w:rPr>
                <w:szCs w:val="18"/>
              </w:rPr>
              <w:t xml:space="preserve"> IGC participants in terms of capabilities for BAU activities?</w:t>
            </w:r>
          </w:p>
          <w:p w:rsidR="00C93401" w:rsidRPr="00D644D5" w:rsidRDefault="00C93401" w:rsidP="009C49B6">
            <w:pPr>
              <w:pStyle w:val="Tabletextleft"/>
              <w:rPr>
                <w:szCs w:val="18"/>
              </w:rPr>
            </w:pPr>
            <w:r w:rsidRPr="00D644D5">
              <w:rPr>
                <w:szCs w:val="18"/>
              </w:rPr>
              <w:t>What are the long-term impacts on BAU capabilities and job satisfaction?</w:t>
            </w:r>
          </w:p>
        </w:tc>
        <w:tc>
          <w:tcPr>
            <w:tcW w:w="725"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Medium</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Mid</w:t>
            </w:r>
          </w:p>
        </w:tc>
      </w:tr>
      <w:tr w:rsidR="00C93401" w:rsidRPr="00B46D7B"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val="restart"/>
          </w:tcPr>
          <w:p w:rsidR="00C93401" w:rsidRPr="00D644D5" w:rsidRDefault="00C93401" w:rsidP="009C49B6">
            <w:pPr>
              <w:pStyle w:val="Tabletextleft"/>
            </w:pPr>
            <w:r w:rsidRPr="00D644D5">
              <w:t>Future Conferences</w:t>
            </w:r>
          </w:p>
        </w:tc>
        <w:tc>
          <w:tcPr>
            <w:tcW w:w="1140"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Pre- and post- conference ‘mini’ sessions</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Dissemination of GA employee presentations to non-conference attendees within GA</w:t>
            </w:r>
          </w:p>
        </w:tc>
        <w:tc>
          <w:tcPr>
            <w:tcW w:w="725"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Low/Medium</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Ongoing</w:t>
            </w:r>
          </w:p>
        </w:tc>
      </w:tr>
      <w:tr w:rsidR="00C93401" w:rsidRPr="00B46D7B"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tcPr>
          <w:p w:rsidR="00C93401" w:rsidRPr="00D644D5" w:rsidRDefault="00C93401" w:rsidP="009C49B6">
            <w:pPr>
              <w:pStyle w:val="Tabletextleft"/>
            </w:pPr>
          </w:p>
        </w:tc>
        <w:tc>
          <w:tcPr>
            <w:tcW w:w="1140"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External visitors to GA</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Formal processes for documentation and dissemination of information e.g. Intranet table for visitors</w:t>
            </w:r>
          </w:p>
        </w:tc>
        <w:tc>
          <w:tcPr>
            <w:tcW w:w="725"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Low/Medium</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Ongoing</w:t>
            </w:r>
          </w:p>
        </w:tc>
      </w:tr>
      <w:tr w:rsidR="00C93401" w:rsidRPr="00B46D7B"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tcPr>
          <w:p w:rsidR="00C93401" w:rsidRPr="00D644D5" w:rsidRDefault="00C93401" w:rsidP="009C49B6">
            <w:pPr>
              <w:pStyle w:val="Tabletextleft"/>
            </w:pPr>
          </w:p>
        </w:tc>
        <w:tc>
          <w:tcPr>
            <w:tcW w:w="1140"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Formal GA involvement</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Initial proposal / project document to have clear outlines of outcomes against which the activity can be judged</w:t>
            </w:r>
          </w:p>
        </w:tc>
        <w:tc>
          <w:tcPr>
            <w:tcW w:w="725"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Medium</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Long</w:t>
            </w:r>
          </w:p>
        </w:tc>
      </w:tr>
      <w:tr w:rsidR="00C93401" w:rsidRPr="00B46D7B"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val="restart"/>
          </w:tcPr>
          <w:p w:rsidR="00C93401" w:rsidRPr="00D644D5" w:rsidRDefault="00C93401" w:rsidP="009C49B6">
            <w:pPr>
              <w:pStyle w:val="Tabletextleft"/>
            </w:pPr>
            <w:r>
              <w:br w:type="page"/>
            </w:r>
            <w:r w:rsidRPr="00D644D5">
              <w:t>Organisational Processes</w:t>
            </w:r>
          </w:p>
        </w:tc>
        <w:tc>
          <w:tcPr>
            <w:tcW w:w="1139"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Formal recording of information from Overseas Report – used in L&amp;D assessment. </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International conferences are recorded via Overseas Report. This information should be collated and examined for assessment of L&amp;D value</w:t>
            </w:r>
          </w:p>
        </w:tc>
        <w:tc>
          <w:tcPr>
            <w:tcW w:w="725"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Low/Medium</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Medium/Long</w:t>
            </w:r>
          </w:p>
        </w:tc>
      </w:tr>
      <w:tr w:rsidR="00C93401" w:rsidRPr="00B46D7B"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tcPr>
          <w:p w:rsidR="00C93401" w:rsidRPr="00BF1093" w:rsidRDefault="00C93401" w:rsidP="009C49B6">
            <w:pPr>
              <w:pStyle w:val="Tabletextleft"/>
            </w:pPr>
          </w:p>
        </w:tc>
        <w:tc>
          <w:tcPr>
            <w:tcW w:w="1139"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Some form of reporting for domestic conferences</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Currently no formal recording of attendance at domestic conference, aligned with Overseas Report.</w:t>
            </w:r>
          </w:p>
        </w:tc>
        <w:tc>
          <w:tcPr>
            <w:tcW w:w="725"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Medium</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Medium/Long</w:t>
            </w:r>
          </w:p>
        </w:tc>
      </w:tr>
      <w:tr w:rsidR="00C93401" w:rsidRPr="00B46D7B"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tcPr>
          <w:p w:rsidR="00C93401" w:rsidRPr="00BF1093" w:rsidRDefault="00C93401" w:rsidP="009C49B6">
            <w:pPr>
              <w:pStyle w:val="Tabletextleft"/>
            </w:pPr>
          </w:p>
        </w:tc>
        <w:tc>
          <w:tcPr>
            <w:tcW w:w="1139"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Possible use of the ‘purpose’ field in Travel Allowance Form for L&amp;D</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Do GA employees complete L&amp;D forms for all L&amp;D activities?</w:t>
            </w:r>
          </w:p>
          <w:p w:rsidR="00C93401" w:rsidRPr="00D644D5" w:rsidRDefault="00C93401" w:rsidP="009C49B6">
            <w:pPr>
              <w:pStyle w:val="Tabletextleft"/>
              <w:rPr>
                <w:szCs w:val="18"/>
              </w:rPr>
            </w:pPr>
            <w:r w:rsidRPr="00D644D5">
              <w:rPr>
                <w:szCs w:val="18"/>
              </w:rPr>
              <w:t>Could the ‘purpose’ field in the Travel Allowance form be used to capture information? Alternatively, could L&amp;D form completion become a mandatory requirement prior to the authorisation of Travel Allowance?</w:t>
            </w:r>
          </w:p>
        </w:tc>
        <w:tc>
          <w:tcPr>
            <w:tcW w:w="725"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Low</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Short/Medium/Long</w:t>
            </w:r>
          </w:p>
        </w:tc>
      </w:tr>
      <w:tr w:rsidR="00C93401" w:rsidRPr="00B46D7B" w:rsidTr="00A56269">
        <w:trPr>
          <w:cnfStyle w:val="000000100000" w:firstRow="0" w:lastRow="0" w:firstColumn="0" w:lastColumn="0" w:oddVBand="0" w:evenVBand="0" w:oddHBand="1" w:evenHBand="0"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tcPr>
          <w:p w:rsidR="00C93401" w:rsidRPr="00BF1093" w:rsidRDefault="00C93401" w:rsidP="009C49B6">
            <w:pPr>
              <w:pStyle w:val="Tabletextleft"/>
            </w:pPr>
          </w:p>
        </w:tc>
        <w:tc>
          <w:tcPr>
            <w:tcW w:w="1139"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Similar process of value assessment of external L&amp;D programs as used for internal</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Currently no processes for the evaluation of conference attendance. Could conferences be evaluated in terms of their L&amp;D contribution?</w:t>
            </w:r>
          </w:p>
        </w:tc>
        <w:tc>
          <w:tcPr>
            <w:tcW w:w="725" w:type="pct"/>
          </w:tcPr>
          <w:p w:rsidR="00C93401" w:rsidRPr="00D644D5" w:rsidRDefault="00C93401" w:rsidP="009C49B6">
            <w:pPr>
              <w:pStyle w:val="Tabletextleft"/>
              <w:cnfStyle w:val="000000100000" w:firstRow="0" w:lastRow="0" w:firstColumn="0" w:lastColumn="0" w:oddVBand="0" w:evenVBand="0" w:oddHBand="1" w:evenHBand="0" w:firstRowFirstColumn="0" w:firstRowLastColumn="0" w:lastRowFirstColumn="0" w:lastRowLastColumn="0"/>
              <w:rPr>
                <w:szCs w:val="18"/>
              </w:rPr>
            </w:pPr>
            <w:r w:rsidRPr="00D644D5">
              <w:rPr>
                <w:szCs w:val="18"/>
              </w:rPr>
              <w:t>Medium/High</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Medium/Long</w:t>
            </w:r>
          </w:p>
        </w:tc>
      </w:tr>
      <w:tr w:rsidR="00C93401" w:rsidRPr="00B46D7B" w:rsidTr="00A56269">
        <w:trPr>
          <w:cnfStyle w:val="000000010000" w:firstRow="0" w:lastRow="0" w:firstColumn="0" w:lastColumn="0" w:oddVBand="0" w:evenVBand="0" w:oddHBand="0" w:evenHBand="1" w:firstRowFirstColumn="0" w:firstRowLastColumn="0" w:lastRowFirstColumn="0" w:lastRowLastColumn="0"/>
          <w:cantSplit/>
        </w:trPr>
        <w:tc>
          <w:tcPr>
            <w:cnfStyle w:val="000010000000" w:firstRow="0" w:lastRow="0" w:firstColumn="0" w:lastColumn="0" w:oddVBand="1" w:evenVBand="0" w:oddHBand="0" w:evenHBand="0" w:firstRowFirstColumn="0" w:firstRowLastColumn="0" w:lastRowFirstColumn="0" w:lastRowLastColumn="0"/>
            <w:tcW w:w="741" w:type="pct"/>
            <w:vMerge/>
          </w:tcPr>
          <w:p w:rsidR="00C93401" w:rsidRPr="00BF1093" w:rsidRDefault="00C93401" w:rsidP="009C49B6">
            <w:pPr>
              <w:pStyle w:val="Tabletextleft"/>
            </w:pPr>
          </w:p>
        </w:tc>
        <w:tc>
          <w:tcPr>
            <w:tcW w:w="1139"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 xml:space="preserve">Formal guidelines / SOP for administering a survey within GA </w:t>
            </w:r>
          </w:p>
        </w:tc>
        <w:tc>
          <w:tcPr>
            <w:cnfStyle w:val="000010000000" w:firstRow="0" w:lastRow="0" w:firstColumn="0" w:lastColumn="0" w:oddVBand="1" w:evenVBand="0" w:oddHBand="0" w:evenHBand="0" w:firstRowFirstColumn="0" w:firstRowLastColumn="0" w:lastRowFirstColumn="0" w:lastRowLastColumn="0"/>
            <w:tcW w:w="1431" w:type="pct"/>
          </w:tcPr>
          <w:p w:rsidR="00C93401" w:rsidRPr="00D644D5" w:rsidRDefault="00C93401" w:rsidP="009C49B6">
            <w:pPr>
              <w:pStyle w:val="Tabletextleft"/>
              <w:rPr>
                <w:szCs w:val="18"/>
              </w:rPr>
            </w:pPr>
            <w:r w:rsidRPr="00D644D5">
              <w:rPr>
                <w:szCs w:val="18"/>
              </w:rPr>
              <w:t>Surveys are an important mechanism for testing the ‘pulse’ of the organisation. There are currently no guidelines or operating procedures for producing a survey within GA. This practice is not managed, is currently administered ad-hoc.</w:t>
            </w:r>
          </w:p>
        </w:tc>
        <w:tc>
          <w:tcPr>
            <w:tcW w:w="725" w:type="pct"/>
          </w:tcPr>
          <w:p w:rsidR="00C93401" w:rsidRPr="00D644D5" w:rsidRDefault="00C93401" w:rsidP="009C49B6">
            <w:pPr>
              <w:pStyle w:val="Tabletextleft"/>
              <w:cnfStyle w:val="000000010000" w:firstRow="0" w:lastRow="0" w:firstColumn="0" w:lastColumn="0" w:oddVBand="0" w:evenVBand="0" w:oddHBand="0" w:evenHBand="1" w:firstRowFirstColumn="0" w:firstRowLastColumn="0" w:lastRowFirstColumn="0" w:lastRowLastColumn="0"/>
              <w:rPr>
                <w:szCs w:val="18"/>
              </w:rPr>
            </w:pPr>
            <w:r w:rsidRPr="00D644D5">
              <w:rPr>
                <w:szCs w:val="18"/>
              </w:rPr>
              <w:t>Medium</w:t>
            </w:r>
          </w:p>
        </w:tc>
        <w:tc>
          <w:tcPr>
            <w:cnfStyle w:val="000010000000" w:firstRow="0" w:lastRow="0" w:firstColumn="0" w:lastColumn="0" w:oddVBand="1" w:evenVBand="0" w:oddHBand="0" w:evenHBand="0" w:firstRowFirstColumn="0" w:firstRowLastColumn="0" w:lastRowFirstColumn="0" w:lastRowLastColumn="0"/>
            <w:tcW w:w="963" w:type="pct"/>
          </w:tcPr>
          <w:p w:rsidR="00C93401" w:rsidRPr="00D644D5" w:rsidRDefault="00C93401" w:rsidP="009C49B6">
            <w:pPr>
              <w:pStyle w:val="Tabletextleft"/>
              <w:rPr>
                <w:szCs w:val="18"/>
              </w:rPr>
            </w:pPr>
            <w:r w:rsidRPr="00D644D5">
              <w:rPr>
                <w:szCs w:val="18"/>
              </w:rPr>
              <w:t>Medium</w:t>
            </w:r>
          </w:p>
        </w:tc>
      </w:tr>
    </w:tbl>
    <w:p w:rsidR="00C93401" w:rsidRPr="00F8757C" w:rsidRDefault="00C93401" w:rsidP="00C93401"/>
    <w:p w:rsidR="00C93401" w:rsidRDefault="00C93401" w:rsidP="00356CC4">
      <w:pPr>
        <w:pStyle w:val="Head1nonumbers"/>
      </w:pPr>
      <w:bookmarkStart w:id="335" w:name="_Toc353282074"/>
      <w:bookmarkStart w:id="336" w:name="_Toc355274292"/>
      <w:bookmarkStart w:id="337" w:name="_Ref337103391"/>
      <w:bookmarkStart w:id="338" w:name="_Ref337113759"/>
      <w:bookmarkStart w:id="339" w:name="_Toc337721617"/>
      <w:r w:rsidRPr="006E1408">
        <w:lastRenderedPageBreak/>
        <w:t>Appendix</w:t>
      </w:r>
      <w:r>
        <w:t xml:space="preserve"> Five: Content Manager and Monitoring Guidelines for the 34</w:t>
      </w:r>
      <w:r w:rsidRPr="00CF07C2">
        <w:rPr>
          <w:rStyle w:val="Superscript"/>
        </w:rPr>
        <w:t>th</w:t>
      </w:r>
      <w:r>
        <w:t xml:space="preserve"> IGC Facebook and Twitter Accounts</w:t>
      </w:r>
      <w:bookmarkEnd w:id="335"/>
      <w:bookmarkEnd w:id="336"/>
    </w:p>
    <w:p w:rsidR="00C93401" w:rsidRDefault="00C93401" w:rsidP="00C93401">
      <w:pPr>
        <w:pStyle w:val="BodyText"/>
      </w:pPr>
      <w:bookmarkStart w:id="340" w:name="_Toc337721590"/>
      <w:bookmarkStart w:id="341" w:name="_Toc339264252"/>
      <w:bookmarkStart w:id="342" w:name="_Toc339267849"/>
      <w:r>
        <w:t>The following information details how the social media pages were managed daily.</w:t>
      </w:r>
    </w:p>
    <w:p w:rsidR="00C93401" w:rsidRPr="00311906" w:rsidRDefault="00C93401" w:rsidP="00296658">
      <w:pPr>
        <w:pStyle w:val="Head2nonumbers"/>
      </w:pPr>
      <w:bookmarkStart w:id="343" w:name="_Toc341273638"/>
      <w:bookmarkStart w:id="344" w:name="_Toc341274423"/>
      <w:bookmarkStart w:id="345" w:name="_Toc353282075"/>
      <w:bookmarkStart w:id="346" w:name="_Toc355274293"/>
      <w:r w:rsidRPr="001C2E73">
        <w:t>Twitter Content Management</w:t>
      </w:r>
      <w:bookmarkEnd w:id="340"/>
      <w:bookmarkEnd w:id="341"/>
      <w:bookmarkEnd w:id="342"/>
      <w:bookmarkEnd w:id="343"/>
      <w:bookmarkEnd w:id="344"/>
      <w:bookmarkEnd w:id="345"/>
      <w:bookmarkEnd w:id="346"/>
    </w:p>
    <w:p w:rsidR="00C93401" w:rsidRPr="0017044E" w:rsidRDefault="00C93401" w:rsidP="00C93401">
      <w:pPr>
        <w:pStyle w:val="BodyText"/>
      </w:pPr>
      <w:r w:rsidRPr="0017044E">
        <w:t>The content on Twitter was restricted by the 140 character limit and was predominantly plain text with shortened links to photos, articles, podcasts or videos.</w:t>
      </w:r>
    </w:p>
    <w:p w:rsidR="00C93401" w:rsidRPr="0017044E" w:rsidRDefault="00C93401" w:rsidP="00C93401">
      <w:pPr>
        <w:pStyle w:val="BodyText"/>
      </w:pPr>
      <w:r w:rsidRPr="0017044E">
        <w:t>If the Content Manager created an original tweet they were expected to follow these guidelines:</w:t>
      </w:r>
    </w:p>
    <w:p w:rsidR="00C93401" w:rsidRPr="0017044E" w:rsidRDefault="00C93401" w:rsidP="00C93401">
      <w:pPr>
        <w:pStyle w:val="Bulletlevel1"/>
      </w:pPr>
      <w:r w:rsidRPr="0017044E">
        <w:t>The Twitter account should be consistent with the Facebook account, so any original posts on the Facebook account should be shortened and translated into a tweet;</w:t>
      </w:r>
    </w:p>
    <w:p w:rsidR="00C93401" w:rsidRPr="0017044E" w:rsidRDefault="00C93401" w:rsidP="00C93401">
      <w:pPr>
        <w:pStyle w:val="Bulletlevel1"/>
      </w:pPr>
      <w:r w:rsidRPr="0017044E">
        <w:t>Original tweets should be no more than 137 characters long so that it can be retweeted by other Twitter users. When a twitter user retweets, the string ‘RT ’ precedes the original tweet. Thus a tweet any longer than 137 characters cannot be readily retweeted limiting its potential reach;</w:t>
      </w:r>
    </w:p>
    <w:p w:rsidR="00C93401" w:rsidRPr="0017044E" w:rsidRDefault="00C93401" w:rsidP="00C93401">
      <w:pPr>
        <w:pStyle w:val="Bulletlevel1"/>
      </w:pPr>
      <w:r w:rsidRPr="0017044E">
        <w:t>Tweets should include the official hashtag of the 34</w:t>
      </w:r>
      <w:r w:rsidRPr="00CF07C2">
        <w:rPr>
          <w:rStyle w:val="Superscript"/>
        </w:rPr>
        <w:t>th</w:t>
      </w:r>
      <w:r w:rsidRPr="0017044E">
        <w:t xml:space="preserve"> IGC, ‘#34igc’;</w:t>
      </w:r>
    </w:p>
    <w:p w:rsidR="00C93401" w:rsidRPr="0017044E" w:rsidRDefault="00C93401" w:rsidP="00C93401">
      <w:pPr>
        <w:pStyle w:val="Bulletlevel1"/>
      </w:pPr>
      <w:r w:rsidRPr="0017044E">
        <w:t xml:space="preserve">Tweets should be structured as a hook to get followers or potential followers interested and provide a shortened link, using the following web service </w:t>
      </w:r>
      <w:hyperlink r:id="rId85" w:history="1">
        <w:r w:rsidRPr="0017044E">
          <w:rPr>
            <w:rStyle w:val="Hyperlink"/>
          </w:rPr>
          <w:t>ow.ly/url/shorten-url</w:t>
        </w:r>
      </w:hyperlink>
      <w:r w:rsidRPr="0017044E">
        <w:t>, so that readers can find out more</w:t>
      </w:r>
      <w:r w:rsidR="00602511">
        <w:t>;</w:t>
      </w:r>
      <w:r w:rsidRPr="0017044E">
        <w:t xml:space="preserve"> and</w:t>
      </w:r>
      <w:r w:rsidR="00602511">
        <w:t>,</w:t>
      </w:r>
    </w:p>
    <w:p w:rsidR="00C93401" w:rsidRPr="0017044E" w:rsidRDefault="00C93401" w:rsidP="00C93401">
      <w:pPr>
        <w:pStyle w:val="Bulletlevel1"/>
      </w:pPr>
      <w:r w:rsidRPr="0017044E">
        <w:t xml:space="preserve">Any words within the tweet that could be considered keywords or a topic should be preceded by ‘#’, </w:t>
      </w:r>
      <w:r w:rsidRPr="0017044E">
        <w:rPr>
          <w:rStyle w:val="Bodytextitalic"/>
        </w:rPr>
        <w:t>e.g.</w:t>
      </w:r>
      <w:r w:rsidRPr="0017044E">
        <w:t xml:space="preserve"> #geology.</w:t>
      </w:r>
    </w:p>
    <w:p w:rsidR="00C93401" w:rsidRPr="0017044E" w:rsidRDefault="00C93401" w:rsidP="00C93401">
      <w:pPr>
        <w:pStyle w:val="BodyText"/>
      </w:pPr>
      <w:r w:rsidRPr="0017044E">
        <w:t>If the Content Manager was retweeting they were expected to follow these guidelines:</w:t>
      </w:r>
    </w:p>
    <w:p w:rsidR="00C93401" w:rsidRPr="0017044E" w:rsidRDefault="00C93401" w:rsidP="00C93401">
      <w:pPr>
        <w:pStyle w:val="Bulletlevel1"/>
      </w:pPr>
      <w:r w:rsidRPr="0017044E">
        <w:t xml:space="preserve">Retweet anything of interest and relevant to the earth sciences. </w:t>
      </w:r>
    </w:p>
    <w:p w:rsidR="00C93401" w:rsidRPr="0017044E" w:rsidRDefault="00C93401" w:rsidP="00C93401">
      <w:pPr>
        <w:pStyle w:val="Bulletlevel1"/>
      </w:pPr>
      <w:r w:rsidRPr="0017044E">
        <w:t>If there is a link in the original tweet, follow it to see if it works, it is from a reputable source and is not spam</w:t>
      </w:r>
      <w:r w:rsidR="00602511">
        <w:t>;</w:t>
      </w:r>
      <w:r w:rsidRPr="0017044E">
        <w:t xml:space="preserve"> and</w:t>
      </w:r>
      <w:r w:rsidR="00602511">
        <w:t>,</w:t>
      </w:r>
    </w:p>
    <w:p w:rsidR="00C93401" w:rsidRPr="0017044E" w:rsidRDefault="00C93401" w:rsidP="00C93401">
      <w:pPr>
        <w:pStyle w:val="Bulletlevel1"/>
      </w:pPr>
      <w:r w:rsidRPr="0017044E">
        <w:t>Add in the 34</w:t>
      </w:r>
      <w:r w:rsidRPr="00CF07C2">
        <w:rPr>
          <w:rStyle w:val="Superscript"/>
        </w:rPr>
        <w:t>th</w:t>
      </w:r>
      <w:r w:rsidRPr="0017044E">
        <w:t xml:space="preserve"> IGC hashtag ‘#34igc’. If there is no room for this in the original tweet attempt to shorten the original tweet so that it has the same meaning but includes the hashtag. It is not possible to edit tweets using Twitter’s retweet function so the Content Manager is encouraged to use Hootsuite to manage the content of the Twitter account, as this service did have the capability (see Section </w:t>
      </w:r>
      <w:r w:rsidRPr="0017044E">
        <w:fldChar w:fldCharType="begin"/>
      </w:r>
      <w:r w:rsidRPr="0017044E">
        <w:instrText xml:space="preserve"> REF _Ref337103181 \n \h </w:instrText>
      </w:r>
      <w:r>
        <w:instrText xml:space="preserve"> \* MERGEFORMAT </w:instrText>
      </w:r>
      <w:r w:rsidRPr="0017044E">
        <w:fldChar w:fldCharType="separate"/>
      </w:r>
      <w:r w:rsidR="00EB5AC4">
        <w:t>4.4.1.1</w:t>
      </w:r>
      <w:r w:rsidRPr="0017044E">
        <w:fldChar w:fldCharType="end"/>
      </w:r>
      <w:r w:rsidRPr="0017044E">
        <w:t>).</w:t>
      </w:r>
    </w:p>
    <w:p w:rsidR="00C93401" w:rsidRPr="0017044E" w:rsidRDefault="00C93401" w:rsidP="00C93401">
      <w:pPr>
        <w:pStyle w:val="BodyText"/>
      </w:pPr>
      <w:r w:rsidRPr="0017044E">
        <w:t xml:space="preserve">If the Content Manager received a tweet from a follower regarding the </w:t>
      </w:r>
      <w:r w:rsidRPr="0017044E">
        <w:rPr>
          <w:szCs w:val="21"/>
        </w:rPr>
        <w:t>34</w:t>
      </w:r>
      <w:r w:rsidRPr="00CF07C2">
        <w:rPr>
          <w:rStyle w:val="Superscript"/>
        </w:rPr>
        <w:t>th</w:t>
      </w:r>
      <w:r w:rsidRPr="0017044E">
        <w:t xml:space="preserve"> IGC or one of their posts were expected to follow these guidelines:</w:t>
      </w:r>
    </w:p>
    <w:p w:rsidR="00C93401" w:rsidRPr="0017044E" w:rsidRDefault="00C93401" w:rsidP="00C93401">
      <w:pPr>
        <w:pStyle w:val="Bulletlevel1"/>
      </w:pPr>
      <w:r w:rsidRPr="0017044E">
        <w:t>If it is positive respond appropriately in a colloquial, but non-offensive manner. This may involve providing a link to further information or recognition of their inquiry;</w:t>
      </w:r>
    </w:p>
    <w:p w:rsidR="00C93401" w:rsidRPr="0017044E" w:rsidRDefault="00C93401" w:rsidP="00C93401">
      <w:pPr>
        <w:pStyle w:val="Bulletlevel1"/>
      </w:pPr>
      <w:r w:rsidRPr="0017044E">
        <w:t>If their tweet is negative notify supervisors immediately to formulate the most appropriate response</w:t>
      </w:r>
      <w:r w:rsidR="00602511">
        <w:t>;</w:t>
      </w:r>
      <w:r w:rsidRPr="0017044E">
        <w:t xml:space="preserve"> and</w:t>
      </w:r>
      <w:r w:rsidR="00602511">
        <w:t>,</w:t>
      </w:r>
    </w:p>
    <w:p w:rsidR="00C93401" w:rsidRPr="0017044E" w:rsidRDefault="00C93401" w:rsidP="00C93401">
      <w:pPr>
        <w:pStyle w:val="Bulletlevel1"/>
      </w:pPr>
      <w:r w:rsidRPr="0017044E">
        <w:lastRenderedPageBreak/>
        <w:t>To interact and have a conversation with the Twitter user, put a ‘@’ before their username without a space.</w:t>
      </w:r>
    </w:p>
    <w:p w:rsidR="00C93401" w:rsidRPr="001C2E73" w:rsidRDefault="00C93401" w:rsidP="00C93401">
      <w:pPr>
        <w:pStyle w:val="BodyText"/>
      </w:pPr>
      <w:r w:rsidRPr="001C2E73">
        <w:t xml:space="preserve">It was important for tweets to be </w:t>
      </w:r>
      <w:r>
        <w:t>uploaded on Twitter</w:t>
      </w:r>
      <w:r w:rsidRPr="001C2E73">
        <w:t xml:space="preserve"> throughout the day so that the account did not appear to be poorly managed, with tweet and retweets aggregated at one time of the day. This was done</w:t>
      </w:r>
      <w:r w:rsidRPr="000D791F">
        <w:t xml:space="preserve"> </w:t>
      </w:r>
      <w:r w:rsidRPr="001C2E73">
        <w:t>either</w:t>
      </w:r>
      <w:r>
        <w:t xml:space="preserve"> by logging i</w:t>
      </w:r>
      <w:r w:rsidRPr="001C2E73">
        <w:t>n at multiple different t</w:t>
      </w:r>
      <w:r>
        <w:t>imes during the day, or logging into Hootsuite for one session and using</w:t>
      </w:r>
      <w:r w:rsidRPr="001C2E73">
        <w:t xml:space="preserve"> its scheduling capabilities to stag</w:t>
      </w:r>
      <w:r>
        <w:t>g</w:t>
      </w:r>
      <w:r w:rsidRPr="001C2E73">
        <w:t>er tweets and retweets at random times throughout the day</w:t>
      </w:r>
      <w:r>
        <w:t>.</w:t>
      </w:r>
    </w:p>
    <w:p w:rsidR="00C93401" w:rsidRPr="00311906" w:rsidRDefault="00C93401" w:rsidP="00296658">
      <w:pPr>
        <w:pStyle w:val="Head2nonumbers"/>
      </w:pPr>
      <w:bookmarkStart w:id="347" w:name="_Toc337721592"/>
      <w:bookmarkStart w:id="348" w:name="_Toc353282076"/>
      <w:bookmarkStart w:id="349" w:name="_Toc355274294"/>
      <w:r w:rsidRPr="00311906">
        <w:t>Facebook Content Management</w:t>
      </w:r>
      <w:bookmarkEnd w:id="347"/>
      <w:bookmarkEnd w:id="348"/>
      <w:bookmarkEnd w:id="349"/>
    </w:p>
    <w:p w:rsidR="00C93401" w:rsidRPr="0017044E" w:rsidRDefault="00C93401" w:rsidP="00C93401">
      <w:pPr>
        <w:pStyle w:val="BodyText"/>
      </w:pPr>
      <w:r w:rsidRPr="0017044E">
        <w:t>Facebook content was generally plain text of any length with embedded web page links to further content, photographs, movies or audio/visual recordings. The Content Manager was encouraged to post updates or content on the Facebook page only once a day.</w:t>
      </w:r>
    </w:p>
    <w:p w:rsidR="00C93401" w:rsidRPr="0017044E" w:rsidRDefault="00C93401" w:rsidP="00C93401">
      <w:pPr>
        <w:pStyle w:val="BodyText"/>
      </w:pPr>
      <w:r w:rsidRPr="0017044E">
        <w:t>The following simple guidelines were used by the Content Manager when posting on Facebook:</w:t>
      </w:r>
    </w:p>
    <w:p w:rsidR="00C93401" w:rsidRDefault="00C93401" w:rsidP="00C93401">
      <w:pPr>
        <w:pStyle w:val="Bulletlevel1"/>
      </w:pPr>
      <w:r>
        <w:t>One news article/photograph/video should be posted a day with updates on housekeeping and fieldtrips additional to the news story;</w:t>
      </w:r>
    </w:p>
    <w:p w:rsidR="00C93401" w:rsidRDefault="00C93401" w:rsidP="00C93401">
      <w:pPr>
        <w:pStyle w:val="Bulletlevel1"/>
      </w:pPr>
      <w:r w:rsidRPr="006A610A">
        <w:t>Like</w:t>
      </w:r>
      <w:r>
        <w:t xml:space="preserve"> everything that another person posts on the page. This is the easiest way of acknowledging them (photos, links, wall posts). Individual responses are written if someone asks a question to the </w:t>
      </w:r>
      <w:r w:rsidRPr="008D2CA0">
        <w:rPr>
          <w:szCs w:val="21"/>
        </w:rPr>
        <w:t>34</w:t>
      </w:r>
      <w:r w:rsidRPr="00CF07C2">
        <w:rPr>
          <w:rStyle w:val="Superscript"/>
        </w:rPr>
        <w:t>th</w:t>
      </w:r>
      <w:r>
        <w:t xml:space="preserve"> IGC;</w:t>
      </w:r>
    </w:p>
    <w:p w:rsidR="00C93401" w:rsidRDefault="00C93401" w:rsidP="00C93401">
      <w:pPr>
        <w:pStyle w:val="Bulletlevel1"/>
      </w:pPr>
      <w:r>
        <w:t>If someone posts a photo to the page, it is put into the ‘Share your favourite geoscience photos’ album. This is done by saving the photograph to the desktop and uploading it to the album. Captions should be copied over too;</w:t>
      </w:r>
    </w:p>
    <w:p w:rsidR="00C93401" w:rsidRDefault="00C93401" w:rsidP="00C93401">
      <w:pPr>
        <w:pStyle w:val="Bulletlevel1"/>
      </w:pPr>
      <w:r>
        <w:t>Each Friday download the Facebook Insights report;</w:t>
      </w:r>
    </w:p>
    <w:p w:rsidR="00C93401" w:rsidRDefault="00C93401" w:rsidP="00C93401">
      <w:pPr>
        <w:pStyle w:val="Bulletlevel1"/>
      </w:pPr>
      <w:r>
        <w:t>Post two field trip photographs in the focus album each week until fieldtrip registration closes.</w:t>
      </w:r>
    </w:p>
    <w:p w:rsidR="00C93401" w:rsidRPr="00311906" w:rsidRDefault="00C93401" w:rsidP="00296658">
      <w:pPr>
        <w:pStyle w:val="Head2nonumbers"/>
      </w:pPr>
      <w:bookmarkStart w:id="350" w:name="_Toc353282077"/>
      <w:bookmarkStart w:id="351" w:name="_Toc355274295"/>
      <w:r w:rsidRPr="00311906">
        <w:t>Twitter Content Monitoring</w:t>
      </w:r>
      <w:bookmarkEnd w:id="350"/>
      <w:bookmarkEnd w:id="351"/>
    </w:p>
    <w:p w:rsidR="00C93401" w:rsidRPr="0017044E" w:rsidRDefault="00C93401" w:rsidP="00C93401">
      <w:pPr>
        <w:pStyle w:val="BodyText"/>
      </w:pPr>
      <w:r w:rsidRPr="0017044E">
        <w:t>The following information was recorded within the Twitter section of the monitoring report:</w:t>
      </w:r>
    </w:p>
    <w:p w:rsidR="00C93401" w:rsidRPr="0017044E" w:rsidRDefault="00C93401" w:rsidP="00C93401">
      <w:pPr>
        <w:pStyle w:val="Bulletlevel1"/>
      </w:pPr>
      <w:r w:rsidRPr="0017044E">
        <w:t>Number of followers - this was a cumulative measurement, not a measurement of daily new followers;</w:t>
      </w:r>
    </w:p>
    <w:p w:rsidR="00C93401" w:rsidRPr="0017044E" w:rsidRDefault="00C93401" w:rsidP="00C93401">
      <w:pPr>
        <w:pStyle w:val="Bulletlevel1"/>
      </w:pPr>
      <w:r w:rsidRPr="0017044E">
        <w:t>Number of retweets for the preceding day - this number was found by clicking on the ‘@Connect’ tab and then the ‘Interactions’ tab when logged into the 34</w:t>
      </w:r>
      <w:r w:rsidRPr="00CF07C2">
        <w:rPr>
          <w:rStyle w:val="Superscript"/>
        </w:rPr>
        <w:t>th</w:t>
      </w:r>
      <w:r w:rsidRPr="0017044E">
        <w:t xml:space="preserve"> IGC Twitter account or by examining the ‘My tweets, retweeted’ feed in 34</w:t>
      </w:r>
      <w:r w:rsidRPr="00CF07C2">
        <w:rPr>
          <w:rStyle w:val="Superscript"/>
        </w:rPr>
        <w:t>th</w:t>
      </w:r>
      <w:r w:rsidRPr="0017044E">
        <w:t xml:space="preserve"> IGC Hootsuite account</w:t>
      </w:r>
      <w:r w:rsidR="00602511">
        <w:t>;</w:t>
      </w:r>
      <w:r w:rsidRPr="0017044E">
        <w:t xml:space="preserve"> and</w:t>
      </w:r>
      <w:r w:rsidR="00602511">
        <w:t>,</w:t>
      </w:r>
    </w:p>
    <w:p w:rsidR="00C93401" w:rsidRPr="0017044E" w:rsidRDefault="00C93401" w:rsidP="00C93401">
      <w:pPr>
        <w:pStyle w:val="Bulletlevel1"/>
      </w:pPr>
      <w:r w:rsidRPr="0017044E">
        <w:t>Number of mentions for the preceding day - this was found by clicking on the ‘@Connect’ tab and then the ‘Mentions’ tab when logged into the 34</w:t>
      </w:r>
      <w:r w:rsidRPr="00CF07C2">
        <w:rPr>
          <w:rStyle w:val="Superscript"/>
        </w:rPr>
        <w:t>th</w:t>
      </w:r>
      <w:r w:rsidRPr="0017044E">
        <w:t xml:space="preserve"> IGC Twitter account or by examining the ‘Mentions’ feed in the 34</w:t>
      </w:r>
      <w:r w:rsidRPr="00CF07C2">
        <w:rPr>
          <w:rStyle w:val="Superscript"/>
        </w:rPr>
        <w:t>th</w:t>
      </w:r>
      <w:r w:rsidRPr="0017044E">
        <w:t xml:space="preserve"> IGC Hootsuite account.</w:t>
      </w:r>
    </w:p>
    <w:p w:rsidR="00C93401" w:rsidRDefault="00296658" w:rsidP="00EF6B0B">
      <w:pPr>
        <w:pStyle w:val="Figuresandimagescentred"/>
      </w:pPr>
      <w:r>
        <w:rPr>
          <w:noProof/>
        </w:rPr>
        <w:lastRenderedPageBreak/>
        <w:drawing>
          <wp:inline distT="0" distB="0" distL="0" distR="0" wp14:anchorId="11C1E723" wp14:editId="56CCD40C">
            <wp:extent cx="4914900" cy="3629025"/>
            <wp:effectExtent l="19050" t="19050" r="0" b="9525"/>
            <wp:docPr id="39" name="Picture 39" descr="The @34thIGC page showing 6 interactions with other u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e @34thIGC page showing 6 interactions with other user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14900" cy="3629025"/>
                    </a:xfrm>
                    <a:prstGeom prst="rect">
                      <a:avLst/>
                    </a:prstGeom>
                    <a:noFill/>
                    <a:ln w="6350" cmpd="sng">
                      <a:solidFill>
                        <a:srgbClr val="000000"/>
                      </a:solidFill>
                      <a:miter lim="800000"/>
                      <a:headEnd/>
                      <a:tailEnd/>
                    </a:ln>
                    <a:effectLst/>
                  </pic:spPr>
                </pic:pic>
              </a:graphicData>
            </a:graphic>
          </wp:inline>
        </w:drawing>
      </w:r>
    </w:p>
    <w:p w:rsidR="00C93401" w:rsidRPr="001E386E" w:rsidRDefault="00C93401" w:rsidP="00C93401">
      <w:pPr>
        <w:pStyle w:val="Caption"/>
      </w:pPr>
      <w:r w:rsidRPr="005443B0">
        <w:t xml:space="preserve">Screenshot of the Twitter page. Red box </w:t>
      </w:r>
      <w:r>
        <w:t>(</w:t>
      </w:r>
      <w:r w:rsidRPr="005443B0">
        <w:t xml:space="preserve">1) shows the location of the '@ Connect' tab; red box </w:t>
      </w:r>
      <w:r>
        <w:t>(</w:t>
      </w:r>
      <w:r w:rsidRPr="005443B0">
        <w:t>2) show the location of the 'Interactions' tab; and red box</w:t>
      </w:r>
      <w:r>
        <w:rPr>
          <w:noProof/>
        </w:rPr>
        <w:t xml:space="preserve"> (</w:t>
      </w:r>
      <w:r w:rsidRPr="005443B0">
        <w:rPr>
          <w:noProof/>
        </w:rPr>
        <w:t>3) shows the location of the '</w:t>
      </w:r>
      <w:r>
        <w:rPr>
          <w:noProof/>
        </w:rPr>
        <w:t>M</w:t>
      </w:r>
      <w:r w:rsidRPr="005443B0">
        <w:rPr>
          <w:noProof/>
        </w:rPr>
        <w:t>entions' tab.</w:t>
      </w:r>
    </w:p>
    <w:p w:rsidR="00C93401" w:rsidRPr="00311906" w:rsidRDefault="00C93401" w:rsidP="00296658">
      <w:pPr>
        <w:pStyle w:val="Head2nonumbers"/>
      </w:pPr>
      <w:bookmarkStart w:id="352" w:name="_Toc337721595"/>
      <w:bookmarkStart w:id="353" w:name="_Toc353282078"/>
      <w:bookmarkStart w:id="354" w:name="_Toc355274296"/>
      <w:r w:rsidRPr="00311906">
        <w:t>Facebook Content Monitoring</w:t>
      </w:r>
      <w:bookmarkEnd w:id="352"/>
      <w:bookmarkEnd w:id="353"/>
      <w:bookmarkEnd w:id="354"/>
    </w:p>
    <w:p w:rsidR="00C93401" w:rsidRPr="0017044E" w:rsidRDefault="00C93401" w:rsidP="00C93401">
      <w:pPr>
        <w:pStyle w:val="BodyText"/>
      </w:pPr>
      <w:r w:rsidRPr="0017044E">
        <w:t>The following information was recorded within the monitoring report (</w:t>
      </w:r>
      <w:r w:rsidRPr="0017044E">
        <w:fldChar w:fldCharType="begin"/>
      </w:r>
      <w:r w:rsidRPr="0017044E">
        <w:instrText xml:space="preserve"> REF _Ref338168187 \h  \* MERGEFORMAT </w:instrText>
      </w:r>
      <w:r w:rsidRPr="0017044E">
        <w:fldChar w:fldCharType="separate"/>
      </w:r>
      <w:r w:rsidR="000457BD" w:rsidRPr="000457BD">
        <w:t>Table 4.2</w:t>
      </w:r>
      <w:r w:rsidRPr="0017044E">
        <w:fldChar w:fldCharType="end"/>
      </w:r>
      <w:r>
        <w:t>):</w:t>
      </w:r>
    </w:p>
    <w:p w:rsidR="00C93401" w:rsidRPr="0017044E" w:rsidRDefault="00C93401" w:rsidP="00C93401">
      <w:pPr>
        <w:pStyle w:val="Bulletlevel1"/>
      </w:pPr>
      <w:r w:rsidRPr="0017044E">
        <w:t>Likes of page – new number of page likes counted for each day, found in the ‘New Likes’ panel;</w:t>
      </w:r>
    </w:p>
    <w:p w:rsidR="00C93401" w:rsidRPr="0017044E" w:rsidRDefault="00C93401" w:rsidP="00C93401">
      <w:pPr>
        <w:pStyle w:val="Bulletlevel1"/>
      </w:pPr>
      <w:r w:rsidRPr="0017044E">
        <w:t>Number of wall posts by us – new wall posts posted by the Content Manager, found in the ‘Insights’ tabunder ‘page posts’;</w:t>
      </w:r>
    </w:p>
    <w:p w:rsidR="00C93401" w:rsidRPr="0017044E" w:rsidRDefault="00C93401" w:rsidP="00C93401">
      <w:pPr>
        <w:pStyle w:val="Bulletlevel1"/>
      </w:pPr>
      <w:r w:rsidRPr="0017044E">
        <w:t>Number of wall posts by fans – unique wall posts by fans of the 34</w:t>
      </w:r>
      <w:r w:rsidRPr="00CF07C2">
        <w:rPr>
          <w:rStyle w:val="Superscript"/>
        </w:rPr>
        <w:t>th</w:t>
      </w:r>
      <w:r w:rsidRPr="0017044E">
        <w:t xml:space="preserve"> IGC Facebook page, found in the ‘Notifications’ tab;</w:t>
      </w:r>
    </w:p>
    <w:p w:rsidR="00C93401" w:rsidRPr="0017044E" w:rsidRDefault="00C93401" w:rsidP="00C93401">
      <w:pPr>
        <w:pStyle w:val="Bulletlevel1"/>
      </w:pPr>
      <w:r w:rsidRPr="0017044E">
        <w:t xml:space="preserve">Likes of wall posts – new likes of wall posts, found in the ‘Notifications’ tab </w:t>
      </w:r>
    </w:p>
    <w:p w:rsidR="00C93401" w:rsidRPr="0017044E" w:rsidRDefault="00C93401" w:rsidP="00C93401">
      <w:pPr>
        <w:pStyle w:val="Bulletlevel1"/>
      </w:pPr>
      <w:r w:rsidRPr="0017044E">
        <w:t>Number of shares by fans – count of shares by fans, found under each story on the page wall</w:t>
      </w:r>
      <w:r w:rsidR="00602511">
        <w:t>;</w:t>
      </w:r>
      <w:r w:rsidRPr="0017044E">
        <w:t xml:space="preserve"> and</w:t>
      </w:r>
      <w:r w:rsidR="00602511">
        <w:t>,</w:t>
      </w:r>
    </w:p>
    <w:p w:rsidR="00C93401" w:rsidRPr="0017044E" w:rsidRDefault="00C93401" w:rsidP="00C93401">
      <w:pPr>
        <w:pStyle w:val="Bulletlevel1"/>
      </w:pPr>
      <w:r w:rsidRPr="0017044E">
        <w:t>Number of shares by us – shares by 34</w:t>
      </w:r>
      <w:r w:rsidRPr="00CF07C2">
        <w:rPr>
          <w:rStyle w:val="Superscript"/>
        </w:rPr>
        <w:t>th</w:t>
      </w:r>
      <w:r w:rsidRPr="0017044E">
        <w:t xml:space="preserve"> IGC of other Facebook content with our fans.</w:t>
      </w:r>
    </w:p>
    <w:p w:rsidR="00C93401" w:rsidRDefault="00296658" w:rsidP="00EF6B0B">
      <w:pPr>
        <w:pStyle w:val="Figuresandimagescentred"/>
      </w:pPr>
      <w:r>
        <w:rPr>
          <w:noProof/>
        </w:rPr>
        <w:lastRenderedPageBreak/>
        <w:drawing>
          <wp:inline distT="0" distB="0" distL="0" distR="0" wp14:anchorId="0AEFC241" wp14:editId="2AFBEEB0">
            <wp:extent cx="5276850" cy="4210050"/>
            <wp:effectExtent l="0" t="0" r="0" b="0"/>
            <wp:docPr id="40" name="Picture 40" descr="The 34thIGC Facebook Admin screen showing 2 new notifications, 4 new likes, and an insights line diagram indicating a downward trend in reach and talking about this met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e 34thIGC Facebook Admin screen showing 2 new notifications, 4 new likes, and an insights line diagram indicating a downward trend in reach and talking about this metrics."/>
                    <pic:cNvPicPr>
                      <a:picLocks noChangeAspect="1" noChangeArrowheads="1"/>
                    </pic:cNvPicPr>
                  </pic:nvPicPr>
                  <pic:blipFill>
                    <a:blip r:embed="rId87">
                      <a:extLst>
                        <a:ext uri="{28A0092B-C50C-407E-A947-70E740481C1C}">
                          <a14:useLocalDpi xmlns:a14="http://schemas.microsoft.com/office/drawing/2010/main" val="0"/>
                        </a:ext>
                      </a:extLst>
                    </a:blip>
                    <a:srcRect b="6177"/>
                    <a:stretch>
                      <a:fillRect/>
                    </a:stretch>
                  </pic:blipFill>
                  <pic:spPr bwMode="auto">
                    <a:xfrm>
                      <a:off x="0" y="0"/>
                      <a:ext cx="5276850" cy="4210050"/>
                    </a:xfrm>
                    <a:prstGeom prst="rect">
                      <a:avLst/>
                    </a:prstGeom>
                    <a:noFill/>
                    <a:ln>
                      <a:noFill/>
                    </a:ln>
                  </pic:spPr>
                </pic:pic>
              </a:graphicData>
            </a:graphic>
          </wp:inline>
        </w:drawing>
      </w:r>
    </w:p>
    <w:p w:rsidR="00F153A6" w:rsidRPr="00F153A6" w:rsidRDefault="00C93401" w:rsidP="00007801">
      <w:pPr>
        <w:pStyle w:val="Caption"/>
        <w:rPr>
          <w:lang w:val="x-none" w:eastAsia="x-none"/>
        </w:rPr>
      </w:pPr>
      <w:r w:rsidRPr="00D27C1C">
        <w:t>Screenshot of the Facebook page. Red box (1) shows the location of the ‘Notifications’ tab; red box (2) shows the location of the ‘New Likes’ tab; red box (3) shows the location of the ‘Insights’ tab.</w:t>
      </w:r>
      <w:bookmarkStart w:id="355" w:name="END_PAGE"/>
      <w:bookmarkEnd w:id="207"/>
      <w:bookmarkEnd w:id="337"/>
      <w:bookmarkEnd w:id="338"/>
      <w:bookmarkEnd w:id="339"/>
      <w:bookmarkEnd w:id="355"/>
    </w:p>
    <w:sectPr w:rsidR="00F153A6" w:rsidRPr="00F153A6" w:rsidSect="002507CC">
      <w:pgSz w:w="11907" w:h="16840" w:code="9"/>
      <w:pgMar w:top="1985" w:right="1418" w:bottom="1418" w:left="1418" w:header="720" w:footer="397" w:gutter="0"/>
      <w:pgNumType w:start="1"/>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7801" w:rsidRDefault="00007801">
      <w:r>
        <w:separator/>
      </w:r>
    </w:p>
  </w:endnote>
  <w:endnote w:type="continuationSeparator" w:id="0">
    <w:p w:rsidR="00007801" w:rsidRDefault="000078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Arial Bold">
    <w:panose1 w:val="00000000000000000000"/>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1839307"/>
      <w:docPartObj>
        <w:docPartGallery w:val="Page Numbers (Bottom of Page)"/>
        <w:docPartUnique/>
      </w:docPartObj>
    </w:sdtPr>
    <w:sdtEndPr>
      <w:rPr>
        <w:rStyle w:val="PageNumber"/>
        <w:b w:val="0"/>
      </w:rPr>
    </w:sdtEndPr>
    <w:sdtContent>
      <w:p w:rsidR="00007801" w:rsidRPr="00AD0DF8" w:rsidRDefault="00007801">
        <w:pPr>
          <w:pStyle w:val="Footer"/>
          <w:rPr>
            <w:b w:val="0"/>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9376C8">
          <w:rPr>
            <w:rStyle w:val="PageNumber"/>
            <w:noProof/>
          </w:rPr>
          <w:t>82</w:t>
        </w:r>
        <w:r w:rsidRPr="000B1669">
          <w:rPr>
            <w:rStyle w:val="PageNumber"/>
          </w:rPr>
          <w:fldChar w:fldCharType="end"/>
        </w:r>
        <w:r>
          <w:rPr>
            <w:rStyle w:val="PageNumber"/>
          </w:rPr>
          <w:tab/>
        </w:r>
        <w:r w:rsidRPr="008A1413">
          <w:t>An Assessment of the Impact of the 34</w:t>
        </w:r>
        <w:r w:rsidRPr="008A1413">
          <w:rPr>
            <w:vertAlign w:val="superscript"/>
          </w:rPr>
          <w:t>th</w:t>
        </w:r>
        <w:r w:rsidRPr="008A1413">
          <w:t xml:space="preserve"> International Geological Congress (IGC) on Australia</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5512423"/>
      <w:docPartObj>
        <w:docPartGallery w:val="Page Numbers (Bottom of Page)"/>
        <w:docPartUnique/>
      </w:docPartObj>
    </w:sdtPr>
    <w:sdtEndPr>
      <w:rPr>
        <w:noProof/>
      </w:rPr>
    </w:sdtEndPr>
    <w:sdtContent>
      <w:p w:rsidR="00007801" w:rsidRPr="009D1D60" w:rsidRDefault="00007801" w:rsidP="009D1D60">
        <w:pPr>
          <w:pStyle w:val="Footer"/>
        </w:pPr>
        <w:r w:rsidRPr="008A1413">
          <w:t>An Assessment of the Impact of the 34</w:t>
        </w:r>
        <w:r w:rsidRPr="008A1413">
          <w:rPr>
            <w:vertAlign w:val="superscript"/>
          </w:rPr>
          <w:t>th</w:t>
        </w:r>
        <w:r w:rsidRPr="008A1413">
          <w:t xml:space="preserve"> International Geological Congress (IGC) on Australia</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9376C8">
          <w:rPr>
            <w:rStyle w:val="PageNumber"/>
            <w:noProof/>
          </w:rPr>
          <w:t>83</w:t>
        </w:r>
        <w:r w:rsidRPr="008E7CDC">
          <w:rPr>
            <w:rStyle w:val="PageNumber"/>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7801" w:rsidRDefault="00007801">
      <w:r>
        <w:separator/>
      </w:r>
    </w:p>
  </w:footnote>
  <w:footnote w:type="continuationSeparator" w:id="0">
    <w:p w:rsidR="00007801" w:rsidRDefault="0000780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3B0BD8"/>
    <w:multiLevelType w:val="multilevel"/>
    <w:tmpl w:val="7C369B30"/>
    <w:styleLink w:val="Bulletnew"/>
    <w:lvl w:ilvl="0">
      <w:start w:val="1"/>
      <w:numFmt w:val="upperLetter"/>
      <w:lvlText w:val="%1)"/>
      <w:lvlJc w:val="left"/>
      <w:pPr>
        <w:ind w:left="72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2">
    <w:nsid w:val="01C80A0C"/>
    <w:multiLevelType w:val="multilevel"/>
    <w:tmpl w:val="49E65A48"/>
    <w:lvl w:ilvl="0">
      <w:start w:val="1"/>
      <w:numFmt w:val="bullet"/>
      <w:pStyle w:val="Bulletlevel1"/>
      <w:lvlText w:val=""/>
      <w:lvlJc w:val="left"/>
      <w:pPr>
        <w:tabs>
          <w:tab w:val="num" w:pos="567"/>
        </w:tabs>
        <w:ind w:left="567" w:hanging="283"/>
      </w:pPr>
      <w:rPr>
        <w:rFonts w:ascii="Symbol" w:hAnsi="Symbol" w:hint="default"/>
        <w:color w:val="auto"/>
      </w:rPr>
    </w:lvl>
    <w:lvl w:ilvl="1">
      <w:start w:val="1"/>
      <w:numFmt w:val="bullet"/>
      <w:pStyle w:val="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3">
    <w:nsid w:val="0207720D"/>
    <w:multiLevelType w:val="multilevel"/>
    <w:tmpl w:val="7C123498"/>
    <w:lvl w:ilvl="0">
      <w:start w:val="1"/>
      <w:numFmt w:val="decimal"/>
      <w:pStyle w:val="Bulletlevel1numbered"/>
      <w:lvlText w:val="%1."/>
      <w:lvlJc w:val="left"/>
      <w:pPr>
        <w:tabs>
          <w:tab w:val="num" w:pos="709"/>
        </w:tabs>
        <w:ind w:left="709" w:hanging="425"/>
      </w:pPr>
      <w:rPr>
        <w:rFonts w:hint="default"/>
      </w:rPr>
    </w:lvl>
    <w:lvl w:ilvl="1">
      <w:start w:val="1"/>
      <w:numFmt w:val="lowerLetter"/>
      <w:pStyle w:val="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4">
    <w:nsid w:val="06C30F69"/>
    <w:multiLevelType w:val="multilevel"/>
    <w:tmpl w:val="4E30F72C"/>
    <w:styleLink w:val="BulletsNumbered"/>
    <w:lvl w:ilvl="0">
      <w:start w:val="1"/>
      <w:numFmt w:val="decimal"/>
      <w:lvlText w:val="%1."/>
      <w:lvlJc w:val="left"/>
      <w:pPr>
        <w:tabs>
          <w:tab w:val="num" w:pos="709"/>
        </w:tabs>
        <w:ind w:left="709" w:hanging="425"/>
      </w:pPr>
      <w:rPr>
        <w:rFonts w:hint="default"/>
      </w:rPr>
    </w:lvl>
    <w:lvl w:ilvl="1">
      <w:start w:val="1"/>
      <w:numFmt w:val="decimal"/>
      <w:lvlText w:val="%1.%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5">
    <w:nsid w:val="0C23474C"/>
    <w:multiLevelType w:val="hybridMultilevel"/>
    <w:tmpl w:val="8A3EE1DE"/>
    <w:lvl w:ilvl="0" w:tplc="82E27D6C">
      <w:start w:val="1"/>
      <w:numFmt w:val="bullet"/>
      <w:pStyle w:val="tablebullet2"/>
      <w:lvlText w:val="○"/>
      <w:lvlJc w:val="left"/>
      <w:pPr>
        <w:ind w:left="530" w:hanging="360"/>
      </w:pPr>
      <w:rPr>
        <w:rFonts w:ascii="Arial" w:hAnsi="Arial" w:hint="default"/>
        <w:color w:val="A6A6A6"/>
        <w:sz w:val="16"/>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nsid w:val="0DB80D11"/>
    <w:multiLevelType w:val="hybridMultilevel"/>
    <w:tmpl w:val="571643E2"/>
    <w:lvl w:ilvl="0" w:tplc="BDF2877E">
      <w:start w:val="1"/>
      <w:numFmt w:val="bullet"/>
      <w:pStyle w:val="bullet2"/>
      <w:lvlText w:val="○"/>
      <w:lvlJc w:val="left"/>
      <w:pPr>
        <w:ind w:left="644" w:hanging="360"/>
      </w:pPr>
      <w:rPr>
        <w:rFonts w:ascii="Arial" w:hAnsi="Arial" w:hint="default"/>
        <w:color w:val="A6A6A6"/>
        <w:sz w:val="16"/>
      </w:rPr>
    </w:lvl>
    <w:lvl w:ilvl="1" w:tplc="0C090019" w:tentative="1">
      <w:start w:val="1"/>
      <w:numFmt w:val="bullet"/>
      <w:lvlText w:val="o"/>
      <w:lvlJc w:val="left"/>
      <w:pPr>
        <w:tabs>
          <w:tab w:val="num" w:pos="1440"/>
        </w:tabs>
        <w:ind w:left="1440" w:hanging="360"/>
      </w:pPr>
      <w:rPr>
        <w:rFonts w:ascii="Courier New" w:hAnsi="Courier New" w:hint="default"/>
      </w:rPr>
    </w:lvl>
    <w:lvl w:ilvl="2" w:tplc="0C09001B" w:tentative="1">
      <w:start w:val="1"/>
      <w:numFmt w:val="bullet"/>
      <w:lvlText w:val=""/>
      <w:lvlJc w:val="left"/>
      <w:pPr>
        <w:tabs>
          <w:tab w:val="num" w:pos="2160"/>
        </w:tabs>
        <w:ind w:left="2160" w:hanging="360"/>
      </w:pPr>
      <w:rPr>
        <w:rFonts w:ascii="Wingdings" w:hAnsi="Wingdings" w:hint="default"/>
      </w:rPr>
    </w:lvl>
    <w:lvl w:ilvl="3" w:tplc="0C09000F" w:tentative="1">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17">
    <w:nsid w:val="1F262D65"/>
    <w:multiLevelType w:val="multilevel"/>
    <w:tmpl w:val="0C090025"/>
    <w:styleLink w:val="1ai"/>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lvlText w:val="%1.%2.%3.%4.%5.%6.%7.%8.%9"/>
      <w:lvlJc w:val="left"/>
      <w:pPr>
        <w:ind w:left="1584" w:hanging="1584"/>
      </w:pPr>
    </w:lvl>
  </w:abstractNum>
  <w:abstractNum w:abstractNumId="18">
    <w:nsid w:val="288A71F2"/>
    <w:multiLevelType w:val="multilevel"/>
    <w:tmpl w:val="57FCD7EE"/>
    <w:styleLink w:val="BulletsG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ADC6267"/>
    <w:multiLevelType w:val="multilevel"/>
    <w:tmpl w:val="0C090025"/>
    <w:numStyleLink w:val="1ai"/>
  </w:abstractNum>
  <w:abstractNum w:abstractNumId="20">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1">
    <w:nsid w:val="449E3173"/>
    <w:multiLevelType w:val="multilevel"/>
    <w:tmpl w:val="3446CB5C"/>
    <w:styleLink w:val="HeadingsNumbered"/>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2">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3">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4">
    <w:nsid w:val="57063EDE"/>
    <w:multiLevelType w:val="multilevel"/>
    <w:tmpl w:val="7452E1FC"/>
    <w:lvl w:ilvl="0">
      <w:start w:val="1"/>
      <w:numFmt w:val="upperLetter"/>
      <w:pStyle w:val="Heading9"/>
      <w:suff w:val="space"/>
      <w:lvlText w:val="Appendix %1."/>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851" w:hanging="851"/>
      </w:pPr>
      <w:rPr>
        <w:rFonts w:hint="default"/>
      </w:rPr>
    </w:lvl>
    <w:lvl w:ilvl="2">
      <w:start w:val="1"/>
      <w:numFmt w:val="decimal"/>
      <w:pStyle w:val="Headingappendix3"/>
      <w:suff w:val="space"/>
      <w:lvlText w:val="%1.%2.%3."/>
      <w:lvlJc w:val="left"/>
      <w:pPr>
        <w:ind w:left="851" w:hanging="851"/>
      </w:pPr>
      <w:rPr>
        <w:rFonts w:hint="default"/>
      </w:rPr>
    </w:lvl>
    <w:lvl w:ilvl="3">
      <w:start w:val="1"/>
      <w:numFmt w:val="decimal"/>
      <w:pStyle w:val="Headingappendix4"/>
      <w:suff w:val="space"/>
      <w:lvlText w:val="%1.%2.%3.%4."/>
      <w:lvlJc w:val="left"/>
      <w:pPr>
        <w:ind w:left="851" w:hanging="851"/>
      </w:pPr>
      <w:rPr>
        <w:rFonts w:hint="default"/>
      </w:rPr>
    </w:lvl>
    <w:lvl w:ilvl="4">
      <w:start w:val="1"/>
      <w:numFmt w:val="decimal"/>
      <w:pStyle w:val="Headingappendix5"/>
      <w:suff w:val="space"/>
      <w:lvlText w:val="%1.%2.%3.%4.%5."/>
      <w:lvlJc w:val="left"/>
      <w:pPr>
        <w:ind w:left="851" w:hanging="851"/>
      </w:pPr>
      <w:rPr>
        <w:rFonts w:hint="default"/>
      </w:rPr>
    </w:lvl>
    <w:lvl w:ilvl="5">
      <w:start w:val="1"/>
      <w:numFmt w:val="decimal"/>
      <w:suff w:val="space"/>
      <w:lvlText w:val="%1.%2.%3.%4.%5.%6."/>
      <w:lvlJc w:val="left"/>
      <w:pPr>
        <w:ind w:left="851" w:hanging="851"/>
      </w:pPr>
      <w:rPr>
        <w:rFonts w:hint="default"/>
      </w:rPr>
    </w:lvl>
    <w:lvl w:ilvl="6">
      <w:start w:val="1"/>
      <w:numFmt w:val="decimal"/>
      <w:suff w:val="space"/>
      <w:lvlText w:val="%1.%2.%3.%4.%5.%6.%7."/>
      <w:lvlJc w:val="left"/>
      <w:pPr>
        <w:ind w:left="851" w:hanging="851"/>
      </w:pPr>
      <w:rPr>
        <w:rFonts w:hint="default"/>
      </w:rPr>
    </w:lvl>
    <w:lvl w:ilvl="7">
      <w:start w:val="1"/>
      <w:numFmt w:val="decimal"/>
      <w:suff w:val="space"/>
      <w:lvlText w:val="%1.%2.%3.%4.%5.%6.%7.%8."/>
      <w:lvlJc w:val="left"/>
      <w:pPr>
        <w:ind w:left="851" w:hanging="851"/>
      </w:pPr>
      <w:rPr>
        <w:rFonts w:hint="default"/>
      </w:rPr>
    </w:lvl>
    <w:lvl w:ilvl="8">
      <w:start w:val="1"/>
      <w:numFmt w:val="decimal"/>
      <w:suff w:val="space"/>
      <w:lvlText w:val="%1.%2.%3.%4.%5.%6.%7.%8.%9."/>
      <w:lvlJc w:val="left"/>
      <w:pPr>
        <w:ind w:left="851" w:hanging="851"/>
      </w:pPr>
      <w:rPr>
        <w:rFonts w:hint="default"/>
      </w:rPr>
    </w:lvl>
  </w:abstractNum>
  <w:abstractNum w:abstractNumId="25">
    <w:nsid w:val="57825D78"/>
    <w:multiLevelType w:val="multilevel"/>
    <w:tmpl w:val="80A25BFA"/>
    <w:lvl w:ilvl="0">
      <w:start w:val="1"/>
      <w:numFmt w:val="bullet"/>
      <w:pStyle w:val="bullet1first"/>
      <w:lvlText w:val="●"/>
      <w:lvlJc w:val="left"/>
      <w:pPr>
        <w:ind w:left="360" w:hanging="360"/>
      </w:pPr>
      <w:rPr>
        <w:rFonts w:ascii="Arial" w:hAnsi="Arial" w:hint="default"/>
        <w:color w:val="A6A6A6"/>
        <w:sz w:val="16"/>
      </w:rPr>
    </w:lvl>
    <w:lvl w:ilvl="1">
      <w:start w:val="1"/>
      <w:numFmt w:val="bullet"/>
      <w:lvlText w:val=""/>
      <w:lvlJc w:val="left"/>
      <w:pPr>
        <w:tabs>
          <w:tab w:val="num" w:pos="567"/>
        </w:tabs>
        <w:ind w:left="567" w:hanging="283"/>
      </w:pPr>
      <w:rPr>
        <w:rFonts w:ascii="Wingdings" w:hAnsi="Wingdings" w:hint="default"/>
        <w:color w:val="717074"/>
        <w:sz w:val="16"/>
      </w:rPr>
    </w:lvl>
    <w:lvl w:ilvl="2">
      <w:numFmt w:val="bullet"/>
      <w:lvlText w:val=""/>
      <w:lvlJc w:val="left"/>
      <w:pPr>
        <w:tabs>
          <w:tab w:val="num" w:pos="851"/>
        </w:tabs>
        <w:ind w:left="851" w:hanging="284"/>
      </w:pPr>
      <w:rPr>
        <w:rFonts w:ascii="Wingdings" w:hAnsi="Wingdings" w:hint="default"/>
        <w:color w:val="717074"/>
      </w:rPr>
    </w:lvl>
    <w:lvl w:ilvl="3">
      <w:start w:val="1"/>
      <w:numFmt w:val="bullet"/>
      <w:lvlText w:val=""/>
      <w:lvlJc w:val="left"/>
      <w:pPr>
        <w:tabs>
          <w:tab w:val="num" w:pos="1134"/>
        </w:tabs>
        <w:ind w:left="1134" w:hanging="283"/>
      </w:pPr>
      <w:rPr>
        <w:rFonts w:ascii="Wingdings" w:hAnsi="Wingdings" w:hint="default"/>
        <w:color w:val="717074"/>
        <w:sz w:val="20"/>
      </w:rPr>
    </w:lvl>
    <w:lvl w:ilvl="4">
      <w:start w:val="1"/>
      <w:numFmt w:val="bullet"/>
      <w:lvlText w:val=""/>
      <w:lvlJc w:val="left"/>
      <w:pPr>
        <w:tabs>
          <w:tab w:val="num" w:pos="1418"/>
        </w:tabs>
        <w:ind w:left="1418" w:hanging="284"/>
      </w:pPr>
      <w:rPr>
        <w:rFonts w:ascii="Wingdings" w:hAnsi="Wingdings" w:hint="default"/>
        <w:color w:val="717074"/>
      </w:rPr>
    </w:lvl>
    <w:lvl w:ilvl="5">
      <w:start w:val="1"/>
      <w:numFmt w:val="bullet"/>
      <w:lvlText w:val=""/>
      <w:lvlJc w:val="left"/>
      <w:pPr>
        <w:tabs>
          <w:tab w:val="num" w:pos="1701"/>
        </w:tabs>
        <w:ind w:left="1701" w:hanging="283"/>
      </w:pPr>
      <w:rPr>
        <w:rFonts w:ascii="Wingdings" w:hAnsi="Wingdings" w:hint="default"/>
        <w:color w:val="717074"/>
        <w:sz w:val="20"/>
      </w:rPr>
    </w:lvl>
    <w:lvl w:ilvl="6">
      <w:start w:val="1"/>
      <w:numFmt w:val="bullet"/>
      <w:lvlText w:val=""/>
      <w:lvlJc w:val="left"/>
      <w:pPr>
        <w:tabs>
          <w:tab w:val="num" w:pos="1985"/>
        </w:tabs>
        <w:ind w:left="1985" w:hanging="284"/>
      </w:pPr>
      <w:rPr>
        <w:rFonts w:ascii="Wingdings" w:hAnsi="Wingdings" w:hint="default"/>
        <w:color w:val="717074"/>
        <w:sz w:val="20"/>
      </w:rPr>
    </w:lvl>
    <w:lvl w:ilvl="7">
      <w:start w:val="1"/>
      <w:numFmt w:val="bullet"/>
      <w:lvlText w:val=""/>
      <w:lvlJc w:val="left"/>
      <w:pPr>
        <w:tabs>
          <w:tab w:val="num" w:pos="2268"/>
        </w:tabs>
        <w:ind w:left="2268" w:hanging="283"/>
      </w:pPr>
      <w:rPr>
        <w:rFonts w:ascii="Wingdings" w:hAnsi="Wingdings" w:hint="default"/>
        <w:color w:val="717074"/>
        <w:sz w:val="20"/>
      </w:rPr>
    </w:lvl>
    <w:lvl w:ilvl="8">
      <w:start w:val="1"/>
      <w:numFmt w:val="bullet"/>
      <w:lvlText w:val=""/>
      <w:lvlJc w:val="left"/>
      <w:pPr>
        <w:tabs>
          <w:tab w:val="num" w:pos="2552"/>
        </w:tabs>
        <w:ind w:left="2552" w:hanging="284"/>
      </w:pPr>
      <w:rPr>
        <w:rFonts w:ascii="Wingdings" w:hAnsi="Wingdings" w:hint="default"/>
        <w:color w:val="717074"/>
        <w:sz w:val="20"/>
      </w:rPr>
    </w:lvl>
  </w:abstractNum>
  <w:abstractNum w:abstractNumId="26">
    <w:nsid w:val="57FF2AFF"/>
    <w:multiLevelType w:val="hybridMultilevel"/>
    <w:tmpl w:val="810AFB10"/>
    <w:lvl w:ilvl="0" w:tplc="444EBC3C">
      <w:start w:val="1"/>
      <w:numFmt w:val="bullet"/>
      <w:pStyle w:val="bullet1following"/>
      <w:lvlText w:val="●"/>
      <w:lvlJc w:val="left"/>
      <w:pPr>
        <w:ind w:left="360" w:hanging="360"/>
      </w:pPr>
      <w:rPr>
        <w:rFonts w:ascii="Arial" w:hAnsi="Arial" w:hint="default"/>
        <w:color w:val="A6A6A6"/>
        <w:sz w:val="16"/>
      </w:rPr>
    </w:lvl>
    <w:lvl w:ilvl="1" w:tplc="0C090003">
      <w:start w:val="1"/>
      <w:numFmt w:val="bullet"/>
      <w:lvlText w:val="―"/>
      <w:lvlJc w:val="left"/>
      <w:pPr>
        <w:tabs>
          <w:tab w:val="num" w:pos="1440"/>
        </w:tabs>
        <w:ind w:left="1440" w:hanging="360"/>
      </w:pPr>
      <w:rPr>
        <w:rFonts w:ascii="Times New Roman" w:hAnsi="Times New Roman" w:hint="default"/>
        <w:color w:val="B50737"/>
        <w:sz w:val="16"/>
      </w:rPr>
    </w:lvl>
    <w:lvl w:ilvl="2" w:tplc="0C090005">
      <w:numFmt w:val="bullet"/>
      <w:lvlText w:val="—"/>
      <w:lvlJc w:val="left"/>
      <w:pPr>
        <w:tabs>
          <w:tab w:val="num" w:pos="2160"/>
        </w:tabs>
        <w:ind w:left="2160" w:hanging="360"/>
      </w:pPr>
      <w:rPr>
        <w:rFonts w:ascii="Arial" w:eastAsia="Times New Roman" w:hAnsi="Arial" w:hint="default"/>
        <w:color w:val="000000"/>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7">
    <w:nsid w:val="5D363C1B"/>
    <w:multiLevelType w:val="hybridMultilevel"/>
    <w:tmpl w:val="406C01C8"/>
    <w:lvl w:ilvl="0" w:tplc="C6C64ECA">
      <w:start w:val="1"/>
      <w:numFmt w:val="decimal"/>
      <w:pStyle w:val="Numbered"/>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8">
    <w:nsid w:val="620F2FD3"/>
    <w:multiLevelType w:val="hybridMultilevel"/>
    <w:tmpl w:val="4F2EF888"/>
    <w:lvl w:ilvl="0" w:tplc="29C25D2A">
      <w:start w:val="1"/>
      <w:numFmt w:val="bullet"/>
      <w:pStyle w:val="tablebullet1"/>
      <w:lvlText w:val="●"/>
      <w:lvlJc w:val="left"/>
      <w:pPr>
        <w:ind w:left="360" w:hanging="360"/>
      </w:pPr>
      <w:rPr>
        <w:rFonts w:ascii="Arial" w:hAnsi="Arial" w:hint="default"/>
        <w:color w:val="A6A6A6"/>
        <w:sz w:val="16"/>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26"/>
  </w:num>
  <w:num w:numId="2">
    <w:abstractNumId w:val="25"/>
  </w:num>
  <w:num w:numId="3">
    <w:abstractNumId w:val="16"/>
  </w:num>
  <w:num w:numId="4">
    <w:abstractNumId w:val="28"/>
  </w:num>
  <w:num w:numId="5">
    <w:abstractNumId w:val="15"/>
  </w:num>
  <w:num w:numId="6">
    <w:abstractNumId w:val="27"/>
  </w:num>
  <w:num w:numId="7">
    <w:abstractNumId w:val="27"/>
    <w:lvlOverride w:ilvl="0">
      <w:startOverride w:val="1"/>
    </w:lvlOverride>
  </w:num>
  <w:num w:numId="8">
    <w:abstractNumId w:val="22"/>
  </w:num>
  <w:num w:numId="9">
    <w:abstractNumId w:val="17"/>
  </w:num>
  <w:num w:numId="10">
    <w:abstractNumId w:val="23"/>
  </w:num>
  <w:num w:numId="11">
    <w:abstractNumId w:val="12"/>
  </w:num>
  <w:num w:numId="12">
    <w:abstractNumId w:val="13"/>
  </w:num>
  <w:num w:numId="13">
    <w:abstractNumId w:val="20"/>
  </w:num>
  <w:num w:numId="14">
    <w:abstractNumId w:val="11"/>
  </w:num>
  <w:num w:numId="15">
    <w:abstractNumId w:val="18"/>
  </w:num>
  <w:num w:numId="16">
    <w:abstractNumId w:val="14"/>
  </w:num>
  <w:num w:numId="17">
    <w:abstractNumId w:val="19"/>
    <w:lvlOverride w:ilvl="0">
      <w:lvl w:ilvl="0">
        <w:start w:val="1"/>
        <w:numFmt w:val="decimal"/>
        <w:pStyle w:val="Heading1"/>
        <w:suff w:val="space"/>
        <w:lvlText w:val="%1."/>
        <w:lvlJc w:val="left"/>
        <w:pPr>
          <w:ind w:left="680" w:hanging="680"/>
        </w:pPr>
        <w:rPr>
          <w:rFonts w:hint="default"/>
        </w:rPr>
      </w:lvl>
    </w:lvlOverride>
    <w:lvlOverride w:ilvl="1">
      <w:lvl w:ilvl="1">
        <w:start w:val="1"/>
        <w:numFmt w:val="decimal"/>
        <w:pStyle w:val="Heading2"/>
        <w:suff w:val="space"/>
        <w:lvlText w:val="%1.%2."/>
        <w:lvlJc w:val="left"/>
        <w:pPr>
          <w:ind w:left="680" w:hanging="680"/>
        </w:pPr>
        <w:rPr>
          <w:rFonts w:hint="default"/>
        </w:rPr>
      </w:lvl>
    </w:lvlOverride>
    <w:lvlOverride w:ilvl="2">
      <w:lvl w:ilvl="2">
        <w:start w:val="1"/>
        <w:numFmt w:val="decimal"/>
        <w:pStyle w:val="Heading3"/>
        <w:suff w:val="space"/>
        <w:lvlText w:val="%1.%2.%3."/>
        <w:lvlJc w:val="left"/>
        <w:pPr>
          <w:ind w:left="680" w:hanging="680"/>
        </w:pPr>
        <w:rPr>
          <w:rFonts w:hint="default"/>
        </w:rPr>
      </w:lvl>
    </w:lvlOverride>
    <w:lvlOverride w:ilvl="3">
      <w:lvl w:ilvl="3">
        <w:start w:val="1"/>
        <w:numFmt w:val="decimal"/>
        <w:pStyle w:val="Heading4"/>
        <w:suff w:val="space"/>
        <w:lvlText w:val="%1.%2.%3.%4."/>
        <w:lvlJc w:val="left"/>
        <w:pPr>
          <w:ind w:left="680" w:hanging="680"/>
        </w:pPr>
        <w:rPr>
          <w:rFonts w:hint="default"/>
        </w:rPr>
      </w:lvl>
    </w:lvlOverride>
    <w:lvlOverride w:ilvl="4">
      <w:lvl w:ilvl="4">
        <w:start w:val="1"/>
        <w:numFmt w:val="decimal"/>
        <w:pStyle w:val="Heading5"/>
        <w:suff w:val="space"/>
        <w:lvlText w:val="%1.%2.%3.%4.%5."/>
        <w:lvlJc w:val="left"/>
        <w:pPr>
          <w:ind w:left="680" w:hanging="680"/>
        </w:pPr>
        <w:rPr>
          <w:rFonts w:hint="default"/>
        </w:rPr>
      </w:lvl>
    </w:lvlOverride>
    <w:lvlOverride w:ilvl="5">
      <w:lvl w:ilvl="5">
        <w:start w:val="1"/>
        <w:numFmt w:val="decimal"/>
        <w:pStyle w:val="Heading6"/>
        <w:suff w:val="space"/>
        <w:lvlText w:val="%1.%2.%3.%4.%5.%6."/>
        <w:lvlJc w:val="left"/>
        <w:pPr>
          <w:ind w:left="680" w:hanging="680"/>
        </w:pPr>
        <w:rPr>
          <w:rFonts w:hint="default"/>
        </w:rPr>
      </w:lvl>
    </w:lvlOverride>
    <w:lvlOverride w:ilvl="6">
      <w:lvl w:ilvl="6">
        <w:start w:val="1"/>
        <w:numFmt w:val="decimal"/>
        <w:pStyle w:val="Heading7"/>
        <w:suff w:val="space"/>
        <w:lvlText w:val="%1.%2.%3.%4.%5.%6.%7."/>
        <w:lvlJc w:val="left"/>
        <w:pPr>
          <w:ind w:left="680" w:hanging="680"/>
        </w:pPr>
        <w:rPr>
          <w:rFonts w:hint="default"/>
        </w:rPr>
      </w:lvl>
    </w:lvlOverride>
    <w:lvlOverride w:ilvl="7">
      <w:lvl w:ilvl="7">
        <w:start w:val="1"/>
        <w:numFmt w:val="decimal"/>
        <w:pStyle w:val="Heading8"/>
        <w:suff w:val="space"/>
        <w:lvlText w:val="%1.%2.%3.%4.%5.%6.%7.%8."/>
        <w:lvlJc w:val="left"/>
        <w:pPr>
          <w:ind w:left="680" w:hanging="680"/>
        </w:pPr>
        <w:rPr>
          <w:rFonts w:hint="default"/>
        </w:rPr>
      </w:lvl>
    </w:lvlOverride>
    <w:lvlOverride w:ilvl="8">
      <w:lvl w:ilvl="8">
        <w:start w:val="1"/>
        <w:numFmt w:val="decimal"/>
        <w:suff w:val="space"/>
        <w:lvlText w:val="%1.%2.%3.%4.%5.%6.%7.%8.%9."/>
        <w:lvlJc w:val="left"/>
        <w:pPr>
          <w:ind w:left="680" w:hanging="680"/>
        </w:pPr>
        <w:rPr>
          <w:rFonts w:hint="default"/>
        </w:rPr>
      </w:lvl>
    </w:lvlOverride>
  </w:num>
  <w:num w:numId="18">
    <w:abstractNumId w:val="24"/>
  </w:num>
  <w:num w:numId="19">
    <w:abstractNumId w:val="21"/>
  </w:num>
  <w:num w:numId="20">
    <w:abstractNumId w:val="9"/>
  </w:num>
  <w:num w:numId="21">
    <w:abstractNumId w:val="7"/>
  </w:num>
  <w:num w:numId="22">
    <w:abstractNumId w:val="6"/>
  </w:num>
  <w:num w:numId="23">
    <w:abstractNumId w:val="5"/>
  </w:num>
  <w:num w:numId="24">
    <w:abstractNumId w:val="4"/>
  </w:num>
  <w:num w:numId="25">
    <w:abstractNumId w:val="8"/>
  </w:num>
  <w:num w:numId="26">
    <w:abstractNumId w:val="3"/>
  </w:num>
  <w:num w:numId="27">
    <w:abstractNumId w:val="2"/>
  </w:num>
  <w:num w:numId="28">
    <w:abstractNumId w:val="1"/>
  </w:num>
  <w:num w:numId="29">
    <w:abstractNumId w:val="0"/>
  </w:num>
  <w:num w:numId="30">
    <w:abstractNumId w:val="1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attachedTemplate r:id="rId1"/>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evenAndOddHeaders/>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215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475C"/>
    <w:rsid w:val="00007801"/>
    <w:rsid w:val="000200B3"/>
    <w:rsid w:val="000457BD"/>
    <w:rsid w:val="00070CA7"/>
    <w:rsid w:val="00082BA8"/>
    <w:rsid w:val="000A6A25"/>
    <w:rsid w:val="000D1202"/>
    <w:rsid w:val="000E02D6"/>
    <w:rsid w:val="00142A45"/>
    <w:rsid w:val="00157E1D"/>
    <w:rsid w:val="001605B7"/>
    <w:rsid w:val="00161696"/>
    <w:rsid w:val="00192E38"/>
    <w:rsid w:val="002507CC"/>
    <w:rsid w:val="00274084"/>
    <w:rsid w:val="0029450D"/>
    <w:rsid w:val="00296658"/>
    <w:rsid w:val="002D3D57"/>
    <w:rsid w:val="00304134"/>
    <w:rsid w:val="00356CC4"/>
    <w:rsid w:val="003748C2"/>
    <w:rsid w:val="00374D3F"/>
    <w:rsid w:val="00433C1A"/>
    <w:rsid w:val="00470C43"/>
    <w:rsid w:val="004D2787"/>
    <w:rsid w:val="004D7EDA"/>
    <w:rsid w:val="004E7FC8"/>
    <w:rsid w:val="004F2483"/>
    <w:rsid w:val="00580C8A"/>
    <w:rsid w:val="00583FC4"/>
    <w:rsid w:val="005A55B7"/>
    <w:rsid w:val="00602511"/>
    <w:rsid w:val="0067475C"/>
    <w:rsid w:val="00675DE9"/>
    <w:rsid w:val="006A3A0D"/>
    <w:rsid w:val="006F5217"/>
    <w:rsid w:val="007040C8"/>
    <w:rsid w:val="00715101"/>
    <w:rsid w:val="007B7B4A"/>
    <w:rsid w:val="007E4CAF"/>
    <w:rsid w:val="00807562"/>
    <w:rsid w:val="008116E4"/>
    <w:rsid w:val="00813887"/>
    <w:rsid w:val="00823BA5"/>
    <w:rsid w:val="008461A5"/>
    <w:rsid w:val="008E0553"/>
    <w:rsid w:val="00917A34"/>
    <w:rsid w:val="009376C8"/>
    <w:rsid w:val="0096088F"/>
    <w:rsid w:val="009873E5"/>
    <w:rsid w:val="009B1C67"/>
    <w:rsid w:val="009C356C"/>
    <w:rsid w:val="009C49B6"/>
    <w:rsid w:val="009D1D60"/>
    <w:rsid w:val="009F6C79"/>
    <w:rsid w:val="00A016D7"/>
    <w:rsid w:val="00A23CF1"/>
    <w:rsid w:val="00A323B9"/>
    <w:rsid w:val="00A40F13"/>
    <w:rsid w:val="00A56269"/>
    <w:rsid w:val="00AC2B07"/>
    <w:rsid w:val="00AD0DF8"/>
    <w:rsid w:val="00B77EB9"/>
    <w:rsid w:val="00B9345D"/>
    <w:rsid w:val="00BB6D67"/>
    <w:rsid w:val="00BC0E70"/>
    <w:rsid w:val="00BF4509"/>
    <w:rsid w:val="00BF6DC7"/>
    <w:rsid w:val="00C50B75"/>
    <w:rsid w:val="00C93401"/>
    <w:rsid w:val="00CB1096"/>
    <w:rsid w:val="00CC23D0"/>
    <w:rsid w:val="00D52F9C"/>
    <w:rsid w:val="00D64715"/>
    <w:rsid w:val="00D666AA"/>
    <w:rsid w:val="00D80230"/>
    <w:rsid w:val="00D82B82"/>
    <w:rsid w:val="00D87627"/>
    <w:rsid w:val="00D945E8"/>
    <w:rsid w:val="00EB5AC4"/>
    <w:rsid w:val="00EF6B0B"/>
    <w:rsid w:val="00F153A6"/>
    <w:rsid w:val="00F31822"/>
    <w:rsid w:val="00F626F4"/>
    <w:rsid w:val="00F6325F"/>
    <w:rsid w:val="00F87B8E"/>
    <w:rsid w:val="00F92A67"/>
    <w:rsid w:val="00FB36FD"/>
    <w:rsid w:val="00FC5014"/>
    <w:rsid w:val="00FD290E"/>
    <w:rsid w:val="00FD407B"/>
    <w:rsid w:val="00FF0B2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5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w:hAnsi="Arial"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qFormat="1"/>
    <w:lsdException w:name="toc 5" w:uiPriority="39" w:qFormat="1"/>
    <w:lsdException w:name="footer" w:qFormat="1"/>
    <w:lsdException w:name="caption" w:qFormat="1"/>
    <w:lsdException w:name="table of figures" w:qFormat="1"/>
    <w:lsdException w:name="toa heading" w:uiPriority="99"/>
    <w:lsdException w:name="Title" w:qFormat="1"/>
    <w:lsdException w:name="Default Paragraph Font" w:uiPriority="1"/>
    <w:lsdException w:name="Body Text" w:qFormat="1"/>
    <w:lsdException w:name="Subtitle" w:qFormat="1"/>
    <w:lsdException w:name="Hyperlink" w:uiPriority="99"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atentStyles>
  <w:style w:type="paragraph" w:default="1" w:styleId="Normal">
    <w:name w:val="Normal"/>
    <w:next w:val="BodyText"/>
    <w:qFormat/>
    <w:rsid w:val="00082BA8"/>
    <w:pPr>
      <w:spacing w:before="180" w:after="180" w:line="280" w:lineRule="atLeast"/>
    </w:pPr>
  </w:style>
  <w:style w:type="paragraph" w:styleId="Heading1">
    <w:name w:val="heading 1"/>
    <w:next w:val="BodyText"/>
    <w:link w:val="Heading1Char"/>
    <w:qFormat/>
    <w:rsid w:val="00296658"/>
    <w:pPr>
      <w:keepNext/>
      <w:keepLines/>
      <w:pageBreakBefore/>
      <w:numPr>
        <w:numId w:val="17"/>
      </w:numPr>
      <w:spacing w:before="180" w:after="1080"/>
      <w:outlineLvl w:val="0"/>
    </w:pPr>
    <w:rPr>
      <w:rFonts w:cs="Arial"/>
      <w:kern w:val="28"/>
      <w:sz w:val="40"/>
    </w:rPr>
  </w:style>
  <w:style w:type="paragraph" w:styleId="Heading2">
    <w:name w:val="heading 2"/>
    <w:basedOn w:val="Heading1"/>
    <w:next w:val="BodyText"/>
    <w:link w:val="Heading2Char"/>
    <w:qFormat/>
    <w:rsid w:val="00296658"/>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296658"/>
    <w:pPr>
      <w:numPr>
        <w:ilvl w:val="2"/>
      </w:numPr>
      <w:outlineLvl w:val="2"/>
    </w:pPr>
    <w:rPr>
      <w:b/>
      <w:sz w:val="24"/>
    </w:rPr>
  </w:style>
  <w:style w:type="paragraph" w:styleId="Heading4">
    <w:name w:val="heading 4"/>
    <w:basedOn w:val="Heading3"/>
    <w:next w:val="BodyText"/>
    <w:link w:val="Heading4Char"/>
    <w:qFormat/>
    <w:rsid w:val="00296658"/>
    <w:pPr>
      <w:numPr>
        <w:ilvl w:val="3"/>
      </w:numPr>
      <w:spacing w:before="180"/>
      <w:outlineLvl w:val="3"/>
    </w:pPr>
    <w:rPr>
      <w:i/>
      <w:sz w:val="22"/>
    </w:rPr>
  </w:style>
  <w:style w:type="paragraph" w:styleId="Heading5">
    <w:name w:val="heading 5"/>
    <w:basedOn w:val="Heading4"/>
    <w:next w:val="BodyText"/>
    <w:qFormat/>
    <w:rsid w:val="00296658"/>
    <w:pPr>
      <w:numPr>
        <w:ilvl w:val="4"/>
      </w:numPr>
      <w:outlineLvl w:val="4"/>
    </w:pPr>
    <w:rPr>
      <w:b w:val="0"/>
    </w:rPr>
  </w:style>
  <w:style w:type="paragraph" w:styleId="Heading6">
    <w:name w:val="heading 6"/>
    <w:basedOn w:val="Heading5"/>
    <w:next w:val="BodyText"/>
    <w:link w:val="Heading6Char"/>
    <w:qFormat/>
    <w:rsid w:val="00296658"/>
    <w:pPr>
      <w:numPr>
        <w:ilvl w:val="5"/>
      </w:numPr>
      <w:spacing w:before="240"/>
      <w:outlineLvl w:val="5"/>
    </w:pPr>
    <w:rPr>
      <w:b/>
      <w:i w:val="0"/>
      <w:sz w:val="20"/>
    </w:rPr>
  </w:style>
  <w:style w:type="paragraph" w:styleId="Heading7">
    <w:name w:val="heading 7"/>
    <w:basedOn w:val="Heading6"/>
    <w:next w:val="BodyText"/>
    <w:qFormat/>
    <w:rsid w:val="00296658"/>
    <w:pPr>
      <w:numPr>
        <w:ilvl w:val="6"/>
      </w:numPr>
      <w:spacing w:line="220" w:lineRule="exact"/>
      <w:outlineLvl w:val="6"/>
    </w:pPr>
    <w:rPr>
      <w:rFonts w:ascii="Arial Bold" w:hAnsi="Arial Bold"/>
      <w:i/>
      <w:spacing w:val="10"/>
      <w:sz w:val="16"/>
    </w:rPr>
  </w:style>
  <w:style w:type="paragraph" w:styleId="Heading8">
    <w:name w:val="heading 8"/>
    <w:basedOn w:val="Heading7"/>
    <w:next w:val="BodyText"/>
    <w:qFormat/>
    <w:rsid w:val="00296658"/>
    <w:pPr>
      <w:numPr>
        <w:ilvl w:val="7"/>
      </w:numPr>
      <w:outlineLvl w:val="7"/>
    </w:pPr>
    <w:rPr>
      <w:i w:val="0"/>
    </w:rPr>
  </w:style>
  <w:style w:type="paragraph" w:styleId="Heading9">
    <w:name w:val="heading 9"/>
    <w:aliases w:val="Heading appendix 1"/>
    <w:basedOn w:val="Headingappendix1base"/>
    <w:next w:val="BodyText"/>
    <w:qFormat/>
    <w:rsid w:val="00296658"/>
    <w:pPr>
      <w:numPr>
        <w:numId w:val="1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296658"/>
    <w:pPr>
      <w:spacing w:before="180" w:after="180" w:line="280" w:lineRule="atLeast"/>
    </w:pPr>
    <w:rPr>
      <w:rFonts w:cs="Arial"/>
    </w:rPr>
  </w:style>
  <w:style w:type="paragraph" w:styleId="Footer">
    <w:name w:val="footer"/>
    <w:next w:val="BodyText"/>
    <w:link w:val="FooterChar"/>
    <w:qFormat/>
    <w:rsid w:val="00296658"/>
    <w:pPr>
      <w:pBdr>
        <w:top w:val="single" w:sz="2" w:space="2" w:color="auto"/>
      </w:pBdr>
      <w:tabs>
        <w:tab w:val="right" w:pos="9072"/>
      </w:tabs>
      <w:spacing w:before="180" w:after="180" w:line="160" w:lineRule="atLeast"/>
      <w:mirrorIndents/>
    </w:pPr>
    <w:rPr>
      <w:rFonts w:ascii="Arial Bold" w:hAnsi="Arial Bold" w:cs="Arial"/>
      <w:b/>
      <w:sz w:val="16"/>
      <w:szCs w:val="16"/>
    </w:rPr>
  </w:style>
  <w:style w:type="paragraph" w:styleId="Header">
    <w:name w:val="header"/>
    <w:basedOn w:val="BodyText"/>
    <w:rsid w:val="0029665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2D3D57"/>
    <w:pPr>
      <w:keepNext/>
      <w:spacing w:before="180" w:after="1440" w:line="280" w:lineRule="atLeast"/>
    </w:pPr>
    <w:rPr>
      <w:rFonts w:eastAsia="Times New Roman"/>
      <w:caps/>
      <w:spacing w:val="10"/>
      <w:sz w:val="19"/>
    </w:rPr>
  </w:style>
  <w:style w:type="character" w:customStyle="1" w:styleId="Captionsbold">
    <w:name w:val="Captions bold"/>
    <w:rPr>
      <w:rFonts w:ascii="Times New Roman" w:hAnsi="Times New Roman"/>
      <w:b/>
      <w:sz w:val="20"/>
    </w:rPr>
  </w:style>
  <w:style w:type="paragraph" w:customStyle="1" w:styleId="Contentsheading">
    <w:name w:val="Contents heading"/>
    <w:next w:val="BodyText"/>
    <w:rsid w:val="00296658"/>
    <w:pPr>
      <w:spacing w:before="180" w:after="960"/>
      <w:outlineLvl w:val="0"/>
    </w:pPr>
    <w:rPr>
      <w:rFonts w:eastAsia="Times New Roman"/>
      <w:sz w:val="40"/>
    </w:rPr>
  </w:style>
  <w:style w:type="paragraph" w:customStyle="1" w:styleId="Documenttitle">
    <w:name w:val="Document title"/>
    <w:next w:val="BodyText"/>
    <w:qFormat/>
    <w:rsid w:val="00296658"/>
    <w:pPr>
      <w:keepNext/>
      <w:spacing w:before="1680" w:after="360"/>
      <w:outlineLvl w:val="0"/>
    </w:pPr>
    <w:rPr>
      <w:rFonts w:eastAsia="Times New Roman"/>
      <w:sz w:val="48"/>
    </w:rPr>
  </w:style>
  <w:style w:type="paragraph" w:customStyle="1" w:styleId="Notes">
    <w:name w:val="Notes"/>
    <w:basedOn w:val="BodyText"/>
    <w:qFormat/>
    <w:rsid w:val="00296658"/>
    <w:pPr>
      <w:numPr>
        <w:numId w:val="30"/>
      </w:numPr>
      <w:pBdr>
        <w:top w:val="single" w:sz="4" w:space="1" w:color="808080"/>
      </w:pBdr>
      <w:spacing w:before="0" w:after="0" w:line="160" w:lineRule="atLeast"/>
    </w:pPr>
    <w:rPr>
      <w:rFonts w:eastAsia="Times New Roman"/>
      <w:sz w:val="16"/>
    </w:rPr>
  </w:style>
  <w:style w:type="paragraph" w:customStyle="1" w:styleId="Contentsbodytext">
    <w:name w:val="Contents body text"/>
    <w:basedOn w:val="BodyText"/>
    <w:rsid w:val="00296658"/>
    <w:pPr>
      <w:tabs>
        <w:tab w:val="right" w:leader="dot" w:pos="8222"/>
      </w:tabs>
      <w:jc w:val="both"/>
    </w:pPr>
    <w:rPr>
      <w:rFonts w:eastAsia="Times New Roman"/>
    </w:rPr>
  </w:style>
  <w:style w:type="paragraph" w:customStyle="1" w:styleId="Contentsbodyindented">
    <w:name w:val="Contents body indented"/>
    <w:basedOn w:val="BodyText"/>
    <w:rsid w:val="00296658"/>
    <w:pPr>
      <w:ind w:left="284"/>
    </w:pPr>
  </w:style>
  <w:style w:type="paragraph" w:customStyle="1" w:styleId="Bulletlevel1">
    <w:name w:val="Bullet level 1"/>
    <w:basedOn w:val="BodyText"/>
    <w:link w:val="Bulletlevel1Char"/>
    <w:qFormat/>
    <w:rsid w:val="00296658"/>
    <w:pPr>
      <w:numPr>
        <w:numId w:val="11"/>
      </w:numPr>
      <w:spacing w:before="60" w:after="60"/>
    </w:pPr>
    <w:rPr>
      <w:rFonts w:eastAsia="Times New Roman"/>
    </w:rPr>
  </w:style>
  <w:style w:type="paragraph" w:customStyle="1" w:styleId="Captions">
    <w:name w:val="Captions"/>
    <w:basedOn w:val="BodyText"/>
    <w:next w:val="BodyText"/>
    <w:link w:val="CaptionsChar"/>
    <w:rsid w:val="00296658"/>
    <w:pPr>
      <w:spacing w:before="60" w:after="360"/>
    </w:pPr>
    <w:rPr>
      <w:rFonts w:eastAsia="Times New Roman"/>
      <w:i/>
      <w:sz w:val="18"/>
      <w:szCs w:val="18"/>
    </w:rPr>
  </w:style>
  <w:style w:type="paragraph" w:customStyle="1" w:styleId="Bulletlevel2">
    <w:name w:val="Bullet level 2"/>
    <w:basedOn w:val="Bulletlevel1"/>
    <w:qFormat/>
    <w:rsid w:val="00296658"/>
    <w:pPr>
      <w:numPr>
        <w:ilvl w:val="1"/>
      </w:numPr>
    </w:pPr>
  </w:style>
  <w:style w:type="paragraph" w:customStyle="1" w:styleId="Tabletitle">
    <w:name w:val="Table title"/>
    <w:basedOn w:val="BodyText"/>
    <w:next w:val="BodyText"/>
    <w:link w:val="TabletitleChar"/>
    <w:qFormat/>
    <w:rsid w:val="00296658"/>
    <w:pPr>
      <w:keepNext/>
      <w:spacing w:before="480" w:after="120" w:line="240" w:lineRule="atLeast"/>
    </w:pPr>
    <w:rPr>
      <w:rFonts w:eastAsia="Times New Roman"/>
      <w:i/>
      <w:sz w:val="18"/>
      <w:szCs w:val="18"/>
    </w:rPr>
  </w:style>
  <w:style w:type="character" w:customStyle="1" w:styleId="Tablenumber">
    <w:name w:val="Table number"/>
    <w:rPr>
      <w:b/>
    </w:rPr>
  </w:style>
  <w:style w:type="paragraph" w:customStyle="1" w:styleId="Dontusethisstyle">
    <w:name w:val="Dont use this style"/>
    <w:basedOn w:val="Normal"/>
    <w:link w:val="DontusethisstyleChar"/>
    <w:rsid w:val="00BA7A07"/>
    <w:pPr>
      <w:spacing w:line="250" w:lineRule="exact"/>
      <w:jc w:val="center"/>
    </w:pPr>
  </w:style>
  <w:style w:type="paragraph" w:customStyle="1" w:styleId="Tableheadingrow">
    <w:name w:val="Table heading row"/>
    <w:basedOn w:val="Normal"/>
    <w:rsid w:val="00E57E08"/>
    <w:pPr>
      <w:spacing w:line="230" w:lineRule="exact"/>
      <w:jc w:val="center"/>
    </w:pPr>
    <w:rPr>
      <w:rFonts w:eastAsia="Times New Roman"/>
      <w:b/>
      <w:caps/>
      <w:spacing w:val="10"/>
      <w:sz w:val="18"/>
    </w:rPr>
  </w:style>
  <w:style w:type="paragraph" w:customStyle="1" w:styleId="References">
    <w:name w:val="References"/>
    <w:basedOn w:val="BodyText"/>
    <w:qFormat/>
    <w:rsid w:val="00296658"/>
    <w:pPr>
      <w:spacing w:before="60" w:after="60" w:line="240" w:lineRule="atLeast"/>
      <w:ind w:left="284" w:hanging="284"/>
    </w:pPr>
    <w:rPr>
      <w:rFonts w:eastAsia="Times New Roman"/>
    </w:rPr>
  </w:style>
  <w:style w:type="paragraph" w:styleId="CommentText">
    <w:name w:val="annotation text"/>
    <w:basedOn w:val="BodyText"/>
    <w:link w:val="CommentTextChar"/>
    <w:semiHidden/>
    <w:rsid w:val="00296658"/>
  </w:style>
  <w:style w:type="paragraph" w:styleId="EndnoteText">
    <w:name w:val="endnote text"/>
    <w:basedOn w:val="BodyText"/>
    <w:semiHidden/>
    <w:rsid w:val="00296658"/>
  </w:style>
  <w:style w:type="character" w:customStyle="1" w:styleId="Bodytextbold">
    <w:name w:val="Body text bold"/>
    <w:qFormat/>
    <w:rsid w:val="00296658"/>
    <w:rPr>
      <w:b/>
    </w:rPr>
  </w:style>
  <w:style w:type="character" w:customStyle="1" w:styleId="Bodytextitalic">
    <w:name w:val="Body text italic"/>
    <w:qFormat/>
    <w:rsid w:val="00296658"/>
    <w:rPr>
      <w:i/>
    </w:rPr>
  </w:style>
  <w:style w:type="character" w:customStyle="1" w:styleId="Instructions">
    <w:name w:val="Instructions"/>
    <w:basedOn w:val="DefaultParagraphFont"/>
    <w:rsid w:val="00296658"/>
    <w:rPr>
      <w:rFonts w:ascii="Arial" w:hAnsi="Arial"/>
      <w:b/>
      <w:bCs/>
      <w:color w:val="FF0000"/>
      <w:sz w:val="16"/>
    </w:rPr>
  </w:style>
  <w:style w:type="character" w:customStyle="1" w:styleId="ContentsbodytextChar">
    <w:name w:val="Contents body text Char"/>
    <w:basedOn w:val="DefaultParagraphFont"/>
    <w:rsid w:val="00296658"/>
    <w:rPr>
      <w:noProof w:val="0"/>
      <w:sz w:val="21"/>
      <w:lang w:val="en-AU" w:eastAsia="en-AU" w:bidi="ar-SA"/>
    </w:rPr>
  </w:style>
  <w:style w:type="paragraph" w:styleId="TOC1">
    <w:name w:val="toc 1"/>
    <w:basedOn w:val="BodyText"/>
    <w:next w:val="BodyText"/>
    <w:autoRedefine/>
    <w:uiPriority w:val="39"/>
    <w:qFormat/>
    <w:rsid w:val="00296658"/>
    <w:pPr>
      <w:tabs>
        <w:tab w:val="right" w:leader="dot" w:pos="9072"/>
      </w:tabs>
      <w:spacing w:before="120" w:after="0" w:line="200" w:lineRule="atLeast"/>
      <w:ind w:right="284"/>
    </w:pPr>
    <w:rPr>
      <w:noProof/>
    </w:rPr>
  </w:style>
  <w:style w:type="character" w:customStyle="1" w:styleId="BodyTextChar">
    <w:name w:val="Body Text Char"/>
    <w:basedOn w:val="DefaultParagraphFont"/>
    <w:link w:val="BodyText"/>
    <w:rsid w:val="00296658"/>
    <w:rPr>
      <w:rFonts w:cs="Arial"/>
    </w:rPr>
  </w:style>
  <w:style w:type="character" w:customStyle="1" w:styleId="CommentTextChar">
    <w:name w:val="Comment Text Char"/>
    <w:basedOn w:val="BodyTextChar"/>
    <w:link w:val="CommentText"/>
    <w:semiHidden/>
    <w:rsid w:val="00296658"/>
    <w:rPr>
      <w:rFonts w:cs="Arial"/>
    </w:rPr>
  </w:style>
  <w:style w:type="paragraph" w:styleId="TOC2">
    <w:name w:val="toc 2"/>
    <w:basedOn w:val="TOC1"/>
    <w:next w:val="BodyText"/>
    <w:autoRedefine/>
    <w:uiPriority w:val="39"/>
    <w:qFormat/>
    <w:rsid w:val="00296658"/>
    <w:pPr>
      <w:spacing w:before="60"/>
      <w:ind w:left="142"/>
    </w:pPr>
  </w:style>
  <w:style w:type="table" w:styleId="TableGrid">
    <w:name w:val="Table Grid"/>
    <w:basedOn w:val="TableNormal"/>
    <w:rsid w:val="00296658"/>
    <w:pPr>
      <w:spacing w:before="180" w:after="180" w:line="28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next w:val="Normal"/>
    <w:link w:val="CaptionChar"/>
    <w:qFormat/>
    <w:rsid w:val="00296658"/>
    <w:pPr>
      <w:spacing w:before="120" w:after="480" w:line="200" w:lineRule="atLeast"/>
    </w:pPr>
    <w:rPr>
      <w:rFonts w:eastAsia="Times New Roman" w:cs="Arial"/>
      <w:i/>
      <w:sz w:val="18"/>
      <w:szCs w:val="18"/>
    </w:rPr>
  </w:style>
  <w:style w:type="character" w:styleId="Hyperlink">
    <w:name w:val="Hyperlink"/>
    <w:uiPriority w:val="99"/>
    <w:qFormat/>
    <w:rsid w:val="00CC23D0"/>
    <w:rPr>
      <w:color w:val="auto"/>
    </w:rPr>
  </w:style>
  <w:style w:type="paragraph" w:styleId="TOC3">
    <w:name w:val="toc 3"/>
    <w:basedOn w:val="TOC2"/>
    <w:next w:val="BodyText"/>
    <w:autoRedefine/>
    <w:uiPriority w:val="39"/>
    <w:qFormat/>
    <w:rsid w:val="00296658"/>
    <w:pPr>
      <w:ind w:left="284"/>
    </w:pPr>
  </w:style>
  <w:style w:type="character" w:customStyle="1" w:styleId="TabletitleChar">
    <w:name w:val="Table title Char"/>
    <w:link w:val="Tabletitle"/>
    <w:rsid w:val="00513DCF"/>
    <w:rPr>
      <w:rFonts w:eastAsia="Times New Roman" w:cs="Arial"/>
      <w:i/>
      <w:sz w:val="18"/>
      <w:szCs w:val="18"/>
    </w:rPr>
  </w:style>
  <w:style w:type="paragraph" w:customStyle="1" w:styleId="bullet1following">
    <w:name w:val=".bullet 1 (following)"/>
    <w:basedOn w:val="Normal"/>
    <w:rsid w:val="00994792"/>
    <w:pPr>
      <w:numPr>
        <w:numId w:val="1"/>
      </w:numPr>
      <w:tabs>
        <w:tab w:val="left" w:pos="284"/>
      </w:tabs>
      <w:spacing w:before="40" w:line="260" w:lineRule="exact"/>
      <w:ind w:left="284" w:hanging="284"/>
    </w:pPr>
    <w:rPr>
      <w:rFonts w:eastAsia="Times New Roman"/>
      <w:lang w:eastAsia="en-US"/>
    </w:rPr>
  </w:style>
  <w:style w:type="character" w:styleId="PageNumber">
    <w:name w:val="page number"/>
    <w:basedOn w:val="DefaultParagraphFont"/>
    <w:rsid w:val="00296658"/>
    <w:rPr>
      <w:rFonts w:ascii="Arial Bold" w:hAnsi="Arial Bold"/>
      <w:b/>
      <w:i w:val="0"/>
      <w:caps w:val="0"/>
      <w:smallCaps w:val="0"/>
      <w:strike w:val="0"/>
      <w:dstrike w:val="0"/>
      <w:vanish w:val="0"/>
      <w:color w:val="auto"/>
      <w:spacing w:val="0"/>
      <w:w w:val="100"/>
      <w:position w:val="0"/>
      <w:sz w:val="16"/>
      <w:vertAlign w:val="baseline"/>
    </w:rPr>
  </w:style>
  <w:style w:type="paragraph" w:styleId="BalloonText">
    <w:name w:val="Balloon Text"/>
    <w:basedOn w:val="Normal"/>
    <w:link w:val="BalloonTextChar"/>
    <w:semiHidden/>
    <w:rsid w:val="00296658"/>
    <w:pPr>
      <w:spacing w:line="240" w:lineRule="auto"/>
    </w:pPr>
    <w:rPr>
      <w:rFonts w:ascii="Tahoma" w:hAnsi="Tahoma" w:cs="Tahoma"/>
      <w:sz w:val="16"/>
      <w:szCs w:val="16"/>
    </w:rPr>
  </w:style>
  <w:style w:type="character" w:styleId="CommentReference">
    <w:name w:val="annotation reference"/>
    <w:semiHidden/>
    <w:rsid w:val="00A37FAB"/>
    <w:rPr>
      <w:sz w:val="16"/>
      <w:szCs w:val="16"/>
    </w:rPr>
  </w:style>
  <w:style w:type="character" w:customStyle="1" w:styleId="CharChar2">
    <w:name w:val="Char Char2"/>
    <w:rsid w:val="00886FFB"/>
    <w:rPr>
      <w:rFonts w:eastAsia="Times"/>
      <w:sz w:val="21"/>
      <w:lang w:val="en-AU" w:eastAsia="en-AU" w:bidi="ar-SA"/>
    </w:rPr>
  </w:style>
  <w:style w:type="character" w:customStyle="1" w:styleId="CaptionChar">
    <w:name w:val="Caption Char"/>
    <w:link w:val="Caption"/>
    <w:rsid w:val="0036757D"/>
    <w:rPr>
      <w:rFonts w:eastAsia="Times New Roman" w:cs="Arial"/>
      <w:i/>
      <w:sz w:val="18"/>
      <w:szCs w:val="18"/>
    </w:rPr>
  </w:style>
  <w:style w:type="character" w:customStyle="1" w:styleId="CaptionsChar">
    <w:name w:val="Captions Char"/>
    <w:link w:val="Captions"/>
    <w:rsid w:val="00886FFB"/>
    <w:rPr>
      <w:rFonts w:eastAsia="Times New Roman" w:cs="Arial"/>
      <w:i/>
      <w:sz w:val="18"/>
      <w:szCs w:val="18"/>
    </w:rPr>
  </w:style>
  <w:style w:type="character" w:styleId="Emphasis">
    <w:name w:val="Emphasis"/>
    <w:basedOn w:val="DefaultParagraphFont"/>
    <w:qFormat/>
    <w:rsid w:val="00296658"/>
    <w:rPr>
      <w:i/>
      <w:iCs/>
    </w:rPr>
  </w:style>
  <w:style w:type="character" w:customStyle="1" w:styleId="bodytext0">
    <w:name w:val="bodytext"/>
    <w:basedOn w:val="DefaultParagraphFont"/>
    <w:rsid w:val="00955DC5"/>
  </w:style>
  <w:style w:type="character" w:customStyle="1" w:styleId="apple-converted-space">
    <w:name w:val="apple-converted-space"/>
    <w:rsid w:val="00AA3D22"/>
  </w:style>
  <w:style w:type="character" w:styleId="Strong">
    <w:name w:val="Strong"/>
    <w:basedOn w:val="DefaultParagraphFont"/>
    <w:qFormat/>
    <w:rsid w:val="00296658"/>
    <w:rPr>
      <w:b/>
      <w:bCs/>
    </w:rPr>
  </w:style>
  <w:style w:type="paragraph" w:styleId="NormalWeb">
    <w:name w:val="Normal (Web)"/>
    <w:basedOn w:val="BodyText"/>
    <w:next w:val="BodyText"/>
    <w:rsid w:val="00296658"/>
    <w:rPr>
      <w:sz w:val="24"/>
      <w:szCs w:val="24"/>
    </w:rPr>
  </w:style>
  <w:style w:type="paragraph" w:styleId="CommentSubject">
    <w:name w:val="annotation subject"/>
    <w:basedOn w:val="CommentText"/>
    <w:next w:val="CommentText"/>
    <w:link w:val="CommentSubjectChar"/>
    <w:rsid w:val="00296658"/>
    <w:pPr>
      <w:spacing w:before="120" w:after="120" w:line="240" w:lineRule="auto"/>
    </w:pPr>
    <w:rPr>
      <w:b/>
      <w:bCs/>
    </w:rPr>
  </w:style>
  <w:style w:type="character" w:customStyle="1" w:styleId="CommentSubjectChar">
    <w:name w:val="Comment Subject Char"/>
    <w:basedOn w:val="CommentTextChar"/>
    <w:link w:val="CommentSubject"/>
    <w:rsid w:val="00296658"/>
    <w:rPr>
      <w:rFonts w:cs="Arial"/>
      <w:b/>
      <w:bCs/>
    </w:rPr>
  </w:style>
  <w:style w:type="paragraph" w:customStyle="1" w:styleId="bodycopy8pt">
    <w:name w:val=".body copy (8pt)"/>
    <w:basedOn w:val="Normal"/>
    <w:rsid w:val="00AA3D22"/>
    <w:pPr>
      <w:spacing w:before="160" w:line="260" w:lineRule="exact"/>
    </w:pPr>
    <w:rPr>
      <w:rFonts w:eastAsia="Times New Roman"/>
      <w:szCs w:val="22"/>
      <w:lang w:eastAsia="en-US"/>
    </w:rPr>
  </w:style>
  <w:style w:type="paragraph" w:customStyle="1" w:styleId="heading10">
    <w:name w:val=".heading 1"/>
    <w:basedOn w:val="Normal"/>
    <w:next w:val="Normal"/>
    <w:rsid w:val="00AA3D22"/>
    <w:rPr>
      <w:rFonts w:eastAsia="Times New Roman"/>
      <w:color w:val="B50737"/>
      <w:sz w:val="36"/>
      <w:szCs w:val="36"/>
      <w:lang w:eastAsia="en-US"/>
    </w:rPr>
  </w:style>
  <w:style w:type="paragraph" w:customStyle="1" w:styleId="heading20">
    <w:name w:val=".heading 2"/>
    <w:basedOn w:val="Normal"/>
    <w:next w:val="bodycopy8pt"/>
    <w:rsid w:val="00AA3D22"/>
    <w:pPr>
      <w:spacing w:before="320" w:line="260" w:lineRule="exact"/>
    </w:pPr>
    <w:rPr>
      <w:rFonts w:eastAsia="Times New Roman"/>
      <w:b/>
      <w:color w:val="B50737"/>
      <w:szCs w:val="22"/>
      <w:lang w:eastAsia="en-US"/>
    </w:rPr>
  </w:style>
  <w:style w:type="paragraph" w:customStyle="1" w:styleId="heading30">
    <w:name w:val=".heading 3"/>
    <w:basedOn w:val="Normal"/>
    <w:next w:val="bodycopy8pt"/>
    <w:rsid w:val="00AA3D22"/>
    <w:pPr>
      <w:spacing w:before="320" w:line="260" w:lineRule="exact"/>
    </w:pPr>
    <w:rPr>
      <w:rFonts w:eastAsia="Times New Roman"/>
      <w:color w:val="B50737"/>
      <w:szCs w:val="22"/>
      <w:lang w:eastAsia="en-US"/>
    </w:rPr>
  </w:style>
  <w:style w:type="paragraph" w:customStyle="1" w:styleId="tablebodycopy">
    <w:name w:val=".table body copy"/>
    <w:basedOn w:val="Normal"/>
    <w:rsid w:val="00AA3D22"/>
    <w:pPr>
      <w:spacing w:before="40" w:line="240" w:lineRule="exact"/>
    </w:pPr>
    <w:rPr>
      <w:rFonts w:eastAsia="Times New Roman"/>
      <w:sz w:val="18"/>
      <w:szCs w:val="22"/>
    </w:rPr>
  </w:style>
  <w:style w:type="paragraph" w:customStyle="1" w:styleId="tableheading1">
    <w:name w:val=".table heading 1"/>
    <w:basedOn w:val="Normal"/>
    <w:rsid w:val="00AA3D22"/>
    <w:rPr>
      <w:rFonts w:eastAsia="Times New Roman"/>
      <w:b/>
      <w:color w:val="A6A6A6"/>
      <w:sz w:val="18"/>
      <w:szCs w:val="22"/>
    </w:rPr>
  </w:style>
  <w:style w:type="paragraph" w:customStyle="1" w:styleId="bullet1first">
    <w:name w:val=".bullet 1 (first)"/>
    <w:basedOn w:val="Normal"/>
    <w:next w:val="bullet1following"/>
    <w:rsid w:val="00AA3D22"/>
    <w:pPr>
      <w:numPr>
        <w:numId w:val="2"/>
      </w:numPr>
      <w:tabs>
        <w:tab w:val="left" w:pos="284"/>
      </w:tabs>
      <w:spacing w:before="160" w:line="260" w:lineRule="exact"/>
    </w:pPr>
    <w:rPr>
      <w:rFonts w:eastAsia="Times New Roman"/>
      <w:lang w:eastAsia="en-US"/>
    </w:rPr>
  </w:style>
  <w:style w:type="paragraph" w:customStyle="1" w:styleId="bullet2">
    <w:name w:val=".bullet 2"/>
    <w:basedOn w:val="Normal"/>
    <w:rsid w:val="00AA3D22"/>
    <w:pPr>
      <w:numPr>
        <w:numId w:val="3"/>
      </w:numPr>
      <w:tabs>
        <w:tab w:val="left" w:pos="567"/>
      </w:tabs>
      <w:spacing w:before="40" w:line="260" w:lineRule="exact"/>
      <w:ind w:left="568" w:hanging="284"/>
    </w:pPr>
    <w:rPr>
      <w:rFonts w:eastAsia="Times New Roman"/>
    </w:rPr>
  </w:style>
  <w:style w:type="paragraph" w:customStyle="1" w:styleId="tablebullet1">
    <w:name w:val=".table bullet 1"/>
    <w:basedOn w:val="Normal"/>
    <w:rsid w:val="00AA3D22"/>
    <w:pPr>
      <w:numPr>
        <w:numId w:val="4"/>
      </w:numPr>
      <w:tabs>
        <w:tab w:val="left" w:pos="227"/>
      </w:tabs>
      <w:spacing w:before="40" w:line="240" w:lineRule="exact"/>
    </w:pPr>
    <w:rPr>
      <w:rFonts w:eastAsia="Times New Roman"/>
      <w:sz w:val="18"/>
    </w:rPr>
  </w:style>
  <w:style w:type="paragraph" w:customStyle="1" w:styleId="tablebullet2">
    <w:name w:val=".table bullet 2"/>
    <w:basedOn w:val="Normal"/>
    <w:rsid w:val="00AA3D22"/>
    <w:pPr>
      <w:numPr>
        <w:numId w:val="5"/>
      </w:numPr>
      <w:tabs>
        <w:tab w:val="left" w:pos="454"/>
      </w:tabs>
      <w:spacing w:before="40" w:line="240" w:lineRule="exact"/>
    </w:pPr>
    <w:rPr>
      <w:rFonts w:eastAsia="Times New Roman"/>
      <w:sz w:val="18"/>
    </w:rPr>
  </w:style>
  <w:style w:type="character" w:styleId="FollowedHyperlink">
    <w:name w:val="FollowedHyperlink"/>
    <w:basedOn w:val="Hyperlink"/>
    <w:rsid w:val="00CC23D0"/>
    <w:rPr>
      <w:color w:val="auto"/>
    </w:rPr>
  </w:style>
  <w:style w:type="character" w:customStyle="1" w:styleId="Heading1Char">
    <w:name w:val="Heading 1 Char"/>
    <w:basedOn w:val="DefaultParagraphFont"/>
    <w:link w:val="Heading1"/>
    <w:rsid w:val="00296658"/>
    <w:rPr>
      <w:rFonts w:cs="Arial"/>
      <w:kern w:val="28"/>
      <w:sz w:val="40"/>
    </w:rPr>
  </w:style>
  <w:style w:type="paragraph" w:customStyle="1" w:styleId="captions0">
    <w:name w:val="captions"/>
    <w:basedOn w:val="Normal"/>
    <w:rsid w:val="00D7235A"/>
    <w:pPr>
      <w:spacing w:line="260" w:lineRule="atLeast"/>
      <w:ind w:right="709"/>
    </w:pPr>
    <w:rPr>
      <w:rFonts w:eastAsia="Times New Roman"/>
      <w:i/>
      <w:iCs/>
    </w:rPr>
  </w:style>
  <w:style w:type="paragraph" w:customStyle="1" w:styleId="ICGTableHeader">
    <w:name w:val="ICG Table Header"/>
    <w:basedOn w:val="Normal"/>
    <w:rsid w:val="00BA7A07"/>
    <w:rPr>
      <w:rFonts w:ascii="Calibri" w:eastAsia="Times New Roman" w:hAnsi="Calibri"/>
      <w:b/>
      <w:bCs/>
      <w:color w:val="008080"/>
      <w:sz w:val="28"/>
      <w:szCs w:val="28"/>
    </w:rPr>
  </w:style>
  <w:style w:type="paragraph" w:customStyle="1" w:styleId="BodyText-Image">
    <w:name w:val="Body Text - Image"/>
    <w:basedOn w:val="BodyText"/>
    <w:next w:val="BodyText"/>
    <w:rsid w:val="0036757D"/>
    <w:pPr>
      <w:spacing w:before="360" w:after="0" w:line="120" w:lineRule="atLeast"/>
      <w:jc w:val="center"/>
    </w:pPr>
  </w:style>
  <w:style w:type="paragraph" w:customStyle="1" w:styleId="Numbered">
    <w:name w:val="Numbered"/>
    <w:basedOn w:val="Normal"/>
    <w:link w:val="NumberedChar"/>
    <w:rsid w:val="00ED1750"/>
    <w:pPr>
      <w:numPr>
        <w:numId w:val="6"/>
      </w:numPr>
      <w:spacing w:before="60" w:after="60"/>
      <w:ind w:left="714" w:hanging="357"/>
    </w:pPr>
    <w:rPr>
      <w:sz w:val="21"/>
      <w:lang w:val="x-none"/>
    </w:rPr>
  </w:style>
  <w:style w:type="paragraph" w:customStyle="1" w:styleId="Numbered-Unnumberedindent">
    <w:name w:val="Numbered - Unnumbered indent"/>
    <w:basedOn w:val="Numbered"/>
    <w:rsid w:val="00ED1750"/>
    <w:pPr>
      <w:numPr>
        <w:numId w:val="0"/>
      </w:numPr>
      <w:ind w:left="714"/>
    </w:pPr>
  </w:style>
  <w:style w:type="character" w:customStyle="1" w:styleId="NumberedChar">
    <w:name w:val="Numbered Char"/>
    <w:link w:val="Numbered"/>
    <w:rsid w:val="00ED1750"/>
    <w:rPr>
      <w:sz w:val="21"/>
      <w:lang w:val="x-none"/>
    </w:rPr>
  </w:style>
  <w:style w:type="paragraph" w:customStyle="1" w:styleId="Heading1-Notnumbered">
    <w:name w:val="Heading 1 - Not numbered"/>
    <w:basedOn w:val="Heading1"/>
    <w:next w:val="BodyText"/>
    <w:rsid w:val="00F97A37"/>
    <w:pPr>
      <w:numPr>
        <w:numId w:val="0"/>
      </w:numPr>
      <w:spacing w:before="240" w:after="480" w:line="120" w:lineRule="atLeast"/>
    </w:pPr>
  </w:style>
  <w:style w:type="paragraph" w:customStyle="1" w:styleId="Heading2-NotNumbered">
    <w:name w:val="Heading 2 - Not Numbered"/>
    <w:basedOn w:val="Heading2"/>
    <w:next w:val="BodyText"/>
    <w:rsid w:val="0017044E"/>
    <w:pPr>
      <w:numPr>
        <w:ilvl w:val="0"/>
        <w:numId w:val="0"/>
      </w:numPr>
    </w:pPr>
  </w:style>
  <w:style w:type="paragraph" w:customStyle="1" w:styleId="Tabletext-negative">
    <w:name w:val="Table text - negative"/>
    <w:basedOn w:val="Dontusethisstyle"/>
    <w:rsid w:val="00B365EA"/>
    <w:rPr>
      <w:color w:val="FF0000"/>
    </w:rPr>
  </w:style>
  <w:style w:type="character" w:customStyle="1" w:styleId="Superscript">
    <w:name w:val="Superscript"/>
    <w:basedOn w:val="DefaultParagraphFont"/>
    <w:qFormat/>
    <w:rsid w:val="00296658"/>
    <w:rPr>
      <w:position w:val="0"/>
      <w:vertAlign w:val="superscript"/>
    </w:rPr>
  </w:style>
  <w:style w:type="character" w:customStyle="1" w:styleId="DontusethisstyleChar">
    <w:name w:val="Dont use this style Char"/>
    <w:link w:val="Dontusethisstyle"/>
    <w:rsid w:val="00CF07C2"/>
    <w:rPr>
      <w:rFonts w:ascii="Arial" w:hAnsi="Arial"/>
      <w:sz w:val="18"/>
      <w:lang w:val="en-AU" w:eastAsia="en-AU" w:bidi="ar-SA"/>
    </w:rPr>
  </w:style>
  <w:style w:type="paragraph" w:customStyle="1" w:styleId="Authors">
    <w:name w:val="Authors"/>
    <w:basedOn w:val="BodyText"/>
    <w:next w:val="Normal"/>
    <w:qFormat/>
    <w:rsid w:val="00296658"/>
    <w:pPr>
      <w:spacing w:after="4440"/>
    </w:pPr>
  </w:style>
  <w:style w:type="paragraph" w:customStyle="1" w:styleId="Heading3aftertable">
    <w:name w:val="Heading 3 after table"/>
    <w:basedOn w:val="Heading3"/>
    <w:qFormat/>
    <w:rsid w:val="000F63E7"/>
    <w:pPr>
      <w:spacing w:before="240"/>
    </w:pPr>
  </w:style>
  <w:style w:type="paragraph" w:customStyle="1" w:styleId="Heading2aftertable">
    <w:name w:val="Heading 2 after table"/>
    <w:basedOn w:val="Heading2"/>
    <w:qFormat/>
    <w:rsid w:val="000F63E7"/>
    <w:pPr>
      <w:spacing w:before="240"/>
      <w:ind w:left="578" w:hanging="578"/>
    </w:pPr>
  </w:style>
  <w:style w:type="numbering" w:styleId="111111">
    <w:name w:val="Outline List 2"/>
    <w:basedOn w:val="NoList"/>
    <w:rsid w:val="00296658"/>
    <w:pPr>
      <w:numPr>
        <w:numId w:val="8"/>
      </w:numPr>
    </w:pPr>
  </w:style>
  <w:style w:type="numbering" w:styleId="1ai">
    <w:name w:val="Outline List 1"/>
    <w:basedOn w:val="NoList"/>
    <w:rsid w:val="00296658"/>
    <w:pPr>
      <w:numPr>
        <w:numId w:val="9"/>
      </w:numPr>
    </w:pPr>
  </w:style>
  <w:style w:type="numbering" w:styleId="ArticleSection">
    <w:name w:val="Outline List 3"/>
    <w:basedOn w:val="NoList"/>
    <w:rsid w:val="00296658"/>
    <w:pPr>
      <w:numPr>
        <w:numId w:val="10"/>
      </w:numPr>
    </w:pPr>
  </w:style>
  <w:style w:type="character" w:customStyle="1" w:styleId="BalloonTextChar">
    <w:name w:val="Balloon Text Char"/>
    <w:basedOn w:val="DefaultParagraphFont"/>
    <w:link w:val="BalloonText"/>
    <w:semiHidden/>
    <w:rsid w:val="00296658"/>
    <w:rPr>
      <w:rFonts w:ascii="Tahoma" w:hAnsi="Tahoma" w:cs="Tahoma"/>
      <w:sz w:val="16"/>
      <w:szCs w:val="16"/>
    </w:rPr>
  </w:style>
  <w:style w:type="paragraph" w:styleId="Bibliography">
    <w:name w:val="Bibliography"/>
    <w:basedOn w:val="Normal"/>
    <w:next w:val="Normal"/>
    <w:uiPriority w:val="37"/>
    <w:unhideWhenUsed/>
    <w:rsid w:val="00296658"/>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BlockText">
    <w:name w:val="Block Text"/>
    <w:basedOn w:val="BodyText"/>
    <w:rsid w:val="00296658"/>
  </w:style>
  <w:style w:type="paragraph" w:customStyle="1" w:styleId="BodyTextbeforeBullet">
    <w:name w:val="Body Text before Bullet"/>
    <w:basedOn w:val="BodyText"/>
    <w:next w:val="Bulletlevel1"/>
    <w:semiHidden/>
    <w:locked/>
    <w:rsid w:val="00296658"/>
    <w:pPr>
      <w:spacing w:after="0"/>
    </w:pPr>
  </w:style>
  <w:style w:type="character" w:customStyle="1" w:styleId="Bold">
    <w:name w:val="Bold"/>
    <w:basedOn w:val="DefaultParagraphFont"/>
    <w:qFormat/>
    <w:rsid w:val="00296658"/>
    <w:rPr>
      <w:b/>
    </w:rPr>
  </w:style>
  <w:style w:type="character" w:customStyle="1" w:styleId="Bulletlevel1Char">
    <w:name w:val="Bullet level 1 Char"/>
    <w:basedOn w:val="BodyTextChar"/>
    <w:link w:val="Bulletlevel1"/>
    <w:rsid w:val="00296658"/>
    <w:rPr>
      <w:rFonts w:eastAsia="Times New Roman" w:cs="Arial"/>
    </w:rPr>
  </w:style>
  <w:style w:type="paragraph" w:customStyle="1" w:styleId="Bulletlevel1numbered">
    <w:name w:val="Bullet level 1 numbered"/>
    <w:basedOn w:val="BodyText"/>
    <w:link w:val="Bulletlevel1numberedChar"/>
    <w:qFormat/>
    <w:rsid w:val="00296658"/>
    <w:pPr>
      <w:numPr>
        <w:numId w:val="12"/>
      </w:numPr>
      <w:spacing w:before="60" w:after="60"/>
    </w:pPr>
    <w:rPr>
      <w:rFonts w:eastAsia="Times New Roman"/>
    </w:rPr>
  </w:style>
  <w:style w:type="character" w:customStyle="1" w:styleId="Bulletlevel1numberedChar">
    <w:name w:val="Bullet level 1 numbered Char"/>
    <w:basedOn w:val="Bulletlevel1Char"/>
    <w:link w:val="Bulletlevel1numbered"/>
    <w:rsid w:val="00296658"/>
    <w:rPr>
      <w:rFonts w:eastAsia="Times New Roman" w:cs="Arial"/>
    </w:rPr>
  </w:style>
  <w:style w:type="paragraph" w:customStyle="1" w:styleId="Bulletlevel2numbered">
    <w:name w:val="Bullet level 2 numbered"/>
    <w:basedOn w:val="Bulletlevel1numbered"/>
    <w:qFormat/>
    <w:rsid w:val="00296658"/>
    <w:pPr>
      <w:numPr>
        <w:ilvl w:val="1"/>
      </w:numPr>
    </w:pPr>
    <w:rPr>
      <w:rFonts w:eastAsia="Times"/>
    </w:rPr>
  </w:style>
  <w:style w:type="numbering" w:customStyle="1" w:styleId="Bullets">
    <w:name w:val="Bullets"/>
    <w:uiPriority w:val="99"/>
    <w:rsid w:val="00296658"/>
    <w:pPr>
      <w:numPr>
        <w:numId w:val="13"/>
      </w:numPr>
    </w:pPr>
  </w:style>
  <w:style w:type="numbering" w:customStyle="1" w:styleId="Bulletnew">
    <w:name w:val="Bullet new"/>
    <w:basedOn w:val="Bullets"/>
    <w:uiPriority w:val="99"/>
    <w:rsid w:val="00296658"/>
    <w:pPr>
      <w:numPr>
        <w:numId w:val="14"/>
      </w:numPr>
    </w:pPr>
  </w:style>
  <w:style w:type="numbering" w:customStyle="1" w:styleId="BulletsGA">
    <w:name w:val="Bullets GA"/>
    <w:basedOn w:val="NoList"/>
    <w:uiPriority w:val="99"/>
    <w:rsid w:val="00296658"/>
    <w:pPr>
      <w:numPr>
        <w:numId w:val="15"/>
      </w:numPr>
    </w:pPr>
  </w:style>
  <w:style w:type="numbering" w:customStyle="1" w:styleId="BulletsNumbered">
    <w:name w:val="Bullets Numbered"/>
    <w:uiPriority w:val="99"/>
    <w:rsid w:val="00296658"/>
    <w:pPr>
      <w:numPr>
        <w:numId w:val="16"/>
      </w:numPr>
    </w:pPr>
  </w:style>
  <w:style w:type="character" w:customStyle="1" w:styleId="Captionbold">
    <w:name w:val="Caption bold"/>
    <w:qFormat/>
    <w:rsid w:val="00296658"/>
    <w:rPr>
      <w:b/>
    </w:rPr>
  </w:style>
  <w:style w:type="paragraph" w:styleId="Closing">
    <w:name w:val="Closing"/>
    <w:basedOn w:val="BodyText"/>
    <w:next w:val="BodyText"/>
    <w:link w:val="ClosingChar"/>
    <w:rsid w:val="00296658"/>
    <w:pPr>
      <w:ind w:left="4252"/>
    </w:pPr>
  </w:style>
  <w:style w:type="character" w:customStyle="1" w:styleId="ClosingChar">
    <w:name w:val="Closing Char"/>
    <w:basedOn w:val="DefaultParagraphFont"/>
    <w:link w:val="Closing"/>
    <w:rsid w:val="00296658"/>
    <w:rPr>
      <w:rFonts w:cs="Arial"/>
    </w:rPr>
  </w:style>
  <w:style w:type="paragraph" w:styleId="Date">
    <w:name w:val="Date"/>
    <w:basedOn w:val="BodyText"/>
    <w:next w:val="BodyText"/>
    <w:link w:val="DateChar"/>
    <w:rsid w:val="00296658"/>
  </w:style>
  <w:style w:type="character" w:customStyle="1" w:styleId="DateChar">
    <w:name w:val="Date Char"/>
    <w:basedOn w:val="DefaultParagraphFont"/>
    <w:link w:val="Date"/>
    <w:rsid w:val="00296658"/>
    <w:rPr>
      <w:rFonts w:cs="Arial"/>
    </w:rPr>
  </w:style>
  <w:style w:type="paragraph" w:styleId="DocumentMap">
    <w:name w:val="Document Map"/>
    <w:basedOn w:val="Normal"/>
    <w:link w:val="DocumentMapChar"/>
    <w:rsid w:val="00296658"/>
    <w:pPr>
      <w:spacing w:line="240" w:lineRule="auto"/>
    </w:pPr>
    <w:rPr>
      <w:rFonts w:ascii="Tahoma" w:hAnsi="Tahoma" w:cs="Tahoma"/>
      <w:sz w:val="16"/>
      <w:szCs w:val="16"/>
    </w:rPr>
  </w:style>
  <w:style w:type="character" w:customStyle="1" w:styleId="DocumentMapChar">
    <w:name w:val="Document Map Char"/>
    <w:basedOn w:val="DefaultParagraphFont"/>
    <w:link w:val="DocumentMap"/>
    <w:rsid w:val="00296658"/>
    <w:rPr>
      <w:rFonts w:ascii="Tahoma" w:hAnsi="Tahoma" w:cs="Tahoma"/>
      <w:sz w:val="16"/>
      <w:szCs w:val="16"/>
    </w:rPr>
  </w:style>
  <w:style w:type="paragraph" w:customStyle="1" w:styleId="Documentsubtitle">
    <w:name w:val="Document subtitle"/>
    <w:basedOn w:val="Documenttitle"/>
    <w:next w:val="Record"/>
    <w:link w:val="DocumentsubtitleChar"/>
    <w:qFormat/>
    <w:rsid w:val="00296658"/>
    <w:pPr>
      <w:spacing w:before="0" w:after="600"/>
    </w:pPr>
    <w:rPr>
      <w:sz w:val="32"/>
      <w:szCs w:val="36"/>
    </w:rPr>
  </w:style>
  <w:style w:type="character" w:customStyle="1" w:styleId="DocumentsubtitleChar">
    <w:name w:val="Document subtitle Char"/>
    <w:basedOn w:val="DefaultParagraphFont"/>
    <w:link w:val="Documentsubtitle"/>
    <w:rsid w:val="00296658"/>
    <w:rPr>
      <w:rFonts w:eastAsia="Times New Roman"/>
      <w:sz w:val="32"/>
      <w:szCs w:val="36"/>
    </w:rPr>
  </w:style>
  <w:style w:type="paragraph" w:styleId="E-mailSignature">
    <w:name w:val="E-mail Signature"/>
    <w:basedOn w:val="BodyText"/>
    <w:next w:val="BodyText"/>
    <w:link w:val="E-mailSignatureChar"/>
    <w:rsid w:val="00296658"/>
  </w:style>
  <w:style w:type="character" w:customStyle="1" w:styleId="E-mailSignatureChar">
    <w:name w:val="E-mail Signature Char"/>
    <w:basedOn w:val="DefaultParagraphFont"/>
    <w:link w:val="E-mailSignature"/>
    <w:rsid w:val="00296658"/>
    <w:rPr>
      <w:rFonts w:cs="Arial"/>
    </w:rPr>
  </w:style>
  <w:style w:type="paragraph" w:styleId="EnvelopeAddress">
    <w:name w:val="envelope address"/>
    <w:basedOn w:val="BodyText"/>
    <w:next w:val="BodyText"/>
    <w:rsid w:val="00296658"/>
    <w:pPr>
      <w:framePr w:w="7920" w:h="1980" w:hRule="exact" w:hSpace="180" w:wrap="auto" w:hAnchor="page" w:xAlign="center" w:yAlign="bottom"/>
      <w:ind w:left="2880"/>
    </w:pPr>
    <w:rPr>
      <w:sz w:val="24"/>
      <w:szCs w:val="24"/>
    </w:rPr>
  </w:style>
  <w:style w:type="paragraph" w:styleId="EnvelopeReturn">
    <w:name w:val="envelope return"/>
    <w:basedOn w:val="BodyText"/>
    <w:next w:val="BodyText"/>
    <w:rsid w:val="00296658"/>
  </w:style>
  <w:style w:type="paragraph" w:customStyle="1" w:styleId="Equation">
    <w:name w:val="Equation"/>
    <w:basedOn w:val="BodyText"/>
    <w:next w:val="BodyText"/>
    <w:uiPriority w:val="7"/>
    <w:qFormat/>
    <w:rsid w:val="00296658"/>
    <w:pPr>
      <w:tabs>
        <w:tab w:val="right" w:pos="9072"/>
      </w:tabs>
      <w:spacing w:before="360" w:after="360"/>
      <w:ind w:left="567"/>
    </w:pPr>
    <w:rPr>
      <w:rFonts w:eastAsia="Times New Roman"/>
      <w:szCs w:val="24"/>
      <w:lang w:eastAsia="en-US"/>
    </w:rPr>
  </w:style>
  <w:style w:type="paragraph" w:customStyle="1" w:styleId="Figuresandimagesleft">
    <w:name w:val="Figures and images left"/>
    <w:basedOn w:val="BodyText"/>
    <w:next w:val="Captions"/>
    <w:link w:val="FiguresandimagesleftChar"/>
    <w:qFormat/>
    <w:rsid w:val="00296658"/>
    <w:pPr>
      <w:keepNext/>
      <w:spacing w:before="480" w:after="80" w:line="160" w:lineRule="atLeast"/>
    </w:pPr>
  </w:style>
  <w:style w:type="character" w:customStyle="1" w:styleId="FiguresandimagesleftChar">
    <w:name w:val="Figures and images left Char"/>
    <w:basedOn w:val="BodyTextChar"/>
    <w:link w:val="Figuresandimagesleft"/>
    <w:rsid w:val="00296658"/>
    <w:rPr>
      <w:rFonts w:cs="Arial"/>
    </w:rPr>
  </w:style>
  <w:style w:type="paragraph" w:customStyle="1" w:styleId="Figuresandimagescentred">
    <w:name w:val="Figures and images centred"/>
    <w:basedOn w:val="Figuresandimagesleft"/>
    <w:qFormat/>
    <w:rsid w:val="00296658"/>
    <w:pPr>
      <w:jc w:val="center"/>
    </w:pPr>
  </w:style>
  <w:style w:type="character" w:customStyle="1" w:styleId="FooterChar">
    <w:name w:val="Footer Char"/>
    <w:basedOn w:val="DefaultParagraphFont"/>
    <w:link w:val="Footer"/>
    <w:rsid w:val="00296658"/>
    <w:rPr>
      <w:rFonts w:ascii="Arial Bold" w:hAnsi="Arial Bold" w:cs="Arial"/>
      <w:b/>
      <w:sz w:val="16"/>
      <w:szCs w:val="16"/>
    </w:rPr>
  </w:style>
  <w:style w:type="paragraph" w:customStyle="1" w:styleId="Footerlandscape">
    <w:name w:val="Footer landscape"/>
    <w:basedOn w:val="Footer"/>
    <w:qFormat/>
    <w:rsid w:val="00296658"/>
    <w:pPr>
      <w:tabs>
        <w:tab w:val="clear" w:pos="9072"/>
        <w:tab w:val="right" w:pos="14005"/>
      </w:tabs>
    </w:pPr>
  </w:style>
  <w:style w:type="paragraph" w:customStyle="1" w:styleId="FooterlandscapeA3">
    <w:name w:val="Footer landscape A3"/>
    <w:basedOn w:val="Footerlandscape"/>
    <w:qFormat/>
    <w:rsid w:val="00296658"/>
    <w:pPr>
      <w:tabs>
        <w:tab w:val="clear" w:pos="14005"/>
        <w:tab w:val="right" w:pos="20979"/>
      </w:tabs>
    </w:pPr>
  </w:style>
  <w:style w:type="paragraph" w:styleId="FootnoteText">
    <w:name w:val="footnote text"/>
    <w:basedOn w:val="Normal"/>
    <w:link w:val="FootnoteTextChar"/>
    <w:rsid w:val="00296658"/>
    <w:pPr>
      <w:spacing w:line="240" w:lineRule="auto"/>
    </w:pPr>
  </w:style>
  <w:style w:type="character" w:customStyle="1" w:styleId="FootnoteTextChar">
    <w:name w:val="Footnote Text Char"/>
    <w:basedOn w:val="DefaultParagraphFont"/>
    <w:link w:val="FootnoteText"/>
    <w:rsid w:val="00296658"/>
  </w:style>
  <w:style w:type="paragraph" w:customStyle="1" w:styleId="Head1nonumbers">
    <w:name w:val="Head 1 no numbers"/>
    <w:next w:val="BodyText"/>
    <w:link w:val="Head1nonumbersChar"/>
    <w:qFormat/>
    <w:rsid w:val="00296658"/>
    <w:pPr>
      <w:keepNext/>
      <w:keepLines/>
      <w:pageBreakBefore/>
      <w:spacing w:before="180" w:after="1080"/>
      <w:outlineLvl w:val="0"/>
    </w:pPr>
    <w:rPr>
      <w:rFonts w:cs="Arial"/>
      <w:kern w:val="28"/>
      <w:sz w:val="40"/>
      <w:lang w:val="x-none" w:eastAsia="x-none"/>
    </w:rPr>
  </w:style>
  <w:style w:type="character" w:customStyle="1" w:styleId="Head1nonumbersChar">
    <w:name w:val="Head 1 no numbers Char"/>
    <w:basedOn w:val="Heading1Char"/>
    <w:link w:val="Head1nonumbers"/>
    <w:rsid w:val="00296658"/>
    <w:rPr>
      <w:rFonts w:cs="Arial"/>
      <w:kern w:val="28"/>
      <w:sz w:val="40"/>
    </w:rPr>
  </w:style>
  <w:style w:type="paragraph" w:customStyle="1" w:styleId="Head2nonumbers">
    <w:name w:val="Head 2 no numbers"/>
    <w:basedOn w:val="Head1nonumbers"/>
    <w:next w:val="BodyText"/>
    <w:link w:val="Head2nonumbersChar"/>
    <w:qFormat/>
    <w:rsid w:val="00296658"/>
    <w:pPr>
      <w:pageBreakBefore w:val="0"/>
      <w:numPr>
        <w:ilvl w:val="1"/>
      </w:numPr>
      <w:spacing w:before="480" w:after="180"/>
      <w:outlineLvl w:val="1"/>
    </w:pPr>
    <w:rPr>
      <w:sz w:val="30"/>
      <w:szCs w:val="28"/>
    </w:rPr>
  </w:style>
  <w:style w:type="character" w:customStyle="1" w:styleId="Head2nonumbersChar">
    <w:name w:val="Head 2 no numbers Char"/>
    <w:basedOn w:val="Head1nonumbersChar"/>
    <w:link w:val="Head2nonumbers"/>
    <w:rsid w:val="00296658"/>
    <w:rPr>
      <w:rFonts w:cs="Arial"/>
      <w:kern w:val="28"/>
      <w:sz w:val="30"/>
      <w:szCs w:val="28"/>
    </w:rPr>
  </w:style>
  <w:style w:type="paragraph" w:customStyle="1" w:styleId="Head3nonumbers">
    <w:name w:val="Head 3 no numbers"/>
    <w:basedOn w:val="Head2nonumbers"/>
    <w:next w:val="BodyText"/>
    <w:link w:val="Head3nonumbersChar"/>
    <w:qFormat/>
    <w:rsid w:val="00296658"/>
    <w:pPr>
      <w:numPr>
        <w:ilvl w:val="2"/>
      </w:numPr>
      <w:outlineLvl w:val="2"/>
    </w:pPr>
    <w:rPr>
      <w:rFonts w:cs="Lucida Sans Unicode"/>
      <w:b/>
      <w:sz w:val="24"/>
      <w:szCs w:val="24"/>
    </w:rPr>
  </w:style>
  <w:style w:type="character" w:customStyle="1" w:styleId="Head3nonumbersChar">
    <w:name w:val="Head 3 no numbers Char"/>
    <w:basedOn w:val="Head2nonumbersChar"/>
    <w:link w:val="Head3nonumbers"/>
    <w:rsid w:val="00296658"/>
    <w:rPr>
      <w:rFonts w:cs="Lucida Sans Unicode"/>
      <w:b/>
      <w:kern w:val="28"/>
      <w:sz w:val="24"/>
      <w:szCs w:val="24"/>
    </w:rPr>
  </w:style>
  <w:style w:type="paragraph" w:customStyle="1" w:styleId="Head4nonumbers">
    <w:name w:val="Head 4 no numbers"/>
    <w:basedOn w:val="Head3nonumbers"/>
    <w:next w:val="BodyText"/>
    <w:link w:val="Head4nonumbersChar"/>
    <w:qFormat/>
    <w:rsid w:val="00296658"/>
    <w:pPr>
      <w:numPr>
        <w:ilvl w:val="3"/>
      </w:numPr>
      <w:spacing w:before="180"/>
      <w:outlineLvl w:val="3"/>
    </w:pPr>
    <w:rPr>
      <w:i/>
      <w:sz w:val="22"/>
      <w:szCs w:val="22"/>
      <w:lang w:val="en-AU" w:eastAsia="en-AU"/>
    </w:rPr>
  </w:style>
  <w:style w:type="character" w:customStyle="1" w:styleId="Head4nonumbersChar">
    <w:name w:val="Head 4 no numbers Char"/>
    <w:basedOn w:val="DefaultParagraphFont"/>
    <w:link w:val="Head4nonumbers"/>
    <w:rsid w:val="00296658"/>
    <w:rPr>
      <w:rFonts w:cs="Lucida Sans Unicode"/>
      <w:b/>
      <w:i/>
      <w:kern w:val="28"/>
      <w:sz w:val="22"/>
      <w:szCs w:val="22"/>
    </w:rPr>
  </w:style>
  <w:style w:type="paragraph" w:customStyle="1" w:styleId="Head5nonumbers">
    <w:name w:val="Head 5 no numbers"/>
    <w:basedOn w:val="Head4nonumbers"/>
    <w:next w:val="BodyText"/>
    <w:qFormat/>
    <w:rsid w:val="00296658"/>
    <w:pPr>
      <w:numPr>
        <w:ilvl w:val="4"/>
      </w:numPr>
      <w:outlineLvl w:val="4"/>
    </w:pPr>
    <w:rPr>
      <w:b w:val="0"/>
    </w:rPr>
  </w:style>
  <w:style w:type="character" w:customStyle="1" w:styleId="Heading2Char">
    <w:name w:val="Heading 2 Char"/>
    <w:basedOn w:val="Heading1Char"/>
    <w:link w:val="Heading2"/>
    <w:rsid w:val="00296658"/>
    <w:rPr>
      <w:rFonts w:cs="Arial"/>
      <w:kern w:val="28"/>
      <w:sz w:val="30"/>
      <w:szCs w:val="30"/>
    </w:rPr>
  </w:style>
  <w:style w:type="character" w:customStyle="1" w:styleId="Heading3Char">
    <w:name w:val="Heading 3 Char"/>
    <w:basedOn w:val="Heading2Char"/>
    <w:link w:val="Heading3"/>
    <w:rsid w:val="00296658"/>
    <w:rPr>
      <w:rFonts w:cs="Arial"/>
      <w:b/>
      <w:kern w:val="28"/>
      <w:sz w:val="24"/>
      <w:szCs w:val="30"/>
    </w:rPr>
  </w:style>
  <w:style w:type="character" w:customStyle="1" w:styleId="Heading4Char">
    <w:name w:val="Heading 4 Char"/>
    <w:basedOn w:val="Heading3Char"/>
    <w:link w:val="Heading4"/>
    <w:rsid w:val="00296658"/>
    <w:rPr>
      <w:rFonts w:cs="Arial"/>
      <w:b/>
      <w:i/>
      <w:kern w:val="28"/>
      <w:sz w:val="22"/>
      <w:szCs w:val="30"/>
    </w:rPr>
  </w:style>
  <w:style w:type="character" w:customStyle="1" w:styleId="Heading6Char">
    <w:name w:val="Heading 6 Char"/>
    <w:basedOn w:val="BodyTextChar"/>
    <w:link w:val="Heading6"/>
    <w:rsid w:val="00296658"/>
    <w:rPr>
      <w:rFonts w:cs="Arial"/>
      <w:b/>
      <w:kern w:val="28"/>
      <w:szCs w:val="30"/>
    </w:rPr>
  </w:style>
  <w:style w:type="paragraph" w:customStyle="1" w:styleId="Headingappendix1base">
    <w:name w:val="Heading appendix 1 base"/>
    <w:next w:val="BodyText"/>
    <w:semiHidden/>
    <w:rsid w:val="00296658"/>
    <w:pPr>
      <w:keepNext/>
      <w:keepLines/>
      <w:pageBreakBefore/>
      <w:spacing w:before="180" w:after="1080" w:line="280" w:lineRule="atLeast"/>
      <w:outlineLvl w:val="0"/>
    </w:pPr>
    <w:rPr>
      <w:sz w:val="40"/>
      <w:szCs w:val="40"/>
    </w:rPr>
  </w:style>
  <w:style w:type="paragraph" w:customStyle="1" w:styleId="Headingappendix2">
    <w:name w:val="Heading appendix 2"/>
    <w:basedOn w:val="Headingappendix1base"/>
    <w:next w:val="BodyText"/>
    <w:qFormat/>
    <w:rsid w:val="00296658"/>
    <w:pPr>
      <w:pageBreakBefore w:val="0"/>
      <w:numPr>
        <w:ilvl w:val="1"/>
        <w:numId w:val="18"/>
      </w:numPr>
      <w:spacing w:before="480" w:after="180"/>
      <w:outlineLvl w:val="1"/>
    </w:pPr>
    <w:rPr>
      <w:sz w:val="30"/>
      <w:szCs w:val="30"/>
    </w:rPr>
  </w:style>
  <w:style w:type="paragraph" w:customStyle="1" w:styleId="Headingappendix3">
    <w:name w:val="Heading appendix 3"/>
    <w:basedOn w:val="Headingappendix2"/>
    <w:next w:val="BodyText"/>
    <w:qFormat/>
    <w:rsid w:val="00296658"/>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296658"/>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296658"/>
    <w:pPr>
      <w:numPr>
        <w:ilvl w:val="4"/>
      </w:numPr>
      <w:outlineLvl w:val="4"/>
    </w:pPr>
    <w:rPr>
      <w:b w:val="0"/>
      <w:bCs w:val="0"/>
    </w:rPr>
  </w:style>
  <w:style w:type="numbering" w:customStyle="1" w:styleId="HeadingsNumbered">
    <w:name w:val="Headings Numbered"/>
    <w:uiPriority w:val="99"/>
    <w:rsid w:val="00296658"/>
    <w:pPr>
      <w:numPr>
        <w:numId w:val="19"/>
      </w:numPr>
    </w:pPr>
  </w:style>
  <w:style w:type="character" w:styleId="HTMLAcronym">
    <w:name w:val="HTML Acronym"/>
    <w:basedOn w:val="DefaultParagraphFont"/>
    <w:rsid w:val="00296658"/>
  </w:style>
  <w:style w:type="paragraph" w:styleId="HTMLAddress">
    <w:name w:val="HTML Address"/>
    <w:basedOn w:val="BodyText"/>
    <w:next w:val="BodyText"/>
    <w:link w:val="HTMLAddressChar"/>
    <w:rsid w:val="00296658"/>
    <w:rPr>
      <w:iCs/>
    </w:rPr>
  </w:style>
  <w:style w:type="character" w:customStyle="1" w:styleId="HTMLAddressChar">
    <w:name w:val="HTML Address Char"/>
    <w:basedOn w:val="DefaultParagraphFont"/>
    <w:link w:val="HTMLAddress"/>
    <w:rsid w:val="00296658"/>
    <w:rPr>
      <w:rFonts w:cs="Arial"/>
      <w:iCs/>
    </w:rPr>
  </w:style>
  <w:style w:type="character" w:styleId="HTMLCite">
    <w:name w:val="HTML Cite"/>
    <w:basedOn w:val="DefaultParagraphFont"/>
    <w:rsid w:val="00296658"/>
    <w:rPr>
      <w:i/>
      <w:iCs/>
    </w:rPr>
  </w:style>
  <w:style w:type="character" w:styleId="HTMLCode">
    <w:name w:val="HTML Code"/>
    <w:basedOn w:val="DefaultParagraphFont"/>
    <w:rsid w:val="00296658"/>
    <w:rPr>
      <w:rFonts w:ascii="Courier New" w:hAnsi="Courier New" w:cs="Courier New"/>
      <w:sz w:val="20"/>
      <w:szCs w:val="20"/>
    </w:rPr>
  </w:style>
  <w:style w:type="character" w:styleId="HTMLDefinition">
    <w:name w:val="HTML Definition"/>
    <w:basedOn w:val="DefaultParagraphFont"/>
    <w:rsid w:val="00296658"/>
    <w:rPr>
      <w:i/>
      <w:iCs/>
    </w:rPr>
  </w:style>
  <w:style w:type="character" w:styleId="HTMLKeyboard">
    <w:name w:val="HTML Keyboard"/>
    <w:basedOn w:val="DefaultParagraphFont"/>
    <w:rsid w:val="00296658"/>
    <w:rPr>
      <w:rFonts w:ascii="Courier New" w:hAnsi="Courier New" w:cs="Courier New"/>
      <w:sz w:val="20"/>
      <w:szCs w:val="20"/>
    </w:rPr>
  </w:style>
  <w:style w:type="paragraph" w:styleId="HTMLPreformatted">
    <w:name w:val="HTML Preformatted"/>
    <w:basedOn w:val="BodyText"/>
    <w:next w:val="BodyText"/>
    <w:link w:val="HTMLPreformattedChar"/>
    <w:rsid w:val="00296658"/>
    <w:rPr>
      <w:rFonts w:ascii="Courier New" w:hAnsi="Courier New" w:cs="Courier New"/>
    </w:rPr>
  </w:style>
  <w:style w:type="character" w:customStyle="1" w:styleId="HTMLPreformattedChar">
    <w:name w:val="HTML Preformatted Char"/>
    <w:basedOn w:val="DefaultParagraphFont"/>
    <w:link w:val="HTMLPreformatted"/>
    <w:rsid w:val="00296658"/>
    <w:rPr>
      <w:rFonts w:ascii="Courier New" w:hAnsi="Courier New" w:cs="Courier New"/>
    </w:rPr>
  </w:style>
  <w:style w:type="character" w:styleId="HTMLSample">
    <w:name w:val="HTML Sample"/>
    <w:basedOn w:val="DefaultParagraphFont"/>
    <w:rsid w:val="00296658"/>
    <w:rPr>
      <w:rFonts w:ascii="Courier New" w:hAnsi="Courier New" w:cs="Courier New"/>
    </w:rPr>
  </w:style>
  <w:style w:type="character" w:styleId="HTMLTypewriter">
    <w:name w:val="HTML Typewriter"/>
    <w:basedOn w:val="DefaultParagraphFont"/>
    <w:rsid w:val="00296658"/>
    <w:rPr>
      <w:rFonts w:ascii="Courier New" w:hAnsi="Courier New" w:cs="Courier New"/>
      <w:sz w:val="20"/>
      <w:szCs w:val="20"/>
    </w:rPr>
  </w:style>
  <w:style w:type="character" w:styleId="HTMLVariable">
    <w:name w:val="HTML Variable"/>
    <w:basedOn w:val="DefaultParagraphFont"/>
    <w:rsid w:val="00296658"/>
    <w:rPr>
      <w:i/>
      <w:iCs/>
    </w:rPr>
  </w:style>
  <w:style w:type="character" w:customStyle="1" w:styleId="Hyperlinkprint">
    <w:name w:val="Hyperlink print"/>
    <w:basedOn w:val="Hyperlink"/>
    <w:qFormat/>
    <w:rsid w:val="00296658"/>
    <w:rPr>
      <w:color w:val="auto"/>
    </w:rPr>
  </w:style>
  <w:style w:type="paragraph" w:styleId="Index1">
    <w:name w:val="index 1"/>
    <w:basedOn w:val="Normal"/>
    <w:next w:val="Normal"/>
    <w:autoRedefine/>
    <w:rsid w:val="00296658"/>
    <w:pPr>
      <w:spacing w:line="240" w:lineRule="auto"/>
      <w:ind w:left="200" w:hanging="200"/>
    </w:pPr>
  </w:style>
  <w:style w:type="paragraph" w:styleId="Index2">
    <w:name w:val="index 2"/>
    <w:basedOn w:val="Normal"/>
    <w:next w:val="Normal"/>
    <w:autoRedefine/>
    <w:rsid w:val="00296658"/>
    <w:pPr>
      <w:spacing w:line="240" w:lineRule="auto"/>
      <w:ind w:left="400" w:hanging="200"/>
    </w:pPr>
  </w:style>
  <w:style w:type="paragraph" w:styleId="Index3">
    <w:name w:val="index 3"/>
    <w:basedOn w:val="Normal"/>
    <w:next w:val="Normal"/>
    <w:autoRedefine/>
    <w:rsid w:val="00296658"/>
    <w:pPr>
      <w:spacing w:line="240" w:lineRule="auto"/>
      <w:ind w:left="600" w:hanging="200"/>
    </w:pPr>
  </w:style>
  <w:style w:type="paragraph" w:styleId="Index4">
    <w:name w:val="index 4"/>
    <w:basedOn w:val="Normal"/>
    <w:next w:val="Normal"/>
    <w:autoRedefine/>
    <w:rsid w:val="00296658"/>
    <w:pPr>
      <w:spacing w:line="240" w:lineRule="auto"/>
      <w:ind w:left="800" w:hanging="200"/>
    </w:pPr>
  </w:style>
  <w:style w:type="paragraph" w:styleId="Index5">
    <w:name w:val="index 5"/>
    <w:basedOn w:val="Normal"/>
    <w:next w:val="Normal"/>
    <w:autoRedefine/>
    <w:rsid w:val="00296658"/>
    <w:pPr>
      <w:spacing w:line="240" w:lineRule="auto"/>
      <w:ind w:left="1000" w:hanging="200"/>
    </w:pPr>
  </w:style>
  <w:style w:type="paragraph" w:styleId="Index6">
    <w:name w:val="index 6"/>
    <w:basedOn w:val="Normal"/>
    <w:next w:val="Normal"/>
    <w:autoRedefine/>
    <w:rsid w:val="00296658"/>
    <w:pPr>
      <w:spacing w:line="240" w:lineRule="auto"/>
      <w:ind w:left="1200" w:hanging="200"/>
    </w:pPr>
  </w:style>
  <w:style w:type="paragraph" w:styleId="Index7">
    <w:name w:val="index 7"/>
    <w:basedOn w:val="Normal"/>
    <w:next w:val="Normal"/>
    <w:autoRedefine/>
    <w:rsid w:val="00296658"/>
    <w:pPr>
      <w:spacing w:line="240" w:lineRule="auto"/>
      <w:ind w:left="1400" w:hanging="200"/>
    </w:pPr>
  </w:style>
  <w:style w:type="paragraph" w:styleId="Index8">
    <w:name w:val="index 8"/>
    <w:basedOn w:val="Normal"/>
    <w:next w:val="Normal"/>
    <w:autoRedefine/>
    <w:rsid w:val="00296658"/>
    <w:pPr>
      <w:spacing w:line="240" w:lineRule="auto"/>
      <w:ind w:left="1600" w:hanging="200"/>
    </w:pPr>
  </w:style>
  <w:style w:type="paragraph" w:styleId="Index9">
    <w:name w:val="index 9"/>
    <w:basedOn w:val="Normal"/>
    <w:next w:val="Normal"/>
    <w:autoRedefine/>
    <w:rsid w:val="00296658"/>
    <w:pPr>
      <w:spacing w:line="240" w:lineRule="auto"/>
      <w:ind w:left="1800" w:hanging="200"/>
    </w:pPr>
  </w:style>
  <w:style w:type="paragraph" w:styleId="IndexHeading">
    <w:name w:val="index heading"/>
    <w:basedOn w:val="Normal"/>
    <w:next w:val="Index1"/>
    <w:rsid w:val="00296658"/>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9665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296658"/>
    <w:rPr>
      <w:b/>
      <w:bCs/>
      <w:i/>
      <w:iCs/>
      <w:color w:val="4F81BD" w:themeColor="accent1"/>
    </w:rPr>
  </w:style>
  <w:style w:type="character" w:customStyle="1" w:styleId="Italic">
    <w:name w:val="Italic"/>
    <w:basedOn w:val="DefaultParagraphFont"/>
    <w:qFormat/>
    <w:rsid w:val="00296658"/>
    <w:rPr>
      <w:i/>
    </w:rPr>
  </w:style>
  <w:style w:type="table" w:styleId="LightShading">
    <w:name w:val="Light Shading"/>
    <w:basedOn w:val="TableNormal"/>
    <w:uiPriority w:val="60"/>
    <w:rsid w:val="00296658"/>
    <w:pPr>
      <w:spacing w:before="180" w:after="18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296658"/>
    <w:pPr>
      <w:spacing w:before="180" w:after="180"/>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296658"/>
    <w:pPr>
      <w:spacing w:before="180" w:after="180"/>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296658"/>
    <w:pPr>
      <w:spacing w:before="180" w:after="180"/>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296658"/>
    <w:pPr>
      <w:spacing w:before="180" w:after="180"/>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296658"/>
    <w:pPr>
      <w:spacing w:before="180" w:after="180"/>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LineNumber">
    <w:name w:val="line number"/>
    <w:basedOn w:val="DefaultParagraphFont"/>
    <w:rsid w:val="00296658"/>
  </w:style>
  <w:style w:type="paragraph" w:styleId="List">
    <w:name w:val="List"/>
    <w:basedOn w:val="BodyText"/>
    <w:next w:val="BodyText"/>
    <w:rsid w:val="00296658"/>
    <w:pPr>
      <w:ind w:left="283" w:hanging="283"/>
    </w:pPr>
  </w:style>
  <w:style w:type="paragraph" w:styleId="List2">
    <w:name w:val="List 2"/>
    <w:basedOn w:val="List"/>
    <w:next w:val="BodyText"/>
    <w:rsid w:val="00296658"/>
    <w:pPr>
      <w:ind w:left="566"/>
    </w:pPr>
  </w:style>
  <w:style w:type="paragraph" w:styleId="List3">
    <w:name w:val="List 3"/>
    <w:basedOn w:val="List2"/>
    <w:next w:val="BodyText"/>
    <w:rsid w:val="00296658"/>
    <w:pPr>
      <w:ind w:left="849"/>
    </w:pPr>
  </w:style>
  <w:style w:type="paragraph" w:styleId="List4">
    <w:name w:val="List 4"/>
    <w:basedOn w:val="List3"/>
    <w:next w:val="BodyText"/>
    <w:rsid w:val="00296658"/>
    <w:pPr>
      <w:ind w:left="1132"/>
    </w:pPr>
  </w:style>
  <w:style w:type="paragraph" w:styleId="List5">
    <w:name w:val="List 5"/>
    <w:basedOn w:val="List4"/>
    <w:next w:val="BodyText"/>
    <w:rsid w:val="00296658"/>
    <w:pPr>
      <w:ind w:left="1415"/>
    </w:pPr>
  </w:style>
  <w:style w:type="paragraph" w:styleId="ListBullet">
    <w:name w:val="List Bullet"/>
    <w:basedOn w:val="BodyText"/>
    <w:next w:val="BodyText"/>
    <w:rsid w:val="00296658"/>
    <w:pPr>
      <w:numPr>
        <w:numId w:val="20"/>
      </w:numPr>
    </w:pPr>
  </w:style>
  <w:style w:type="paragraph" w:styleId="ListBullet2">
    <w:name w:val="List Bullet 2"/>
    <w:basedOn w:val="ListBullet"/>
    <w:next w:val="BodyText"/>
    <w:rsid w:val="00296658"/>
    <w:pPr>
      <w:numPr>
        <w:numId w:val="21"/>
      </w:numPr>
    </w:pPr>
  </w:style>
  <w:style w:type="paragraph" w:styleId="ListBullet3">
    <w:name w:val="List Bullet 3"/>
    <w:basedOn w:val="ListBullet2"/>
    <w:next w:val="BodyText"/>
    <w:rsid w:val="00296658"/>
    <w:pPr>
      <w:numPr>
        <w:numId w:val="22"/>
      </w:numPr>
    </w:pPr>
  </w:style>
  <w:style w:type="paragraph" w:styleId="ListBullet4">
    <w:name w:val="List Bullet 4"/>
    <w:basedOn w:val="ListBullet3"/>
    <w:next w:val="BodyText"/>
    <w:rsid w:val="00296658"/>
    <w:pPr>
      <w:numPr>
        <w:numId w:val="23"/>
      </w:numPr>
    </w:pPr>
  </w:style>
  <w:style w:type="paragraph" w:styleId="ListBullet5">
    <w:name w:val="List Bullet 5"/>
    <w:basedOn w:val="ListBullet4"/>
    <w:next w:val="BodyText"/>
    <w:rsid w:val="00296658"/>
    <w:pPr>
      <w:numPr>
        <w:numId w:val="24"/>
      </w:numPr>
    </w:pPr>
  </w:style>
  <w:style w:type="paragraph" w:styleId="ListContinue">
    <w:name w:val="List Continue"/>
    <w:basedOn w:val="BodyText"/>
    <w:next w:val="BodyText"/>
    <w:rsid w:val="00296658"/>
    <w:pPr>
      <w:ind w:left="283"/>
    </w:pPr>
  </w:style>
  <w:style w:type="paragraph" w:styleId="ListContinue2">
    <w:name w:val="List Continue 2"/>
    <w:basedOn w:val="ListContinue"/>
    <w:next w:val="BodyText"/>
    <w:rsid w:val="00296658"/>
    <w:pPr>
      <w:ind w:left="566"/>
    </w:pPr>
  </w:style>
  <w:style w:type="paragraph" w:styleId="ListContinue3">
    <w:name w:val="List Continue 3"/>
    <w:basedOn w:val="ListContinue2"/>
    <w:next w:val="BodyText"/>
    <w:rsid w:val="00296658"/>
    <w:pPr>
      <w:ind w:left="849"/>
    </w:pPr>
  </w:style>
  <w:style w:type="paragraph" w:styleId="ListContinue4">
    <w:name w:val="List Continue 4"/>
    <w:basedOn w:val="ListContinue3"/>
    <w:next w:val="BodyText"/>
    <w:rsid w:val="00296658"/>
    <w:pPr>
      <w:ind w:left="1132"/>
    </w:pPr>
  </w:style>
  <w:style w:type="paragraph" w:styleId="ListContinue5">
    <w:name w:val="List Continue 5"/>
    <w:basedOn w:val="ListContinue4"/>
    <w:next w:val="BodyText"/>
    <w:rsid w:val="00296658"/>
    <w:pPr>
      <w:ind w:left="1415"/>
    </w:pPr>
  </w:style>
  <w:style w:type="paragraph" w:styleId="ListNumber">
    <w:name w:val="List Number"/>
    <w:basedOn w:val="BodyText"/>
    <w:next w:val="BodyText"/>
    <w:rsid w:val="00296658"/>
    <w:pPr>
      <w:numPr>
        <w:numId w:val="25"/>
      </w:numPr>
    </w:pPr>
  </w:style>
  <w:style w:type="paragraph" w:styleId="ListNumber2">
    <w:name w:val="List Number 2"/>
    <w:basedOn w:val="ListNumber"/>
    <w:next w:val="BodyText"/>
    <w:rsid w:val="00296658"/>
    <w:pPr>
      <w:numPr>
        <w:numId w:val="26"/>
      </w:numPr>
    </w:pPr>
  </w:style>
  <w:style w:type="paragraph" w:styleId="ListNumber3">
    <w:name w:val="List Number 3"/>
    <w:basedOn w:val="ListNumber2"/>
    <w:next w:val="BodyText"/>
    <w:rsid w:val="00296658"/>
    <w:pPr>
      <w:numPr>
        <w:numId w:val="27"/>
      </w:numPr>
    </w:pPr>
  </w:style>
  <w:style w:type="paragraph" w:styleId="ListNumber4">
    <w:name w:val="List Number 4"/>
    <w:basedOn w:val="ListNumber3"/>
    <w:next w:val="BodyText"/>
    <w:rsid w:val="00296658"/>
    <w:pPr>
      <w:numPr>
        <w:numId w:val="28"/>
      </w:numPr>
    </w:pPr>
  </w:style>
  <w:style w:type="paragraph" w:styleId="ListNumber5">
    <w:name w:val="List Number 5"/>
    <w:basedOn w:val="ListNumber4"/>
    <w:next w:val="BodyText"/>
    <w:rsid w:val="00296658"/>
    <w:pPr>
      <w:numPr>
        <w:numId w:val="29"/>
      </w:numPr>
    </w:pPr>
  </w:style>
  <w:style w:type="paragraph" w:styleId="ListParagraph">
    <w:name w:val="List Paragraph"/>
    <w:basedOn w:val="Normal"/>
    <w:uiPriority w:val="34"/>
    <w:qFormat/>
    <w:rsid w:val="00296658"/>
    <w:pPr>
      <w:ind w:left="720"/>
      <w:contextualSpacing/>
    </w:pPr>
  </w:style>
  <w:style w:type="paragraph" w:styleId="MacroText">
    <w:name w:val="macro"/>
    <w:link w:val="MacroTextChar"/>
    <w:rsid w:val="00296658"/>
    <w:pPr>
      <w:tabs>
        <w:tab w:val="left" w:pos="480"/>
        <w:tab w:val="left" w:pos="960"/>
        <w:tab w:val="left" w:pos="1440"/>
        <w:tab w:val="left" w:pos="1920"/>
        <w:tab w:val="left" w:pos="2400"/>
        <w:tab w:val="left" w:pos="2880"/>
        <w:tab w:val="left" w:pos="3360"/>
        <w:tab w:val="left" w:pos="3840"/>
        <w:tab w:val="left" w:pos="4320"/>
      </w:tabs>
      <w:spacing w:before="180" w:after="180" w:line="280" w:lineRule="atLeast"/>
    </w:pPr>
    <w:rPr>
      <w:rFonts w:ascii="Consolas" w:hAnsi="Consolas"/>
    </w:rPr>
  </w:style>
  <w:style w:type="character" w:customStyle="1" w:styleId="MacroTextChar">
    <w:name w:val="Macro Text Char"/>
    <w:basedOn w:val="DefaultParagraphFont"/>
    <w:link w:val="MacroText"/>
    <w:rsid w:val="00296658"/>
    <w:rPr>
      <w:rFonts w:ascii="Consolas" w:hAnsi="Consolas"/>
    </w:rPr>
  </w:style>
  <w:style w:type="table" w:styleId="MediumGrid2">
    <w:name w:val="Medium Grid 2"/>
    <w:basedOn w:val="TableNormal"/>
    <w:uiPriority w:val="68"/>
    <w:rsid w:val="00296658"/>
    <w:pPr>
      <w:spacing w:before="180" w:after="180"/>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Shading1">
    <w:name w:val="Medium Shading 1"/>
    <w:basedOn w:val="TableNormal"/>
    <w:uiPriority w:val="63"/>
    <w:rsid w:val="00296658"/>
    <w:pPr>
      <w:spacing w:before="180" w:after="180"/>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296658"/>
    <w:pPr>
      <w:spacing w:before="180" w:after="180"/>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BodyText"/>
    <w:link w:val="MessageHeaderChar"/>
    <w:rsid w:val="00296658"/>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character" w:customStyle="1" w:styleId="MessageHeaderChar">
    <w:name w:val="Message Header Char"/>
    <w:basedOn w:val="DefaultParagraphFont"/>
    <w:link w:val="MessageHeader"/>
    <w:rsid w:val="00296658"/>
    <w:rPr>
      <w:rFonts w:cs="Arial"/>
      <w:sz w:val="24"/>
      <w:szCs w:val="24"/>
      <w:shd w:val="pct20" w:color="auto" w:fill="auto"/>
    </w:rPr>
  </w:style>
  <w:style w:type="paragraph" w:styleId="NoSpacing">
    <w:name w:val="No Spacing"/>
    <w:uiPriority w:val="1"/>
    <w:qFormat/>
    <w:rsid w:val="00296658"/>
    <w:pPr>
      <w:spacing w:before="180" w:after="180"/>
    </w:pPr>
  </w:style>
  <w:style w:type="paragraph" w:styleId="NormalIndent">
    <w:name w:val="Normal Indent"/>
    <w:basedOn w:val="BodyText"/>
    <w:next w:val="BodyText"/>
    <w:rsid w:val="00296658"/>
    <w:pPr>
      <w:ind w:left="720"/>
    </w:pPr>
  </w:style>
  <w:style w:type="paragraph" w:styleId="NoteHeading">
    <w:name w:val="Note Heading"/>
    <w:basedOn w:val="BodyText"/>
    <w:next w:val="BodyText"/>
    <w:link w:val="NoteHeadingChar"/>
    <w:rsid w:val="00296658"/>
  </w:style>
  <w:style w:type="character" w:customStyle="1" w:styleId="NoteHeadingChar">
    <w:name w:val="Note Heading Char"/>
    <w:basedOn w:val="DefaultParagraphFont"/>
    <w:link w:val="NoteHeading"/>
    <w:rsid w:val="00296658"/>
    <w:rPr>
      <w:rFonts w:cs="Arial"/>
    </w:rPr>
  </w:style>
  <w:style w:type="paragraph" w:styleId="PlainText">
    <w:name w:val="Plain Text"/>
    <w:basedOn w:val="BodyText"/>
    <w:link w:val="PlainTextChar"/>
    <w:rsid w:val="00296658"/>
    <w:rPr>
      <w:rFonts w:ascii="Courier New" w:hAnsi="Courier New" w:cs="Courier New"/>
    </w:rPr>
  </w:style>
  <w:style w:type="character" w:customStyle="1" w:styleId="PlainTextChar">
    <w:name w:val="Plain Text Char"/>
    <w:basedOn w:val="DefaultParagraphFont"/>
    <w:link w:val="PlainText"/>
    <w:rsid w:val="00296658"/>
    <w:rPr>
      <w:rFonts w:ascii="Courier New" w:hAnsi="Courier New" w:cs="Courier New"/>
    </w:rPr>
  </w:style>
  <w:style w:type="paragraph" w:styleId="Quote">
    <w:name w:val="Quote"/>
    <w:basedOn w:val="Normal"/>
    <w:next w:val="Normal"/>
    <w:link w:val="QuoteChar"/>
    <w:uiPriority w:val="29"/>
    <w:qFormat/>
    <w:rsid w:val="00296658"/>
    <w:rPr>
      <w:i/>
      <w:iCs/>
      <w:color w:val="000000" w:themeColor="text1"/>
    </w:rPr>
  </w:style>
  <w:style w:type="character" w:customStyle="1" w:styleId="QuoteChar">
    <w:name w:val="Quote Char"/>
    <w:basedOn w:val="DefaultParagraphFont"/>
    <w:link w:val="Quote"/>
    <w:uiPriority w:val="29"/>
    <w:rsid w:val="00296658"/>
    <w:rPr>
      <w:i/>
      <w:iCs/>
      <w:color w:val="000000" w:themeColor="text1"/>
    </w:rPr>
  </w:style>
  <w:style w:type="character" w:customStyle="1" w:styleId="ReferencesItalic">
    <w:name w:val="References Italic"/>
    <w:basedOn w:val="DefaultParagraphFont"/>
    <w:qFormat/>
    <w:rsid w:val="00296658"/>
    <w:rPr>
      <w:i/>
    </w:rPr>
  </w:style>
  <w:style w:type="paragraph" w:styleId="Salutation">
    <w:name w:val="Salutation"/>
    <w:basedOn w:val="BodyText"/>
    <w:next w:val="BodyText"/>
    <w:link w:val="SalutationChar"/>
    <w:rsid w:val="00296658"/>
  </w:style>
  <w:style w:type="character" w:customStyle="1" w:styleId="SalutationChar">
    <w:name w:val="Salutation Char"/>
    <w:basedOn w:val="DefaultParagraphFont"/>
    <w:link w:val="Salutation"/>
    <w:rsid w:val="00296658"/>
    <w:rPr>
      <w:rFonts w:cs="Arial"/>
    </w:rPr>
  </w:style>
  <w:style w:type="paragraph" w:styleId="Signature">
    <w:name w:val="Signature"/>
    <w:basedOn w:val="BodyText"/>
    <w:next w:val="BodyText"/>
    <w:link w:val="SignatureChar"/>
    <w:rsid w:val="00296658"/>
    <w:pPr>
      <w:ind w:left="4252"/>
    </w:pPr>
  </w:style>
  <w:style w:type="character" w:customStyle="1" w:styleId="SignatureChar">
    <w:name w:val="Signature Char"/>
    <w:basedOn w:val="DefaultParagraphFont"/>
    <w:link w:val="Signature"/>
    <w:rsid w:val="00296658"/>
    <w:rPr>
      <w:rFonts w:cs="Arial"/>
    </w:rPr>
  </w:style>
  <w:style w:type="paragraph" w:customStyle="1" w:styleId="StyleBodyTextLinespacingAtleast6pt">
    <w:name w:val="Style Body Text + Line spacing:  At least 6 pt"/>
    <w:basedOn w:val="BodyText"/>
    <w:next w:val="BodyText"/>
    <w:semiHidden/>
    <w:locked/>
    <w:rsid w:val="00296658"/>
    <w:rPr>
      <w:rFonts w:eastAsia="Times New Roman"/>
    </w:rPr>
  </w:style>
  <w:style w:type="paragraph" w:customStyle="1" w:styleId="StyleHeading4numberedNotBoldNotItalic">
    <w:name w:val="Style Heading 4 numbered + Not Bold Not Italic"/>
    <w:basedOn w:val="Head4nonumbers"/>
    <w:semiHidden/>
    <w:locked/>
    <w:rsid w:val="00296658"/>
    <w:rPr>
      <w:b w:val="0"/>
    </w:rPr>
  </w:style>
  <w:style w:type="paragraph" w:customStyle="1" w:styleId="StyleHeads3NumberedNotBold">
    <w:name w:val="Style Heads 3 Numbered + Not Bold"/>
    <w:basedOn w:val="Head3nonumbers"/>
    <w:semiHidden/>
    <w:locked/>
    <w:rsid w:val="00296658"/>
    <w:rPr>
      <w:lang w:val="en-AU" w:eastAsia="en-AU"/>
    </w:rPr>
  </w:style>
  <w:style w:type="character" w:customStyle="1" w:styleId="Subscript">
    <w:name w:val="Subscript"/>
    <w:basedOn w:val="DefaultParagraphFont"/>
    <w:qFormat/>
    <w:rsid w:val="00296658"/>
    <w:rPr>
      <w:position w:val="-2"/>
      <w:vertAlign w:val="subscript"/>
    </w:rPr>
  </w:style>
  <w:style w:type="character" w:customStyle="1" w:styleId="Subscriptitalic">
    <w:name w:val="Subscript italic"/>
    <w:basedOn w:val="Subscript"/>
    <w:qFormat/>
    <w:rsid w:val="00296658"/>
    <w:rPr>
      <w:i/>
      <w:iCs/>
      <w:position w:val="-2"/>
      <w:vertAlign w:val="subscript"/>
    </w:rPr>
  </w:style>
  <w:style w:type="paragraph" w:styleId="Subtitle">
    <w:name w:val="Subtitle"/>
    <w:basedOn w:val="BodyText"/>
    <w:next w:val="BodyText"/>
    <w:link w:val="SubtitleChar"/>
    <w:qFormat/>
    <w:rsid w:val="00296658"/>
    <w:pPr>
      <w:spacing w:after="60"/>
      <w:jc w:val="center"/>
      <w:outlineLvl w:val="1"/>
    </w:pPr>
    <w:rPr>
      <w:sz w:val="24"/>
      <w:szCs w:val="24"/>
    </w:rPr>
  </w:style>
  <w:style w:type="character" w:customStyle="1" w:styleId="SubtitleChar">
    <w:name w:val="Subtitle Char"/>
    <w:basedOn w:val="DefaultParagraphFont"/>
    <w:link w:val="Subtitle"/>
    <w:rsid w:val="00296658"/>
    <w:rPr>
      <w:rFonts w:cs="Arial"/>
      <w:sz w:val="24"/>
      <w:szCs w:val="24"/>
    </w:rPr>
  </w:style>
  <w:style w:type="character" w:customStyle="1" w:styleId="SuperscriptItalic">
    <w:name w:val="Superscript Italic"/>
    <w:basedOn w:val="Superscript"/>
    <w:qFormat/>
    <w:rsid w:val="00296658"/>
    <w:rPr>
      <w:i/>
      <w:iCs/>
      <w:position w:val="0"/>
      <w:vertAlign w:val="superscript"/>
    </w:rPr>
  </w:style>
  <w:style w:type="table" w:styleId="Table3Deffects1">
    <w:name w:val="Table 3D effects 1"/>
    <w:basedOn w:val="TableNormal"/>
    <w:rsid w:val="00296658"/>
    <w:pPr>
      <w:spacing w:before="600" w:after="600" w:line="280" w:lineRule="atLeast"/>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296658"/>
    <w:pPr>
      <w:spacing w:before="180" w:after="180" w:line="28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296658"/>
    <w:pPr>
      <w:spacing w:before="180" w:after="180" w:line="28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296658"/>
    <w:pPr>
      <w:spacing w:before="180" w:after="180" w:line="28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296658"/>
    <w:pPr>
      <w:spacing w:before="180" w:after="180" w:line="28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296658"/>
    <w:pPr>
      <w:spacing w:before="180" w:after="180" w:line="28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296658"/>
    <w:pPr>
      <w:spacing w:before="180" w:after="180" w:line="28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296658"/>
    <w:pPr>
      <w:spacing w:before="180" w:after="180" w:line="28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296658"/>
    <w:pPr>
      <w:spacing w:before="180" w:after="180" w:line="28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296658"/>
    <w:pPr>
      <w:spacing w:before="180" w:after="180" w:line="28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296658"/>
    <w:pPr>
      <w:spacing w:before="180" w:after="180" w:line="28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296658"/>
    <w:pPr>
      <w:spacing w:before="180" w:after="180" w:line="28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296658"/>
    <w:pPr>
      <w:spacing w:before="180" w:after="180" w:line="28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296658"/>
    <w:pPr>
      <w:spacing w:before="180" w:after="180" w:line="28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296658"/>
    <w:pPr>
      <w:spacing w:before="180" w:after="180" w:line="28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296658"/>
    <w:pPr>
      <w:spacing w:before="180" w:after="180" w:line="28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296658"/>
    <w:pPr>
      <w:spacing w:before="180" w:after="180" w:line="28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AHeaderRowColumn">
    <w:name w:val="Table GA Header Row &amp; Column"/>
    <w:basedOn w:val="TableNormal"/>
    <w:uiPriority w:val="99"/>
    <w:rsid w:val="00296658"/>
    <w:pPr>
      <w:spacing w:before="180" w:after="180"/>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table" w:customStyle="1" w:styleId="TableGAHeaderColumn">
    <w:name w:val="Table GA Header Column"/>
    <w:basedOn w:val="TableGAHeaderRowColumn"/>
    <w:uiPriority w:val="99"/>
    <w:rsid w:val="00296658"/>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table" w:customStyle="1" w:styleId="TableGAHeaderRow">
    <w:name w:val="Table GA Header Row"/>
    <w:basedOn w:val="TableNormal"/>
    <w:rsid w:val="00296658"/>
    <w:pPr>
      <w:spacing w:before="180" w:after="180" w:line="28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table" w:customStyle="1" w:styleId="TableGANoHeader">
    <w:name w:val="Table GA No Header"/>
    <w:basedOn w:val="TableGAHeaderRow"/>
    <w:uiPriority w:val="99"/>
    <w:rsid w:val="00296658"/>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styleId="TableGrid1">
    <w:name w:val="Table Grid 1"/>
    <w:basedOn w:val="TableNormal"/>
    <w:rsid w:val="00296658"/>
    <w:pPr>
      <w:spacing w:before="180" w:after="180" w:line="28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296658"/>
    <w:pPr>
      <w:spacing w:before="180" w:after="180" w:line="28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296658"/>
    <w:pPr>
      <w:spacing w:before="180" w:after="180" w:line="28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296658"/>
    <w:pPr>
      <w:spacing w:before="180" w:after="180" w:line="28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296658"/>
    <w:pPr>
      <w:spacing w:before="180" w:after="180" w:line="28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296658"/>
    <w:pPr>
      <w:spacing w:before="180" w:after="180" w:line="28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296658"/>
    <w:pPr>
      <w:spacing w:before="180" w:after="180" w:line="28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296658"/>
    <w:pPr>
      <w:spacing w:before="180" w:after="180" w:line="28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headingleft">
    <w:name w:val="Table heading left"/>
    <w:rsid w:val="00082BA8"/>
    <w:pPr>
      <w:spacing w:before="20" w:after="20" w:line="200" w:lineRule="atLeast"/>
    </w:pPr>
    <w:rPr>
      <w:rFonts w:ascii="Arial Bold" w:eastAsia="Times New Roman" w:hAnsi="Arial Bold" w:cs="Arial"/>
      <w:sz w:val="18"/>
    </w:rPr>
  </w:style>
  <w:style w:type="paragraph" w:customStyle="1" w:styleId="Tableheadingcentred">
    <w:name w:val="Table heading centred"/>
    <w:basedOn w:val="Tableheadingleft"/>
    <w:rsid w:val="00082BA8"/>
    <w:pPr>
      <w:jc w:val="center"/>
    </w:pPr>
    <w:rPr>
      <w:color w:val="FFFFFF" w:themeColor="background1"/>
    </w:rPr>
  </w:style>
  <w:style w:type="paragraph" w:customStyle="1" w:styleId="Tableheadingright">
    <w:name w:val="Table heading right"/>
    <w:basedOn w:val="Tableheadingcentred"/>
    <w:rsid w:val="00296658"/>
    <w:pPr>
      <w:jc w:val="right"/>
    </w:pPr>
  </w:style>
  <w:style w:type="table" w:styleId="TableList1">
    <w:name w:val="Table List 1"/>
    <w:basedOn w:val="TableNormal"/>
    <w:rsid w:val="00296658"/>
    <w:pPr>
      <w:spacing w:before="180" w:after="180" w:line="28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296658"/>
    <w:pPr>
      <w:spacing w:before="180" w:after="180" w:line="28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296658"/>
    <w:pPr>
      <w:spacing w:before="180" w:after="180" w:line="28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296658"/>
    <w:pPr>
      <w:spacing w:before="180" w:after="180" w:line="28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296658"/>
    <w:pPr>
      <w:spacing w:before="180" w:after="180" w:line="28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296658"/>
    <w:pPr>
      <w:spacing w:before="180" w:after="180" w:line="28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296658"/>
    <w:pPr>
      <w:spacing w:before="180" w:after="180" w:line="28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296658"/>
    <w:pPr>
      <w:spacing w:before="180" w:after="180" w:line="28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Tablenotes">
    <w:name w:val="Table notes"/>
    <w:basedOn w:val="BodyText"/>
    <w:qFormat/>
    <w:rsid w:val="00296658"/>
    <w:pPr>
      <w:keepNext/>
      <w:spacing w:before="120" w:after="0" w:line="160" w:lineRule="atLeast"/>
    </w:pPr>
    <w:rPr>
      <w:rFonts w:eastAsia="Times New Roman"/>
      <w:i/>
      <w:iCs/>
      <w:sz w:val="16"/>
      <w:szCs w:val="18"/>
    </w:rPr>
  </w:style>
  <w:style w:type="paragraph" w:styleId="TableofFigures">
    <w:name w:val="table of figures"/>
    <w:basedOn w:val="TOC1"/>
    <w:next w:val="BodyText"/>
    <w:qFormat/>
    <w:rsid w:val="00296658"/>
  </w:style>
  <w:style w:type="table" w:styleId="TableProfessional">
    <w:name w:val="Table Professional"/>
    <w:basedOn w:val="TableNormal"/>
    <w:rsid w:val="00296658"/>
    <w:pPr>
      <w:spacing w:before="180" w:after="180" w:line="28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296658"/>
    <w:pPr>
      <w:spacing w:before="180" w:after="180" w:line="28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296658"/>
    <w:pPr>
      <w:spacing w:before="180" w:after="180" w:line="28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296658"/>
    <w:pPr>
      <w:spacing w:before="180" w:after="180" w:line="28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296658"/>
    <w:pPr>
      <w:spacing w:before="180" w:after="180" w:line="28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296658"/>
    <w:pPr>
      <w:spacing w:before="180" w:after="180" w:line="28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left">
    <w:name w:val="Table text left"/>
    <w:qFormat/>
    <w:rsid w:val="00296658"/>
    <w:pPr>
      <w:spacing w:before="20" w:after="20" w:line="200" w:lineRule="atLeast"/>
    </w:pPr>
    <w:rPr>
      <w:rFonts w:eastAsia="Times New Roman" w:cs="Arial"/>
      <w:sz w:val="18"/>
    </w:rPr>
  </w:style>
  <w:style w:type="paragraph" w:customStyle="1" w:styleId="Tabletextcentred">
    <w:name w:val="Table text centred"/>
    <w:basedOn w:val="Tabletextleft"/>
    <w:qFormat/>
    <w:rsid w:val="00296658"/>
    <w:pPr>
      <w:jc w:val="center"/>
    </w:pPr>
  </w:style>
  <w:style w:type="paragraph" w:customStyle="1" w:styleId="Tabletextright">
    <w:name w:val="Table text right"/>
    <w:basedOn w:val="Tabletextcentred"/>
    <w:qFormat/>
    <w:rsid w:val="00296658"/>
    <w:pPr>
      <w:jc w:val="right"/>
    </w:pPr>
  </w:style>
  <w:style w:type="table" w:styleId="TableTheme">
    <w:name w:val="Table Theme"/>
    <w:basedOn w:val="TableNormal"/>
    <w:rsid w:val="00296658"/>
    <w:pPr>
      <w:spacing w:before="180" w:after="180" w:line="28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titlebold">
    <w:name w:val="Table title bold"/>
    <w:qFormat/>
    <w:rsid w:val="00296658"/>
    <w:rPr>
      <w:b/>
    </w:rPr>
  </w:style>
  <w:style w:type="table" w:styleId="TableWeb1">
    <w:name w:val="Table Web 1"/>
    <w:basedOn w:val="TableNormal"/>
    <w:rsid w:val="00296658"/>
    <w:pPr>
      <w:spacing w:before="180" w:after="180" w:line="28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296658"/>
    <w:pPr>
      <w:spacing w:before="180" w:after="180" w:line="28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296658"/>
    <w:pPr>
      <w:spacing w:before="180" w:after="180" w:line="28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BodyText"/>
    <w:next w:val="BodyText"/>
    <w:link w:val="TitleChar"/>
    <w:rsid w:val="00296658"/>
    <w:pPr>
      <w:spacing w:before="240" w:after="60"/>
      <w:jc w:val="center"/>
      <w:outlineLvl w:val="0"/>
    </w:pPr>
    <w:rPr>
      <w:bCs/>
      <w:kern w:val="28"/>
      <w:sz w:val="32"/>
      <w:szCs w:val="32"/>
    </w:rPr>
  </w:style>
  <w:style w:type="character" w:customStyle="1" w:styleId="TitleChar">
    <w:name w:val="Title Char"/>
    <w:basedOn w:val="DefaultParagraphFont"/>
    <w:link w:val="Title"/>
    <w:rsid w:val="00296658"/>
    <w:rPr>
      <w:rFonts w:cs="Arial"/>
      <w:bCs/>
      <w:kern w:val="28"/>
      <w:sz w:val="32"/>
      <w:szCs w:val="32"/>
    </w:rPr>
  </w:style>
  <w:style w:type="paragraph" w:styleId="TOAHeading">
    <w:name w:val="toa heading"/>
    <w:next w:val="Normal"/>
    <w:uiPriority w:val="99"/>
    <w:rsid w:val="00296658"/>
    <w:pPr>
      <w:spacing w:before="120" w:after="180" w:line="280" w:lineRule="atLeast"/>
    </w:pPr>
    <w:rPr>
      <w:rFonts w:eastAsiaTheme="majorEastAsia" w:cstheme="majorBidi"/>
      <w:bCs/>
      <w:szCs w:val="24"/>
    </w:rPr>
  </w:style>
  <w:style w:type="paragraph" w:styleId="TOC4">
    <w:name w:val="toc 4"/>
    <w:basedOn w:val="TOC3"/>
    <w:next w:val="BodyText"/>
    <w:autoRedefine/>
    <w:uiPriority w:val="39"/>
    <w:qFormat/>
    <w:rsid w:val="00296658"/>
    <w:pPr>
      <w:ind w:left="425"/>
    </w:pPr>
  </w:style>
  <w:style w:type="paragraph" w:styleId="TOC5">
    <w:name w:val="toc 5"/>
    <w:basedOn w:val="TOC4"/>
    <w:next w:val="BodyText"/>
    <w:autoRedefine/>
    <w:uiPriority w:val="39"/>
    <w:qFormat/>
    <w:rsid w:val="00296658"/>
    <w:pPr>
      <w:ind w:left="567"/>
    </w:pPr>
  </w:style>
  <w:style w:type="paragraph" w:styleId="TOC6">
    <w:name w:val="toc 6"/>
    <w:basedOn w:val="Normal"/>
    <w:next w:val="Normal"/>
    <w:autoRedefine/>
    <w:rsid w:val="00296658"/>
    <w:pPr>
      <w:ind w:left="1050"/>
    </w:pPr>
  </w:style>
  <w:style w:type="paragraph" w:styleId="TOC7">
    <w:name w:val="toc 7"/>
    <w:basedOn w:val="Normal"/>
    <w:next w:val="Normal"/>
    <w:autoRedefine/>
    <w:rsid w:val="00296658"/>
    <w:pPr>
      <w:spacing w:after="100"/>
      <w:ind w:left="1200"/>
    </w:pPr>
  </w:style>
  <w:style w:type="paragraph" w:styleId="TOC8">
    <w:name w:val="toc 8"/>
    <w:basedOn w:val="Normal"/>
    <w:next w:val="Normal"/>
    <w:autoRedefine/>
    <w:rsid w:val="00296658"/>
    <w:pPr>
      <w:spacing w:after="100"/>
      <w:ind w:left="1400"/>
    </w:pPr>
  </w:style>
  <w:style w:type="paragraph" w:styleId="TOC9">
    <w:name w:val="toc 9"/>
    <w:basedOn w:val="Normal"/>
    <w:next w:val="Normal"/>
    <w:autoRedefine/>
    <w:rsid w:val="00296658"/>
    <w:pPr>
      <w:spacing w:after="100"/>
      <w:ind w:left="1600"/>
    </w:pPr>
  </w:style>
  <w:style w:type="paragraph" w:styleId="TOCHeading">
    <w:name w:val="TOC Heading"/>
    <w:next w:val="Normal"/>
    <w:qFormat/>
    <w:rsid w:val="00296658"/>
    <w:pPr>
      <w:pageBreakBefore/>
      <w:spacing w:before="180" w:after="960"/>
    </w:pPr>
    <w:rPr>
      <w:rFonts w:eastAsia="Times New Roman"/>
      <w:sz w:val="40"/>
    </w:rPr>
  </w:style>
  <w:style w:type="paragraph" w:customStyle="1" w:styleId="VersoBold">
    <w:name w:val="Verso Bold"/>
    <w:basedOn w:val="BodyText"/>
    <w:next w:val="Normal"/>
    <w:rsid w:val="00296658"/>
    <w:pPr>
      <w:spacing w:before="240" w:after="0"/>
    </w:pPr>
    <w:rPr>
      <w:b/>
      <w:kern w:val="28"/>
    </w:rPr>
  </w:style>
  <w:style w:type="paragraph" w:customStyle="1" w:styleId="VersoBoldPgB4">
    <w:name w:val="Verso Bold Pg B4"/>
    <w:basedOn w:val="Normal"/>
    <w:next w:val="BodyText"/>
    <w:qFormat/>
    <w:rsid w:val="00296658"/>
    <w:pPr>
      <w:pageBreakBefore/>
      <w:spacing w:after="60" w:line="240" w:lineRule="atLeast"/>
    </w:pPr>
    <w:rPr>
      <w:rFonts w:cs="Arial"/>
      <w:b/>
      <w:kern w:val="28"/>
    </w:rPr>
  </w:style>
  <w:style w:type="paragraph" w:customStyle="1" w:styleId="Versopageinfo">
    <w:name w:val="Verso page info"/>
    <w:basedOn w:val="BodyText"/>
    <w:link w:val="VersopageinfoChar"/>
    <w:qFormat/>
    <w:rsid w:val="00296658"/>
    <w:pPr>
      <w:spacing w:before="0"/>
    </w:pPr>
  </w:style>
  <w:style w:type="character" w:customStyle="1" w:styleId="VersopageinfoChar">
    <w:name w:val="Verso page info Char"/>
    <w:basedOn w:val="BodyTextChar"/>
    <w:link w:val="Versopageinfo"/>
    <w:rsid w:val="00296658"/>
    <w:rPr>
      <w:rFonts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w:hAnsi="Arial"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qFormat="1"/>
    <w:lsdException w:name="toc 5" w:uiPriority="39" w:qFormat="1"/>
    <w:lsdException w:name="footer" w:qFormat="1"/>
    <w:lsdException w:name="caption" w:qFormat="1"/>
    <w:lsdException w:name="table of figures" w:qFormat="1"/>
    <w:lsdException w:name="toa heading" w:uiPriority="99"/>
    <w:lsdException w:name="Title" w:qFormat="1"/>
    <w:lsdException w:name="Default Paragraph Font" w:uiPriority="1"/>
    <w:lsdException w:name="Body Text" w:qFormat="1"/>
    <w:lsdException w:name="Subtitle" w:qFormat="1"/>
    <w:lsdException w:name="Hyperlink" w:uiPriority="99" w:qFormat="1"/>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atentStyles>
  <w:style w:type="paragraph" w:default="1" w:styleId="Normal">
    <w:name w:val="Normal"/>
    <w:next w:val="BodyText"/>
    <w:qFormat/>
    <w:rsid w:val="00082BA8"/>
    <w:pPr>
      <w:spacing w:before="180" w:after="180" w:line="280" w:lineRule="atLeast"/>
    </w:pPr>
  </w:style>
  <w:style w:type="paragraph" w:styleId="Heading1">
    <w:name w:val="heading 1"/>
    <w:next w:val="BodyText"/>
    <w:link w:val="Heading1Char"/>
    <w:qFormat/>
    <w:rsid w:val="00296658"/>
    <w:pPr>
      <w:keepNext/>
      <w:keepLines/>
      <w:pageBreakBefore/>
      <w:numPr>
        <w:numId w:val="17"/>
      </w:numPr>
      <w:spacing w:before="180" w:after="1080"/>
      <w:outlineLvl w:val="0"/>
    </w:pPr>
    <w:rPr>
      <w:rFonts w:cs="Arial"/>
      <w:kern w:val="28"/>
      <w:sz w:val="40"/>
    </w:rPr>
  </w:style>
  <w:style w:type="paragraph" w:styleId="Heading2">
    <w:name w:val="heading 2"/>
    <w:basedOn w:val="Heading1"/>
    <w:next w:val="BodyText"/>
    <w:link w:val="Heading2Char"/>
    <w:qFormat/>
    <w:rsid w:val="00296658"/>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296658"/>
    <w:pPr>
      <w:numPr>
        <w:ilvl w:val="2"/>
      </w:numPr>
      <w:outlineLvl w:val="2"/>
    </w:pPr>
    <w:rPr>
      <w:b/>
      <w:sz w:val="24"/>
    </w:rPr>
  </w:style>
  <w:style w:type="paragraph" w:styleId="Heading4">
    <w:name w:val="heading 4"/>
    <w:basedOn w:val="Heading3"/>
    <w:next w:val="BodyText"/>
    <w:link w:val="Heading4Char"/>
    <w:qFormat/>
    <w:rsid w:val="00296658"/>
    <w:pPr>
      <w:numPr>
        <w:ilvl w:val="3"/>
      </w:numPr>
      <w:spacing w:before="180"/>
      <w:outlineLvl w:val="3"/>
    </w:pPr>
    <w:rPr>
      <w:i/>
      <w:sz w:val="22"/>
    </w:rPr>
  </w:style>
  <w:style w:type="paragraph" w:styleId="Heading5">
    <w:name w:val="heading 5"/>
    <w:basedOn w:val="Heading4"/>
    <w:next w:val="BodyText"/>
    <w:qFormat/>
    <w:rsid w:val="00296658"/>
    <w:pPr>
      <w:numPr>
        <w:ilvl w:val="4"/>
      </w:numPr>
      <w:outlineLvl w:val="4"/>
    </w:pPr>
    <w:rPr>
      <w:b w:val="0"/>
    </w:rPr>
  </w:style>
  <w:style w:type="paragraph" w:styleId="Heading6">
    <w:name w:val="heading 6"/>
    <w:basedOn w:val="Heading5"/>
    <w:next w:val="BodyText"/>
    <w:link w:val="Heading6Char"/>
    <w:qFormat/>
    <w:rsid w:val="00296658"/>
    <w:pPr>
      <w:numPr>
        <w:ilvl w:val="5"/>
      </w:numPr>
      <w:spacing w:before="240"/>
      <w:outlineLvl w:val="5"/>
    </w:pPr>
    <w:rPr>
      <w:b/>
      <w:i w:val="0"/>
      <w:sz w:val="20"/>
    </w:rPr>
  </w:style>
  <w:style w:type="paragraph" w:styleId="Heading7">
    <w:name w:val="heading 7"/>
    <w:basedOn w:val="Heading6"/>
    <w:next w:val="BodyText"/>
    <w:qFormat/>
    <w:rsid w:val="00296658"/>
    <w:pPr>
      <w:numPr>
        <w:ilvl w:val="6"/>
      </w:numPr>
      <w:spacing w:line="220" w:lineRule="exact"/>
      <w:outlineLvl w:val="6"/>
    </w:pPr>
    <w:rPr>
      <w:rFonts w:ascii="Arial Bold" w:hAnsi="Arial Bold"/>
      <w:i/>
      <w:spacing w:val="10"/>
      <w:sz w:val="16"/>
    </w:rPr>
  </w:style>
  <w:style w:type="paragraph" w:styleId="Heading8">
    <w:name w:val="heading 8"/>
    <w:basedOn w:val="Heading7"/>
    <w:next w:val="BodyText"/>
    <w:qFormat/>
    <w:rsid w:val="00296658"/>
    <w:pPr>
      <w:numPr>
        <w:ilvl w:val="7"/>
      </w:numPr>
      <w:outlineLvl w:val="7"/>
    </w:pPr>
    <w:rPr>
      <w:i w:val="0"/>
    </w:rPr>
  </w:style>
  <w:style w:type="paragraph" w:styleId="Heading9">
    <w:name w:val="heading 9"/>
    <w:aliases w:val="Heading appendix 1"/>
    <w:basedOn w:val="Headingappendix1base"/>
    <w:next w:val="BodyText"/>
    <w:qFormat/>
    <w:rsid w:val="00296658"/>
    <w:pPr>
      <w:numPr>
        <w:numId w:val="18"/>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link w:val="BodyTextChar"/>
    <w:qFormat/>
    <w:rsid w:val="00296658"/>
    <w:pPr>
      <w:spacing w:before="180" w:after="180" w:line="280" w:lineRule="atLeast"/>
    </w:pPr>
    <w:rPr>
      <w:rFonts w:cs="Arial"/>
    </w:rPr>
  </w:style>
  <w:style w:type="paragraph" w:styleId="Footer">
    <w:name w:val="footer"/>
    <w:next w:val="BodyText"/>
    <w:link w:val="FooterChar"/>
    <w:qFormat/>
    <w:rsid w:val="00296658"/>
    <w:pPr>
      <w:pBdr>
        <w:top w:val="single" w:sz="2" w:space="2" w:color="auto"/>
      </w:pBdr>
      <w:tabs>
        <w:tab w:val="right" w:pos="9072"/>
      </w:tabs>
      <w:spacing w:before="180" w:after="180" w:line="160" w:lineRule="atLeast"/>
      <w:mirrorIndents/>
    </w:pPr>
    <w:rPr>
      <w:rFonts w:ascii="Arial Bold" w:hAnsi="Arial Bold" w:cs="Arial"/>
      <w:b/>
      <w:sz w:val="16"/>
      <w:szCs w:val="16"/>
    </w:rPr>
  </w:style>
  <w:style w:type="paragraph" w:styleId="Header">
    <w:name w:val="header"/>
    <w:basedOn w:val="BodyText"/>
    <w:rsid w:val="00296658"/>
    <w:pPr>
      <w:tabs>
        <w:tab w:val="center" w:pos="4320"/>
        <w:tab w:val="right" w:pos="8640"/>
      </w:tabs>
      <w:spacing w:before="0" w:after="0"/>
    </w:pPr>
    <w:rPr>
      <w:rFonts w:ascii="Arial Bold" w:hAnsi="Arial Bold"/>
      <w:b/>
      <w:sz w:val="16"/>
      <w:szCs w:val="16"/>
    </w:rPr>
  </w:style>
  <w:style w:type="paragraph" w:customStyle="1" w:styleId="Record">
    <w:name w:val="Record #"/>
    <w:next w:val="BodyText"/>
    <w:qFormat/>
    <w:rsid w:val="002D3D57"/>
    <w:pPr>
      <w:keepNext/>
      <w:spacing w:before="180" w:after="1440" w:line="280" w:lineRule="atLeast"/>
    </w:pPr>
    <w:rPr>
      <w:rFonts w:eastAsia="Times New Roman"/>
      <w:caps/>
      <w:spacing w:val="10"/>
      <w:sz w:val="19"/>
    </w:rPr>
  </w:style>
  <w:style w:type="character" w:customStyle="1" w:styleId="Captionsbold">
    <w:name w:val="Captions bold"/>
    <w:rPr>
      <w:rFonts w:ascii="Times New Roman" w:hAnsi="Times New Roman"/>
      <w:b/>
      <w:sz w:val="20"/>
    </w:rPr>
  </w:style>
  <w:style w:type="paragraph" w:customStyle="1" w:styleId="Contentsheading">
    <w:name w:val="Contents heading"/>
    <w:next w:val="BodyText"/>
    <w:rsid w:val="00296658"/>
    <w:pPr>
      <w:spacing w:before="180" w:after="960"/>
      <w:outlineLvl w:val="0"/>
    </w:pPr>
    <w:rPr>
      <w:rFonts w:eastAsia="Times New Roman"/>
      <w:sz w:val="40"/>
    </w:rPr>
  </w:style>
  <w:style w:type="paragraph" w:customStyle="1" w:styleId="Documenttitle">
    <w:name w:val="Document title"/>
    <w:next w:val="BodyText"/>
    <w:qFormat/>
    <w:rsid w:val="00296658"/>
    <w:pPr>
      <w:keepNext/>
      <w:spacing w:before="1680" w:after="360"/>
      <w:outlineLvl w:val="0"/>
    </w:pPr>
    <w:rPr>
      <w:rFonts w:eastAsia="Times New Roman"/>
      <w:sz w:val="48"/>
    </w:rPr>
  </w:style>
  <w:style w:type="paragraph" w:customStyle="1" w:styleId="Notes">
    <w:name w:val="Notes"/>
    <w:basedOn w:val="BodyText"/>
    <w:qFormat/>
    <w:rsid w:val="00296658"/>
    <w:pPr>
      <w:numPr>
        <w:numId w:val="30"/>
      </w:numPr>
      <w:pBdr>
        <w:top w:val="single" w:sz="4" w:space="1" w:color="808080"/>
      </w:pBdr>
      <w:spacing w:before="0" w:after="0" w:line="160" w:lineRule="atLeast"/>
    </w:pPr>
    <w:rPr>
      <w:rFonts w:eastAsia="Times New Roman"/>
      <w:sz w:val="16"/>
    </w:rPr>
  </w:style>
  <w:style w:type="paragraph" w:customStyle="1" w:styleId="Contentsbodytext">
    <w:name w:val="Contents body text"/>
    <w:basedOn w:val="BodyText"/>
    <w:rsid w:val="00296658"/>
    <w:pPr>
      <w:tabs>
        <w:tab w:val="right" w:leader="dot" w:pos="8222"/>
      </w:tabs>
      <w:jc w:val="both"/>
    </w:pPr>
    <w:rPr>
      <w:rFonts w:eastAsia="Times New Roman"/>
    </w:rPr>
  </w:style>
  <w:style w:type="paragraph" w:customStyle="1" w:styleId="Contentsbodyindented">
    <w:name w:val="Contents body indented"/>
    <w:basedOn w:val="BodyText"/>
    <w:rsid w:val="00296658"/>
    <w:pPr>
      <w:ind w:left="284"/>
    </w:pPr>
  </w:style>
  <w:style w:type="paragraph" w:customStyle="1" w:styleId="Bulletlevel1">
    <w:name w:val="Bullet level 1"/>
    <w:basedOn w:val="BodyText"/>
    <w:link w:val="Bulletlevel1Char"/>
    <w:qFormat/>
    <w:rsid w:val="00296658"/>
    <w:pPr>
      <w:numPr>
        <w:numId w:val="11"/>
      </w:numPr>
      <w:spacing w:before="60" w:after="60"/>
    </w:pPr>
    <w:rPr>
      <w:rFonts w:eastAsia="Times New Roman"/>
    </w:rPr>
  </w:style>
  <w:style w:type="paragraph" w:customStyle="1" w:styleId="Captions">
    <w:name w:val="Captions"/>
    <w:basedOn w:val="BodyText"/>
    <w:next w:val="BodyText"/>
    <w:link w:val="CaptionsChar"/>
    <w:rsid w:val="00296658"/>
    <w:pPr>
      <w:spacing w:before="60" w:after="360"/>
    </w:pPr>
    <w:rPr>
      <w:rFonts w:eastAsia="Times New Roman"/>
      <w:i/>
      <w:sz w:val="18"/>
      <w:szCs w:val="18"/>
    </w:rPr>
  </w:style>
  <w:style w:type="paragraph" w:customStyle="1" w:styleId="Bulletlevel2">
    <w:name w:val="Bullet level 2"/>
    <w:basedOn w:val="Bulletlevel1"/>
    <w:qFormat/>
    <w:rsid w:val="00296658"/>
    <w:pPr>
      <w:numPr>
        <w:ilvl w:val="1"/>
      </w:numPr>
    </w:pPr>
  </w:style>
  <w:style w:type="paragraph" w:customStyle="1" w:styleId="Tabletitle">
    <w:name w:val="Table title"/>
    <w:basedOn w:val="BodyText"/>
    <w:next w:val="BodyText"/>
    <w:link w:val="TabletitleChar"/>
    <w:qFormat/>
    <w:rsid w:val="00296658"/>
    <w:pPr>
      <w:keepNext/>
      <w:spacing w:before="480" w:after="120" w:line="240" w:lineRule="atLeast"/>
    </w:pPr>
    <w:rPr>
      <w:rFonts w:eastAsia="Times New Roman"/>
      <w:i/>
      <w:sz w:val="18"/>
      <w:szCs w:val="18"/>
    </w:rPr>
  </w:style>
  <w:style w:type="character" w:customStyle="1" w:styleId="Tablenumber">
    <w:name w:val="Table number"/>
    <w:rPr>
      <w:b/>
    </w:rPr>
  </w:style>
  <w:style w:type="paragraph" w:customStyle="1" w:styleId="Dontusethisstyle">
    <w:name w:val="Dont use this style"/>
    <w:basedOn w:val="Normal"/>
    <w:link w:val="DontusethisstyleChar"/>
    <w:rsid w:val="00BA7A07"/>
    <w:pPr>
      <w:spacing w:line="250" w:lineRule="exact"/>
      <w:jc w:val="center"/>
    </w:pPr>
  </w:style>
  <w:style w:type="paragraph" w:customStyle="1" w:styleId="Tableheadingrow">
    <w:name w:val="Table heading row"/>
    <w:basedOn w:val="Normal"/>
    <w:rsid w:val="00E57E08"/>
    <w:pPr>
      <w:spacing w:line="230" w:lineRule="exact"/>
      <w:jc w:val="center"/>
    </w:pPr>
    <w:rPr>
      <w:rFonts w:eastAsia="Times New Roman"/>
      <w:b/>
      <w:caps/>
      <w:spacing w:val="10"/>
      <w:sz w:val="18"/>
    </w:rPr>
  </w:style>
  <w:style w:type="paragraph" w:customStyle="1" w:styleId="References">
    <w:name w:val="References"/>
    <w:basedOn w:val="BodyText"/>
    <w:qFormat/>
    <w:rsid w:val="00296658"/>
    <w:pPr>
      <w:spacing w:before="60" w:after="60" w:line="240" w:lineRule="atLeast"/>
      <w:ind w:left="284" w:hanging="284"/>
    </w:pPr>
    <w:rPr>
      <w:rFonts w:eastAsia="Times New Roman"/>
    </w:rPr>
  </w:style>
  <w:style w:type="paragraph" w:styleId="CommentText">
    <w:name w:val="annotation text"/>
    <w:basedOn w:val="BodyText"/>
    <w:link w:val="CommentTextChar"/>
    <w:semiHidden/>
    <w:rsid w:val="00296658"/>
  </w:style>
  <w:style w:type="paragraph" w:styleId="EndnoteText">
    <w:name w:val="endnote text"/>
    <w:basedOn w:val="BodyText"/>
    <w:semiHidden/>
    <w:rsid w:val="00296658"/>
  </w:style>
  <w:style w:type="character" w:customStyle="1" w:styleId="Bodytextbold">
    <w:name w:val="Body text bold"/>
    <w:qFormat/>
    <w:rsid w:val="00296658"/>
    <w:rPr>
      <w:b/>
    </w:rPr>
  </w:style>
  <w:style w:type="character" w:customStyle="1" w:styleId="Bodytextitalic">
    <w:name w:val="Body text italic"/>
    <w:qFormat/>
    <w:rsid w:val="00296658"/>
    <w:rPr>
      <w:i/>
    </w:rPr>
  </w:style>
  <w:style w:type="character" w:customStyle="1" w:styleId="Instructions">
    <w:name w:val="Instructions"/>
    <w:basedOn w:val="DefaultParagraphFont"/>
    <w:rsid w:val="00296658"/>
    <w:rPr>
      <w:rFonts w:ascii="Arial" w:hAnsi="Arial"/>
      <w:b/>
      <w:bCs/>
      <w:color w:val="FF0000"/>
      <w:sz w:val="16"/>
    </w:rPr>
  </w:style>
  <w:style w:type="character" w:customStyle="1" w:styleId="ContentsbodytextChar">
    <w:name w:val="Contents body text Char"/>
    <w:basedOn w:val="DefaultParagraphFont"/>
    <w:rsid w:val="00296658"/>
    <w:rPr>
      <w:noProof w:val="0"/>
      <w:sz w:val="21"/>
      <w:lang w:val="en-AU" w:eastAsia="en-AU" w:bidi="ar-SA"/>
    </w:rPr>
  </w:style>
  <w:style w:type="paragraph" w:styleId="TOC1">
    <w:name w:val="toc 1"/>
    <w:basedOn w:val="BodyText"/>
    <w:next w:val="BodyText"/>
    <w:autoRedefine/>
    <w:uiPriority w:val="39"/>
    <w:qFormat/>
    <w:rsid w:val="00296658"/>
    <w:pPr>
      <w:tabs>
        <w:tab w:val="right" w:leader="dot" w:pos="9072"/>
      </w:tabs>
      <w:spacing w:before="120" w:after="0" w:line="200" w:lineRule="atLeast"/>
      <w:ind w:right="284"/>
    </w:pPr>
    <w:rPr>
      <w:noProof/>
    </w:rPr>
  </w:style>
  <w:style w:type="character" w:customStyle="1" w:styleId="BodyTextChar">
    <w:name w:val="Body Text Char"/>
    <w:basedOn w:val="DefaultParagraphFont"/>
    <w:link w:val="BodyText"/>
    <w:rsid w:val="00296658"/>
    <w:rPr>
      <w:rFonts w:cs="Arial"/>
    </w:rPr>
  </w:style>
  <w:style w:type="character" w:customStyle="1" w:styleId="CommentTextChar">
    <w:name w:val="Comment Text Char"/>
    <w:basedOn w:val="BodyTextChar"/>
    <w:link w:val="CommentText"/>
    <w:semiHidden/>
    <w:rsid w:val="00296658"/>
    <w:rPr>
      <w:rFonts w:cs="Arial"/>
    </w:rPr>
  </w:style>
  <w:style w:type="paragraph" w:styleId="TOC2">
    <w:name w:val="toc 2"/>
    <w:basedOn w:val="TOC1"/>
    <w:next w:val="BodyText"/>
    <w:autoRedefine/>
    <w:uiPriority w:val="39"/>
    <w:qFormat/>
    <w:rsid w:val="00296658"/>
    <w:pPr>
      <w:spacing w:before="60"/>
      <w:ind w:left="142"/>
    </w:pPr>
  </w:style>
  <w:style w:type="table" w:styleId="TableGrid">
    <w:name w:val="Table Grid"/>
    <w:basedOn w:val="TableNormal"/>
    <w:rsid w:val="00296658"/>
    <w:pPr>
      <w:spacing w:before="180" w:after="180" w:line="28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next w:val="Normal"/>
    <w:link w:val="CaptionChar"/>
    <w:qFormat/>
    <w:rsid w:val="00296658"/>
    <w:pPr>
      <w:spacing w:before="120" w:after="480" w:line="200" w:lineRule="atLeast"/>
    </w:pPr>
    <w:rPr>
      <w:rFonts w:eastAsia="Times New Roman" w:cs="Arial"/>
      <w:i/>
      <w:sz w:val="18"/>
      <w:szCs w:val="18"/>
    </w:rPr>
  </w:style>
  <w:style w:type="character" w:styleId="Hyperlink">
    <w:name w:val="Hyperlink"/>
    <w:uiPriority w:val="99"/>
    <w:qFormat/>
    <w:rsid w:val="00CC23D0"/>
    <w:rPr>
      <w:color w:val="auto"/>
    </w:rPr>
  </w:style>
  <w:style w:type="paragraph" w:styleId="TOC3">
    <w:name w:val="toc 3"/>
    <w:basedOn w:val="TOC2"/>
    <w:next w:val="BodyText"/>
    <w:autoRedefine/>
    <w:uiPriority w:val="39"/>
    <w:qFormat/>
    <w:rsid w:val="00296658"/>
    <w:pPr>
      <w:ind w:left="284"/>
    </w:pPr>
  </w:style>
  <w:style w:type="character" w:customStyle="1" w:styleId="TabletitleChar">
    <w:name w:val="Table title Char"/>
    <w:link w:val="Tabletitle"/>
    <w:rsid w:val="00513DCF"/>
    <w:rPr>
      <w:rFonts w:eastAsia="Times New Roman" w:cs="Arial"/>
      <w:i/>
      <w:sz w:val="18"/>
      <w:szCs w:val="18"/>
    </w:rPr>
  </w:style>
  <w:style w:type="paragraph" w:customStyle="1" w:styleId="bullet1following">
    <w:name w:val=".bullet 1 (following)"/>
    <w:basedOn w:val="Normal"/>
    <w:rsid w:val="00994792"/>
    <w:pPr>
      <w:numPr>
        <w:numId w:val="1"/>
      </w:numPr>
      <w:tabs>
        <w:tab w:val="left" w:pos="284"/>
      </w:tabs>
      <w:spacing w:before="40" w:line="260" w:lineRule="exact"/>
      <w:ind w:left="284" w:hanging="284"/>
    </w:pPr>
    <w:rPr>
      <w:rFonts w:eastAsia="Times New Roman"/>
      <w:lang w:eastAsia="en-US"/>
    </w:rPr>
  </w:style>
  <w:style w:type="character" w:styleId="PageNumber">
    <w:name w:val="page number"/>
    <w:basedOn w:val="DefaultParagraphFont"/>
    <w:rsid w:val="00296658"/>
    <w:rPr>
      <w:rFonts w:ascii="Arial Bold" w:hAnsi="Arial Bold"/>
      <w:b/>
      <w:i w:val="0"/>
      <w:caps w:val="0"/>
      <w:smallCaps w:val="0"/>
      <w:strike w:val="0"/>
      <w:dstrike w:val="0"/>
      <w:vanish w:val="0"/>
      <w:color w:val="auto"/>
      <w:spacing w:val="0"/>
      <w:w w:val="100"/>
      <w:position w:val="0"/>
      <w:sz w:val="16"/>
      <w:vertAlign w:val="baseline"/>
    </w:rPr>
  </w:style>
  <w:style w:type="paragraph" w:styleId="BalloonText">
    <w:name w:val="Balloon Text"/>
    <w:basedOn w:val="Normal"/>
    <w:link w:val="BalloonTextChar"/>
    <w:semiHidden/>
    <w:rsid w:val="00296658"/>
    <w:pPr>
      <w:spacing w:line="240" w:lineRule="auto"/>
    </w:pPr>
    <w:rPr>
      <w:rFonts w:ascii="Tahoma" w:hAnsi="Tahoma" w:cs="Tahoma"/>
      <w:sz w:val="16"/>
      <w:szCs w:val="16"/>
    </w:rPr>
  </w:style>
  <w:style w:type="character" w:styleId="CommentReference">
    <w:name w:val="annotation reference"/>
    <w:semiHidden/>
    <w:rsid w:val="00A37FAB"/>
    <w:rPr>
      <w:sz w:val="16"/>
      <w:szCs w:val="16"/>
    </w:rPr>
  </w:style>
  <w:style w:type="character" w:customStyle="1" w:styleId="CharChar2">
    <w:name w:val="Char Char2"/>
    <w:rsid w:val="00886FFB"/>
    <w:rPr>
      <w:rFonts w:eastAsia="Times"/>
      <w:sz w:val="21"/>
      <w:lang w:val="en-AU" w:eastAsia="en-AU" w:bidi="ar-SA"/>
    </w:rPr>
  </w:style>
  <w:style w:type="character" w:customStyle="1" w:styleId="CaptionChar">
    <w:name w:val="Caption Char"/>
    <w:link w:val="Caption"/>
    <w:rsid w:val="0036757D"/>
    <w:rPr>
      <w:rFonts w:eastAsia="Times New Roman" w:cs="Arial"/>
      <w:i/>
      <w:sz w:val="18"/>
      <w:szCs w:val="18"/>
    </w:rPr>
  </w:style>
  <w:style w:type="character" w:customStyle="1" w:styleId="CaptionsChar">
    <w:name w:val="Captions Char"/>
    <w:link w:val="Captions"/>
    <w:rsid w:val="00886FFB"/>
    <w:rPr>
      <w:rFonts w:eastAsia="Times New Roman" w:cs="Arial"/>
      <w:i/>
      <w:sz w:val="18"/>
      <w:szCs w:val="18"/>
    </w:rPr>
  </w:style>
  <w:style w:type="character" w:styleId="Emphasis">
    <w:name w:val="Emphasis"/>
    <w:basedOn w:val="DefaultParagraphFont"/>
    <w:qFormat/>
    <w:rsid w:val="00296658"/>
    <w:rPr>
      <w:i/>
      <w:iCs/>
    </w:rPr>
  </w:style>
  <w:style w:type="character" w:customStyle="1" w:styleId="bodytext0">
    <w:name w:val="bodytext"/>
    <w:basedOn w:val="DefaultParagraphFont"/>
    <w:rsid w:val="00955DC5"/>
  </w:style>
  <w:style w:type="character" w:customStyle="1" w:styleId="apple-converted-space">
    <w:name w:val="apple-converted-space"/>
    <w:rsid w:val="00AA3D22"/>
  </w:style>
  <w:style w:type="character" w:styleId="Strong">
    <w:name w:val="Strong"/>
    <w:basedOn w:val="DefaultParagraphFont"/>
    <w:qFormat/>
    <w:rsid w:val="00296658"/>
    <w:rPr>
      <w:b/>
      <w:bCs/>
    </w:rPr>
  </w:style>
  <w:style w:type="paragraph" w:styleId="NormalWeb">
    <w:name w:val="Normal (Web)"/>
    <w:basedOn w:val="BodyText"/>
    <w:next w:val="BodyText"/>
    <w:rsid w:val="00296658"/>
    <w:rPr>
      <w:sz w:val="24"/>
      <w:szCs w:val="24"/>
    </w:rPr>
  </w:style>
  <w:style w:type="paragraph" w:styleId="CommentSubject">
    <w:name w:val="annotation subject"/>
    <w:basedOn w:val="CommentText"/>
    <w:next w:val="CommentText"/>
    <w:link w:val="CommentSubjectChar"/>
    <w:rsid w:val="00296658"/>
    <w:pPr>
      <w:spacing w:before="120" w:after="120" w:line="240" w:lineRule="auto"/>
    </w:pPr>
    <w:rPr>
      <w:b/>
      <w:bCs/>
    </w:rPr>
  </w:style>
  <w:style w:type="character" w:customStyle="1" w:styleId="CommentSubjectChar">
    <w:name w:val="Comment Subject Char"/>
    <w:basedOn w:val="CommentTextChar"/>
    <w:link w:val="CommentSubject"/>
    <w:rsid w:val="00296658"/>
    <w:rPr>
      <w:rFonts w:cs="Arial"/>
      <w:b/>
      <w:bCs/>
    </w:rPr>
  </w:style>
  <w:style w:type="paragraph" w:customStyle="1" w:styleId="bodycopy8pt">
    <w:name w:val=".body copy (8pt)"/>
    <w:basedOn w:val="Normal"/>
    <w:rsid w:val="00AA3D22"/>
    <w:pPr>
      <w:spacing w:before="160" w:line="260" w:lineRule="exact"/>
    </w:pPr>
    <w:rPr>
      <w:rFonts w:eastAsia="Times New Roman"/>
      <w:szCs w:val="22"/>
      <w:lang w:eastAsia="en-US"/>
    </w:rPr>
  </w:style>
  <w:style w:type="paragraph" w:customStyle="1" w:styleId="heading10">
    <w:name w:val=".heading 1"/>
    <w:basedOn w:val="Normal"/>
    <w:next w:val="Normal"/>
    <w:rsid w:val="00AA3D22"/>
    <w:rPr>
      <w:rFonts w:eastAsia="Times New Roman"/>
      <w:color w:val="B50737"/>
      <w:sz w:val="36"/>
      <w:szCs w:val="36"/>
      <w:lang w:eastAsia="en-US"/>
    </w:rPr>
  </w:style>
  <w:style w:type="paragraph" w:customStyle="1" w:styleId="heading20">
    <w:name w:val=".heading 2"/>
    <w:basedOn w:val="Normal"/>
    <w:next w:val="bodycopy8pt"/>
    <w:rsid w:val="00AA3D22"/>
    <w:pPr>
      <w:spacing w:before="320" w:line="260" w:lineRule="exact"/>
    </w:pPr>
    <w:rPr>
      <w:rFonts w:eastAsia="Times New Roman"/>
      <w:b/>
      <w:color w:val="B50737"/>
      <w:szCs w:val="22"/>
      <w:lang w:eastAsia="en-US"/>
    </w:rPr>
  </w:style>
  <w:style w:type="paragraph" w:customStyle="1" w:styleId="heading30">
    <w:name w:val=".heading 3"/>
    <w:basedOn w:val="Normal"/>
    <w:next w:val="bodycopy8pt"/>
    <w:rsid w:val="00AA3D22"/>
    <w:pPr>
      <w:spacing w:before="320" w:line="260" w:lineRule="exact"/>
    </w:pPr>
    <w:rPr>
      <w:rFonts w:eastAsia="Times New Roman"/>
      <w:color w:val="B50737"/>
      <w:szCs w:val="22"/>
      <w:lang w:eastAsia="en-US"/>
    </w:rPr>
  </w:style>
  <w:style w:type="paragraph" w:customStyle="1" w:styleId="tablebodycopy">
    <w:name w:val=".table body copy"/>
    <w:basedOn w:val="Normal"/>
    <w:rsid w:val="00AA3D22"/>
    <w:pPr>
      <w:spacing w:before="40" w:line="240" w:lineRule="exact"/>
    </w:pPr>
    <w:rPr>
      <w:rFonts w:eastAsia="Times New Roman"/>
      <w:sz w:val="18"/>
      <w:szCs w:val="22"/>
    </w:rPr>
  </w:style>
  <w:style w:type="paragraph" w:customStyle="1" w:styleId="tableheading1">
    <w:name w:val=".table heading 1"/>
    <w:basedOn w:val="Normal"/>
    <w:rsid w:val="00AA3D22"/>
    <w:rPr>
      <w:rFonts w:eastAsia="Times New Roman"/>
      <w:b/>
      <w:color w:val="A6A6A6"/>
      <w:sz w:val="18"/>
      <w:szCs w:val="22"/>
    </w:rPr>
  </w:style>
  <w:style w:type="paragraph" w:customStyle="1" w:styleId="bullet1first">
    <w:name w:val=".bullet 1 (first)"/>
    <w:basedOn w:val="Normal"/>
    <w:next w:val="bullet1following"/>
    <w:rsid w:val="00AA3D22"/>
    <w:pPr>
      <w:numPr>
        <w:numId w:val="2"/>
      </w:numPr>
      <w:tabs>
        <w:tab w:val="left" w:pos="284"/>
      </w:tabs>
      <w:spacing w:before="160" w:line="260" w:lineRule="exact"/>
    </w:pPr>
    <w:rPr>
      <w:rFonts w:eastAsia="Times New Roman"/>
      <w:lang w:eastAsia="en-US"/>
    </w:rPr>
  </w:style>
  <w:style w:type="paragraph" w:customStyle="1" w:styleId="bullet2">
    <w:name w:val=".bullet 2"/>
    <w:basedOn w:val="Normal"/>
    <w:rsid w:val="00AA3D22"/>
    <w:pPr>
      <w:numPr>
        <w:numId w:val="3"/>
      </w:numPr>
      <w:tabs>
        <w:tab w:val="left" w:pos="567"/>
      </w:tabs>
      <w:spacing w:before="40" w:line="260" w:lineRule="exact"/>
      <w:ind w:left="568" w:hanging="284"/>
    </w:pPr>
    <w:rPr>
      <w:rFonts w:eastAsia="Times New Roman"/>
    </w:rPr>
  </w:style>
  <w:style w:type="paragraph" w:customStyle="1" w:styleId="tablebullet1">
    <w:name w:val=".table bullet 1"/>
    <w:basedOn w:val="Normal"/>
    <w:rsid w:val="00AA3D22"/>
    <w:pPr>
      <w:numPr>
        <w:numId w:val="4"/>
      </w:numPr>
      <w:tabs>
        <w:tab w:val="left" w:pos="227"/>
      </w:tabs>
      <w:spacing w:before="40" w:line="240" w:lineRule="exact"/>
    </w:pPr>
    <w:rPr>
      <w:rFonts w:eastAsia="Times New Roman"/>
      <w:sz w:val="18"/>
    </w:rPr>
  </w:style>
  <w:style w:type="paragraph" w:customStyle="1" w:styleId="tablebullet2">
    <w:name w:val=".table bullet 2"/>
    <w:basedOn w:val="Normal"/>
    <w:rsid w:val="00AA3D22"/>
    <w:pPr>
      <w:numPr>
        <w:numId w:val="5"/>
      </w:numPr>
      <w:tabs>
        <w:tab w:val="left" w:pos="454"/>
      </w:tabs>
      <w:spacing w:before="40" w:line="240" w:lineRule="exact"/>
    </w:pPr>
    <w:rPr>
      <w:rFonts w:eastAsia="Times New Roman"/>
      <w:sz w:val="18"/>
    </w:rPr>
  </w:style>
  <w:style w:type="character" w:styleId="FollowedHyperlink">
    <w:name w:val="FollowedHyperlink"/>
    <w:basedOn w:val="Hyperlink"/>
    <w:rsid w:val="00CC23D0"/>
    <w:rPr>
      <w:color w:val="auto"/>
    </w:rPr>
  </w:style>
  <w:style w:type="character" w:customStyle="1" w:styleId="Heading1Char">
    <w:name w:val="Heading 1 Char"/>
    <w:basedOn w:val="DefaultParagraphFont"/>
    <w:link w:val="Heading1"/>
    <w:rsid w:val="00296658"/>
    <w:rPr>
      <w:rFonts w:cs="Arial"/>
      <w:kern w:val="28"/>
      <w:sz w:val="40"/>
    </w:rPr>
  </w:style>
  <w:style w:type="paragraph" w:customStyle="1" w:styleId="captions0">
    <w:name w:val="captions"/>
    <w:basedOn w:val="Normal"/>
    <w:rsid w:val="00D7235A"/>
    <w:pPr>
      <w:spacing w:line="260" w:lineRule="atLeast"/>
      <w:ind w:right="709"/>
    </w:pPr>
    <w:rPr>
      <w:rFonts w:eastAsia="Times New Roman"/>
      <w:i/>
      <w:iCs/>
    </w:rPr>
  </w:style>
  <w:style w:type="paragraph" w:customStyle="1" w:styleId="ICGTableHeader">
    <w:name w:val="ICG Table Header"/>
    <w:basedOn w:val="Normal"/>
    <w:rsid w:val="00BA7A07"/>
    <w:rPr>
      <w:rFonts w:ascii="Calibri" w:eastAsia="Times New Roman" w:hAnsi="Calibri"/>
      <w:b/>
      <w:bCs/>
      <w:color w:val="008080"/>
      <w:sz w:val="28"/>
      <w:szCs w:val="28"/>
    </w:rPr>
  </w:style>
  <w:style w:type="paragraph" w:customStyle="1" w:styleId="BodyText-Image">
    <w:name w:val="Body Text - Image"/>
    <w:basedOn w:val="BodyText"/>
    <w:next w:val="BodyText"/>
    <w:rsid w:val="0036757D"/>
    <w:pPr>
      <w:spacing w:before="360" w:after="0" w:line="120" w:lineRule="atLeast"/>
      <w:jc w:val="center"/>
    </w:pPr>
  </w:style>
  <w:style w:type="paragraph" w:customStyle="1" w:styleId="Numbered">
    <w:name w:val="Numbered"/>
    <w:basedOn w:val="Normal"/>
    <w:link w:val="NumberedChar"/>
    <w:rsid w:val="00ED1750"/>
    <w:pPr>
      <w:numPr>
        <w:numId w:val="6"/>
      </w:numPr>
      <w:spacing w:before="60" w:after="60"/>
      <w:ind w:left="714" w:hanging="357"/>
    </w:pPr>
    <w:rPr>
      <w:sz w:val="21"/>
      <w:lang w:val="x-none"/>
    </w:rPr>
  </w:style>
  <w:style w:type="paragraph" w:customStyle="1" w:styleId="Numbered-Unnumberedindent">
    <w:name w:val="Numbered - Unnumbered indent"/>
    <w:basedOn w:val="Numbered"/>
    <w:rsid w:val="00ED1750"/>
    <w:pPr>
      <w:numPr>
        <w:numId w:val="0"/>
      </w:numPr>
      <w:ind w:left="714"/>
    </w:pPr>
  </w:style>
  <w:style w:type="character" w:customStyle="1" w:styleId="NumberedChar">
    <w:name w:val="Numbered Char"/>
    <w:link w:val="Numbered"/>
    <w:rsid w:val="00ED1750"/>
    <w:rPr>
      <w:sz w:val="21"/>
      <w:lang w:val="x-none"/>
    </w:rPr>
  </w:style>
  <w:style w:type="paragraph" w:customStyle="1" w:styleId="Heading1-Notnumbered">
    <w:name w:val="Heading 1 - Not numbered"/>
    <w:basedOn w:val="Heading1"/>
    <w:next w:val="BodyText"/>
    <w:rsid w:val="00F97A37"/>
    <w:pPr>
      <w:numPr>
        <w:numId w:val="0"/>
      </w:numPr>
      <w:spacing w:before="240" w:after="480" w:line="120" w:lineRule="atLeast"/>
    </w:pPr>
  </w:style>
  <w:style w:type="paragraph" w:customStyle="1" w:styleId="Heading2-NotNumbered">
    <w:name w:val="Heading 2 - Not Numbered"/>
    <w:basedOn w:val="Heading2"/>
    <w:next w:val="BodyText"/>
    <w:rsid w:val="0017044E"/>
    <w:pPr>
      <w:numPr>
        <w:ilvl w:val="0"/>
        <w:numId w:val="0"/>
      </w:numPr>
    </w:pPr>
  </w:style>
  <w:style w:type="paragraph" w:customStyle="1" w:styleId="Tabletext-negative">
    <w:name w:val="Table text - negative"/>
    <w:basedOn w:val="Dontusethisstyle"/>
    <w:rsid w:val="00B365EA"/>
    <w:rPr>
      <w:color w:val="FF0000"/>
    </w:rPr>
  </w:style>
  <w:style w:type="character" w:customStyle="1" w:styleId="Superscript">
    <w:name w:val="Superscript"/>
    <w:basedOn w:val="DefaultParagraphFont"/>
    <w:qFormat/>
    <w:rsid w:val="00296658"/>
    <w:rPr>
      <w:position w:val="0"/>
      <w:vertAlign w:val="superscript"/>
    </w:rPr>
  </w:style>
  <w:style w:type="character" w:customStyle="1" w:styleId="DontusethisstyleChar">
    <w:name w:val="Dont use this style Char"/>
    <w:link w:val="Dontusethisstyle"/>
    <w:rsid w:val="00CF07C2"/>
    <w:rPr>
      <w:rFonts w:ascii="Arial" w:hAnsi="Arial"/>
      <w:sz w:val="18"/>
      <w:lang w:val="en-AU" w:eastAsia="en-AU" w:bidi="ar-SA"/>
    </w:rPr>
  </w:style>
  <w:style w:type="paragraph" w:customStyle="1" w:styleId="Authors">
    <w:name w:val="Authors"/>
    <w:basedOn w:val="BodyText"/>
    <w:next w:val="Normal"/>
    <w:qFormat/>
    <w:rsid w:val="00296658"/>
    <w:pPr>
      <w:spacing w:after="4440"/>
    </w:pPr>
  </w:style>
  <w:style w:type="paragraph" w:customStyle="1" w:styleId="Heading3aftertable">
    <w:name w:val="Heading 3 after table"/>
    <w:basedOn w:val="Heading3"/>
    <w:qFormat/>
    <w:rsid w:val="000F63E7"/>
    <w:pPr>
      <w:spacing w:before="240"/>
    </w:pPr>
  </w:style>
  <w:style w:type="paragraph" w:customStyle="1" w:styleId="Heading2aftertable">
    <w:name w:val="Heading 2 after table"/>
    <w:basedOn w:val="Heading2"/>
    <w:qFormat/>
    <w:rsid w:val="000F63E7"/>
    <w:pPr>
      <w:spacing w:before="240"/>
      <w:ind w:left="578" w:hanging="578"/>
    </w:pPr>
  </w:style>
  <w:style w:type="numbering" w:styleId="111111">
    <w:name w:val="Outline List 2"/>
    <w:basedOn w:val="NoList"/>
    <w:rsid w:val="00296658"/>
    <w:pPr>
      <w:numPr>
        <w:numId w:val="8"/>
      </w:numPr>
    </w:pPr>
  </w:style>
  <w:style w:type="numbering" w:styleId="1ai">
    <w:name w:val="Outline List 1"/>
    <w:basedOn w:val="NoList"/>
    <w:rsid w:val="00296658"/>
    <w:pPr>
      <w:numPr>
        <w:numId w:val="9"/>
      </w:numPr>
    </w:pPr>
  </w:style>
  <w:style w:type="numbering" w:styleId="ArticleSection">
    <w:name w:val="Outline List 3"/>
    <w:basedOn w:val="NoList"/>
    <w:rsid w:val="00296658"/>
    <w:pPr>
      <w:numPr>
        <w:numId w:val="10"/>
      </w:numPr>
    </w:pPr>
  </w:style>
  <w:style w:type="character" w:customStyle="1" w:styleId="BalloonTextChar">
    <w:name w:val="Balloon Text Char"/>
    <w:basedOn w:val="DefaultParagraphFont"/>
    <w:link w:val="BalloonText"/>
    <w:semiHidden/>
    <w:rsid w:val="00296658"/>
    <w:rPr>
      <w:rFonts w:ascii="Tahoma" w:hAnsi="Tahoma" w:cs="Tahoma"/>
      <w:sz w:val="16"/>
      <w:szCs w:val="16"/>
    </w:rPr>
  </w:style>
  <w:style w:type="paragraph" w:styleId="Bibliography">
    <w:name w:val="Bibliography"/>
    <w:basedOn w:val="Normal"/>
    <w:next w:val="Normal"/>
    <w:uiPriority w:val="37"/>
    <w:unhideWhenUsed/>
    <w:rsid w:val="00296658"/>
    <w:pPr>
      <w:pBdr>
        <w:top w:val="single" w:sz="4" w:space="1" w:color="808080"/>
        <w:left w:val="single" w:sz="4" w:space="4" w:color="808080"/>
        <w:bottom w:val="single" w:sz="4" w:space="1" w:color="808080"/>
        <w:right w:val="single" w:sz="4" w:space="4" w:color="808080"/>
      </w:pBdr>
      <w:spacing w:before="360" w:after="160"/>
    </w:pPr>
    <w:rPr>
      <w:rFonts w:eastAsia="Times New Roman" w:cs="Arial"/>
    </w:rPr>
  </w:style>
  <w:style w:type="paragraph" w:styleId="BlockText">
    <w:name w:val="Block Text"/>
    <w:basedOn w:val="BodyText"/>
    <w:rsid w:val="00296658"/>
  </w:style>
  <w:style w:type="paragraph" w:customStyle="1" w:styleId="BodyTextbeforeBullet">
    <w:name w:val="Body Text before Bullet"/>
    <w:basedOn w:val="BodyText"/>
    <w:next w:val="Bulletlevel1"/>
    <w:semiHidden/>
    <w:locked/>
    <w:rsid w:val="00296658"/>
    <w:pPr>
      <w:spacing w:after="0"/>
    </w:pPr>
  </w:style>
  <w:style w:type="character" w:customStyle="1" w:styleId="Bold">
    <w:name w:val="Bold"/>
    <w:basedOn w:val="DefaultParagraphFont"/>
    <w:qFormat/>
    <w:rsid w:val="00296658"/>
    <w:rPr>
      <w:b/>
    </w:rPr>
  </w:style>
  <w:style w:type="character" w:customStyle="1" w:styleId="Bulletlevel1Char">
    <w:name w:val="Bullet level 1 Char"/>
    <w:basedOn w:val="BodyTextChar"/>
    <w:link w:val="Bulletlevel1"/>
    <w:rsid w:val="00296658"/>
    <w:rPr>
      <w:rFonts w:eastAsia="Times New Roman" w:cs="Arial"/>
    </w:rPr>
  </w:style>
  <w:style w:type="paragraph" w:customStyle="1" w:styleId="Bulletlevel1numbered">
    <w:name w:val="Bullet level 1 numbered"/>
    <w:basedOn w:val="BodyText"/>
    <w:link w:val="Bulletlevel1numberedChar"/>
    <w:qFormat/>
    <w:rsid w:val="00296658"/>
    <w:pPr>
      <w:numPr>
        <w:numId w:val="12"/>
      </w:numPr>
      <w:spacing w:before="60" w:after="60"/>
    </w:pPr>
    <w:rPr>
      <w:rFonts w:eastAsia="Times New Roman"/>
    </w:rPr>
  </w:style>
  <w:style w:type="character" w:customStyle="1" w:styleId="Bulletlevel1numberedChar">
    <w:name w:val="Bullet level 1 numbered Char"/>
    <w:basedOn w:val="Bulletlevel1Char"/>
    <w:link w:val="Bulletlevel1numbered"/>
    <w:rsid w:val="00296658"/>
    <w:rPr>
      <w:rFonts w:eastAsia="Times New Roman" w:cs="Arial"/>
    </w:rPr>
  </w:style>
  <w:style w:type="paragraph" w:customStyle="1" w:styleId="Bulletlevel2numbered">
    <w:name w:val="Bullet level 2 numbered"/>
    <w:basedOn w:val="Bulletlevel1numbered"/>
    <w:qFormat/>
    <w:rsid w:val="00296658"/>
    <w:pPr>
      <w:numPr>
        <w:ilvl w:val="1"/>
      </w:numPr>
    </w:pPr>
    <w:rPr>
      <w:rFonts w:eastAsia="Times"/>
    </w:rPr>
  </w:style>
  <w:style w:type="numbering" w:customStyle="1" w:styleId="Bullets">
    <w:name w:val="Bullets"/>
    <w:uiPriority w:val="99"/>
    <w:rsid w:val="00296658"/>
    <w:pPr>
      <w:numPr>
        <w:numId w:val="13"/>
      </w:numPr>
    </w:pPr>
  </w:style>
  <w:style w:type="numbering" w:customStyle="1" w:styleId="Bulletnew">
    <w:name w:val="Bullet new"/>
    <w:basedOn w:val="Bullets"/>
    <w:uiPriority w:val="99"/>
    <w:rsid w:val="00296658"/>
    <w:pPr>
      <w:numPr>
        <w:numId w:val="14"/>
      </w:numPr>
    </w:pPr>
  </w:style>
  <w:style w:type="numbering" w:customStyle="1" w:styleId="BulletsGA">
    <w:name w:val="Bullets GA"/>
    <w:basedOn w:val="NoList"/>
    <w:uiPriority w:val="99"/>
    <w:rsid w:val="00296658"/>
    <w:pPr>
      <w:numPr>
        <w:numId w:val="15"/>
      </w:numPr>
    </w:pPr>
  </w:style>
  <w:style w:type="numbering" w:customStyle="1" w:styleId="BulletsNumbered">
    <w:name w:val="Bullets Numbered"/>
    <w:uiPriority w:val="99"/>
    <w:rsid w:val="00296658"/>
    <w:pPr>
      <w:numPr>
        <w:numId w:val="16"/>
      </w:numPr>
    </w:pPr>
  </w:style>
  <w:style w:type="character" w:customStyle="1" w:styleId="Captionbold">
    <w:name w:val="Caption bold"/>
    <w:qFormat/>
    <w:rsid w:val="00296658"/>
    <w:rPr>
      <w:b/>
    </w:rPr>
  </w:style>
  <w:style w:type="paragraph" w:styleId="Closing">
    <w:name w:val="Closing"/>
    <w:basedOn w:val="BodyText"/>
    <w:next w:val="BodyText"/>
    <w:link w:val="ClosingChar"/>
    <w:rsid w:val="00296658"/>
    <w:pPr>
      <w:ind w:left="4252"/>
    </w:pPr>
  </w:style>
  <w:style w:type="character" w:customStyle="1" w:styleId="ClosingChar">
    <w:name w:val="Closing Char"/>
    <w:basedOn w:val="DefaultParagraphFont"/>
    <w:link w:val="Closing"/>
    <w:rsid w:val="00296658"/>
    <w:rPr>
      <w:rFonts w:cs="Arial"/>
    </w:rPr>
  </w:style>
  <w:style w:type="paragraph" w:styleId="Date">
    <w:name w:val="Date"/>
    <w:basedOn w:val="BodyText"/>
    <w:next w:val="BodyText"/>
    <w:link w:val="DateChar"/>
    <w:rsid w:val="00296658"/>
  </w:style>
  <w:style w:type="character" w:customStyle="1" w:styleId="DateChar">
    <w:name w:val="Date Char"/>
    <w:basedOn w:val="DefaultParagraphFont"/>
    <w:link w:val="Date"/>
    <w:rsid w:val="00296658"/>
    <w:rPr>
      <w:rFonts w:cs="Arial"/>
    </w:rPr>
  </w:style>
  <w:style w:type="paragraph" w:styleId="DocumentMap">
    <w:name w:val="Document Map"/>
    <w:basedOn w:val="Normal"/>
    <w:link w:val="DocumentMapChar"/>
    <w:rsid w:val="00296658"/>
    <w:pPr>
      <w:spacing w:line="240" w:lineRule="auto"/>
    </w:pPr>
    <w:rPr>
      <w:rFonts w:ascii="Tahoma" w:hAnsi="Tahoma" w:cs="Tahoma"/>
      <w:sz w:val="16"/>
      <w:szCs w:val="16"/>
    </w:rPr>
  </w:style>
  <w:style w:type="character" w:customStyle="1" w:styleId="DocumentMapChar">
    <w:name w:val="Document Map Char"/>
    <w:basedOn w:val="DefaultParagraphFont"/>
    <w:link w:val="DocumentMap"/>
    <w:rsid w:val="00296658"/>
    <w:rPr>
      <w:rFonts w:ascii="Tahoma" w:hAnsi="Tahoma" w:cs="Tahoma"/>
      <w:sz w:val="16"/>
      <w:szCs w:val="16"/>
    </w:rPr>
  </w:style>
  <w:style w:type="paragraph" w:customStyle="1" w:styleId="Documentsubtitle">
    <w:name w:val="Document subtitle"/>
    <w:basedOn w:val="Documenttitle"/>
    <w:next w:val="Record"/>
    <w:link w:val="DocumentsubtitleChar"/>
    <w:qFormat/>
    <w:rsid w:val="00296658"/>
    <w:pPr>
      <w:spacing w:before="0" w:after="600"/>
    </w:pPr>
    <w:rPr>
      <w:sz w:val="32"/>
      <w:szCs w:val="36"/>
    </w:rPr>
  </w:style>
  <w:style w:type="character" w:customStyle="1" w:styleId="DocumentsubtitleChar">
    <w:name w:val="Document subtitle Char"/>
    <w:basedOn w:val="DefaultParagraphFont"/>
    <w:link w:val="Documentsubtitle"/>
    <w:rsid w:val="00296658"/>
    <w:rPr>
      <w:rFonts w:eastAsia="Times New Roman"/>
      <w:sz w:val="32"/>
      <w:szCs w:val="36"/>
    </w:rPr>
  </w:style>
  <w:style w:type="paragraph" w:styleId="E-mailSignature">
    <w:name w:val="E-mail Signature"/>
    <w:basedOn w:val="BodyText"/>
    <w:next w:val="BodyText"/>
    <w:link w:val="E-mailSignatureChar"/>
    <w:rsid w:val="00296658"/>
  </w:style>
  <w:style w:type="character" w:customStyle="1" w:styleId="E-mailSignatureChar">
    <w:name w:val="E-mail Signature Char"/>
    <w:basedOn w:val="DefaultParagraphFont"/>
    <w:link w:val="E-mailSignature"/>
    <w:rsid w:val="00296658"/>
    <w:rPr>
      <w:rFonts w:cs="Arial"/>
    </w:rPr>
  </w:style>
  <w:style w:type="paragraph" w:styleId="EnvelopeAddress">
    <w:name w:val="envelope address"/>
    <w:basedOn w:val="BodyText"/>
    <w:next w:val="BodyText"/>
    <w:rsid w:val="00296658"/>
    <w:pPr>
      <w:framePr w:w="7920" w:h="1980" w:hRule="exact" w:hSpace="180" w:wrap="auto" w:hAnchor="page" w:xAlign="center" w:yAlign="bottom"/>
      <w:ind w:left="2880"/>
    </w:pPr>
    <w:rPr>
      <w:sz w:val="24"/>
      <w:szCs w:val="24"/>
    </w:rPr>
  </w:style>
  <w:style w:type="paragraph" w:styleId="EnvelopeReturn">
    <w:name w:val="envelope return"/>
    <w:basedOn w:val="BodyText"/>
    <w:next w:val="BodyText"/>
    <w:rsid w:val="00296658"/>
  </w:style>
  <w:style w:type="paragraph" w:customStyle="1" w:styleId="Equation">
    <w:name w:val="Equation"/>
    <w:basedOn w:val="BodyText"/>
    <w:next w:val="BodyText"/>
    <w:uiPriority w:val="7"/>
    <w:qFormat/>
    <w:rsid w:val="00296658"/>
    <w:pPr>
      <w:tabs>
        <w:tab w:val="right" w:pos="9072"/>
      </w:tabs>
      <w:spacing w:before="360" w:after="360"/>
      <w:ind w:left="567"/>
    </w:pPr>
    <w:rPr>
      <w:rFonts w:eastAsia="Times New Roman"/>
      <w:szCs w:val="24"/>
      <w:lang w:eastAsia="en-US"/>
    </w:rPr>
  </w:style>
  <w:style w:type="paragraph" w:customStyle="1" w:styleId="Figuresandimagesleft">
    <w:name w:val="Figures and images left"/>
    <w:basedOn w:val="BodyText"/>
    <w:next w:val="Captions"/>
    <w:link w:val="FiguresandimagesleftChar"/>
    <w:qFormat/>
    <w:rsid w:val="00296658"/>
    <w:pPr>
      <w:keepNext/>
      <w:spacing w:before="480" w:after="80" w:line="160" w:lineRule="atLeast"/>
    </w:pPr>
  </w:style>
  <w:style w:type="character" w:customStyle="1" w:styleId="FiguresandimagesleftChar">
    <w:name w:val="Figures and images left Char"/>
    <w:basedOn w:val="BodyTextChar"/>
    <w:link w:val="Figuresandimagesleft"/>
    <w:rsid w:val="00296658"/>
    <w:rPr>
      <w:rFonts w:cs="Arial"/>
    </w:rPr>
  </w:style>
  <w:style w:type="paragraph" w:customStyle="1" w:styleId="Figuresandimagescentred">
    <w:name w:val="Figures and images centred"/>
    <w:basedOn w:val="Figuresandimagesleft"/>
    <w:qFormat/>
    <w:rsid w:val="00296658"/>
    <w:pPr>
      <w:jc w:val="center"/>
    </w:pPr>
  </w:style>
  <w:style w:type="character" w:customStyle="1" w:styleId="FooterChar">
    <w:name w:val="Footer Char"/>
    <w:basedOn w:val="DefaultParagraphFont"/>
    <w:link w:val="Footer"/>
    <w:rsid w:val="00296658"/>
    <w:rPr>
      <w:rFonts w:ascii="Arial Bold" w:hAnsi="Arial Bold" w:cs="Arial"/>
      <w:b/>
      <w:sz w:val="16"/>
      <w:szCs w:val="16"/>
    </w:rPr>
  </w:style>
  <w:style w:type="paragraph" w:customStyle="1" w:styleId="Footerlandscape">
    <w:name w:val="Footer landscape"/>
    <w:basedOn w:val="Footer"/>
    <w:qFormat/>
    <w:rsid w:val="00296658"/>
    <w:pPr>
      <w:tabs>
        <w:tab w:val="clear" w:pos="9072"/>
        <w:tab w:val="right" w:pos="14005"/>
      </w:tabs>
    </w:pPr>
  </w:style>
  <w:style w:type="paragraph" w:customStyle="1" w:styleId="FooterlandscapeA3">
    <w:name w:val="Footer landscape A3"/>
    <w:basedOn w:val="Footerlandscape"/>
    <w:qFormat/>
    <w:rsid w:val="00296658"/>
    <w:pPr>
      <w:tabs>
        <w:tab w:val="clear" w:pos="14005"/>
        <w:tab w:val="right" w:pos="20979"/>
      </w:tabs>
    </w:pPr>
  </w:style>
  <w:style w:type="paragraph" w:styleId="FootnoteText">
    <w:name w:val="footnote text"/>
    <w:basedOn w:val="Normal"/>
    <w:link w:val="FootnoteTextChar"/>
    <w:rsid w:val="00296658"/>
    <w:pPr>
      <w:spacing w:line="240" w:lineRule="auto"/>
    </w:pPr>
  </w:style>
  <w:style w:type="character" w:customStyle="1" w:styleId="FootnoteTextChar">
    <w:name w:val="Footnote Text Char"/>
    <w:basedOn w:val="DefaultParagraphFont"/>
    <w:link w:val="FootnoteText"/>
    <w:rsid w:val="00296658"/>
  </w:style>
  <w:style w:type="paragraph" w:customStyle="1" w:styleId="Head1nonumbers">
    <w:name w:val="Head 1 no numbers"/>
    <w:next w:val="BodyText"/>
    <w:link w:val="Head1nonumbersChar"/>
    <w:qFormat/>
    <w:rsid w:val="00296658"/>
    <w:pPr>
      <w:keepNext/>
      <w:keepLines/>
      <w:pageBreakBefore/>
      <w:spacing w:before="180" w:after="1080"/>
      <w:outlineLvl w:val="0"/>
    </w:pPr>
    <w:rPr>
      <w:rFonts w:cs="Arial"/>
      <w:kern w:val="28"/>
      <w:sz w:val="40"/>
      <w:lang w:val="x-none" w:eastAsia="x-none"/>
    </w:rPr>
  </w:style>
  <w:style w:type="character" w:customStyle="1" w:styleId="Head1nonumbersChar">
    <w:name w:val="Head 1 no numbers Char"/>
    <w:basedOn w:val="Heading1Char"/>
    <w:link w:val="Head1nonumbers"/>
    <w:rsid w:val="00296658"/>
    <w:rPr>
      <w:rFonts w:cs="Arial"/>
      <w:kern w:val="28"/>
      <w:sz w:val="40"/>
    </w:rPr>
  </w:style>
  <w:style w:type="paragraph" w:customStyle="1" w:styleId="Head2nonumbers">
    <w:name w:val="Head 2 no numbers"/>
    <w:basedOn w:val="Head1nonumbers"/>
    <w:next w:val="BodyText"/>
    <w:link w:val="Head2nonumbersChar"/>
    <w:qFormat/>
    <w:rsid w:val="00296658"/>
    <w:pPr>
      <w:pageBreakBefore w:val="0"/>
      <w:numPr>
        <w:ilvl w:val="1"/>
      </w:numPr>
      <w:spacing w:before="480" w:after="180"/>
      <w:outlineLvl w:val="1"/>
    </w:pPr>
    <w:rPr>
      <w:sz w:val="30"/>
      <w:szCs w:val="28"/>
    </w:rPr>
  </w:style>
  <w:style w:type="character" w:customStyle="1" w:styleId="Head2nonumbersChar">
    <w:name w:val="Head 2 no numbers Char"/>
    <w:basedOn w:val="Head1nonumbersChar"/>
    <w:link w:val="Head2nonumbers"/>
    <w:rsid w:val="00296658"/>
    <w:rPr>
      <w:rFonts w:cs="Arial"/>
      <w:kern w:val="28"/>
      <w:sz w:val="30"/>
      <w:szCs w:val="28"/>
    </w:rPr>
  </w:style>
  <w:style w:type="paragraph" w:customStyle="1" w:styleId="Head3nonumbers">
    <w:name w:val="Head 3 no numbers"/>
    <w:basedOn w:val="Head2nonumbers"/>
    <w:next w:val="BodyText"/>
    <w:link w:val="Head3nonumbersChar"/>
    <w:qFormat/>
    <w:rsid w:val="00296658"/>
    <w:pPr>
      <w:numPr>
        <w:ilvl w:val="2"/>
      </w:numPr>
      <w:outlineLvl w:val="2"/>
    </w:pPr>
    <w:rPr>
      <w:rFonts w:cs="Lucida Sans Unicode"/>
      <w:b/>
      <w:sz w:val="24"/>
      <w:szCs w:val="24"/>
    </w:rPr>
  </w:style>
  <w:style w:type="character" w:customStyle="1" w:styleId="Head3nonumbersChar">
    <w:name w:val="Head 3 no numbers Char"/>
    <w:basedOn w:val="Head2nonumbersChar"/>
    <w:link w:val="Head3nonumbers"/>
    <w:rsid w:val="00296658"/>
    <w:rPr>
      <w:rFonts w:cs="Lucida Sans Unicode"/>
      <w:b/>
      <w:kern w:val="28"/>
      <w:sz w:val="24"/>
      <w:szCs w:val="24"/>
    </w:rPr>
  </w:style>
  <w:style w:type="paragraph" w:customStyle="1" w:styleId="Head4nonumbers">
    <w:name w:val="Head 4 no numbers"/>
    <w:basedOn w:val="Head3nonumbers"/>
    <w:next w:val="BodyText"/>
    <w:link w:val="Head4nonumbersChar"/>
    <w:qFormat/>
    <w:rsid w:val="00296658"/>
    <w:pPr>
      <w:numPr>
        <w:ilvl w:val="3"/>
      </w:numPr>
      <w:spacing w:before="180"/>
      <w:outlineLvl w:val="3"/>
    </w:pPr>
    <w:rPr>
      <w:i/>
      <w:sz w:val="22"/>
      <w:szCs w:val="22"/>
      <w:lang w:val="en-AU" w:eastAsia="en-AU"/>
    </w:rPr>
  </w:style>
  <w:style w:type="character" w:customStyle="1" w:styleId="Head4nonumbersChar">
    <w:name w:val="Head 4 no numbers Char"/>
    <w:basedOn w:val="DefaultParagraphFont"/>
    <w:link w:val="Head4nonumbers"/>
    <w:rsid w:val="00296658"/>
    <w:rPr>
      <w:rFonts w:cs="Lucida Sans Unicode"/>
      <w:b/>
      <w:i/>
      <w:kern w:val="28"/>
      <w:sz w:val="22"/>
      <w:szCs w:val="22"/>
    </w:rPr>
  </w:style>
  <w:style w:type="paragraph" w:customStyle="1" w:styleId="Head5nonumbers">
    <w:name w:val="Head 5 no numbers"/>
    <w:basedOn w:val="Head4nonumbers"/>
    <w:next w:val="BodyText"/>
    <w:qFormat/>
    <w:rsid w:val="00296658"/>
    <w:pPr>
      <w:numPr>
        <w:ilvl w:val="4"/>
      </w:numPr>
      <w:outlineLvl w:val="4"/>
    </w:pPr>
    <w:rPr>
      <w:b w:val="0"/>
    </w:rPr>
  </w:style>
  <w:style w:type="character" w:customStyle="1" w:styleId="Heading2Char">
    <w:name w:val="Heading 2 Char"/>
    <w:basedOn w:val="Heading1Char"/>
    <w:link w:val="Heading2"/>
    <w:rsid w:val="00296658"/>
    <w:rPr>
      <w:rFonts w:cs="Arial"/>
      <w:kern w:val="28"/>
      <w:sz w:val="30"/>
      <w:szCs w:val="30"/>
    </w:rPr>
  </w:style>
  <w:style w:type="character" w:customStyle="1" w:styleId="Heading3Char">
    <w:name w:val="Heading 3 Char"/>
    <w:basedOn w:val="Heading2Char"/>
    <w:link w:val="Heading3"/>
    <w:rsid w:val="00296658"/>
    <w:rPr>
      <w:rFonts w:cs="Arial"/>
      <w:b/>
      <w:kern w:val="28"/>
      <w:sz w:val="24"/>
      <w:szCs w:val="30"/>
    </w:rPr>
  </w:style>
  <w:style w:type="character" w:customStyle="1" w:styleId="Heading4Char">
    <w:name w:val="Heading 4 Char"/>
    <w:basedOn w:val="Heading3Char"/>
    <w:link w:val="Heading4"/>
    <w:rsid w:val="00296658"/>
    <w:rPr>
      <w:rFonts w:cs="Arial"/>
      <w:b/>
      <w:i/>
      <w:kern w:val="28"/>
      <w:sz w:val="22"/>
      <w:szCs w:val="30"/>
    </w:rPr>
  </w:style>
  <w:style w:type="character" w:customStyle="1" w:styleId="Heading6Char">
    <w:name w:val="Heading 6 Char"/>
    <w:basedOn w:val="BodyTextChar"/>
    <w:link w:val="Heading6"/>
    <w:rsid w:val="00296658"/>
    <w:rPr>
      <w:rFonts w:cs="Arial"/>
      <w:b/>
      <w:kern w:val="28"/>
      <w:szCs w:val="30"/>
    </w:rPr>
  </w:style>
  <w:style w:type="paragraph" w:customStyle="1" w:styleId="Headingappendix1base">
    <w:name w:val="Heading appendix 1 base"/>
    <w:next w:val="BodyText"/>
    <w:semiHidden/>
    <w:rsid w:val="00296658"/>
    <w:pPr>
      <w:keepNext/>
      <w:keepLines/>
      <w:pageBreakBefore/>
      <w:spacing w:before="180" w:after="1080" w:line="280" w:lineRule="atLeast"/>
      <w:outlineLvl w:val="0"/>
    </w:pPr>
    <w:rPr>
      <w:sz w:val="40"/>
      <w:szCs w:val="40"/>
    </w:rPr>
  </w:style>
  <w:style w:type="paragraph" w:customStyle="1" w:styleId="Headingappendix2">
    <w:name w:val="Heading appendix 2"/>
    <w:basedOn w:val="Headingappendix1base"/>
    <w:next w:val="BodyText"/>
    <w:qFormat/>
    <w:rsid w:val="00296658"/>
    <w:pPr>
      <w:pageBreakBefore w:val="0"/>
      <w:numPr>
        <w:ilvl w:val="1"/>
        <w:numId w:val="18"/>
      </w:numPr>
      <w:spacing w:before="480" w:after="180"/>
      <w:outlineLvl w:val="1"/>
    </w:pPr>
    <w:rPr>
      <w:sz w:val="30"/>
      <w:szCs w:val="30"/>
    </w:rPr>
  </w:style>
  <w:style w:type="paragraph" w:customStyle="1" w:styleId="Headingappendix3">
    <w:name w:val="Heading appendix 3"/>
    <w:basedOn w:val="Headingappendix2"/>
    <w:next w:val="BodyText"/>
    <w:qFormat/>
    <w:rsid w:val="00296658"/>
    <w:pPr>
      <w:numPr>
        <w:ilvl w:val="2"/>
      </w:numPr>
      <w:spacing w:line="240" w:lineRule="auto"/>
      <w:outlineLvl w:val="2"/>
    </w:pPr>
    <w:rPr>
      <w:b/>
      <w:bCs/>
      <w:sz w:val="24"/>
    </w:rPr>
  </w:style>
  <w:style w:type="paragraph" w:customStyle="1" w:styleId="Headingappendix4">
    <w:name w:val="Heading appendix 4"/>
    <w:basedOn w:val="Headingappendix3"/>
    <w:next w:val="BodyText"/>
    <w:qFormat/>
    <w:rsid w:val="00296658"/>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296658"/>
    <w:pPr>
      <w:numPr>
        <w:ilvl w:val="4"/>
      </w:numPr>
      <w:outlineLvl w:val="4"/>
    </w:pPr>
    <w:rPr>
      <w:b w:val="0"/>
      <w:bCs w:val="0"/>
    </w:rPr>
  </w:style>
  <w:style w:type="numbering" w:customStyle="1" w:styleId="HeadingsNumbered">
    <w:name w:val="Headings Numbered"/>
    <w:uiPriority w:val="99"/>
    <w:rsid w:val="00296658"/>
    <w:pPr>
      <w:numPr>
        <w:numId w:val="19"/>
      </w:numPr>
    </w:pPr>
  </w:style>
  <w:style w:type="character" w:styleId="HTMLAcronym">
    <w:name w:val="HTML Acronym"/>
    <w:basedOn w:val="DefaultParagraphFont"/>
    <w:rsid w:val="00296658"/>
  </w:style>
  <w:style w:type="paragraph" w:styleId="HTMLAddress">
    <w:name w:val="HTML Address"/>
    <w:basedOn w:val="BodyText"/>
    <w:next w:val="BodyText"/>
    <w:link w:val="HTMLAddressChar"/>
    <w:rsid w:val="00296658"/>
    <w:rPr>
      <w:iCs/>
    </w:rPr>
  </w:style>
  <w:style w:type="character" w:customStyle="1" w:styleId="HTMLAddressChar">
    <w:name w:val="HTML Address Char"/>
    <w:basedOn w:val="DefaultParagraphFont"/>
    <w:link w:val="HTMLAddress"/>
    <w:rsid w:val="00296658"/>
    <w:rPr>
      <w:rFonts w:cs="Arial"/>
      <w:iCs/>
    </w:rPr>
  </w:style>
  <w:style w:type="character" w:styleId="HTMLCite">
    <w:name w:val="HTML Cite"/>
    <w:basedOn w:val="DefaultParagraphFont"/>
    <w:rsid w:val="00296658"/>
    <w:rPr>
      <w:i/>
      <w:iCs/>
    </w:rPr>
  </w:style>
  <w:style w:type="character" w:styleId="HTMLCode">
    <w:name w:val="HTML Code"/>
    <w:basedOn w:val="DefaultParagraphFont"/>
    <w:rsid w:val="00296658"/>
    <w:rPr>
      <w:rFonts w:ascii="Courier New" w:hAnsi="Courier New" w:cs="Courier New"/>
      <w:sz w:val="20"/>
      <w:szCs w:val="20"/>
    </w:rPr>
  </w:style>
  <w:style w:type="character" w:styleId="HTMLDefinition">
    <w:name w:val="HTML Definition"/>
    <w:basedOn w:val="DefaultParagraphFont"/>
    <w:rsid w:val="00296658"/>
    <w:rPr>
      <w:i/>
      <w:iCs/>
    </w:rPr>
  </w:style>
  <w:style w:type="character" w:styleId="HTMLKeyboard">
    <w:name w:val="HTML Keyboard"/>
    <w:basedOn w:val="DefaultParagraphFont"/>
    <w:rsid w:val="00296658"/>
    <w:rPr>
      <w:rFonts w:ascii="Courier New" w:hAnsi="Courier New" w:cs="Courier New"/>
      <w:sz w:val="20"/>
      <w:szCs w:val="20"/>
    </w:rPr>
  </w:style>
  <w:style w:type="paragraph" w:styleId="HTMLPreformatted">
    <w:name w:val="HTML Preformatted"/>
    <w:basedOn w:val="BodyText"/>
    <w:next w:val="BodyText"/>
    <w:link w:val="HTMLPreformattedChar"/>
    <w:rsid w:val="00296658"/>
    <w:rPr>
      <w:rFonts w:ascii="Courier New" w:hAnsi="Courier New" w:cs="Courier New"/>
    </w:rPr>
  </w:style>
  <w:style w:type="character" w:customStyle="1" w:styleId="HTMLPreformattedChar">
    <w:name w:val="HTML Preformatted Char"/>
    <w:basedOn w:val="DefaultParagraphFont"/>
    <w:link w:val="HTMLPreformatted"/>
    <w:rsid w:val="00296658"/>
    <w:rPr>
      <w:rFonts w:ascii="Courier New" w:hAnsi="Courier New" w:cs="Courier New"/>
    </w:rPr>
  </w:style>
  <w:style w:type="character" w:styleId="HTMLSample">
    <w:name w:val="HTML Sample"/>
    <w:basedOn w:val="DefaultParagraphFont"/>
    <w:rsid w:val="00296658"/>
    <w:rPr>
      <w:rFonts w:ascii="Courier New" w:hAnsi="Courier New" w:cs="Courier New"/>
    </w:rPr>
  </w:style>
  <w:style w:type="character" w:styleId="HTMLTypewriter">
    <w:name w:val="HTML Typewriter"/>
    <w:basedOn w:val="DefaultParagraphFont"/>
    <w:rsid w:val="00296658"/>
    <w:rPr>
      <w:rFonts w:ascii="Courier New" w:hAnsi="Courier New" w:cs="Courier New"/>
      <w:sz w:val="20"/>
      <w:szCs w:val="20"/>
    </w:rPr>
  </w:style>
  <w:style w:type="character" w:styleId="HTMLVariable">
    <w:name w:val="HTML Variable"/>
    <w:basedOn w:val="DefaultParagraphFont"/>
    <w:rsid w:val="00296658"/>
    <w:rPr>
      <w:i/>
      <w:iCs/>
    </w:rPr>
  </w:style>
  <w:style w:type="character" w:customStyle="1" w:styleId="Hyperlinkprint">
    <w:name w:val="Hyperlink print"/>
    <w:basedOn w:val="Hyperlink"/>
    <w:qFormat/>
    <w:rsid w:val="00296658"/>
    <w:rPr>
      <w:color w:val="auto"/>
    </w:rPr>
  </w:style>
  <w:style w:type="paragraph" w:styleId="Index1">
    <w:name w:val="index 1"/>
    <w:basedOn w:val="Normal"/>
    <w:next w:val="Normal"/>
    <w:autoRedefine/>
    <w:rsid w:val="00296658"/>
    <w:pPr>
      <w:spacing w:line="240" w:lineRule="auto"/>
      <w:ind w:left="200" w:hanging="200"/>
    </w:pPr>
  </w:style>
  <w:style w:type="paragraph" w:styleId="Index2">
    <w:name w:val="index 2"/>
    <w:basedOn w:val="Normal"/>
    <w:next w:val="Normal"/>
    <w:autoRedefine/>
    <w:rsid w:val="00296658"/>
    <w:pPr>
      <w:spacing w:line="240" w:lineRule="auto"/>
      <w:ind w:left="400" w:hanging="200"/>
    </w:pPr>
  </w:style>
  <w:style w:type="paragraph" w:styleId="Index3">
    <w:name w:val="index 3"/>
    <w:basedOn w:val="Normal"/>
    <w:next w:val="Normal"/>
    <w:autoRedefine/>
    <w:rsid w:val="00296658"/>
    <w:pPr>
      <w:spacing w:line="240" w:lineRule="auto"/>
      <w:ind w:left="600" w:hanging="200"/>
    </w:pPr>
  </w:style>
  <w:style w:type="paragraph" w:styleId="Index4">
    <w:name w:val="index 4"/>
    <w:basedOn w:val="Normal"/>
    <w:next w:val="Normal"/>
    <w:autoRedefine/>
    <w:rsid w:val="00296658"/>
    <w:pPr>
      <w:spacing w:line="240" w:lineRule="auto"/>
      <w:ind w:left="800" w:hanging="200"/>
    </w:pPr>
  </w:style>
  <w:style w:type="paragraph" w:styleId="Index5">
    <w:name w:val="index 5"/>
    <w:basedOn w:val="Normal"/>
    <w:next w:val="Normal"/>
    <w:autoRedefine/>
    <w:rsid w:val="00296658"/>
    <w:pPr>
      <w:spacing w:line="240" w:lineRule="auto"/>
      <w:ind w:left="1000" w:hanging="200"/>
    </w:pPr>
  </w:style>
  <w:style w:type="paragraph" w:styleId="Index6">
    <w:name w:val="index 6"/>
    <w:basedOn w:val="Normal"/>
    <w:next w:val="Normal"/>
    <w:autoRedefine/>
    <w:rsid w:val="00296658"/>
    <w:pPr>
      <w:spacing w:line="240" w:lineRule="auto"/>
      <w:ind w:left="1200" w:hanging="200"/>
    </w:pPr>
  </w:style>
  <w:style w:type="paragraph" w:styleId="Index7">
    <w:name w:val="index 7"/>
    <w:basedOn w:val="Normal"/>
    <w:next w:val="Normal"/>
    <w:autoRedefine/>
    <w:rsid w:val="00296658"/>
    <w:pPr>
      <w:spacing w:line="240" w:lineRule="auto"/>
      <w:ind w:left="1400" w:hanging="200"/>
    </w:pPr>
  </w:style>
  <w:style w:type="paragraph" w:styleId="Index8">
    <w:name w:val="index 8"/>
    <w:basedOn w:val="Normal"/>
    <w:next w:val="Normal"/>
    <w:autoRedefine/>
    <w:rsid w:val="00296658"/>
    <w:pPr>
      <w:spacing w:line="240" w:lineRule="auto"/>
      <w:ind w:left="1600" w:hanging="200"/>
    </w:pPr>
  </w:style>
  <w:style w:type="paragraph" w:styleId="Index9">
    <w:name w:val="index 9"/>
    <w:basedOn w:val="Normal"/>
    <w:next w:val="Normal"/>
    <w:autoRedefine/>
    <w:rsid w:val="00296658"/>
    <w:pPr>
      <w:spacing w:line="240" w:lineRule="auto"/>
      <w:ind w:left="1800" w:hanging="200"/>
    </w:pPr>
  </w:style>
  <w:style w:type="paragraph" w:styleId="IndexHeading">
    <w:name w:val="index heading"/>
    <w:basedOn w:val="Normal"/>
    <w:next w:val="Index1"/>
    <w:rsid w:val="00296658"/>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29665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296658"/>
    <w:rPr>
      <w:b/>
      <w:bCs/>
      <w:i/>
      <w:iCs/>
      <w:color w:val="4F81BD" w:themeColor="accent1"/>
    </w:rPr>
  </w:style>
  <w:style w:type="character" w:customStyle="1" w:styleId="Italic">
    <w:name w:val="Italic"/>
    <w:basedOn w:val="DefaultParagraphFont"/>
    <w:qFormat/>
    <w:rsid w:val="00296658"/>
    <w:rPr>
      <w:i/>
    </w:rPr>
  </w:style>
  <w:style w:type="table" w:styleId="LightShading">
    <w:name w:val="Light Shading"/>
    <w:basedOn w:val="TableNormal"/>
    <w:uiPriority w:val="60"/>
    <w:rsid w:val="00296658"/>
    <w:pPr>
      <w:spacing w:before="180" w:after="18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296658"/>
    <w:pPr>
      <w:spacing w:before="180" w:after="180"/>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296658"/>
    <w:pPr>
      <w:spacing w:before="180" w:after="180"/>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296658"/>
    <w:pPr>
      <w:spacing w:before="180" w:after="180"/>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296658"/>
    <w:pPr>
      <w:spacing w:before="180" w:after="180"/>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296658"/>
    <w:pPr>
      <w:spacing w:before="180" w:after="180"/>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LineNumber">
    <w:name w:val="line number"/>
    <w:basedOn w:val="DefaultParagraphFont"/>
    <w:rsid w:val="00296658"/>
  </w:style>
  <w:style w:type="paragraph" w:styleId="List">
    <w:name w:val="List"/>
    <w:basedOn w:val="BodyText"/>
    <w:next w:val="BodyText"/>
    <w:rsid w:val="00296658"/>
    <w:pPr>
      <w:ind w:left="283" w:hanging="283"/>
    </w:pPr>
  </w:style>
  <w:style w:type="paragraph" w:styleId="List2">
    <w:name w:val="List 2"/>
    <w:basedOn w:val="List"/>
    <w:next w:val="BodyText"/>
    <w:rsid w:val="00296658"/>
    <w:pPr>
      <w:ind w:left="566"/>
    </w:pPr>
  </w:style>
  <w:style w:type="paragraph" w:styleId="List3">
    <w:name w:val="List 3"/>
    <w:basedOn w:val="List2"/>
    <w:next w:val="BodyText"/>
    <w:rsid w:val="00296658"/>
    <w:pPr>
      <w:ind w:left="849"/>
    </w:pPr>
  </w:style>
  <w:style w:type="paragraph" w:styleId="List4">
    <w:name w:val="List 4"/>
    <w:basedOn w:val="List3"/>
    <w:next w:val="BodyText"/>
    <w:rsid w:val="00296658"/>
    <w:pPr>
      <w:ind w:left="1132"/>
    </w:pPr>
  </w:style>
  <w:style w:type="paragraph" w:styleId="List5">
    <w:name w:val="List 5"/>
    <w:basedOn w:val="List4"/>
    <w:next w:val="BodyText"/>
    <w:rsid w:val="00296658"/>
    <w:pPr>
      <w:ind w:left="1415"/>
    </w:pPr>
  </w:style>
  <w:style w:type="paragraph" w:styleId="ListBullet">
    <w:name w:val="List Bullet"/>
    <w:basedOn w:val="BodyText"/>
    <w:next w:val="BodyText"/>
    <w:rsid w:val="00296658"/>
    <w:pPr>
      <w:numPr>
        <w:numId w:val="20"/>
      </w:numPr>
    </w:pPr>
  </w:style>
  <w:style w:type="paragraph" w:styleId="ListBullet2">
    <w:name w:val="List Bullet 2"/>
    <w:basedOn w:val="ListBullet"/>
    <w:next w:val="BodyText"/>
    <w:rsid w:val="00296658"/>
    <w:pPr>
      <w:numPr>
        <w:numId w:val="21"/>
      </w:numPr>
    </w:pPr>
  </w:style>
  <w:style w:type="paragraph" w:styleId="ListBullet3">
    <w:name w:val="List Bullet 3"/>
    <w:basedOn w:val="ListBullet2"/>
    <w:next w:val="BodyText"/>
    <w:rsid w:val="00296658"/>
    <w:pPr>
      <w:numPr>
        <w:numId w:val="22"/>
      </w:numPr>
    </w:pPr>
  </w:style>
  <w:style w:type="paragraph" w:styleId="ListBullet4">
    <w:name w:val="List Bullet 4"/>
    <w:basedOn w:val="ListBullet3"/>
    <w:next w:val="BodyText"/>
    <w:rsid w:val="00296658"/>
    <w:pPr>
      <w:numPr>
        <w:numId w:val="23"/>
      </w:numPr>
    </w:pPr>
  </w:style>
  <w:style w:type="paragraph" w:styleId="ListBullet5">
    <w:name w:val="List Bullet 5"/>
    <w:basedOn w:val="ListBullet4"/>
    <w:next w:val="BodyText"/>
    <w:rsid w:val="00296658"/>
    <w:pPr>
      <w:numPr>
        <w:numId w:val="24"/>
      </w:numPr>
    </w:pPr>
  </w:style>
  <w:style w:type="paragraph" w:styleId="ListContinue">
    <w:name w:val="List Continue"/>
    <w:basedOn w:val="BodyText"/>
    <w:next w:val="BodyText"/>
    <w:rsid w:val="00296658"/>
    <w:pPr>
      <w:ind w:left="283"/>
    </w:pPr>
  </w:style>
  <w:style w:type="paragraph" w:styleId="ListContinue2">
    <w:name w:val="List Continue 2"/>
    <w:basedOn w:val="ListContinue"/>
    <w:next w:val="BodyText"/>
    <w:rsid w:val="00296658"/>
    <w:pPr>
      <w:ind w:left="566"/>
    </w:pPr>
  </w:style>
  <w:style w:type="paragraph" w:styleId="ListContinue3">
    <w:name w:val="List Continue 3"/>
    <w:basedOn w:val="ListContinue2"/>
    <w:next w:val="BodyText"/>
    <w:rsid w:val="00296658"/>
    <w:pPr>
      <w:ind w:left="849"/>
    </w:pPr>
  </w:style>
  <w:style w:type="paragraph" w:styleId="ListContinue4">
    <w:name w:val="List Continue 4"/>
    <w:basedOn w:val="ListContinue3"/>
    <w:next w:val="BodyText"/>
    <w:rsid w:val="00296658"/>
    <w:pPr>
      <w:ind w:left="1132"/>
    </w:pPr>
  </w:style>
  <w:style w:type="paragraph" w:styleId="ListContinue5">
    <w:name w:val="List Continue 5"/>
    <w:basedOn w:val="ListContinue4"/>
    <w:next w:val="BodyText"/>
    <w:rsid w:val="00296658"/>
    <w:pPr>
      <w:ind w:left="1415"/>
    </w:pPr>
  </w:style>
  <w:style w:type="paragraph" w:styleId="ListNumber">
    <w:name w:val="List Number"/>
    <w:basedOn w:val="BodyText"/>
    <w:next w:val="BodyText"/>
    <w:rsid w:val="00296658"/>
    <w:pPr>
      <w:numPr>
        <w:numId w:val="25"/>
      </w:numPr>
    </w:pPr>
  </w:style>
  <w:style w:type="paragraph" w:styleId="ListNumber2">
    <w:name w:val="List Number 2"/>
    <w:basedOn w:val="ListNumber"/>
    <w:next w:val="BodyText"/>
    <w:rsid w:val="00296658"/>
    <w:pPr>
      <w:numPr>
        <w:numId w:val="26"/>
      </w:numPr>
    </w:pPr>
  </w:style>
  <w:style w:type="paragraph" w:styleId="ListNumber3">
    <w:name w:val="List Number 3"/>
    <w:basedOn w:val="ListNumber2"/>
    <w:next w:val="BodyText"/>
    <w:rsid w:val="00296658"/>
    <w:pPr>
      <w:numPr>
        <w:numId w:val="27"/>
      </w:numPr>
    </w:pPr>
  </w:style>
  <w:style w:type="paragraph" w:styleId="ListNumber4">
    <w:name w:val="List Number 4"/>
    <w:basedOn w:val="ListNumber3"/>
    <w:next w:val="BodyText"/>
    <w:rsid w:val="00296658"/>
    <w:pPr>
      <w:numPr>
        <w:numId w:val="28"/>
      </w:numPr>
    </w:pPr>
  </w:style>
  <w:style w:type="paragraph" w:styleId="ListNumber5">
    <w:name w:val="List Number 5"/>
    <w:basedOn w:val="ListNumber4"/>
    <w:next w:val="BodyText"/>
    <w:rsid w:val="00296658"/>
    <w:pPr>
      <w:numPr>
        <w:numId w:val="29"/>
      </w:numPr>
    </w:pPr>
  </w:style>
  <w:style w:type="paragraph" w:styleId="ListParagraph">
    <w:name w:val="List Paragraph"/>
    <w:basedOn w:val="Normal"/>
    <w:uiPriority w:val="34"/>
    <w:qFormat/>
    <w:rsid w:val="00296658"/>
    <w:pPr>
      <w:ind w:left="720"/>
      <w:contextualSpacing/>
    </w:pPr>
  </w:style>
  <w:style w:type="paragraph" w:styleId="MacroText">
    <w:name w:val="macro"/>
    <w:link w:val="MacroTextChar"/>
    <w:rsid w:val="00296658"/>
    <w:pPr>
      <w:tabs>
        <w:tab w:val="left" w:pos="480"/>
        <w:tab w:val="left" w:pos="960"/>
        <w:tab w:val="left" w:pos="1440"/>
        <w:tab w:val="left" w:pos="1920"/>
        <w:tab w:val="left" w:pos="2400"/>
        <w:tab w:val="left" w:pos="2880"/>
        <w:tab w:val="left" w:pos="3360"/>
        <w:tab w:val="left" w:pos="3840"/>
        <w:tab w:val="left" w:pos="4320"/>
      </w:tabs>
      <w:spacing w:before="180" w:after="180" w:line="280" w:lineRule="atLeast"/>
    </w:pPr>
    <w:rPr>
      <w:rFonts w:ascii="Consolas" w:hAnsi="Consolas"/>
    </w:rPr>
  </w:style>
  <w:style w:type="character" w:customStyle="1" w:styleId="MacroTextChar">
    <w:name w:val="Macro Text Char"/>
    <w:basedOn w:val="DefaultParagraphFont"/>
    <w:link w:val="MacroText"/>
    <w:rsid w:val="00296658"/>
    <w:rPr>
      <w:rFonts w:ascii="Consolas" w:hAnsi="Consolas"/>
    </w:rPr>
  </w:style>
  <w:style w:type="table" w:styleId="MediumGrid2">
    <w:name w:val="Medium Grid 2"/>
    <w:basedOn w:val="TableNormal"/>
    <w:uiPriority w:val="68"/>
    <w:rsid w:val="00296658"/>
    <w:pPr>
      <w:spacing w:before="180" w:after="180"/>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Shading1">
    <w:name w:val="Medium Shading 1"/>
    <w:basedOn w:val="TableNormal"/>
    <w:uiPriority w:val="63"/>
    <w:rsid w:val="00296658"/>
    <w:pPr>
      <w:spacing w:before="180" w:after="180"/>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2-Accent4">
    <w:name w:val="Medium Shading 2 Accent 4"/>
    <w:basedOn w:val="TableNormal"/>
    <w:uiPriority w:val="64"/>
    <w:rsid w:val="00296658"/>
    <w:pPr>
      <w:spacing w:before="180" w:after="180"/>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BodyText"/>
    <w:link w:val="MessageHeaderChar"/>
    <w:rsid w:val="00296658"/>
    <w:pPr>
      <w:pBdr>
        <w:top w:val="single" w:sz="6" w:space="1" w:color="auto"/>
        <w:left w:val="single" w:sz="6" w:space="1" w:color="auto"/>
        <w:bottom w:val="single" w:sz="6" w:space="1" w:color="auto"/>
        <w:right w:val="single" w:sz="6" w:space="1" w:color="auto"/>
      </w:pBdr>
      <w:shd w:val="pct20" w:color="auto" w:fill="auto"/>
      <w:ind w:left="1134" w:hanging="1134"/>
    </w:pPr>
    <w:rPr>
      <w:sz w:val="24"/>
      <w:szCs w:val="24"/>
    </w:rPr>
  </w:style>
  <w:style w:type="character" w:customStyle="1" w:styleId="MessageHeaderChar">
    <w:name w:val="Message Header Char"/>
    <w:basedOn w:val="DefaultParagraphFont"/>
    <w:link w:val="MessageHeader"/>
    <w:rsid w:val="00296658"/>
    <w:rPr>
      <w:rFonts w:cs="Arial"/>
      <w:sz w:val="24"/>
      <w:szCs w:val="24"/>
      <w:shd w:val="pct20" w:color="auto" w:fill="auto"/>
    </w:rPr>
  </w:style>
  <w:style w:type="paragraph" w:styleId="NoSpacing">
    <w:name w:val="No Spacing"/>
    <w:uiPriority w:val="1"/>
    <w:qFormat/>
    <w:rsid w:val="00296658"/>
    <w:pPr>
      <w:spacing w:before="180" w:after="180"/>
    </w:pPr>
  </w:style>
  <w:style w:type="paragraph" w:styleId="NormalIndent">
    <w:name w:val="Normal Indent"/>
    <w:basedOn w:val="BodyText"/>
    <w:next w:val="BodyText"/>
    <w:rsid w:val="00296658"/>
    <w:pPr>
      <w:ind w:left="720"/>
    </w:pPr>
  </w:style>
  <w:style w:type="paragraph" w:styleId="NoteHeading">
    <w:name w:val="Note Heading"/>
    <w:basedOn w:val="BodyText"/>
    <w:next w:val="BodyText"/>
    <w:link w:val="NoteHeadingChar"/>
    <w:rsid w:val="00296658"/>
  </w:style>
  <w:style w:type="character" w:customStyle="1" w:styleId="NoteHeadingChar">
    <w:name w:val="Note Heading Char"/>
    <w:basedOn w:val="DefaultParagraphFont"/>
    <w:link w:val="NoteHeading"/>
    <w:rsid w:val="00296658"/>
    <w:rPr>
      <w:rFonts w:cs="Arial"/>
    </w:rPr>
  </w:style>
  <w:style w:type="paragraph" w:styleId="PlainText">
    <w:name w:val="Plain Text"/>
    <w:basedOn w:val="BodyText"/>
    <w:link w:val="PlainTextChar"/>
    <w:rsid w:val="00296658"/>
    <w:rPr>
      <w:rFonts w:ascii="Courier New" w:hAnsi="Courier New" w:cs="Courier New"/>
    </w:rPr>
  </w:style>
  <w:style w:type="character" w:customStyle="1" w:styleId="PlainTextChar">
    <w:name w:val="Plain Text Char"/>
    <w:basedOn w:val="DefaultParagraphFont"/>
    <w:link w:val="PlainText"/>
    <w:rsid w:val="00296658"/>
    <w:rPr>
      <w:rFonts w:ascii="Courier New" w:hAnsi="Courier New" w:cs="Courier New"/>
    </w:rPr>
  </w:style>
  <w:style w:type="paragraph" w:styleId="Quote">
    <w:name w:val="Quote"/>
    <w:basedOn w:val="Normal"/>
    <w:next w:val="Normal"/>
    <w:link w:val="QuoteChar"/>
    <w:uiPriority w:val="29"/>
    <w:qFormat/>
    <w:rsid w:val="00296658"/>
    <w:rPr>
      <w:i/>
      <w:iCs/>
      <w:color w:val="000000" w:themeColor="text1"/>
    </w:rPr>
  </w:style>
  <w:style w:type="character" w:customStyle="1" w:styleId="QuoteChar">
    <w:name w:val="Quote Char"/>
    <w:basedOn w:val="DefaultParagraphFont"/>
    <w:link w:val="Quote"/>
    <w:uiPriority w:val="29"/>
    <w:rsid w:val="00296658"/>
    <w:rPr>
      <w:i/>
      <w:iCs/>
      <w:color w:val="000000" w:themeColor="text1"/>
    </w:rPr>
  </w:style>
  <w:style w:type="character" w:customStyle="1" w:styleId="ReferencesItalic">
    <w:name w:val="References Italic"/>
    <w:basedOn w:val="DefaultParagraphFont"/>
    <w:qFormat/>
    <w:rsid w:val="00296658"/>
    <w:rPr>
      <w:i/>
    </w:rPr>
  </w:style>
  <w:style w:type="paragraph" w:styleId="Salutation">
    <w:name w:val="Salutation"/>
    <w:basedOn w:val="BodyText"/>
    <w:next w:val="BodyText"/>
    <w:link w:val="SalutationChar"/>
    <w:rsid w:val="00296658"/>
  </w:style>
  <w:style w:type="character" w:customStyle="1" w:styleId="SalutationChar">
    <w:name w:val="Salutation Char"/>
    <w:basedOn w:val="DefaultParagraphFont"/>
    <w:link w:val="Salutation"/>
    <w:rsid w:val="00296658"/>
    <w:rPr>
      <w:rFonts w:cs="Arial"/>
    </w:rPr>
  </w:style>
  <w:style w:type="paragraph" w:styleId="Signature">
    <w:name w:val="Signature"/>
    <w:basedOn w:val="BodyText"/>
    <w:next w:val="BodyText"/>
    <w:link w:val="SignatureChar"/>
    <w:rsid w:val="00296658"/>
    <w:pPr>
      <w:ind w:left="4252"/>
    </w:pPr>
  </w:style>
  <w:style w:type="character" w:customStyle="1" w:styleId="SignatureChar">
    <w:name w:val="Signature Char"/>
    <w:basedOn w:val="DefaultParagraphFont"/>
    <w:link w:val="Signature"/>
    <w:rsid w:val="00296658"/>
    <w:rPr>
      <w:rFonts w:cs="Arial"/>
    </w:rPr>
  </w:style>
  <w:style w:type="paragraph" w:customStyle="1" w:styleId="StyleBodyTextLinespacingAtleast6pt">
    <w:name w:val="Style Body Text + Line spacing:  At least 6 pt"/>
    <w:basedOn w:val="BodyText"/>
    <w:next w:val="BodyText"/>
    <w:semiHidden/>
    <w:locked/>
    <w:rsid w:val="00296658"/>
    <w:rPr>
      <w:rFonts w:eastAsia="Times New Roman"/>
    </w:rPr>
  </w:style>
  <w:style w:type="paragraph" w:customStyle="1" w:styleId="StyleHeading4numberedNotBoldNotItalic">
    <w:name w:val="Style Heading 4 numbered + Not Bold Not Italic"/>
    <w:basedOn w:val="Head4nonumbers"/>
    <w:semiHidden/>
    <w:locked/>
    <w:rsid w:val="00296658"/>
    <w:rPr>
      <w:b w:val="0"/>
    </w:rPr>
  </w:style>
  <w:style w:type="paragraph" w:customStyle="1" w:styleId="StyleHeads3NumberedNotBold">
    <w:name w:val="Style Heads 3 Numbered + Not Bold"/>
    <w:basedOn w:val="Head3nonumbers"/>
    <w:semiHidden/>
    <w:locked/>
    <w:rsid w:val="00296658"/>
    <w:rPr>
      <w:lang w:val="en-AU" w:eastAsia="en-AU"/>
    </w:rPr>
  </w:style>
  <w:style w:type="character" w:customStyle="1" w:styleId="Subscript">
    <w:name w:val="Subscript"/>
    <w:basedOn w:val="DefaultParagraphFont"/>
    <w:qFormat/>
    <w:rsid w:val="00296658"/>
    <w:rPr>
      <w:position w:val="-2"/>
      <w:vertAlign w:val="subscript"/>
    </w:rPr>
  </w:style>
  <w:style w:type="character" w:customStyle="1" w:styleId="Subscriptitalic">
    <w:name w:val="Subscript italic"/>
    <w:basedOn w:val="Subscript"/>
    <w:qFormat/>
    <w:rsid w:val="00296658"/>
    <w:rPr>
      <w:i/>
      <w:iCs/>
      <w:position w:val="-2"/>
      <w:vertAlign w:val="subscript"/>
    </w:rPr>
  </w:style>
  <w:style w:type="paragraph" w:styleId="Subtitle">
    <w:name w:val="Subtitle"/>
    <w:basedOn w:val="BodyText"/>
    <w:next w:val="BodyText"/>
    <w:link w:val="SubtitleChar"/>
    <w:qFormat/>
    <w:rsid w:val="00296658"/>
    <w:pPr>
      <w:spacing w:after="60"/>
      <w:jc w:val="center"/>
      <w:outlineLvl w:val="1"/>
    </w:pPr>
    <w:rPr>
      <w:sz w:val="24"/>
      <w:szCs w:val="24"/>
    </w:rPr>
  </w:style>
  <w:style w:type="character" w:customStyle="1" w:styleId="SubtitleChar">
    <w:name w:val="Subtitle Char"/>
    <w:basedOn w:val="DefaultParagraphFont"/>
    <w:link w:val="Subtitle"/>
    <w:rsid w:val="00296658"/>
    <w:rPr>
      <w:rFonts w:cs="Arial"/>
      <w:sz w:val="24"/>
      <w:szCs w:val="24"/>
    </w:rPr>
  </w:style>
  <w:style w:type="character" w:customStyle="1" w:styleId="SuperscriptItalic">
    <w:name w:val="Superscript Italic"/>
    <w:basedOn w:val="Superscript"/>
    <w:qFormat/>
    <w:rsid w:val="00296658"/>
    <w:rPr>
      <w:i/>
      <w:iCs/>
      <w:position w:val="0"/>
      <w:vertAlign w:val="superscript"/>
    </w:rPr>
  </w:style>
  <w:style w:type="table" w:styleId="Table3Deffects1">
    <w:name w:val="Table 3D effects 1"/>
    <w:basedOn w:val="TableNormal"/>
    <w:rsid w:val="00296658"/>
    <w:pPr>
      <w:spacing w:before="600" w:after="600" w:line="280" w:lineRule="atLeast"/>
      <w:jc w:val="right"/>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296658"/>
    <w:pPr>
      <w:spacing w:before="180" w:after="180" w:line="280" w:lineRule="atLeast"/>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296658"/>
    <w:pPr>
      <w:spacing w:before="180" w:after="180" w:line="280" w:lineRule="atLeast"/>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296658"/>
    <w:pPr>
      <w:spacing w:before="180" w:after="180" w:line="28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296658"/>
    <w:pPr>
      <w:spacing w:before="180" w:after="180" w:line="280" w:lineRule="atLeast"/>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296658"/>
    <w:pPr>
      <w:spacing w:before="180" w:after="180" w:line="280" w:lineRule="atLeast"/>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296658"/>
    <w:pPr>
      <w:spacing w:before="180" w:after="180" w:line="280" w:lineRule="atLeast"/>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296658"/>
    <w:pPr>
      <w:spacing w:before="180" w:after="180" w:line="280" w:lineRule="atLeast"/>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296658"/>
    <w:pPr>
      <w:spacing w:before="180" w:after="180" w:line="280" w:lineRule="atLeast"/>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296658"/>
    <w:pPr>
      <w:spacing w:before="180" w:after="180" w:line="280" w:lineRule="atLeast"/>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296658"/>
    <w:pPr>
      <w:spacing w:before="180" w:after="180" w:line="280" w:lineRule="atLeast"/>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296658"/>
    <w:pPr>
      <w:spacing w:before="180" w:after="180" w:line="280" w:lineRule="atLeast"/>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296658"/>
    <w:pPr>
      <w:spacing w:before="180" w:after="180" w:line="280" w:lineRule="atLeast"/>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296658"/>
    <w:pPr>
      <w:spacing w:before="180" w:after="180" w:line="280" w:lineRule="atLeast"/>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296658"/>
    <w:pPr>
      <w:spacing w:before="180" w:after="180" w:line="280" w:lineRule="atLeast"/>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296658"/>
    <w:pPr>
      <w:spacing w:before="180" w:after="180" w:line="280" w:lineRule="atLeast"/>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296658"/>
    <w:pPr>
      <w:spacing w:before="180" w:after="180" w:line="280" w:lineRule="atLeast"/>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AHeaderRowColumn">
    <w:name w:val="Table GA Header Row &amp; Column"/>
    <w:basedOn w:val="TableNormal"/>
    <w:uiPriority w:val="99"/>
    <w:rsid w:val="00296658"/>
    <w:pPr>
      <w:spacing w:before="180" w:after="180"/>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table" w:customStyle="1" w:styleId="TableGAHeaderColumn">
    <w:name w:val="Table GA Header Column"/>
    <w:basedOn w:val="TableGAHeaderRowColumn"/>
    <w:uiPriority w:val="99"/>
    <w:rsid w:val="00296658"/>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vAlign w:val="center"/>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table" w:customStyle="1" w:styleId="TableGAHeaderRow">
    <w:name w:val="Table GA Header Row"/>
    <w:basedOn w:val="TableNormal"/>
    <w:rsid w:val="00296658"/>
    <w:pPr>
      <w:spacing w:before="180" w:after="180" w:line="280" w:lineRule="atLeast"/>
    </w:pPr>
    <w:rPr>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table" w:customStyle="1" w:styleId="TableGANoHeader">
    <w:name w:val="Table GA No Header"/>
    <w:basedOn w:val="TableGAHeaderRow"/>
    <w:uiPriority w:val="99"/>
    <w:rsid w:val="00296658"/>
    <w:pPr>
      <w:spacing w:line="240" w:lineRule="auto"/>
    </w:p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styleId="TableGrid1">
    <w:name w:val="Table Grid 1"/>
    <w:basedOn w:val="TableNormal"/>
    <w:rsid w:val="00296658"/>
    <w:pPr>
      <w:spacing w:before="180" w:after="180" w:line="28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296658"/>
    <w:pPr>
      <w:spacing w:before="180" w:after="180" w:line="280" w:lineRule="atLeast"/>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296658"/>
    <w:pPr>
      <w:spacing w:before="180" w:after="180" w:line="280" w:lineRule="atLeast"/>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296658"/>
    <w:pPr>
      <w:spacing w:before="180" w:after="180" w:line="280" w:lineRule="atLeast"/>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296658"/>
    <w:pPr>
      <w:spacing w:before="180" w:after="180" w:line="28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296658"/>
    <w:pPr>
      <w:spacing w:before="180" w:after="180" w:line="280" w:lineRule="atLeast"/>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296658"/>
    <w:pPr>
      <w:spacing w:before="180" w:after="180" w:line="280" w:lineRule="atLeast"/>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296658"/>
    <w:pPr>
      <w:spacing w:before="180" w:after="180" w:line="280" w:lineRule="atLeast"/>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headingleft">
    <w:name w:val="Table heading left"/>
    <w:rsid w:val="00082BA8"/>
    <w:pPr>
      <w:spacing w:before="20" w:after="20" w:line="200" w:lineRule="atLeast"/>
    </w:pPr>
    <w:rPr>
      <w:rFonts w:ascii="Arial Bold" w:eastAsia="Times New Roman" w:hAnsi="Arial Bold" w:cs="Arial"/>
      <w:sz w:val="18"/>
    </w:rPr>
  </w:style>
  <w:style w:type="paragraph" w:customStyle="1" w:styleId="Tableheadingcentred">
    <w:name w:val="Table heading centred"/>
    <w:basedOn w:val="Tableheadingleft"/>
    <w:rsid w:val="00082BA8"/>
    <w:pPr>
      <w:jc w:val="center"/>
    </w:pPr>
    <w:rPr>
      <w:color w:val="FFFFFF" w:themeColor="background1"/>
    </w:rPr>
  </w:style>
  <w:style w:type="paragraph" w:customStyle="1" w:styleId="Tableheadingright">
    <w:name w:val="Table heading right"/>
    <w:basedOn w:val="Tableheadingcentred"/>
    <w:rsid w:val="00296658"/>
    <w:pPr>
      <w:jc w:val="right"/>
    </w:pPr>
  </w:style>
  <w:style w:type="table" w:styleId="TableList1">
    <w:name w:val="Table List 1"/>
    <w:basedOn w:val="TableNormal"/>
    <w:rsid w:val="00296658"/>
    <w:pPr>
      <w:spacing w:before="180" w:after="180" w:line="280" w:lineRule="atLeast"/>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296658"/>
    <w:pPr>
      <w:spacing w:before="180" w:after="180" w:line="280" w:lineRule="atLeast"/>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296658"/>
    <w:pPr>
      <w:spacing w:before="180" w:after="180" w:line="280" w:lineRule="atLeast"/>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296658"/>
    <w:pPr>
      <w:spacing w:before="180" w:after="180" w:line="280" w:lineRule="atLeast"/>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296658"/>
    <w:pPr>
      <w:spacing w:before="180" w:after="180" w:line="28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296658"/>
    <w:pPr>
      <w:spacing w:before="180" w:after="180" w:line="280" w:lineRule="atLeast"/>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296658"/>
    <w:pPr>
      <w:spacing w:before="180" w:after="180" w:line="280" w:lineRule="atLeast"/>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296658"/>
    <w:pPr>
      <w:spacing w:before="180" w:after="180" w:line="280" w:lineRule="atLeast"/>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Tablenotes">
    <w:name w:val="Table notes"/>
    <w:basedOn w:val="BodyText"/>
    <w:qFormat/>
    <w:rsid w:val="00296658"/>
    <w:pPr>
      <w:keepNext/>
      <w:spacing w:before="120" w:after="0" w:line="160" w:lineRule="atLeast"/>
    </w:pPr>
    <w:rPr>
      <w:rFonts w:eastAsia="Times New Roman"/>
      <w:i/>
      <w:iCs/>
      <w:sz w:val="16"/>
      <w:szCs w:val="18"/>
    </w:rPr>
  </w:style>
  <w:style w:type="paragraph" w:styleId="TableofFigures">
    <w:name w:val="table of figures"/>
    <w:basedOn w:val="TOC1"/>
    <w:next w:val="BodyText"/>
    <w:qFormat/>
    <w:rsid w:val="00296658"/>
  </w:style>
  <w:style w:type="table" w:styleId="TableProfessional">
    <w:name w:val="Table Professional"/>
    <w:basedOn w:val="TableNormal"/>
    <w:rsid w:val="00296658"/>
    <w:pPr>
      <w:spacing w:before="180" w:after="180" w:line="280" w:lineRule="atLeast"/>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296658"/>
    <w:pPr>
      <w:spacing w:before="180" w:after="180" w:line="280" w:lineRule="atLeast"/>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296658"/>
    <w:pPr>
      <w:spacing w:before="180" w:after="180" w:line="280" w:lineRule="atLeast"/>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296658"/>
    <w:pPr>
      <w:spacing w:before="180" w:after="180" w:line="280" w:lineRule="atLeast"/>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296658"/>
    <w:pPr>
      <w:spacing w:before="180" w:after="180" w:line="280" w:lineRule="atLeast"/>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296658"/>
    <w:pPr>
      <w:spacing w:before="180" w:after="180" w:line="280" w:lineRule="atLeast"/>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left">
    <w:name w:val="Table text left"/>
    <w:qFormat/>
    <w:rsid w:val="00296658"/>
    <w:pPr>
      <w:spacing w:before="20" w:after="20" w:line="200" w:lineRule="atLeast"/>
    </w:pPr>
    <w:rPr>
      <w:rFonts w:eastAsia="Times New Roman" w:cs="Arial"/>
      <w:sz w:val="18"/>
    </w:rPr>
  </w:style>
  <w:style w:type="paragraph" w:customStyle="1" w:styleId="Tabletextcentred">
    <w:name w:val="Table text centred"/>
    <w:basedOn w:val="Tabletextleft"/>
    <w:qFormat/>
    <w:rsid w:val="00296658"/>
    <w:pPr>
      <w:jc w:val="center"/>
    </w:pPr>
  </w:style>
  <w:style w:type="paragraph" w:customStyle="1" w:styleId="Tabletextright">
    <w:name w:val="Table text right"/>
    <w:basedOn w:val="Tabletextcentred"/>
    <w:qFormat/>
    <w:rsid w:val="00296658"/>
    <w:pPr>
      <w:jc w:val="right"/>
    </w:pPr>
  </w:style>
  <w:style w:type="table" w:styleId="TableTheme">
    <w:name w:val="Table Theme"/>
    <w:basedOn w:val="TableNormal"/>
    <w:rsid w:val="00296658"/>
    <w:pPr>
      <w:spacing w:before="180" w:after="180" w:line="28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titlebold">
    <w:name w:val="Table title bold"/>
    <w:qFormat/>
    <w:rsid w:val="00296658"/>
    <w:rPr>
      <w:b/>
    </w:rPr>
  </w:style>
  <w:style w:type="table" w:styleId="TableWeb1">
    <w:name w:val="Table Web 1"/>
    <w:basedOn w:val="TableNormal"/>
    <w:rsid w:val="00296658"/>
    <w:pPr>
      <w:spacing w:before="180" w:after="180" w:line="280" w:lineRule="atLeast"/>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296658"/>
    <w:pPr>
      <w:spacing w:before="180" w:after="180" w:line="280" w:lineRule="atLeast"/>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296658"/>
    <w:pPr>
      <w:spacing w:before="180" w:after="180" w:line="280" w:lineRule="atLeast"/>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BodyText"/>
    <w:next w:val="BodyText"/>
    <w:link w:val="TitleChar"/>
    <w:rsid w:val="00296658"/>
    <w:pPr>
      <w:spacing w:before="240" w:after="60"/>
      <w:jc w:val="center"/>
      <w:outlineLvl w:val="0"/>
    </w:pPr>
    <w:rPr>
      <w:bCs/>
      <w:kern w:val="28"/>
      <w:sz w:val="32"/>
      <w:szCs w:val="32"/>
    </w:rPr>
  </w:style>
  <w:style w:type="character" w:customStyle="1" w:styleId="TitleChar">
    <w:name w:val="Title Char"/>
    <w:basedOn w:val="DefaultParagraphFont"/>
    <w:link w:val="Title"/>
    <w:rsid w:val="00296658"/>
    <w:rPr>
      <w:rFonts w:cs="Arial"/>
      <w:bCs/>
      <w:kern w:val="28"/>
      <w:sz w:val="32"/>
      <w:szCs w:val="32"/>
    </w:rPr>
  </w:style>
  <w:style w:type="paragraph" w:styleId="TOAHeading">
    <w:name w:val="toa heading"/>
    <w:next w:val="Normal"/>
    <w:uiPriority w:val="99"/>
    <w:rsid w:val="00296658"/>
    <w:pPr>
      <w:spacing w:before="120" w:after="180" w:line="280" w:lineRule="atLeast"/>
    </w:pPr>
    <w:rPr>
      <w:rFonts w:eastAsiaTheme="majorEastAsia" w:cstheme="majorBidi"/>
      <w:bCs/>
      <w:szCs w:val="24"/>
    </w:rPr>
  </w:style>
  <w:style w:type="paragraph" w:styleId="TOC4">
    <w:name w:val="toc 4"/>
    <w:basedOn w:val="TOC3"/>
    <w:next w:val="BodyText"/>
    <w:autoRedefine/>
    <w:uiPriority w:val="39"/>
    <w:qFormat/>
    <w:rsid w:val="00296658"/>
    <w:pPr>
      <w:ind w:left="425"/>
    </w:pPr>
  </w:style>
  <w:style w:type="paragraph" w:styleId="TOC5">
    <w:name w:val="toc 5"/>
    <w:basedOn w:val="TOC4"/>
    <w:next w:val="BodyText"/>
    <w:autoRedefine/>
    <w:uiPriority w:val="39"/>
    <w:qFormat/>
    <w:rsid w:val="00296658"/>
    <w:pPr>
      <w:ind w:left="567"/>
    </w:pPr>
  </w:style>
  <w:style w:type="paragraph" w:styleId="TOC6">
    <w:name w:val="toc 6"/>
    <w:basedOn w:val="Normal"/>
    <w:next w:val="Normal"/>
    <w:autoRedefine/>
    <w:rsid w:val="00296658"/>
    <w:pPr>
      <w:ind w:left="1050"/>
    </w:pPr>
  </w:style>
  <w:style w:type="paragraph" w:styleId="TOC7">
    <w:name w:val="toc 7"/>
    <w:basedOn w:val="Normal"/>
    <w:next w:val="Normal"/>
    <w:autoRedefine/>
    <w:rsid w:val="00296658"/>
    <w:pPr>
      <w:spacing w:after="100"/>
      <w:ind w:left="1200"/>
    </w:pPr>
  </w:style>
  <w:style w:type="paragraph" w:styleId="TOC8">
    <w:name w:val="toc 8"/>
    <w:basedOn w:val="Normal"/>
    <w:next w:val="Normal"/>
    <w:autoRedefine/>
    <w:rsid w:val="00296658"/>
    <w:pPr>
      <w:spacing w:after="100"/>
      <w:ind w:left="1400"/>
    </w:pPr>
  </w:style>
  <w:style w:type="paragraph" w:styleId="TOC9">
    <w:name w:val="toc 9"/>
    <w:basedOn w:val="Normal"/>
    <w:next w:val="Normal"/>
    <w:autoRedefine/>
    <w:rsid w:val="00296658"/>
    <w:pPr>
      <w:spacing w:after="100"/>
      <w:ind w:left="1600"/>
    </w:pPr>
  </w:style>
  <w:style w:type="paragraph" w:styleId="TOCHeading">
    <w:name w:val="TOC Heading"/>
    <w:next w:val="Normal"/>
    <w:qFormat/>
    <w:rsid w:val="00296658"/>
    <w:pPr>
      <w:pageBreakBefore/>
      <w:spacing w:before="180" w:after="960"/>
    </w:pPr>
    <w:rPr>
      <w:rFonts w:eastAsia="Times New Roman"/>
      <w:sz w:val="40"/>
    </w:rPr>
  </w:style>
  <w:style w:type="paragraph" w:customStyle="1" w:styleId="VersoBold">
    <w:name w:val="Verso Bold"/>
    <w:basedOn w:val="BodyText"/>
    <w:next w:val="Normal"/>
    <w:rsid w:val="00296658"/>
    <w:pPr>
      <w:spacing w:before="240" w:after="0"/>
    </w:pPr>
    <w:rPr>
      <w:b/>
      <w:kern w:val="28"/>
    </w:rPr>
  </w:style>
  <w:style w:type="paragraph" w:customStyle="1" w:styleId="VersoBoldPgB4">
    <w:name w:val="Verso Bold Pg B4"/>
    <w:basedOn w:val="Normal"/>
    <w:next w:val="BodyText"/>
    <w:qFormat/>
    <w:rsid w:val="00296658"/>
    <w:pPr>
      <w:pageBreakBefore/>
      <w:spacing w:after="60" w:line="240" w:lineRule="atLeast"/>
    </w:pPr>
    <w:rPr>
      <w:rFonts w:cs="Arial"/>
      <w:b/>
      <w:kern w:val="28"/>
    </w:rPr>
  </w:style>
  <w:style w:type="paragraph" w:customStyle="1" w:styleId="Versopageinfo">
    <w:name w:val="Verso page info"/>
    <w:basedOn w:val="BodyText"/>
    <w:link w:val="VersopageinfoChar"/>
    <w:qFormat/>
    <w:rsid w:val="00296658"/>
    <w:pPr>
      <w:spacing w:before="0"/>
    </w:pPr>
  </w:style>
  <w:style w:type="character" w:customStyle="1" w:styleId="VersopageinfoChar">
    <w:name w:val="Verso page info Char"/>
    <w:basedOn w:val="BodyTextChar"/>
    <w:link w:val="Versopageinfo"/>
    <w:rsid w:val="00296658"/>
    <w:rPr>
      <w:rFonts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273832">
      <w:bodyDiv w:val="1"/>
      <w:marLeft w:val="0"/>
      <w:marRight w:val="0"/>
      <w:marTop w:val="0"/>
      <w:marBottom w:val="0"/>
      <w:divBdr>
        <w:top w:val="none" w:sz="0" w:space="0" w:color="auto"/>
        <w:left w:val="none" w:sz="0" w:space="0" w:color="auto"/>
        <w:bottom w:val="none" w:sz="0" w:space="0" w:color="auto"/>
        <w:right w:val="none" w:sz="0" w:space="0" w:color="auto"/>
      </w:divBdr>
    </w:div>
    <w:div w:id="385639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image" Target="media/image24.pn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hyperlink" Target="http://blog.echen.me/2011/07/28/tweets-vs-likes-what-gets-shared-on-twitter-vs-facebook/" TargetMode="External"/><Relationship Id="rId63" Type="http://schemas.openxmlformats.org/officeDocument/2006/relationships/hyperlink" Target="https://developers.facebook.com/docs/insights/" TargetMode="External"/><Relationship Id="rId68" Type="http://schemas.openxmlformats.org/officeDocument/2006/relationships/hyperlink" Target="http://help.hootsuite.com/entries/22000446-what-is-hootsuite" TargetMode="External"/><Relationship Id="rId76" Type="http://schemas.openxmlformats.org/officeDocument/2006/relationships/hyperlink" Target="http://science.org.au/natcoms/nc-es/documents/nc-es-strategic.pdf" TargetMode="External"/><Relationship Id="rId84" Type="http://schemas.openxmlformats.org/officeDocument/2006/relationships/hyperlink" Target="http://webguide.gov.au/web-2-0/online-consultation/social-media/social-media-how-to/" TargetMode="Externa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iugs.org/33igc/downloads/33IGC_GenPro.pdf" TargetMode="Externa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jpeg"/><Relationship Id="rId11" Type="http://schemas.openxmlformats.org/officeDocument/2006/relationships/hyperlink" Target="http://www.creativecommons.org/licenses/by/3.0/au/deed.en"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hyperlink" Target="http://epress.anu.edu.au/titles/shaping-a-nation" TargetMode="External"/><Relationship Id="rId58" Type="http://schemas.openxmlformats.org/officeDocument/2006/relationships/hyperlink" Target="http://www.apsc.gov.au/publications-and-media/current-circulars-and-advices/2012/circular-20121" TargetMode="External"/><Relationship Id="rId66" Type="http://schemas.openxmlformats.org/officeDocument/2006/relationships/hyperlink" Target="http://www.ga.gov.au/earth-observation/basics/gallery/international-locations/solomon-islands-2007-tsunami.html" TargetMode="External"/><Relationship Id="rId74" Type="http://schemas.openxmlformats.org/officeDocument/2006/relationships/hyperlink" Target="http://www.couriermail.com.au/news/queensland/geology-conference-has-brisbane-rocking-as-5700-geo-scientists-converge-on-34th-international-geological-congress/story-e6freoof-1226442574399" TargetMode="External"/><Relationship Id="rId79" Type="http://schemas.openxmlformats.org/officeDocument/2006/relationships/hyperlink" Target="http://www.mapmyfollowers.com/" TargetMode="External"/><Relationship Id="rId87" Type="http://schemas.openxmlformats.org/officeDocument/2006/relationships/image" Target="media/image37.png"/><Relationship Id="rId5" Type="http://schemas.openxmlformats.org/officeDocument/2006/relationships/settings" Target="settings.xml"/><Relationship Id="rId61" Type="http://schemas.openxmlformats.org/officeDocument/2006/relationships/hyperlink" Target="http://www.mindjumpers.com/blog/2012/01/socialmedia-uk-statistics/" TargetMode="External"/><Relationship Id="rId82" Type="http://schemas.openxmlformats.org/officeDocument/2006/relationships/hyperlink" Target="http://www.voiceproject.com.au/" TargetMode="External"/><Relationship Id="rId19" Type="http://schemas.openxmlformats.org/officeDocument/2006/relationships/hyperlink" Target="http://portal.auscope.org/portal/gmap.html"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8.jpeg"/><Relationship Id="rId27" Type="http://schemas.openxmlformats.org/officeDocument/2006/relationships/image" Target="media/image13.wmf"/><Relationship Id="rId30" Type="http://schemas.openxmlformats.org/officeDocument/2006/relationships/image" Target="media/image16.jpeg"/><Relationship Id="rId35" Type="http://schemas.openxmlformats.org/officeDocument/2006/relationships/hyperlink" Target="http://hootsuite.com/" TargetMode="External"/><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hyperlink" Target="http://www.finance.gov.au/e-government/strategy-and-governance/gov2/declaration-of-open-government.html" TargetMode="External"/><Relationship Id="rId64" Type="http://schemas.openxmlformats.org/officeDocument/2006/relationships/hyperlink" Target="http://www.sawmill.net/" TargetMode="External"/><Relationship Id="rId69" Type="http://schemas.openxmlformats.org/officeDocument/2006/relationships/hyperlink" Target="http://www.ignitesocialmedia.com/social-media-stats/2012-social-network-analysis-report/" TargetMode="External"/><Relationship Id="rId77" Type="http://schemas.openxmlformats.org/officeDocument/2006/relationships/hyperlink" Target="http://www.34igc.org/media.php" TargetMode="External"/><Relationship Id="rId8" Type="http://schemas.openxmlformats.org/officeDocument/2006/relationships/endnotes" Target="endnotes.xml"/><Relationship Id="rId51" Type="http://schemas.openxmlformats.org/officeDocument/2006/relationships/hyperlink" Target="http://www.agiweb.org/georef/about/index.html" TargetMode="External"/><Relationship Id="rId72" Type="http://schemas.openxmlformats.org/officeDocument/2006/relationships/hyperlink" Target="http://www.flickr.com/photos/18589403@N02/1897186916/in/photostream" TargetMode="External"/><Relationship Id="rId80" Type="http://schemas.openxmlformats.org/officeDocument/2006/relationships/hyperlink" Target="http://www.surveymonkey.com/" TargetMode="External"/><Relationship Id="rId85" Type="http://schemas.openxmlformats.org/officeDocument/2006/relationships/hyperlink" Target="http://ow.ly/url/shorten-url" TargetMode="External"/><Relationship Id="rId3" Type="http://schemas.openxmlformats.org/officeDocument/2006/relationships/styles" Target="styles.xml"/><Relationship Id="rId12" Type="http://schemas.openxmlformats.org/officeDocument/2006/relationships/hyperlink" Target="mailto:feedback@ga.gov.au" TargetMode="Externa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hyperlink" Target="http://www.ga.gov.au/products-services/publications/shaping-a-nation.html" TargetMode="External"/><Relationship Id="rId67" Type="http://schemas.openxmlformats.org/officeDocument/2006/relationships/hyperlink" Target="http://www.ga.gov.au/about-us/news-media/news-2012/scientists-investigate-victorian-earthquake.html" TargetMode="External"/><Relationship Id="rId20" Type="http://schemas.openxmlformats.org/officeDocument/2006/relationships/image" Target="media/image6.jpeg"/><Relationship Id="rId41" Type="http://schemas.openxmlformats.org/officeDocument/2006/relationships/image" Target="media/image26.png"/><Relationship Id="rId54" Type="http://schemas.openxmlformats.org/officeDocument/2006/relationships/hyperlink" Target="http://geoscience.ca/index.php?page=may-2010---calgary" TargetMode="External"/><Relationship Id="rId62" Type="http://schemas.openxmlformats.org/officeDocument/2006/relationships/hyperlink" Target="http://ei.org/geobase" TargetMode="External"/><Relationship Id="rId70" Type="http://schemas.openxmlformats.org/officeDocument/2006/relationships/hyperlink" Target="http://iugs.org/32igc/stampa/32%20igc%20informs1.pdf" TargetMode="External"/><Relationship Id="rId75" Type="http://schemas.openxmlformats.org/officeDocument/2006/relationships/hyperlink" Target="http://www.onlinemba.com/blog/social-media-demographics/" TargetMode="External"/><Relationship Id="rId83" Type="http://schemas.openxmlformats.org/officeDocument/2006/relationships/hyperlink" Target="http://www.mediabistro.com/alltwitter/500-million-registered-users_b18842"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igc.conferenceshare.com.au/"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hyperlink" Target="http://www.ga.gov.au/webtemp/image_cache/GA20365.pdf" TargetMode="External"/><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29.jpeg"/><Relationship Id="rId52" Type="http://schemas.openxmlformats.org/officeDocument/2006/relationships/hyperlink" Target="http://australia.gov.au/news-and-media/social-media" TargetMode="External"/><Relationship Id="rId60" Type="http://schemas.openxmlformats.org/officeDocument/2006/relationships/hyperlink" Target="http://www.comscore.com/" TargetMode="External"/><Relationship Id="rId65" Type="http://schemas.openxmlformats.org/officeDocument/2006/relationships/hyperlink" Target="http://www.ga.gov.au/webtemp/image_cache/GA13696.pdf" TargetMode="External"/><Relationship Id="rId73" Type="http://schemas.openxmlformats.org/officeDocument/2006/relationships/hyperlink" Target="http://www.bloomberg.com/news/2012-08-31/twitter-beats-u-s-geological-survey-to-philippines-quake-news.html" TargetMode="External"/><Relationship Id="rId78" Type="http://schemas.openxmlformats.org/officeDocument/2006/relationships/hyperlink" Target="http://www.scimagojr.com/index.php" TargetMode="External"/><Relationship Id="rId81" Type="http://schemas.openxmlformats.org/officeDocument/2006/relationships/hyperlink" Target="http://www.editorsweblog.org/2012/06/13/how-do-twitter-users-like-their-news-plain-simple-and-from-trustworthy-news-orgs" TargetMode="External"/><Relationship Id="rId86" Type="http://schemas.openxmlformats.org/officeDocument/2006/relationships/image" Target="media/image36.png"/></Relationships>
</file>

<file path=word/_rels/settings.xml.rels><?xml version="1.0" encoding="UTF-8" standalone="yes"?>
<Relationships xmlns="http://schemas.openxmlformats.org/package/2006/relationships"><Relationship Id="rId1" Type="http://schemas.openxmlformats.org/officeDocument/2006/relationships/attachedTemplate" Target="file:///L:\Templates\Geoscience%20Australia\GA%20Recor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3BB92D-E8B2-4F29-ADE1-C2C0B7757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GA Record.dot</Template>
  <TotalTime>2</TotalTime>
  <Pages>87</Pages>
  <Words>29580</Words>
  <Characters>168612</Characters>
  <Application>Microsoft Office Word</Application>
  <DocSecurity>0</DocSecurity>
  <Lines>1405</Lines>
  <Paragraphs>395</Paragraphs>
  <ScaleCrop>false</ScaleCrop>
  <HeadingPairs>
    <vt:vector size="2" baseType="variant">
      <vt:variant>
        <vt:lpstr>Title</vt:lpstr>
      </vt:variant>
      <vt:variant>
        <vt:i4>1</vt:i4>
      </vt:variant>
    </vt:vector>
  </HeadingPairs>
  <TitlesOfParts>
    <vt:vector size="1" baseType="lpstr">
      <vt:lpstr>Document Title</vt:lpstr>
    </vt:vector>
  </TitlesOfParts>
  <Company>Geoscience Australia</Company>
  <LinksUpToDate>false</LinksUpToDate>
  <CharactersWithSpaces>197797</CharactersWithSpaces>
  <SharedDoc>false</SharedDoc>
  <HLinks>
    <vt:vector size="234" baseType="variant">
      <vt:variant>
        <vt:i4>1376320</vt:i4>
      </vt:variant>
      <vt:variant>
        <vt:i4>786</vt:i4>
      </vt:variant>
      <vt:variant>
        <vt:i4>0</vt:i4>
      </vt:variant>
      <vt:variant>
        <vt:i4>5</vt:i4>
      </vt:variant>
      <vt:variant>
        <vt:lpwstr>http://ow.ly/url/shorten-url</vt:lpwstr>
      </vt:variant>
      <vt:variant>
        <vt:lpwstr/>
      </vt:variant>
      <vt:variant>
        <vt:i4>3670132</vt:i4>
      </vt:variant>
      <vt:variant>
        <vt:i4>783</vt:i4>
      </vt:variant>
      <vt:variant>
        <vt:i4>0</vt:i4>
      </vt:variant>
      <vt:variant>
        <vt:i4>5</vt:i4>
      </vt:variant>
      <vt:variant>
        <vt:lpwstr>http://webguide.gov.au/web-2-0/online-consultation/social-media/social-media-how-to/</vt:lpwstr>
      </vt:variant>
      <vt:variant>
        <vt:lpwstr>introducing</vt:lpwstr>
      </vt:variant>
      <vt:variant>
        <vt:i4>4325433</vt:i4>
      </vt:variant>
      <vt:variant>
        <vt:i4>780</vt:i4>
      </vt:variant>
      <vt:variant>
        <vt:i4>0</vt:i4>
      </vt:variant>
      <vt:variant>
        <vt:i4>5</vt:i4>
      </vt:variant>
      <vt:variant>
        <vt:lpwstr>http://www.mediabistro.com/alltwitter/500-million-registered-users_b18842</vt:lpwstr>
      </vt:variant>
      <vt:variant>
        <vt:lpwstr/>
      </vt:variant>
      <vt:variant>
        <vt:i4>3145789</vt:i4>
      </vt:variant>
      <vt:variant>
        <vt:i4>777</vt:i4>
      </vt:variant>
      <vt:variant>
        <vt:i4>0</vt:i4>
      </vt:variant>
      <vt:variant>
        <vt:i4>5</vt:i4>
      </vt:variant>
      <vt:variant>
        <vt:lpwstr>http://www.voiceproject.com.au/</vt:lpwstr>
      </vt:variant>
      <vt:variant>
        <vt:lpwstr/>
      </vt:variant>
      <vt:variant>
        <vt:i4>4325461</vt:i4>
      </vt:variant>
      <vt:variant>
        <vt:i4>774</vt:i4>
      </vt:variant>
      <vt:variant>
        <vt:i4>0</vt:i4>
      </vt:variant>
      <vt:variant>
        <vt:i4>5</vt:i4>
      </vt:variant>
      <vt:variant>
        <vt:lpwstr>http://www.editorsweblog.org/2012/06/13/how-do-twitter-users-like-their-news-plain-simple-and-from-trustworthy-news-orgs</vt:lpwstr>
      </vt:variant>
      <vt:variant>
        <vt:lpwstr/>
      </vt:variant>
      <vt:variant>
        <vt:i4>4653145</vt:i4>
      </vt:variant>
      <vt:variant>
        <vt:i4>771</vt:i4>
      </vt:variant>
      <vt:variant>
        <vt:i4>0</vt:i4>
      </vt:variant>
      <vt:variant>
        <vt:i4>5</vt:i4>
      </vt:variant>
      <vt:variant>
        <vt:lpwstr>http://www.surveymonkey.com/</vt:lpwstr>
      </vt:variant>
      <vt:variant>
        <vt:lpwstr/>
      </vt:variant>
      <vt:variant>
        <vt:i4>2555937</vt:i4>
      </vt:variant>
      <vt:variant>
        <vt:i4>768</vt:i4>
      </vt:variant>
      <vt:variant>
        <vt:i4>0</vt:i4>
      </vt:variant>
      <vt:variant>
        <vt:i4>5</vt:i4>
      </vt:variant>
      <vt:variant>
        <vt:lpwstr>http://www.mapmyfollowers.com/</vt:lpwstr>
      </vt:variant>
      <vt:variant>
        <vt:lpwstr/>
      </vt:variant>
      <vt:variant>
        <vt:i4>3539056</vt:i4>
      </vt:variant>
      <vt:variant>
        <vt:i4>765</vt:i4>
      </vt:variant>
      <vt:variant>
        <vt:i4>0</vt:i4>
      </vt:variant>
      <vt:variant>
        <vt:i4>5</vt:i4>
      </vt:variant>
      <vt:variant>
        <vt:lpwstr>http://www.scimagojr.com/index.php</vt:lpwstr>
      </vt:variant>
      <vt:variant>
        <vt:lpwstr/>
      </vt:variant>
      <vt:variant>
        <vt:i4>7471162</vt:i4>
      </vt:variant>
      <vt:variant>
        <vt:i4>762</vt:i4>
      </vt:variant>
      <vt:variant>
        <vt:i4>0</vt:i4>
      </vt:variant>
      <vt:variant>
        <vt:i4>5</vt:i4>
      </vt:variant>
      <vt:variant>
        <vt:lpwstr>http://www.34igc.org/media.php</vt:lpwstr>
      </vt:variant>
      <vt:variant>
        <vt:lpwstr/>
      </vt:variant>
      <vt:variant>
        <vt:i4>4784155</vt:i4>
      </vt:variant>
      <vt:variant>
        <vt:i4>759</vt:i4>
      </vt:variant>
      <vt:variant>
        <vt:i4>0</vt:i4>
      </vt:variant>
      <vt:variant>
        <vt:i4>5</vt:i4>
      </vt:variant>
      <vt:variant>
        <vt:lpwstr>http://science.org.au/natcoms/nc-es/documents/nc-es-strategic.pdf</vt:lpwstr>
      </vt:variant>
      <vt:variant>
        <vt:lpwstr/>
      </vt:variant>
      <vt:variant>
        <vt:i4>5177434</vt:i4>
      </vt:variant>
      <vt:variant>
        <vt:i4>756</vt:i4>
      </vt:variant>
      <vt:variant>
        <vt:i4>0</vt:i4>
      </vt:variant>
      <vt:variant>
        <vt:i4>5</vt:i4>
      </vt:variant>
      <vt:variant>
        <vt:lpwstr>http://www.onlinemba.com/blog/social-media-demographics/</vt:lpwstr>
      </vt:variant>
      <vt:variant>
        <vt:lpwstr/>
      </vt:variant>
      <vt:variant>
        <vt:i4>393226</vt:i4>
      </vt:variant>
      <vt:variant>
        <vt:i4>753</vt:i4>
      </vt:variant>
      <vt:variant>
        <vt:i4>0</vt:i4>
      </vt:variant>
      <vt:variant>
        <vt:i4>5</vt:i4>
      </vt:variant>
      <vt:variant>
        <vt:lpwstr>http://www.couriermail.com.au/news/queensland/geology-conference-has-brisbane-rocking-as-5700-geo-scientists-converge-on-34th-international-geological-congress/story-e6freoof-1226442574399</vt:lpwstr>
      </vt:variant>
      <vt:variant>
        <vt:lpwstr/>
      </vt:variant>
      <vt:variant>
        <vt:i4>2490410</vt:i4>
      </vt:variant>
      <vt:variant>
        <vt:i4>750</vt:i4>
      </vt:variant>
      <vt:variant>
        <vt:i4>0</vt:i4>
      </vt:variant>
      <vt:variant>
        <vt:i4>5</vt:i4>
      </vt:variant>
      <vt:variant>
        <vt:lpwstr>http://www.bloomberg.com/news/2012-08-31/twitter-beats-u-s-geological-survey-to-philippines-quake-news.html</vt:lpwstr>
      </vt:variant>
      <vt:variant>
        <vt:lpwstr/>
      </vt:variant>
      <vt:variant>
        <vt:i4>1966137</vt:i4>
      </vt:variant>
      <vt:variant>
        <vt:i4>747</vt:i4>
      </vt:variant>
      <vt:variant>
        <vt:i4>0</vt:i4>
      </vt:variant>
      <vt:variant>
        <vt:i4>5</vt:i4>
      </vt:variant>
      <vt:variant>
        <vt:lpwstr>http://www.flickr.com/photos/18589403@N02/1897186916/in/photostream</vt:lpwstr>
      </vt:variant>
      <vt:variant>
        <vt:lpwstr/>
      </vt:variant>
      <vt:variant>
        <vt:i4>7274587</vt:i4>
      </vt:variant>
      <vt:variant>
        <vt:i4>744</vt:i4>
      </vt:variant>
      <vt:variant>
        <vt:i4>0</vt:i4>
      </vt:variant>
      <vt:variant>
        <vt:i4>5</vt:i4>
      </vt:variant>
      <vt:variant>
        <vt:lpwstr>http://iugs.org/33igc/downloads/33IGC_GenPro.pdf</vt:lpwstr>
      </vt:variant>
      <vt:variant>
        <vt:lpwstr/>
      </vt:variant>
      <vt:variant>
        <vt:i4>4915215</vt:i4>
      </vt:variant>
      <vt:variant>
        <vt:i4>741</vt:i4>
      </vt:variant>
      <vt:variant>
        <vt:i4>0</vt:i4>
      </vt:variant>
      <vt:variant>
        <vt:i4>5</vt:i4>
      </vt:variant>
      <vt:variant>
        <vt:lpwstr>http://iugs.org/32igc/stampa/32 igc informs1.pdf</vt:lpwstr>
      </vt:variant>
      <vt:variant>
        <vt:lpwstr/>
      </vt:variant>
      <vt:variant>
        <vt:i4>5439561</vt:i4>
      </vt:variant>
      <vt:variant>
        <vt:i4>738</vt:i4>
      </vt:variant>
      <vt:variant>
        <vt:i4>0</vt:i4>
      </vt:variant>
      <vt:variant>
        <vt:i4>5</vt:i4>
      </vt:variant>
      <vt:variant>
        <vt:lpwstr>http://www.ignitesocialmedia.com/social-media-stats/2012-social-network-analysis-report/</vt:lpwstr>
      </vt:variant>
      <vt:variant>
        <vt:lpwstr/>
      </vt:variant>
      <vt:variant>
        <vt:i4>1245192</vt:i4>
      </vt:variant>
      <vt:variant>
        <vt:i4>735</vt:i4>
      </vt:variant>
      <vt:variant>
        <vt:i4>0</vt:i4>
      </vt:variant>
      <vt:variant>
        <vt:i4>5</vt:i4>
      </vt:variant>
      <vt:variant>
        <vt:lpwstr>http://help.hootsuite.com/entries/22000446-what-is-hootsuite</vt:lpwstr>
      </vt:variant>
      <vt:variant>
        <vt:lpwstr/>
      </vt:variant>
      <vt:variant>
        <vt:i4>8192063</vt:i4>
      </vt:variant>
      <vt:variant>
        <vt:i4>732</vt:i4>
      </vt:variant>
      <vt:variant>
        <vt:i4>0</vt:i4>
      </vt:variant>
      <vt:variant>
        <vt:i4>5</vt:i4>
      </vt:variant>
      <vt:variant>
        <vt:lpwstr>http://www.ga.gov.au/about-us/news-media/news-2012/scientists-investigate-victorian-earthquake.html</vt:lpwstr>
      </vt:variant>
      <vt:variant>
        <vt:lpwstr/>
      </vt:variant>
      <vt:variant>
        <vt:i4>2752636</vt:i4>
      </vt:variant>
      <vt:variant>
        <vt:i4>729</vt:i4>
      </vt:variant>
      <vt:variant>
        <vt:i4>0</vt:i4>
      </vt:variant>
      <vt:variant>
        <vt:i4>5</vt:i4>
      </vt:variant>
      <vt:variant>
        <vt:lpwstr>http://www.ga.gov.au/earth-observation/basics/gallery/international-locations/solomon-islands-2007-tsunami.html</vt:lpwstr>
      </vt:variant>
      <vt:variant>
        <vt:lpwstr/>
      </vt:variant>
      <vt:variant>
        <vt:i4>1966191</vt:i4>
      </vt:variant>
      <vt:variant>
        <vt:i4>726</vt:i4>
      </vt:variant>
      <vt:variant>
        <vt:i4>0</vt:i4>
      </vt:variant>
      <vt:variant>
        <vt:i4>5</vt:i4>
      </vt:variant>
      <vt:variant>
        <vt:lpwstr>http://www.ga.gov.au/webtemp/image_cache/GA13696.pdf</vt:lpwstr>
      </vt:variant>
      <vt:variant>
        <vt:lpwstr/>
      </vt:variant>
      <vt:variant>
        <vt:i4>3145851</vt:i4>
      </vt:variant>
      <vt:variant>
        <vt:i4>723</vt:i4>
      </vt:variant>
      <vt:variant>
        <vt:i4>0</vt:i4>
      </vt:variant>
      <vt:variant>
        <vt:i4>5</vt:i4>
      </vt:variant>
      <vt:variant>
        <vt:lpwstr>http://www.sawmill.net/</vt:lpwstr>
      </vt:variant>
      <vt:variant>
        <vt:lpwstr/>
      </vt:variant>
      <vt:variant>
        <vt:i4>3407912</vt:i4>
      </vt:variant>
      <vt:variant>
        <vt:i4>720</vt:i4>
      </vt:variant>
      <vt:variant>
        <vt:i4>0</vt:i4>
      </vt:variant>
      <vt:variant>
        <vt:i4>5</vt:i4>
      </vt:variant>
      <vt:variant>
        <vt:lpwstr>https://developers.facebook.com/docs/insights/</vt:lpwstr>
      </vt:variant>
      <vt:variant>
        <vt:lpwstr/>
      </vt:variant>
      <vt:variant>
        <vt:i4>4784129</vt:i4>
      </vt:variant>
      <vt:variant>
        <vt:i4>717</vt:i4>
      </vt:variant>
      <vt:variant>
        <vt:i4>0</vt:i4>
      </vt:variant>
      <vt:variant>
        <vt:i4>5</vt:i4>
      </vt:variant>
      <vt:variant>
        <vt:lpwstr>http://ei.org/geobase</vt:lpwstr>
      </vt:variant>
      <vt:variant>
        <vt:lpwstr/>
      </vt:variant>
      <vt:variant>
        <vt:i4>7012474</vt:i4>
      </vt:variant>
      <vt:variant>
        <vt:i4>714</vt:i4>
      </vt:variant>
      <vt:variant>
        <vt:i4>0</vt:i4>
      </vt:variant>
      <vt:variant>
        <vt:i4>5</vt:i4>
      </vt:variant>
      <vt:variant>
        <vt:lpwstr>http://www.mindjumpers.com/blog/2012/01/socialmedia-uk-statistics/</vt:lpwstr>
      </vt:variant>
      <vt:variant>
        <vt:lpwstr/>
      </vt:variant>
      <vt:variant>
        <vt:i4>5898312</vt:i4>
      </vt:variant>
      <vt:variant>
        <vt:i4>711</vt:i4>
      </vt:variant>
      <vt:variant>
        <vt:i4>0</vt:i4>
      </vt:variant>
      <vt:variant>
        <vt:i4>5</vt:i4>
      </vt:variant>
      <vt:variant>
        <vt:lpwstr>http://www.comscore.com/</vt:lpwstr>
      </vt:variant>
      <vt:variant>
        <vt:lpwstr/>
      </vt:variant>
      <vt:variant>
        <vt:i4>4259850</vt:i4>
      </vt:variant>
      <vt:variant>
        <vt:i4>708</vt:i4>
      </vt:variant>
      <vt:variant>
        <vt:i4>0</vt:i4>
      </vt:variant>
      <vt:variant>
        <vt:i4>5</vt:i4>
      </vt:variant>
      <vt:variant>
        <vt:lpwstr>http://www.ga.gov.au/products-services/publications/shaping-a-nation.html</vt:lpwstr>
      </vt:variant>
      <vt:variant>
        <vt:lpwstr/>
      </vt:variant>
      <vt:variant>
        <vt:i4>2228268</vt:i4>
      </vt:variant>
      <vt:variant>
        <vt:i4>705</vt:i4>
      </vt:variant>
      <vt:variant>
        <vt:i4>0</vt:i4>
      </vt:variant>
      <vt:variant>
        <vt:i4>5</vt:i4>
      </vt:variant>
      <vt:variant>
        <vt:lpwstr>http://www.apsc.gov.au/publications-and-media/current-circulars-and-advices/2012/circular-20121</vt:lpwstr>
      </vt:variant>
      <vt:variant>
        <vt:lpwstr/>
      </vt:variant>
      <vt:variant>
        <vt:i4>1769571</vt:i4>
      </vt:variant>
      <vt:variant>
        <vt:i4>702</vt:i4>
      </vt:variant>
      <vt:variant>
        <vt:i4>0</vt:i4>
      </vt:variant>
      <vt:variant>
        <vt:i4>5</vt:i4>
      </vt:variant>
      <vt:variant>
        <vt:lpwstr>http://www.ga.gov.au/webtemp/image_cache/GA20365.pdf</vt:lpwstr>
      </vt:variant>
      <vt:variant>
        <vt:lpwstr/>
      </vt:variant>
      <vt:variant>
        <vt:i4>8257650</vt:i4>
      </vt:variant>
      <vt:variant>
        <vt:i4>699</vt:i4>
      </vt:variant>
      <vt:variant>
        <vt:i4>0</vt:i4>
      </vt:variant>
      <vt:variant>
        <vt:i4>5</vt:i4>
      </vt:variant>
      <vt:variant>
        <vt:lpwstr>http://www.finance.gov.au/e-government/strategy-and-governance/gov2/declaration-of-open-government.html</vt:lpwstr>
      </vt:variant>
      <vt:variant>
        <vt:lpwstr/>
      </vt:variant>
      <vt:variant>
        <vt:i4>5832723</vt:i4>
      </vt:variant>
      <vt:variant>
        <vt:i4>696</vt:i4>
      </vt:variant>
      <vt:variant>
        <vt:i4>0</vt:i4>
      </vt:variant>
      <vt:variant>
        <vt:i4>5</vt:i4>
      </vt:variant>
      <vt:variant>
        <vt:lpwstr>http://blog.echen.me/2011/07/28/tweets-vs-likes-what-gets-shared-on-twitter-vs-facebook/</vt:lpwstr>
      </vt:variant>
      <vt:variant>
        <vt:lpwstr/>
      </vt:variant>
      <vt:variant>
        <vt:i4>2097188</vt:i4>
      </vt:variant>
      <vt:variant>
        <vt:i4>693</vt:i4>
      </vt:variant>
      <vt:variant>
        <vt:i4>0</vt:i4>
      </vt:variant>
      <vt:variant>
        <vt:i4>5</vt:i4>
      </vt:variant>
      <vt:variant>
        <vt:lpwstr>http://geoscience.ca/index.php?page=may-2010---calgary</vt:lpwstr>
      </vt:variant>
      <vt:variant>
        <vt:lpwstr/>
      </vt:variant>
      <vt:variant>
        <vt:i4>4456539</vt:i4>
      </vt:variant>
      <vt:variant>
        <vt:i4>690</vt:i4>
      </vt:variant>
      <vt:variant>
        <vt:i4>0</vt:i4>
      </vt:variant>
      <vt:variant>
        <vt:i4>5</vt:i4>
      </vt:variant>
      <vt:variant>
        <vt:lpwstr>http://epress.anu.edu.au/titles/shaping-a-nation</vt:lpwstr>
      </vt:variant>
      <vt:variant>
        <vt:lpwstr/>
      </vt:variant>
      <vt:variant>
        <vt:i4>3276845</vt:i4>
      </vt:variant>
      <vt:variant>
        <vt:i4>687</vt:i4>
      </vt:variant>
      <vt:variant>
        <vt:i4>0</vt:i4>
      </vt:variant>
      <vt:variant>
        <vt:i4>5</vt:i4>
      </vt:variant>
      <vt:variant>
        <vt:lpwstr>http://australia.gov.au/news-and-media/social-media</vt:lpwstr>
      </vt:variant>
      <vt:variant>
        <vt:lpwstr/>
      </vt:variant>
      <vt:variant>
        <vt:i4>5111809</vt:i4>
      </vt:variant>
      <vt:variant>
        <vt:i4>684</vt:i4>
      </vt:variant>
      <vt:variant>
        <vt:i4>0</vt:i4>
      </vt:variant>
      <vt:variant>
        <vt:i4>5</vt:i4>
      </vt:variant>
      <vt:variant>
        <vt:lpwstr>http://www.agiweb.org/georef/about/index.html</vt:lpwstr>
      </vt:variant>
      <vt:variant>
        <vt:lpwstr/>
      </vt:variant>
      <vt:variant>
        <vt:i4>6094930</vt:i4>
      </vt:variant>
      <vt:variant>
        <vt:i4>495</vt:i4>
      </vt:variant>
      <vt:variant>
        <vt:i4>0</vt:i4>
      </vt:variant>
      <vt:variant>
        <vt:i4>5</vt:i4>
      </vt:variant>
      <vt:variant>
        <vt:lpwstr>http://hootsuite.com/</vt:lpwstr>
      </vt:variant>
      <vt:variant>
        <vt:lpwstr/>
      </vt:variant>
      <vt:variant>
        <vt:i4>3407930</vt:i4>
      </vt:variant>
      <vt:variant>
        <vt:i4>282</vt:i4>
      </vt:variant>
      <vt:variant>
        <vt:i4>0</vt:i4>
      </vt:variant>
      <vt:variant>
        <vt:i4>5</vt:i4>
      </vt:variant>
      <vt:variant>
        <vt:lpwstr>http://portal.auscope.org/portal/gmap.html</vt:lpwstr>
      </vt:variant>
      <vt:variant>
        <vt:lpwstr/>
      </vt:variant>
      <vt:variant>
        <vt:i4>7864368</vt:i4>
      </vt:variant>
      <vt:variant>
        <vt:i4>240</vt:i4>
      </vt:variant>
      <vt:variant>
        <vt:i4>0</vt:i4>
      </vt:variant>
      <vt:variant>
        <vt:i4>5</vt:i4>
      </vt:variant>
      <vt:variant>
        <vt:lpwstr>http://igc.conferenceshare.com.au/</vt:lpwstr>
      </vt:variant>
      <vt:variant>
        <vt:lpwstr/>
      </vt:variant>
      <vt:variant>
        <vt:i4>2752613</vt:i4>
      </vt:variant>
      <vt:variant>
        <vt:i4>0</vt:i4>
      </vt:variant>
      <vt:variant>
        <vt:i4>0</vt:i4>
      </vt:variant>
      <vt:variant>
        <vt:i4>5</vt:i4>
      </vt:variant>
      <vt:variant>
        <vt:lpwstr>http://www.creativecommons.org/licenses/by/3.0/au/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Title</dc:title>
  <dc:creator>Geoscience Australia</dc:creator>
  <cp:lastModifiedBy>Geoscience Australia</cp:lastModifiedBy>
  <cp:revision>3</cp:revision>
  <cp:lastPrinted>2013-02-19T01:06:00Z</cp:lastPrinted>
  <dcterms:created xsi:type="dcterms:W3CDTF">2013-05-09T04:54:00Z</dcterms:created>
  <dcterms:modified xsi:type="dcterms:W3CDTF">2013-05-16T05:16:00Z</dcterms:modified>
</cp:coreProperties>
</file>